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1671A" w14:textId="77777777" w:rsidR="00C0694C" w:rsidRPr="008B0387" w:rsidRDefault="00C0694C">
      <w:pPr>
        <w:pStyle w:val="Title"/>
        <w:spacing w:after="0"/>
        <w:jc w:val="both"/>
        <w:rPr>
          <w:rFonts w:ascii="Arial" w:eastAsia="Arial" w:hAnsi="Arial" w:cs="Arial"/>
        </w:rPr>
      </w:pPr>
      <w:bookmarkStart w:id="0" w:name="_Hlk209528740"/>
    </w:p>
    <w:p w14:paraId="1D7CED4E" w14:textId="77777777" w:rsidR="00DD1298" w:rsidRPr="008B0387" w:rsidRDefault="00DD1298" w:rsidP="00DD1298">
      <w:pPr>
        <w:pBdr>
          <w:top w:val="nil"/>
          <w:left w:val="nil"/>
          <w:bottom w:val="nil"/>
          <w:right w:val="nil"/>
          <w:between w:val="nil"/>
        </w:pBdr>
        <w:jc w:val="right"/>
        <w:rPr>
          <w:rFonts w:ascii="Arial" w:eastAsia="Arial" w:hAnsi="Arial" w:cs="Arial"/>
          <w:b/>
          <w:bCs/>
          <w:color w:val="000000"/>
          <w:sz w:val="36"/>
          <w:szCs w:val="36"/>
          <w:lang w:val="id-ID"/>
        </w:rPr>
      </w:pPr>
      <w:r w:rsidRPr="008B0387">
        <w:rPr>
          <w:rFonts w:ascii="Arial" w:eastAsia="Arial" w:hAnsi="Arial" w:cs="Arial"/>
          <w:b/>
          <w:bCs/>
          <w:color w:val="000000"/>
          <w:sz w:val="36"/>
          <w:szCs w:val="36"/>
          <w:lang w:val="id-ID"/>
        </w:rPr>
        <w:t>The Influence of Digital Trust and Artificial Intelligence Literacy on Business Sustainability: The Mediating Role of Innovation Capability</w:t>
      </w:r>
    </w:p>
    <w:p w14:paraId="39932EAB" w14:textId="77777777" w:rsidR="00C0694C" w:rsidRPr="008B0387" w:rsidRDefault="00C0694C">
      <w:pPr>
        <w:pBdr>
          <w:top w:val="nil"/>
          <w:left w:val="nil"/>
          <w:bottom w:val="nil"/>
          <w:right w:val="nil"/>
          <w:between w:val="nil"/>
        </w:pBdr>
        <w:jc w:val="both"/>
        <w:rPr>
          <w:rFonts w:ascii="Arial" w:eastAsia="Arial" w:hAnsi="Arial" w:cs="Arial"/>
          <w:b/>
          <w:color w:val="000000"/>
          <w:sz w:val="36"/>
          <w:szCs w:val="36"/>
        </w:rPr>
      </w:pPr>
    </w:p>
    <w:p w14:paraId="2CDC3EB6" w14:textId="38961E7D" w:rsidR="00C0694C" w:rsidRPr="008B0387" w:rsidRDefault="0045458C" w:rsidP="00F57597">
      <w:pPr>
        <w:keepNext/>
        <w:pBdr>
          <w:top w:val="nil"/>
          <w:left w:val="nil"/>
          <w:bottom w:val="nil"/>
          <w:right w:val="nil"/>
          <w:between w:val="nil"/>
        </w:pBdr>
        <w:jc w:val="both"/>
        <w:rPr>
          <w:rFonts w:ascii="Arial" w:eastAsia="Arial" w:hAnsi="Arial" w:cs="Arial"/>
          <w:b/>
          <w:smallCaps/>
          <w:color w:val="000000"/>
          <w:sz w:val="22"/>
          <w:szCs w:val="22"/>
        </w:rPr>
      </w:pPr>
      <w:r w:rsidRPr="008B0387">
        <w:rPr>
          <w:rFonts w:ascii="Arial" w:eastAsia="Arial" w:hAnsi="Arial" w:cs="Arial"/>
          <w:b/>
          <w:smallCaps/>
          <w:color w:val="000000"/>
          <w:sz w:val="22"/>
          <w:szCs w:val="22"/>
        </w:rPr>
        <w:t>ABSTRACT</w:t>
      </w:r>
    </w:p>
    <w:p w14:paraId="185E9FD1" w14:textId="77777777" w:rsidR="00C0694C" w:rsidRPr="008B0387" w:rsidRDefault="00C0694C">
      <w:pPr>
        <w:keepNext/>
        <w:pBdr>
          <w:top w:val="nil"/>
          <w:left w:val="nil"/>
          <w:bottom w:val="nil"/>
          <w:right w:val="nil"/>
          <w:between w:val="nil"/>
        </w:pBdr>
        <w:jc w:val="both"/>
        <w:rPr>
          <w:rFonts w:ascii="Arial" w:eastAsia="Arial" w:hAnsi="Arial" w:cs="Arial"/>
          <w:b/>
          <w:smallCaps/>
          <w:color w:val="000000"/>
          <w:sz w:val="22"/>
          <w:szCs w:val="22"/>
        </w:rPr>
      </w:pPr>
    </w:p>
    <w:tbl>
      <w:tblPr>
        <w:tblStyle w:val="a"/>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350"/>
      </w:tblGrid>
      <w:tr w:rsidR="00C0694C" w:rsidRPr="008B0387" w14:paraId="782B30C2" w14:textId="77777777" w:rsidTr="00F57597">
        <w:tc>
          <w:tcPr>
            <w:tcW w:w="5000" w:type="pct"/>
            <w:shd w:val="clear" w:color="auto" w:fill="F2F2F2"/>
          </w:tcPr>
          <w:p w14:paraId="20E7D034" w14:textId="295DBD34" w:rsidR="00C0694C" w:rsidRPr="008B0387" w:rsidRDefault="003C2C22">
            <w:pPr>
              <w:pBdr>
                <w:top w:val="nil"/>
                <w:left w:val="nil"/>
                <w:bottom w:val="nil"/>
                <w:right w:val="nil"/>
                <w:between w:val="nil"/>
              </w:pBdr>
              <w:jc w:val="both"/>
              <w:rPr>
                <w:rFonts w:ascii="Arial" w:eastAsia="Arial" w:hAnsi="Arial" w:cs="Arial"/>
                <w:color w:val="000000"/>
              </w:rPr>
            </w:pPr>
            <w:r w:rsidRPr="008B0387">
              <w:rPr>
                <w:rFonts w:ascii="Arial" w:eastAsia="Arial" w:hAnsi="Arial" w:cs="Arial"/>
              </w:rPr>
              <w:t xml:space="preserve">This study examines the </w:t>
            </w:r>
            <w:r>
              <w:rPr>
                <w:rFonts w:ascii="Arial" w:eastAsia="Arial" w:hAnsi="Arial" w:cs="Arial"/>
              </w:rPr>
              <w:t xml:space="preserve">influence of digital trust </w:t>
            </w:r>
            <w:r w:rsidRPr="008B0387">
              <w:rPr>
                <w:rFonts w:ascii="Arial" w:eastAsia="Arial" w:hAnsi="Arial" w:cs="Arial"/>
              </w:rPr>
              <w:t xml:space="preserve">and Artificial Intelligence (AI) literacy on the sustainability of micro, small, and medium-sized enterprises (MSMEs), with innovation capability serving as a mediating </w:t>
            </w:r>
            <w:r>
              <w:rPr>
                <w:rFonts w:ascii="Arial" w:eastAsia="Arial" w:hAnsi="Arial" w:cs="Arial"/>
              </w:rPr>
              <w:t>variable</w:t>
            </w:r>
            <w:r w:rsidRPr="008B0387">
              <w:rPr>
                <w:rFonts w:ascii="Arial" w:eastAsia="Arial" w:hAnsi="Arial" w:cs="Arial"/>
              </w:rPr>
              <w:t xml:space="preserve">. </w:t>
            </w:r>
            <w:r>
              <w:rPr>
                <w:rFonts w:ascii="Arial" w:eastAsia="Arial" w:hAnsi="Arial" w:cs="Arial"/>
              </w:rPr>
              <w:t xml:space="preserve">As key drivers of Indonesia’s economy, MSMEs continue to face challenges such as uneven digital adoption and limited AI comprehension, both of which hinder </w:t>
            </w:r>
            <w:r w:rsidR="00DF7EDF">
              <w:rPr>
                <w:rFonts w:ascii="Arial" w:eastAsia="Arial" w:hAnsi="Arial" w:cs="Arial"/>
              </w:rPr>
              <w:t>long-term</w:t>
            </w:r>
            <w:r>
              <w:rPr>
                <w:rFonts w:ascii="Arial" w:eastAsia="Arial" w:hAnsi="Arial" w:cs="Arial"/>
              </w:rPr>
              <w:t xml:space="preserve"> competitiveness</w:t>
            </w:r>
            <w:r w:rsidRPr="008B0387">
              <w:rPr>
                <w:rFonts w:ascii="Arial" w:eastAsia="Arial" w:hAnsi="Arial" w:cs="Arial"/>
              </w:rPr>
              <w:t xml:space="preserve">. </w:t>
            </w:r>
            <w:bookmarkStart w:id="1" w:name="_Hlk210049143"/>
            <w:r w:rsidRPr="008B0387">
              <w:rPr>
                <w:rFonts w:ascii="Arial" w:eastAsia="Arial" w:hAnsi="Arial" w:cs="Arial"/>
              </w:rPr>
              <w:t>This research adopts a quantitative explanatory design</w:t>
            </w:r>
            <w:bookmarkEnd w:id="1"/>
            <w:r w:rsidRPr="008B0387">
              <w:rPr>
                <w:rFonts w:ascii="Arial" w:eastAsia="Arial" w:hAnsi="Arial" w:cs="Arial"/>
              </w:rPr>
              <w:t>, using survey data from 120 MSMEs in Surabaya and Malan</w:t>
            </w:r>
            <w:r>
              <w:rPr>
                <w:rFonts w:ascii="Arial" w:eastAsia="Arial" w:hAnsi="Arial" w:cs="Arial"/>
              </w:rPr>
              <w:t>g,</w:t>
            </w:r>
            <w:r w:rsidRPr="008B0387">
              <w:rPr>
                <w:rFonts w:ascii="Arial" w:eastAsia="Arial" w:hAnsi="Arial" w:cs="Arial"/>
              </w:rPr>
              <w:t xml:space="preserve"> analyzed </w:t>
            </w:r>
            <w:r>
              <w:rPr>
                <w:rFonts w:ascii="Arial" w:eastAsia="Arial" w:hAnsi="Arial" w:cs="Arial"/>
              </w:rPr>
              <w:t>using</w:t>
            </w:r>
            <w:r w:rsidRPr="008B0387">
              <w:rPr>
                <w:rFonts w:ascii="Arial" w:eastAsia="Arial" w:hAnsi="Arial" w:cs="Arial"/>
              </w:rPr>
              <w:t xml:space="preserve"> Partial Least Squares Structural Equation Modeling (PLS-SEM). </w:t>
            </w:r>
            <w:r>
              <w:rPr>
                <w:rFonts w:ascii="Arial" w:eastAsia="Arial" w:hAnsi="Arial" w:cs="Arial"/>
              </w:rPr>
              <w:t xml:space="preserve">The results show that the model explains 77.4% of the variance in innovation capability and 82.2% of the variance in business sustainability, with a strong predictive level. Innovation capability was found to mediate 34.1% of the influence of digital trust and 28.4% of the influence of AI literacy on sustainability. These findings confirm that digital trust and AI literacy play an important role in driving innovation, which in turn enhances business competitiveness and resilience. This research enriches the technology acceptance model and dynamic capability framework by incorporating digital trust and AI literacy into the study of </w:t>
            </w:r>
            <w:r w:rsidR="00DF7EDF">
              <w:rPr>
                <w:rFonts w:ascii="Arial" w:eastAsia="Arial" w:hAnsi="Arial" w:cs="Arial"/>
              </w:rPr>
              <w:t>MSMEs'</w:t>
            </w:r>
            <w:r>
              <w:rPr>
                <w:rFonts w:ascii="Arial" w:eastAsia="Arial" w:hAnsi="Arial" w:cs="Arial"/>
              </w:rPr>
              <w:t xml:space="preserve"> sustainability. Beyond its academic contribution, the study also provides empirical evidence from the underexplored Indonesian MSME, while offering practical recommendations for policymakers and business practitioners to strengthen digital trust, enhance AI competencies, and design innovation-based strategies that support sustainable growth. </w:t>
            </w:r>
          </w:p>
        </w:tc>
      </w:tr>
    </w:tbl>
    <w:p w14:paraId="2BFA6DF6" w14:textId="77777777" w:rsidR="00C0694C" w:rsidRPr="008B0387" w:rsidRDefault="00C0694C">
      <w:pPr>
        <w:pBdr>
          <w:top w:val="nil"/>
          <w:left w:val="nil"/>
          <w:bottom w:val="nil"/>
          <w:right w:val="nil"/>
          <w:between w:val="nil"/>
        </w:pBdr>
        <w:jc w:val="both"/>
        <w:rPr>
          <w:rFonts w:ascii="Arial" w:eastAsia="Arial" w:hAnsi="Arial" w:cs="Arial"/>
          <w:i/>
          <w:color w:val="000000"/>
        </w:rPr>
      </w:pPr>
    </w:p>
    <w:p w14:paraId="415952C1" w14:textId="77777777" w:rsidR="00C0694C" w:rsidRPr="008B0387" w:rsidRDefault="0045458C" w:rsidP="00F57597">
      <w:pPr>
        <w:pBdr>
          <w:top w:val="nil"/>
          <w:left w:val="nil"/>
          <w:bottom w:val="nil"/>
          <w:right w:val="nil"/>
          <w:between w:val="nil"/>
        </w:pBdr>
        <w:jc w:val="both"/>
        <w:rPr>
          <w:rFonts w:ascii="Arial" w:eastAsia="Arial" w:hAnsi="Arial" w:cs="Arial"/>
          <w:i/>
          <w:color w:val="000000"/>
          <w:sz w:val="18"/>
          <w:szCs w:val="18"/>
        </w:rPr>
      </w:pPr>
      <w:r w:rsidRPr="008B0387">
        <w:rPr>
          <w:rFonts w:ascii="Arial" w:eastAsia="Arial" w:hAnsi="Arial" w:cs="Arial"/>
          <w:i/>
          <w:color w:val="000000"/>
        </w:rPr>
        <w:t xml:space="preserve">Keywords: </w:t>
      </w:r>
      <w:r w:rsidRPr="008B0387">
        <w:rPr>
          <w:rFonts w:ascii="Arial" w:eastAsia="Arial" w:hAnsi="Arial" w:cs="Arial"/>
          <w:i/>
        </w:rPr>
        <w:t xml:space="preserve">Digital Trust, AI Literacy, Innovation Capability, Business Sustainability, MSMEs. </w:t>
      </w:r>
    </w:p>
    <w:p w14:paraId="1AC88E88" w14:textId="77777777" w:rsidR="00C0694C" w:rsidRPr="008B0387" w:rsidRDefault="00C0694C">
      <w:pPr>
        <w:pBdr>
          <w:top w:val="nil"/>
          <w:left w:val="nil"/>
          <w:bottom w:val="nil"/>
          <w:right w:val="nil"/>
          <w:between w:val="nil"/>
        </w:pBdr>
        <w:jc w:val="both"/>
        <w:rPr>
          <w:rFonts w:ascii="Arial" w:eastAsia="Arial" w:hAnsi="Arial" w:cs="Arial"/>
          <w:i/>
          <w:color w:val="000000"/>
          <w:sz w:val="18"/>
          <w:szCs w:val="18"/>
        </w:rPr>
      </w:pPr>
    </w:p>
    <w:p w14:paraId="3D244E85" w14:textId="1662B495" w:rsidR="00CD60D2" w:rsidRPr="008B0387" w:rsidRDefault="00CD60D2">
      <w:pPr>
        <w:keepNext/>
        <w:pBdr>
          <w:top w:val="nil"/>
          <w:left w:val="nil"/>
          <w:bottom w:val="nil"/>
          <w:right w:val="nil"/>
          <w:between w:val="nil"/>
        </w:pBdr>
        <w:jc w:val="both"/>
        <w:rPr>
          <w:rFonts w:ascii="Arial" w:eastAsia="Arial" w:hAnsi="Arial" w:cs="Arial"/>
          <w:b/>
          <w:smallCaps/>
          <w:color w:val="000000"/>
          <w:sz w:val="22"/>
          <w:szCs w:val="22"/>
        </w:rPr>
        <w:sectPr w:rsidR="00CD60D2" w:rsidRPr="008B0387" w:rsidSect="00CF5AD7">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272"/>
        </w:sectPr>
      </w:pPr>
    </w:p>
    <w:p w14:paraId="6B66DB87" w14:textId="24F0D0DC" w:rsidR="00C0694C" w:rsidRPr="008B0387" w:rsidRDefault="00B058B6">
      <w:pPr>
        <w:keepNext/>
        <w:pBdr>
          <w:top w:val="nil"/>
          <w:left w:val="nil"/>
          <w:bottom w:val="nil"/>
          <w:right w:val="nil"/>
          <w:between w:val="nil"/>
        </w:pBdr>
        <w:jc w:val="both"/>
        <w:rPr>
          <w:rFonts w:ascii="Arial" w:eastAsia="Arial" w:hAnsi="Arial" w:cs="Arial"/>
          <w:b/>
          <w:smallCaps/>
          <w:color w:val="000000"/>
          <w:sz w:val="22"/>
          <w:szCs w:val="22"/>
        </w:rPr>
      </w:pPr>
      <w:r w:rsidRPr="008B0387">
        <w:rPr>
          <w:rFonts w:ascii="Arial" w:eastAsia="Arial" w:hAnsi="Arial" w:cs="Arial"/>
          <w:b/>
          <w:smallCaps/>
          <w:color w:val="000000"/>
          <w:sz w:val="22"/>
          <w:szCs w:val="22"/>
        </w:rPr>
        <w:t>1</w:t>
      </w:r>
      <w:r w:rsidR="0045458C" w:rsidRPr="008B0387">
        <w:rPr>
          <w:rFonts w:ascii="Arial" w:eastAsia="Arial" w:hAnsi="Arial" w:cs="Arial"/>
          <w:b/>
          <w:smallCaps/>
          <w:color w:val="000000"/>
          <w:sz w:val="22"/>
          <w:szCs w:val="22"/>
        </w:rPr>
        <w:t>. INTRODUCTION</w:t>
      </w:r>
    </w:p>
    <w:p w14:paraId="6400B783" w14:textId="77777777" w:rsidR="00C0694C" w:rsidRPr="008B0387" w:rsidRDefault="00C0694C">
      <w:pPr>
        <w:keepNext/>
        <w:pBdr>
          <w:top w:val="nil"/>
          <w:left w:val="nil"/>
          <w:bottom w:val="nil"/>
          <w:right w:val="nil"/>
          <w:between w:val="nil"/>
        </w:pBdr>
        <w:jc w:val="both"/>
        <w:rPr>
          <w:rFonts w:ascii="Arial" w:eastAsia="Arial" w:hAnsi="Arial" w:cs="Arial"/>
          <w:b/>
          <w:smallCaps/>
          <w:color w:val="000000"/>
          <w:sz w:val="22"/>
          <w:szCs w:val="22"/>
        </w:rPr>
      </w:pPr>
    </w:p>
    <w:p w14:paraId="0A8D04F8" w14:textId="0779F5C4" w:rsidR="00C0694C" w:rsidRPr="008B0387" w:rsidRDefault="0045458C">
      <w:pPr>
        <w:pBdr>
          <w:top w:val="nil"/>
          <w:left w:val="nil"/>
          <w:bottom w:val="nil"/>
          <w:right w:val="nil"/>
          <w:between w:val="nil"/>
        </w:pBdr>
        <w:jc w:val="both"/>
        <w:rPr>
          <w:rFonts w:ascii="Arial" w:eastAsia="Arial" w:hAnsi="Arial" w:cs="Arial"/>
          <w:b/>
        </w:rPr>
      </w:pPr>
      <w:r w:rsidRPr="008B0387">
        <w:rPr>
          <w:rFonts w:ascii="Arial" w:eastAsia="Arial" w:hAnsi="Arial" w:cs="Arial"/>
          <w:b/>
        </w:rPr>
        <w:t xml:space="preserve">1.1 Research </w:t>
      </w:r>
      <w:r w:rsidR="00DD1298" w:rsidRPr="008B0387">
        <w:rPr>
          <w:rFonts w:ascii="Arial" w:eastAsia="Arial" w:hAnsi="Arial" w:cs="Arial"/>
          <w:b/>
        </w:rPr>
        <w:t>Background</w:t>
      </w:r>
      <w:r w:rsidRPr="008B0387">
        <w:rPr>
          <w:rFonts w:ascii="Arial" w:eastAsia="Arial" w:hAnsi="Arial" w:cs="Arial"/>
          <w:b/>
        </w:rPr>
        <w:t xml:space="preserve"> and Motivation</w:t>
      </w:r>
    </w:p>
    <w:p w14:paraId="5F04528B" w14:textId="77777777" w:rsidR="00C0694C" w:rsidRPr="008B0387" w:rsidRDefault="00C0694C">
      <w:pPr>
        <w:pBdr>
          <w:top w:val="nil"/>
          <w:left w:val="nil"/>
          <w:bottom w:val="nil"/>
          <w:right w:val="nil"/>
          <w:between w:val="nil"/>
        </w:pBdr>
        <w:jc w:val="both"/>
        <w:rPr>
          <w:rFonts w:ascii="Arial" w:eastAsia="Arial" w:hAnsi="Arial" w:cs="Arial"/>
          <w:b/>
        </w:rPr>
      </w:pPr>
    </w:p>
    <w:p w14:paraId="6FF2C315" w14:textId="731D024E" w:rsidR="00C0694C" w:rsidRPr="008B0387" w:rsidRDefault="0045458C">
      <w:pPr>
        <w:pBdr>
          <w:top w:val="nil"/>
          <w:left w:val="nil"/>
          <w:bottom w:val="nil"/>
          <w:right w:val="nil"/>
          <w:between w:val="nil"/>
        </w:pBdr>
        <w:jc w:val="both"/>
        <w:rPr>
          <w:rFonts w:ascii="Arial" w:eastAsia="Arial" w:hAnsi="Arial" w:cs="Arial"/>
        </w:rPr>
      </w:pPr>
      <w:r w:rsidRPr="008B0387">
        <w:rPr>
          <w:rFonts w:ascii="Arial" w:eastAsia="Arial" w:hAnsi="Arial" w:cs="Arial"/>
        </w:rPr>
        <w:t xml:space="preserve">Over the past two decades, the global economy has undergone </w:t>
      </w:r>
      <w:r w:rsidR="00DD1298" w:rsidRPr="008B0387">
        <w:rPr>
          <w:rFonts w:ascii="Arial" w:eastAsia="Arial" w:hAnsi="Arial" w:cs="Arial"/>
        </w:rPr>
        <w:t xml:space="preserve">a </w:t>
      </w:r>
      <w:r w:rsidRPr="008B0387">
        <w:rPr>
          <w:rFonts w:ascii="Arial" w:eastAsia="Arial" w:hAnsi="Arial" w:cs="Arial"/>
        </w:rPr>
        <w:t xml:space="preserve">fundamental transformation driven by the accelerated adoption of digital technologies across business value chains. Digital transformation has shifted from being an optional strategy to becoming an essential requirement for maintaining competitiveness and long-term sustainability. The emergence of advanced technologies, including Artificial Intelligence (AI), the Internet of Things (IoT), cloud computing, and big data analytics, has profoundly reshaped </w:t>
      </w:r>
      <w:r w:rsidR="00DD1298" w:rsidRPr="008B0387">
        <w:rPr>
          <w:rFonts w:ascii="Arial" w:eastAsia="Arial" w:hAnsi="Arial" w:cs="Arial"/>
        </w:rPr>
        <w:t>how</w:t>
      </w:r>
      <w:r w:rsidRPr="008B0387">
        <w:rPr>
          <w:rFonts w:ascii="Arial" w:eastAsia="Arial" w:hAnsi="Arial" w:cs="Arial"/>
        </w:rPr>
        <w:t xml:space="preserve"> enterprises produce, distribute, and market goods and services.</w:t>
      </w:r>
    </w:p>
    <w:p w14:paraId="4F32F616" w14:textId="77777777" w:rsidR="00C0694C" w:rsidRPr="008B0387" w:rsidRDefault="00C0694C">
      <w:pPr>
        <w:pBdr>
          <w:top w:val="nil"/>
          <w:left w:val="nil"/>
          <w:bottom w:val="nil"/>
          <w:right w:val="nil"/>
          <w:between w:val="nil"/>
        </w:pBdr>
        <w:jc w:val="both"/>
        <w:rPr>
          <w:rFonts w:ascii="Arial" w:eastAsia="Arial" w:hAnsi="Arial" w:cs="Arial"/>
        </w:rPr>
      </w:pPr>
    </w:p>
    <w:p w14:paraId="597D7520" w14:textId="361E7E7D" w:rsidR="002E61CA" w:rsidRDefault="0045458C">
      <w:pPr>
        <w:pBdr>
          <w:top w:val="nil"/>
          <w:left w:val="nil"/>
          <w:bottom w:val="nil"/>
          <w:right w:val="nil"/>
          <w:between w:val="nil"/>
        </w:pBdr>
        <w:jc w:val="both"/>
        <w:rPr>
          <w:rFonts w:ascii="Arial" w:eastAsia="Arial" w:hAnsi="Arial" w:cs="Arial"/>
        </w:rPr>
      </w:pPr>
      <w:r w:rsidRPr="008B0387">
        <w:rPr>
          <w:rFonts w:ascii="Arial" w:eastAsia="Arial" w:hAnsi="Arial" w:cs="Arial"/>
        </w:rPr>
        <w:t xml:space="preserve">In Indonesia, micro, small, and medium enterprises (MSMEs) occupy a crucial position in the national economy, contributing more than 60% to the Gross Domestic Product (GDP) and employing approximately 97% of the labor force. Given this strategic role, the acceleration of digital transformation among MSMEs is imperative to </w:t>
      </w:r>
      <w:r w:rsidRPr="008B0387">
        <w:rPr>
          <w:rFonts w:ascii="Arial" w:eastAsia="Arial" w:hAnsi="Arial" w:cs="Arial"/>
        </w:rPr>
        <w:t xml:space="preserve">ensure their competitiveness. However, data from the East Java Cooperative and SME Office </w:t>
      </w:r>
      <w:r w:rsidR="00B9319A" w:rsidRPr="008B0387">
        <w:rPr>
          <w:rFonts w:ascii="Arial" w:eastAsia="Arial" w:hAnsi="Arial" w:cs="Arial"/>
          <w:lang w:val="id-ID"/>
        </w:rPr>
        <w:fldChar w:fldCharType="begin"/>
      </w:r>
      <w:r w:rsidR="00B9319A" w:rsidRPr="008B0387">
        <w:rPr>
          <w:rFonts w:ascii="Arial" w:eastAsia="Arial" w:hAnsi="Arial" w:cs="Arial"/>
          <w:lang w:val="id-ID"/>
        </w:rPr>
        <w:instrText xml:space="preserve"> ADDIN ZOTERO_ITEM CSL_CITATION {"citationID":"BdV4unoq","properties":{"formattedCitation":"(t.t.)","plainCitation":"(t.t.)","dontUpdate":true,"noteIndex":0},"citationItems":[{"id":13482,"uris":["http://zotero.org/users/local/JyjMxVLY/items/DFXZYXTW"],"itemData":{"id":13482,"type":"webpage","abstract":"SATU DATA - DINAS KOPERASI DAN UKM JATIM","language":"en","title":"SATU DATA - DINAS KOPERASI DAN UKM JATIM","URL":"https://data.diskopukm.jatimprov.go.id/satu_data/","author":[{"family":"UKM","given":"Dinas Koperasi &amp;"}],"accessed":{"date-parts":[["2025",8,6]]}},"label":"page","suppress-author":true}],"schema":"https://github.com/citation-style-language/schema/raw/master/csl-citation.json"} </w:instrText>
      </w:r>
      <w:r w:rsidR="00B9319A" w:rsidRPr="008B0387">
        <w:rPr>
          <w:rFonts w:ascii="Arial" w:eastAsia="Arial" w:hAnsi="Arial" w:cs="Arial"/>
          <w:lang w:val="id-ID"/>
        </w:rPr>
        <w:fldChar w:fldCharType="separate"/>
      </w:r>
      <w:r w:rsidR="00B9319A" w:rsidRPr="008B0387">
        <w:rPr>
          <w:rFonts w:ascii="Arial" w:eastAsia="Arial" w:hAnsi="Arial" w:cs="Arial"/>
          <w:lang w:val="id-ID"/>
        </w:rPr>
        <w:t>(2023)</w:t>
      </w:r>
      <w:r w:rsidR="00B9319A" w:rsidRPr="008B0387">
        <w:rPr>
          <w:rFonts w:ascii="Arial" w:eastAsia="Arial" w:hAnsi="Arial" w:cs="Arial"/>
        </w:rPr>
        <w:fldChar w:fldCharType="end"/>
      </w:r>
      <w:r w:rsidRPr="008B0387">
        <w:rPr>
          <w:rFonts w:ascii="Arial" w:eastAsia="Arial" w:hAnsi="Arial" w:cs="Arial"/>
        </w:rPr>
        <w:t xml:space="preserve"> show a considerable gap between potential and realized digital adoption. Only 35% of MSMEs in Surabaya and 23% in Malang have fully integrated digital technologies into their business operations. This condition indicates that successful digitalization depends not only on the presence of technology but also on supporting elements such as digital trust, AI literacy, and innovation capability. </w:t>
      </w:r>
    </w:p>
    <w:p w14:paraId="4AE751A8" w14:textId="77777777" w:rsidR="00B768EF" w:rsidRDefault="00B768EF">
      <w:pPr>
        <w:pBdr>
          <w:top w:val="nil"/>
          <w:left w:val="nil"/>
          <w:bottom w:val="nil"/>
          <w:right w:val="nil"/>
          <w:between w:val="nil"/>
        </w:pBdr>
        <w:jc w:val="both"/>
        <w:rPr>
          <w:rFonts w:ascii="Arial" w:eastAsia="Arial" w:hAnsi="Arial" w:cs="Arial"/>
        </w:rPr>
      </w:pPr>
    </w:p>
    <w:p w14:paraId="64ACA44D" w14:textId="563062A9" w:rsidR="00FF67C1" w:rsidRDefault="002E61CA">
      <w:pPr>
        <w:pBdr>
          <w:top w:val="nil"/>
          <w:left w:val="nil"/>
          <w:bottom w:val="nil"/>
          <w:right w:val="nil"/>
          <w:between w:val="nil"/>
        </w:pBdr>
        <w:jc w:val="both"/>
        <w:rPr>
          <w:rFonts w:ascii="Arial" w:eastAsia="Arial" w:hAnsi="Arial" w:cs="Arial"/>
        </w:rPr>
      </w:pPr>
      <w:r>
        <w:rPr>
          <w:rFonts w:ascii="Arial" w:eastAsia="Arial" w:hAnsi="Arial" w:cs="Arial"/>
        </w:rPr>
        <w:t>Global evidence consistently links digital maturity, AI adoption, and trust with superior firm performance. Cross-country</w:t>
      </w:r>
      <w:r w:rsidR="00B768EF">
        <w:rPr>
          <w:rFonts w:ascii="Arial" w:eastAsia="Arial" w:hAnsi="Arial" w:cs="Arial"/>
        </w:rPr>
        <w:t xml:space="preserve"> analyses show outsized productivity gains from AI where complementary digital capabilities are strong</w:t>
      </w:r>
      <w:r w:rsidR="00FF67C1">
        <w:rPr>
          <w:rFonts w:ascii="Arial" w:eastAsia="Arial" w:hAnsi="Arial" w:cs="Arial"/>
        </w:rPr>
        <w:t xml:space="preserve"> </w:t>
      </w:r>
      <w:r w:rsidR="003D16F0" w:rsidRPr="008B0387">
        <w:rPr>
          <w:rFonts w:ascii="Arial" w:eastAsia="Arial" w:hAnsi="Arial" w:cs="Arial"/>
        </w:rPr>
        <w:t>Bughin et al.</w:t>
      </w:r>
      <w:r w:rsidR="00DF7EDF">
        <w:rPr>
          <w:rFonts w:ascii="Arial" w:eastAsia="Arial" w:hAnsi="Arial" w:cs="Arial"/>
        </w:rPr>
        <w:t>)</w:t>
      </w:r>
      <w:r w:rsidR="00FF67C1">
        <w:rPr>
          <w:rFonts w:ascii="Arial" w:eastAsia="Arial" w:hAnsi="Arial" w:cs="Arial"/>
        </w:rPr>
        <w:t>. For SMEs, readiness and trust gaps remain uneven across countries</w:t>
      </w:r>
      <w:r w:rsidR="003D16F0" w:rsidRPr="008B0387">
        <w:rPr>
          <w:rFonts w:ascii="Arial" w:eastAsia="Arial" w:hAnsi="Arial" w:cs="Arial"/>
        </w:rPr>
        <w:t xml:space="preserve"> </w:t>
      </w:r>
      <w:r w:rsidR="001012D0" w:rsidRPr="008B0387">
        <w:rPr>
          <w:rFonts w:ascii="Arial" w:eastAsia="Arial" w:hAnsi="Arial" w:cs="Arial"/>
        </w:rPr>
        <w:fldChar w:fldCharType="begin"/>
      </w:r>
      <w:r w:rsidR="009646CF">
        <w:rPr>
          <w:rFonts w:ascii="Arial" w:eastAsia="Arial" w:hAnsi="Arial" w:cs="Arial"/>
        </w:rPr>
        <w:instrText xml:space="preserve"> ADDIN ZOTERO_ITEM CSL_CITATION {"citationID":"fLtdkdi2","properties":{"formattedCitation":"(OECD, 2021)","plainCitation":"(OECD, 2021)","noteIndex":0},"citationItems":[{"id":13921,"uris":["http://zotero.org/users/local/JyjMxVLY/items/7QE9DWP4"],"itemData":{"id":13921,"type":"webpage","abstract":"Despite potentially tremendous benefits, small and medium-sized enterprises (SMEs) lag in the digital transformation. Emerging technologies, as diverse as they are, offer a range of applications for them to improve performance and overcome the size-related limitations they face in doing business. However, SMEs must be better prepared, and stakes are high. SMEs make the most of the industrial fabric in many countries and regions, they create jobs (most jobs sometimes) and are the cement of inclusive and sustainable societies.","container-title":"OECD","language":"en","title":"The Digital Transformation of SMEs","URL":"https://www.oecd.org/en/publications/the-digital-transformation-of-smes_bdb9256a-en.html","author":[{"family":"OECD","given":"OECD"}],"accessed":{"date-parts":[["2025",9,28]]},"issued":{"date-parts":[["2021",2,3]]}},"label":"page"}],"schema":"https://github.com/citation-style-language/schema/raw/master/csl-citation.json"} </w:instrText>
      </w:r>
      <w:r w:rsidR="001012D0" w:rsidRPr="008B0387">
        <w:rPr>
          <w:rFonts w:ascii="Arial" w:eastAsia="Arial" w:hAnsi="Arial" w:cs="Arial"/>
        </w:rPr>
        <w:fldChar w:fldCharType="separate"/>
      </w:r>
      <w:r w:rsidR="009646CF" w:rsidRPr="009646CF">
        <w:rPr>
          <w:rFonts w:ascii="Arial" w:hAnsi="Arial" w:cs="Arial"/>
        </w:rPr>
        <w:t>(OECD, 2021)</w:t>
      </w:r>
      <w:r w:rsidR="001012D0" w:rsidRPr="008B0387">
        <w:rPr>
          <w:rFonts w:ascii="Arial" w:eastAsia="Arial" w:hAnsi="Arial" w:cs="Arial"/>
        </w:rPr>
        <w:fldChar w:fldCharType="end"/>
      </w:r>
      <w:r w:rsidR="00963A84">
        <w:rPr>
          <w:rFonts w:ascii="Arial" w:eastAsia="Arial" w:hAnsi="Arial" w:cs="Arial"/>
        </w:rPr>
        <w:t xml:space="preserve">. At the firm level, learning and </w:t>
      </w:r>
      <w:r w:rsidR="00DF7EDF">
        <w:rPr>
          <w:rFonts w:ascii="Arial" w:eastAsia="Arial" w:hAnsi="Arial" w:cs="Arial"/>
        </w:rPr>
        <w:t>innovation-oriented</w:t>
      </w:r>
      <w:r w:rsidR="00963A84">
        <w:rPr>
          <w:rFonts w:ascii="Arial" w:eastAsia="Arial" w:hAnsi="Arial" w:cs="Arial"/>
        </w:rPr>
        <w:t xml:space="preserve"> dynamic capabilities are needed to translate digital tools into measu</w:t>
      </w:r>
      <w:r w:rsidR="006C25C5">
        <w:rPr>
          <w:rFonts w:ascii="Arial" w:eastAsia="Arial" w:hAnsi="Arial" w:cs="Arial"/>
        </w:rPr>
        <w:t xml:space="preserve">rable results </w:t>
      </w:r>
      <w:r w:rsidR="006C25C5">
        <w:rPr>
          <w:rFonts w:ascii="Arial" w:eastAsia="Arial" w:hAnsi="Arial" w:cs="Arial"/>
        </w:rPr>
        <w:fldChar w:fldCharType="begin"/>
      </w:r>
      <w:r w:rsidR="006C25C5">
        <w:rPr>
          <w:rFonts w:ascii="Arial" w:eastAsia="Arial" w:hAnsi="Arial" w:cs="Arial"/>
        </w:rPr>
        <w:instrText xml:space="preserve"> ADDIN ZOTERO_ITEM CSL_CITATION {"citationID":"0OpGAxql","properties":{"formattedCitation":"(Ransbotham et al., 2020; Wamba et al., 2017)","plainCitation":"(Ransbotham et al., 2020; Wamba et al., 2017)","noteIndex":0},"citationItems":[{"id":13923,"uris":["http://zotero.org/users/local/JyjMxVLY/items/8XYKE2ZL"],"itemData":{"id":13923,"type":"webpage","title":"Expanding AI's Impact with Organizational Learning - Article - Faculty &amp; Research - Harvard Business School","URL":"https://www.hbs.edu/faculty/Pages/item.aspx?num=63842","author":[{"family":"Ransbotham","given":"Ransbotham","dropping-particle":"et al."}],"accessed":{"date-parts":[["2025",9,28]]},"issued":{"date-parts":[["2020"]]}}},{"id":13928,"uris":["http://zotero.org/users/local/JyjMxVLY/items/34MIHNT7"],"itemData":{"id":13928,"type":"article-journal","abstract":"Drawing on the resource-based view and the literature on big data analytics (BDA), information system (IS) success and the business value of information technology (IT), this study proposes a big data analytics capability (BDAC) model. The study extends the above research streams by examining the direct effects of BDAC on firm performance (FPER), as well as the mediating effects of process-oriented dynamic capabilities (PODC) on the relationship between BDAC and FPER. To test our proposed research model, we used an online survey to collect data from 297 Chinese IT managers and business analysts with big data and business analytic experience. The findings confirm the value of the entanglement conceptualization of the hierarchical BDAC model, which has both direct and indirect impacts on FPER. The results also confirm the strong mediating role of PODC in improving insights and enhancing FPER. Finally, implications for practice and research are discussed.","container-title":"Journal of Business Research","DOI":"10.1016/j.jbusres.2016.08.009","ISSN":"0148-2963","journalAbbreviation":"Journal of Business Research","page":"356-365","source":"ScienceDirect","title":"Big data analytics and firm performance: Effects of dynamic capabilities","title-short":"Big data analytics and firm performance","volume":"70","author":[{"family":"Wamba","given":"Samuel Fosso"},{"family":"Gunasekaran","given":"Angappa"},{"family":"Akter","given":"Shahriar"},{"family":"Ren","given":"Steven Ji-fan"},{"family":"Dubey","given":"Rameshwar"},{"family":"Childe","given":"Stephen J."}],"issued":{"date-parts":[["2017",1,1]]}}}],"schema":"https://github.com/citation-style-language/schema/raw/master/csl-citation.json"} </w:instrText>
      </w:r>
      <w:r w:rsidR="006C25C5">
        <w:rPr>
          <w:rFonts w:ascii="Arial" w:eastAsia="Arial" w:hAnsi="Arial" w:cs="Arial"/>
        </w:rPr>
        <w:fldChar w:fldCharType="separate"/>
      </w:r>
      <w:r w:rsidR="006C25C5" w:rsidRPr="006C25C5">
        <w:rPr>
          <w:rFonts w:ascii="Arial" w:hAnsi="Arial" w:cs="Arial"/>
        </w:rPr>
        <w:t>(Ransbotham et al., 2020; Wamba et al., 2017)</w:t>
      </w:r>
      <w:r w:rsidR="006C25C5">
        <w:rPr>
          <w:rFonts w:ascii="Arial" w:eastAsia="Arial" w:hAnsi="Arial" w:cs="Arial"/>
        </w:rPr>
        <w:fldChar w:fldCharType="end"/>
      </w:r>
      <w:r w:rsidR="000220FB">
        <w:rPr>
          <w:rFonts w:ascii="Arial" w:eastAsia="Arial" w:hAnsi="Arial" w:cs="Arial"/>
        </w:rPr>
        <w:t xml:space="preserve">. These insights motivate our focus on digital trust and AI literacy as antecedents of innovation </w:t>
      </w:r>
      <w:r w:rsidR="000220FB">
        <w:rPr>
          <w:rFonts w:ascii="Arial" w:eastAsia="Arial" w:hAnsi="Arial" w:cs="Arial"/>
        </w:rPr>
        <w:lastRenderedPageBreak/>
        <w:t xml:space="preserve">capability and sustainability in </w:t>
      </w:r>
      <w:r w:rsidR="00DF7EDF">
        <w:rPr>
          <w:rFonts w:ascii="Arial" w:eastAsia="Arial" w:hAnsi="Arial" w:cs="Arial"/>
        </w:rPr>
        <w:t>Indonesian</w:t>
      </w:r>
      <w:r w:rsidR="000220FB">
        <w:rPr>
          <w:rFonts w:ascii="Arial" w:eastAsia="Arial" w:hAnsi="Arial" w:cs="Arial"/>
        </w:rPr>
        <w:t xml:space="preserve"> MSMEs.</w:t>
      </w:r>
    </w:p>
    <w:p w14:paraId="4A879782" w14:textId="4ECC4259" w:rsidR="00E35A3B" w:rsidRPr="008B0387" w:rsidRDefault="00E35A3B">
      <w:pPr>
        <w:pBdr>
          <w:top w:val="nil"/>
          <w:left w:val="nil"/>
          <w:bottom w:val="nil"/>
          <w:right w:val="nil"/>
          <w:between w:val="nil"/>
        </w:pBdr>
        <w:jc w:val="both"/>
        <w:rPr>
          <w:rFonts w:ascii="Arial" w:eastAsia="Arial" w:hAnsi="Arial" w:cs="Arial"/>
        </w:rPr>
      </w:pPr>
    </w:p>
    <w:p w14:paraId="0D1A2E4C" w14:textId="55203581" w:rsidR="00E35A3B" w:rsidRPr="008B0387" w:rsidRDefault="006922EE" w:rsidP="00700E3C">
      <w:pPr>
        <w:jc w:val="both"/>
        <w:rPr>
          <w:rFonts w:ascii="Arial" w:hAnsi="Arial" w:cs="Arial"/>
        </w:rPr>
      </w:pPr>
      <w:r w:rsidRPr="008B0387">
        <w:rPr>
          <w:rFonts w:ascii="Arial" w:hAnsi="Arial" w:cs="Arial"/>
        </w:rPr>
        <w:fldChar w:fldCharType="begin"/>
      </w:r>
      <w:r w:rsidR="006C25C5">
        <w:rPr>
          <w:rFonts w:ascii="Arial" w:hAnsi="Arial" w:cs="Arial"/>
        </w:rPr>
        <w:instrText xml:space="preserve"> ADDIN ZOTERO_ITEM CSL_CITATION {"citationID":"wJdzJxss","properties":{"formattedCitation":"(Ransbotham et al. et al., 2020)","plainCitation":"(Ransbotham et al. et al., 2020)","dontUpdate":true,"noteIndex":0},"citationItems":[{"id":13923,"uris":["http://zotero.org/users/local/JyjMxVLY/items/8XYKE2ZL"],"itemData":{"id":13923,"type":"webpage","title":"Expanding AI's Impact with Organizational Learning - Article - Faculty &amp; Research - Harvard Business School","URL":"https://www.hbs.edu/faculty/Pages/item.aspx?num=63842","author":[{"family":"Ransbotham","given":"Ransbotham","dropping-particle":"et al."}],"accessed":{"date-parts":[["2025",9,28]]},"issued":{"date-parts":[["2020"]]}}}],"schema":"https://github.com/citation-style-language/schema/raw/master/csl-citation.json"} </w:instrText>
      </w:r>
      <w:r w:rsidRPr="008B0387">
        <w:rPr>
          <w:rFonts w:ascii="Arial" w:hAnsi="Arial" w:cs="Arial"/>
        </w:rPr>
        <w:fldChar w:fldCharType="separate"/>
      </w:r>
      <w:r w:rsidR="000147FE" w:rsidRPr="008B0387">
        <w:rPr>
          <w:rFonts w:ascii="Arial" w:hAnsi="Arial" w:cs="Arial"/>
        </w:rPr>
        <w:t>Ransbotham et al. (2020)</w:t>
      </w:r>
      <w:r w:rsidRPr="008B0387">
        <w:rPr>
          <w:rFonts w:ascii="Arial" w:hAnsi="Arial" w:cs="Arial"/>
        </w:rPr>
        <w:fldChar w:fldCharType="end"/>
      </w:r>
      <w:r w:rsidR="000147FE" w:rsidRPr="008B0387">
        <w:rPr>
          <w:rFonts w:ascii="Arial" w:hAnsi="Arial" w:cs="Arial"/>
        </w:rPr>
        <w:t xml:space="preserve"> </w:t>
      </w:r>
      <w:r w:rsidR="00700E3C" w:rsidRPr="008B0387">
        <w:rPr>
          <w:rFonts w:ascii="Arial" w:hAnsi="Arial" w:cs="Arial"/>
        </w:rPr>
        <w:t xml:space="preserve">emphasize that firms with stronger organizational learning are more capable of leveraging AI for innovation. Wamba et al. </w:t>
      </w:r>
      <w:r w:rsidR="000147FE" w:rsidRPr="008B0387">
        <w:rPr>
          <w:rFonts w:ascii="Arial" w:hAnsi="Arial" w:cs="Arial"/>
        </w:rPr>
        <w:fldChar w:fldCharType="begin"/>
      </w:r>
      <w:r w:rsidR="000147FE" w:rsidRPr="008B0387">
        <w:rPr>
          <w:rFonts w:ascii="Arial" w:hAnsi="Arial" w:cs="Arial"/>
        </w:rPr>
        <w:instrText xml:space="preserve"> ADDIN ZOTERO_ITEM CSL_CITATION {"citationID":"0Kh2ys72","properties":{"formattedCitation":"(2017)","plainCitation":"(2017)","noteIndex":0},"citationItems":[{"id":13928,"uris":["http://zotero.org/users/local/JyjMxVLY/items/34MIHNT7"],"itemData":{"id":13928,"type":"article-journal","abstract":"Drawing on the resource-based view and the literature on big data analytics (BDA), information system (IS) success and the business value of information technology (IT), this study proposes a big data analytics capability (BDAC) model. The study extends the above research streams by examining the direct effects of BDAC on firm performance (FPER), as well as the mediating effects of process-oriented dynamic capabilities (PODC) on the relationship between BDAC and FPER. To test our proposed research model, we used an online survey to collect data from 297 Chinese IT managers and business analysts with big data and business analytic experience. The findings confirm the value of the entanglement conceptualization of the hierarchical BDAC model, which has both direct and indirect impacts on FPER. The results also confirm the strong mediating role of PODC in improving insights and enhancing FPER. Finally, implications for practice and research are discussed.","container-title":"Journal of Business Research","DOI":"10.1016/j.jbusres.2016.08.009","ISSN":"0148-2963","journalAbbreviation":"Journal of Business Research","page":"356-365","source":"ScienceDirect","title":"Big data analytics and firm performance: Effects of dynamic capabilities","title-short":"Big data analytics and firm performance","volume":"70","author":[{"family":"Wamba","given":"Samuel Fosso"},{"family":"Gunasekaran","given":"Angappa"},{"family":"Akter","given":"Shahriar"},{"family":"Ren","given":"Steven Ji-fan"},{"family":"Dubey","given":"Rameshwar"},{"family":"Childe","given":"Stephen J."}],"issued":{"date-parts":[["2017",1,1]]}},"label":"page","suppress-author":true}],"schema":"https://github.com/citation-style-language/schema/raw/master/csl-citation.json"} </w:instrText>
      </w:r>
      <w:r w:rsidR="000147FE" w:rsidRPr="008B0387">
        <w:rPr>
          <w:rFonts w:ascii="Arial" w:hAnsi="Arial" w:cs="Arial"/>
        </w:rPr>
        <w:fldChar w:fldCharType="separate"/>
      </w:r>
      <w:r w:rsidR="000147FE" w:rsidRPr="008B0387">
        <w:rPr>
          <w:rFonts w:ascii="Arial" w:hAnsi="Arial" w:cs="Arial"/>
        </w:rPr>
        <w:t>(2017)</w:t>
      </w:r>
      <w:r w:rsidR="000147FE" w:rsidRPr="008B0387">
        <w:rPr>
          <w:rFonts w:ascii="Arial" w:hAnsi="Arial" w:cs="Arial"/>
        </w:rPr>
        <w:fldChar w:fldCharType="end"/>
      </w:r>
      <w:r w:rsidR="00700E3C" w:rsidRPr="008B0387">
        <w:rPr>
          <w:rFonts w:ascii="Arial" w:hAnsi="Arial" w:cs="Arial"/>
        </w:rPr>
        <w:t xml:space="preserve"> also argue that dynamic capabilities like innovation responsiveness are essential to turn digital tools into performance gains. Rai et al. </w:t>
      </w:r>
      <w:r w:rsidR="000147FE" w:rsidRPr="008B0387">
        <w:rPr>
          <w:rFonts w:ascii="Arial" w:hAnsi="Arial" w:cs="Arial"/>
        </w:rPr>
        <w:fldChar w:fldCharType="begin"/>
      </w:r>
      <w:r w:rsidR="000147FE" w:rsidRPr="008B0387">
        <w:rPr>
          <w:rFonts w:ascii="Arial" w:hAnsi="Arial" w:cs="Arial"/>
        </w:rPr>
        <w:instrText xml:space="preserve"> ADDIN ZOTERO_ITEM CSL_CITATION {"citationID":"RRWXuBuX","properties":{"formattedCitation":"(2019)","plainCitation":"(2019)","noteIndex":0},"citationItems":[{"id":10758,"uris":["http://zotero.org/users/local/JyjMxVLY/items/FRWX6BN2"],"itemData":{"id":10758,"type":"article-journal","abstract":"Financial literacy is an ability of individual to take considerable decisions in respect of the effective and efficient utilization of money. In present study, authors have presented an association of financial knowledge, financial behaviour and financial attitude towards the financial literacy level among working women in Delhi, India. The sample size of 394 working women from various public and private organizations of Delhi has been incorporated for the research. A structured questionnaire designed on a 5-point Likert scale has been used based on purposive sampling, and the goodness of fit is determined by analysis of moments structures (AMOS) by applying structural equation modeling approach (SEM). The association between three independent variables is investigated applying path analysis for hypothesis testing. The findings revealed that financial attitude and financial behaviour have strong association with financial literacy of working women than financial knowledge.","container-title":"FIIB Business Review","DOI":"10.1177/2319714519826651","ISSN":"2319-7145, 2455-2658","issue":"1","journalAbbreviation":"FIIB Business Review","language":"en","page":"51-60","source":"DOI.org (Crossref)","title":"Association of Financial Attitude, Financial Behaviour and Financial Knowledge Towards Financial Literacy: A Structural Equation Modeling Approach","title-short":"Association of Financial Attitude, Financial Behaviour and Financial Knowledge Towards Financial Literacy","volume":"8","author":[{"family":"Rai","given":"Kamini"},{"family":"Dua","given":"Shikha"},{"family":"Yadav","given":"Miklesh"}],"issued":{"date-parts":[["2019",3]]}},"label":"page","suppress-author":true}],"schema":"https://github.com/citation-style-language/schema/raw/master/csl-citation.json"} </w:instrText>
      </w:r>
      <w:r w:rsidR="000147FE" w:rsidRPr="008B0387">
        <w:rPr>
          <w:rFonts w:ascii="Arial" w:hAnsi="Arial" w:cs="Arial"/>
        </w:rPr>
        <w:fldChar w:fldCharType="separate"/>
      </w:r>
      <w:r w:rsidR="000147FE" w:rsidRPr="008B0387">
        <w:rPr>
          <w:rFonts w:ascii="Arial" w:hAnsi="Arial" w:cs="Arial"/>
        </w:rPr>
        <w:t>(2019)</w:t>
      </w:r>
      <w:r w:rsidR="000147FE" w:rsidRPr="008B0387">
        <w:rPr>
          <w:rFonts w:ascii="Arial" w:hAnsi="Arial" w:cs="Arial"/>
        </w:rPr>
        <w:fldChar w:fldCharType="end"/>
      </w:r>
      <w:r w:rsidR="00700E3C" w:rsidRPr="008B0387">
        <w:rPr>
          <w:rFonts w:ascii="Arial" w:hAnsi="Arial" w:cs="Arial"/>
        </w:rPr>
        <w:t xml:space="preserve"> further identify AI literacy as a foundation for innovation and decision-making in data-rich environments.</w:t>
      </w:r>
    </w:p>
    <w:p w14:paraId="30B2F6D3" w14:textId="77777777" w:rsidR="00C0694C" w:rsidRPr="008B0387" w:rsidRDefault="00C0694C">
      <w:pPr>
        <w:pBdr>
          <w:top w:val="nil"/>
          <w:left w:val="nil"/>
          <w:bottom w:val="nil"/>
          <w:right w:val="nil"/>
          <w:between w:val="nil"/>
        </w:pBdr>
        <w:jc w:val="both"/>
        <w:rPr>
          <w:rFonts w:ascii="Arial" w:eastAsia="Arial" w:hAnsi="Arial" w:cs="Arial"/>
        </w:rPr>
      </w:pPr>
    </w:p>
    <w:p w14:paraId="5CB3CB67" w14:textId="401E0135" w:rsidR="00C0694C" w:rsidRPr="008B0387" w:rsidRDefault="0045458C">
      <w:pPr>
        <w:pBdr>
          <w:top w:val="nil"/>
          <w:left w:val="nil"/>
          <w:bottom w:val="nil"/>
          <w:right w:val="nil"/>
          <w:between w:val="nil"/>
        </w:pBdr>
        <w:jc w:val="both"/>
        <w:rPr>
          <w:rFonts w:ascii="Arial" w:eastAsia="Arial" w:hAnsi="Arial" w:cs="Arial"/>
        </w:rPr>
      </w:pPr>
      <w:r w:rsidRPr="008B0387">
        <w:rPr>
          <w:rFonts w:ascii="Arial" w:eastAsia="Arial" w:hAnsi="Arial" w:cs="Arial"/>
        </w:rPr>
        <w:t xml:space="preserve">Digital trust plays a central role in shaping entrepreneurs’ perceptions, attitudes, and behaviors toward technology use. It includes confidence in system reliability, data security, transparency, and the consistency of digital infrastructures. Previous studies </w:t>
      </w:r>
      <w:r w:rsidR="00B9319A" w:rsidRPr="008B0387">
        <w:rPr>
          <w:rFonts w:ascii="Arial" w:eastAsia="Arial" w:hAnsi="Arial" w:cs="Arial"/>
        </w:rPr>
        <w:fldChar w:fldCharType="begin"/>
      </w:r>
      <w:r w:rsidR="00367862" w:rsidRPr="008B0387">
        <w:rPr>
          <w:rFonts w:ascii="Arial" w:eastAsia="Arial" w:hAnsi="Arial" w:cs="Arial"/>
        </w:rPr>
        <w:instrText xml:space="preserve"> ADDIN ZOTERO_ITEM CSL_CITATION {"citationID":"lcRnoZT9","properties":{"formattedCitation":"(Khatib et al., 2024; D. H. McKnight et al., 2020)","plainCitation":"(Khatib et al., 2024; D. H. McKnight et al., 2020)","noteIndex":0},"citationItems":[{"id":13474,"uris":["http://zotero.org/users/local/JyjMxVLY/items/ARYX4HSN"],"itemData":{"id":13474,"type":"article-journal","abstract":"Abstract:\nThe existence of trust in the work environment is significant to organizational performance and competitiveness in an increasingly universal market (Combs et al., 2015). Several studies (Olivier, 2017) (Stephanie et al., 2014) has showed that promoting trusting relationships by an organization is an essential criterion of competitive advantage. Organizations that enhance of trust internally and externally earn advantages such as, attract loyal customers, high performance by employee and good position in market (Roderick and Roy, 2010). Furthermore, trust has several benefits on firms’ outcomes such as increase sales, high profits, minimize worker turnover and employees achieve high level of cooperation among others.\nLack of&amp;nbsp;trust in government threatens the desire of people and business obey to government policies and participate to a potential economic recovery (Tao and Yunfan, 2010).&amp;nbsp;The validity of organizations is construct based on the presence of trust and is significant for preserving social cohesion. A study was conducted by (Nils and Darja, 2008) showed that the impact of lacking trust in an organization resulted in several disadvantages such as, reduction in performance, work quality, sharing information, spirits of workers and increase in group combats. In addition, the employees prefer individual interest over group interest and expect negative comments from the manager. This result in, high supervision from mangers on employees that decreased the level of trust. Therefore, the presence of trust is essential to governments, organizations both public and private in providing services.","container-title":"International Journal of Business Analytics and Security (IJBAS)","ISSN":"2958-5791","issue":"2","language":"en","license":"Copyright (c) 2024 International Journal of Business Analytics and Security (IJBAS)","note":"number: 2","page":"16-38","source":"journals.gaftim.com","title":"The importance of Trust in digital transformation and SMART Government initiatives","volume":"4","author":[{"family":"Khatib","given":"Mounir El"},{"family":"AlMansoori","given":"Abdulrahman Ahmed"},{"family":"Alsuwidi","given":"Saeed"}],"issued":{"date-parts":[["2024",5,1]]}}},{"id":13920,"uris":["http://zotero.org/users/local/JyjMxVLY/items/2CID9KYQ"],"itemData":{"id":13920,"type":"article-journal","abstract":"We examine why trust change occurs when potential users first encounter news about a specific technology. We propose personal perceptions and three cognitive outcomes—attention, sensemaking, and threshold—affect trust change in educated young adults surveyed regarding a technology product. We find the outcomes of attention, sensemaking, and threshold positively affect trust change, while most hypothesized personal perceptions of the technology (e.g., reputation) do not predict trust change. For research, this implies scholars should focus more on cognitive outcomes of mental news brief processing than on technology perceptions. Our results also imply that research should examine other key dependent variables the way we studied trust change (e.g., “intention-to-use change”—to produce a more dynamic picture of how people adopt a technology). For practice, our data imply that tech companies can counter initial bad news about a technology by quickly providing strong positive news items to repair trust in that technology.","container-title":"Journal of Management Information Systems","DOI":"10.1080/07421222.2020.1831772","ISSN":"0742-1222","issue":"4","note":"publisher: Routledge\n_eprint: https://doi.org/10.1080/07421222.2020.1831772","page":"1015-1046","source":"Taylor and Francis+NEJM","title":"Trust Change in Information Technology Products","volume":"37","author":[{"family":"McKnight","given":"D. Harrison"},{"family":"Liu","given":"Peng"},{"family":"Pentland","given":"Brian T."}],"issued":{"date-parts":[["2020",10,1]]}}}],"schema":"https://github.com/citation-style-language/schema/raw/master/csl-citation.json"} </w:instrText>
      </w:r>
      <w:r w:rsidR="00B9319A" w:rsidRPr="008B0387">
        <w:rPr>
          <w:rFonts w:ascii="Arial" w:eastAsia="Arial" w:hAnsi="Arial" w:cs="Arial"/>
        </w:rPr>
        <w:fldChar w:fldCharType="separate"/>
      </w:r>
      <w:r w:rsidR="00367862" w:rsidRPr="008B0387">
        <w:rPr>
          <w:rFonts w:ascii="Arial" w:hAnsi="Arial" w:cs="Arial"/>
        </w:rPr>
        <w:t>(Khatib et al., 2024; D. H. McKnight et al., 2020)</w:t>
      </w:r>
      <w:r w:rsidR="00B9319A" w:rsidRPr="008B0387">
        <w:rPr>
          <w:rFonts w:ascii="Arial" w:eastAsia="Arial" w:hAnsi="Arial" w:cs="Arial"/>
        </w:rPr>
        <w:fldChar w:fldCharType="end"/>
      </w:r>
      <w:r w:rsidR="00B9319A" w:rsidRPr="008B0387">
        <w:rPr>
          <w:rFonts w:ascii="Arial" w:eastAsia="Arial" w:hAnsi="Arial" w:cs="Arial"/>
        </w:rPr>
        <w:t xml:space="preserve"> </w:t>
      </w:r>
      <w:r w:rsidRPr="008B0387">
        <w:rPr>
          <w:rFonts w:ascii="Arial" w:eastAsia="Arial" w:hAnsi="Arial" w:cs="Arial"/>
        </w:rPr>
        <w:t xml:space="preserve">emphasize that perceived risks, including data breaches, online fraud, and regulatory uncertainty, often hinder digital adoption. Within Rogers’ diffusion of innovation framework </w:t>
      </w:r>
      <w:r w:rsidR="003A7075" w:rsidRPr="008B0387">
        <w:rPr>
          <w:rFonts w:ascii="Arial" w:eastAsia="Arial" w:hAnsi="Arial" w:cs="Arial"/>
        </w:rPr>
        <w:fldChar w:fldCharType="begin"/>
      </w:r>
      <w:r w:rsidR="003A7075" w:rsidRPr="008B0387">
        <w:rPr>
          <w:rFonts w:ascii="Arial" w:eastAsia="Arial" w:hAnsi="Arial" w:cs="Arial"/>
        </w:rPr>
        <w:instrText xml:space="preserve"> ADDIN ZOTERO_ITEM CSL_CITATION {"citationID":"EHMUyfic","properties":{"formattedCitation":"(2008)","plainCitation":"(2008)","noteIndex":0},"citationItems":[{"id":13576,"uris":["http://zotero.org/users/local/JyjMxVLY/items/ZEA3KV9I"],"itemData":{"id":13576,"type":"chapter","abstract":"When the World Health Organization launched a worldwide campaign to eradicate smallpox, it \nwas engaged in diffusion. When Apple launched iPod, it was diffusing","container-title":"An Integrated Approach to Communication Theory and Research","edition":"2","ISBN":"978-0-203-88701-1","note":"number-of-pages: 17","publisher":"Routledge","title":"Diffusion of Innovations","author":[{"family":"ROGERS","given":"EVERETT M."},{"family":"SINGHAL","given":"ARVIND"},{"family":"QUINLAN","given":"MARGARET M."}],"issued":{"date-parts":[["2008"]]}},"label":"page","suppress-author":true}],"schema":"https://github.com/citation-style-language/schema/raw/master/csl-citation.json"} </w:instrText>
      </w:r>
      <w:r w:rsidR="003A7075" w:rsidRPr="008B0387">
        <w:rPr>
          <w:rFonts w:ascii="Arial" w:eastAsia="Arial" w:hAnsi="Arial" w:cs="Arial"/>
        </w:rPr>
        <w:fldChar w:fldCharType="separate"/>
      </w:r>
      <w:r w:rsidR="003A7075" w:rsidRPr="008B0387">
        <w:rPr>
          <w:rFonts w:ascii="Arial" w:hAnsi="Arial" w:cs="Arial"/>
        </w:rPr>
        <w:t>(2008)</w:t>
      </w:r>
      <w:r w:rsidR="003A7075" w:rsidRPr="008B0387">
        <w:rPr>
          <w:rFonts w:ascii="Arial" w:eastAsia="Arial" w:hAnsi="Arial" w:cs="Arial"/>
        </w:rPr>
        <w:fldChar w:fldCharType="end"/>
      </w:r>
      <w:r w:rsidRPr="008B0387">
        <w:rPr>
          <w:rFonts w:ascii="Arial" w:eastAsia="Arial" w:hAnsi="Arial" w:cs="Arial"/>
        </w:rPr>
        <w:t>, digital trust can be interpreted through perceived compatibility and reliability, which strongly influence technology adoption.</w:t>
      </w:r>
    </w:p>
    <w:p w14:paraId="788F0495" w14:textId="77777777" w:rsidR="00C0694C" w:rsidRPr="008B0387" w:rsidRDefault="00C0694C">
      <w:pPr>
        <w:pBdr>
          <w:top w:val="nil"/>
          <w:left w:val="nil"/>
          <w:bottom w:val="nil"/>
          <w:right w:val="nil"/>
          <w:between w:val="nil"/>
        </w:pBdr>
        <w:jc w:val="both"/>
        <w:rPr>
          <w:rFonts w:ascii="Arial" w:eastAsia="Arial" w:hAnsi="Arial" w:cs="Arial"/>
        </w:rPr>
      </w:pPr>
    </w:p>
    <w:p w14:paraId="21AFC3FD" w14:textId="3504387B" w:rsidR="00C0694C" w:rsidRPr="008B0387" w:rsidRDefault="0045458C">
      <w:pPr>
        <w:pBdr>
          <w:top w:val="nil"/>
          <w:left w:val="nil"/>
          <w:bottom w:val="nil"/>
          <w:right w:val="nil"/>
          <w:between w:val="nil"/>
        </w:pBdr>
        <w:jc w:val="both"/>
        <w:rPr>
          <w:rFonts w:ascii="Arial" w:eastAsia="Arial" w:hAnsi="Arial" w:cs="Arial"/>
        </w:rPr>
      </w:pPr>
      <w:r w:rsidRPr="008B0387">
        <w:rPr>
          <w:rFonts w:ascii="Arial" w:eastAsia="Arial" w:hAnsi="Arial" w:cs="Arial"/>
        </w:rPr>
        <w:t xml:space="preserve">AI literacy represents another important factor. It is defined not only as technical proficiency in using AI-based tools but also as the ability to interpret algorithmic outcomes, identify potential biases, and evaluate the relevance of AI applications to specific business contexts. Findings by </w:t>
      </w:r>
      <w:r w:rsidR="00B9319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{"citationID":"fBWVEPCn","properties":{"formattedCitation":"(Alam\\uc0\\u228{}ki et al., 2024)","plainCitation":"(Alamäki et al., 2024)","dontUpdate":true,"noteIndex":0},"citationItems":[{"id":12823,"uris":["http://zotero.org/users/local/JyjMxVLY/items/F4IN76QL"],"itemData":{"id":12823,"type":"article-journal","abstract":"IntroductionThe purpose of this empirical research was to map the capabilities and perceptions of undergraduate business administration students about artifi...","DOI":"10.3389/feduc.2024.1343406","language":"en","source":"Frontiers","title":"Artificial intelligence literacy in sustainable development: A learning experiment in higher education","title-short":"Frontiers | Artificial intelligence literacy in sustainable development","URL":"https://www.frontiersin.org/journals/education/articles/10.3389/feduc.2024.1343406/full","author":[{"family":"Alamäki","given":"Ari"},{"family":"Nyberg","given":"Crister"},{"family":"Kimberley","given":"Anna"},{"family":"Salonen","given":"Arto O."}],"accessed":{"date-parts":[["2025",6,7]]},"issued":{"date-parts":[["2024"]]}}}],"schema":"https://github.com/citation-style-language/schema/raw/master/csl-citation.json"} </w:instrText>
      </w:r>
      <w:r w:rsidR="00B9319A" w:rsidRPr="008B0387">
        <w:rPr>
          <w:rFonts w:ascii="Arial" w:eastAsia="Arial" w:hAnsi="Arial" w:cs="Arial"/>
        </w:rPr>
        <w:fldChar w:fldCharType="separate"/>
      </w:r>
      <w:r w:rsidR="00B9319A" w:rsidRPr="008B0387">
        <w:rPr>
          <w:rFonts w:ascii="Arial" w:eastAsia="Arial" w:hAnsi="Arial" w:cs="Arial"/>
        </w:rPr>
        <w:t>Alamäki et al. (2024)</w:t>
      </w:r>
      <w:r w:rsidR="00B9319A" w:rsidRPr="008B0387">
        <w:rPr>
          <w:rFonts w:ascii="Arial" w:eastAsia="Arial" w:hAnsi="Arial" w:cs="Arial"/>
        </w:rPr>
        <w:fldChar w:fldCharType="end"/>
      </w:r>
      <w:r w:rsidR="00B9319A" w:rsidRPr="008B0387">
        <w:rPr>
          <w:rFonts w:ascii="Arial" w:eastAsia="Arial" w:hAnsi="Arial" w:cs="Arial"/>
        </w:rPr>
        <w:t xml:space="preserve"> </w:t>
      </w:r>
      <w:r w:rsidRPr="008B0387">
        <w:rPr>
          <w:rFonts w:ascii="Arial" w:eastAsia="Arial" w:hAnsi="Arial" w:cs="Arial"/>
        </w:rPr>
        <w:t xml:space="preserve">and </w:t>
      </w:r>
      <w:r w:rsidR="00B9319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{"citationID":"FovWOSLq","properties":{"formattedCitation":"(Verdiana &amp; Fachir, 2023)","plainCitation":"(Verdiana &amp; Fachir, 2023)","dontUpdate":true,"noteIndex":0},"citationItems":[{"id":12826,"uris":["http://zotero.org/users/local/JyjMxVLY/items/HU9WSZ96"],"itemData":{"id":12826,"type":"article-journal","issue":"2","language":"id","source":"Zotero","title":"The Growth Role of Artificial Intelligence (AI) in Strategy Management in UMKM","volume":"2","author":[{"family":"Verdiana","given":"Yuni Qoriah"},{"family":"Fachir","given":"Zidane Azrulludin"}],"issued":{"date-parts":[["2023"]]}}}],"schema":"https://github.com/citation-style-language/schema/raw/master/csl-citation.json"} </w:instrText>
      </w:r>
      <w:r w:rsidR="00B9319A" w:rsidRPr="008B0387">
        <w:rPr>
          <w:rFonts w:ascii="Arial" w:eastAsia="Arial" w:hAnsi="Arial" w:cs="Arial"/>
        </w:rPr>
        <w:fldChar w:fldCharType="separate"/>
      </w:r>
      <w:r w:rsidR="00B9319A" w:rsidRPr="008B0387">
        <w:rPr>
          <w:rFonts w:ascii="Arial" w:eastAsia="Arial" w:hAnsi="Arial" w:cs="Arial"/>
        </w:rPr>
        <w:t>Verdiana &amp; Fachir (2023)</w:t>
      </w:r>
      <w:r w:rsidR="00B9319A" w:rsidRPr="008B0387">
        <w:rPr>
          <w:rFonts w:ascii="Arial" w:eastAsia="Arial" w:hAnsi="Arial" w:cs="Arial"/>
        </w:rPr>
        <w:fldChar w:fldCharType="end"/>
      </w:r>
      <w:r w:rsidR="00995129" w:rsidRPr="008B0387">
        <w:rPr>
          <w:rFonts w:ascii="Arial" w:eastAsia="Arial" w:hAnsi="Arial" w:cs="Arial"/>
        </w:rPr>
        <w:t xml:space="preserve">, and </w:t>
      </w:r>
      <w:r w:rsidR="00995129" w:rsidRPr="008B0387">
        <w:rPr>
          <w:rFonts w:ascii="Arial" w:eastAsia="Arial" w:hAnsi="Arial" w:cs="Arial"/>
        </w:rPr>
        <w:fldChar w:fldCharType="begin"/>
      </w:r>
      <w:r w:rsidR="009646CF">
        <w:rPr>
          <w:rFonts w:ascii="Arial" w:eastAsia="Arial" w:hAnsi="Arial" w:cs="Arial"/>
        </w:rPr>
        <w:instrText xml:space="preserve"> ADDIN ZOTERO_ITEM CSL_CITATION {"citationID":"DUIb5htM","properties":{"formattedCitation":"(UNESCO, 2021)","plainCitation":"(UNESCO, 2021)","dontUpdate":true,"noteIndex":0},"citationItems":[{"id":13909,"uris":["http://zotero.org/users/local/JyjMxVLY/items/44KUMP6X"],"itemData":{"id":13909,"type":"webpage","title":"AI and education: guidance for policy-makers - UNESCO Digital Library","URL":"https://unesdoc.unesco.org/ark:/48223/pf0000376709","author":[{"family":"UNESCO","given":"UNESCO"}],"accessed":{"date-parts":[["2025",9,28]]},"issued":{"date-parts":[["2021"]]}}}],"schema":"https://github.com/citation-style-language/schema/raw/master/csl-citation.json"} </w:instrText>
      </w:r>
      <w:r w:rsidR="00995129" w:rsidRPr="008B0387">
        <w:rPr>
          <w:rFonts w:ascii="Arial" w:eastAsia="Arial" w:hAnsi="Arial" w:cs="Arial"/>
        </w:rPr>
        <w:fldChar w:fldCharType="separate"/>
      </w:r>
      <w:r w:rsidR="003A7075" w:rsidRPr="008B0387">
        <w:rPr>
          <w:rFonts w:ascii="Arial" w:hAnsi="Arial" w:cs="Arial"/>
        </w:rPr>
        <w:t>UNESCO (2021)</w:t>
      </w:r>
      <w:r w:rsidR="00995129" w:rsidRPr="008B0387">
        <w:rPr>
          <w:rFonts w:ascii="Arial" w:eastAsia="Arial" w:hAnsi="Arial" w:cs="Arial"/>
        </w:rPr>
        <w:fldChar w:fldCharType="end"/>
      </w:r>
      <w:r w:rsidRPr="008B0387">
        <w:rPr>
          <w:rFonts w:ascii="Arial" w:eastAsia="Arial" w:hAnsi="Arial" w:cs="Arial"/>
        </w:rPr>
        <w:t xml:space="preserve"> indicate that most Indonesian MSMEs remain at a limited functional stage of AI literacy, relying heavily on external service providers. This limitation reduces their ability to independently make strategic decisions or critically evaluate AI-generated recommendations. </w:t>
      </w:r>
    </w:p>
    <w:p w14:paraId="6EFE7E20" w14:textId="77777777" w:rsidR="00C0694C" w:rsidRPr="008B0387" w:rsidRDefault="00C0694C">
      <w:pPr>
        <w:pBdr>
          <w:top w:val="nil"/>
          <w:left w:val="nil"/>
          <w:bottom w:val="nil"/>
          <w:right w:val="nil"/>
          <w:between w:val="nil"/>
        </w:pBdr>
        <w:jc w:val="both"/>
        <w:rPr>
          <w:rFonts w:ascii="Arial" w:eastAsia="Arial" w:hAnsi="Arial" w:cs="Arial"/>
        </w:rPr>
      </w:pPr>
    </w:p>
    <w:p w14:paraId="34397AD3" w14:textId="4616F4D8" w:rsidR="00C0694C" w:rsidRPr="008B0387" w:rsidRDefault="0045458C">
      <w:pPr>
        <w:pBdr>
          <w:top w:val="nil"/>
          <w:left w:val="nil"/>
          <w:bottom w:val="nil"/>
          <w:right w:val="nil"/>
          <w:between w:val="nil"/>
        </w:pBdr>
        <w:jc w:val="both"/>
        <w:rPr>
          <w:rFonts w:ascii="Arial" w:eastAsia="Arial" w:hAnsi="Arial" w:cs="Arial"/>
        </w:rPr>
      </w:pPr>
      <w:r w:rsidRPr="008B0387">
        <w:rPr>
          <w:rFonts w:ascii="Arial" w:eastAsia="Arial" w:hAnsi="Arial" w:cs="Arial"/>
        </w:rPr>
        <w:t xml:space="preserve">Innovation capability, as explained by </w:t>
      </w:r>
      <w:r w:rsidR="00B9319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{"citationID":"h7P69DkQ","properties":{"formattedCitation":"(Lawson &amp; Samson, 2001)","plainCitation":"(Lawson &amp; Samson, 2001)","dontUpdate":true,"noteIndex":0},"citationItems":[{"id":13070,"uris":["http://zotero.org/users/local/JyjMxVLY/items/JZ27Q28N"],"itemData":{"id":13070,"type":"article-journal","abstract":"This paper draws together knowledge from a variety of fields to propose that innovation management can be viewed as a form of organisational capability. Excellent companies invest and nurture this capability, from which they execute effective innovation processes, leading to innovations in new product, services and processes, and superior business performance results. An extensive review of the literature on innovation management, along with a case study of Cisco Systems, develops a conceptual model of the firm as an innovation engine. This new operating model sees substantial investment in innovation capability as the primary engine for wealth creation, rather than the possession of physical assets. Building on the dynamic capabilities literature, an “innovation capability” construct is proposed with seven elements. These are vision and strategy, harnessing the competence base, organisational intelligence, creativity and idea management, organisational structures and systems, culture and climate, and management of technology.","container-title":"International Journal of Innovation Management","DOI":"10.1142/S1363919601000427","ISSN":"1363-9196, 1757-5877","issue":"03","journalAbbreviation":"Int. J. Innov. Mgt.","language":"en","page":"377-400","source":"DOI.org (Crossref)","title":"DEVELOPING INNOVATION CAPABILITY IN ORGANISATIONS: A DYNAMIC CAPABILITIES APPROACH","title-short":"DEVELOPING INNOVATION CAPABILITY IN ORGANISATIONS","volume":"05","author":[{"family":"Lawson","given":"Benn"},{"family":"Samson","given":"Danny"}],"issued":{"date-parts":[["2001",9]]}}}],"schema":"https://github.com/citation-style-language/schema/raw/master/csl-citation.json"} </w:instrText>
      </w:r>
      <w:r w:rsidR="00B9319A" w:rsidRPr="008B0387">
        <w:rPr>
          <w:rFonts w:ascii="Arial" w:eastAsia="Arial" w:hAnsi="Arial" w:cs="Arial"/>
        </w:rPr>
        <w:fldChar w:fldCharType="separate"/>
      </w:r>
      <w:r w:rsidR="00B9319A" w:rsidRPr="008B0387">
        <w:rPr>
          <w:rFonts w:ascii="Arial" w:eastAsia="Arial" w:hAnsi="Arial" w:cs="Arial"/>
        </w:rPr>
        <w:t>Lawson &amp; Samson (2001)</w:t>
      </w:r>
      <w:r w:rsidR="00B9319A" w:rsidRPr="008B0387">
        <w:rPr>
          <w:rFonts w:ascii="Arial" w:eastAsia="Arial" w:hAnsi="Arial" w:cs="Arial"/>
        </w:rPr>
        <w:fldChar w:fldCharType="end"/>
      </w:r>
      <w:r w:rsidRPr="008B0387">
        <w:rPr>
          <w:rFonts w:ascii="Arial" w:eastAsia="Arial" w:hAnsi="Arial" w:cs="Arial"/>
        </w:rPr>
        <w:t xml:space="preserve"> through the dynamic capability framework, reflects the capacity of organizations to identify opportunities, mobilize resources, and reconfigure assets in line with strategic adjustments. Empirical evidence </w:t>
      </w:r>
      <w:r w:rsidR="00B9319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{"citationID":"SKu2b5m7","properties":{"formattedCitation":"(Busyeri et al., 2024; Dhewanto et al., 2022)","plainCitation":"(Busyeri et al., 2024; Dhewanto et al., 2022)","dontUpdate":true,"noteIndex":0},"citationItems":[{"id":12829,"uris":["http://zotero.org/users/local/JyjMxVLY/items/EAZQ6L42"],"itemData":{"id":12829,"type":"article-journal","abstract":"Micro, Small, and Medium Enterprises (MSMEs) in Cimahi City possess strategic potential, particularly in the food and beverage sector. Cimahi is one of the cities experiencing growth in the number of MSMEs, with a growth rate of 50.24%. However, the increase in the number of MSMEs has not been accompanied by consistent revenue growth, which has fluctuated from 2019 to 2023. Several challenges have been identified, including a lack of basic entrepreneurial knowledge among the workforce, insufficient self-reliance in entrepreneurship, and limited proficiency in the use of technology. To address these performance issues, it is crucial for MSME actors to create added value by strengthening strategic agility and innovation capability. The objective of this study is to examine the impact of strategic agility on business performance, mediated by innovation capability. The study sample consists of 106 MSMEs, selected using probability sampling with a cluster sampling technique. Descriptive analysis results categorize business performance and innovation capability as moderate, while strategic agility is categorized as high. The research findings indicate that strategic agility does not affect innovation capability, strategic agility influences business performance, innovation capability affects business performance, and innovation capability does not mediate the influence of intellectual capital on business performance.","container-title":"Dinasti International Journal of Education Management And Social Science","DOI":"10.38035/dijemss.v5i6.3238","ISSN":"2686-6331","issue":"6","language":"en","page":"2317-2330","source":"dinastipub.org","title":"The Role Of Innovation Capability In Mediating The Effect Of Strategic Agility On Business Performance Of Smes In The Food And Beverage Sector In Cimahi","volume":"5","author":[{"family":"Busyeri","given":"Azzam Tiar"},{"family":"Rofaida","given":"Rofi"},{"family":"Hadijah","given":"Hady Siti"},{"family":"Kurniawan","given":"Asep"}],"issued":{"date-parts":[["2024",8,27]]}}},{"id":12134,"uris":["http://zotero.org/users/local/JyjMxVLY/items/PAYS4PAA"],"itemData":{"id":12134,"type":"article-journal","abstract":"The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Noviyana"}],"issued":{"date-parts":[["2022"]]}}}],"schema":"https://github.com/citation-style-language/schema/raw/master/csl-citation.json"} </w:instrText>
      </w:r>
      <w:r w:rsidR="00B9319A" w:rsidRPr="008B0387">
        <w:rPr>
          <w:rFonts w:ascii="Arial" w:eastAsia="Arial" w:hAnsi="Arial" w:cs="Arial"/>
        </w:rPr>
        <w:fldChar w:fldCharType="separate"/>
      </w:r>
      <w:r w:rsidR="00B9319A" w:rsidRPr="008B0387">
        <w:rPr>
          <w:rFonts w:ascii="Arial" w:hAnsi="Arial" w:cs="Arial"/>
        </w:rPr>
        <w:t>Busyeri et al., 2024) &amp; Dhewanto et al., 2022)</w:t>
      </w:r>
      <w:r w:rsidR="00B9319A" w:rsidRPr="008B0387">
        <w:rPr>
          <w:rFonts w:ascii="Arial" w:eastAsia="Arial" w:hAnsi="Arial" w:cs="Arial"/>
        </w:rPr>
        <w:fldChar w:fldCharType="end"/>
      </w:r>
      <w:r w:rsidR="00B9319A" w:rsidRPr="008B0387">
        <w:rPr>
          <w:rFonts w:ascii="Arial" w:eastAsia="Arial" w:hAnsi="Arial" w:cs="Arial"/>
        </w:rPr>
        <w:t xml:space="preserve"> </w:t>
      </w:r>
      <w:r w:rsidRPr="008B0387">
        <w:rPr>
          <w:rFonts w:ascii="Arial" w:eastAsia="Arial" w:hAnsi="Arial" w:cs="Arial"/>
        </w:rPr>
        <w:t xml:space="preserve">shows that MSMEs with higher levels of innovation capability are better positioned to utilize digital technologies in developing unique value propositions, expanding market reach, and maintaining competitive advantage. </w:t>
      </w:r>
      <w:r w:rsidR="00110EB9" w:rsidRPr="008B0387">
        <w:rPr>
          <w:rFonts w:ascii="Arial" w:eastAsia="Arial" w:hAnsi="Arial" w:cs="Arial"/>
        </w:rPr>
        <w:fldChar w:fldCharType="begin"/>
      </w:r>
      <w:r w:rsidR="009646CF">
        <w:rPr>
          <w:rFonts w:ascii="Arial" w:eastAsia="Arial" w:hAnsi="Arial" w:cs="Arial"/>
        </w:rPr>
        <w:instrText xml:space="preserve"> ADDIN ZOTERO_ITEM CSL_CITATION {"citationID":"aVR49BQN","properties":{"formattedCitation":"(Ivanov &amp; Dolgui, 2021)","plainCitation":"(Ivanov &amp; Dolgui, 2021)","dontUpdate":true,"noteIndex":0},"citationItems":[{"id":13934,"uris":["http://zotero.org/users/local/JyjMxVLY/items/SVV996D6"],"itemData":{"id":13934,"type":"article-journal","abstract":"We theorize a notion of a digital supply chain (SC) twin – a computerized model that represents network states for any given moment in real time. We explore the conditions surrounding the design and implementation of the digital twins when managing disruption risks in SCs. The combination of model-based and data-driven approaches allows uncovering the interrelations of risk data, disruption modeling, and performance assessment. The SC shocks and adaptations amid the COVID-19 pandemic along with post-pandemic recoveries provide indisputable evidences for the urgent needs of digital twins for mapping supply networks and ensuring visibility. The results of this study contribute to the research and practice of SC risk management by enhancing predictive and reactive decisions to utilize the advantages of SC visualization, historical disruption data analysis, and real-time disruption data and ensure end-to-end visibility and business continuity in global companies.","container-title":"Production Planning &amp; Control","DOI":"10.1080/09537287.2020.1768450","ISSN":"0953-7287","issue":"9","note":"publisher: Taylor &amp; Francis\n_eprint: https://doi.org/10.1080/09537287.2020.1768450","page":"775-788","source":"Taylor and Francis+NEJM","title":"A digital supply chain twin for managing the disruption risks and resilience in the era of Industry 4.0","volume":"32","author":[{"family":"Ivanov","given":"Dmitry"},{"family":"Dolgui","given":"Alexandre"}],"issued":{"date-parts":[["2021",7,4]]}}}],"schema":"https://github.com/citation-style-language/schema/raw/master/csl-citation.json"} </w:instrText>
      </w:r>
      <w:r w:rsidR="00110EB9" w:rsidRPr="008B0387">
        <w:rPr>
          <w:rFonts w:ascii="Arial" w:eastAsia="Arial" w:hAnsi="Arial" w:cs="Arial"/>
        </w:rPr>
        <w:fldChar w:fldCharType="separate"/>
      </w:r>
      <w:r w:rsidR="00110EB9" w:rsidRPr="008B0387">
        <w:rPr>
          <w:rFonts w:ascii="Arial" w:hAnsi="Arial" w:cs="Arial"/>
        </w:rPr>
        <w:t>Ivanov &amp; Dolgui (2021)</w:t>
      </w:r>
      <w:r w:rsidR="00110EB9" w:rsidRPr="008B0387">
        <w:rPr>
          <w:rFonts w:ascii="Arial" w:eastAsia="Arial" w:hAnsi="Arial" w:cs="Arial"/>
        </w:rPr>
        <w:fldChar w:fldCharType="end"/>
      </w:r>
      <w:r w:rsidR="00110EB9" w:rsidRPr="008B0387">
        <w:rPr>
          <w:rFonts w:ascii="Arial" w:eastAsia="Arial" w:hAnsi="Arial" w:cs="Arial"/>
        </w:rPr>
        <w:t xml:space="preserve"> </w:t>
      </w:r>
      <w:r w:rsidR="008901E1" w:rsidRPr="008B0387">
        <w:rPr>
          <w:rFonts w:ascii="Arial" w:eastAsia="Arial" w:hAnsi="Arial" w:cs="Arial"/>
        </w:rPr>
        <w:t xml:space="preserve">note that even basic AI tools, if supported by </w:t>
      </w:r>
      <w:r w:rsidR="008901E1" w:rsidRPr="008B0387">
        <w:rPr>
          <w:rFonts w:ascii="Arial" w:eastAsia="Arial" w:hAnsi="Arial" w:cs="Arial"/>
        </w:rPr>
        <w:t>innovation capacity, can enhance operational resilience.</w:t>
      </w:r>
    </w:p>
    <w:p w14:paraId="1C29CB65" w14:textId="77777777" w:rsidR="00C0694C" w:rsidRPr="008B0387" w:rsidRDefault="00C0694C">
      <w:pPr>
        <w:pBdr>
          <w:top w:val="nil"/>
          <w:left w:val="nil"/>
          <w:bottom w:val="nil"/>
          <w:right w:val="nil"/>
          <w:between w:val="nil"/>
        </w:pBdr>
        <w:jc w:val="both"/>
        <w:rPr>
          <w:rFonts w:ascii="Arial" w:eastAsia="Arial" w:hAnsi="Arial" w:cs="Arial"/>
        </w:rPr>
      </w:pPr>
    </w:p>
    <w:p w14:paraId="0272867F" w14:textId="41B521C2" w:rsidR="00C0694C" w:rsidRDefault="00DF7EDF">
      <w:pPr>
        <w:pBdr>
          <w:top w:val="nil"/>
          <w:left w:val="nil"/>
          <w:bottom w:val="nil"/>
          <w:right w:val="nil"/>
          <w:between w:val="nil"/>
        </w:pBdr>
        <w:jc w:val="both"/>
        <w:rPr>
          <w:rFonts w:ascii="Arial" w:eastAsia="Arial" w:hAnsi="Arial" w:cs="Arial"/>
        </w:rPr>
      </w:pPr>
      <w:r w:rsidRPr="00DF7EDF">
        <w:rPr>
          <w:rFonts w:ascii="Arial" w:eastAsia="Arial" w:hAnsi="Arial" w:cs="Arial"/>
        </w:rPr>
        <w:t xml:space="preserve">The contrasting characteristics of Surabaya and Malang illustrate the regional disparities in digital readiness and innovation capacity among Indonesian MSMEs. Surabaya is supported by more advanced infrastructure and formalized digital practices, whereas MSMEs in Malang, although active in creative industries, continue to struggle with limited digital literacy and access to AI-driven tools. These differences highlight the importance of examining how contextual factors shape the relationship between digital trust, AI literacy, and innovation capability. As noted by </w:t>
      </w:r>
      <w:r w:rsidR="00C91DC3" w:rsidRPr="008B0387">
        <w:rPr>
          <w:rFonts w:ascii="Arial" w:hAnsi="Arial" w:cs="Arial"/>
        </w:rPr>
        <w:fldChar w:fldCharType="begin"/>
      </w:r>
      <w:r w:rsidR="00C91DC3">
        <w:rPr>
          <w:rFonts w:ascii="Arial" w:hAnsi="Arial" w:cs="Arial"/>
        </w:rPr>
        <w:instrText xml:space="preserve"> ADDIN ZOTERO_ITEM CSL_CITATION {"citationID":"IOpzwzhX","properties":{"formattedCitation":"(Maycotte et al., 2025)","plainCitation":"(Maycotte et al., 2025)","dontUpdate":true,"noteIndex":0},"citationItems":[{"id":13938,"uris":["http://zotero.org/users/local/JyjMxVLY/items/XJ2B7B5N"],"itemData":{"id":13938,"type":"article-journal","abstract":"New digital technologies are changing how firms conduct business, and developing digital capabilities is becoming increasingly crucial for resource-constrained firms in emerging markets to remain competitive upon digital disruption. However, despite this recognized necessity, there is still a limited understanding of the factors driving the development of digital capabilities in these firms, given the difference in the success rates of digital technology implementation. Employing a multi-study approach involving a quantitative survey, this work conceptualizes the development of digital capabilities in small and medium enterprises (SMEs). It validates and proposes a multi-item measurement scale (ORGDIGCAP) for assessing digital capabilities in SMEs. The scale proposes three dimensions: learning, adoption, and integration of digital technologies. However, the adoption dimension was not relevant in measuring digital capabilities. Using data from 137 SMEs in Mexico, we test the direct relationship between firm digital capabilities and digital agility and their indirect relationship through the mediating mechanism of digital strategy. Our findings provide insights into the role of digital capability advancement and digital strategy formulation in fostering digital agility for the competitiveness of SMEs in the digital age. This study contributes to understanding the key drivers of digital capability development in emerging market SMEs. It highlights the essential measures these businesses must take to succeed in the current unpredictable digital marketplace.","container-title":"Journal of Open Innovation: Technology, Market, and Complexity","DOI":"10.1016/j.joitmc.2025.100513","ISSN":"2199-8531","issue":"2","journalAbbreviation":"Journal of Open Innovation: Technology, Market, and Complexity","page":"100513","source":"ScienceDirect","title":"Digital capabilities in emerging market firms: Construct development, scale validation, and implications for SMEs","title-short":"Digital capabilities in emerging market firms","volume":"11","author":[{"family":"Maycotte","given":"Sandra"},{"family":"Alvarez-Risco","given":"Aldo"},{"family":"Garcia-Valenzuela","given":"Emma"},{"family":"Kuljis","given":"Masa"}],"issued":{"date-parts":[["2025",6,1]]}}}],"schema":"https://github.com/citation-style-language/schema/raw/master/csl-citation.json"} </w:instrText>
      </w:r>
      <w:r w:rsidR="00C91DC3" w:rsidRPr="008B0387">
        <w:rPr>
          <w:rFonts w:ascii="Arial" w:hAnsi="Arial" w:cs="Arial"/>
        </w:rPr>
        <w:fldChar w:fldCharType="separate"/>
      </w:r>
      <w:r w:rsidR="00C91DC3" w:rsidRPr="008B0387">
        <w:rPr>
          <w:rFonts w:ascii="Arial" w:hAnsi="Arial" w:cs="Arial"/>
        </w:rPr>
        <w:t>Maycotte et al. (2025)</w:t>
      </w:r>
      <w:r w:rsidR="00C91DC3" w:rsidRPr="008B0387">
        <w:rPr>
          <w:rFonts w:ascii="Arial" w:hAnsi="Arial" w:cs="Arial"/>
        </w:rPr>
        <w:fldChar w:fldCharType="end"/>
      </w:r>
      <w:r w:rsidRPr="00DF7EDF">
        <w:rPr>
          <w:rFonts w:ascii="Arial" w:eastAsia="Arial" w:hAnsi="Arial" w:cs="Arial"/>
        </w:rPr>
        <w:t xml:space="preserve">, digital transformation efforts in emerging markets often yield uneven outcomes due to varying levels of foundational readiness. This contextual gap </w:t>
      </w:r>
      <w:r w:rsidR="00C91DC3">
        <w:rPr>
          <w:rFonts w:ascii="Arial" w:eastAsia="Arial" w:hAnsi="Arial" w:cs="Arial"/>
        </w:rPr>
        <w:t>highlights the importance of comparing distinct regional ecosystems to gain a deeper understanding of the conditions under which innovation facilitates</w:t>
      </w:r>
      <w:r w:rsidRPr="00DF7EDF">
        <w:rPr>
          <w:rFonts w:ascii="Arial" w:eastAsia="Arial" w:hAnsi="Arial" w:cs="Arial"/>
        </w:rPr>
        <w:t xml:space="preserve"> digital adoption and business sustainability.</w:t>
      </w:r>
    </w:p>
    <w:p w14:paraId="6F458820" w14:textId="77777777" w:rsidR="00DF7EDF" w:rsidRPr="008B0387" w:rsidRDefault="00DF7EDF">
      <w:pPr>
        <w:pBdr>
          <w:top w:val="nil"/>
          <w:left w:val="nil"/>
          <w:bottom w:val="nil"/>
          <w:right w:val="nil"/>
          <w:between w:val="nil"/>
        </w:pBdr>
        <w:jc w:val="both"/>
        <w:rPr>
          <w:rFonts w:ascii="Arial" w:eastAsia="Arial" w:hAnsi="Arial" w:cs="Arial"/>
        </w:rPr>
      </w:pPr>
    </w:p>
    <w:p w14:paraId="7E9E627E" w14:textId="3DB2F813" w:rsidR="00C0694C" w:rsidRPr="008B0387" w:rsidRDefault="0045458C">
      <w:pPr>
        <w:pBdr>
          <w:top w:val="nil"/>
          <w:left w:val="nil"/>
          <w:bottom w:val="nil"/>
          <w:right w:val="nil"/>
          <w:between w:val="nil"/>
        </w:pBdr>
        <w:jc w:val="both"/>
        <w:rPr>
          <w:rFonts w:ascii="Arial" w:eastAsia="Arial" w:hAnsi="Arial" w:cs="Arial"/>
        </w:rPr>
      </w:pPr>
      <w:r w:rsidRPr="008B0387">
        <w:rPr>
          <w:rFonts w:ascii="Arial" w:eastAsia="Arial" w:hAnsi="Arial" w:cs="Arial"/>
        </w:rPr>
        <w:t xml:space="preserve">Prior studies reveal inconsistencies in the relationships among digital trust, AI literacy, innovation capability, and sustainability. Some findings </w:t>
      </w:r>
      <w:r w:rsidR="00B058B6" w:rsidRPr="008B0387">
        <w:rPr>
          <w:rFonts w:ascii="Arial" w:eastAsia="Arial" w:hAnsi="Arial" w:cs="Arial"/>
        </w:rPr>
        <w:t xml:space="preserve">by </w:t>
      </w:r>
      <w:r w:rsidR="00B9319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{"citationID":"vHIDYyCv","properties":{"formattedCitation":"(Dhewanto et al., 2022)","plainCitation":"(Dhewanto et al., 2022)","dontUpdate":true,"noteIndex":0},"citationItems":[{"id":12134,"uris":["http://zotero.org/users/local/JyjMxVLY/items/PAYS4PAA"],"itemData":{"id":12134,"type":"article-journal","abstract":"The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Noviyana"}],"issued":{"date-parts":[["2022"]]}}}],"schema":"https://github.com/citation-style-language/schema/raw/master/csl-citation.json"} </w:instrText>
      </w:r>
      <w:r w:rsidR="00B9319A" w:rsidRPr="008B0387">
        <w:rPr>
          <w:rFonts w:ascii="Arial" w:eastAsia="Arial" w:hAnsi="Arial" w:cs="Arial"/>
        </w:rPr>
        <w:fldChar w:fldCharType="separate"/>
      </w:r>
      <w:r w:rsidR="00B9319A" w:rsidRPr="008B0387">
        <w:rPr>
          <w:rFonts w:ascii="Arial" w:hAnsi="Arial" w:cs="Arial"/>
        </w:rPr>
        <w:t>Dhewanto et al. (2022)</w:t>
      </w:r>
      <w:r w:rsidR="00B9319A" w:rsidRPr="008B0387">
        <w:rPr>
          <w:rFonts w:ascii="Arial" w:eastAsia="Arial" w:hAnsi="Arial" w:cs="Arial"/>
        </w:rPr>
        <w:fldChar w:fldCharType="end"/>
      </w:r>
      <w:r w:rsidRPr="008B0387">
        <w:rPr>
          <w:rFonts w:ascii="Arial" w:eastAsia="Arial" w:hAnsi="Arial" w:cs="Arial"/>
        </w:rPr>
        <w:t xml:space="preserve"> demonstrate that innovation capability fully mediates the effect of digital technology adoption on business sustainability. Other research </w:t>
      </w:r>
      <w:r w:rsidR="00B058B6" w:rsidRPr="008B0387">
        <w:rPr>
          <w:rFonts w:ascii="Arial" w:eastAsia="Arial" w:hAnsi="Arial" w:cs="Arial"/>
        </w:rPr>
        <w:t xml:space="preserve">by </w:t>
      </w:r>
      <w:r w:rsidR="00B9319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{"citationID":"0epVdQ5t","properties":{"formattedCitation":"(Busyeri et al., 2024)","plainCitation":"(Busyeri et al., 2024)","dontUpdate":true,"noteIndex":0},"citationItems":[{"id":12829,"uris":["http://zotero.org/users/local/JyjMxVLY/items/EAZQ6L42"],"itemData":{"id":12829,"type":"article-journal","abstract":"Micro, Small, and Medium Enterprises (MSMEs) in Cimahi City possess strategic potential, particularly in the food and beverage sector. Cimahi is one of the cities experiencing growth in the number of MSMEs, with a growth rate of 50.24%. However, the increase in the number of MSMEs has not been accompanied by consistent revenue growth, which has fluctuated from 2019 to 2023. Several challenges have been identified, including a lack of basic entrepreneurial knowledge among the workforce, insufficient self-reliance in entrepreneurship, and limited proficiency in the use of technology. To address these performance issues, it is crucial for MSME actors to create added value by strengthening strategic agility and innovation capability. The objective of this study is to examine the impact of strategic agility on business performance, mediated by innovation capability. The study sample consists of 106 MSMEs, selected using probability sampling with a cluster sampling technique. Descriptive analysis results categorize business performance and innovation capability as moderate, while strategic agility is categorized as high. The research findings indicate that strategic agility does not affect innovation capability, strategic agility influences business performance, innovation capability affects business performance, and innovation capability does not mediate the influence of intellectual capital on business performance.","container-title":"Dinasti International Journal of Education Management And Social Science","DOI":"10.38035/dijemss.v5i6.3238","ISSN":"2686-6331","issue":"6","language":"en","page":"2317-2330","source":"dinastipub.org","title":"The Role Of Innovation Capability In Mediating The Effect Of Strategic Agility On Business Performance Of Smes In The Food And Beverage Sector In Cimahi","volume":"5","author":[{"family":"Busyeri","given":"Azzam Tiar"},{"family":"Rofaida","given":"Rofi"},{"family":"Hadijah","given":"Hady Siti"},{"family":"Kurniawan","given":"Asep"}],"issued":{"date-parts":[["2024",8,27]]}}}],"schema":"https://github.com/citation-style-language/schema/raw/master/csl-citation.json"} </w:instrText>
      </w:r>
      <w:r w:rsidR="00B9319A" w:rsidRPr="008B0387">
        <w:rPr>
          <w:rFonts w:ascii="Arial" w:eastAsia="Arial" w:hAnsi="Arial" w:cs="Arial"/>
        </w:rPr>
        <w:fldChar w:fldCharType="separate"/>
      </w:r>
      <w:r w:rsidR="00B9319A" w:rsidRPr="008B0387">
        <w:rPr>
          <w:rFonts w:ascii="Arial" w:hAnsi="Arial" w:cs="Arial"/>
        </w:rPr>
        <w:t>Busyeri et al. (2024)</w:t>
      </w:r>
      <w:r w:rsidR="00B9319A" w:rsidRPr="008B0387">
        <w:rPr>
          <w:rFonts w:ascii="Arial" w:eastAsia="Arial" w:hAnsi="Arial" w:cs="Arial"/>
        </w:rPr>
        <w:fldChar w:fldCharType="end"/>
      </w:r>
      <w:r w:rsidRPr="008B0387">
        <w:rPr>
          <w:rFonts w:ascii="Arial" w:eastAsia="Arial" w:hAnsi="Arial" w:cs="Arial"/>
        </w:rPr>
        <w:t xml:space="preserve"> suggests that the mediating role of innovation capability becomes weak when digital trust is low. Additional studies</w:t>
      </w:r>
      <w:r w:rsidR="00B058B6" w:rsidRPr="008B0387">
        <w:rPr>
          <w:rFonts w:ascii="Arial" w:eastAsia="Arial" w:hAnsi="Arial" w:cs="Arial"/>
        </w:rPr>
        <w:t>,</w:t>
      </w:r>
      <w:r w:rsidRPr="008B0387">
        <w:rPr>
          <w:rFonts w:ascii="Arial" w:eastAsia="Arial" w:hAnsi="Arial" w:cs="Arial"/>
        </w:rPr>
        <w:t xml:space="preserve"> </w:t>
      </w:r>
      <w:r w:rsidR="00B9319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{"citationID":"mRNQu2br","properties":{"formattedCitation":"(Purnami et al., 2022; Verdiana &amp; Fachir, 2023)","plainCitation":"(Purnami et al., 2022; Verdiana &amp; Fachir, 2023)","dontUpdate":true,"noteIndex":0},"citationItems":[{"id":12833,"uris":["http://zotero.org/users/local/JyjMxVLY/items/JACUB9PC"],"itemData":{"id":12833,"type":"article-journal","abstract":"Small and Medium Enterprises (SMEs) is one of the businesses that is currently in the spotlight which is classified as a tool for a country's economic growth. So far, the role of SMEs is believed to be able to drive the economy of a region and a country. The huge potential of SMEs will be threatened if their performance is still poor, especially until now the world is still hit by the COVID-19 pandemic. This study aims to answer the main problem, namely how the role of innovation capability in mediating the influence of social capital and entrepreneurial leadership on the performance of SMEs. The population of this study is all SMEs in Denpasar City with a total of 1489 SMEs, then by using the Slovin formula approach at an error threshold of 5%, a sample of 315 is obtained. The sampling method used in this study is the convenience sampling method. The data analysis technique used to test the hypothesis is to use a structural equation model, with the help of SmartPLS V.3.2.9 Software. The results of the study show that social capital has a significant direct effect on the business performance of SMEs in Denpasar City, but the role of innovation capability has not been able to mediate in producing more comprehensive results. Furthermore, entrepreneurial leadership has not directly been able to improve its business performance, although it is directly able to encourage the innovation capabilities of SMEs. However, this increase in innovation has not been able to improve the performance of SMEs. with the help of Software SmartPLS V.3.2.9. The results of the study show that social capital has a significant direct effect on the business performance of SMEs in Denpasar City, but the role of innovation capability has not been able to mediate in producing more comprehensive results. Furthermore, entrepreneurial leadership has not directly been able to improve its business performance, although it is directly able to encourage the innovation capabilities of SMEs. However, this increase in innovation has not been able to improve the performance of SMEs. with the help of Software SmartPLS V.3.2.9. The results of the study show that social capital has a significant direct effect on the business performance of SMEs in Denpasar City, but the role of innovation capability has not been able to mediate in producing more comprehensive results. Furthermore, entrepreneurial leadership has not directly been able to improve its business performance, although it is directly able to encourage the innovation capabilities of SMEs. However, this increase in innovation has not been able to improve the performance of SMEs. Furthermore, entrepreneurial leadership has not directly been able to improve its business performance, although it is directly able to encourage the innovation capabilities of SMEs. However, this increase in innovation has not been able to improve the performance of SMEs. Furthermore, entrepreneurial leadership has not directly been able to improve its business performance, although it is directly able to encourage the innovation capabilities of SMEs. However, this increase in innovation has not been able to improve the performance of SMEs","container-title":"International Journal of Progressive Sciences and Technologies","DOI":"10.52155/ijpsat.v35.1.4702","ISSN":"2509-0119","issue":"1","language":"en","license":"Copyright (c) 2022 Anak Agung Sri Purnami, Anak Agung Erna Trisnadewi, I Gusti Lanang Putra","note":"number: 1","page":"209-221","source":"ijpsat.org","title":"The Role Of Innovation Capability In Mediation Of Social Capital Relationship And Entrepreneurship Leadership To Sme Performance In Denpasar City","volume":"35","author":[{"family":"Purnami","given":"Anak Agung Sri"},{"family":"Trisnadewi","given":"Anak Agung Erna"},{"family":"Putra","given":"I. Gusti Lanang"}],"issued":{"date-parts":[["2022",11,7]]}}},{"id":12826,"uris":["http://zotero.org/users/local/JyjMxVLY/items/HU9WSZ96"],"itemData":{"id":12826,"type":"article-journal","issue":"2","language":"id","source":"Zotero","title":"The Growth Role of Artificial Intelligence (AI) in Strategy Management in UMKM","volume":"2","author":[{"family":"Verdiana","given":"Yuni Qoriah"},{"family":"Fachir","given":"Zidane Azrulludin"}],"issued":{"date-parts":[["2023"]]}}}],"schema":"https://github.com/citation-style-language/schema/raw/master/csl-citation.json"} </w:instrText>
      </w:r>
      <w:r w:rsidR="00B9319A" w:rsidRPr="008B0387">
        <w:rPr>
          <w:rFonts w:ascii="Arial" w:eastAsia="Arial" w:hAnsi="Arial" w:cs="Arial"/>
        </w:rPr>
        <w:fldChar w:fldCharType="separate"/>
      </w:r>
      <w:r w:rsidR="00B9319A" w:rsidRPr="008B0387">
        <w:rPr>
          <w:rFonts w:ascii="Arial" w:hAnsi="Arial" w:cs="Arial"/>
        </w:rPr>
        <w:t xml:space="preserve">Purnami et al. </w:t>
      </w:r>
      <w:r w:rsidR="008806BA" w:rsidRPr="008B0387">
        <w:rPr>
          <w:rFonts w:ascii="Arial" w:hAnsi="Arial" w:cs="Arial"/>
        </w:rPr>
        <w:t>(</w:t>
      </w:r>
      <w:r w:rsidR="00B9319A" w:rsidRPr="008B0387">
        <w:rPr>
          <w:rFonts w:ascii="Arial" w:hAnsi="Arial" w:cs="Arial"/>
        </w:rPr>
        <w:t>2022</w:t>
      </w:r>
      <w:r w:rsidR="008806BA" w:rsidRPr="008B0387">
        <w:rPr>
          <w:rFonts w:ascii="Arial" w:hAnsi="Arial" w:cs="Arial"/>
        </w:rPr>
        <w:t xml:space="preserve">) and </w:t>
      </w:r>
      <w:r w:rsidR="00B9319A" w:rsidRPr="008B0387">
        <w:rPr>
          <w:rFonts w:ascii="Arial" w:hAnsi="Arial" w:cs="Arial"/>
        </w:rPr>
        <w:t xml:space="preserve">Verdiana &amp; Fachir </w:t>
      </w:r>
      <w:r w:rsidR="008806BA" w:rsidRPr="008B0387">
        <w:rPr>
          <w:rFonts w:ascii="Arial" w:hAnsi="Arial" w:cs="Arial"/>
        </w:rPr>
        <w:t>(</w:t>
      </w:r>
      <w:r w:rsidR="00B9319A" w:rsidRPr="008B0387">
        <w:rPr>
          <w:rFonts w:ascii="Arial" w:hAnsi="Arial" w:cs="Arial"/>
        </w:rPr>
        <w:t>2023)</w:t>
      </w:r>
      <w:r w:rsidR="00B9319A" w:rsidRPr="008B0387">
        <w:rPr>
          <w:rFonts w:ascii="Arial" w:eastAsia="Arial" w:hAnsi="Arial" w:cs="Arial"/>
        </w:rPr>
        <w:fldChar w:fldCharType="end"/>
      </w:r>
      <w:r w:rsidR="00B058B6" w:rsidRPr="008B0387">
        <w:rPr>
          <w:rFonts w:ascii="Arial" w:eastAsia="Arial" w:hAnsi="Arial" w:cs="Arial"/>
        </w:rPr>
        <w:t>,</w:t>
      </w:r>
      <w:r w:rsidR="008D7AC7" w:rsidRPr="008B0387">
        <w:rPr>
          <w:rFonts w:ascii="Arial" w:eastAsia="Arial" w:hAnsi="Arial" w:cs="Arial"/>
        </w:rPr>
        <w:t xml:space="preserve"> and </w:t>
      </w:r>
      <w:r w:rsidR="008D7AC7" w:rsidRPr="008B0387">
        <w:rPr>
          <w:rFonts w:ascii="Arial" w:eastAsia="Arial" w:hAnsi="Arial" w:cs="Arial"/>
        </w:rPr>
        <w:fldChar w:fldCharType="begin"/>
      </w:r>
      <w:r w:rsidR="009646CF">
        <w:rPr>
          <w:rFonts w:ascii="Arial" w:eastAsia="Arial" w:hAnsi="Arial" w:cs="Arial"/>
        </w:rPr>
        <w:instrText xml:space="preserve"> ADDIN ZOTERO_ITEM CSL_CITATION {"citationID":"zstAv650","properties":{"formattedCitation":"(OECD, 2022)","plainCitation":"(OECD, 2022)","dontUpdate":true,"noteIndex":0},"citationItems":[{"id":13911,"uris":["http://zotero.org/users/local/JyjMxVLY/items/8J6P5TLR"],"itemData":{"id":13911,"type":"webpage","abstract":"Empowering SMEs and entrepreneurs is crucial to sustainable and inclusive growth. They fuel innovation and competition, sustain competitiveness in global markets and value chains, provide a main source of employment, champion inclusion and represent the lifeblood of local economies and communities. They are also pivotal in the transition of economies to a digital and sustainable future. The OECD works with countries and regions to develop policies that strengthen the resilience of SMEs and entrepreneurs and unlock their potential in a changing global landscape.","container-title":"OECD","language":"en","title":"SMEs and entrepreneurship","URL":"https://www.oecd.org/en/topics/smes-and-entrepreneurship.html","author":[{"family":"OECD","given":"OECD"}],"accessed":{"date-parts":[["2025",9,28]]},"issued":{"date-parts":[["2022"]]}},"label":"page"}],"schema":"https://github.com/citation-style-language/schema/raw/master/csl-citation.json"} </w:instrText>
      </w:r>
      <w:r w:rsidR="008D7AC7" w:rsidRPr="008B0387">
        <w:rPr>
          <w:rFonts w:ascii="Arial" w:eastAsia="Arial" w:hAnsi="Arial" w:cs="Arial"/>
        </w:rPr>
        <w:fldChar w:fldCharType="separate"/>
      </w:r>
      <w:r w:rsidR="008D7AC7" w:rsidRPr="008B0387">
        <w:rPr>
          <w:rFonts w:ascii="Arial" w:hAnsi="Arial" w:cs="Arial"/>
        </w:rPr>
        <w:t xml:space="preserve">OECD </w:t>
      </w:r>
      <w:r w:rsidR="00995129" w:rsidRPr="008B0387">
        <w:rPr>
          <w:rFonts w:ascii="Arial" w:hAnsi="Arial" w:cs="Arial"/>
        </w:rPr>
        <w:t>(</w:t>
      </w:r>
      <w:r w:rsidR="008D7AC7" w:rsidRPr="008B0387">
        <w:rPr>
          <w:rFonts w:ascii="Arial" w:hAnsi="Arial" w:cs="Arial"/>
        </w:rPr>
        <w:t>2022)</w:t>
      </w:r>
      <w:r w:rsidR="008D7AC7" w:rsidRPr="008B0387">
        <w:rPr>
          <w:rFonts w:ascii="Arial" w:eastAsia="Arial" w:hAnsi="Arial" w:cs="Arial"/>
        </w:rPr>
        <w:fldChar w:fldCharType="end"/>
      </w:r>
      <w:r w:rsidR="00B9319A" w:rsidRPr="008B0387">
        <w:rPr>
          <w:rFonts w:ascii="Arial" w:eastAsia="Arial" w:hAnsi="Arial" w:cs="Arial"/>
        </w:rPr>
        <w:t xml:space="preserve"> </w:t>
      </w:r>
      <w:r w:rsidRPr="008B0387">
        <w:rPr>
          <w:rFonts w:ascii="Arial" w:eastAsia="Arial" w:hAnsi="Arial" w:cs="Arial"/>
        </w:rPr>
        <w:t>indicate that AI literacy may affect sustainability either directly or indirectly</w:t>
      </w:r>
      <w:r w:rsidR="00DD1298" w:rsidRPr="008B0387">
        <w:rPr>
          <w:rFonts w:ascii="Arial" w:eastAsia="Arial" w:hAnsi="Arial" w:cs="Arial"/>
        </w:rPr>
        <w:t>,</w:t>
      </w:r>
      <w:r w:rsidRPr="008B0387">
        <w:rPr>
          <w:rFonts w:ascii="Arial" w:eastAsia="Arial" w:hAnsi="Arial" w:cs="Arial"/>
        </w:rPr>
        <w:t xml:space="preserve"> depending on contextual conditions. </w:t>
      </w:r>
      <w:r w:rsidR="00CC1980" w:rsidRPr="008B0387">
        <w:rPr>
          <w:rFonts w:ascii="Arial" w:hAnsi="Arial" w:cs="Arial"/>
        </w:rPr>
        <w:fldChar w:fldCharType="begin"/>
      </w:r>
      <w:r w:rsidR="00886C63">
        <w:rPr>
          <w:rFonts w:ascii="Arial" w:hAnsi="Arial" w:cs="Arial"/>
        </w:rPr>
        <w:instrText xml:space="preserve"> ADDIN ZOTERO_ITEM CSL_CITATION {"citationID":"XQCNw4Yf","properties":{"formattedCitation":"(Maycotte et al., 2025)","plainCitation":"(Maycotte et al., 2025)","dontUpdate":true,"noteIndex":0},"citationItems":[{"id":13938,"uris":["http://zotero.org/users/local/JyjMxVLY/items/XJ2B7B5N"],"itemData":{"id":13938,"type":"article-journal","abstract":"New digital technologies are changing how firms conduct business, and developing digital capabilities is becoming increasingly crucial for resource-constrained firms in emerging markets to remain competitive upon digital disruption. However, despite this recognized necessity, there is still a limited understanding of the factors driving the development of digital capabilities in these firms, given the difference in the success rates of digital technology implementation. Employing a multi-study approach involving a quantitative survey, this work conceptualizes the development of digital capabilities in small and medium enterprises (SMEs). It validates and proposes a multi-item measurement scale (ORGDIGCAP) for assessing digital capabilities in SMEs. The scale proposes three dimensions: learning, adoption, and integration of digital technologies. However, the adoption dimension was not relevant in measuring digital capabilities. Using data from 137 SMEs in Mexico, we test the direct relationship between firm digital capabilities and digital agility and their indirect relationship through the mediating mechanism of digital strategy. Our findings provide insights into the role of digital capability advancement and digital strategy formulation in fostering digital agility for the competitiveness of SMEs in the digital age. This study contributes to understanding the key drivers of digital capability development in emerging market SMEs. It highlights the essential measures these businesses must take to succeed in the current unpredictable digital marketplace.","container-title":"Journal of Open Innovation: Technology, Market, and Complexity","DOI":"10.1016/j.joitmc.2025.100513","ISSN":"2199-8531","issue":"2","journalAbbreviation":"Journal of Open Innovation: Technology, Market, and Complexity","page":"100513","source":"ScienceDirect","title":"Digital capabilities in emerging market firms: Construct development, scale validation, and implications for SMEs","title-short":"Digital capabilities in emerging market firms","volume":"11","author":[{"family":"Maycotte","given":"Sandra"},{"family":"Alvarez-Risco","given":"Aldo"},{"family":"Garcia-Valenzuela","given":"Emma"},{"family":"Kuljis","given":"Masa"}],"issued":{"date-parts":[["2025",6,1]]}}}],"schema":"https://github.com/citation-style-language/schema/raw/master/csl-citation.json"} </w:instrText>
      </w:r>
      <w:r w:rsidR="00CC1980" w:rsidRPr="008B0387">
        <w:rPr>
          <w:rFonts w:ascii="Arial" w:hAnsi="Arial" w:cs="Arial"/>
        </w:rPr>
        <w:fldChar w:fldCharType="separate"/>
      </w:r>
      <w:r w:rsidR="00CC1980" w:rsidRPr="008B0387">
        <w:rPr>
          <w:rFonts w:ascii="Arial" w:hAnsi="Arial" w:cs="Arial"/>
        </w:rPr>
        <w:t>Maycotte et al. (2025)</w:t>
      </w:r>
      <w:r w:rsidR="00CC1980" w:rsidRPr="008B0387">
        <w:rPr>
          <w:rFonts w:ascii="Arial" w:hAnsi="Arial" w:cs="Arial"/>
        </w:rPr>
        <w:fldChar w:fldCharType="end"/>
      </w:r>
      <w:r w:rsidR="00CC1980" w:rsidRPr="008B0387">
        <w:rPr>
          <w:rFonts w:ascii="Arial" w:hAnsi="Arial" w:cs="Arial"/>
        </w:rPr>
        <w:t xml:space="preserve"> </w:t>
      </w:r>
      <w:r w:rsidR="00C91DC3">
        <w:rPr>
          <w:rFonts w:ascii="Arial" w:hAnsi="Arial" w:cs="Arial"/>
        </w:rPr>
        <w:t>reinforce</w:t>
      </w:r>
      <w:r w:rsidR="006D7CD4" w:rsidRPr="008B0387">
        <w:rPr>
          <w:rFonts w:ascii="Arial" w:hAnsi="Arial" w:cs="Arial"/>
        </w:rPr>
        <w:t xml:space="preserve"> this by showing that digital transformation efforts in emerging markets often fail without sufficient trust and digital literacy foundations. These variations highlight the importance of empirically testing an integrative model in regions with differing levels of digital maturity, such as Surabaya and Malang, and comparing the findings with global benchmarks from studies in Europe, East Asia, and Latin America.</w:t>
      </w:r>
    </w:p>
    <w:p w14:paraId="1D3569FF" w14:textId="77777777" w:rsidR="00C0694C" w:rsidRPr="008B0387" w:rsidRDefault="00C0694C">
      <w:pPr>
        <w:pBdr>
          <w:top w:val="nil"/>
          <w:left w:val="nil"/>
          <w:bottom w:val="nil"/>
          <w:right w:val="nil"/>
          <w:between w:val="nil"/>
        </w:pBdr>
        <w:jc w:val="both"/>
        <w:rPr>
          <w:rFonts w:ascii="Arial" w:eastAsia="Arial" w:hAnsi="Arial" w:cs="Arial"/>
        </w:rPr>
      </w:pPr>
    </w:p>
    <w:p w14:paraId="25302D89" w14:textId="77777777" w:rsidR="00C0694C" w:rsidRPr="008B0387" w:rsidRDefault="0045458C">
      <w:pPr>
        <w:pBdr>
          <w:top w:val="nil"/>
          <w:left w:val="nil"/>
          <w:bottom w:val="nil"/>
          <w:right w:val="nil"/>
          <w:between w:val="nil"/>
        </w:pBdr>
        <w:jc w:val="both"/>
        <w:rPr>
          <w:rFonts w:ascii="Arial" w:eastAsia="Arial" w:hAnsi="Arial" w:cs="Arial"/>
          <w:b/>
        </w:rPr>
      </w:pPr>
      <w:r w:rsidRPr="008B0387">
        <w:rPr>
          <w:rFonts w:ascii="Arial" w:eastAsia="Arial" w:hAnsi="Arial" w:cs="Arial"/>
          <w:b/>
        </w:rPr>
        <w:t>1.2 Research Objectives</w:t>
      </w:r>
    </w:p>
    <w:p w14:paraId="444FA8B3" w14:textId="77777777" w:rsidR="00C0694C" w:rsidRPr="008B0387" w:rsidRDefault="00C0694C">
      <w:pPr>
        <w:pBdr>
          <w:top w:val="nil"/>
          <w:left w:val="nil"/>
          <w:bottom w:val="nil"/>
          <w:right w:val="nil"/>
          <w:between w:val="nil"/>
        </w:pBdr>
        <w:jc w:val="both"/>
        <w:rPr>
          <w:rFonts w:ascii="Arial" w:eastAsia="Arial" w:hAnsi="Arial" w:cs="Arial"/>
        </w:rPr>
      </w:pPr>
    </w:p>
    <w:p w14:paraId="3F07C341" w14:textId="77777777" w:rsidR="00C0694C" w:rsidRPr="008B0387" w:rsidRDefault="0045458C">
      <w:pPr>
        <w:pBdr>
          <w:top w:val="nil"/>
          <w:left w:val="nil"/>
          <w:bottom w:val="nil"/>
          <w:right w:val="nil"/>
          <w:between w:val="nil"/>
        </w:pBdr>
        <w:jc w:val="both"/>
        <w:rPr>
          <w:rFonts w:ascii="Arial" w:eastAsia="Arial" w:hAnsi="Arial" w:cs="Arial"/>
        </w:rPr>
      </w:pPr>
      <w:r w:rsidRPr="008B0387">
        <w:rPr>
          <w:rFonts w:ascii="Arial" w:eastAsia="Arial" w:hAnsi="Arial" w:cs="Arial"/>
        </w:rPr>
        <w:t xml:space="preserve">This study aims to develop and empirically validate an integrative conceptual model that positions digital trust, AI literacy, and innovation capability as determinants of MSME sustainability. Specifically, the study seeks to: </w:t>
      </w:r>
    </w:p>
    <w:p w14:paraId="27DA617E" w14:textId="77777777" w:rsidR="00C0694C" w:rsidRPr="008B0387" w:rsidRDefault="00C0694C">
      <w:pPr>
        <w:pBdr>
          <w:top w:val="nil"/>
          <w:left w:val="nil"/>
          <w:bottom w:val="nil"/>
          <w:right w:val="nil"/>
          <w:between w:val="nil"/>
        </w:pBdr>
        <w:jc w:val="both"/>
        <w:rPr>
          <w:rFonts w:ascii="Arial" w:eastAsia="Arial" w:hAnsi="Arial" w:cs="Arial"/>
        </w:rPr>
      </w:pPr>
    </w:p>
    <w:p w14:paraId="7FDAE02F" w14:textId="77777777" w:rsidR="00C0694C" w:rsidRPr="008B0387" w:rsidRDefault="0045458C">
      <w:pPr>
        <w:numPr>
          <w:ilvl w:val="0"/>
          <w:numId w:val="14"/>
        </w:numPr>
        <w:pBdr>
          <w:top w:val="nil"/>
          <w:left w:val="nil"/>
          <w:bottom w:val="nil"/>
          <w:right w:val="nil"/>
          <w:between w:val="nil"/>
        </w:pBdr>
        <w:jc w:val="both"/>
        <w:rPr>
          <w:rFonts w:ascii="Arial" w:eastAsia="Arial" w:hAnsi="Arial" w:cs="Arial"/>
        </w:rPr>
      </w:pPr>
      <w:r w:rsidRPr="008B0387">
        <w:rPr>
          <w:rFonts w:ascii="Arial" w:eastAsia="Arial" w:hAnsi="Arial" w:cs="Arial"/>
        </w:rPr>
        <w:t xml:space="preserve">Examine the direct influence of digital trust on MSME sustainability. </w:t>
      </w:r>
    </w:p>
    <w:p w14:paraId="0AD75ADF" w14:textId="77777777" w:rsidR="00C0694C" w:rsidRPr="008B0387" w:rsidRDefault="0045458C">
      <w:pPr>
        <w:numPr>
          <w:ilvl w:val="0"/>
          <w:numId w:val="14"/>
        </w:numPr>
        <w:pBdr>
          <w:top w:val="nil"/>
          <w:left w:val="nil"/>
          <w:bottom w:val="nil"/>
          <w:right w:val="nil"/>
          <w:between w:val="nil"/>
        </w:pBdr>
        <w:jc w:val="both"/>
        <w:rPr>
          <w:rFonts w:ascii="Arial" w:eastAsia="Arial" w:hAnsi="Arial" w:cs="Arial"/>
        </w:rPr>
      </w:pPr>
      <w:r w:rsidRPr="008B0387">
        <w:rPr>
          <w:rFonts w:ascii="Arial" w:eastAsia="Arial" w:hAnsi="Arial" w:cs="Arial"/>
        </w:rPr>
        <w:t xml:space="preserve">Analyze the role of AI literacy in shaping innovation capability and sustainability. </w:t>
      </w:r>
    </w:p>
    <w:p w14:paraId="02C5D0CB" w14:textId="77777777" w:rsidR="00C0694C" w:rsidRPr="008B0387" w:rsidRDefault="0045458C">
      <w:pPr>
        <w:numPr>
          <w:ilvl w:val="0"/>
          <w:numId w:val="14"/>
        </w:numPr>
        <w:pBdr>
          <w:top w:val="nil"/>
          <w:left w:val="nil"/>
          <w:bottom w:val="nil"/>
          <w:right w:val="nil"/>
          <w:between w:val="nil"/>
        </w:pBdr>
        <w:jc w:val="both"/>
        <w:rPr>
          <w:rFonts w:ascii="Arial" w:eastAsia="Arial" w:hAnsi="Arial" w:cs="Arial"/>
        </w:rPr>
      </w:pPr>
      <w:r w:rsidRPr="008B0387">
        <w:rPr>
          <w:rFonts w:ascii="Arial" w:eastAsia="Arial" w:hAnsi="Arial" w:cs="Arial"/>
        </w:rPr>
        <w:t xml:space="preserve">Investigate the mediating role of innovation capability in the relationship between digital trust, AI literacy, and sustainability. </w:t>
      </w:r>
    </w:p>
    <w:p w14:paraId="79E79C90" w14:textId="77777777" w:rsidR="00C0694C" w:rsidRPr="008B0387" w:rsidRDefault="0045458C">
      <w:pPr>
        <w:numPr>
          <w:ilvl w:val="0"/>
          <w:numId w:val="14"/>
        </w:numPr>
        <w:pBdr>
          <w:top w:val="nil"/>
          <w:left w:val="nil"/>
          <w:bottom w:val="nil"/>
          <w:right w:val="nil"/>
          <w:between w:val="nil"/>
        </w:pBdr>
        <w:jc w:val="both"/>
        <w:rPr>
          <w:rFonts w:ascii="Arial" w:eastAsia="Arial" w:hAnsi="Arial" w:cs="Arial"/>
        </w:rPr>
      </w:pPr>
      <w:r w:rsidRPr="008B0387">
        <w:rPr>
          <w:rFonts w:ascii="Arial" w:eastAsia="Arial" w:hAnsi="Arial" w:cs="Arial"/>
        </w:rPr>
        <w:t xml:space="preserve">Compare these relationships between Surabaya and Malang, two cities in East Java with distinct structural and cultural characteristics of digital maturity. </w:t>
      </w:r>
    </w:p>
    <w:p w14:paraId="456E2F95" w14:textId="77777777" w:rsidR="00C0694C" w:rsidRPr="008B0387" w:rsidRDefault="00C0694C">
      <w:pPr>
        <w:pBdr>
          <w:top w:val="nil"/>
          <w:left w:val="nil"/>
          <w:bottom w:val="nil"/>
          <w:right w:val="nil"/>
          <w:between w:val="nil"/>
        </w:pBdr>
        <w:jc w:val="both"/>
        <w:rPr>
          <w:rFonts w:ascii="Arial" w:eastAsia="Arial" w:hAnsi="Arial" w:cs="Arial"/>
        </w:rPr>
      </w:pPr>
    </w:p>
    <w:p w14:paraId="2F244DDB" w14:textId="4FFAC376" w:rsidR="00C0694C" w:rsidRPr="008B0387" w:rsidRDefault="0045458C">
      <w:pPr>
        <w:pBdr>
          <w:top w:val="nil"/>
          <w:left w:val="nil"/>
          <w:bottom w:val="nil"/>
          <w:right w:val="nil"/>
          <w:between w:val="nil"/>
        </w:pBdr>
        <w:jc w:val="both"/>
        <w:rPr>
          <w:rFonts w:ascii="Arial" w:eastAsia="Arial" w:hAnsi="Arial" w:cs="Arial"/>
        </w:rPr>
      </w:pPr>
      <w:r w:rsidRPr="008B0387">
        <w:rPr>
          <w:rFonts w:ascii="Arial" w:eastAsia="Arial" w:hAnsi="Arial" w:cs="Arial"/>
        </w:rPr>
        <w:t>The findings are expected to contribute to the academic literature by testing a comprehensive model of MSME sustainability in the digital era. In addition, the results are intended to provide practical insights for policymakers and stakeholders in formulating interventions that accelerate MSME digital transformation, strengthen innovation-driven competitiveness, and enhance resilience in facing dynamic global market challenges.</w:t>
      </w:r>
    </w:p>
    <w:p w14:paraId="62296327" w14:textId="77777777" w:rsidR="00F57597" w:rsidRPr="008B0387" w:rsidRDefault="00F57597">
      <w:pPr>
        <w:pBdr>
          <w:top w:val="nil"/>
          <w:left w:val="nil"/>
          <w:bottom w:val="nil"/>
          <w:right w:val="nil"/>
          <w:between w:val="nil"/>
        </w:pBdr>
        <w:jc w:val="both"/>
        <w:rPr>
          <w:rFonts w:ascii="Arial" w:eastAsia="Arial" w:hAnsi="Arial" w:cs="Arial"/>
        </w:rPr>
      </w:pPr>
    </w:p>
    <w:p w14:paraId="4839C21D" w14:textId="02328D91" w:rsidR="00F57597" w:rsidRPr="008B0387" w:rsidRDefault="00F57597" w:rsidP="00803A1F">
      <w:pPr>
        <w:pStyle w:val="NoSpacing"/>
        <w:rPr>
          <w:rFonts w:ascii="Arial" w:hAnsi="Arial" w:cs="Arial"/>
          <w:b/>
          <w:bCs/>
          <w:sz w:val="22"/>
          <w:szCs w:val="22"/>
        </w:rPr>
      </w:pPr>
      <w:r w:rsidRPr="008B0387">
        <w:rPr>
          <w:rFonts w:ascii="Arial" w:hAnsi="Arial" w:cs="Arial"/>
          <w:b/>
          <w:bCs/>
          <w:sz w:val="22"/>
          <w:szCs w:val="22"/>
        </w:rPr>
        <w:t>2. LITERATURE  REVIEW AND HYPOTHESES</w:t>
      </w:r>
    </w:p>
    <w:p w14:paraId="78522351" w14:textId="77777777" w:rsidR="00C0694C" w:rsidRPr="008B0387" w:rsidRDefault="00C0694C">
      <w:pPr>
        <w:pBdr>
          <w:top w:val="nil"/>
          <w:left w:val="nil"/>
          <w:bottom w:val="nil"/>
          <w:right w:val="nil"/>
          <w:between w:val="nil"/>
        </w:pBdr>
        <w:jc w:val="both"/>
        <w:rPr>
          <w:rFonts w:ascii="Arial" w:eastAsia="Arial" w:hAnsi="Arial" w:cs="Arial"/>
          <w:b/>
        </w:rPr>
      </w:pPr>
    </w:p>
    <w:p w14:paraId="0221D4A3" w14:textId="77777777" w:rsidR="00C0694C" w:rsidRPr="008B0387" w:rsidRDefault="0045458C">
      <w:pPr>
        <w:pBdr>
          <w:top w:val="nil"/>
          <w:left w:val="nil"/>
          <w:bottom w:val="nil"/>
          <w:right w:val="nil"/>
          <w:between w:val="nil"/>
        </w:pBdr>
        <w:jc w:val="both"/>
        <w:rPr>
          <w:rFonts w:ascii="Arial" w:eastAsia="Arial" w:hAnsi="Arial" w:cs="Arial"/>
          <w:b/>
          <w:sz w:val="22"/>
          <w:szCs w:val="22"/>
        </w:rPr>
      </w:pPr>
      <w:r w:rsidRPr="008B0387">
        <w:rPr>
          <w:rFonts w:ascii="Arial" w:eastAsia="Arial" w:hAnsi="Arial" w:cs="Arial"/>
          <w:b/>
          <w:sz w:val="22"/>
          <w:szCs w:val="22"/>
        </w:rPr>
        <w:t>2.1 Technology Acceptance Model (TAM)</w:t>
      </w:r>
    </w:p>
    <w:p w14:paraId="66E72E94" w14:textId="77777777" w:rsidR="00C0694C" w:rsidRPr="008B0387" w:rsidRDefault="00C0694C">
      <w:pPr>
        <w:pBdr>
          <w:top w:val="nil"/>
          <w:left w:val="nil"/>
          <w:bottom w:val="nil"/>
          <w:right w:val="nil"/>
          <w:between w:val="nil"/>
        </w:pBdr>
        <w:jc w:val="both"/>
        <w:rPr>
          <w:rFonts w:ascii="Arial" w:eastAsia="Arial" w:hAnsi="Arial" w:cs="Arial"/>
          <w:b/>
        </w:rPr>
      </w:pPr>
    </w:p>
    <w:p w14:paraId="37E0E1B6" w14:textId="716F224C" w:rsidR="00886C63" w:rsidRPr="00886C63" w:rsidRDefault="00886C63" w:rsidP="00886C63">
      <w:pPr>
        <w:jc w:val="both"/>
        <w:rPr>
          <w:rFonts w:ascii="Arial" w:eastAsia="Arial" w:hAnsi="Arial" w:cs="Arial"/>
          <w:lang w:val="en-ID"/>
        </w:rPr>
      </w:pPr>
      <w:r w:rsidRPr="00886C63">
        <w:rPr>
          <w:rFonts w:ascii="Arial" w:eastAsia="Arial" w:hAnsi="Arial" w:cs="Arial"/>
          <w:lang w:val="en-ID"/>
        </w:rPr>
        <w:t>The Technology Acceptance Model (TAM) is considered one of the main theoretical frameworks explaining the factors that influence the acceptance and utilisation of technology by individuals and organisations. This framework assumes that user behaviour towards a digital system is shaped by two fundamental beliefs, namely perceived usefulness and perceived ease of use. These two factors drive a person's tendency and actual actions in adopting technology</w:t>
      </w:r>
      <w:r w:rsidR="001C28FF">
        <w:rPr>
          <w:rFonts w:ascii="Arial" w:eastAsia="Arial" w:hAnsi="Arial" w:cs="Arial"/>
          <w:lang w:val="en-ID"/>
        </w:rPr>
        <w:t xml:space="preserve"> </w:t>
      </w:r>
      <w:r>
        <w:rPr>
          <w:rFonts w:ascii="Arial" w:eastAsia="Arial" w:hAnsi="Arial" w:cs="Arial"/>
          <w:lang w:val="en-ID"/>
        </w:rPr>
        <w:fldChar w:fldCharType="begin"/>
      </w:r>
      <w:r>
        <w:rPr>
          <w:rFonts w:ascii="Arial" w:eastAsia="Arial" w:hAnsi="Arial" w:cs="Arial"/>
          <w:lang w:val="en-ID"/>
        </w:rPr>
        <w:instrText xml:space="preserve"> ADDIN ZOTERO_ITEM CSL_CITATION {"citationID":"KX81DTqH","properties":{"formattedCitation":"(Davis, 1985; Venkatesh et al., 2012)","plainCitation":"(Davis, 1985; Venkatesh et al., 2012)","noteIndex":0},"citationItems":[{"id":502,"uris":["http://zotero.org/users/local/JyjMxVLY/items/ICBEL5G3"],"itemData":{"id":502,"type":"article-journal","abstract":"Thesis (Ph. D.)--Massachusetts Institute of Technology, Sloan School of Management, 1986. Includes bibliographical references (leaves 233-250). Photocopy.","source":"ResearchGate","title":"A Technology Acceptance Model for Empirically Testing New End-User Information Systems","author":[{"family":"Davis","given":"Fred"}],"issued":{"date-parts":[["1985",1,1]]}},"label":"page"},{"id":13880,"uris":["http://zotero.org/users/local/JyjMxVLY/items/LI7CJ7NU"],"itemData":{"id":13880,"type":"article-journal","abstract":"This paper extends the unified theory of acceptance and use of technology (UTAUT) to study acceptance and use of technology in a consumer context. Our proposed UTAUT2 incorporates three constructs into UTAUT: hedonic motivation, price value, and habit. Individual differences ? namely, age, gender, and experience ? are hypothesized to moderate the effects of these constructs on behavioral intention and technology use. Results from a two-stage online survey, with technology use data collected four months after the first survey, of 1,512 mobile Internet consumers supported our model Compared to UTAUT, the extensions proposed in UTAUT2 produced a substantial improvement in the variance explained in behavioral intention (56 percent to 74 percent) and technology use (40 percent to 52 percent). The theoretical and managerial implications of these results are discussed.","container-title":"MIS Quarterly","DOI":"10.2307/41410412","ISSN":"0276-7783","issue":"1","note":"publisher: Management Information Systems Research Center, University of Minnesota","page":"157-178","source":"JSTOR","title":"Consumer Acceptance and Use of Information Technology: Extending the Unified Theory of Acceptance and Use of Technology","title-short":"Consumer Acceptance and Use of Information Technology","volume":"36","author":[{"family":"Venkatesh","given":"Viswanath"},{"family":"Thong","given":"James Y. L."},{"family":"Xu","given":"Xin"}],"issued":{"date-parts":[["2012"]]}},"label":"page"}],"schema":"https://github.com/citation-style-language/schema/raw/master/csl-citation.json"} </w:instrText>
      </w:r>
      <w:r>
        <w:rPr>
          <w:rFonts w:ascii="Arial" w:eastAsia="Arial" w:hAnsi="Arial" w:cs="Arial"/>
          <w:lang w:val="en-ID"/>
        </w:rPr>
        <w:fldChar w:fldCharType="separate"/>
      </w:r>
      <w:r w:rsidRPr="00886C63">
        <w:rPr>
          <w:rFonts w:ascii="Arial" w:hAnsi="Arial" w:cs="Arial"/>
        </w:rPr>
        <w:t>(Davis, 1985; Venkatesh et al., 2012)</w:t>
      </w:r>
      <w:r>
        <w:rPr>
          <w:rFonts w:ascii="Arial" w:eastAsia="Arial" w:hAnsi="Arial" w:cs="Arial"/>
          <w:lang w:val="en-ID"/>
        </w:rPr>
        <w:fldChar w:fldCharType="end"/>
      </w:r>
      <w:r w:rsidRPr="00886C63">
        <w:rPr>
          <w:rFonts w:ascii="Arial" w:eastAsia="Arial" w:hAnsi="Arial" w:cs="Arial"/>
          <w:lang w:val="en-ID"/>
        </w:rPr>
        <w:t xml:space="preserve">. In this study, the TAM approach is used to describe the role of digital trust and artificial intelligence (AI) literacy in influencing the attitudes and intentions of micro, small, and medium enterprises (MSMEs) towards the application of artificial intelligence-based technology. Trust in digital systems acts as a psychological driver that reinforces belief in the benefits and security of technology platforms. When business actors feel that the systems they use are trustworthy, reliable, and secure in protecting data, their desire to adopt and use technology on an ongoing basis will increase </w:t>
      </w:r>
      <w:r w:rsidR="001C28FF">
        <w:rPr>
          <w:rFonts w:ascii="Arial" w:eastAsia="Arial" w:hAnsi="Arial" w:cs="Arial"/>
          <w:lang w:val="en-ID"/>
        </w:rPr>
        <w:fldChar w:fldCharType="begin"/>
      </w:r>
      <w:r w:rsidR="001C28FF">
        <w:rPr>
          <w:rFonts w:ascii="Arial" w:eastAsia="Arial" w:hAnsi="Arial" w:cs="Arial"/>
          <w:lang w:val="en-ID"/>
        </w:rPr>
        <w:instrText xml:space="preserve"> ADDIN ZOTERO_ITEM CSL_CITATION {"citationID":"HdkkRkGh","properties":{"formattedCitation":"(Khatib et al., 2024)","plainCitation":"(Khatib et al., 2024)","noteIndex":0},"citationItems":[{"id":13474,"uris":["http://zotero.org/users/local/JyjMxVLY/items/ARYX4HSN"],"itemData":{"id":13474,"type":"article-journal","abstract":"Abstract:\nThe existence of trust in the work environment is significant to organizational performance and competitiveness in an increasingly universal market (Combs et al., 2015). Several studies (Olivier, 2017) (Stephanie et al., 2014) has showed that promoting trusting relationships by an organization is an essential criterion of competitive advantage. Organizations that enhance of trust internally and externally earn advantages such as, attract loyal customers, high performance by employee and good position in market (Roderick and Roy, 2010). Furthermore, trust has several benefits on firms’ outcomes such as increase sales, high profits, minimize worker turnover and employees achieve high level of cooperation among others.\nLack of&amp;nbsp;trust in government threatens the desire of people and business obey to government policies and participate to a potential economic recovery (Tao and Yunfan, 2010).&amp;nbsp;The validity of organizations is construct based on the presence of trust and is significant for preserving social cohesion. A study was conducted by (Nils and Darja, 2008) showed that the impact of lacking trust in an organization resulted in several disadvantages such as, reduction in performance, work quality, sharing information, spirits of workers and increase in group combats. In addition, the employees prefer individual interest over group interest and expect negative comments from the manager. This result in, high supervision from mangers on employees that decreased the level of trust. Therefore, the presence of trust is essential to governments, organizations both public and private in providing services.","container-title":"International Journal of Business Analytics and Security (IJBAS)","ISSN":"2958-5791","issue":"2","language":"en","license":"Copyright (c) 2024 International Journal of Business Analytics and Security (IJBAS)","note":"number: 2","page":"16-38","source":"journals.gaftim.com","title":"The importance of Trust in digital transformation and SMART Government initiatives","volume":"4","author":[{"family":"Khatib","given":"Mounir El"},{"family":"AlMansoori","given":"Abdulrahman Ahmed"},{"family":"Alsuwidi","given":"Saeed"}],"issued":{"date-parts":[["2024",5,1]]}},"label":"page"}],"schema":"https://github.com/citation-style-language/schema/raw/master/csl-citation.json"} </w:instrText>
      </w:r>
      <w:r w:rsidR="001C28FF">
        <w:rPr>
          <w:rFonts w:ascii="Arial" w:eastAsia="Arial" w:hAnsi="Arial" w:cs="Arial"/>
          <w:lang w:val="en-ID"/>
        </w:rPr>
        <w:fldChar w:fldCharType="separate"/>
      </w:r>
      <w:r w:rsidR="001C28FF" w:rsidRPr="001C28FF">
        <w:rPr>
          <w:rFonts w:ascii="Arial" w:hAnsi="Arial" w:cs="Arial"/>
        </w:rPr>
        <w:t>(Khatib et al., 2024)</w:t>
      </w:r>
      <w:r w:rsidR="001C28FF">
        <w:rPr>
          <w:rFonts w:ascii="Arial" w:eastAsia="Arial" w:hAnsi="Arial" w:cs="Arial"/>
          <w:lang w:val="en-ID"/>
        </w:rPr>
        <w:fldChar w:fldCharType="end"/>
      </w:r>
      <w:r w:rsidRPr="00886C63">
        <w:rPr>
          <w:rFonts w:ascii="Arial" w:eastAsia="Arial" w:hAnsi="Arial" w:cs="Arial"/>
          <w:lang w:val="en-ID"/>
        </w:rPr>
        <w:t>.</w:t>
      </w:r>
    </w:p>
    <w:p w14:paraId="493FD517" w14:textId="0600FEEE" w:rsidR="00886C63" w:rsidRPr="00886C63" w:rsidRDefault="00886C63" w:rsidP="00886C63">
      <w:pPr>
        <w:jc w:val="both"/>
        <w:rPr>
          <w:rFonts w:ascii="Arial" w:eastAsia="Arial" w:hAnsi="Arial" w:cs="Arial"/>
          <w:lang w:val="en-ID"/>
        </w:rPr>
      </w:pPr>
      <w:r w:rsidRPr="00886C63">
        <w:rPr>
          <w:rFonts w:ascii="Arial" w:eastAsia="Arial" w:hAnsi="Arial" w:cs="Arial"/>
          <w:lang w:val="en-ID"/>
        </w:rPr>
        <w:t>In addition to digital trust, artificial intelligence literacy plays an important role in deepening the TAM framework by highlighting the cognitive aspects and technical capabilities of users to understand and evaluate the functions of AI technology in business processes. A high level of literacy enables users to assess the potential and benefits of AI implementation more objectively, while also improving perceptions of the operational ease of the technology</w:t>
      </w:r>
      <w:r w:rsidR="00DA579E">
        <w:rPr>
          <w:rFonts w:ascii="Arial" w:eastAsia="Arial" w:hAnsi="Arial" w:cs="Arial"/>
          <w:lang w:val="en-ID"/>
        </w:rPr>
        <w:t xml:space="preserve"> </w:t>
      </w:r>
      <w:r w:rsidR="00DA579E">
        <w:rPr>
          <w:rFonts w:ascii="Arial" w:eastAsia="Arial" w:hAnsi="Arial" w:cs="Arial"/>
          <w:lang w:val="en-ID"/>
        </w:rPr>
        <w:fldChar w:fldCharType="begin"/>
      </w:r>
      <w:r w:rsidR="00DA579E">
        <w:rPr>
          <w:rFonts w:ascii="Arial" w:eastAsia="Arial" w:hAnsi="Arial" w:cs="Arial"/>
          <w:lang w:val="en-ID"/>
        </w:rPr>
        <w:instrText xml:space="preserve"> ADDIN ZOTERO_ITEM CSL_CITATION {"citationID":"AzXesail","properties":{"formattedCitation":"(Alam\\uc0\\u228{}ki et al., 2024; Dwivedi et al., 2021)","plainCitation":"(Alamäki et al., 2024; Dwivedi et al., 2021)","noteIndex":0},"citationItems":[{"id":12823,"uris":["http://zotero.org/users/local/JyjMxVLY/items/F4IN76QL"],"itemData":{"id":12823,"type":"article-journal","abstract":"IntroductionThe purpose of this empirical research was to map the capabilities and perceptions of undergraduate business administration students about artifi...","DOI":"10.3389/feduc.2024.1343406","language":"en","source":"Frontiers","title":"Artificial intelligence literacy in sustainable development: A learning experiment in higher education","title-short":"Frontiers | Artificial intelligence literacy in sustainable development","URL":"https://www.frontiersin.org/journals/education/articles/10.3389/feduc.2024.1343406/full","author":[{"family":"Alamäki","given":"Ari"},{"family":"Nyberg","given":"Crister"},{"family":"Kimberley","given":"Anna"},{"family":"Salonen","given":"Arto O."}],"accessed":{"date-parts":[["2025",6,7]]},"issued":{"date-parts":[["2024"]]}},"label":"page"},{"id":13922,"uris":["http://zotero.org/users/local/JyjMxVLY/items/YRK48VHH"],"itemData":{"id":13922,"type":"article-journal","abstract":"As far back as the industrial revolution, significant development in technical innovation has succeeded in transforming numerous manual tasks and processes that had been in existence for decades where humans had reached the limits of physical capacity. Artificial Intelligence (AI) offers this same transformative potential for the augmentation and potential replacement of human tasks and activities within a wide range of industrial, intellectual and social applications. The pace of change for this new AI technological age is staggering, with new breakthroughs in algorithmic machine learning and autonomous decision-making, engendering new opportunities for continued innovation. The impact of AI could be significant, with industries ranging from: finance, healthcare, manufacturing, retail, supply chain, logistics and utilities, all potentially disrupted by the onset of AI technologies. The study brings together the collective insight from a number of leading expert contributors to highlight the significant opportunities, realistic assessment of impact, challenges and potential research agenda posed by the rapid emergence of AI within a number of domains: business and management, government, public sector, and science and technology. This research offers significant and timely insight to AI technology and its impact on the future of industry and society in general, whilst recognising the societal and industrial influence on pace and direction of AI development.","container-title":"International Journal of Information Management","DOI":"10.1016/j.ijinfomgt.2019.08.002","ISSN":"0268-4012","journalAbbreviation":"International Journal of Information Management","page":"101994","source":"ScienceDirect","title":"Artificial Intelligence (AI): Multidisciplinary perspectives on emerging challenges, opportunities, and agenda for research, practice and policy","title-short":"Artificial Intelligence (AI)","volume":"57","author":[{"family":"Dwivedi","given":"Yogesh K."},{"family":"Hughes","given":"Laurie"},{"family":"Ismagilova","given":"Elvira"},{"family":"Aarts","given":"Gert"},{"family":"Coombs","given":"Crispin"},{"family":"Crick","given":"Tom"},{"family":"Duan","given":"Yanqing"},{"family":"Dwivedi","given":"Rohita"},{"family":"Edwards","given":"John"},{"family":"Eirug","given":"Aled"},{"family":"Galanos","given":"Vassilis"},{"family":"Ilavarasan","given":"P. Vigneswara"},{"family":"Janssen","given":"Marijn"},{"family":"Jones","given":"Paul"},{"family":"Kar","given":"Arpan Kumar"},{"family":"Kizgin","given":"Hatice"},{"family":"Kronemann","given":"Bianca"},{"family":"Lal","given":"Banita"},{"family":"Lucini","given":"Biagio"},{"family":"Medaglia","given":"Rony"},{"family":"Le Meunier-FitzHugh","given":"Kenneth"},{"family":"Le Meunier-FitzHugh","given":"Leslie Caroline"},{"family":"Misra","given":"Santosh"},{"family":"Mogaji","given":"Emmanuel"},{"family":"Sharma","given":"Sujeet Kumar"},{"family":"Singh","given":"Jang Bahadur"},{"family":"Raghavan","given":"Vishnupriya"},{"family":"Raman","given":"Ramakrishnan"},{"family":"Rana","given":"Nripendra P."},{"family":"Samothrakis","given":"Spyridon"},{"family":"Spencer","given":"Jak"},{"family":"Tamilmani","given":"Kuttimani"},{"family":"Tubadji","given":"Annie"},{"family":"Walton","given":"Paul"},{"family":"Williams","given":"Michael D."}],"issued":{"date-parts":[["2021",4,1]]}},"label":"page"}],"schema":"https://github.com/citation-style-language/schema/raw/master/csl-citation.json"} </w:instrText>
      </w:r>
      <w:r w:rsidR="00DA579E">
        <w:rPr>
          <w:rFonts w:ascii="Arial" w:eastAsia="Arial" w:hAnsi="Arial" w:cs="Arial"/>
          <w:lang w:val="en-ID"/>
        </w:rPr>
        <w:fldChar w:fldCharType="separate"/>
      </w:r>
      <w:r w:rsidR="00DA579E" w:rsidRPr="00DA579E">
        <w:rPr>
          <w:rFonts w:ascii="Arial" w:hAnsi="Arial" w:cs="Arial"/>
          <w:szCs w:val="24"/>
        </w:rPr>
        <w:t>(Alamäki et al., 2024; Dwivedi et al., 2021)</w:t>
      </w:r>
      <w:r w:rsidR="00DA579E">
        <w:rPr>
          <w:rFonts w:ascii="Arial" w:eastAsia="Arial" w:hAnsi="Arial" w:cs="Arial"/>
          <w:lang w:val="en-ID"/>
        </w:rPr>
        <w:fldChar w:fldCharType="end"/>
      </w:r>
      <w:r w:rsidRPr="00886C63">
        <w:rPr>
          <w:rFonts w:ascii="Arial" w:eastAsia="Arial" w:hAnsi="Arial" w:cs="Arial"/>
          <w:lang w:val="en-ID"/>
        </w:rPr>
        <w:t>. Therefore, TAM serves as a theoretical basis that explains the relationship between digital trust and AI literacy as factors shaping technology acceptance in the SME sector. This framework emphasises that when these two factors work together, they have the potential to strengthen innovation capabilities and play an important role in maintaining business sustainability amid increasingly competitive digital transformation dynamics.</w:t>
      </w:r>
    </w:p>
    <w:p w14:paraId="4A87E05B" w14:textId="59B6D09C" w:rsidR="00AD6CA3" w:rsidRPr="00886C63" w:rsidRDefault="00AD6CA3" w:rsidP="00AD6CA3">
      <w:pPr>
        <w:jc w:val="both"/>
        <w:rPr>
          <w:rFonts w:ascii="Arial" w:eastAsia="Arial" w:hAnsi="Arial" w:cs="Arial"/>
          <w:lang w:val="en-ID"/>
        </w:rPr>
      </w:pPr>
    </w:p>
    <w:p w14:paraId="556DCA6F" w14:textId="11DF1ECF" w:rsidR="00AD6CA3" w:rsidRDefault="00AD6CA3" w:rsidP="00AD6CA3">
      <w:pPr>
        <w:jc w:val="both"/>
        <w:rPr>
          <w:rFonts w:ascii="Arial" w:eastAsia="Arial" w:hAnsi="Arial" w:cs="Arial"/>
          <w:b/>
          <w:bCs/>
        </w:rPr>
      </w:pPr>
      <w:r>
        <w:rPr>
          <w:rFonts w:ascii="Arial" w:eastAsia="Arial" w:hAnsi="Arial" w:cs="Arial"/>
          <w:b/>
          <w:bCs/>
        </w:rPr>
        <w:t>2.2 Dynamic Capabilities Theory</w:t>
      </w:r>
    </w:p>
    <w:p w14:paraId="37ADA485" w14:textId="1B8D5A6F" w:rsidR="00AD6CA3" w:rsidRDefault="00AD6CA3" w:rsidP="00AD6CA3">
      <w:pPr>
        <w:jc w:val="both"/>
        <w:rPr>
          <w:rFonts w:ascii="Arial" w:eastAsia="Arial" w:hAnsi="Arial" w:cs="Arial"/>
        </w:rPr>
      </w:pPr>
    </w:p>
    <w:p w14:paraId="7DC9C19E" w14:textId="4CDE2485" w:rsidR="00F43962" w:rsidRPr="00F43962" w:rsidRDefault="00F43962" w:rsidP="00F43962">
      <w:pPr>
        <w:jc w:val="both"/>
        <w:rPr>
          <w:rFonts w:ascii="Arial" w:hAnsi="Arial" w:cs="Arial"/>
          <w:lang w:val="en-ID"/>
        </w:rPr>
      </w:pPr>
      <w:r w:rsidRPr="00F43962">
        <w:rPr>
          <w:rFonts w:ascii="Arial" w:hAnsi="Arial" w:cs="Arial"/>
          <w:lang w:val="en-ID"/>
        </w:rPr>
        <w:t xml:space="preserve">Dynamic Capabilities Theory (DCT) highlights how organisations can survive and thrive amid rapid environmental change through the processes of learning, adaptation, and transformation of their resources </w:t>
      </w:r>
      <w:r>
        <w:rPr>
          <w:rFonts w:ascii="Arial" w:hAnsi="Arial" w:cs="Arial"/>
          <w:lang w:val="en-ID"/>
        </w:rPr>
        <w:fldChar w:fldCharType="begin"/>
      </w:r>
      <w:r>
        <w:rPr>
          <w:rFonts w:ascii="Arial" w:hAnsi="Arial" w:cs="Arial"/>
          <w:lang w:val="en-ID"/>
        </w:rPr>
        <w:instrText xml:space="preserve"> ADDIN ZOTERO_ITEM CSL_CITATION {"citationID":"ahKmmXfQ","properties":{"formattedCitation":"(Teece, 2007; Teece et al., 1997)","plainCitation":"(Teece, 2007; Teece et al., 1997)","noteIndex":0},"citationItems":[{"id":13942,"uris":["http://zotero.org/users/local/JyjMxVLY/items/FXSXNPQR"],"itemData":{"id":13942,"type":"article-journal","abstract":"This paper draws on the social and behavioral sciences in an endeavor to specify the nature and microfoundations of the capabilities necessary to sustain superior enterprise performance in an open economy with rapid innovation and globally dispersed sources of invention, innovation, and manufacturing capability. Dynamic capabilities enable business enterprises to create, deploy, and protect the intangible assets that support superior long- run business performance. The microfoundations of dynamic capabilities--the distinct skills, processes, procedures, organizational structures, decision rules, and disciplines--which undergird enterprise-level sensing, seizing, and reconfiguring capacities are difficult to develop and deploy. Enterprises with strong dynamic capabilities are intensely entrepreneurial. They not only adapt to business ecosystems, but also shape them through innovation and through collaboration with other enterprises, entities, and institutions. The framework advanced can help scholars understand the foundations of long-run enterprise success while helping managers delineate relevant strategic considerations and the priorities they must adopt to enhance enterprise performance and escape the zero profit tendency associated with operating in markets open to global competition.","container-title":"Strategic Management Journal","ISSN":"0143-2095","issue":"13","note":"publisher: Wiley","page":"1319-1350","source":"JSTOR","title":"Explicating Dynamic Capabilities: The Nature and Microfoundations of (Sustainable) Enterprise Performance","title-short":"Explicating Dynamic Capabilities","volume":"28","author":[{"family":"Teece","given":"David J."}],"issued":{"date-parts":[["2007"]]}},"label":"page"},{"id":13941,"uris":["http://zotero.org/users/local/JyjMxVLY/items/RM9AAFCY"],"itemData":{"id":13941,"type":"article-journal","abstract":"The dynamic capabilities framework analyzes the sources and methods of wealth creation and capture by private enterprise firms operating in environments of rapid technological change. The competitive advantage of firms is seen as resting on distinctive processes (ways of coordinating and combining), shaped by the firm's (specific) asset positions (such as the firm's portfolio of difficult-to-trade knowledge assets and complementary assets), and the evolution path(s) it has adopted or inherited. The importance of path dependencies is amplified where conditions of increasing returns exist. Whether and how a firm's competitive advantage is eroded depends on the stability of market demand, and the ease of replicability (expanding internally) and imitatability (replication by competitors). If correct, the framework suggests that private wealth creation in regimes of rapid technological change depends in large measure on honing internal technological, organizational, and managerial processes inside the firm. In short, identifying new opportunities and organizing effectively and efficiently to embrace them are generally more fundamental to private wealth creation than is strategizing, if by strategizing one means engaging in business conduct that keeps competitors off balance, raises rival's costs, and excludes new entrants.","container-title":"Strategic Management Journal","ISSN":"0143-2095","issue":"7","note":"publisher: Wiley","page":"509-533","source":"JSTOR","title":"Dynamic Capabilities and Strategic Management","volume":"18","author":[{"family":"Teece","given":"David J."},{"family":"Pisano","given":"Gary"},{"family":"Shuen","given":"Amy"}],"issued":{"date-parts":[["1997"]]}},"label":"page"}],"schema":"https://github.com/citation-style-language/schema/raw/master/csl-citation.json"} </w:instrText>
      </w:r>
      <w:r>
        <w:rPr>
          <w:rFonts w:ascii="Arial" w:hAnsi="Arial" w:cs="Arial"/>
          <w:lang w:val="en-ID"/>
        </w:rPr>
        <w:fldChar w:fldCharType="separate"/>
      </w:r>
      <w:r w:rsidRPr="00F43962">
        <w:rPr>
          <w:rFonts w:ascii="Arial" w:hAnsi="Arial" w:cs="Arial"/>
        </w:rPr>
        <w:t>(Teece, 2007; Teece et al., 1997)</w:t>
      </w:r>
      <w:r>
        <w:rPr>
          <w:rFonts w:ascii="Arial" w:hAnsi="Arial" w:cs="Arial"/>
          <w:lang w:val="en-ID"/>
        </w:rPr>
        <w:fldChar w:fldCharType="end"/>
      </w:r>
      <w:r w:rsidRPr="00F43962">
        <w:rPr>
          <w:rFonts w:ascii="Arial" w:hAnsi="Arial" w:cs="Arial"/>
          <w:lang w:val="en-ID"/>
        </w:rPr>
        <w:t xml:space="preserve">. The essence of this theory lies in three main activities, namely sensing, the ability of organisations to recognise emerging opportunities and threats; seizing, the capacity to optimise opportunities through strategic decision-making; and transforming, the ability to renew and reconfigure resources to remain competitive. In this study, digital trust and artificial intelligence literacy are viewed as important elements that strengthen the process of dynamic capabilities in micro, small, and medium enterprises (MSMEs). Digital trust encourages business actors to explore the potential of new technologies by reducing uncertainty and risk perception, while artificial intelligence literacy enriches the cognitive and technical capacities needed to understand and apply digital technologies effectively </w:t>
      </w:r>
      <w:r w:rsidR="004572A6">
        <w:rPr>
          <w:rFonts w:ascii="Arial" w:hAnsi="Arial" w:cs="Arial"/>
          <w:lang w:val="en-ID"/>
        </w:rPr>
        <w:fldChar w:fldCharType="begin"/>
      </w:r>
      <w:r w:rsidR="004572A6">
        <w:rPr>
          <w:rFonts w:ascii="Arial" w:hAnsi="Arial" w:cs="Arial"/>
          <w:lang w:val="en-ID"/>
        </w:rPr>
        <w:instrText xml:space="preserve"> ADDIN ZOTERO_ITEM CSL_CITATION {"citationID":"NJ0eSsk4","properties":{"formattedCitation":"(Dwivedi et al., 2021; Khatib et al., 2024)","plainCitation":"(Dwivedi et al., 2021; Khatib et al., 2024)","noteIndex":0},"citationItems":[{"id":13922,"uris":["http://zotero.org/users/local/JyjMxVLY/items/YRK48VHH"],"itemData":{"id":13922,"type":"article-journal","abstract":"As far back as the industrial revolution, significant development in technical innovation has succeeded in transforming numerous manual tasks and processes that had been in existence for decades where humans had reached the limits of physical capacity. Artificial Intelligence (AI) offers this same transformative potential for the augmentation and potential replacement of human tasks and activities within a wide range of industrial, intellectual and social applications. The pace of change for this new AI technological age is staggering, with new breakthroughs in algorithmic machine learning and autonomous decision-making, engendering new opportunities for continued innovation. The impact of AI could be significant, with industries ranging from: finance, healthcare, manufacturing, retail, supply chain, logistics and utilities, all potentially disrupted by the onset of AI technologies. The study brings together the collective insight from a number of leading expert contributors to highlight the significant opportunities, realistic assessment of impact, challenges and potential research agenda posed by the rapid emergence of AI within a number of domains: business and management, government, public sector, and science and technology. This research offers significant and timely insight to AI technology and its impact on the future of industry and society in general, whilst recognising the societal and industrial influence on pace and direction of AI development.","container-title":"International Journal of Information Management","DOI":"10.1016/j.ijinfomgt.2019.08.002","ISSN":"0268-4012","journalAbbreviation":"International Journal of Information Management","page":"101994","source":"ScienceDirect","title":"Artificial Intelligence (AI): Multidisciplinary perspectives on emerging challenges, opportunities, and agenda for research, practice and policy","title-short":"Artificial Intelligence (AI)","volume":"57","author":[{"family":"Dwivedi","given":"Yogesh K."},{"family":"Hughes","given":"Laurie"},{"family":"Ismagilova","given":"Elvira"},{"family":"Aarts","given":"Gert"},{"family":"Coombs","given":"Crispin"},{"family":"Crick","given":"Tom"},{"family":"Duan","given":"Yanqing"},{"family":"Dwivedi","given":"Rohita"},{"family":"Edwards","given":"John"},{"family":"Eirug","given":"Aled"},{"family":"Galanos","given":"Vassilis"},{"family":"Ilavarasan","given":"P. Vigneswara"},{"family":"Janssen","given":"Marijn"},{"family":"Jones","given":"Paul"},{"family":"Kar","given":"Arpan Kumar"},{"family":"Kizgin","given":"Hatice"},{"family":"Kronemann","given":"Bianca"},{"family":"Lal","given":"Banita"},{"family":"Lucini","given":"Biagio"},{"family":"Medaglia","given":"Rony"},{"family":"Le Meunier-FitzHugh","given":"Kenneth"},{"family":"Le Meunier-FitzHugh","given":"Leslie Caroline"},{"family":"Misra","given":"Santosh"},{"family":"Mogaji","given":"Emmanuel"},{"family":"Sharma","given":"Sujeet Kumar"},{"family":"Singh","given":"Jang Bahadur"},{"family":"Raghavan","given":"Vishnupriya"},{"family":"Raman","given":"Ramakrishnan"},{"family":"Rana","given":"Nripendra P."},{"family":"Samothrakis","given":"Spyridon"},{"family":"Spencer","given":"Jak"},{"family":"Tamilmani","given":"Kuttimani"},{"family":"Tubadji","given":"Annie"},{"family":"Walton","given":"Paul"},{"family":"Williams","given":"Michael D."}],"issued":{"date-parts":[["2021",4,1]]}},"label":"page"},{"id":13474,"uris":["http://zotero.org/users/local/JyjMxVLY/items/ARYX4HSN"],"itemData":{"id":13474,"type":"article-journal","abstract":"Abstract:\nThe existence of trust in the work environment is significant to organizational performance and competitiveness in an increasingly universal market (Combs et al., 2015). Several studies (Olivier, 2017) (Stephanie et al., 2014) has showed that promoting trusting relationships by an organization is an essential criterion of competitive advantage. Organizations that enhance of trust internally and externally earn advantages such as, attract loyal customers, high performance by employee and good position in market (Roderick and Roy, 2010). Furthermore, trust has several benefits on firms’ outcomes such as increase sales, high profits, minimize worker turnover and employees achieve high level of cooperation among others.\nLack of&amp;nbsp;trust in government threatens the desire of people and business obey to government policies and participate to a potential economic recovery (Tao and Yunfan, 2010).&amp;nbsp;The validity of organizations is construct based on the presence of trust and is significant for preserving social cohesion. A study was conducted by (Nils and Darja, 2008) showed that the impact of lacking trust in an organization resulted in several disadvantages such as, reduction in performance, work quality, sharing information, spirits of workers and increase in group combats. In addition, the employees prefer individual interest over group interest and expect negative comments from the manager. This result in, high supervision from mangers on employees that decreased the level of trust. Therefore, the presence of trust is essential to governments, organizations both public and private in providing services.","container-title":"International Journal of Business Analytics and Security (IJBAS)","ISSN":"2958-5791","issue":"2","language":"en","license":"Copyright (c) 2024 International Journal of Business Analytics and Security (IJBAS)","note":"number: 2","page":"16-38","source":"journals.gaftim.com","title":"The importance of Trust in digital transformation and SMART Government initiatives","volume":"4","author":[{"family":"Khatib","given":"Mounir El"},{"family":"AlMansoori","given":"Abdulrahman Ahmed"},{"family":"Alsuwidi","given":"Saeed"}],"issued":{"date-parts":[["2024",5,1]]}},"label":"page"}],"schema":"https://github.com/citation-style-language/schema/raw/master/csl-citation.json"} </w:instrText>
      </w:r>
      <w:r w:rsidR="004572A6">
        <w:rPr>
          <w:rFonts w:ascii="Arial" w:hAnsi="Arial" w:cs="Arial"/>
          <w:lang w:val="en-ID"/>
        </w:rPr>
        <w:fldChar w:fldCharType="separate"/>
      </w:r>
      <w:r w:rsidR="004572A6" w:rsidRPr="004572A6">
        <w:rPr>
          <w:rFonts w:ascii="Arial" w:hAnsi="Arial" w:cs="Arial"/>
        </w:rPr>
        <w:t>(Dwivedi et al., 2021; Khatib et al., 2024)</w:t>
      </w:r>
      <w:r w:rsidR="004572A6">
        <w:rPr>
          <w:rFonts w:ascii="Arial" w:hAnsi="Arial" w:cs="Arial"/>
          <w:lang w:val="en-ID"/>
        </w:rPr>
        <w:fldChar w:fldCharType="end"/>
      </w:r>
    </w:p>
    <w:p w14:paraId="4015D192" w14:textId="77777777" w:rsidR="00F43962" w:rsidRPr="00F43962" w:rsidRDefault="00F43962" w:rsidP="00F43962">
      <w:pPr>
        <w:jc w:val="both"/>
        <w:rPr>
          <w:rFonts w:ascii="Arial" w:hAnsi="Arial" w:cs="Arial"/>
        </w:rPr>
      </w:pPr>
    </w:p>
    <w:p w14:paraId="20159B98" w14:textId="02E8DD63" w:rsidR="00F43962" w:rsidRPr="00F43962" w:rsidRDefault="00F43962" w:rsidP="00F43962">
      <w:pPr>
        <w:jc w:val="both"/>
        <w:rPr>
          <w:rFonts w:ascii="Arial" w:hAnsi="Arial" w:cs="Arial"/>
          <w:lang w:val="en-ID"/>
        </w:rPr>
      </w:pPr>
      <w:r w:rsidRPr="00F43962">
        <w:rPr>
          <w:rFonts w:ascii="Arial" w:hAnsi="Arial" w:cs="Arial"/>
          <w:lang w:val="en-ID"/>
        </w:rPr>
        <w:t xml:space="preserve">Innovation capabilities play a tangible role in the implementation of DCT as they are the primary means for organisations to translate identified opportunities into products, processes, or services of strategic value. Through innovation, SME actors can renew their business models, accelerate adaptation, and create sustainable added value </w:t>
      </w:r>
      <w:r w:rsidR="004572A6">
        <w:rPr>
          <w:rFonts w:ascii="Arial" w:hAnsi="Arial" w:cs="Arial"/>
          <w:lang w:val="en-ID"/>
        </w:rPr>
        <w:fldChar w:fldCharType="begin"/>
      </w:r>
      <w:r w:rsidR="004572A6">
        <w:rPr>
          <w:rFonts w:ascii="Arial" w:hAnsi="Arial" w:cs="Arial"/>
          <w:lang w:val="en-ID"/>
        </w:rPr>
        <w:instrText xml:space="preserve"> ADDIN ZOTERO_ITEM CSL_CITATION {"citationID":"OyTwNbxJ","properties":{"formattedCitation":"(Lawson &amp; Samson, 2001; Wamba et al., 2017)","plainCitation":"(Lawson &amp; Samson, 2001; Wamba et al., 2017)","noteIndex":0},"citationItems":[{"id":13070,"uris":["http://zotero.org/users/local/JyjMxVLY/items/JZ27Q28N"],"itemData":{"id":13070,"type":"article-journal","abstract":"This paper draws together knowledge from a variety of fields to propose that innovation management can be viewed as a form of organisational capability. Excellent companies invest and nurture this capability, from which they execute effective innovation processes, leading to innovations in new product, services and processes, and superior business performance results. An extensive review of the literature on innovation management, along with a case study of Cisco Systems, develops a conceptual model of the firm as an innovation engine. This new operating model sees substantial investment in innovation capability as the primary engine for wealth creation, rather than the possession of physical assets. Building on the dynamic capabilities literature, an “innovation capability” construct is proposed with seven elements. These are vision and strategy, harnessing the competence base, organisational intelligence, creativity and idea management, organisational structures and systems, culture and climate, and management of technology.","container-title":"International Journal of Innovation Management","DOI":"10.1142/S1363919601000427","ISSN":"1363-9196, 1757-5877","issue":"03","journalAbbreviation":"Int. J. Innov. Mgt.","language":"en","page":"377-400","source":"DOI.org (Crossref)","title":"DEVELOPING INNOVATION CAPABILITY IN ORGANISATIONS: A DYNAMIC CAPABILITIES APPROACH","title-short":"DEVELOPING INNOVATION CAPABILITY IN ORGANISATIONS","volume":"05","author":[{"family":"Lawson","given":"Benn"},{"family":"Samson","given":"Danny"}],"issued":{"date-parts":[["2001",9]]}},"label":"page"},{"id":13928,"uris":["http://zotero.org/users/local/JyjMxVLY/items/34MIHNT7"],"itemData":{"id":13928,"type":"article-journal","abstract":"Drawing on the resource-based view and the literature on big data analytics (BDA), information system (IS) success and the business value of information technology (IT), this study proposes a big data analytics capability (BDAC) model. The study extends the above research streams by examining the direct effects of BDAC on firm performance (FPER), as well as the mediating effects of process-oriented dynamic capabilities (PODC) on the relationship between BDAC and FPER. To test our proposed research model, we used an online survey to collect data from 297 Chinese IT managers and business analysts with big data and business analytic experience. The findings confirm the value of the entanglement conceptualization of the hierarchical BDAC model, which has both direct and indirect impacts on FPER. The results also confirm the strong mediating role of PODC in improving insights and enhancing FPER. Finally, implications for practice and research are discussed.","container-title":"Journal of Business Research","DOI":"10.1016/j.jbusres.2016.08.009","ISSN":"0148-2963","journalAbbreviation":"Journal of Business Research","page":"356-365","source":"ScienceDirect","title":"Big data analytics and firm performance: Effects of dynamic capabilities","title-short":"Big data analytics and firm performance","volume":"70","author":[{"family":"Wamba","given":"Samuel Fosso"},{"family":"Gunasekaran","given":"Angappa"},{"family":"Akter","given":"Shahriar"},{"family":"Ren","given":"Steven Ji-fan"},{"family":"Dubey","given":"Rameshwar"},{"family":"Childe","given":"Stephen J."}],"issued":{"date-parts":[["2017",1,1]]}},"label":"page"}],"schema":"https://github.com/citation-style-language/schema/raw/master/csl-citation.json"} </w:instrText>
      </w:r>
      <w:r w:rsidR="004572A6">
        <w:rPr>
          <w:rFonts w:ascii="Arial" w:hAnsi="Arial" w:cs="Arial"/>
          <w:lang w:val="en-ID"/>
        </w:rPr>
        <w:fldChar w:fldCharType="separate"/>
      </w:r>
      <w:r w:rsidR="004572A6" w:rsidRPr="004572A6">
        <w:rPr>
          <w:rFonts w:ascii="Arial" w:hAnsi="Arial" w:cs="Arial"/>
        </w:rPr>
        <w:t xml:space="preserve">(Lawson &amp; Samson, 2001; Wamba </w:t>
      </w:r>
      <w:r w:rsidR="004572A6" w:rsidRPr="004572A6">
        <w:rPr>
          <w:rFonts w:ascii="Arial" w:hAnsi="Arial" w:cs="Arial"/>
        </w:rPr>
        <w:lastRenderedPageBreak/>
        <w:t>et al., 2017)</w:t>
      </w:r>
      <w:r w:rsidR="004572A6">
        <w:rPr>
          <w:rFonts w:ascii="Arial" w:hAnsi="Arial" w:cs="Arial"/>
          <w:lang w:val="en-ID"/>
        </w:rPr>
        <w:fldChar w:fldCharType="end"/>
      </w:r>
      <w:r w:rsidRPr="00F43962">
        <w:rPr>
          <w:rFonts w:ascii="Arial" w:hAnsi="Arial" w:cs="Arial"/>
          <w:lang w:val="en-ID"/>
        </w:rPr>
        <w:t>. The integration of digital trust, artificial intelligence literacy, and innovation capabilities shows that the success of organisations in the era of digital transformation depends on the extent to which these dynamic capabilities are managed synergistically. When trust in digital systems reduces resistance to change and AI literacy increases technological learning capacity, innovative capabilities will emerge as a strategic bridge to business resilience and sustainability amid increasingly complex market competition.</w:t>
      </w:r>
    </w:p>
    <w:p w14:paraId="0D50F3D8" w14:textId="77777777" w:rsidR="00C0694C" w:rsidRPr="008B0387" w:rsidRDefault="00C0694C">
      <w:pPr>
        <w:ind w:left="720"/>
        <w:jc w:val="both"/>
        <w:rPr>
          <w:rFonts w:ascii="Arial" w:eastAsia="Arial" w:hAnsi="Arial" w:cs="Arial"/>
        </w:rPr>
      </w:pPr>
    </w:p>
    <w:p w14:paraId="75A76827" w14:textId="700CE0D4" w:rsidR="00C0694C" w:rsidRPr="008B0387" w:rsidRDefault="0045458C">
      <w:pPr>
        <w:jc w:val="both"/>
        <w:rPr>
          <w:rFonts w:ascii="Arial" w:eastAsia="Arial" w:hAnsi="Arial" w:cs="Arial"/>
          <w:b/>
          <w:sz w:val="22"/>
          <w:szCs w:val="22"/>
        </w:rPr>
      </w:pPr>
      <w:r w:rsidRPr="008B0387">
        <w:rPr>
          <w:rFonts w:ascii="Arial" w:eastAsia="Arial" w:hAnsi="Arial" w:cs="Arial"/>
          <w:b/>
          <w:sz w:val="22"/>
          <w:szCs w:val="22"/>
        </w:rPr>
        <w:t>2.</w:t>
      </w:r>
      <w:r w:rsidR="004F7508">
        <w:rPr>
          <w:rFonts w:ascii="Arial" w:eastAsia="Arial" w:hAnsi="Arial" w:cs="Arial"/>
          <w:b/>
          <w:sz w:val="22"/>
          <w:szCs w:val="22"/>
        </w:rPr>
        <w:t>3</w:t>
      </w:r>
      <w:r w:rsidRPr="008B0387">
        <w:rPr>
          <w:rFonts w:ascii="Arial" w:eastAsia="Arial" w:hAnsi="Arial" w:cs="Arial"/>
          <w:b/>
          <w:sz w:val="22"/>
          <w:szCs w:val="22"/>
        </w:rPr>
        <w:t xml:space="preserve"> Business Sustainability</w:t>
      </w:r>
    </w:p>
    <w:p w14:paraId="32539355" w14:textId="78CB03D9" w:rsidR="00C0694C" w:rsidRPr="008B0387" w:rsidRDefault="0045458C">
      <w:pPr>
        <w:spacing w:before="240" w:after="240"/>
        <w:jc w:val="both"/>
        <w:rPr>
          <w:rFonts w:ascii="Arial" w:eastAsia="Arial" w:hAnsi="Arial" w:cs="Arial"/>
        </w:rPr>
      </w:pPr>
      <w:r w:rsidRPr="008B0387">
        <w:rPr>
          <w:rFonts w:ascii="Arial" w:eastAsia="Arial" w:hAnsi="Arial" w:cs="Arial"/>
        </w:rPr>
        <w:t>The readiness of MSMEs to maintain sustainable business operations covering financial, social, and environmental aspects for the long term</w:t>
      </w:r>
      <w:r w:rsidR="00DD1298" w:rsidRPr="008B0387">
        <w:rPr>
          <w:rFonts w:ascii="Arial" w:eastAsia="Arial" w:hAnsi="Arial" w:cs="Arial"/>
        </w:rPr>
        <w:t>,</w:t>
      </w:r>
      <w:r w:rsidRPr="008B0387">
        <w:rPr>
          <w:rFonts w:ascii="Arial" w:eastAsia="Arial" w:hAnsi="Arial" w:cs="Arial"/>
        </w:rPr>
        <w:t xml:space="preserve"> </w:t>
      </w:r>
      <w:r w:rsidR="008806B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{"citationID":"6pVQiaez","properties":{"formattedCitation":"(Noerchoidah &amp; Suhardiyah, 2025)","plainCitation":"(Noerchoidah &amp; Suhardiyah, 2025)","dontUpdate":true,"noteIndex":0},"citationItems":[{"id":12137,"uris":["http://zotero.org/users/local/JyjMxVLY/items/WVPZB6LL"],"itemData":{"id":12137,"type":"article-journal","container-title":"International Journal of Human Capital and Information Technology Professionals","issue":"1","language":"en","source":"Zotero","title":"Optimization of Digital Literacy Knowledge Sharing and Human Capital on Digital Economy for MSMEs Business Sustainability","volume":"16","author":[{"family":"Noerchoidah","given":"Noerchoidah"},{"family":"Suhardiyah","given":"Martha"}],"issued":{"date-parts":[["2025"]]}}}],"schema":"https://github.com/citation-style-language/schema/raw/master/csl-citation.json"} </w:instrText>
      </w:r>
      <w:r w:rsidR="008806BA" w:rsidRPr="008B0387">
        <w:rPr>
          <w:rFonts w:ascii="Arial" w:eastAsia="Arial" w:hAnsi="Arial" w:cs="Arial"/>
        </w:rPr>
        <w:fldChar w:fldCharType="separate"/>
      </w:r>
      <w:r w:rsidR="008806BA" w:rsidRPr="008B0387">
        <w:rPr>
          <w:rFonts w:ascii="Arial" w:hAnsi="Arial" w:cs="Arial"/>
        </w:rPr>
        <w:t>Noerchoidah &amp; Suhardiyah (2025)</w:t>
      </w:r>
      <w:r w:rsidR="008806BA" w:rsidRPr="008B0387">
        <w:rPr>
          <w:rFonts w:ascii="Arial" w:eastAsia="Arial" w:hAnsi="Arial" w:cs="Arial"/>
        </w:rPr>
        <w:fldChar w:fldCharType="end"/>
      </w:r>
      <w:r w:rsidRPr="008B0387">
        <w:rPr>
          <w:rFonts w:ascii="Arial" w:eastAsia="Arial" w:hAnsi="Arial" w:cs="Arial"/>
        </w:rPr>
        <w:t xml:space="preserve"> &amp; </w:t>
      </w:r>
      <w:r w:rsidR="008806B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{"citationID":"O1pMXYSY","properties":{"formattedCitation":"(Dhewanto et al., 2022)","plainCitation":"(Dhewanto et al., 2022)","dontUpdate":true,"noteIndex":0},"citationItems":[{"id":12134,"uris":["http://zotero.org/users/local/JyjMxVLY/items/PAYS4PAA"],"itemData":{"id":12134,"type":"article-journal","abstract":"The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Noviyana"}],"issued":{"date-parts":[["2022"]]}}}],"schema":"https://github.com/citation-style-language/schema/raw/master/csl-citation.json"} </w:instrText>
      </w:r>
      <w:r w:rsidR="008806BA" w:rsidRPr="008B0387">
        <w:rPr>
          <w:rFonts w:ascii="Arial" w:eastAsia="Arial" w:hAnsi="Arial" w:cs="Arial"/>
        </w:rPr>
        <w:fldChar w:fldCharType="separate"/>
      </w:r>
      <w:r w:rsidR="008806BA" w:rsidRPr="008B0387">
        <w:rPr>
          <w:rFonts w:ascii="Arial" w:hAnsi="Arial" w:cs="Arial"/>
        </w:rPr>
        <w:t>Dhewanto et al. (2022)</w:t>
      </w:r>
      <w:r w:rsidR="008806BA" w:rsidRPr="008B0387">
        <w:rPr>
          <w:rFonts w:ascii="Arial" w:eastAsia="Arial" w:hAnsi="Arial" w:cs="Arial"/>
        </w:rPr>
        <w:fldChar w:fldCharType="end"/>
      </w:r>
      <w:r w:rsidRPr="008B0387">
        <w:rPr>
          <w:rFonts w:ascii="Arial" w:eastAsia="Arial" w:hAnsi="Arial" w:cs="Arial"/>
        </w:rPr>
        <w:t xml:space="preserve">. Business sustainability refers to a company's ability to survive and </w:t>
      </w:r>
      <w:r w:rsidR="00DD1298" w:rsidRPr="008B0387">
        <w:rPr>
          <w:rFonts w:ascii="Arial" w:eastAsia="Arial" w:hAnsi="Arial" w:cs="Arial"/>
        </w:rPr>
        <w:t>thrive in the long term by considering</w:t>
      </w:r>
      <w:r w:rsidRPr="008B0387">
        <w:rPr>
          <w:rFonts w:ascii="Arial" w:eastAsia="Arial" w:hAnsi="Arial" w:cs="Arial"/>
        </w:rPr>
        <w:t xml:space="preserve"> economic, social, and environmental aspects in a balanced manner. </w:t>
      </w:r>
      <w:r w:rsidR="008806B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{"citationID":"79m8NI6G","properties":{"formattedCitation":"(Qing &amp; Jin, 2023)","plainCitation":"(Qing &amp; Jin, 2023)","dontUpdate":true,"noteIndex":0},"citationItems":[{"id":13039,"uris":["http://zotero.org/users/local/JyjMxVLY/items/QFRKV454"],"itemData":{"id":13039,"type":"article","abstract":"Recently, environmental, social, and governance (ESG) has become an important factor in companies' sustainable development. Artificial intelligence (AI) is also a core digital technology that can create innovative, sustainable, comprehensive, and resilient environments. ESG- and AI-based digital transformation is a relevant strategy for managing business value and sustainability in corporate green management operations. Therefore, this study examines how corporate sustainability relates to ESG- and AI-based digital transformation. Furthermore, it confirms the moderating effect of green innovation on the process of increasing sustainability. To achieve the purpose of this study, 359 data points collected for hypothesis testing were used for statistical analysis and for mobile business platform users. The following conclusions are drawn. (1) ESG activities have become key variables that enable sustainable corporate growth. Companies can implement eco-friendly operating processes through ESG activities. (2) This study verifies the relationship between AI-based digital transformation and corporate sustainability and confirms that digital transformation positively affects corporate sustainability. In addition, societal problems can be identified and environmental accidents prevented through technological innovation. (3) This study does not verify the positive moderating effect of green innovation; however, it emphasizes its necessity and importance. Although green innovation improves performance only in the long term, it is a key factor for companies pursuing sustainable growth. This study reveals that ESG- and AI-based digital transformation is an important tool for promoting corporate sustainability, broadening the literature in related fields and providing insights for corporate management and government policymakers to advance corporate sustainability.","DOI":"10.48550/arXiv.2311.18351","note":"arXiv:2311.18351 [econ]","number":"arXiv:2311.18351","publisher":"arXiv","source":"arXiv.org","title":"Does ESG and Digital Transformation affects Corporate Sustainability? The Moderating role of Green Innovation","title-short":"Does ESG and Digital Transformation affects Corporate Sustainability?","URL":"http://arxiv.org/abs/2311.18351","author":[{"family":"Qing","given":"Chenglin"},{"family":"Jin","given":"Shanyue"}],"accessed":{"date-parts":[["2025",6,10]]},"issued":{"date-parts":[["2023",11,30]]}}}],"schema":"https://github.com/citation-style-language/schema/raw/master/csl-citation.json"} </w:instrText>
      </w:r>
      <w:r w:rsidR="008806BA" w:rsidRPr="008B0387">
        <w:rPr>
          <w:rFonts w:ascii="Arial" w:eastAsia="Arial" w:hAnsi="Arial" w:cs="Arial"/>
        </w:rPr>
        <w:fldChar w:fldCharType="separate"/>
      </w:r>
      <w:r w:rsidR="008806BA" w:rsidRPr="008B0387">
        <w:rPr>
          <w:rFonts w:ascii="Arial" w:hAnsi="Arial" w:cs="Arial"/>
        </w:rPr>
        <w:t>Qing &amp; Jin (2023)</w:t>
      </w:r>
      <w:r w:rsidR="008806BA" w:rsidRPr="008B0387">
        <w:rPr>
          <w:rFonts w:ascii="Arial" w:eastAsia="Arial" w:hAnsi="Arial" w:cs="Arial"/>
        </w:rPr>
        <w:fldChar w:fldCharType="end"/>
      </w:r>
      <w:r w:rsidRPr="008B0387">
        <w:rPr>
          <w:rFonts w:ascii="Arial" w:eastAsia="Arial" w:hAnsi="Arial" w:cs="Arial"/>
        </w:rPr>
        <w:t xml:space="preserve"> </w:t>
      </w:r>
      <w:r w:rsidR="00DD1298" w:rsidRPr="008B0387">
        <w:rPr>
          <w:rFonts w:ascii="Arial" w:eastAsia="Arial" w:hAnsi="Arial" w:cs="Arial"/>
        </w:rPr>
        <w:t>state</w:t>
      </w:r>
      <w:r w:rsidRPr="008B0387">
        <w:rPr>
          <w:rFonts w:ascii="Arial" w:eastAsia="Arial" w:hAnsi="Arial" w:cs="Arial"/>
        </w:rPr>
        <w:t xml:space="preserve"> that sustainability can be achieved by combining ESG practices with digital technology and environmentally friendly innovations, making businesses more adaptable and resilient to change. </w:t>
      </w:r>
      <w:r w:rsidR="008806B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{"citationID":"cED0ft9K","properties":{"formattedCitation":"(Annarelli et al., 2024)","plainCitation":"(Annarelli et al., 2024)","dontUpdate":true,"noteIndex":0},"citationItems":[{"id":13502,"uris":["http://zotero.org/users/local/JyjMxVLY/items/R9FKWPZ6"],"itemData":{"id":13502,"type":"article","abstract":"Pursuing sustainable development has become a global imperative, underscored adopting of the 2030 Agenda for Sustainable Development and its 17 Sustainable Development Goals (SDG). At the heart of this agenda lies the recognition of social sustainability as a pivotal component, emphasizing the need for inclusive societies where every individual can thrive. Despite its significance, social sustainability remains a \"forgotten pillar,\" often overshadowed by environmental concerns. In response, this paper presents the development and validation of the S-Assessment Tool for Social Sustainability, a comprehensive questionnaire designed to evaluate organizations' performance across critical dimensions such as health and wellness, gender equality, decent work, and economic growth, reducing inequalities, and responsible production and consumption. The questionnaire was constructed on the critical dimensions identified through a systematic and narrative hybrid approach to the analysis of peer-reviewed literature. The framework has been structured around the values of the SDGs. It aims to empower organizations to better understand and address their social impact, fostering positive change and contributing to the collective effort towards a more equitable and sustainable future. Through collaborative partnerships and rigorous methodology, this research underscores the importance of integrating social sustainability into organizational practices and decision-making processes, ultimately advancing the broader agenda of sustainable development.","DOI":"10.48550/arXiv.2404.04077","note":"arXiv:2404.04077 [econ]","number":"arXiv:2404.04077","publisher":"arXiv","source":"arXiv.org","title":"The forgotten pillar of sustainability: development of the S-assessment tool to evaluate Organizational Social Sustainability","title-short":"The forgotten pillar of sustainability","URL":"http://arxiv.org/abs/2404.04077","author":[{"family":"Annarelli","given":"Alessandro"},{"family":"Catarci","given":"Tiziana"},{"family":"Palagi","given":"Laura"}],"accessed":{"date-parts":[["2025",8,9]]},"issued":{"date-parts":[["2024",4,11]]}}}],"schema":"https://github.com/citation-style-language/schema/raw/master/csl-citation.json"} </w:instrText>
      </w:r>
      <w:r w:rsidR="008806BA" w:rsidRPr="008B0387">
        <w:rPr>
          <w:rFonts w:ascii="Arial" w:eastAsia="Arial" w:hAnsi="Arial" w:cs="Arial"/>
        </w:rPr>
        <w:fldChar w:fldCharType="separate"/>
      </w:r>
      <w:r w:rsidR="008806BA" w:rsidRPr="008B0387">
        <w:rPr>
          <w:rFonts w:ascii="Arial" w:hAnsi="Arial" w:cs="Arial"/>
        </w:rPr>
        <w:t>Annarelli et al. (2024)</w:t>
      </w:r>
      <w:r w:rsidR="008806BA" w:rsidRPr="008B0387">
        <w:rPr>
          <w:rFonts w:ascii="Arial" w:eastAsia="Arial" w:hAnsi="Arial" w:cs="Arial"/>
        </w:rPr>
        <w:fldChar w:fldCharType="end"/>
      </w:r>
      <w:r w:rsidR="008806BA" w:rsidRPr="008B0387">
        <w:rPr>
          <w:rFonts w:ascii="Arial" w:eastAsia="Arial" w:hAnsi="Arial" w:cs="Arial"/>
        </w:rPr>
        <w:t xml:space="preserve"> </w:t>
      </w:r>
      <w:r w:rsidRPr="008B0387">
        <w:rPr>
          <w:rFonts w:ascii="Arial" w:eastAsia="Arial" w:hAnsi="Arial" w:cs="Arial"/>
        </w:rPr>
        <w:t xml:space="preserve">add that sustainability also includes social impacts, such as health, gender equality, and decent work. Meanwhile, according to </w:t>
      </w:r>
      <w:r w:rsidR="00F57597" w:rsidRPr="008B0387">
        <w:rPr>
          <w:rFonts w:ascii="Arial" w:eastAsia="Arial" w:hAnsi="Arial" w:cs="Arial"/>
          <w:lang w:val="en-US"/>
        </w:rPr>
        <w:t xml:space="preserve">Gonzales Mayono </w:t>
      </w:r>
      <w:r w:rsidR="00F57597" w:rsidRPr="008B0387">
        <w:rPr>
          <w:rFonts w:ascii="Arial" w:eastAsia="Arial" w:hAnsi="Arial" w:cs="Arial"/>
          <w:lang w:val="id"/>
        </w:rPr>
        <w:t xml:space="preserve">et al. </w:t>
      </w:r>
      <w:r w:rsidR="00F57597" w:rsidRPr="008B0387">
        <w:rPr>
          <w:rFonts w:ascii="Arial" w:eastAsia="Arial" w:hAnsi="Arial" w:cs="Arial"/>
          <w:lang w:val="id"/>
        </w:rPr>
        <w:fldChar w:fldCharType="begin"/>
      </w:r>
      <w:r w:rsidR="00F57597" w:rsidRPr="008B0387">
        <w:rPr>
          <w:rFonts w:ascii="Arial" w:eastAsia="Arial" w:hAnsi="Arial" w:cs="Arial"/>
          <w:lang w:val="id"/>
        </w:rPr>
        <w:instrText xml:space="preserve"> ADDIN ZOTERO_ITEM CSL_CITATION {"citationID":"5nx6J0HQ","properties":{"formattedCitation":"(2025)","plainCitation":"(2025)","noteIndex":0},"citationItems":[{"id":13496,"uris":["http://zotero.org/users/local/JyjMxVLY/items/MUCS465C"],"itemData":{"id":13496,"type":"paper-conference","abstract":"Business Process Management (BPM) is mostly centered around finding technical solutions. Nudging is an approach from psychology and behavioral economics to guide people&amp;#8217;s behavior. In this paper, we show how nudging can be integrated into the different phases...","DOI":"10.1007/978-3-031-82225-4_54","language":"en","source":"link.springer.com","title":"Towards Nudging in BPM: A Human-Centric Approach for Sustainable Business Processes","title-short":"Towards Nudging in BPM","URL":"https://link.springer.com/chapter/10.1007/978-3-031-82225-4_54","author":[{"family":"González Moyano","given":"Cielo"},{"family":"Klessascheck","given":"Finn"},{"family":"Bala","given":"Saimir"},{"family":"Fahrenkrog-Petersen","given":"Stephan A."},{"family":"Mendling","given":"Jan"}],"accessed":{"date-parts":[["2025",8,9]]},"issued":{"date-parts":[["2025",3,28]]}},"label":"page","suppress-author":true}],"schema":"https://github.com/citation-style-language/schema/raw/master/csl-citation.json"} </w:instrText>
      </w:r>
      <w:r w:rsidR="00F57597" w:rsidRPr="008B0387">
        <w:rPr>
          <w:rFonts w:ascii="Arial" w:eastAsia="Arial" w:hAnsi="Arial" w:cs="Arial"/>
          <w:lang w:val="id"/>
        </w:rPr>
        <w:fldChar w:fldCharType="separate"/>
      </w:r>
      <w:r w:rsidR="00F57597" w:rsidRPr="008B0387">
        <w:rPr>
          <w:rFonts w:ascii="Arial" w:eastAsia="Arial" w:hAnsi="Arial" w:cs="Arial"/>
          <w:lang w:val="id"/>
        </w:rPr>
        <w:t>(2025)</w:t>
      </w:r>
      <w:r w:rsidR="00F57597" w:rsidRPr="008B0387">
        <w:rPr>
          <w:rFonts w:ascii="Arial" w:eastAsia="Arial" w:hAnsi="Arial" w:cs="Arial"/>
        </w:rPr>
        <w:fldChar w:fldCharType="end"/>
      </w:r>
      <w:r w:rsidR="00F57597" w:rsidRPr="008B0387">
        <w:rPr>
          <w:rFonts w:ascii="Arial" w:eastAsia="Arial" w:hAnsi="Arial" w:cs="Arial"/>
        </w:rPr>
        <w:t xml:space="preserve">, </w:t>
      </w:r>
      <w:r w:rsidRPr="008B0387">
        <w:rPr>
          <w:rFonts w:ascii="Arial" w:eastAsia="Arial" w:hAnsi="Arial" w:cs="Arial"/>
        </w:rPr>
        <w:t>environmentally friendly business process efficiency is also an important part of creating sustainability. Based on these opinions, it can be concluded that business sustainability is not only about profit or environmental responsibility, but also concerns how companies maintain social relationships, use technology wisely, and create efficient and sustainable work systems.</w:t>
      </w:r>
    </w:p>
    <w:p w14:paraId="4B4804C3" w14:textId="3813722B" w:rsidR="00C0694C" w:rsidRPr="008B0387" w:rsidRDefault="00081C1F" w:rsidP="00ED6974">
      <w:pPr>
        <w:jc w:val="both"/>
        <w:rPr>
          <w:rFonts w:ascii="Arial" w:eastAsia="Arial" w:hAnsi="Arial" w:cs="Arial"/>
        </w:rPr>
      </w:pPr>
      <w:r w:rsidRPr="008B0387">
        <w:rPr>
          <w:rFonts w:ascii="Arial" w:eastAsia="Arial" w:hAnsi="Arial" w:cs="Arial"/>
        </w:rPr>
        <w:t>Referring to</w:t>
      </w:r>
      <w:r w:rsidR="000729F6" w:rsidRPr="008B0387">
        <w:rPr>
          <w:rFonts w:ascii="Arial" w:eastAsia="Arial" w:hAnsi="Arial" w:cs="Arial"/>
        </w:rPr>
        <w:t xml:space="preserve"> </w:t>
      </w:r>
      <w:r w:rsidR="000729F6" w:rsidRPr="008B0387">
        <w:rPr>
          <w:rFonts w:ascii="Arial" w:eastAsia="Arial" w:hAnsi="Arial" w:cs="Arial"/>
        </w:rPr>
        <w:fldChar w:fldCharType="begin"/>
      </w:r>
      <w:r w:rsidR="009646CF">
        <w:rPr>
          <w:rFonts w:ascii="Arial" w:eastAsia="Arial" w:hAnsi="Arial" w:cs="Arial"/>
        </w:rPr>
        <w:instrText xml:space="preserve"> ADDIN ZOTERO_ITEM CSL_CITATION {"citationID":"akfZKC5w","properties":{"formattedCitation":"(Noerchoidah et al., 1 C.E.; Qing &amp; Jin, 2023b)","plainCitation":"(Noerchoidah et al., 1 C.E.; Qing &amp; Jin, 2023b)","dontUpdate":true,"noteIndex":0},"citationItems":[{"id":13065,"uris":["http://zotero.org/users/local/JyjMxVLY/items/7JFPPWNV"],"itemData":{"id":13065,"type":"article-journal","abstract":"MSMEs strongly influence the national economy as the most strategic sector. MSMEs in Indonesia reach 64.2 million, but facts in the field show that only 17.25 million are included in the digital ecosystem. The research objectives help MSME players understand the current conditions of adopting a digi...","container-title":"https://services.igi-global.com/resolvedoi/resolve.aspx?doi=10.4018/IJHCITP.368715","ISSN":"1947-3478","language":"English","license":"Access limited to members","note":"publisher: IGI Global Scientific Publishing","source":"www.igi-global.com","title":"Optimization of Digital Literacy Knowledge Sharing and Human Capital on Digital Economy for MSMEs Business Sustainability","URL":"https://www.igi-global.com/article/optimization-of-digital-literacy-knowledge-sharing-and-human-capital-on-digital-economy-for-msmes-business-sustainability/www.igi-global.com/article/optimization-of-digital-literacy-knowledge-sharing-and-human-capital-on-digital-economy-for-msmes-business-sustainability/368715","author":[{"family":"Noerchoidah","given":"Noerchoidah"},{"family":"Suhardiyah","given":"Martha"},{"family":"Nurcahyanie","given":"Yunia Dwie"},{"family":"Sawitri","given":"Aristha Purwanthari"}],"accessed":{"date-parts":[["2025",6,15]]},"issued":{"date-parts":[["1",1,1]]}},"label":"page"},{"id":13046,"uris":["http://zotero.org/users/local/JyjMxVLY/items/HPAXUGAR"],"itemData":{"id":13046,"type":"article","abstract":"Recently, environmental, social, and governance (ESG) has become an important factor in companies' sustainable development. Artificial intelligence (AI) is also a core digital technology that can create innovative, sustainable, comprehensive, and resilient environments. ESG- and AI-based digital transformation is a relevant strategy for managing business value and sustainability in corporate green management operations. Therefore, this study examines how corporate sustainability relates to ESG- and AI-based digital transformation. Furthermore, it confirms the moderating effect of green innovation on the process of increasing sustainability. To achieve the purpose of this study, 359 data points collected for hypothesis testing were used for statistical analysis and for mobile business platform users. The following conclusions are drawn. (1) ESG activities have become key variables that enable sustainable corporate growth. Companies can implement eco-friendly operating processes through ESG activities. (2) This study verifies the relationship between AI-based digital transformation and corporate sustainability and confirms that digital transformation positively affects corporate sustainability. In addition, societal problems can be identified and environmental accidents prevented through technological innovation. (3) This study does not verify the positive moderating effect of green innovation; however, it emphasizes its necessity and importance. Although green innovation improves performance only in the long term, it is a key factor for companies pursuing sustainable growth. This study reveals that ESG- and AI-based digital transformation is an important tool for promoting corporate sustainability, broadening the literature in related fields and providing insights for corporate management and government policymakers to advance corporate sustainability.","DOI":"10.48550/arXiv.2311.18351","note":"arXiv:2311.18351 [econ]","number":"arXiv:2311.18351","publisher":"arXiv","source":"arXiv.org","title":"Does ESG and Digital Transformation affects Corporate Sustainability? The Moderating role of Green Innovation","title-short":"Does ESG and Digital Transformation affects Corporate Sustainability?","URL":"http://arxiv.org/abs/2311.18351","author":[{"family":"Qing","given":"Chenglin"},{"family":"Jin","given":"Shanyue"}],"accessed":{"date-parts":[["2025",6,13]]},"issued":{"date-parts":[["2023",11,30]]}},"label":"page"}],"schema":"https://github.com/citation-style-language/schema/raw/master/csl-citation.json"} </w:instrText>
      </w:r>
      <w:r w:rsidR="000729F6" w:rsidRPr="008B0387">
        <w:rPr>
          <w:rFonts w:ascii="Arial" w:eastAsia="Arial" w:hAnsi="Arial" w:cs="Arial"/>
        </w:rPr>
        <w:fldChar w:fldCharType="separate"/>
      </w:r>
      <w:r w:rsidR="000729F6" w:rsidRPr="008B0387">
        <w:rPr>
          <w:rFonts w:ascii="Arial" w:hAnsi="Arial" w:cs="Arial"/>
        </w:rPr>
        <w:t xml:space="preserve">Noerchoidah </w:t>
      </w:r>
      <w:r w:rsidR="00FC37C9" w:rsidRPr="008B0387">
        <w:rPr>
          <w:rFonts w:ascii="Arial" w:hAnsi="Arial" w:cs="Arial"/>
        </w:rPr>
        <w:t>&amp; Suhardiyah</w:t>
      </w:r>
      <w:r w:rsidR="000729F6" w:rsidRPr="008B0387">
        <w:rPr>
          <w:rFonts w:ascii="Arial" w:hAnsi="Arial" w:cs="Arial"/>
        </w:rPr>
        <w:t xml:space="preserve"> </w:t>
      </w:r>
      <w:r w:rsidR="00FC37C9" w:rsidRPr="008B0387">
        <w:rPr>
          <w:rFonts w:ascii="Arial" w:hAnsi="Arial" w:cs="Arial"/>
        </w:rPr>
        <w:t>(</w:t>
      </w:r>
      <w:r w:rsidR="000729F6" w:rsidRPr="008B0387">
        <w:rPr>
          <w:rFonts w:ascii="Arial" w:hAnsi="Arial" w:cs="Arial"/>
        </w:rPr>
        <w:t>2025</w:t>
      </w:r>
      <w:r w:rsidR="00FC37C9" w:rsidRPr="008B0387">
        <w:rPr>
          <w:rFonts w:ascii="Arial" w:hAnsi="Arial" w:cs="Arial"/>
        </w:rPr>
        <w:t>)</w:t>
      </w:r>
      <w:r w:rsidR="000729F6" w:rsidRPr="008B0387">
        <w:rPr>
          <w:rFonts w:ascii="Arial" w:hAnsi="Arial" w:cs="Arial"/>
        </w:rPr>
        <w:t xml:space="preserve"> and Qing &amp; Jin </w:t>
      </w:r>
      <w:r w:rsidR="00FC37C9" w:rsidRPr="008B0387">
        <w:rPr>
          <w:rFonts w:ascii="Arial" w:hAnsi="Arial" w:cs="Arial"/>
        </w:rPr>
        <w:t>(</w:t>
      </w:r>
      <w:r w:rsidR="000729F6" w:rsidRPr="008B0387">
        <w:rPr>
          <w:rFonts w:ascii="Arial" w:hAnsi="Arial" w:cs="Arial"/>
        </w:rPr>
        <w:t>2023b)</w:t>
      </w:r>
      <w:r w:rsidR="000729F6" w:rsidRPr="008B0387">
        <w:rPr>
          <w:rFonts w:ascii="Arial" w:eastAsia="Arial" w:hAnsi="Arial" w:cs="Arial"/>
        </w:rPr>
        <w:fldChar w:fldCharType="end"/>
      </w:r>
      <w:r w:rsidRPr="008B0387">
        <w:rPr>
          <w:rFonts w:ascii="Arial" w:eastAsia="Arial" w:hAnsi="Arial" w:cs="Arial"/>
        </w:rPr>
        <w:t>, b</w:t>
      </w:r>
      <w:r w:rsidR="0045458C" w:rsidRPr="008B0387">
        <w:rPr>
          <w:rFonts w:ascii="Arial" w:eastAsia="Arial" w:hAnsi="Arial" w:cs="Arial"/>
        </w:rPr>
        <w:t>usiness sustainability combines economic, social, and environmental dimensions in corporate strategy. Its successful implementation is measured through indicators that not only focus on profits, but also consider the long-term impact on society and the ecosystem. Some key indicators include:</w:t>
      </w:r>
    </w:p>
    <w:p w14:paraId="24EB815C" w14:textId="77777777" w:rsidR="00C0694C" w:rsidRPr="008B0387" w:rsidRDefault="0045458C" w:rsidP="00ED6974">
      <w:pPr>
        <w:numPr>
          <w:ilvl w:val="0"/>
          <w:numId w:val="12"/>
        </w:numPr>
        <w:jc w:val="both"/>
        <w:rPr>
          <w:rFonts w:ascii="Arial" w:eastAsia="Arial" w:hAnsi="Arial" w:cs="Arial"/>
        </w:rPr>
      </w:pPr>
      <w:r w:rsidRPr="008B0387">
        <w:rPr>
          <w:rFonts w:ascii="Arial" w:eastAsia="Arial" w:hAnsi="Arial" w:cs="Arial"/>
        </w:rPr>
        <w:t>Sustainability Finance</w:t>
      </w:r>
    </w:p>
    <w:p w14:paraId="79CE7C10" w14:textId="77777777" w:rsidR="00C0694C" w:rsidRPr="008B0387" w:rsidRDefault="0045458C">
      <w:pPr>
        <w:numPr>
          <w:ilvl w:val="0"/>
          <w:numId w:val="12"/>
        </w:numPr>
        <w:jc w:val="both"/>
        <w:rPr>
          <w:rFonts w:ascii="Arial" w:eastAsia="Arial" w:hAnsi="Arial" w:cs="Arial"/>
        </w:rPr>
      </w:pPr>
      <w:r w:rsidRPr="008B0387">
        <w:rPr>
          <w:rFonts w:ascii="Arial" w:eastAsia="Arial" w:hAnsi="Arial" w:cs="Arial"/>
        </w:rPr>
        <w:t>Corporate Social Responsibility (CSR)</w:t>
      </w:r>
    </w:p>
    <w:p w14:paraId="017A6342" w14:textId="77777777" w:rsidR="00C0694C" w:rsidRPr="008B0387" w:rsidRDefault="0045458C">
      <w:pPr>
        <w:numPr>
          <w:ilvl w:val="0"/>
          <w:numId w:val="12"/>
        </w:numPr>
        <w:jc w:val="both"/>
        <w:rPr>
          <w:rFonts w:ascii="Arial" w:eastAsia="Arial" w:hAnsi="Arial" w:cs="Arial"/>
        </w:rPr>
      </w:pPr>
      <w:r w:rsidRPr="008B0387">
        <w:rPr>
          <w:rFonts w:ascii="Arial" w:eastAsia="Arial" w:hAnsi="Arial" w:cs="Arial"/>
        </w:rPr>
        <w:t>Process Efficiency</w:t>
      </w:r>
    </w:p>
    <w:p w14:paraId="4F3E8EC0" w14:textId="77777777" w:rsidR="00C0694C" w:rsidRPr="008B0387" w:rsidRDefault="0045458C">
      <w:pPr>
        <w:numPr>
          <w:ilvl w:val="0"/>
          <w:numId w:val="12"/>
        </w:numPr>
        <w:spacing w:after="240"/>
        <w:jc w:val="both"/>
        <w:rPr>
          <w:rFonts w:ascii="Arial" w:eastAsia="Arial" w:hAnsi="Arial" w:cs="Arial"/>
        </w:rPr>
      </w:pPr>
      <w:r w:rsidRPr="008B0387">
        <w:rPr>
          <w:rFonts w:ascii="Arial" w:eastAsia="Arial" w:hAnsi="Arial" w:cs="Arial"/>
        </w:rPr>
        <w:t xml:space="preserve"> Process Innovation</w:t>
      </w:r>
    </w:p>
    <w:p w14:paraId="2DF7494C" w14:textId="39D67551" w:rsidR="00C0694C" w:rsidRPr="008B0387" w:rsidRDefault="0045458C">
      <w:pPr>
        <w:spacing w:before="240" w:after="240"/>
        <w:jc w:val="both"/>
        <w:rPr>
          <w:rFonts w:ascii="Arial" w:eastAsia="Arial" w:hAnsi="Arial" w:cs="Arial"/>
          <w:b/>
        </w:rPr>
      </w:pPr>
      <w:r w:rsidRPr="008B0387">
        <w:rPr>
          <w:rFonts w:ascii="Arial" w:eastAsia="Arial" w:hAnsi="Arial" w:cs="Arial"/>
          <w:b/>
        </w:rPr>
        <w:t>2.</w:t>
      </w:r>
      <w:r w:rsidR="004F7508">
        <w:rPr>
          <w:rFonts w:ascii="Arial" w:eastAsia="Arial" w:hAnsi="Arial" w:cs="Arial"/>
          <w:b/>
        </w:rPr>
        <w:t>4</w:t>
      </w:r>
      <w:r w:rsidRPr="008B0387">
        <w:rPr>
          <w:rFonts w:ascii="Arial" w:eastAsia="Arial" w:hAnsi="Arial" w:cs="Arial"/>
          <w:b/>
        </w:rPr>
        <w:t xml:space="preserve"> Digital Trust</w:t>
      </w:r>
    </w:p>
    <w:p w14:paraId="02C3BCFC" w14:textId="11D08052" w:rsidR="00C0694C" w:rsidRPr="008B0387" w:rsidRDefault="0045458C">
      <w:pPr>
        <w:spacing w:before="240" w:after="240"/>
        <w:jc w:val="both"/>
        <w:rPr>
          <w:rFonts w:ascii="Arial" w:eastAsia="Arial" w:hAnsi="Arial" w:cs="Arial"/>
        </w:rPr>
      </w:pPr>
      <w:r w:rsidRPr="008B0387">
        <w:rPr>
          <w:rFonts w:ascii="Arial" w:eastAsia="Arial" w:hAnsi="Arial" w:cs="Arial"/>
        </w:rPr>
        <w:t>According to</w:t>
      </w:r>
      <w:r w:rsidR="00CF5AD7" w:rsidRPr="008B0387">
        <w:rPr>
          <w:rFonts w:ascii="Arial" w:eastAsia="Arial" w:hAnsi="Arial" w:cs="Arial"/>
        </w:rPr>
        <w:t xml:space="preserve"> </w:t>
      </w:r>
      <w:r w:rsidR="00CF5AD7"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{"citationID":"My6fcLgf","properties":{"formattedCitation":"(McKnight &amp; Carter, 2009)","plainCitation":"(McKnight &amp; Carter, 2009)","dontUpdate":true,"noteIndex":0},"citationItems":[{"id":13062,"uris":["http://zotero.org/users/local/JyjMxVLY/items/TCFQZTZT"],"itemData":{"id":13062,"type":"article-journal","abstract":"Trust plays an important role in many Information Systems (IS)-enabled situations. Most IS research employs trust as a measure of interpersonal or interfirm relations, such as trust in a Web vendor or a virtual team member. Although trust in other people is important, this paper suggests that trust in the information technology (IT) itself may also play a role in shaping IT-related beliefs and behavior. To advance trust and technology research, this paper presents a set of trust in technology construct definitions and measures. These construct measures will be examined using tests of convergent, discriminant, and nomological validity. This study will contribute to the literature by offering a) a framework for distinguishing between trust in people and trust in technology, b) offering a theory based set of definitions necessary for investigating different forms of trust, and c) developing measures useful to research and practice for evaluating trust in technology.","language":"en","source":"Zotero","title":"TRUST IN TECHNOLOGY: DEVELOPMENT OF A SET OF CONSTRUCTS AND MEASURES","author":[{"family":"McKnight","given":"Harrison"},{"family":"Carter","given":"Michelle"}],"issued":{"date-parts":[["2009"]]}}}],"schema":"https://github.com/citation-style-language/schema/raw/master/csl-citation.json"} </w:instrText>
      </w:r>
      <w:r w:rsidR="00CF5AD7" w:rsidRPr="008B0387">
        <w:rPr>
          <w:rFonts w:ascii="Arial" w:eastAsia="Arial" w:hAnsi="Arial" w:cs="Arial"/>
        </w:rPr>
        <w:fldChar w:fldCharType="separate"/>
      </w:r>
      <w:r w:rsidR="00CF5AD7" w:rsidRPr="008B0387">
        <w:rPr>
          <w:rFonts w:ascii="Arial" w:hAnsi="Arial" w:cs="Arial"/>
        </w:rPr>
        <w:t>McKnight &amp; Carter (2009)</w:t>
      </w:r>
      <w:r w:rsidR="00CF5AD7" w:rsidRPr="008B0387">
        <w:rPr>
          <w:rFonts w:ascii="Arial" w:eastAsia="Arial" w:hAnsi="Arial" w:cs="Arial"/>
        </w:rPr>
        <w:fldChar w:fldCharType="end"/>
      </w:r>
      <w:r w:rsidRPr="008B0387">
        <w:rPr>
          <w:rFonts w:ascii="Arial" w:eastAsia="Arial" w:hAnsi="Arial" w:cs="Arial"/>
        </w:rPr>
        <w:t xml:space="preserve">, digital trust is the extent to which users believe that digital technologies, including digital systems and service providers, are reliable, secure, and capable of protecting their personal data. Digital trust is the confidence that business actors have in digital systems, particularly in terms of data security, information transparency, and technological reliability. The level of confidence of micro, small, and medium enterprises (MSMEs) in digital systems in supporting business activities, especially in terms of reliability, security, and integrity, is important for encouraging the adoption of digital services because it influences participation and business strategies, according to </w:t>
      </w:r>
      <w:r w:rsidR="008806B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{"citationID":"7vo7t8nz","properties":{"formattedCitation":"(Khatib et al., 2024)","plainCitation":"(Khatib et al., 2024)","dontUpdate":true,"noteIndex":0},"citationItems":[{"id":13474,"uris":["http://zotero.org/users/local/JyjMxVLY/items/ARYX4HSN"],"itemData":{"id":13474,"type":"article-journal","abstract":"Abstract:\nThe existence of trust in the work environment is significant to organizational performance and competitiveness in an increasingly universal market (Combs et al., 2015). Several studies (Olivier, 2017) (Stephanie et al., 2014) has showed that promoting trusting relationships by an organization is an essential criterion of competitive advantage. Organizations that enhance of trust internally and externally earn advantages such as, attract loyal customers, high performance by employee and good position in market (Roderick and Roy, 2010). Furthermore, trust has several benefits on firms’ outcomes such as increase sales, high profits, minimize worker turnover and employees achieve high level of cooperation among others.\nLack of&amp;nbsp;trust in government threatens the desire of people and business obey to government policies and participate to a potential economic recovery (Tao and Yunfan, 2010).&amp;nbsp;The validity of organizations is construct based on the presence of trust and is significant for preserving social cohesion. A study was conducted by (Nils and Darja, 2008) showed that the impact of lacking trust in an organization resulted in several disadvantages such as, reduction in performance, work quality, sharing information, spirits of workers and increase in group combats. In addition, the employees prefer individual interest over group interest and expect negative comments from the manager. This result in, high supervision from mangers on employees that decreased the level of trust. Therefore, the presence of trust is essential to governments, organizations both public and private in providing services.","container-title":"International Journal of Business Analytics and Security (IJBAS)","ISSN":"2958-5791","issue":"2","language":"en","license":"Copyright (c) 2024 International Journal of Business Analytics and Security (IJBAS)","note":"number: 2","page":"16-38","source":"journals.gaftim.com","title":"The importance of Trust in digital transformation and SMART Government initiatives","volume":"4","author":[{"family":"Khatib","given":"Mounir El"},{"family":"AlMansoori","given":"Abdulrahman Ahmed"},{"family":"Alsuwidi","given":"Saeed"}],"issued":{"date-parts":[["2024",5,1]]}}}],"schema":"https://github.com/citation-style-language/schema/raw/master/csl-citation.json"} </w:instrText>
      </w:r>
      <w:r w:rsidR="008806BA" w:rsidRPr="008B0387">
        <w:rPr>
          <w:rFonts w:ascii="Arial" w:eastAsia="Arial" w:hAnsi="Arial" w:cs="Arial"/>
        </w:rPr>
        <w:fldChar w:fldCharType="separate"/>
      </w:r>
      <w:r w:rsidR="008806BA" w:rsidRPr="008B0387">
        <w:rPr>
          <w:rFonts w:ascii="Arial" w:hAnsi="Arial" w:cs="Arial"/>
        </w:rPr>
        <w:t>Khatib et al. (2024)</w:t>
      </w:r>
      <w:r w:rsidR="008806BA" w:rsidRPr="008B0387">
        <w:rPr>
          <w:rFonts w:ascii="Arial" w:eastAsia="Arial" w:hAnsi="Arial" w:cs="Arial"/>
        </w:rPr>
        <w:fldChar w:fldCharType="end"/>
      </w:r>
      <w:r w:rsidRPr="008B0387">
        <w:rPr>
          <w:rFonts w:ascii="Arial" w:eastAsia="Arial" w:hAnsi="Arial" w:cs="Arial"/>
        </w:rPr>
        <w:t xml:space="preserve">. </w:t>
      </w:r>
      <w:r w:rsidR="008806B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{"citationID":"QIt7XJoz","properties":{"formattedCitation":"(Dhewanto et al., 2022)","plainCitation":"(Dhewanto et al., 2022)","dontUpdate":true,"noteIndex":0},"citationItems":[{"id":12134,"uris":["http://zotero.org/users/local/JyjMxVLY/items/PAYS4PAA"],"itemData":{"id":12134,"type":"article-journal","abstract":"The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Noviyana"}],"issued":{"date-parts":[["2022"]]}}}],"schema":"https://github.com/citation-style-language/schema/raw/master/csl-citation.json"} </w:instrText>
      </w:r>
      <w:r w:rsidR="008806BA" w:rsidRPr="008B0387">
        <w:rPr>
          <w:rFonts w:ascii="Arial" w:eastAsia="Arial" w:hAnsi="Arial" w:cs="Arial"/>
        </w:rPr>
        <w:fldChar w:fldCharType="separate"/>
      </w:r>
      <w:r w:rsidR="008806BA" w:rsidRPr="008B0387">
        <w:rPr>
          <w:rFonts w:ascii="Arial" w:hAnsi="Arial" w:cs="Arial"/>
        </w:rPr>
        <w:t>Dhewanto et al. (2022)</w:t>
      </w:r>
      <w:r w:rsidR="008806BA" w:rsidRPr="008B0387">
        <w:rPr>
          <w:rFonts w:ascii="Arial" w:eastAsia="Arial" w:hAnsi="Arial" w:cs="Arial"/>
        </w:rPr>
        <w:fldChar w:fldCharType="end"/>
      </w:r>
      <w:r w:rsidRPr="008B0387">
        <w:rPr>
          <w:rFonts w:ascii="Arial" w:eastAsia="Arial" w:hAnsi="Arial" w:cs="Arial"/>
        </w:rPr>
        <w:t xml:space="preserve"> add that trust in digitalization is the foundation for the success of innovation and the sustainability of MSMEs. In addition, </w:t>
      </w:r>
      <w:r w:rsidR="008806B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{"citationID":"xURE31Fv","properties":{"formattedCitation":"(Puteri &amp; Asyari, 2023)","plainCitation":"(Puteri &amp; Asyari, 2023)","dontUpdate":true,"noteIndex":0},"citationItems":[{"id":12423,"uris":["http://zotero.org/users/local/JyjMxVLY/items/VENDATFP"],"itemData":{"id":12423,"type":"article-journal","abstract":"This study analyzes whether the application of digital transformation affects the revitalization of MSMEs during the pandemic and whether it can be mediated by digital literacy. Using a sample of 378 respondents from micro-sector MSMEs in Bukittinggi City in 2021, this study reveals that the application of digital transformation and digital literacy is positively related to the revitalization of MSMEs, which in this case uses business performance indicators to serve as a basis for determining the level of success. from the revitalization of SMEs. This finding offers empirical evidence about the importance of digital literacy in the relationship between implementing digital transformation and revitalizing MSMEs during the pandemic. This shows that the implementation of digital transformation will not succeed without an educational intermediary for digital technology itself. Furthermore, this study recommends strategies to improve the application of digital transformation for MSME business actors by increasing digital literacy of business actors","language":"en-US","source":"ejournal.stebisigm.ac.id","title":"The Effect of Digital Transformation On The Revitalization of Msmes In Pandemi Time With Digital Literacy As An Intervening Variable (Case Study of Micro Enterprises in the City of Bukittinggi) | Islamic Banking : Jurnal Pemikiran dan Pengembangan Perbankan Syariah","title-short":"The Effect of Digital Transformation On The Revitalization of Msmes In Pandemi Time With Digital Literacy As An Intervening Variable (Case Study of Micro Enterprises in the City of Bukittinggi) | Islamic Banking","URL":"https://ejournal.stebisigm.ac.id/index.php/isbank/article/view/695","author":[{"family":"Puteri","given":"Dhea Ananda"},{"family":"Asyari","given":"Asyari"}],"accessed":{"date-parts":[["2025",4,30]]},"issued":{"date-parts":[["2023",2,4]]}}}],"schema":"https://github.com/citation-style-language/schema/raw/master/csl-citation.json"} </w:instrText>
      </w:r>
      <w:r w:rsidR="008806BA" w:rsidRPr="008B0387">
        <w:rPr>
          <w:rFonts w:ascii="Arial" w:eastAsia="Arial" w:hAnsi="Arial" w:cs="Arial"/>
        </w:rPr>
        <w:fldChar w:fldCharType="separate"/>
      </w:r>
      <w:r w:rsidR="008806BA" w:rsidRPr="008B0387">
        <w:rPr>
          <w:rFonts w:ascii="Arial" w:hAnsi="Arial" w:cs="Arial"/>
        </w:rPr>
        <w:t>Puteri &amp; Asyari (2023)</w:t>
      </w:r>
      <w:r w:rsidR="008806BA" w:rsidRPr="008B0387">
        <w:rPr>
          <w:rFonts w:ascii="Arial" w:eastAsia="Arial" w:hAnsi="Arial" w:cs="Arial"/>
        </w:rPr>
        <w:fldChar w:fldCharType="end"/>
      </w:r>
      <w:r w:rsidR="008806BA" w:rsidRPr="008B0387">
        <w:rPr>
          <w:rFonts w:ascii="Arial" w:eastAsia="Arial" w:hAnsi="Arial" w:cs="Arial"/>
        </w:rPr>
        <w:t xml:space="preserve"> </w:t>
      </w:r>
      <w:r w:rsidRPr="008B0387">
        <w:rPr>
          <w:rFonts w:ascii="Arial" w:eastAsia="Arial" w:hAnsi="Arial" w:cs="Arial"/>
        </w:rPr>
        <w:t>emphasize that digital trust grows from good technological literacy, which encourages MSMEs to be better prepared for digital transformation.</w:t>
      </w:r>
    </w:p>
    <w:p w14:paraId="2A35B0E4" w14:textId="2D13223F" w:rsidR="00C0694C" w:rsidRPr="008B0387" w:rsidRDefault="0045458C" w:rsidP="00ED6974">
      <w:pPr>
        <w:spacing w:before="240"/>
        <w:jc w:val="both"/>
        <w:rPr>
          <w:rFonts w:ascii="Arial" w:eastAsia="Arial" w:hAnsi="Arial" w:cs="Arial"/>
        </w:rPr>
      </w:pPr>
      <w:r w:rsidRPr="008B0387">
        <w:rPr>
          <w:rFonts w:ascii="Arial" w:eastAsia="Arial" w:hAnsi="Arial" w:cs="Arial"/>
        </w:rPr>
        <w:t xml:space="preserve">Referring to </w:t>
      </w:r>
      <w:r w:rsidR="008806B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{"citationID":"eynjqVXl","properties":{"formattedCitation":"(Khatib et al., 2024)","plainCitation":"(Khatib et al., 2024)","dontUpdate":true,"noteIndex":0},"citationItems":[{"id":13474,"uris":["http://zotero.org/users/local/JyjMxVLY/items/ARYX4HSN"],"itemData":{"id":13474,"type":"article-journal","abstract":"Abstract:\nThe existence of trust in the work environment is significant to organizational performance and competitiveness in an increasingly universal market (Combs et al., 2015). Several studies (Olivier, 2017) (Stephanie et al., 2014) has showed that promoting trusting relationships by an organization is an essential criterion of competitive advantage. Organizations that enhance of trust internally and externally earn advantages such as, attract loyal customers, high performance by employee and good position in market (Roderick and Roy, 2010). Furthermore, trust has several benefits on firms’ outcomes such as increase sales, high profits, minimize worker turnover and employees achieve high level of cooperation among others.\nLack of&amp;nbsp;trust in government threatens the desire of people and business obey to government policies and participate to a potential economic recovery (Tao and Yunfan, 2010).&amp;nbsp;The validity of organizations is construct based on the presence of trust and is significant for preserving social cohesion. A study was conducted by (Nils and Darja, 2008) showed that the impact of lacking trust in an organization resulted in several disadvantages such as, reduction in performance, work quality, sharing information, spirits of workers and increase in group combats. In addition, the employees prefer individual interest over group interest and expect negative comments from the manager. This result in, high supervision from mangers on employees that decreased the level of trust. Therefore, the presence of trust is essential to governments, organizations both public and private in providing services.","container-title":"International Journal of Business Analytics and Security (IJBAS)","ISSN":"2958-5791","issue":"2","language":"en","license":"Copyright (c) 2024 International Journal of Business Analytics and Security (IJBAS)","note":"number: 2","page":"16-38","source":"journals.gaftim.com","title":"The importance of Trust in digital transformation and SMART Government initiatives","volume":"4","author":[{"family":"Khatib","given":"Mounir El"},{"family":"AlMansoori","given":"Abdulrahman Ahmed"},{"family":"Alsuwidi","given":"Saeed"}],"issued":{"date-parts":[["2024",5,1]]}}}],"schema":"https://github.com/citation-style-language/schema/raw/master/csl-citation.json"} </w:instrText>
      </w:r>
      <w:r w:rsidR="008806BA" w:rsidRPr="008B0387">
        <w:rPr>
          <w:rFonts w:ascii="Arial" w:eastAsia="Arial" w:hAnsi="Arial" w:cs="Arial"/>
        </w:rPr>
        <w:fldChar w:fldCharType="separate"/>
      </w:r>
      <w:r w:rsidR="008806BA" w:rsidRPr="008B0387">
        <w:rPr>
          <w:rFonts w:ascii="Arial" w:hAnsi="Arial" w:cs="Arial"/>
        </w:rPr>
        <w:t>Khatib et al. (2024)</w:t>
      </w:r>
      <w:r w:rsidR="008806BA" w:rsidRPr="008B0387">
        <w:rPr>
          <w:rFonts w:ascii="Arial" w:eastAsia="Arial" w:hAnsi="Arial" w:cs="Arial"/>
        </w:rPr>
        <w:fldChar w:fldCharType="end"/>
      </w:r>
      <w:r w:rsidRPr="008B0387">
        <w:rPr>
          <w:rFonts w:ascii="Arial" w:eastAsia="Arial" w:hAnsi="Arial" w:cs="Arial"/>
        </w:rPr>
        <w:t xml:space="preserve">, digital trust can be measured through several key indicators, namely: </w:t>
      </w:r>
    </w:p>
    <w:p w14:paraId="68CFEE26" w14:textId="6D1FA005" w:rsidR="00C0694C" w:rsidRPr="008B0387" w:rsidRDefault="0045458C" w:rsidP="00ED6974">
      <w:pPr>
        <w:numPr>
          <w:ilvl w:val="0"/>
          <w:numId w:val="13"/>
        </w:numPr>
        <w:jc w:val="both"/>
        <w:rPr>
          <w:rFonts w:ascii="Arial" w:eastAsia="Arial" w:hAnsi="Arial" w:cs="Arial"/>
        </w:rPr>
      </w:pPr>
      <w:r w:rsidRPr="008B0387">
        <w:rPr>
          <w:rFonts w:ascii="Arial" w:eastAsia="Arial" w:hAnsi="Arial" w:cs="Arial"/>
          <w:color w:val="131615"/>
          <w:sz w:val="21"/>
          <w:szCs w:val="21"/>
          <w:highlight w:val="white"/>
        </w:rPr>
        <w:t>The protection of personal information through strong security measures</w:t>
      </w:r>
      <w:r w:rsidR="00DD1298" w:rsidRPr="008B0387">
        <w:rPr>
          <w:rFonts w:ascii="Arial" w:eastAsia="Arial" w:hAnsi="Arial" w:cs="Arial"/>
          <w:color w:val="131615"/>
          <w:sz w:val="21"/>
          <w:szCs w:val="21"/>
          <w:highlight w:val="white"/>
        </w:rPr>
        <w:t>,</w:t>
      </w:r>
      <w:r w:rsidRPr="008B0387">
        <w:rPr>
          <w:rFonts w:ascii="Arial" w:eastAsia="Arial" w:hAnsi="Arial" w:cs="Arial"/>
          <w:color w:val="131615"/>
          <w:sz w:val="21"/>
          <w:szCs w:val="21"/>
          <w:highlight w:val="white"/>
        </w:rPr>
        <w:t xml:space="preserve"> transparent privacy policies</w:t>
      </w:r>
      <w:r w:rsidR="00DD1298" w:rsidRPr="008B0387">
        <w:rPr>
          <w:rFonts w:ascii="Arial" w:eastAsia="Arial" w:hAnsi="Arial" w:cs="Arial"/>
          <w:color w:val="131615"/>
          <w:sz w:val="21"/>
          <w:szCs w:val="21"/>
          <w:highlight w:val="white"/>
        </w:rPr>
        <w:t>,</w:t>
      </w:r>
      <w:r w:rsidRPr="008B0387">
        <w:rPr>
          <w:rFonts w:ascii="Arial" w:eastAsia="Arial" w:hAnsi="Arial" w:cs="Arial"/>
          <w:color w:val="131615"/>
          <w:sz w:val="21"/>
          <w:szCs w:val="21"/>
          <w:highlight w:val="white"/>
        </w:rPr>
        <w:t xml:space="preserve"> and clear protection systems stands as the fundamental basis for users to trust a platform.</w:t>
      </w:r>
    </w:p>
    <w:p w14:paraId="0BF0180D" w14:textId="599E537E" w:rsidR="00C0694C" w:rsidRPr="008B0387" w:rsidRDefault="0045458C">
      <w:pPr>
        <w:numPr>
          <w:ilvl w:val="0"/>
          <w:numId w:val="13"/>
        </w:numPr>
        <w:jc w:val="both"/>
        <w:rPr>
          <w:rFonts w:ascii="Arial" w:eastAsia="Arial" w:hAnsi="Arial" w:cs="Arial"/>
        </w:rPr>
      </w:pPr>
      <w:r w:rsidRPr="008B0387">
        <w:rPr>
          <w:rFonts w:ascii="Arial" w:eastAsia="Arial" w:hAnsi="Arial" w:cs="Arial"/>
          <w:color w:val="131615"/>
          <w:sz w:val="21"/>
          <w:szCs w:val="21"/>
          <w:highlight w:val="white"/>
        </w:rPr>
        <w:t xml:space="preserve">The platform should present information through clear channels </w:t>
      </w:r>
      <w:r w:rsidR="00DD1298" w:rsidRPr="008B0387">
        <w:rPr>
          <w:rFonts w:ascii="Arial" w:eastAsia="Arial" w:hAnsi="Arial" w:cs="Arial"/>
          <w:color w:val="131615"/>
          <w:sz w:val="21"/>
          <w:szCs w:val="21"/>
          <w:highlight w:val="white"/>
        </w:rPr>
        <w:t>that</w:t>
      </w:r>
      <w:r w:rsidRPr="008B0387">
        <w:rPr>
          <w:rFonts w:ascii="Arial" w:eastAsia="Arial" w:hAnsi="Arial" w:cs="Arial"/>
          <w:color w:val="131615"/>
          <w:sz w:val="21"/>
          <w:szCs w:val="21"/>
          <w:highlight w:val="white"/>
        </w:rPr>
        <w:t xml:space="preserve"> remain accessible to all users. Users develop stronger bonds with service providers when they receive detailed explanations about platform features</w:t>
      </w:r>
      <w:r w:rsidR="00DD1298" w:rsidRPr="008B0387">
        <w:rPr>
          <w:rFonts w:ascii="Arial" w:eastAsia="Arial" w:hAnsi="Arial" w:cs="Arial"/>
          <w:color w:val="131615"/>
          <w:sz w:val="21"/>
          <w:szCs w:val="21"/>
          <w:highlight w:val="white"/>
        </w:rPr>
        <w:t>,</w:t>
      </w:r>
      <w:r w:rsidRPr="008B0387">
        <w:rPr>
          <w:rFonts w:ascii="Arial" w:eastAsia="Arial" w:hAnsi="Arial" w:cs="Arial"/>
          <w:color w:val="131615"/>
          <w:sz w:val="21"/>
          <w:szCs w:val="21"/>
          <w:highlight w:val="white"/>
        </w:rPr>
        <w:t xml:space="preserve"> data handling</w:t>
      </w:r>
      <w:r w:rsidR="00DD1298" w:rsidRPr="008B0387">
        <w:rPr>
          <w:rFonts w:ascii="Arial" w:eastAsia="Arial" w:hAnsi="Arial" w:cs="Arial"/>
          <w:color w:val="131615"/>
          <w:sz w:val="21"/>
          <w:szCs w:val="21"/>
          <w:highlight w:val="white"/>
        </w:rPr>
        <w:t>,</w:t>
      </w:r>
      <w:r w:rsidRPr="008B0387">
        <w:rPr>
          <w:rFonts w:ascii="Arial" w:eastAsia="Arial" w:hAnsi="Arial" w:cs="Arial"/>
          <w:color w:val="131615"/>
          <w:sz w:val="21"/>
          <w:szCs w:val="21"/>
          <w:highlight w:val="white"/>
        </w:rPr>
        <w:t xml:space="preserve"> and transaction rules. </w:t>
      </w:r>
    </w:p>
    <w:p w14:paraId="14D761F3" w14:textId="77777777" w:rsidR="00C0694C" w:rsidRPr="008B0387" w:rsidRDefault="0045458C">
      <w:pPr>
        <w:numPr>
          <w:ilvl w:val="0"/>
          <w:numId w:val="13"/>
        </w:numPr>
        <w:jc w:val="both"/>
        <w:rPr>
          <w:rFonts w:ascii="Arial" w:eastAsia="Arial" w:hAnsi="Arial" w:cs="Arial"/>
        </w:rPr>
      </w:pPr>
      <w:r w:rsidRPr="008B0387">
        <w:rPr>
          <w:rFonts w:ascii="Arial" w:eastAsia="Arial" w:hAnsi="Arial" w:cs="Arial"/>
        </w:rPr>
        <w:t xml:space="preserve">Transparency of Transactions Digital </w:t>
      </w:r>
    </w:p>
    <w:p w14:paraId="25D555BC" w14:textId="77777777" w:rsidR="00C0694C" w:rsidRPr="008B0387" w:rsidRDefault="0045458C">
      <w:pPr>
        <w:numPr>
          <w:ilvl w:val="0"/>
          <w:numId w:val="13"/>
        </w:numPr>
        <w:spacing w:after="240"/>
        <w:jc w:val="both"/>
        <w:rPr>
          <w:rFonts w:ascii="Arial" w:eastAsia="Arial" w:hAnsi="Arial" w:cs="Arial"/>
        </w:rPr>
      </w:pPr>
      <w:r w:rsidRPr="008B0387">
        <w:rPr>
          <w:rFonts w:ascii="Arial" w:eastAsia="Arial" w:hAnsi="Arial" w:cs="Arial"/>
          <w:color w:val="131615"/>
          <w:sz w:val="21"/>
          <w:szCs w:val="21"/>
          <w:highlight w:val="white"/>
        </w:rPr>
        <w:t>System Reliability</w:t>
      </w:r>
    </w:p>
    <w:p w14:paraId="0446D874" w14:textId="3167A948" w:rsidR="00C0694C" w:rsidRPr="008B0387" w:rsidRDefault="0045458C">
      <w:pPr>
        <w:spacing w:before="240" w:after="240"/>
        <w:jc w:val="both"/>
        <w:rPr>
          <w:rFonts w:ascii="Arial" w:eastAsia="Arial" w:hAnsi="Arial" w:cs="Arial"/>
          <w:b/>
          <w:sz w:val="22"/>
          <w:szCs w:val="22"/>
        </w:rPr>
      </w:pPr>
      <w:r w:rsidRPr="008B0387">
        <w:rPr>
          <w:rFonts w:ascii="Arial" w:eastAsia="Arial" w:hAnsi="Arial" w:cs="Arial"/>
          <w:b/>
        </w:rPr>
        <w:t>2.</w:t>
      </w:r>
      <w:r w:rsidR="004F7508">
        <w:rPr>
          <w:rFonts w:ascii="Arial" w:eastAsia="Arial" w:hAnsi="Arial" w:cs="Arial"/>
          <w:b/>
        </w:rPr>
        <w:t>5</w:t>
      </w:r>
      <w:r w:rsidRPr="008B0387">
        <w:rPr>
          <w:rFonts w:ascii="Arial" w:eastAsia="Arial" w:hAnsi="Arial" w:cs="Arial"/>
          <w:b/>
        </w:rPr>
        <w:t xml:space="preserve"> </w:t>
      </w:r>
      <w:r w:rsidRPr="008B0387">
        <w:rPr>
          <w:rFonts w:ascii="Arial" w:eastAsia="Times New Roman" w:hAnsi="Arial" w:cs="Arial"/>
          <w:b/>
          <w:sz w:val="22"/>
          <w:szCs w:val="22"/>
        </w:rPr>
        <w:t>Artificial Intelligence Literacy</w:t>
      </w:r>
    </w:p>
    <w:p w14:paraId="2CEA94BC" w14:textId="0D9B5F00" w:rsidR="00C0694C" w:rsidRPr="008B0387" w:rsidRDefault="0045458C">
      <w:pPr>
        <w:pBdr>
          <w:top w:val="nil"/>
          <w:left w:val="nil"/>
          <w:bottom w:val="nil"/>
          <w:right w:val="nil"/>
          <w:between w:val="nil"/>
        </w:pBdr>
        <w:jc w:val="both"/>
        <w:rPr>
          <w:rFonts w:ascii="Arial" w:eastAsia="Arial" w:hAnsi="Arial" w:cs="Arial"/>
        </w:rPr>
      </w:pPr>
      <w:r w:rsidRPr="008B0387">
        <w:rPr>
          <w:rFonts w:ascii="Arial" w:eastAsia="Arial" w:hAnsi="Arial" w:cs="Arial"/>
        </w:rPr>
        <w:t xml:space="preserve">Artificial Intelligence (AI) literacy is the individual's ability to understand, use, and critically, ethically, and responsibly evaluate artificial intelligence technology. This concept emphasizes the importance of basic knowledge about how AI works, the ability to interact with AI-based systems, and awareness of the social and ethical impacts of its use. According to </w:t>
      </w:r>
      <w:r w:rsidR="008806B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{"citationID":"pXosUGTW","properties":{"formattedCitation":"(Long &amp; Magerko, 2020)","plainCitation":"(Long &amp; Magerko, 2020)","dontUpdate":true,"noteIndex":0},"citationItems":[{"id":13486,"uris":["http://zotero.org/users/local/JyjMxVLY/items/GRXXHNL4"],"itemData":{"id":13486,"type":"paper-conference","abstract":"Artificial intelligence (AI) is becoming increasingly integrated in user-facing technology, but public understanding of these technologies is often limited. There is a need for additional HCI research investigating a) what competencies users need in order to effectively interact with and critically evaluate AI and b) how to design learner-centered AI technologies that foster increased user understanding of AI. This paper takes a step towards realizing both of these goals by providing a concrete definition of AI literacy based on existing research. We synthesize a variety of interdisciplinary literature into a set of core competencies of AI literacy and suggest several design considerations to support AI developers and educators in creating learner-centered AI. These competencies and design considerations are organized in a conceptual framework thematically derived from the literature. This paper's contributions can be used to start a conversation about and guide future research on AI literacy within the HCI community.","collection-title":"CHI '20","container-title":"Proceedings of the 2020 CHI Conference on Human Factors in Computing Systems","DOI":"10.1145/3313831.3376727","event-place":"New York, NY, USA","ISBN":"978-1-4503-6708-0","page":"1–16","publisher":"Association for Computing Machinery","publisher-place":"New York, NY, USA","source":"ACM Digital Library","title":"What is AI Literacy? Competencies and Design Considerations","title-short":"What is AI Literacy?","URL":"https://doi.org/10.1145/3313831.3376727","author":[{"family":"Long","given":"Duri"},{"family":"Magerko","given":"Brian"}],"accessed":{"date-parts":[["2025",8,7]]},"issued":{"date-parts":[["2020",4,23]]}}}],"schema":"https://github.com/citation-style-language/schema/raw/master/csl-citation.json"} </w:instrText>
      </w:r>
      <w:r w:rsidR="008806BA" w:rsidRPr="008B0387">
        <w:rPr>
          <w:rFonts w:ascii="Arial" w:eastAsia="Arial" w:hAnsi="Arial" w:cs="Arial"/>
        </w:rPr>
        <w:fldChar w:fldCharType="separate"/>
      </w:r>
      <w:r w:rsidR="008806BA" w:rsidRPr="008B0387">
        <w:rPr>
          <w:rFonts w:ascii="Arial" w:hAnsi="Arial" w:cs="Arial"/>
        </w:rPr>
        <w:t>Long &amp; Magerko (2020)</w:t>
      </w:r>
      <w:r w:rsidR="008806BA" w:rsidRPr="008B0387">
        <w:rPr>
          <w:rFonts w:ascii="Arial" w:eastAsia="Arial" w:hAnsi="Arial" w:cs="Arial"/>
        </w:rPr>
        <w:fldChar w:fldCharType="end"/>
      </w:r>
      <w:r w:rsidRPr="008B0387">
        <w:rPr>
          <w:rFonts w:ascii="Arial" w:eastAsia="Arial" w:hAnsi="Arial" w:cs="Arial"/>
        </w:rPr>
        <w:t xml:space="preserve">, AI literacy includes four main components, namely basic technical </w:t>
      </w:r>
      <w:r w:rsidRPr="008B0387">
        <w:rPr>
          <w:rFonts w:ascii="Arial" w:eastAsia="Arial" w:hAnsi="Arial" w:cs="Arial"/>
        </w:rPr>
        <w:lastRenderedPageBreak/>
        <w:t>understanding of AI, critical thinking about its influence in life, practical skills in using AI technology, and awareness of the social and ethical implications of the application of such technology.</w:t>
      </w:r>
    </w:p>
    <w:p w14:paraId="2524E539" w14:textId="77777777" w:rsidR="00DD1298" w:rsidRPr="008B0387" w:rsidRDefault="00DD1298">
      <w:pPr>
        <w:pBdr>
          <w:top w:val="nil"/>
          <w:left w:val="nil"/>
          <w:bottom w:val="nil"/>
          <w:right w:val="nil"/>
          <w:between w:val="nil"/>
        </w:pBdr>
        <w:jc w:val="both"/>
        <w:rPr>
          <w:rFonts w:ascii="Arial" w:eastAsia="Arial" w:hAnsi="Arial" w:cs="Arial"/>
        </w:rPr>
      </w:pPr>
    </w:p>
    <w:p w14:paraId="3E58CBC9" w14:textId="7AAD0BCE" w:rsidR="00C0694C" w:rsidRPr="008B0387" w:rsidRDefault="0045458C" w:rsidP="00DD1298">
      <w:pPr>
        <w:jc w:val="both"/>
        <w:rPr>
          <w:rFonts w:ascii="Arial" w:hAnsi="Arial" w:cs="Arial"/>
        </w:rPr>
      </w:pPr>
      <w:r w:rsidRPr="008B0387">
        <w:rPr>
          <w:rFonts w:ascii="Arial" w:hAnsi="Arial" w:cs="Arial"/>
        </w:rPr>
        <w:t xml:space="preserve">According to </w:t>
      </w:r>
      <w:r w:rsidR="008806BA" w:rsidRPr="008B0387">
        <w:rPr>
          <w:rFonts w:ascii="Arial" w:hAnsi="Arial" w:cs="Arial"/>
        </w:rPr>
        <w:fldChar w:fldCharType="begin"/>
      </w:r>
      <w:r w:rsidR="00CF5AD7" w:rsidRPr="008B0387">
        <w:rPr>
          <w:rFonts w:ascii="Arial" w:hAnsi="Arial" w:cs="Arial"/>
        </w:rPr>
        <w:instrText xml:space="preserve"> ADDIN ZOTERO_ITEM CSL_CITATION {"citationID":"1piuoau9","properties":{"formattedCitation":"(Alam\\uc0\\u228{}ki et al., 2024)","plainCitation":"(Alamäki et al., 2024)","dontUpdate":true,"noteIndex":0},"citationItems":[{"id":12823,"uris":["http://zotero.org/users/local/JyjMxVLY/items/F4IN76QL"],"itemData":{"id":12823,"type":"article-journal","abstract":"IntroductionThe purpose of this empirical research was to map the capabilities and perceptions of undergraduate business administration students about artifi...","DOI":"10.3389/feduc.2024.1343406","language":"en","source":"Frontiers","title":"Artificial intelligence literacy in sustainable development: A learning experiment in higher education","title-short":"Frontiers | Artificial intelligence literacy in sustainable development","URL":"https://www.frontiersin.org/journals/education/articles/10.3389/feduc.2024.1343406/full","author":[{"family":"Alamäki","given":"Ari"},{"family":"Nyberg","given":"Crister"},{"family":"Kimberley","given":"Anna"},{"family":"Salonen","given":"Arto O."}],"accessed":{"date-parts":[["2025",6,7]]},"issued":{"date-parts":[["2024"]]}}}],"schema":"https://github.com/citation-style-language/schema/raw/master/csl-citation.json"} </w:instrText>
      </w:r>
      <w:r w:rsidR="008806BA" w:rsidRPr="008B0387">
        <w:rPr>
          <w:rFonts w:ascii="Arial" w:hAnsi="Arial" w:cs="Arial"/>
        </w:rPr>
        <w:fldChar w:fldCharType="separate"/>
      </w:r>
      <w:r w:rsidR="008806BA" w:rsidRPr="008B0387">
        <w:rPr>
          <w:rFonts w:ascii="Arial" w:hAnsi="Arial" w:cs="Arial"/>
          <w:szCs w:val="24"/>
        </w:rPr>
        <w:t>Alamäki et al. (2024)</w:t>
      </w:r>
      <w:r w:rsidR="008806BA" w:rsidRPr="008B0387">
        <w:rPr>
          <w:rFonts w:ascii="Arial" w:hAnsi="Arial" w:cs="Arial"/>
        </w:rPr>
        <w:fldChar w:fldCharType="end"/>
      </w:r>
      <w:r w:rsidRPr="008B0387">
        <w:rPr>
          <w:rFonts w:ascii="Arial" w:hAnsi="Arial" w:cs="Arial"/>
        </w:rPr>
        <w:t xml:space="preserve">, AI literacy encompasses the ability to understand, apply, and evaluate technology effectively. This literacy includes technical aspects, ethical and social awareness, as well as readiness to adapt to dynamic technological developments. Some important indicators include: </w:t>
      </w:r>
    </w:p>
    <w:p w14:paraId="6F8EAF8A" w14:textId="77777777" w:rsidR="00C0694C" w:rsidRPr="008B0387" w:rsidRDefault="0045458C" w:rsidP="00DD1298">
      <w:pPr>
        <w:pStyle w:val="ListParagraph"/>
        <w:numPr>
          <w:ilvl w:val="0"/>
          <w:numId w:val="15"/>
        </w:numPr>
        <w:jc w:val="both"/>
        <w:rPr>
          <w:rFonts w:ascii="Arial" w:hAnsi="Arial" w:cs="Arial"/>
        </w:rPr>
      </w:pPr>
      <w:r w:rsidRPr="008B0387">
        <w:rPr>
          <w:rFonts w:ascii="Arial" w:hAnsi="Arial" w:cs="Arial"/>
        </w:rPr>
        <w:t>Basic Understanding of AI</w:t>
      </w:r>
    </w:p>
    <w:p w14:paraId="4FF132F3" w14:textId="77777777" w:rsidR="00C0694C" w:rsidRPr="008B0387" w:rsidRDefault="0045458C" w:rsidP="00DD1298">
      <w:pPr>
        <w:pStyle w:val="ListParagraph"/>
        <w:numPr>
          <w:ilvl w:val="0"/>
          <w:numId w:val="15"/>
        </w:numPr>
        <w:jc w:val="both"/>
        <w:rPr>
          <w:rFonts w:ascii="Arial" w:hAnsi="Arial" w:cs="Arial"/>
        </w:rPr>
      </w:pPr>
      <w:r w:rsidRPr="008B0387">
        <w:rPr>
          <w:rFonts w:ascii="Arial" w:hAnsi="Arial" w:cs="Arial"/>
        </w:rPr>
        <w:t>Ethical and Social Awareness</w:t>
      </w:r>
    </w:p>
    <w:p w14:paraId="733C6AD1" w14:textId="77777777" w:rsidR="00C0694C" w:rsidRPr="008B0387" w:rsidRDefault="0045458C" w:rsidP="00DD1298">
      <w:pPr>
        <w:pStyle w:val="ListParagraph"/>
        <w:numPr>
          <w:ilvl w:val="0"/>
          <w:numId w:val="15"/>
        </w:numPr>
        <w:jc w:val="both"/>
        <w:rPr>
          <w:rFonts w:ascii="Arial" w:hAnsi="Arial" w:cs="Arial"/>
        </w:rPr>
      </w:pPr>
      <w:r w:rsidRPr="008B0387">
        <w:rPr>
          <w:rFonts w:ascii="Arial" w:hAnsi="Arial" w:cs="Arial"/>
        </w:rPr>
        <w:t xml:space="preserve">Practical Application Skills </w:t>
      </w:r>
    </w:p>
    <w:p w14:paraId="6FDACC42" w14:textId="77777777" w:rsidR="00C0694C" w:rsidRPr="008B0387" w:rsidRDefault="0045458C" w:rsidP="00DD1298">
      <w:pPr>
        <w:pStyle w:val="ListParagraph"/>
        <w:numPr>
          <w:ilvl w:val="0"/>
          <w:numId w:val="15"/>
        </w:numPr>
        <w:jc w:val="both"/>
        <w:rPr>
          <w:rFonts w:ascii="Arial" w:hAnsi="Arial" w:cs="Arial"/>
        </w:rPr>
      </w:pPr>
      <w:r w:rsidRPr="008B0387">
        <w:rPr>
          <w:rFonts w:ascii="Arial" w:hAnsi="Arial" w:cs="Arial"/>
        </w:rPr>
        <w:t xml:space="preserve">Critical Attitude Towards </w:t>
      </w:r>
    </w:p>
    <w:p w14:paraId="37DAF564" w14:textId="77777777" w:rsidR="00C0694C" w:rsidRPr="008B0387" w:rsidRDefault="0045458C" w:rsidP="00DD1298">
      <w:pPr>
        <w:pStyle w:val="ListParagraph"/>
        <w:numPr>
          <w:ilvl w:val="0"/>
          <w:numId w:val="15"/>
        </w:numPr>
        <w:jc w:val="both"/>
        <w:rPr>
          <w:rFonts w:ascii="Arial" w:hAnsi="Arial" w:cs="Arial"/>
        </w:rPr>
      </w:pPr>
      <w:r w:rsidRPr="008B0387">
        <w:rPr>
          <w:rFonts w:ascii="Arial" w:hAnsi="Arial" w:cs="Arial"/>
        </w:rPr>
        <w:t>Readiness to Learn and Adapt.</w:t>
      </w:r>
    </w:p>
    <w:p w14:paraId="6604C914" w14:textId="77777777" w:rsidR="00C0694C" w:rsidRPr="008B0387" w:rsidRDefault="00C0694C">
      <w:pPr>
        <w:pBdr>
          <w:top w:val="nil"/>
          <w:left w:val="nil"/>
          <w:bottom w:val="nil"/>
          <w:right w:val="nil"/>
          <w:between w:val="nil"/>
        </w:pBdr>
        <w:jc w:val="both"/>
        <w:rPr>
          <w:rFonts w:ascii="Arial" w:eastAsia="Roboto" w:hAnsi="Arial" w:cs="Arial"/>
          <w:color w:val="111111"/>
          <w:shd w:val="clear" w:color="auto" w:fill="F7F7F7"/>
        </w:rPr>
      </w:pPr>
    </w:p>
    <w:p w14:paraId="60A2F69B" w14:textId="5CA88161" w:rsidR="00C0694C" w:rsidRPr="008B0387" w:rsidRDefault="0045458C" w:rsidP="00F044DC">
      <w:pPr>
        <w:rPr>
          <w:rFonts w:ascii="Arial" w:hAnsi="Arial" w:cs="Arial"/>
          <w:b/>
          <w:bCs/>
        </w:rPr>
      </w:pPr>
      <w:r w:rsidRPr="008B0387">
        <w:rPr>
          <w:rFonts w:ascii="Arial" w:hAnsi="Arial" w:cs="Arial"/>
          <w:b/>
          <w:bCs/>
        </w:rPr>
        <w:t>2.</w:t>
      </w:r>
      <w:r w:rsidR="004F7508">
        <w:rPr>
          <w:rFonts w:ascii="Arial" w:hAnsi="Arial" w:cs="Arial"/>
          <w:b/>
          <w:bCs/>
        </w:rPr>
        <w:t>6</w:t>
      </w:r>
      <w:r w:rsidRPr="008B0387">
        <w:rPr>
          <w:rFonts w:ascii="Arial" w:hAnsi="Arial" w:cs="Arial"/>
          <w:b/>
          <w:bCs/>
        </w:rPr>
        <w:t xml:space="preserve"> Capability Innovation</w:t>
      </w:r>
    </w:p>
    <w:p w14:paraId="0E205893" w14:textId="77777777" w:rsidR="00F044DC" w:rsidRPr="008B0387" w:rsidRDefault="00F044DC" w:rsidP="00F044DC">
      <w:pPr>
        <w:rPr>
          <w:rFonts w:ascii="Arial" w:hAnsi="Arial" w:cs="Arial"/>
          <w:b/>
          <w:bCs/>
        </w:rPr>
      </w:pPr>
    </w:p>
    <w:p w14:paraId="66DB7930" w14:textId="193D9810" w:rsidR="00C0694C" w:rsidRPr="008B0387" w:rsidRDefault="0045458C" w:rsidP="00DD1298">
      <w:pPr>
        <w:jc w:val="both"/>
        <w:rPr>
          <w:rFonts w:ascii="Arial" w:hAnsi="Arial" w:cs="Arial"/>
        </w:rPr>
      </w:pPr>
      <w:r w:rsidRPr="008B0387">
        <w:rPr>
          <w:rFonts w:ascii="Arial" w:hAnsi="Arial" w:cs="Arial"/>
        </w:rPr>
        <w:t xml:space="preserve">Innovation capability is the ability of an organization to develop and implement new ideas that result in improved performance and competitiveness. According to </w:t>
      </w:r>
      <w:r w:rsidR="008806BA" w:rsidRPr="008B0387">
        <w:rPr>
          <w:rFonts w:ascii="Arial" w:hAnsi="Arial" w:cs="Arial"/>
        </w:rPr>
        <w:fldChar w:fldCharType="begin"/>
      </w:r>
      <w:r w:rsidR="00CF5AD7" w:rsidRPr="008B0387">
        <w:rPr>
          <w:rFonts w:ascii="Arial" w:hAnsi="Arial" w:cs="Arial"/>
        </w:rPr>
        <w:instrText xml:space="preserve"> ADDIN ZOTERO_ITEM CSL_CITATION {"citationID":"hpFj4vRD","properties":{"formattedCitation":"(Lawson &amp; Samson, 2001)","plainCitation":"(Lawson &amp; Samson, 2001)","dontUpdate":true,"noteIndex":0},"citationItems":[{"id":13070,"uris":["http://zotero.org/users/local/JyjMxVLY/items/JZ27Q28N"],"itemData":{"id":13070,"type":"article-journal","abstract":"This paper draws together knowledge from a variety of fields to propose that innovation management can be viewed as a form of organisational capability. Excellent companies invest and nurture this capability, from which they execute effective innovation processes, leading to innovations in new product, services and processes, and superior business performance results. An extensive review of the literature on innovation management, along with a case study of Cisco Systems, develops a conceptual model of the firm as an innovation engine. This new operating model sees substantial investment in innovation capability as the primary engine for wealth creation, rather than the possession of physical assets. Building on the dynamic capabilities literature, an “innovation capability” construct is proposed with seven elements. These are vision and strategy, harnessing the competence base, organisational intelligence, creativity and idea management, organisational structures and systems, culture and climate, and management of technology.","container-title":"International Journal of Innovation Management","DOI":"10.1142/S1363919601000427","ISSN":"1363-9196, 1757-5877","issue":"03","journalAbbreviation":"Int. J. Innov. Mgt.","language":"en","page":"377-400","source":"DOI.org (Crossref)","title":"DEVELOPING INNOVATION CAPABILITY IN ORGANISATIONS: A DYNAMIC CAPABILITIES APPROACH","title-short":"DEVELOPING INNOVATION CAPABILITY IN ORGANISATIONS","volume":"05","author":[{"family":"Lawson","given":"Benn"},{"family":"Samson","given":"Danny"}],"issued":{"date-parts":[["2001",9]]}}}],"schema":"https://github.com/citation-style-language/schema/raw/master/csl-citation.json"} </w:instrText>
      </w:r>
      <w:r w:rsidR="008806BA" w:rsidRPr="008B0387">
        <w:rPr>
          <w:rFonts w:ascii="Arial" w:hAnsi="Arial" w:cs="Arial"/>
        </w:rPr>
        <w:fldChar w:fldCharType="separate"/>
      </w:r>
      <w:r w:rsidR="008806BA" w:rsidRPr="008B0387">
        <w:rPr>
          <w:rFonts w:ascii="Arial" w:hAnsi="Arial" w:cs="Arial"/>
        </w:rPr>
        <w:t>Lawson &amp; Samson (2001)</w:t>
      </w:r>
      <w:r w:rsidR="008806BA" w:rsidRPr="008B0387">
        <w:rPr>
          <w:rFonts w:ascii="Arial" w:hAnsi="Arial" w:cs="Arial"/>
        </w:rPr>
        <w:fldChar w:fldCharType="end"/>
      </w:r>
      <w:r w:rsidRPr="008B0387">
        <w:rPr>
          <w:rFonts w:ascii="Arial" w:hAnsi="Arial" w:cs="Arial"/>
        </w:rPr>
        <w:t xml:space="preserve">, innovation capability is a company's core competency that reflects its ability to transform knowledge and ideas into useful products, processes, or systems. Meanwhile, in recent research by </w:t>
      </w:r>
      <w:r w:rsidR="008806BA" w:rsidRPr="008B0387">
        <w:rPr>
          <w:rFonts w:ascii="Arial" w:hAnsi="Arial" w:cs="Arial"/>
        </w:rPr>
        <w:fldChar w:fldCharType="begin"/>
      </w:r>
      <w:r w:rsidR="00CF5AD7" w:rsidRPr="008B0387">
        <w:rPr>
          <w:rFonts w:ascii="Arial" w:hAnsi="Arial" w:cs="Arial"/>
        </w:rPr>
        <w:instrText xml:space="preserve"> ADDIN ZOTERO_ITEM CSL_CITATION {"citationID":"bKLb2CLS","properties":{"formattedCitation":"(Alaskar, 2023)","plainCitation":"(Alaskar, 2023)","dontUpdate":true,"noteIndex":0},"citationItems":[{"id":12836,"uris":["http://zotero.org/users/local/JyjMxVLY/items/3S469FQD"],"itemData":{"id":12836,"type":"article-journal","abstract":"Although business analytics (BA) play an important role in improving firm performance, various firms struggle to deliver their full benefits. Many researchers have investigated the capabilities required to achieve better value through BA, but none have addressed the impact of innovation capabilities as a contextual variable mediating the effects on firm performance. By adopting the Technology-Organization-Environment (TOE) framework, this study suggests a model to evaluate the impact of BA capabilities on firm performance and addresses the mediating role of innovation capabilities. A quantitative approach was adopted for data collection and analysis. Based on 386 surveys of BA experts at Saudi Arabian firms and the use of PLS-SEM to test and validate the model. The results show that organizational factors have a highly significant impact on firm performance. While IT infrastructure and information quality as technological factors showed no significant and positive effect. Furthermore, the findings revealed that innovation capabilities positively mediate the link between IT infrastructure and information quality and firm performance as it affects directly and indirectly firm performance. The findings of this study contribute to the literature by addressing the research gap in BA in the Saudi Arabia context. Moreover, the study result stressing about the role of innovation capabilities on the BA capabilities and the importance of considering the interaction between TOE factors. However, research was carried out within one developing country (Saudi Arabia), which might restrict the findings’ generalizability of the study, and the results must be generalized with care to avoid issues such as structural and cultural variances between developed and developing countries.","container-title":"Sustainability","DOI":"10.3390/su15065522","ISSN":"2071-1050","issue":"6","language":"en","license":"http://creativecommons.org/licenses/by/3.0/","note":"number: 6\npublisher: Multidisciplinary Digital Publishing Institute","page":"5522","source":"www.mdpi.com","title":"Innovation Capabilities as a Mediator between Business Analytics and Firm Performance","volume":"15","author":[{"family":"Alaskar","given":"Thamir Hamad"}],"issued":{"date-parts":[["2023",1]]}}}],"schema":"https://github.com/citation-style-language/schema/raw/master/csl-citation.json"} </w:instrText>
      </w:r>
      <w:r w:rsidR="008806BA" w:rsidRPr="008B0387">
        <w:rPr>
          <w:rFonts w:ascii="Arial" w:hAnsi="Arial" w:cs="Arial"/>
        </w:rPr>
        <w:fldChar w:fldCharType="separate"/>
      </w:r>
      <w:r w:rsidR="008806BA" w:rsidRPr="008B0387">
        <w:rPr>
          <w:rFonts w:ascii="Arial" w:hAnsi="Arial" w:cs="Arial"/>
        </w:rPr>
        <w:t>Alaskar (2023)</w:t>
      </w:r>
      <w:r w:rsidR="008806BA" w:rsidRPr="008B0387">
        <w:rPr>
          <w:rFonts w:ascii="Arial" w:hAnsi="Arial" w:cs="Arial"/>
        </w:rPr>
        <w:fldChar w:fldCharType="end"/>
      </w:r>
      <w:r w:rsidRPr="008B0387">
        <w:rPr>
          <w:rFonts w:ascii="Arial" w:hAnsi="Arial" w:cs="Arial"/>
        </w:rPr>
        <w:t>, innovation capability is described as the ability of an organization to create new data-driven and technology-based solutions that can enhance business performance sustainably. The study also indicates that innovation capability plays an important role as a mediator in the relationship between the utilization of business data and the achievement of company performance.</w:t>
      </w:r>
    </w:p>
    <w:p w14:paraId="0CC52153" w14:textId="77777777" w:rsidR="00C0694C" w:rsidRPr="008B0387" w:rsidRDefault="00C0694C" w:rsidP="00DD1298">
      <w:pPr>
        <w:jc w:val="both"/>
        <w:rPr>
          <w:rFonts w:ascii="Arial" w:hAnsi="Arial" w:cs="Arial"/>
        </w:rPr>
      </w:pPr>
    </w:p>
    <w:p w14:paraId="019C1C70" w14:textId="359501B4" w:rsidR="00C0694C" w:rsidRPr="008B0387" w:rsidRDefault="0045458C" w:rsidP="00DD1298">
      <w:pPr>
        <w:jc w:val="both"/>
        <w:rPr>
          <w:rFonts w:ascii="Arial" w:hAnsi="Arial" w:cs="Arial"/>
        </w:rPr>
      </w:pPr>
      <w:r w:rsidRPr="008B0387">
        <w:rPr>
          <w:rFonts w:ascii="Arial" w:hAnsi="Arial" w:cs="Arial"/>
        </w:rPr>
        <w:t xml:space="preserve">According to </w:t>
      </w:r>
      <w:r w:rsidR="008806BA" w:rsidRPr="008B0387">
        <w:rPr>
          <w:rFonts w:ascii="Arial" w:hAnsi="Arial" w:cs="Arial"/>
        </w:rPr>
        <w:fldChar w:fldCharType="begin"/>
      </w:r>
      <w:r w:rsidR="00CF5AD7" w:rsidRPr="008B0387">
        <w:rPr>
          <w:rFonts w:ascii="Arial" w:hAnsi="Arial" w:cs="Arial"/>
        </w:rPr>
        <w:instrText xml:space="preserve"> ADDIN ZOTERO_ITEM CSL_CITATION {"citationID":"wnUXLfUd","properties":{"formattedCitation":"(Alaskar, 2023)","plainCitation":"(Alaskar, 2023)","dontUpdate":true,"noteIndex":0},"citationItems":[{"id":12836,"uris":["http://zotero.org/users/local/JyjMxVLY/items/3S469FQD"],"itemData":{"id":12836,"type":"article-journal","abstract":"Although business analytics (BA) play an important role in improving firm performance, various firms struggle to deliver their full benefits. Many researchers have investigated the capabilities required to achieve better value through BA, but none have addressed the impact of innovation capabilities as a contextual variable mediating the effects on firm performance. By adopting the Technology-Organization-Environment (TOE) framework, this study suggests a model to evaluate the impact of BA capabilities on firm performance and addresses the mediating role of innovation capabilities. A quantitative approach was adopted for data collection and analysis. Based on 386 surveys of BA experts at Saudi Arabian firms and the use of PLS-SEM to test and validate the model. The results show that organizational factors have a highly significant impact on firm performance. While IT infrastructure and information quality as technological factors showed no significant and positive effect. Furthermore, the findings revealed that innovation capabilities positively mediate the link between IT infrastructure and information quality and firm performance as it affects directly and indirectly firm performance. The findings of this study contribute to the literature by addressing the research gap in BA in the Saudi Arabia context. Moreover, the study result stressing about the role of innovation capabilities on the BA capabilities and the importance of considering the interaction between TOE factors. However, research was carried out within one developing country (Saudi Arabia), which might restrict the findings’ generalizability of the study, and the results must be generalized with care to avoid issues such as structural and cultural variances between developed and developing countries.","container-title":"Sustainability","DOI":"10.3390/su15065522","ISSN":"2071-1050","issue":"6","language":"en","license":"http://creativecommons.org/licenses/by/3.0/","note":"number: 6\npublisher: Multidisciplinary Digital Publishing Institute","page":"5522","source":"www.mdpi.com","title":"Innovation Capabilities as a Mediator between Business Analytics and Firm Performance","volume":"15","author":[{"family":"Alaskar","given":"Thamir Hamad"}],"issued":{"date-parts":[["2023",1]]}}}],"schema":"https://github.com/citation-style-language/schema/raw/master/csl-citation.json"} </w:instrText>
      </w:r>
      <w:r w:rsidR="008806BA" w:rsidRPr="008B0387">
        <w:rPr>
          <w:rFonts w:ascii="Arial" w:hAnsi="Arial" w:cs="Arial"/>
        </w:rPr>
        <w:fldChar w:fldCharType="separate"/>
      </w:r>
      <w:r w:rsidR="008806BA" w:rsidRPr="008B0387">
        <w:rPr>
          <w:rFonts w:ascii="Arial" w:hAnsi="Arial" w:cs="Arial"/>
        </w:rPr>
        <w:t>Alaskar (2023)</w:t>
      </w:r>
      <w:r w:rsidR="008806BA" w:rsidRPr="008B0387">
        <w:rPr>
          <w:rFonts w:ascii="Arial" w:hAnsi="Arial" w:cs="Arial"/>
        </w:rPr>
        <w:fldChar w:fldCharType="end"/>
      </w:r>
      <w:r w:rsidRPr="008B0387">
        <w:rPr>
          <w:rFonts w:ascii="Arial" w:hAnsi="Arial" w:cs="Arial"/>
        </w:rPr>
        <w:t xml:space="preserve">, organizational innovation capability is reflected in the ability to develop and implement creative ideas to drive growth and strengthen competitiveness. Innovation includes the creation of new ideas as well as the adjustment of strategies and processes to align with market dynamics. Some of the key indicators include: </w:t>
      </w:r>
    </w:p>
    <w:p w14:paraId="5CFB9967" w14:textId="17E2E276" w:rsidR="00C0694C" w:rsidRPr="008B0387" w:rsidRDefault="0045458C" w:rsidP="00DD1298">
      <w:pPr>
        <w:pStyle w:val="ListParagraph"/>
        <w:numPr>
          <w:ilvl w:val="0"/>
          <w:numId w:val="16"/>
        </w:numPr>
        <w:jc w:val="both"/>
        <w:rPr>
          <w:rFonts w:ascii="Arial" w:hAnsi="Arial" w:cs="Arial"/>
        </w:rPr>
      </w:pPr>
      <w:r w:rsidRPr="008B0387">
        <w:rPr>
          <w:rFonts w:ascii="Arial" w:hAnsi="Arial" w:cs="Arial"/>
        </w:rPr>
        <w:t>Ability to Generate New Ideas</w:t>
      </w:r>
    </w:p>
    <w:p w14:paraId="3B38DE69" w14:textId="77777777" w:rsidR="00C0694C" w:rsidRPr="008B0387" w:rsidRDefault="0045458C" w:rsidP="00DD1298">
      <w:pPr>
        <w:pStyle w:val="ListParagraph"/>
        <w:numPr>
          <w:ilvl w:val="0"/>
          <w:numId w:val="16"/>
        </w:numPr>
        <w:jc w:val="both"/>
        <w:rPr>
          <w:rFonts w:ascii="Arial" w:hAnsi="Arial" w:cs="Arial"/>
        </w:rPr>
      </w:pPr>
      <w:r w:rsidRPr="008B0387">
        <w:rPr>
          <w:rFonts w:ascii="Arial" w:hAnsi="Arial" w:cs="Arial"/>
        </w:rPr>
        <w:t xml:space="preserve">Application of Innovation in Operations </w:t>
      </w:r>
    </w:p>
    <w:p w14:paraId="0FB926DB" w14:textId="3EEFFDA8" w:rsidR="00C0694C" w:rsidRPr="008B0387" w:rsidRDefault="0045458C" w:rsidP="00DD1298">
      <w:pPr>
        <w:pStyle w:val="ListParagraph"/>
        <w:numPr>
          <w:ilvl w:val="0"/>
          <w:numId w:val="16"/>
        </w:numPr>
        <w:jc w:val="both"/>
        <w:rPr>
          <w:rFonts w:ascii="Arial" w:hAnsi="Arial" w:cs="Arial"/>
        </w:rPr>
      </w:pPr>
      <w:r w:rsidRPr="008B0387">
        <w:rPr>
          <w:rFonts w:ascii="Arial" w:hAnsi="Arial" w:cs="Arial"/>
        </w:rPr>
        <w:t>Development of New Products or Services</w:t>
      </w:r>
    </w:p>
    <w:p w14:paraId="4D1468B0" w14:textId="77777777" w:rsidR="00C0694C" w:rsidRPr="008B0387" w:rsidRDefault="0045458C" w:rsidP="00DD1298">
      <w:pPr>
        <w:pStyle w:val="ListParagraph"/>
        <w:numPr>
          <w:ilvl w:val="0"/>
          <w:numId w:val="16"/>
        </w:numPr>
        <w:jc w:val="both"/>
        <w:rPr>
          <w:rFonts w:ascii="Arial" w:hAnsi="Arial" w:cs="Arial"/>
        </w:rPr>
      </w:pPr>
      <w:r w:rsidRPr="008B0387">
        <w:rPr>
          <w:rFonts w:ascii="Arial" w:hAnsi="Arial" w:cs="Arial"/>
        </w:rPr>
        <w:t xml:space="preserve">Speed of Responding to Market Changes </w:t>
      </w:r>
    </w:p>
    <w:p w14:paraId="23010C91" w14:textId="761686D4" w:rsidR="00C0694C" w:rsidRPr="008B0387" w:rsidRDefault="0045458C" w:rsidP="00DD1298">
      <w:pPr>
        <w:pStyle w:val="ListParagraph"/>
        <w:numPr>
          <w:ilvl w:val="0"/>
          <w:numId w:val="16"/>
        </w:numPr>
        <w:jc w:val="both"/>
        <w:rPr>
          <w:rFonts w:ascii="Arial" w:hAnsi="Arial" w:cs="Arial"/>
        </w:rPr>
      </w:pPr>
      <w:r w:rsidRPr="008B0387">
        <w:rPr>
          <w:rFonts w:ascii="Arial" w:hAnsi="Arial" w:cs="Arial"/>
        </w:rPr>
        <w:t>Utilization of Technology for Innovation</w:t>
      </w:r>
    </w:p>
    <w:p w14:paraId="7A4BEE57" w14:textId="77777777" w:rsidR="00C0694C" w:rsidRPr="008B0387" w:rsidRDefault="00C0694C">
      <w:pPr>
        <w:pBdr>
          <w:top w:val="nil"/>
          <w:left w:val="nil"/>
          <w:bottom w:val="nil"/>
          <w:right w:val="nil"/>
          <w:between w:val="nil"/>
        </w:pBdr>
        <w:jc w:val="both"/>
        <w:rPr>
          <w:rFonts w:ascii="Arial" w:eastAsia="Roboto" w:hAnsi="Arial" w:cs="Arial"/>
          <w:color w:val="111111"/>
          <w:shd w:val="clear" w:color="auto" w:fill="F7F7F7"/>
        </w:rPr>
      </w:pPr>
    </w:p>
    <w:p w14:paraId="4E036D60" w14:textId="6C3C058E" w:rsidR="00C0694C" w:rsidRPr="008B0387" w:rsidRDefault="0045458C">
      <w:pPr>
        <w:pBdr>
          <w:top w:val="nil"/>
          <w:left w:val="nil"/>
          <w:bottom w:val="nil"/>
          <w:right w:val="nil"/>
          <w:between w:val="nil"/>
        </w:pBdr>
        <w:jc w:val="both"/>
        <w:rPr>
          <w:rFonts w:ascii="Arial" w:eastAsia="Roboto" w:hAnsi="Arial" w:cs="Arial"/>
          <w:b/>
          <w:color w:val="111111"/>
          <w:shd w:val="clear" w:color="auto" w:fill="F7F7F7"/>
        </w:rPr>
      </w:pPr>
      <w:r w:rsidRPr="008B0387">
        <w:rPr>
          <w:rFonts w:ascii="Arial" w:eastAsia="Roboto" w:hAnsi="Arial" w:cs="Arial"/>
          <w:b/>
          <w:color w:val="111111"/>
          <w:shd w:val="clear" w:color="auto" w:fill="F7F7F7"/>
        </w:rPr>
        <w:t>2.</w:t>
      </w:r>
      <w:r w:rsidR="004F7508">
        <w:rPr>
          <w:rFonts w:ascii="Arial" w:eastAsia="Roboto" w:hAnsi="Arial" w:cs="Arial"/>
          <w:b/>
          <w:color w:val="111111"/>
          <w:shd w:val="clear" w:color="auto" w:fill="F7F7F7"/>
        </w:rPr>
        <w:t>7</w:t>
      </w:r>
      <w:r w:rsidRPr="008B0387">
        <w:rPr>
          <w:rFonts w:ascii="Arial" w:eastAsia="Roboto" w:hAnsi="Arial" w:cs="Arial"/>
          <w:b/>
          <w:color w:val="111111"/>
          <w:shd w:val="clear" w:color="auto" w:fill="F7F7F7"/>
        </w:rPr>
        <w:t xml:space="preserve"> Research Hypotheses</w:t>
      </w:r>
    </w:p>
    <w:p w14:paraId="7487D9C2" w14:textId="751ACC3C" w:rsidR="00C0694C" w:rsidRPr="008B0387" w:rsidRDefault="0045458C" w:rsidP="00ED6974">
      <w:pPr>
        <w:pBdr>
          <w:top w:val="nil"/>
          <w:left w:val="nil"/>
          <w:bottom w:val="nil"/>
          <w:right w:val="nil"/>
          <w:between w:val="nil"/>
        </w:pBdr>
        <w:spacing w:before="240"/>
        <w:jc w:val="both"/>
        <w:rPr>
          <w:rFonts w:ascii="Arial" w:eastAsia="Roboto" w:hAnsi="Arial" w:cs="Arial"/>
          <w:color w:val="111111"/>
          <w:shd w:val="clear" w:color="auto" w:fill="F7F7F7"/>
        </w:rPr>
      </w:pPr>
      <w:r w:rsidRPr="008B0387">
        <w:rPr>
          <w:rFonts w:ascii="Arial" w:eastAsia="Roboto" w:hAnsi="Arial" w:cs="Arial"/>
          <w:color w:val="111111"/>
          <w:shd w:val="clear" w:color="auto" w:fill="F7F7F7"/>
        </w:rPr>
        <w:t>Building on the theoretical framework outlined above, this study introduces the following hypotheses:</w:t>
      </w:r>
    </w:p>
    <w:p w14:paraId="1AB9D82C" w14:textId="77777777" w:rsidR="00C0694C" w:rsidRPr="008B0387" w:rsidRDefault="00C0694C">
      <w:pPr>
        <w:pBdr>
          <w:top w:val="nil"/>
          <w:left w:val="nil"/>
          <w:bottom w:val="nil"/>
          <w:right w:val="nil"/>
          <w:between w:val="nil"/>
        </w:pBdr>
        <w:jc w:val="both"/>
        <w:rPr>
          <w:rFonts w:ascii="Arial" w:eastAsia="Roboto" w:hAnsi="Arial" w:cs="Arial"/>
          <w:color w:val="111111"/>
          <w:shd w:val="clear" w:color="auto" w:fill="F7F7F7"/>
        </w:rPr>
      </w:pPr>
    </w:p>
    <w:p w14:paraId="66A6CAA7" w14:textId="33D5D3FA" w:rsidR="00C0694C" w:rsidRPr="008B0387" w:rsidRDefault="0045458C">
      <w:pPr>
        <w:numPr>
          <w:ilvl w:val="0"/>
          <w:numId w:val="11"/>
        </w:numPr>
        <w:pBdr>
          <w:top w:val="nil"/>
          <w:left w:val="nil"/>
          <w:bottom w:val="nil"/>
          <w:right w:val="nil"/>
          <w:between w:val="nil"/>
        </w:pBdr>
        <w:jc w:val="both"/>
        <w:rPr>
          <w:rFonts w:ascii="Arial" w:eastAsia="Roboto" w:hAnsi="Arial" w:cs="Arial"/>
          <w:color w:val="111111"/>
          <w:shd w:val="clear" w:color="auto" w:fill="F7F7F7"/>
        </w:rPr>
      </w:pPr>
      <w:r w:rsidRPr="008B0387">
        <w:rPr>
          <w:rFonts w:ascii="Arial" w:eastAsia="Roboto" w:hAnsi="Arial" w:cs="Arial"/>
          <w:color w:val="111111"/>
          <w:shd w:val="clear" w:color="auto" w:fill="F7F7F7"/>
        </w:rPr>
        <w:t>H1: Digital Trust has a positive and significant effect on the sustainability of MSMEs</w:t>
      </w:r>
      <w:r w:rsidR="00492186" w:rsidRPr="008B0387">
        <w:rPr>
          <w:rFonts w:ascii="Arial" w:eastAsia="Roboto" w:hAnsi="Arial" w:cs="Arial"/>
          <w:color w:val="111111"/>
          <w:shd w:val="clear" w:color="auto" w:fill="F7F7F7"/>
        </w:rPr>
        <w:t xml:space="preserve"> </w:t>
      </w:r>
      <w:r w:rsidR="00492186" w:rsidRPr="008B0387">
        <w:rPr>
          <w:rFonts w:ascii="Arial" w:eastAsia="Roboto" w:hAnsi="Arial" w:cs="Arial"/>
          <w:color w:val="111111"/>
          <w:shd w:val="clear" w:color="auto" w:fill="F7F7F7"/>
        </w:rPr>
        <w:fldChar w:fldCharType="begin"/>
      </w:r>
      <w:r w:rsidR="00492186" w:rsidRPr="008B0387">
        <w:rPr>
          <w:rFonts w:ascii="Arial" w:eastAsia="Roboto" w:hAnsi="Arial" w:cs="Arial"/>
          <w:color w:val="111111"/>
          <w:shd w:val="clear" w:color="auto" w:fill="F7F7F7"/>
        </w:rPr>
        <w:instrText xml:space="preserve"> ADDIN ZOTERO_ITEM CSL_CITATION {"citationID":"hUtX61fH","properties":{"formattedCitation":"(Dhewanto et al., 2022; El Hilali et al., 2020; Khatib et al., 2024; Puteri &amp; Asyari, 2023; Qing &amp; Jin, 2023b)","plainCitation":"(Dhewanto et al., 2022; El Hilali et al., 2020; Khatib et al., 2024; Puteri &amp; Asyari, 2023; Qing &amp; Jin, 2023b)","noteIndex":0},"citationItems":[{"id":12134,"uris":["http://zotero.org/users/local/JyjMxVLY/items/PAYS4PAA"],"itemData":{"id":12134,"type":"article-journal","abstract":"The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Noviyana"}],"issued":{"date-parts":[["2022"]]}},"label":"page"},{"id":13468,"uris":["http://zotero.org/users/local/JyjMxVLY/items/J49J9QBW"],"itemData":{"id":13468,"type":"article-journal","abstract":"In a world where big data have become crucial to guarantee the success of companies, digital transformation came to help companies transition towards a digital business and accept the changes in the organizational structure as well as the market. Nonetheless, even with the ever-growing importance shed on it, few articles and studies have linked it to the sustainability paradigm. Empirical studies that have linked between the factors of digital transformation and a more sustainable business are still scant. Many efforts are still needed to reduce the knowledge gap between these two concepts. The purpose of this paper is to fill this gap by examining (empirically) the effect of digital transformation on sustainability.The study validates five different hypotheses highlighted by the literature using structural equation model (SEM) analysis from partial least square (PLS) approach. It uses a new conceptual framework using a survey data, answered by 41 small- and medium-sized enterprises (SMEs) in Morocco from different industries.Using PLS-SEM modeling, the results show that customers, data and innovation, which are drivers that companies should work on during a digital transformation, have a significant impact on companies’ quest to reach sustainability. However, and in contrast to the existing literature, authors find that competition did not play a significant role in enhancing the companies’ commitment to sustainability.Authors’ findings encourage firms to seize the opportunity of digital transformation to embrace sustainability, because the implementation of these two concepts requires radical changes at the business model level. Authors suggest that the road to achieve sustainability in a digital era should focus on three main axes, enhancing the customer experience and adopting customer centricity, building data analytics capabilities and shifting innovation to the business model level.To the best of the authors’ knowledge, this study is one of the first research papers that explain how to reach sustainability during a digital transformation. The originality of this paper lies in the fact that it focuses on SMEs as they remain the backbone of the Moroccan economy. This study is also novel for showing with empirical evidences that working on the axes of customers, data and innovation, during a digital transformation journey, will improve sustainable practices within businesses.","container-title":"International Journal of Innovation Science","DOI":"10.1108/IJIS-08-2019-0083","ISSN":"1757-2223","issue":"1","journalAbbreviation":"International Journal of Innovation Science","page":"52-79","source":"Silverchair","title":"Reaching sustainability during a digital transformation: a PLS approach","title-short":"Reaching sustainability during a digital transformation","volume":"12","author":[{"family":"El Hilali","given":"Wail"},{"family":"El Manouar","given":"Abdellah"},{"family":"Janati Idrissi","given":"Mohammed Abdou"}],"issued":{"date-parts":[["2020",2,10]]}},"label":"page"},{"id":13474,"uris":["http://zotero.org/users/local/JyjMxVLY/items/ARYX4HSN"],"itemData":{"id":13474,"type":"article-journal","abstract":"Abstract:\nThe existence of trust in the work environment is significant to organizational performance and competitiveness in an increasingly universal market (Combs et al., 2015). Several studies (Olivier, 2017) (Stephanie et al., 2014) has showed that promoting trusting relationships by an organization is an essential criterion of competitive advantage. Organizations that enhance of trust internally and externally earn advantages such as, attract loyal customers, high performance by employee and good position in market (Roderick and Roy, 2010). Furthermore, trust has several benefits on firms’ outcomes such as increase sales, high profits, minimize worker turnover and employees achieve high level of cooperation among others.\nLack of&amp;nbsp;trust in government threatens the desire of people and business obey to government policies and participate to a potential economic recovery (Tao and Yunfan, 2010).&amp;nbsp;The validity of organizations is construct based on the presence of trust and is significant for preserving social cohesion. A study was conducted by (Nils and Darja, 2008) showed that the impact of lacking trust in an organization resulted in several disadvantages such as, reduction in performance, work quality, sharing information, spirits of workers and increase in group combats. In addition, the employees prefer individual interest over group interest and expect negative comments from the manager. This result in, high supervision from mangers on employees that decreased the level of trust. Therefore, the presence of trust is essential to governments, organizations both public and private in providing services.","container-title":"International Journal of Business Analytics and Security (IJBAS)","ISSN":"2958-5791","issue":"2","language":"en","license":"Copyright (c) 2024 International Journal of Business Analytics and Security (IJBAS)","note":"number: 2","page":"16-38","source":"journals.gaftim.com","title":"The importance of Trust in digital transformation and SMART Government initiatives","volume":"4","author":[{"family":"Khatib","given":"Mounir El"},{"family":"AlMansoori","given":"Abdulrahman Ahmed"},{"family":"Alsuwidi","given":"Saeed"}],"issued":{"date-parts":[["2024",5,1]]}},"label":"page"},{"id":12423,"uris":["http://zotero.org/users/local/JyjMxVLY/items/VENDATFP"],"itemData":{"id":12423,"type":"article-journal","abstract":"This study analyzes whether the application of digital transformation affects the revitalization of MSMEs during the pandemic and whether it can be mediated by digital literacy. Using a sample of 378 respondents from micro-sector MSMEs in Bukittinggi City in 2021, this study reveals that the application of digital transformation and digital literacy is positively related to the revitalization of MSMEs, which in this case uses business performance indicators to serve as a basis for determining the level of success. from the revitalization of SMEs. This finding offers empirical evidence about the importance of digital literacy in the relationship between implementing digital transformation and revitalizing MSMEs during the pandemic. This shows that the implementation of digital transformation will not succeed without an educational intermediary for digital technology itself. Furthermore, this study recommends strategies to improve the application of digital transformation for MSME business actors by increasing digital literacy of business actors","language":"en-US","source":"ejournal.stebisigm.ac.id","title":"The Effect of Digital Transformation On The Revitalization of Msmes In Pandemi Time With Digital Literacy As An Intervening Variable (Case Study of Micro Enterprises in the City of Bukittinggi) | Islamic Banking : Jurnal Pemikiran dan Pengembangan Perbankan Syariah","title-short":"The Effect of Digital Transformation On The Revitalization of Msmes In Pandemi Time With Digital Literacy As An Intervening Variable (Case Study of Micro Enterprises in the City of Bukittinggi) | Islamic Banking","URL":"https://ejournal.stebisigm.ac.id/index.php/isbank/article/view/695","author":[{"family":"Puteri","given":"Dhea Ananda"},{"family":"Asyari","given":"Asyari"}],"accessed":{"date-parts":[["2025",4,30]]},"issued":{"date-parts":[["2023",2,4]]}},"label":"page"},{"id":13046,"uris":["http://zotero.org/users/local/JyjMxVLY/items/HPAXUGAR"],"itemData":{"id":13046,"type":"article","abstract":"Recently, environmental, social, and governance (ESG) has become an important factor in companies' sustainable development. Artificial intelligence (AI) is also a core digital technology that can create innovative, sustainable, comprehensive, and resilient environments. ESG- and AI-based digital transformation is a relevant strategy for managing business value and sustainability in corporate green management operations. Therefore, this study examines how corporate sustainability relates to ESG- and AI-based digital transformation. Furthermore, it confirms the moderating effect of green innovation on the process of increasing sustainability. To achieve the purpose of this study, 359 data points collected for hypothesis testing were used for statistical analysis and for mobile business platform users. The following conclusions are drawn. (1) ESG activities have become key variables that enable sustainable corporate growth. Companies can implement eco-friendly operating processes through ESG activities. (2) This study verifies the relationship between AI-based digital transformation and corporate sustainability and confirms that digital transformation positively affects corporate sustainability. In addition, societal problems can be identified and environmental accidents prevented through technological innovation. (3) This study does not verify the positive moderating effect of green innovation; however, it emphasizes its necessity and importance. Although green innovation improves performance only in the long term, it is a key factor for companies pursuing sustainable growth. This study reveals that ESG- and AI-based digital transformation is an important tool for promoting corporate sustainability, broadening the literature in related fields and providing insights for corporate management and government policymakers to advance corporate sustainability.","DOI":"10.48550/arXiv.2311.18351","note":"arXiv:2311.18351 [econ]","number":"arXiv:2311.18351","publisher":"arXiv","source":"arXiv.org","title":"Does ESG and Digital Transformation affects Corporate Sustainability? The Moderating role of Green Innovation","title-short":"Does ESG and Digital Transformation affects Corporate Sustainability?","URL":"http://arxiv.org/abs/2311.18351","author":[{"family":"Qing","given":"Chenglin"},{"family":"Jin","given":"Shanyue"}],"accessed":{"date-parts":[["2025",6,13]]},"issued":{"date-parts":[["2023",11,30]]}},"label":"page"}],"schema":"https://github.com/citation-style-language/schema/raw/master/csl-citation.json"} </w:instrText>
      </w:r>
      <w:r w:rsidR="00492186" w:rsidRPr="008B0387">
        <w:rPr>
          <w:rFonts w:ascii="Arial" w:eastAsia="Roboto" w:hAnsi="Arial" w:cs="Arial"/>
          <w:color w:val="111111"/>
          <w:shd w:val="clear" w:color="auto" w:fill="F7F7F7"/>
        </w:rPr>
        <w:fldChar w:fldCharType="separate"/>
      </w:r>
      <w:r w:rsidR="00492186" w:rsidRPr="008B0387">
        <w:rPr>
          <w:rFonts w:ascii="Arial" w:hAnsi="Arial" w:cs="Arial"/>
        </w:rPr>
        <w:t>(Dhewanto et al., 2022; El Hilali et al., 2020; Khatib et al., 2024; Puteri &amp; Asyari, 2023; Qing &amp; Jin, 2023)</w:t>
      </w:r>
      <w:r w:rsidR="00492186" w:rsidRPr="008B0387">
        <w:rPr>
          <w:rFonts w:ascii="Arial" w:eastAsia="Roboto" w:hAnsi="Arial" w:cs="Arial"/>
          <w:color w:val="111111"/>
          <w:shd w:val="clear" w:color="auto" w:fill="F7F7F7"/>
        </w:rPr>
        <w:fldChar w:fldCharType="end"/>
      </w:r>
      <w:r w:rsidRPr="008B0387">
        <w:rPr>
          <w:rFonts w:ascii="Arial" w:eastAsia="Roboto" w:hAnsi="Arial" w:cs="Arial"/>
          <w:color w:val="111111"/>
          <w:shd w:val="clear" w:color="auto" w:fill="F7F7F7"/>
        </w:rPr>
        <w:t>.</w:t>
      </w:r>
    </w:p>
    <w:p w14:paraId="27B94B20" w14:textId="0446E2F0" w:rsidR="00C0694C" w:rsidRPr="008B0387" w:rsidRDefault="0045458C">
      <w:pPr>
        <w:numPr>
          <w:ilvl w:val="0"/>
          <w:numId w:val="11"/>
        </w:numPr>
        <w:pBdr>
          <w:top w:val="nil"/>
          <w:left w:val="nil"/>
          <w:bottom w:val="nil"/>
          <w:right w:val="nil"/>
          <w:between w:val="nil"/>
        </w:pBdr>
        <w:jc w:val="both"/>
        <w:rPr>
          <w:rFonts w:ascii="Arial" w:eastAsia="Roboto" w:hAnsi="Arial" w:cs="Arial"/>
          <w:color w:val="111111"/>
          <w:shd w:val="clear" w:color="auto" w:fill="F7F7F7"/>
        </w:rPr>
      </w:pPr>
      <w:r w:rsidRPr="008B0387">
        <w:rPr>
          <w:rFonts w:ascii="Arial" w:eastAsia="Roboto" w:hAnsi="Arial" w:cs="Arial"/>
          <w:color w:val="111111"/>
          <w:shd w:val="clear" w:color="auto" w:fill="F7F7F7"/>
        </w:rPr>
        <w:t>H2: Artificial Intelligence Literacy has a positive and significant effect on the sustainability of MSMEs</w:t>
      </w:r>
      <w:r w:rsidR="003C0564" w:rsidRPr="008B0387">
        <w:rPr>
          <w:rFonts w:ascii="Arial" w:eastAsia="Roboto" w:hAnsi="Arial" w:cs="Arial"/>
          <w:color w:val="111111"/>
          <w:shd w:val="clear" w:color="auto" w:fill="F7F7F7"/>
        </w:rPr>
        <w:t xml:space="preserve"> </w:t>
      </w:r>
      <w:r w:rsidR="003C0564" w:rsidRPr="008B0387">
        <w:rPr>
          <w:rFonts w:ascii="Arial" w:eastAsia="Roboto" w:hAnsi="Arial" w:cs="Arial"/>
          <w:color w:val="111111"/>
          <w:shd w:val="clear" w:color="auto" w:fill="F7F7F7"/>
        </w:rPr>
        <w:fldChar w:fldCharType="begin"/>
      </w:r>
      <w:r w:rsidR="00AD3FBB">
        <w:rPr>
          <w:rFonts w:ascii="Arial" w:eastAsia="Roboto" w:hAnsi="Arial" w:cs="Arial"/>
          <w:color w:val="111111"/>
          <w:shd w:val="clear" w:color="auto" w:fill="F7F7F7"/>
        </w:rPr>
        <w:instrText xml:space="preserve"> ADDIN ZOTERO_ITEM CSL_CITATION {"citationID":"uiEJSVpi","properties":{"formattedCitation":"(Alam\\uc0\\u228{}ki et al., 2024; Hernandez et al., 2023; Jankovic &amp; Curovic, 2023; Khaq et al., 2024a; Noerchoidah &amp; Suhardiyah, 2025)","plainCitation":"(Alamäki et al., 2024; Hernandez et al., 2023; Jankovic &amp; Curovic, 2023; Khaq et al., 2024a; Noerchoidah &amp; Suhardiyah, 2025)","noteIndex":0},"citationItems":[{"id":12823,"uris":["http://zotero.org/users/local/JyjMxVLY/items/F4IN76QL"],"itemData":{"id":12823,"type":"article-journal","abstract":"IntroductionThe purpose of this empirical research was to map the capabilities and perceptions of undergraduate business administration students about artifi...","DOI":"10.3389/feduc.2024.1343406","language":"en","source":"Frontiers","title":"Artificial intelligence literacy in sustainable development: A learning experiment in higher education","title-short":"Frontiers | Artificial intelligence literacy in sustainable development","URL":"https://www.frontiersin.org/journals/education/articles/10.3389/feduc.2024.1343406/full","author":[{"family":"Alamäki","given":"Ari"},{"family":"Nyberg","given":"Crister"},{"family":"Kimberley","given":"Anna"},{"family":"Salonen","given":"Arto O."}],"accessed":{"date-parts":[["2025",6,7]]},"issued":{"date-parts":[["2024"]]}},"label":"page"},{"id":13072,"uris":["http://zotero.org/users/local/JyjMxVLY/items/QLBT2U7D"],"itemData":{"id":13072,"type":"paper-conference","abstract":"Artificial intelligence (AI) is an emerging technology in small and medium enterprises (SMEs). Recently, SMEs have growing interests in using artificial intelligence to improve business performance. However, SMEs are confronted with sustainability, which remains a research gap. This paper presents the first evidence of select SMEs using artificial intelligence in business for sustainability in the Philippines, through a qualitative study involving managers. Results show that a few SMEs have AI applications in business that contributes to sustainability. While there are on-going sustainability efforts, most SMEs are in the incremental and situational development levels. Also, this study confirms that insufficient physical and technological infrastructure, availability of data, customers privacy and security, insufficient legal frameworks, management support, and lack of AI adoption strategy are evident issues and challenges that limits the progress AI application in business for sustainability. This study presents some implications to SMEs, policy-making and future work to progress AI for sustainability.","container-title":"2023 8th International Conference on Business and Industrial Research (ICBIR)","DOI":"10.1109/ICBIR57571.2023.10147579","event-place":"Bangkok, Thailand","event-title":"2023 8th International Conference on Business and Industrial Research (ICBIR)","ISBN":"9798350399646","language":"en","license":"https://doi.org/10.15223/policy-029","page":"818-823","publisher":"IEEE","publisher-place":"Bangkok, Thailand","source":"DOI.org (Crossref)","title":"Artificial Intelligence for Sustainability: Evidence from select Small and Medium Enterprises in the Philippines","title-short":"Artificial Intelligence for Sustainability","URL":"https://ieeexplore.ieee.org/document/10147579/","author":[{"family":"Hernandez","given":"Alexander A."},{"family":"Caballero","given":"Arlene R."},{"family":"Albina","given":"Erlito M."},{"family":"Balmes","given":"Irene L."},{"family":"Niguidula","given":"Jasmin D."}],"accessed":{"date-parts":[["2025",6,15]]},"issued":{"date-parts":[["2023",5,18]]}},"label":"page"},{"id":12827,"uris":["http://zotero.org/users/local/JyjMxVLY/items/M8QENF6R"],"itemData":{"id":12827,"type":"article-journal","abstract":"This research paper delves into the pivotal role of strategic integration of artificial intelligence (AI) concepts across sustainability efforts in for-profit businesses. As organizations are increasingly starting to rely on AI-driven solutions, this study examines the profound implications of AI integration for two critical facets: impact on data management in companies and diversification of human engagement during interactions in the digital ecosystem. The main goal of this research is to analyze the AI adoption index within a sample of 240 medium and large-sized companies (therefore excluding new companies, small startups, and low-scale AI applications). Firstly, the paper scrutinizes how AI technologies enhance data management by enabling efficient data collection, analysis, and utilization. It emphasizes the importance of AI-driven data analytics in improving decision-making processes, resource optimization, and overall operational efficiency for sustainable practices. Secondly, this research explores how AI-driven personalization, omnichannel interactions, and recommendation systems significantly impact user experiences, satisfaction, and loyalty, ultimately contributing to sustainable business growth. Findings show that there are three separate profiles of companies (low, moderate, and high), distinguished by AI adoption index and other important dimensions. Future research should focus on determining preconditions for successful planning of AI adoption index improvement, using a data-driven approach.","container-title":"Sustainability","DOI":"10.3390/su152115208","ISSN":"2071-1050","issue":"21","language":"en","license":"http://creativecommons.org/licenses/by/3.0/","note":"number: 21\npublisher: Multidisciplinary Digital Publishing Institute","page":"15208","source":"www.mdpi.com","title":"Strategic Integration of Artificial Intelligence for Sustainable Businesses: Implications for Data Management and Human User Engagement in the Digital Era","title-short":"Strategic Integration of Artificial Intelligence for Sustainable Businesses","volume":"15","author":[{"family":"Jankovic","given":"Svetozar D."},{"family":"Curovic","given":"Dejan M."}],"issued":{"date-parts":[["2023",1]]}},"label":"page"},{"id":12150,"uris":["http://zotero.org/users/local/JyjMxVLY/items/PZDEMIAQ"],"itemData":{"id":12150,"type":"article-journal","abstract":"… impeding MSMEs' ability to adopt AI effectively. These challenges are further exacerbated by the low level of digital literacy among MSME … This outcome supports the view that AI directly …","container-title":"Journal of Management and …","issue":"Query date: 2025-04-30 20:41:44","note":"publisher: jmi.stekom.ac.id","title":"AI-driven Strategies for Enhancing MSME Sales and Business Communication: A Case Study","URL":"https://jmi.stekom.ac.id/index.php/jmi/article/view/28","author":[{"family":"Khaq","given":"ZD"},{"family":"Subroto","given":"VK"},{"family":"Susanto","given":"E"}],"issued":{"date-parts":[["2024"]]}},"label":"page"},{"id":12137,"uris":["http://zotero.org/users/local/JyjMxVLY/items/WVPZB6LL"],"itemData":{"id":12137,"type":"article-journal","container-title":"International Journal of Human Capital and Information Technology Professionals","issue":"1","language":"en","source":"Zotero","title":"Optimization of Digital Literacy Knowledge Sharing and Human Capital on Digital Economy for MSMEs Business Sustainability","volume":"16","author":[{"family":"Noerchoidah","given":"Noerchoidah"},{"family":"Suhardiyah","given":"Martha"}],"issued":{"date-parts":[["2025"]]}}}],"schema":"https://github.com/citation-style-language/schema/raw/master/csl-citation.json"} </w:instrText>
      </w:r>
      <w:r w:rsidR="003C0564" w:rsidRPr="008B0387">
        <w:rPr>
          <w:rFonts w:ascii="Arial" w:eastAsia="Roboto" w:hAnsi="Arial" w:cs="Arial"/>
          <w:color w:val="111111"/>
          <w:shd w:val="clear" w:color="auto" w:fill="F7F7F7"/>
        </w:rPr>
        <w:fldChar w:fldCharType="separate"/>
      </w:r>
      <w:r w:rsidR="00AD3FBB" w:rsidRPr="00AD3FBB">
        <w:rPr>
          <w:rFonts w:ascii="Arial" w:hAnsi="Arial" w:cs="Arial"/>
          <w:szCs w:val="24"/>
        </w:rPr>
        <w:t>(Alamäki et al., 2024; Hernandez et al., 2023; Jankovic &amp; Curovic, 2023; Khaq et al., 2024a; Noerchoidah &amp; Suhardiyah, 2025)</w:t>
      </w:r>
      <w:r w:rsidR="003C0564" w:rsidRPr="008B0387">
        <w:rPr>
          <w:rFonts w:ascii="Arial" w:eastAsia="Roboto" w:hAnsi="Arial" w:cs="Arial"/>
          <w:color w:val="111111"/>
          <w:shd w:val="clear" w:color="auto" w:fill="F7F7F7"/>
        </w:rPr>
        <w:fldChar w:fldCharType="end"/>
      </w:r>
      <w:r w:rsidRPr="008B0387">
        <w:rPr>
          <w:rFonts w:ascii="Arial" w:eastAsia="Roboto" w:hAnsi="Arial" w:cs="Arial"/>
          <w:color w:val="111111"/>
          <w:shd w:val="clear" w:color="auto" w:fill="F7F7F7"/>
        </w:rPr>
        <w:t>.</w:t>
      </w:r>
    </w:p>
    <w:p w14:paraId="0A83D808" w14:textId="7AF47C48" w:rsidR="00C0694C" w:rsidRPr="008B0387" w:rsidRDefault="0045458C">
      <w:pPr>
        <w:numPr>
          <w:ilvl w:val="0"/>
          <w:numId w:val="11"/>
        </w:numPr>
        <w:pBdr>
          <w:top w:val="nil"/>
          <w:left w:val="nil"/>
          <w:bottom w:val="nil"/>
          <w:right w:val="nil"/>
          <w:between w:val="nil"/>
        </w:pBdr>
        <w:jc w:val="both"/>
        <w:rPr>
          <w:rFonts w:ascii="Arial" w:eastAsia="Roboto" w:hAnsi="Arial" w:cs="Arial"/>
          <w:color w:val="111111"/>
          <w:shd w:val="clear" w:color="auto" w:fill="F7F7F7"/>
        </w:rPr>
      </w:pPr>
      <w:r w:rsidRPr="008B0387">
        <w:rPr>
          <w:rFonts w:ascii="Arial" w:eastAsia="Roboto" w:hAnsi="Arial" w:cs="Arial"/>
          <w:color w:val="111111"/>
          <w:shd w:val="clear" w:color="auto" w:fill="F7F7F7"/>
        </w:rPr>
        <w:t>H3: Innovation Capability has a positive and significant effect on the sustainability of MSMEs</w:t>
      </w:r>
      <w:r w:rsidR="003C0564" w:rsidRPr="008B0387">
        <w:rPr>
          <w:rFonts w:ascii="Arial" w:eastAsia="Roboto" w:hAnsi="Arial" w:cs="Arial"/>
          <w:color w:val="111111"/>
          <w:shd w:val="clear" w:color="auto" w:fill="F7F7F7"/>
        </w:rPr>
        <w:t xml:space="preserve"> </w:t>
      </w:r>
      <w:r w:rsidR="003C0564" w:rsidRPr="008B0387">
        <w:rPr>
          <w:rFonts w:ascii="Arial" w:eastAsia="Roboto" w:hAnsi="Arial" w:cs="Arial"/>
          <w:color w:val="111111"/>
          <w:shd w:val="clear" w:color="auto" w:fill="F7F7F7"/>
        </w:rPr>
        <w:fldChar w:fldCharType="begin"/>
      </w:r>
      <w:r w:rsidR="003C0564" w:rsidRPr="008B0387">
        <w:rPr>
          <w:rFonts w:ascii="Arial" w:eastAsia="Roboto" w:hAnsi="Arial" w:cs="Arial"/>
          <w:color w:val="111111"/>
          <w:shd w:val="clear" w:color="auto" w:fill="F7F7F7"/>
        </w:rPr>
        <w:instrText xml:space="preserve"> ADDIN ZOTERO_ITEM CSL_CITATION {"citationID":"NunlW5QJ","properties":{"formattedCitation":"(Busyeri et al., 2024; Dhewanto et al., 2022)","plainCitation":"(Busyeri et al., 2024; Dhewanto et al., 2022)","noteIndex":0},"citationItems":[{"id":12829,"uris":["http://zotero.org/users/local/JyjMxVLY/items/EAZQ6L42"],"itemData":{"id":12829,"type":"article-journal","abstract":"Micro, Small, and Medium Enterprises (MSMEs) in Cimahi City possess strategic potential, particularly in the food and beverage sector. Cimahi is one of the cities experiencing growth in the number of MSMEs, with a growth rate of 50.24%. However, the increase in the number of MSMEs has not been accompanied by consistent revenue growth, which has fluctuated from 2019 to 2023. Several challenges have been identified, including a lack of basic entrepreneurial knowledge among the workforce, insufficient self-reliance in entrepreneurship, and limited proficiency in the use of technology. To address these performance issues, it is crucial for MSME actors to create added value by strengthening strategic agility and innovation capability. The objective of this study is to examine the impact of strategic agility on business performance, mediated by innovation capability. The study sample consists of 106 MSMEs, selected using probability sampling with a cluster sampling technique. Descriptive analysis results categorize business performance and innovation capability as moderate, while strategic agility is categorized as high. The research findings indicate that strategic agility does not affect innovation capability, strategic agility influences business performance, innovation capability affects business performance, and innovation capability does not mediate the influence of intellectual capital on business performance.","container-title":"Dinasti International Journal of Education Management And Social Science","DOI":"10.38035/dijemss.v5i6.3238","ISSN":"2686-6331","issue":"6","language":"en","page":"2317-2330","source":"dinastipub.org","title":"The Role Of Innovation Capability In Mediating The Effect Of Strategic Agility On Business Performance Of Smes In The Food And Beverage Sector In Cimahi","volume":"5","author":[{"family":"Busyeri","given":"Azzam Tiar"},{"family":"Rofaida","given":"Rofi"},{"family":"Hadijah","given":"Hady Siti"},{"family":"Kurniawan","given":"Asep"}],"issued":{"date-parts":[["2024",8,27]]}},"label":"page"},{"id":12134,"uris":["http://zotero.org/users/local/JyjMxVLY/items/PAYS4PAA"],"itemData":{"id":12134,"type":"article-journal","abstract":"The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Noviyana"}],"issued":{"date-parts":[["2022"]]}},"label":"page"}],"schema":"https://github.com/citation-style-language/schema/raw/master/csl-citation.json"} </w:instrText>
      </w:r>
      <w:r w:rsidR="003C0564" w:rsidRPr="008B0387">
        <w:rPr>
          <w:rFonts w:ascii="Arial" w:eastAsia="Roboto" w:hAnsi="Arial" w:cs="Arial"/>
          <w:color w:val="111111"/>
          <w:shd w:val="clear" w:color="auto" w:fill="F7F7F7"/>
        </w:rPr>
        <w:fldChar w:fldCharType="separate"/>
      </w:r>
      <w:r w:rsidR="003C0564" w:rsidRPr="008B0387">
        <w:rPr>
          <w:rFonts w:ascii="Arial" w:hAnsi="Arial" w:cs="Arial"/>
        </w:rPr>
        <w:t>(Busyeri et al., 2024; Dhewanto et al., 2022)</w:t>
      </w:r>
      <w:r w:rsidR="003C0564" w:rsidRPr="008B0387">
        <w:rPr>
          <w:rFonts w:ascii="Arial" w:eastAsia="Roboto" w:hAnsi="Arial" w:cs="Arial"/>
          <w:color w:val="111111"/>
          <w:shd w:val="clear" w:color="auto" w:fill="F7F7F7"/>
        </w:rPr>
        <w:fldChar w:fldCharType="end"/>
      </w:r>
      <w:r w:rsidRPr="008B0387">
        <w:rPr>
          <w:rFonts w:ascii="Arial" w:eastAsia="Roboto" w:hAnsi="Arial" w:cs="Arial"/>
          <w:color w:val="111111"/>
          <w:shd w:val="clear" w:color="auto" w:fill="F7F7F7"/>
        </w:rPr>
        <w:t>.</w:t>
      </w:r>
    </w:p>
    <w:p w14:paraId="7F03505E" w14:textId="17412F9F" w:rsidR="00C0694C" w:rsidRPr="008B0387" w:rsidRDefault="0045458C">
      <w:pPr>
        <w:numPr>
          <w:ilvl w:val="0"/>
          <w:numId w:val="11"/>
        </w:numPr>
        <w:pBdr>
          <w:top w:val="nil"/>
          <w:left w:val="nil"/>
          <w:bottom w:val="nil"/>
          <w:right w:val="nil"/>
          <w:between w:val="nil"/>
        </w:pBdr>
        <w:jc w:val="both"/>
        <w:rPr>
          <w:rFonts w:ascii="Arial" w:eastAsia="Roboto" w:hAnsi="Arial" w:cs="Arial"/>
          <w:color w:val="111111"/>
          <w:shd w:val="clear" w:color="auto" w:fill="F7F7F7"/>
        </w:rPr>
      </w:pPr>
      <w:r w:rsidRPr="008B0387">
        <w:rPr>
          <w:rFonts w:ascii="Arial" w:eastAsia="Roboto" w:hAnsi="Arial" w:cs="Arial"/>
          <w:color w:val="111111"/>
          <w:shd w:val="clear" w:color="auto" w:fill="F7F7F7"/>
        </w:rPr>
        <w:t>H4: Innovation Capability significantly mediates the effect of digital trust on the sustainability of MSMEs</w:t>
      </w:r>
      <w:r w:rsidR="0099160C" w:rsidRPr="008B0387">
        <w:rPr>
          <w:rFonts w:ascii="Arial" w:eastAsia="Roboto" w:hAnsi="Arial" w:cs="Arial"/>
          <w:color w:val="111111"/>
          <w:shd w:val="clear" w:color="auto" w:fill="F7F7F7"/>
        </w:rPr>
        <w:t xml:space="preserve"> </w:t>
      </w:r>
      <w:r w:rsidR="00BA5951" w:rsidRPr="008B0387">
        <w:rPr>
          <w:rFonts w:ascii="Arial" w:eastAsia="Roboto" w:hAnsi="Arial" w:cs="Arial"/>
          <w:color w:val="111111"/>
          <w:shd w:val="clear" w:color="auto" w:fill="F7F7F7"/>
        </w:rPr>
        <w:fldChar w:fldCharType="begin"/>
      </w:r>
      <w:r w:rsidR="00BA5951" w:rsidRPr="008B0387">
        <w:rPr>
          <w:rFonts w:ascii="Arial" w:eastAsia="Roboto" w:hAnsi="Arial" w:cs="Arial"/>
          <w:color w:val="111111"/>
          <w:shd w:val="clear" w:color="auto" w:fill="F7F7F7"/>
        </w:rPr>
        <w:instrText xml:space="preserve"> ADDIN ZOTERO_ITEM CSL_CITATION {"citationID":"HsUe87WQ","properties":{"formattedCitation":"(Dhewanto et al., 2022; El Hilali et al., 2020; Khatib et al., 2024; Puteri &amp; Asyari, 2023; Qing &amp; Jin, 2023b)","plainCitation":"(Dhewanto et al., 2022; El Hilali et al., 2020; Khatib et al., 2024; Puteri &amp; Asyari, 2023; Qing &amp; Jin, 2023b)","noteIndex":0},"citationItems":[{"id":12134,"uris":["http://zotero.org/users/local/JyjMxVLY/items/PAYS4PAA"],"itemData":{"id":12134,"type":"article-journal","abstract":"The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Noviyana"}],"issued":{"date-parts":[["2022"]]}},"label":"page"},{"id":13468,"uris":["http://zotero.org/users/local/JyjMxVLY/items/J49J9QBW"],"itemData":{"id":13468,"type":"article-journal","abstract":"In a world where big data have become crucial to guarantee the success of companies, digital transformation came to help companies transition towards a digital business and accept the changes in the organizational structure as well as the market. Nonetheless, even with the ever-growing importance shed on it, few articles and studies have linked it to the sustainability paradigm. Empirical studies that have linked between the factors of digital transformation and a more sustainable business are still scant. Many efforts are still needed to reduce the knowledge gap between these two concepts. The purpose of this paper is to fill this gap by examining (empirically) the effect of digital transformation on sustainability.The study validates five different hypotheses highlighted by the literature using structural equation model (SEM) analysis from partial least square (PLS) approach. It uses a new conceptual framework using a survey data, answered by 41 small- and medium-sized enterprises (SMEs) in Morocco from different industries.Using PLS-SEM modeling, the results show that customers, data and innovation, which are drivers that companies should work on during a digital transformation, have a significant impact on companies’ quest to reach sustainability. However, and in contrast to the existing literature, authors find that competition did not play a significant role in enhancing the companies’ commitment to sustainability.Authors’ findings encourage firms to seize the opportunity of digital transformation to embrace sustainability, because the implementation of these two concepts requires radical changes at the business model level. Authors suggest that the road to achieve sustainability in a digital era should focus on three main axes, enhancing the customer experience and adopting customer centricity, building data analytics capabilities and shifting innovation to the business model level.To the best of the authors’ knowledge, this study is one of the first research papers that explain how to reach sustainability during a digital transformation. The originality of this paper lies in the fact that it focuses on SMEs as they remain the backbone of the Moroccan economy. This study is also novel for showing with empirical evidences that working on the axes of customers, data and innovation, during a digital transformation journey, will improve sustainable practices within businesses.","container-title":"International Journal of Innovation Science","DOI":"10.1108/IJIS-08-2019-0083","ISSN":"1757-2223","issue":"1","journalAbbreviation":"International Journal of Innovation Science","page":"52-79","source":"Silverchair","title":"Reaching sustainability during a digital transformation: a PLS approach","title-short":"Reaching sustainability during a digital transformation","volume":"12","author":[{"family":"El Hilali","given":"Wail"},{"family":"El Manouar","given":"Abdellah"},{"family":"Janati Idrissi","given":"Mohammed Abdou"}],"issued":{"date-parts":[["2020",2,10]]}},"label":"page"},{"id":13474,"uris":["http://zotero.org/users/local/JyjMxVLY/items/ARYX4HSN"],"itemData":{"id":13474,"type":"article-journal","abstract":"Abstract:\nThe existence of trust in the work environment is significant to organizational performance and competitiveness in an increasingly universal market (Combs et al., 2015). Several studies (Olivier, 2017) (Stephanie et al., 2014) has showed that promoting trusting relationships by an organization is an essential criterion of competitive advantage. Organizations that enhance of trust internally and externally earn advantages such as, attract loyal customers, high performance by employee and good position in market (Roderick and Roy, 2010). Furthermore, trust has several benefits on firms’ outcomes such as increase sales, high profits, minimize worker turnover and employees achieve high level of cooperation among others.\nLack of&amp;nbsp;trust in government threatens the desire of people and business obey to government policies and participate to a potential economic recovery (Tao and Yunfan, 2010).&amp;nbsp;The validity of organizations is construct based on the presence of trust and is significant for preserving social cohesion. A study was conducted by (Nils and Darja, 2008) showed that the impact of lacking trust in an organization resulted in several disadvantages such as, reduction in performance, work quality, sharing information, spirits of workers and increase in group combats. In addition, the employees prefer individual interest over group interest and expect negative comments from the manager. This result in, high supervision from mangers on employees that decreased the level of trust. Therefore, the presence of trust is essential to governments, organizations both public and private in providing services.","container-title":"International Journal of Business Analytics and Security (IJBAS)","ISSN":"2958-5791","issue":"2","language":"en","license":"Copyright (c) 2024 International Journal of Business Analytics and Security (IJBAS)","note":"number: 2","page":"16-38","source":"journals.gaftim.com","title":"The importance of Trust in digital transformation and SMART Government initiatives","volume":"4","author":[{"family":"Khatib","given":"Mounir El"},{"family":"AlMansoori","given":"Abdulrahman Ahmed"},{"family":"Alsuwidi","given":"Saeed"}],"issued":{"date-parts":[["2024",5,1]]}},"label":"page"},{"id":12423,"uris":["http://zotero.org/users/local/JyjMxVLY/items/VENDATFP"],"itemData":{"id":12423,"type":"article-journal","abstract":"This study analyzes whether the application of digital transformation affects the revitalization of MSMEs during the pandemic and whether it can be mediated by digital literacy. Using a sample of 378 respondents from micro-sector MSMEs in Bukittinggi City in 2021, this study reveals that the application of digital transformation and digital literacy is positively related to the revitalization of MSMEs, which in this case uses business performance indicators to serve as a basis for determining the level of success. from the revitalization of SMEs. This finding offers empirical evidence about the importance of digital literacy in the relationship between implementing digital transformation and revitalizing MSMEs during the pandemic. This shows that the implementation of digital transformation will not succeed without an educational intermediary for digital technology itself. Furthermore, this study recommends strategies to improve the application of digital transformation for MSME business actors by increasing digital literacy of business actors","language":"en-US","source":"ejournal.stebisigm.ac.id","title":"The Effect of Digital Transformation On The Revitalization of Msmes In Pandemi Time With Digital Literacy As An Intervening Variable (Case Study of Micro Enterprises in the City of Bukittinggi) | Islamic Banking : Jurnal Pemikiran dan Pengembangan Perbankan Syariah","title-short":"The Effect of Digital Transformation On The Revitalization of Msmes In Pandemi Time With Digital Literacy As An Intervening Variable (Case Study of Micro Enterprises in the City of Bukittinggi) | Islamic Banking","URL":"https://ejournal.stebisigm.ac.id/index.php/isbank/article/view/695","author":[{"family":"Puteri","given":"Dhea Ananda"},{"family":"Asyari","given":"Asyari"}],"accessed":{"date-parts":[["2025",4,30]]},"issued":{"date-parts":[["2023",2,4]]}},"label":"page"},{"id":13046,"uris":["http://zotero.org/users/local/JyjMxVLY/items/HPAXUGAR"],"itemData":{"id":13046,"type":"article","abstract":"Recently, environmental, social, and governance (ESG) has become an important factor in companies' sustainable development. Artificial intelligence (AI) is also a core digital technology that can create innovative, sustainable, comprehensive, and resilient environments. ESG- and AI-based digital transformation is a relevant strategy for managing business value and sustainability in corporate green management operations. Therefore, this study examines how corporate sustainability relates to ESG- and AI-based digital transformation. Furthermore, it confirms the moderating effect of green innovation on the process of increasing sustainability. To achieve the purpose of this study, 359 data points collected for hypothesis testing were used for statistical analysis and for mobile business platform users. The following conclusions are drawn. (1) ESG activities have become key variables that enable sustainable corporate growth. Companies can implement eco-friendly operating processes through ESG activities. (2) This study verifies the relationship between AI-based digital transformation and corporate sustainability and confirms that digital transformation positively affects corporate sustainability. In addition, societal problems can be identified and environmental accidents prevented through technological innovation. (3) This study does not verify the positive moderating effect of green innovation; however, it emphasizes its necessity and importance. Although green innovation improves performance only in the long term, it is a key factor for companies pursuing sustainable growth. This study reveals that ESG- and AI-based digital transformation is an important tool for promoting corporate sustainability, broadening the literature in related fields and providing insights for corporate management and government policymakers to advance corporate sustainability.","DOI":"10.48550/arXiv.2311.18351","note":"arXiv:2311.18351 [econ]","number":"arXiv:2311.18351","publisher":"arXiv","source":"arXiv.org","title":"Does ESG and Digital Transformation affects Corporate Sustainability? The Moderating role of Green Innovation","title-short":"Does ESG and Digital Transformation affects Corporate Sustainability?","URL":"http://arxiv.org/abs/2311.18351","author":[{"family":"Qing","given":"Chenglin"},{"family":"Jin","given":"Shanyue"}],"accessed":{"date-parts":[["2025",6,13]]},"issued":{"date-parts":[["2023",11,30]]}},"label":"page"}],"schema":"https://github.com/citation-style-language/schema/raw/master/csl-citation.json"} </w:instrText>
      </w:r>
      <w:r w:rsidR="00BA5951" w:rsidRPr="008B0387">
        <w:rPr>
          <w:rFonts w:ascii="Arial" w:eastAsia="Roboto" w:hAnsi="Arial" w:cs="Arial"/>
          <w:color w:val="111111"/>
          <w:shd w:val="clear" w:color="auto" w:fill="F7F7F7"/>
        </w:rPr>
        <w:fldChar w:fldCharType="separate"/>
      </w:r>
      <w:r w:rsidR="00BA5951" w:rsidRPr="008B0387">
        <w:rPr>
          <w:rFonts w:ascii="Arial" w:hAnsi="Arial" w:cs="Arial"/>
        </w:rPr>
        <w:t>(Dhewanto et al., 2022; El Hilali et al., 2020; Khatib et al., 2024; Puteri &amp; Asyari, 2023; Qing &amp; Jin, 2023)</w:t>
      </w:r>
      <w:r w:rsidR="00BA5951" w:rsidRPr="008B0387">
        <w:rPr>
          <w:rFonts w:ascii="Arial" w:eastAsia="Roboto" w:hAnsi="Arial" w:cs="Arial"/>
          <w:color w:val="111111"/>
          <w:shd w:val="clear" w:color="auto" w:fill="F7F7F7"/>
        </w:rPr>
        <w:fldChar w:fldCharType="end"/>
      </w:r>
      <w:r w:rsidR="00BA5951" w:rsidRPr="008B0387">
        <w:rPr>
          <w:rFonts w:ascii="Arial" w:eastAsia="Roboto" w:hAnsi="Arial" w:cs="Arial"/>
          <w:color w:val="111111"/>
          <w:shd w:val="clear" w:color="auto" w:fill="F7F7F7"/>
        </w:rPr>
        <w:t>.</w:t>
      </w:r>
    </w:p>
    <w:p w14:paraId="3D2F1F75" w14:textId="636458AE" w:rsidR="00C0694C" w:rsidRPr="008B0387" w:rsidRDefault="0045458C" w:rsidP="00BA5951">
      <w:pPr>
        <w:numPr>
          <w:ilvl w:val="0"/>
          <w:numId w:val="11"/>
        </w:numPr>
        <w:pBdr>
          <w:top w:val="nil"/>
          <w:left w:val="nil"/>
          <w:bottom w:val="nil"/>
          <w:right w:val="nil"/>
          <w:between w:val="nil"/>
        </w:pBdr>
        <w:jc w:val="both"/>
        <w:rPr>
          <w:rFonts w:ascii="Arial" w:eastAsia="Roboto" w:hAnsi="Arial" w:cs="Arial"/>
          <w:color w:val="111111"/>
          <w:shd w:val="clear" w:color="auto" w:fill="F7F7F7"/>
        </w:rPr>
      </w:pPr>
      <w:r w:rsidRPr="008B0387">
        <w:rPr>
          <w:rFonts w:ascii="Arial" w:eastAsia="Roboto" w:hAnsi="Arial" w:cs="Arial"/>
          <w:color w:val="111111"/>
          <w:shd w:val="clear" w:color="auto" w:fill="F7F7F7"/>
        </w:rPr>
        <w:t>H5: Innovation Capability significantly mediates the effect of  Artificial Intelligence Literacy on the sustainability of MSMEs</w:t>
      </w:r>
      <w:r w:rsidR="00BA5951" w:rsidRPr="008B0387">
        <w:rPr>
          <w:rFonts w:ascii="Arial" w:eastAsia="Roboto" w:hAnsi="Arial" w:cs="Arial"/>
          <w:color w:val="111111"/>
          <w:shd w:val="clear" w:color="auto" w:fill="F7F7F7"/>
        </w:rPr>
        <w:t xml:space="preserve"> </w:t>
      </w:r>
      <w:r w:rsidR="00BA5951" w:rsidRPr="008B0387">
        <w:rPr>
          <w:rFonts w:ascii="Arial" w:eastAsia="Roboto" w:hAnsi="Arial" w:cs="Arial"/>
          <w:color w:val="111111"/>
          <w:shd w:val="clear" w:color="auto" w:fill="F7F7F7"/>
        </w:rPr>
        <w:fldChar w:fldCharType="begin"/>
      </w:r>
      <w:r w:rsidR="00BA5951" w:rsidRPr="008B0387">
        <w:rPr>
          <w:rFonts w:ascii="Arial" w:eastAsia="Roboto" w:hAnsi="Arial" w:cs="Arial"/>
          <w:color w:val="111111"/>
          <w:shd w:val="clear" w:color="auto" w:fill="F7F7F7"/>
        </w:rPr>
        <w:instrText xml:space="preserve"> ADDIN ZOTERO_ITEM CSL_CITATION {"citationID":"KWhlUVB9","properties":{"formattedCitation":"(Alam\\uc0\\u228{}ki et al., 2024; Anggitasari et al., 2023; Busyeri et al., 2024; Gao, 2023; Verdiana &amp; Fachir, 2023)","plainCitation":"(Alamäki et al., 2024; Anggitasari et al., 2023; Busyeri et al., 2024; Gao, 2023; Verdiana &amp; Fachir, 2023)","noteIndex":0},"citationItems":[{"id":12823,"uris":["http://zotero.org/users/local/JyjMxVLY/items/F4IN76QL"],"itemData":{"id":12823,"type":"article-journal","abstract":"IntroductionThe purpose of this empirical research was to map the capabilities and perceptions of undergraduate business administration students about artifi...","DOI":"10.3389/feduc.2024.1343406","language":"en","source":"Frontiers","title":"Artificial intelligence literacy in sustainable development: A learning experiment in higher education","title-short":"Frontiers | Artificial intelligence literacy in sustainable development","URL":"https://www.frontiersin.org/journals/education/articles/10.3389/feduc.2024.1343406/full","author":[{"family":"Alamäki","given":"Ari"},{"family":"Nyberg","given":"Crister"},{"family":"Kimberley","given":"Anna"},{"family":"Salonen","given":"Arto O."}],"accessed":{"date-parts":[["2025",6,7]]},"issued":{"date-parts":[["2024"]]}},"label":"page"},{"id":12130,"uris":["http://zotero.org/users/local/JyjMxVLY/items/ARAHR85P"],"itemData":{"id":12130,"type":"article-journal","abstract":"The purpose of this research was to determine the effect of digital capability and digital literacy on PT Pegadaian's micro employees on business performance both directly and through employee innovation. PT Pegadaian has a mission to be able to provide service excellence with a customer focus through simpler and digital business processes to be able to continue to compete with competitors so as to improve the company's business performance. One of the efforts that can be made to achieve this mission is that PT Pegadaian employees are required to have innovation and be supported by digital capability and digital literacy. The research is a quantitative research with convenience sampling method and data analysis using Smart PLS. The results of the analysis in show that digital capability &amp;amp; digital literacy do not have a direct role in improving business performance. Digital capability &amp;amp; digital literacy must take advantage of employee innovation to improve business performance.","language":"en-US","source":"return.publikasikupublisher.com","title":"The Effect of Digital Capability and Digital Literacy on Business Performance With Employee Innovation as a Mediating Variable at PT Pegadaian | Return : Study of Management, Economic and Bussines","title-short":"The Effect of Digital Capability and Digital Literacy on Business Performance With Employee Innovation as a Mediating Variable at PT Pegadaian | Return","URL":"https://return.publikasikupublisher.com/index.php/return/article/view/150","author":[{"family":"Anggitasari","given":"Devinda"},{"family":"Purwanto","given":"Eko"},{"family":"Pertiwi","given":"Tri Kartika"}],"accessed":{"date-parts":[["2025",4,30]]},"issued":{"date-parts":[["2023",9,20]]}},"label":"page"},{"id":12829,"uris":["http://zotero.org/users/local/JyjMxVLY/items/EAZQ6L42"],"itemData":{"id":12829,"type":"article-journal","abstract":"Micro, Small, and Medium Enterprises (MSMEs) in Cimahi City possess strategic potential, particularly in the food and beverage sector. Cimahi is one of the cities experiencing growth in the number of MSMEs, with a growth rate of 50.24%. However, the increase in the number of MSMEs has not been accompanied by consistent revenue growth, which has fluctuated from 2019 to 2023. Several challenges have been identified, including a lack of basic entrepreneurial knowledge among the workforce, insufficient self-reliance in entrepreneurship, and limited proficiency in the use of technology. To address these performance issues, it is crucial for MSME actors to create added value by strengthening strategic agility and innovation capability. The objective of this study is to examine the impact of strategic agility on business performance, mediated by innovation capability. The study sample consists of 106 MSMEs, selected using probability sampling with a cluster sampling technique. Descriptive analysis results categorize business performance and innovation capability as moderate, while strategic agility is categorized as high. The research findings indicate that strategic agility does not affect innovation capability, strategic agility influences business performance, innovation capability affects business performance, and innovation capability does not mediate the influence of intellectual capital on business performance.","container-title":"Dinasti International Journal of Education Management And Social Science","DOI":"10.38035/dijemss.v5i6.3238","ISSN":"2686-6331","issue":"6","language":"en","page":"2317-2330","source":"dinastipub.org","title":"The Role Of Innovation Capability In Mediating The Effect Of Strategic Agility On Business Performance Of Smes In The Food And Beverage Sector In Cimahi","volume":"5","author":[{"family":"Busyeri","given":"Azzam Tiar"},{"family":"Rofaida","given":"Rofi"},{"family":"Hadijah","given":"Hady Siti"},{"family":"Kurniawan","given":"Asep"}],"issued":{"date-parts":[["2024",8,27]]}},"label":"page"},{"id":13201,"uris":["http://zotero.org/users/local/JyjMxVLY/items/3HR5YA3K"],"itemData":{"id":13201,"type":"article-journal","abstract":"… financial reporting within companies. This paper focuses on China, aiming to quantify the relationship between digital finance and financial … The results confirm that digital finance exerts …","container-title":"Global Finance Journal","issue":"Query date: 2025-06-19 22:21:24","note":"publisher: Elsevier","title":"Digital transformation in finance and its role in promoting financial transparency","URL":"https://www.sciencedirect.com/science/article/pii/S1044028323000984","author":[{"family":"Gao","given":"X"}],"issued":{"date-parts":[["2023"]]}},"label":"page"},{"id":12826,"uris":["http://zotero.org/users/local/JyjMxVLY/items/HU9WSZ96"],"itemData":{"id":12826,"type":"article-journal","issue":"2","language":"id","source":"Zotero","title":"The Growth Role of Artificial Intelligence (AI) in Strategy Management in UMKM","volume":"2","author":[{"family":"Verdiana","given":"Yuni Qoriah"},{"family":"Fachir","given":"Zidane Azrulludin"}],"issued":{"date-parts":[["2023"]]}},"label":"page"}],"schema":"https://github.com/citation-style-language/schema/raw/master/csl-citation.json"} </w:instrText>
      </w:r>
      <w:r w:rsidR="00BA5951" w:rsidRPr="008B0387">
        <w:rPr>
          <w:rFonts w:ascii="Arial" w:eastAsia="Roboto" w:hAnsi="Arial" w:cs="Arial"/>
          <w:color w:val="111111"/>
          <w:shd w:val="clear" w:color="auto" w:fill="F7F7F7"/>
        </w:rPr>
        <w:fldChar w:fldCharType="separate"/>
      </w:r>
      <w:r w:rsidR="00BA5951" w:rsidRPr="008B0387">
        <w:rPr>
          <w:rFonts w:ascii="Arial" w:hAnsi="Arial" w:cs="Arial"/>
          <w:szCs w:val="24"/>
        </w:rPr>
        <w:t>(Alamäki et al., 2024; Anggitasari et al., 2023; Busyeri et al., 2024; Gao, 2023; Verdiana &amp; Fachir, 2023)</w:t>
      </w:r>
      <w:r w:rsidR="00BA5951" w:rsidRPr="008B0387">
        <w:rPr>
          <w:rFonts w:ascii="Arial" w:eastAsia="Roboto" w:hAnsi="Arial" w:cs="Arial"/>
          <w:color w:val="111111"/>
          <w:shd w:val="clear" w:color="auto" w:fill="F7F7F7"/>
        </w:rPr>
        <w:fldChar w:fldCharType="end"/>
      </w:r>
      <w:r w:rsidR="00BA5951" w:rsidRPr="008B0387">
        <w:rPr>
          <w:rFonts w:ascii="Arial" w:eastAsia="Roboto" w:hAnsi="Arial" w:cs="Arial"/>
          <w:color w:val="111111"/>
          <w:shd w:val="clear" w:color="auto" w:fill="F7F7F7"/>
        </w:rPr>
        <w:t>.</w:t>
      </w:r>
    </w:p>
    <w:p w14:paraId="53D6A857" w14:textId="77777777" w:rsidR="00C0694C" w:rsidRPr="008B0387" w:rsidRDefault="00C0694C">
      <w:pPr>
        <w:pBdr>
          <w:top w:val="nil"/>
          <w:left w:val="nil"/>
          <w:bottom w:val="nil"/>
          <w:right w:val="nil"/>
          <w:between w:val="nil"/>
        </w:pBdr>
        <w:jc w:val="both"/>
        <w:rPr>
          <w:rFonts w:ascii="Arial" w:eastAsia="Arial" w:hAnsi="Arial" w:cs="Arial"/>
          <w:color w:val="000000"/>
        </w:rPr>
      </w:pPr>
    </w:p>
    <w:p w14:paraId="6D04ED77" w14:textId="087D09F5" w:rsidR="00C0694C" w:rsidRPr="008B0387" w:rsidRDefault="0045458C">
      <w:pPr>
        <w:keepNext/>
        <w:pBdr>
          <w:top w:val="nil"/>
          <w:left w:val="nil"/>
          <w:bottom w:val="nil"/>
          <w:right w:val="nil"/>
          <w:between w:val="nil"/>
        </w:pBdr>
        <w:jc w:val="both"/>
        <w:rPr>
          <w:rFonts w:ascii="Arial" w:eastAsia="Arial" w:hAnsi="Arial" w:cs="Arial"/>
          <w:b/>
          <w:smallCaps/>
          <w:sz w:val="22"/>
          <w:szCs w:val="22"/>
        </w:rPr>
      </w:pPr>
      <w:r w:rsidRPr="008B0387">
        <w:rPr>
          <w:rFonts w:ascii="Arial" w:eastAsia="Arial" w:hAnsi="Arial" w:cs="Arial"/>
          <w:b/>
          <w:smallCaps/>
          <w:color w:val="000000"/>
          <w:sz w:val="22"/>
          <w:szCs w:val="22"/>
        </w:rPr>
        <w:t>3. M</w:t>
      </w:r>
      <w:r w:rsidRPr="008B0387">
        <w:rPr>
          <w:rFonts w:ascii="Arial" w:eastAsia="Arial" w:hAnsi="Arial" w:cs="Arial"/>
          <w:b/>
          <w:smallCaps/>
          <w:sz w:val="22"/>
          <w:szCs w:val="22"/>
        </w:rPr>
        <w:t>ETHODOLOGY</w:t>
      </w:r>
    </w:p>
    <w:p w14:paraId="3FF3A8A9" w14:textId="77777777" w:rsidR="00F044DC" w:rsidRPr="008B0387" w:rsidRDefault="00F044DC">
      <w:pPr>
        <w:keepNext/>
        <w:pBdr>
          <w:top w:val="nil"/>
          <w:left w:val="nil"/>
          <w:bottom w:val="nil"/>
          <w:right w:val="nil"/>
          <w:between w:val="nil"/>
        </w:pBdr>
        <w:jc w:val="both"/>
        <w:rPr>
          <w:rFonts w:ascii="Arial" w:eastAsia="Arial" w:hAnsi="Arial" w:cs="Arial"/>
          <w:b/>
          <w:smallCaps/>
          <w:sz w:val="22"/>
          <w:szCs w:val="22"/>
        </w:rPr>
      </w:pPr>
    </w:p>
    <w:p w14:paraId="7116E297" w14:textId="22A4FC72" w:rsidR="00C0694C" w:rsidRPr="008B0387" w:rsidRDefault="00F044DC" w:rsidP="00F044DC">
      <w:pPr>
        <w:rPr>
          <w:rFonts w:ascii="Arial" w:hAnsi="Arial" w:cs="Arial"/>
          <w:b/>
          <w:bCs/>
        </w:rPr>
      </w:pPr>
      <w:r w:rsidRPr="008B0387">
        <w:rPr>
          <w:rFonts w:ascii="Arial" w:hAnsi="Arial" w:cs="Arial"/>
          <w:b/>
          <w:bCs/>
        </w:rPr>
        <w:t>3.1 Research Design</w:t>
      </w:r>
    </w:p>
    <w:p w14:paraId="2E7553B1" w14:textId="77777777" w:rsidR="00F044DC" w:rsidRPr="008B0387" w:rsidRDefault="00F044DC" w:rsidP="00F044DC">
      <w:pPr>
        <w:rPr>
          <w:rFonts w:ascii="Arial" w:hAnsi="Arial" w:cs="Arial"/>
          <w:b/>
          <w:bCs/>
        </w:rPr>
      </w:pPr>
    </w:p>
    <w:p w14:paraId="52FFDBFD" w14:textId="75CD86C1" w:rsidR="00F044DC" w:rsidRPr="008B0387" w:rsidRDefault="0045458C">
      <w:pPr>
        <w:jc w:val="both"/>
        <w:rPr>
          <w:rFonts w:ascii="Arial" w:eastAsia="Arial" w:hAnsi="Arial" w:cs="Arial"/>
        </w:rPr>
      </w:pPr>
      <w:r w:rsidRPr="008B0387">
        <w:rPr>
          <w:rFonts w:ascii="Arial" w:eastAsia="Arial" w:hAnsi="Arial" w:cs="Arial"/>
        </w:rPr>
        <w:t xml:space="preserve">This research </w:t>
      </w:r>
      <w:r w:rsidR="00206514" w:rsidRPr="008B0387">
        <w:rPr>
          <w:rFonts w:ascii="Arial" w:eastAsia="Arial" w:hAnsi="Arial" w:cs="Arial"/>
        </w:rPr>
        <w:t>employs a quantitative explanatory approach to examine the</w:t>
      </w:r>
      <w:r w:rsidRPr="008B0387">
        <w:rPr>
          <w:rFonts w:ascii="Arial" w:eastAsia="Arial" w:hAnsi="Arial" w:cs="Arial"/>
        </w:rPr>
        <w:t xml:space="preserve"> causal relationships between variables. The model investigates the effect of digital trust and Artificial Intelligence (AI) literacy on the business sustainability of micro, small, and medium enterprises (MSMEs), with innovation capability introduced as a mediating variable. The use of an explanatory design is appropriate not only to assess the strength of the relationships among variables but also to uncover the underlying mechanisms, particularly how digital trust and AI literacy contribute to sustainability through innovation. This approach follows a deductive logic and is grounded in the empirical testing of established theories </w:t>
      </w:r>
      <w:r w:rsidR="008806BA" w:rsidRPr="008B0387">
        <w:rPr>
          <w:rFonts w:ascii="Arial" w:eastAsia="Arial" w:hAnsi="Arial" w:cs="Arial"/>
        </w:rPr>
        <w:fldChar w:fldCharType="begin"/>
      </w:r>
      <w:r w:rsidR="008806BA" w:rsidRPr="008B0387">
        <w:rPr>
          <w:rFonts w:ascii="Arial" w:eastAsia="Arial" w:hAnsi="Arial" w:cs="Arial"/>
        </w:rPr>
        <w:instrText xml:space="preserve"> ADDIN ZOTERO_ITEM CSL_CITATION {"citationID":"Htt9DBks","properties":{"formattedCitation":"(Creswell &amp; Creswell, 2017; Hair et al., 2021)","plainCitation":"(Creswell &amp; Creswell, 2017; Hair et al., 2021)","noteIndex":0},"citationItems":[{"id":12810,"uris":["http://zotero.org/users/local/JyjMxVLY/items/8Y94AVDF"],"itemData":{"id":12810,"type":"book","abstract":"This best-selling text pioneered the comparison of qualitative, quantitative, and mixed methods research design. For all three approaches, John W. Creswell and new co-author J. David Creswell include a preliminary consideration of philosophical assumptions, key elements of the research process, a review of the literature, an assessment of the use of theory in research applications, and reflections about the importance of writing and ethics in scholarly inquiry.   The Fifth Edition includes more coverage of: epistemological and ontological positioning in relation to the research question and chosen methodology; case study, PAR, visual and online methods in qualitative research; qualitative and quantitative data analysis software; and in quantitative methods more on power analysis to determine sample size, and more coverage of experimental and survey designs; and updated with the latest thinking and research in mixed methods.","ISBN":"978-1-5063-8669-0","language":"en","note":"Google-Books-ID: 335ZDwAAQBAJ","number-of-pages":"257","publisher":"SAGE Publications","source":"Google Books","title":"Research Design: Qualitative, Quantitative, and Mixed Methods Approaches","title-short":"Research Design","author":[{"family":"Creswell","given":"John W."},{"family":"Creswell","given":"J. David"}],"issued":{"date-parts":[["2017",12,12]]}}},{"id":13494,"uris":["http://zotero.org/users/local/JyjMxVLY/items/Z7F5IENE"],"itemData":{"id":13494,"type":"book","collection-title":"Classroom Companion: Business","event-place":"Cham","ISBN":"978-3-030-80518-0","language":"en","license":"https://creativecommons.org/licenses/by/4.0","note":"DOI: 10.1007/978-3-030-80519-7","publisher":"Springer International Publishing","publisher-place":"Cham","source":"DOI.org (Crossref)","title":"Partial Least Squares Structural Equation Modeling (PLS-SEM) Using R: A Workbook","title-short":"Partial Least Squares Structural Equation Modeling (PLS-SEM) Using R","URL":"https://link.springer.com/10.1007/978-3-030-80519-7","author":[{"family":"Hair","given":"Joseph F."},{"family":"Hult","given":"G. Tomas M."},{"family":"Ringle","given":"Christian M."},{"family":"Sarstedt","given":"Marko"},{"family":"Danks","given":"Nicholas P."},{"family":"Ray","given":"Soumya"}],"accessed":{"date-parts":[["2025",8,8]]},"issued":{"date-parts":[["2021"]]}}}],"schema":"https://github.com/citation-style-language/schema/raw/master/csl-citation.json"} </w:instrText>
      </w:r>
      <w:r w:rsidR="008806BA" w:rsidRPr="008B0387">
        <w:rPr>
          <w:rFonts w:ascii="Arial" w:eastAsia="Arial" w:hAnsi="Arial" w:cs="Arial"/>
        </w:rPr>
        <w:fldChar w:fldCharType="separate"/>
      </w:r>
      <w:r w:rsidR="008806BA" w:rsidRPr="008B0387">
        <w:rPr>
          <w:rFonts w:ascii="Arial" w:hAnsi="Arial" w:cs="Arial"/>
        </w:rPr>
        <w:t>(Creswell &amp; Creswell, 2017; Hair et al., 2021)</w:t>
      </w:r>
      <w:r w:rsidR="008806BA" w:rsidRPr="008B0387">
        <w:rPr>
          <w:rFonts w:ascii="Arial" w:eastAsia="Arial" w:hAnsi="Arial" w:cs="Arial"/>
        </w:rPr>
        <w:fldChar w:fldCharType="end"/>
      </w:r>
      <w:r w:rsidR="008806BA" w:rsidRPr="008B0387">
        <w:rPr>
          <w:rFonts w:ascii="Arial" w:eastAsia="Arial" w:hAnsi="Arial" w:cs="Arial"/>
        </w:rPr>
        <w:t>.</w:t>
      </w:r>
    </w:p>
    <w:p w14:paraId="55ABD625" w14:textId="77777777" w:rsidR="00F044DC" w:rsidRPr="008B0387" w:rsidRDefault="00F044DC">
      <w:pPr>
        <w:jc w:val="both"/>
        <w:rPr>
          <w:rFonts w:ascii="Arial" w:eastAsia="Arial" w:hAnsi="Arial" w:cs="Arial"/>
        </w:rPr>
      </w:pPr>
    </w:p>
    <w:p w14:paraId="55650274" w14:textId="04273986" w:rsidR="00F044DC" w:rsidRPr="008B0387" w:rsidRDefault="00F044DC">
      <w:pPr>
        <w:jc w:val="both"/>
        <w:rPr>
          <w:rFonts w:ascii="Arial" w:eastAsia="Arial" w:hAnsi="Arial" w:cs="Arial"/>
          <w:b/>
          <w:bCs/>
        </w:rPr>
      </w:pPr>
      <w:r w:rsidRPr="008B0387">
        <w:rPr>
          <w:rFonts w:ascii="Arial" w:eastAsia="Arial" w:hAnsi="Arial" w:cs="Arial"/>
          <w:b/>
          <w:bCs/>
        </w:rPr>
        <w:t>3.2 Research Location</w:t>
      </w:r>
    </w:p>
    <w:p w14:paraId="6FD68B3D" w14:textId="77777777" w:rsidR="00F044DC" w:rsidRPr="008B0387" w:rsidRDefault="00F044DC">
      <w:pPr>
        <w:jc w:val="both"/>
        <w:rPr>
          <w:rFonts w:ascii="Arial" w:eastAsia="Arial" w:hAnsi="Arial" w:cs="Arial"/>
          <w:b/>
          <w:bCs/>
        </w:rPr>
      </w:pPr>
    </w:p>
    <w:p w14:paraId="75A96E1C" w14:textId="6F4C18EC" w:rsidR="00C0694C" w:rsidRPr="008B0387" w:rsidRDefault="0045458C">
      <w:pPr>
        <w:jc w:val="both"/>
        <w:rPr>
          <w:rFonts w:ascii="Arial" w:eastAsia="Arial" w:hAnsi="Arial" w:cs="Arial"/>
        </w:rPr>
      </w:pPr>
      <w:r w:rsidRPr="008B0387">
        <w:rPr>
          <w:rFonts w:ascii="Arial" w:eastAsia="Arial" w:hAnsi="Arial" w:cs="Arial"/>
        </w:rPr>
        <w:lastRenderedPageBreak/>
        <w:t>The study was conducted in two major cities in East Java Province, Indonesia, namely Surabaya and Malang, which were selected based on the characteristics of their dynamic MSMEs ecosystems and relatively high levels of digital technology and artificial intelligence (AI) utilisation. Surabaya is regarded as a significant centre of commercial growth and digital innovation, while Malang is characterised by its creative industry sector</w:t>
      </w:r>
      <w:r w:rsidR="00DD1298" w:rsidRPr="008B0387">
        <w:rPr>
          <w:rFonts w:ascii="Arial" w:eastAsia="Arial" w:hAnsi="Arial" w:cs="Arial"/>
        </w:rPr>
        <w:t>,</w:t>
      </w:r>
      <w:r w:rsidRPr="008B0387">
        <w:rPr>
          <w:rFonts w:ascii="Arial" w:eastAsia="Arial" w:hAnsi="Arial" w:cs="Arial"/>
        </w:rPr>
        <w:t xml:space="preserve"> with the increasing application of </w:t>
      </w:r>
      <w:r w:rsidR="00DD1298" w:rsidRPr="008B0387">
        <w:rPr>
          <w:rFonts w:ascii="Arial" w:eastAsia="Arial" w:hAnsi="Arial" w:cs="Arial"/>
        </w:rPr>
        <w:t>AI-based</w:t>
      </w:r>
      <w:r w:rsidRPr="008B0387">
        <w:rPr>
          <w:rFonts w:ascii="Arial" w:eastAsia="Arial" w:hAnsi="Arial" w:cs="Arial"/>
        </w:rPr>
        <w:t xml:space="preserve"> technology among MSME players.</w:t>
      </w:r>
    </w:p>
    <w:p w14:paraId="6BB55E6F" w14:textId="77777777" w:rsidR="00F044DC" w:rsidRPr="008B0387" w:rsidRDefault="0045458C">
      <w:pPr>
        <w:jc w:val="both"/>
        <w:rPr>
          <w:rFonts w:ascii="Arial" w:eastAsia="Arial" w:hAnsi="Arial" w:cs="Arial"/>
        </w:rPr>
      </w:pPr>
      <w:r w:rsidRPr="008B0387">
        <w:rPr>
          <w:rFonts w:ascii="Arial" w:eastAsia="Arial" w:hAnsi="Arial" w:cs="Arial"/>
        </w:rPr>
        <w:t xml:space="preserve"> </w:t>
      </w:r>
    </w:p>
    <w:p w14:paraId="04AE031C" w14:textId="3C16BA71" w:rsidR="00C0694C" w:rsidRPr="008B0387" w:rsidRDefault="00F044DC" w:rsidP="00F044DC">
      <w:pPr>
        <w:jc w:val="both"/>
        <w:rPr>
          <w:rFonts w:ascii="Arial" w:eastAsia="Arial" w:hAnsi="Arial" w:cs="Arial"/>
          <w:b/>
          <w:bCs/>
        </w:rPr>
      </w:pPr>
      <w:r w:rsidRPr="008B0387">
        <w:rPr>
          <w:rFonts w:ascii="Arial" w:eastAsia="Arial" w:hAnsi="Arial" w:cs="Arial"/>
          <w:b/>
          <w:bCs/>
        </w:rPr>
        <w:t>3.3 Variables and Operational Definitions</w:t>
      </w:r>
    </w:p>
    <w:p w14:paraId="4EFB5D70" w14:textId="77777777" w:rsidR="00F044DC" w:rsidRPr="008B0387" w:rsidRDefault="00F044DC" w:rsidP="00F044DC">
      <w:pPr>
        <w:jc w:val="both"/>
        <w:rPr>
          <w:rFonts w:ascii="Arial" w:eastAsia="Arial" w:hAnsi="Arial" w:cs="Arial"/>
          <w:b/>
          <w:bCs/>
        </w:rPr>
      </w:pPr>
    </w:p>
    <w:p w14:paraId="22BA068A" w14:textId="77777777" w:rsidR="00C0694C" w:rsidRPr="008B0387" w:rsidRDefault="0045458C">
      <w:pPr>
        <w:keepNext/>
        <w:jc w:val="both"/>
        <w:rPr>
          <w:rFonts w:ascii="Arial" w:eastAsia="Arial" w:hAnsi="Arial" w:cs="Arial"/>
        </w:rPr>
      </w:pPr>
      <w:r w:rsidRPr="008B0387">
        <w:rPr>
          <w:rFonts w:ascii="Arial" w:eastAsia="Arial" w:hAnsi="Arial" w:cs="Arial"/>
        </w:rPr>
        <w:t>The study focuses on four main constructs:</w:t>
      </w:r>
    </w:p>
    <w:p w14:paraId="5599ACE8" w14:textId="77777777" w:rsidR="00C0694C" w:rsidRPr="008B0387" w:rsidRDefault="0045458C">
      <w:pPr>
        <w:numPr>
          <w:ilvl w:val="0"/>
          <w:numId w:val="10"/>
        </w:numPr>
        <w:jc w:val="both"/>
        <w:rPr>
          <w:rFonts w:ascii="Arial" w:eastAsia="Arial" w:hAnsi="Arial" w:cs="Arial"/>
        </w:rPr>
      </w:pPr>
      <w:r w:rsidRPr="008B0387">
        <w:rPr>
          <w:rFonts w:ascii="Arial" w:eastAsia="Arial" w:hAnsi="Arial" w:cs="Arial"/>
        </w:rPr>
        <w:t>Digital Trust (X1): The confidence of MSME actors in the security, reliability, and integrity of digital systems.</w:t>
      </w:r>
    </w:p>
    <w:p w14:paraId="038B12C8" w14:textId="3EB5006C" w:rsidR="00C0694C" w:rsidRPr="008B0387" w:rsidRDefault="0045458C">
      <w:pPr>
        <w:numPr>
          <w:ilvl w:val="0"/>
          <w:numId w:val="10"/>
        </w:numPr>
        <w:jc w:val="both"/>
        <w:rPr>
          <w:rFonts w:ascii="Arial" w:eastAsia="Arial" w:hAnsi="Arial" w:cs="Arial"/>
        </w:rPr>
      </w:pPr>
      <w:r w:rsidRPr="008B0387">
        <w:rPr>
          <w:rFonts w:ascii="Arial" w:eastAsia="Arial" w:hAnsi="Arial" w:cs="Arial"/>
        </w:rPr>
        <w:t xml:space="preserve">AI Literacy (X2): The knowledge and readiness of business actors to utilize </w:t>
      </w:r>
      <w:r w:rsidR="00DD1298" w:rsidRPr="008B0387">
        <w:rPr>
          <w:rFonts w:ascii="Arial" w:eastAsia="Arial" w:hAnsi="Arial" w:cs="Arial"/>
        </w:rPr>
        <w:t>AI-based</w:t>
      </w:r>
      <w:r w:rsidRPr="008B0387">
        <w:rPr>
          <w:rFonts w:ascii="Arial" w:eastAsia="Arial" w:hAnsi="Arial" w:cs="Arial"/>
        </w:rPr>
        <w:t xml:space="preserve"> technologies effectively.</w:t>
      </w:r>
    </w:p>
    <w:p w14:paraId="095C359C" w14:textId="77777777" w:rsidR="00C0694C" w:rsidRPr="008B0387" w:rsidRDefault="0045458C">
      <w:pPr>
        <w:numPr>
          <w:ilvl w:val="0"/>
          <w:numId w:val="10"/>
        </w:numPr>
        <w:jc w:val="both"/>
        <w:rPr>
          <w:rFonts w:ascii="Arial" w:eastAsia="Arial" w:hAnsi="Arial" w:cs="Arial"/>
        </w:rPr>
      </w:pPr>
      <w:r w:rsidRPr="008B0387">
        <w:rPr>
          <w:rFonts w:ascii="Arial" w:eastAsia="Arial" w:hAnsi="Arial" w:cs="Arial"/>
        </w:rPr>
        <w:t>Innovation Capability (Z): The ability of MSMEs to generate and apply new ideas in products, processes, or services.</w:t>
      </w:r>
    </w:p>
    <w:p w14:paraId="318168EE" w14:textId="77777777" w:rsidR="00C0694C" w:rsidRPr="008B0387" w:rsidRDefault="0045458C">
      <w:pPr>
        <w:numPr>
          <w:ilvl w:val="0"/>
          <w:numId w:val="10"/>
        </w:numPr>
        <w:jc w:val="both"/>
        <w:rPr>
          <w:rFonts w:ascii="Arial" w:eastAsia="Arial" w:hAnsi="Arial" w:cs="Arial"/>
        </w:rPr>
      </w:pPr>
      <w:r w:rsidRPr="008B0387">
        <w:rPr>
          <w:rFonts w:ascii="Arial" w:eastAsia="Arial" w:hAnsi="Arial" w:cs="Arial"/>
        </w:rPr>
        <w:t>Business Sustainability (Y): The capacity of a business to sustain its operations over the long term across economic, social, and operational dimensions.</w:t>
      </w:r>
    </w:p>
    <w:p w14:paraId="4CA34256" w14:textId="77777777" w:rsidR="00C0694C" w:rsidRPr="008B0387" w:rsidRDefault="00C0694C">
      <w:pPr>
        <w:jc w:val="both"/>
        <w:rPr>
          <w:rFonts w:ascii="Arial" w:eastAsia="Arial" w:hAnsi="Arial" w:cs="Arial"/>
        </w:rPr>
      </w:pPr>
    </w:p>
    <w:p w14:paraId="2E34A8D9" w14:textId="05CD25B9" w:rsidR="00C0694C" w:rsidRPr="008B0387" w:rsidRDefault="0045458C">
      <w:pPr>
        <w:jc w:val="both"/>
        <w:rPr>
          <w:rFonts w:ascii="Arial" w:eastAsia="Arial" w:hAnsi="Arial" w:cs="Arial"/>
        </w:rPr>
      </w:pPr>
      <w:r w:rsidRPr="008B0387">
        <w:rPr>
          <w:rFonts w:ascii="Arial" w:eastAsia="Arial" w:hAnsi="Arial" w:cs="Arial"/>
        </w:rPr>
        <w:t xml:space="preserve">All research variables were measured using a </w:t>
      </w:r>
      <w:r w:rsidR="00DD1298" w:rsidRPr="008B0387">
        <w:rPr>
          <w:rFonts w:ascii="Arial" w:eastAsia="Arial" w:hAnsi="Arial" w:cs="Arial"/>
        </w:rPr>
        <w:t>five-point</w:t>
      </w:r>
      <w:r w:rsidRPr="008B0387">
        <w:rPr>
          <w:rFonts w:ascii="Arial" w:eastAsia="Arial" w:hAnsi="Arial" w:cs="Arial"/>
        </w:rPr>
        <w:t xml:space="preserve"> Likert scale, ranging from 1, which indicates ‘strongly disagree’, to 5, which represents ‘strongly agree’. The questions in the questionnaire were compiled based on instruments that had been proven valid and adopted from previous studies as a basis for measurement. </w:t>
      </w:r>
    </w:p>
    <w:p w14:paraId="525E71C0" w14:textId="77777777" w:rsidR="00CD60D2" w:rsidRPr="008B0387" w:rsidRDefault="00CD60D2">
      <w:pPr>
        <w:tabs>
          <w:tab w:val="left" w:pos="1080"/>
        </w:tabs>
        <w:rPr>
          <w:rFonts w:ascii="Arial" w:eastAsia="Arial" w:hAnsi="Arial" w:cs="Arial"/>
          <w:b/>
        </w:rPr>
        <w:sectPr w:rsidR="00CD60D2" w:rsidRPr="008B0387" w:rsidSect="00CF5AD7">
          <w:type w:val="continuous"/>
          <w:pgSz w:w="12240" w:h="15840"/>
          <w:pgMar w:top="1440" w:right="1440" w:bottom="1440" w:left="1440" w:header="720" w:footer="720" w:gutter="0"/>
          <w:cols w:num="2" w:space="720"/>
          <w:docGrid w:linePitch="272"/>
        </w:sectPr>
      </w:pPr>
    </w:p>
    <w:p w14:paraId="353E4AE0" w14:textId="34E50E32" w:rsidR="00C0694C" w:rsidRPr="008B0387" w:rsidRDefault="00C0694C">
      <w:pPr>
        <w:tabs>
          <w:tab w:val="left" w:pos="1080"/>
        </w:tabs>
        <w:rPr>
          <w:rFonts w:ascii="Arial" w:eastAsia="Arial" w:hAnsi="Arial" w:cs="Arial"/>
          <w:b/>
        </w:rPr>
      </w:pPr>
    </w:p>
    <w:p w14:paraId="31CB3623" w14:textId="77777777" w:rsidR="00C0694C" w:rsidRPr="008B0387" w:rsidRDefault="0045458C">
      <w:pPr>
        <w:tabs>
          <w:tab w:val="left" w:pos="1080"/>
        </w:tabs>
        <w:spacing w:before="240" w:after="240"/>
        <w:jc w:val="center"/>
        <w:rPr>
          <w:rFonts w:ascii="Arial" w:eastAsia="Arial" w:hAnsi="Arial" w:cs="Arial"/>
          <w:b/>
        </w:rPr>
      </w:pPr>
      <w:r w:rsidRPr="008B0387">
        <w:rPr>
          <w:rFonts w:ascii="Arial" w:eastAsia="Arial" w:hAnsi="Arial" w:cs="Arial"/>
          <w:b/>
        </w:rPr>
        <w:t>Table 1. Variables and Operational Definitions</w:t>
      </w:r>
    </w:p>
    <w:tbl>
      <w:tblPr>
        <w:tblStyle w:val="a0"/>
        <w:tblW w:w="5046" w:type="pct"/>
        <w:jc w:val="center"/>
        <w:tblInd w:w="0" w:type="dxa"/>
        <w:tblBorders>
          <w:top w:val="single" w:sz="4" w:space="0" w:color="auto"/>
          <w:left w:val="single" w:sz="4" w:space="0" w:color="auto"/>
          <w:bottom w:val="single" w:sz="4" w:space="0" w:color="auto"/>
          <w:right w:val="single" w:sz="4" w:space="0" w:color="auto"/>
        </w:tblBorders>
        <w:tblLook w:val="0600" w:firstRow="0" w:lastRow="0" w:firstColumn="0" w:lastColumn="0" w:noHBand="1" w:noVBand="1"/>
      </w:tblPr>
      <w:tblGrid>
        <w:gridCol w:w="2203"/>
        <w:gridCol w:w="1744"/>
        <w:gridCol w:w="3506"/>
        <w:gridCol w:w="1983"/>
      </w:tblGrid>
      <w:tr w:rsidR="00F044DC" w:rsidRPr="008B0387" w14:paraId="1AA055BE" w14:textId="77777777" w:rsidTr="00F044DC">
        <w:trPr>
          <w:trHeight w:val="183"/>
          <w:jc w:val="center"/>
        </w:trPr>
        <w:tc>
          <w:tcPr>
            <w:tcW w:w="1167" w:type="pct"/>
            <w:tcBorders>
              <w:top w:val="single" w:sz="4" w:space="0" w:color="auto"/>
              <w:bottom w:val="single" w:sz="4" w:space="0" w:color="auto"/>
            </w:tcBorders>
            <w:tcMar>
              <w:top w:w="0" w:type="dxa"/>
              <w:left w:w="100" w:type="dxa"/>
              <w:bottom w:w="0" w:type="dxa"/>
              <w:right w:w="100" w:type="dxa"/>
            </w:tcMar>
          </w:tcPr>
          <w:p w14:paraId="5BE8B07C" w14:textId="77777777" w:rsidR="00C0694C" w:rsidRPr="008B0387" w:rsidRDefault="0045458C">
            <w:pPr>
              <w:tabs>
                <w:tab w:val="left" w:pos="1080"/>
              </w:tabs>
              <w:spacing w:before="240" w:after="240"/>
              <w:jc w:val="center"/>
              <w:rPr>
                <w:rFonts w:ascii="Arial" w:eastAsia="Arial" w:hAnsi="Arial" w:cs="Arial"/>
                <w:b/>
              </w:rPr>
            </w:pPr>
            <w:r w:rsidRPr="008B0387">
              <w:rPr>
                <w:rFonts w:ascii="Arial" w:eastAsia="Arial" w:hAnsi="Arial" w:cs="Arial"/>
                <w:b/>
              </w:rPr>
              <w:t>Construct</w:t>
            </w:r>
          </w:p>
        </w:tc>
        <w:tc>
          <w:tcPr>
            <w:tcW w:w="924" w:type="pct"/>
            <w:tcBorders>
              <w:top w:val="single" w:sz="4" w:space="0" w:color="auto"/>
              <w:bottom w:val="single" w:sz="4" w:space="0" w:color="auto"/>
            </w:tcBorders>
            <w:tcMar>
              <w:top w:w="0" w:type="dxa"/>
              <w:left w:w="100" w:type="dxa"/>
              <w:bottom w:w="0" w:type="dxa"/>
              <w:right w:w="100" w:type="dxa"/>
            </w:tcMar>
          </w:tcPr>
          <w:p w14:paraId="08C761BD" w14:textId="77777777" w:rsidR="00C0694C" w:rsidRPr="008B0387" w:rsidRDefault="0045458C">
            <w:pPr>
              <w:tabs>
                <w:tab w:val="left" w:pos="1080"/>
              </w:tabs>
              <w:spacing w:before="240" w:after="240"/>
              <w:jc w:val="center"/>
              <w:rPr>
                <w:rFonts w:ascii="Arial" w:eastAsia="Arial" w:hAnsi="Arial" w:cs="Arial"/>
                <w:b/>
              </w:rPr>
            </w:pPr>
            <w:r w:rsidRPr="008B0387">
              <w:rPr>
                <w:rFonts w:ascii="Arial" w:eastAsia="Arial" w:hAnsi="Arial" w:cs="Arial"/>
                <w:b/>
              </w:rPr>
              <w:t>Indicators</w:t>
            </w:r>
          </w:p>
        </w:tc>
        <w:tc>
          <w:tcPr>
            <w:tcW w:w="1858" w:type="pct"/>
            <w:tcBorders>
              <w:top w:val="single" w:sz="4" w:space="0" w:color="auto"/>
              <w:bottom w:val="single" w:sz="4" w:space="0" w:color="auto"/>
            </w:tcBorders>
            <w:tcMar>
              <w:top w:w="0" w:type="dxa"/>
              <w:left w:w="100" w:type="dxa"/>
              <w:bottom w:w="0" w:type="dxa"/>
              <w:right w:w="100" w:type="dxa"/>
            </w:tcMar>
          </w:tcPr>
          <w:p w14:paraId="63FD3738" w14:textId="77777777" w:rsidR="00C0694C" w:rsidRPr="008B0387" w:rsidRDefault="0045458C">
            <w:pPr>
              <w:tabs>
                <w:tab w:val="left" w:pos="1080"/>
              </w:tabs>
              <w:spacing w:before="240" w:after="240"/>
              <w:jc w:val="center"/>
              <w:rPr>
                <w:rFonts w:ascii="Arial" w:eastAsia="Arial" w:hAnsi="Arial" w:cs="Arial"/>
                <w:b/>
              </w:rPr>
            </w:pPr>
            <w:r w:rsidRPr="008B0387">
              <w:rPr>
                <w:rFonts w:ascii="Arial" w:eastAsia="Arial" w:hAnsi="Arial" w:cs="Arial"/>
                <w:b/>
              </w:rPr>
              <w:t>Description</w:t>
            </w:r>
          </w:p>
        </w:tc>
        <w:tc>
          <w:tcPr>
            <w:tcW w:w="1051" w:type="pct"/>
            <w:tcBorders>
              <w:top w:val="single" w:sz="4" w:space="0" w:color="auto"/>
              <w:bottom w:val="single" w:sz="4" w:space="0" w:color="auto"/>
            </w:tcBorders>
            <w:tcMar>
              <w:top w:w="0" w:type="dxa"/>
              <w:left w:w="100" w:type="dxa"/>
              <w:bottom w:w="0" w:type="dxa"/>
              <w:right w:w="100" w:type="dxa"/>
            </w:tcMar>
          </w:tcPr>
          <w:p w14:paraId="043C5BF4" w14:textId="77777777" w:rsidR="00C0694C" w:rsidRPr="008B0387" w:rsidRDefault="0045458C">
            <w:pPr>
              <w:tabs>
                <w:tab w:val="left" w:pos="1080"/>
              </w:tabs>
              <w:spacing w:before="240" w:after="240"/>
              <w:jc w:val="center"/>
              <w:rPr>
                <w:rFonts w:ascii="Arial" w:eastAsia="Arial" w:hAnsi="Arial" w:cs="Arial"/>
                <w:b/>
              </w:rPr>
            </w:pPr>
            <w:r w:rsidRPr="008B0387">
              <w:rPr>
                <w:rFonts w:ascii="Arial" w:eastAsia="Arial" w:hAnsi="Arial" w:cs="Arial"/>
                <w:b/>
              </w:rPr>
              <w:t>Sources</w:t>
            </w:r>
          </w:p>
        </w:tc>
      </w:tr>
      <w:tr w:rsidR="00F044DC" w:rsidRPr="008B0387" w14:paraId="433215A7" w14:textId="77777777" w:rsidTr="00F044DC">
        <w:trPr>
          <w:trHeight w:val="386"/>
          <w:jc w:val="center"/>
        </w:trPr>
        <w:tc>
          <w:tcPr>
            <w:tcW w:w="1167" w:type="pct"/>
            <w:tcBorders>
              <w:top w:val="single" w:sz="4" w:space="0" w:color="auto"/>
            </w:tcBorders>
            <w:tcMar>
              <w:top w:w="0" w:type="dxa"/>
              <w:left w:w="100" w:type="dxa"/>
              <w:bottom w:w="0" w:type="dxa"/>
              <w:right w:w="100" w:type="dxa"/>
            </w:tcMar>
          </w:tcPr>
          <w:p w14:paraId="1406130C" w14:textId="77777777" w:rsidR="00C0694C" w:rsidRPr="008B0387" w:rsidRDefault="0045458C">
            <w:pPr>
              <w:tabs>
                <w:tab w:val="left" w:pos="1080"/>
              </w:tabs>
              <w:spacing w:before="240" w:after="240"/>
              <w:rPr>
                <w:rFonts w:ascii="Arial" w:eastAsia="Arial" w:hAnsi="Arial" w:cs="Arial"/>
                <w:b/>
              </w:rPr>
            </w:pPr>
            <w:r w:rsidRPr="008B0387">
              <w:rPr>
                <w:rFonts w:ascii="Arial" w:eastAsia="Arial" w:hAnsi="Arial" w:cs="Arial"/>
                <w:b/>
              </w:rPr>
              <w:t>Digital Trust (KD)</w:t>
            </w:r>
          </w:p>
        </w:tc>
        <w:tc>
          <w:tcPr>
            <w:tcW w:w="924" w:type="pct"/>
            <w:tcBorders>
              <w:top w:val="single" w:sz="4" w:space="0" w:color="auto"/>
            </w:tcBorders>
            <w:tcMar>
              <w:top w:w="0" w:type="dxa"/>
              <w:left w:w="100" w:type="dxa"/>
              <w:bottom w:w="0" w:type="dxa"/>
              <w:right w:w="100" w:type="dxa"/>
            </w:tcMar>
          </w:tcPr>
          <w:p w14:paraId="48156F9A"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KD1</w:t>
            </w:r>
          </w:p>
        </w:tc>
        <w:tc>
          <w:tcPr>
            <w:tcW w:w="1858" w:type="pct"/>
            <w:tcBorders>
              <w:top w:val="single" w:sz="4" w:space="0" w:color="auto"/>
            </w:tcBorders>
            <w:tcMar>
              <w:top w:w="0" w:type="dxa"/>
              <w:left w:w="100" w:type="dxa"/>
              <w:bottom w:w="0" w:type="dxa"/>
              <w:right w:w="100" w:type="dxa"/>
            </w:tcMar>
          </w:tcPr>
          <w:p w14:paraId="79674248"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Data protection</w:t>
            </w:r>
          </w:p>
        </w:tc>
        <w:tc>
          <w:tcPr>
            <w:tcW w:w="1051" w:type="pct"/>
            <w:tcBorders>
              <w:top w:val="single" w:sz="4" w:space="0" w:color="auto"/>
            </w:tcBorders>
            <w:tcMar>
              <w:top w:w="0" w:type="dxa"/>
              <w:left w:w="100" w:type="dxa"/>
              <w:bottom w:w="0" w:type="dxa"/>
              <w:right w:w="100" w:type="dxa"/>
            </w:tcMar>
          </w:tcPr>
          <w:p w14:paraId="0966AE1C" w14:textId="7F8C937B" w:rsidR="00C0694C" w:rsidRPr="008B0387" w:rsidRDefault="008806BA">
            <w:pPr>
              <w:tabs>
                <w:tab w:val="left" w:pos="1080"/>
              </w:tabs>
              <w:spacing w:before="240" w:after="240"/>
              <w:rPr>
                <w:rFonts w:ascii="Arial" w:eastAsia="Arial" w:hAnsi="Arial" w:cs="Arial"/>
              </w:rPr>
            </w:pPr>
            <w:r w:rsidRPr="008B0387">
              <w:rPr>
                <w:rFonts w:ascii="Arial" w:eastAsia="Arial" w:hAnsi="Arial" w:cs="Arial"/>
              </w:rPr>
              <w:fldChar w:fldCharType="begin"/>
            </w:r>
            <w:r w:rsidRPr="008B0387">
              <w:rPr>
                <w:rFonts w:ascii="Arial" w:eastAsia="Arial" w:hAnsi="Arial" w:cs="Arial"/>
              </w:rPr>
              <w:instrText xml:space="preserve"> ADDIN ZOTERO_ITEM CSL_CITATION {"citationID":"5sIGv7LU","properties":{"formattedCitation":"(Khatib et al., 2024)","plainCitation":"(Khatib et al., 2024)","noteIndex":0},"citationItems":[{"id":13474,"uris":["http://zotero.org/users/local/JyjMxVLY/items/ARYX4HSN"],"itemData":{"id":13474,"type":"article-journal","abstract":"Abstract:\nThe existence of trust in the work environment is significant to organizational performance and competitiveness in an increasingly universal market (Combs et al., 2015). Several studies (Olivier, 2017) (Stephanie et al., 2014) has showed that promoting trusting relationships by an organization is an essential criterion of competitive advantage. Organizations that enhance of trust internally and externally earn advantages such as, attract loyal customers, high performance by employee and good position in market (Roderick and Roy, 2010). Furthermore, trust has several benefits on firms’ outcomes such as increase sales, high profits, minimize worker turnover and employees achieve high level of cooperation among others.\nLack of&amp;nbsp;trust in government threatens the desire of people and business obey to government policies and participate to a potential economic recovery (Tao and Yunfan, 2010).&amp;nbsp;The validity of organizations is construct based on the presence of trust and is significant for preserving social cohesion. A study was conducted by (Nils and Darja, 2008) showed that the impact of lacking trust in an organization resulted in several disadvantages such as, reduction in performance, work quality, sharing information, spirits of workers and increase in group combats. In addition, the employees prefer individual interest over group interest and expect negative comments from the manager. This result in, high supervision from mangers on employees that decreased the level of trust. Therefore, the presence of trust is essential to governments, organizations both public and private in providing services.","container-title":"International Journal of Business Analytics and Security (IJBAS)","ISSN":"2958-5791","issue":"2","language":"en","license":"Copyright (c) 2024 International Journal of Business Analytics and Security (IJBAS)","note":"number: 2","page":"16-38","source":"journals.gaftim.com","title":"The importance of Trust in digital transformation and SMART Government initiatives","volume":"4","author":[{"family":"Khatib","given":"Mounir El"},{"family":"AlMansoori","given":"Abdulrahman Ahmed"},{"family":"Alsuwidi","given":"Saeed"}],"issued":{"date-parts":[["2024",5,1]]}}}],"schema":"https://github.com/citation-style-language/schema/raw/master/csl-citation.json"} </w:instrText>
            </w:r>
            <w:r w:rsidRPr="008B0387">
              <w:rPr>
                <w:rFonts w:ascii="Arial" w:eastAsia="Arial" w:hAnsi="Arial" w:cs="Arial"/>
              </w:rPr>
              <w:fldChar w:fldCharType="separate"/>
            </w:r>
            <w:r w:rsidRPr="008B0387">
              <w:rPr>
                <w:rFonts w:ascii="Arial" w:hAnsi="Arial" w:cs="Arial"/>
              </w:rPr>
              <w:t>(Khatib et al., 2024)</w:t>
            </w:r>
            <w:r w:rsidRPr="008B0387">
              <w:rPr>
                <w:rFonts w:ascii="Arial" w:eastAsia="Arial" w:hAnsi="Arial" w:cs="Arial"/>
              </w:rPr>
              <w:fldChar w:fldCharType="end"/>
            </w:r>
          </w:p>
        </w:tc>
      </w:tr>
      <w:tr w:rsidR="00F044DC" w:rsidRPr="008B0387" w14:paraId="1E35D6EF" w14:textId="77777777" w:rsidTr="00F044DC">
        <w:trPr>
          <w:trHeight w:val="534"/>
          <w:jc w:val="center"/>
        </w:trPr>
        <w:tc>
          <w:tcPr>
            <w:tcW w:w="1167" w:type="pct"/>
            <w:tcMar>
              <w:top w:w="0" w:type="dxa"/>
              <w:left w:w="100" w:type="dxa"/>
              <w:bottom w:w="0" w:type="dxa"/>
              <w:right w:w="100" w:type="dxa"/>
            </w:tcMar>
          </w:tcPr>
          <w:p w14:paraId="73758B52"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c>
          <w:tcPr>
            <w:tcW w:w="924" w:type="pct"/>
            <w:tcMar>
              <w:top w:w="0" w:type="dxa"/>
              <w:left w:w="100" w:type="dxa"/>
              <w:bottom w:w="0" w:type="dxa"/>
              <w:right w:w="100" w:type="dxa"/>
            </w:tcMar>
          </w:tcPr>
          <w:p w14:paraId="7F6EB8F4"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KD2</w:t>
            </w:r>
          </w:p>
        </w:tc>
        <w:tc>
          <w:tcPr>
            <w:tcW w:w="1858" w:type="pct"/>
            <w:tcMar>
              <w:top w:w="0" w:type="dxa"/>
              <w:left w:w="100" w:type="dxa"/>
              <w:bottom w:w="0" w:type="dxa"/>
              <w:right w:w="100" w:type="dxa"/>
            </w:tcMar>
          </w:tcPr>
          <w:p w14:paraId="55BA65B2"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Information clarity</w:t>
            </w:r>
          </w:p>
        </w:tc>
        <w:tc>
          <w:tcPr>
            <w:tcW w:w="1051" w:type="pct"/>
            <w:tcMar>
              <w:top w:w="0" w:type="dxa"/>
              <w:left w:w="100" w:type="dxa"/>
              <w:bottom w:w="0" w:type="dxa"/>
              <w:right w:w="100" w:type="dxa"/>
            </w:tcMar>
          </w:tcPr>
          <w:p w14:paraId="6ADC3DA5"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r>
      <w:tr w:rsidR="00F044DC" w:rsidRPr="008B0387" w14:paraId="1717D083" w14:textId="77777777" w:rsidTr="00F044DC">
        <w:trPr>
          <w:trHeight w:val="340"/>
          <w:jc w:val="center"/>
        </w:trPr>
        <w:tc>
          <w:tcPr>
            <w:tcW w:w="1167" w:type="pct"/>
            <w:tcMar>
              <w:top w:w="0" w:type="dxa"/>
              <w:left w:w="100" w:type="dxa"/>
              <w:bottom w:w="0" w:type="dxa"/>
              <w:right w:w="100" w:type="dxa"/>
            </w:tcMar>
          </w:tcPr>
          <w:p w14:paraId="12834932"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c>
          <w:tcPr>
            <w:tcW w:w="924" w:type="pct"/>
            <w:tcMar>
              <w:top w:w="0" w:type="dxa"/>
              <w:left w:w="100" w:type="dxa"/>
              <w:bottom w:w="0" w:type="dxa"/>
              <w:right w:w="100" w:type="dxa"/>
            </w:tcMar>
          </w:tcPr>
          <w:p w14:paraId="519BC9BF"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KD3</w:t>
            </w:r>
          </w:p>
        </w:tc>
        <w:tc>
          <w:tcPr>
            <w:tcW w:w="1858" w:type="pct"/>
            <w:tcMar>
              <w:top w:w="0" w:type="dxa"/>
              <w:left w:w="100" w:type="dxa"/>
              <w:bottom w:w="0" w:type="dxa"/>
              <w:right w:w="100" w:type="dxa"/>
            </w:tcMar>
          </w:tcPr>
          <w:p w14:paraId="60978245"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Transaction transparency</w:t>
            </w:r>
          </w:p>
        </w:tc>
        <w:tc>
          <w:tcPr>
            <w:tcW w:w="1051" w:type="pct"/>
            <w:tcMar>
              <w:top w:w="0" w:type="dxa"/>
              <w:left w:w="100" w:type="dxa"/>
              <w:bottom w:w="0" w:type="dxa"/>
              <w:right w:w="100" w:type="dxa"/>
            </w:tcMar>
          </w:tcPr>
          <w:p w14:paraId="2F6D81C3"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r>
      <w:tr w:rsidR="00F044DC" w:rsidRPr="008B0387" w14:paraId="429FE803" w14:textId="77777777" w:rsidTr="00F044DC">
        <w:trPr>
          <w:trHeight w:val="340"/>
          <w:jc w:val="center"/>
        </w:trPr>
        <w:tc>
          <w:tcPr>
            <w:tcW w:w="1167" w:type="pct"/>
            <w:tcMar>
              <w:top w:w="0" w:type="dxa"/>
              <w:left w:w="100" w:type="dxa"/>
              <w:bottom w:w="0" w:type="dxa"/>
              <w:right w:w="100" w:type="dxa"/>
            </w:tcMar>
          </w:tcPr>
          <w:p w14:paraId="07A6EDB0"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c>
          <w:tcPr>
            <w:tcW w:w="924" w:type="pct"/>
            <w:tcMar>
              <w:top w:w="0" w:type="dxa"/>
              <w:left w:w="100" w:type="dxa"/>
              <w:bottom w:w="0" w:type="dxa"/>
              <w:right w:w="100" w:type="dxa"/>
            </w:tcMar>
          </w:tcPr>
          <w:p w14:paraId="29F91FFA"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KD4</w:t>
            </w:r>
          </w:p>
        </w:tc>
        <w:tc>
          <w:tcPr>
            <w:tcW w:w="1858" w:type="pct"/>
            <w:tcMar>
              <w:top w:w="0" w:type="dxa"/>
              <w:left w:w="100" w:type="dxa"/>
              <w:bottom w:w="0" w:type="dxa"/>
              <w:right w:w="100" w:type="dxa"/>
            </w:tcMar>
          </w:tcPr>
          <w:p w14:paraId="554C85A6"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System reliability</w:t>
            </w:r>
          </w:p>
        </w:tc>
        <w:tc>
          <w:tcPr>
            <w:tcW w:w="1051" w:type="pct"/>
            <w:tcMar>
              <w:top w:w="0" w:type="dxa"/>
              <w:left w:w="100" w:type="dxa"/>
              <w:bottom w:w="0" w:type="dxa"/>
              <w:right w:w="100" w:type="dxa"/>
            </w:tcMar>
          </w:tcPr>
          <w:p w14:paraId="73B0043F"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r>
      <w:tr w:rsidR="00F044DC" w:rsidRPr="008B0387" w14:paraId="1917CF64" w14:textId="77777777" w:rsidTr="00F044DC">
        <w:trPr>
          <w:trHeight w:val="710"/>
          <w:jc w:val="center"/>
        </w:trPr>
        <w:tc>
          <w:tcPr>
            <w:tcW w:w="1167" w:type="pct"/>
            <w:tcMar>
              <w:top w:w="0" w:type="dxa"/>
              <w:left w:w="100" w:type="dxa"/>
              <w:bottom w:w="0" w:type="dxa"/>
              <w:right w:w="100" w:type="dxa"/>
            </w:tcMar>
          </w:tcPr>
          <w:p w14:paraId="0B949023" w14:textId="77777777" w:rsidR="00C0694C" w:rsidRPr="008B0387" w:rsidRDefault="0045458C">
            <w:pPr>
              <w:tabs>
                <w:tab w:val="left" w:pos="1080"/>
              </w:tabs>
              <w:spacing w:before="240" w:after="240"/>
              <w:rPr>
                <w:rFonts w:ascii="Arial" w:eastAsia="Arial" w:hAnsi="Arial" w:cs="Arial"/>
                <w:b/>
              </w:rPr>
            </w:pPr>
            <w:r w:rsidRPr="008B0387">
              <w:rPr>
                <w:rFonts w:ascii="Arial" w:eastAsia="Arial" w:hAnsi="Arial" w:cs="Arial"/>
                <w:b/>
              </w:rPr>
              <w:t>AI Literacy (LAI)</w:t>
            </w:r>
          </w:p>
        </w:tc>
        <w:tc>
          <w:tcPr>
            <w:tcW w:w="924" w:type="pct"/>
            <w:tcMar>
              <w:top w:w="0" w:type="dxa"/>
              <w:left w:w="100" w:type="dxa"/>
              <w:bottom w:w="0" w:type="dxa"/>
              <w:right w:w="100" w:type="dxa"/>
            </w:tcMar>
          </w:tcPr>
          <w:p w14:paraId="5D6A4868"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LAI1</w:t>
            </w:r>
          </w:p>
        </w:tc>
        <w:tc>
          <w:tcPr>
            <w:tcW w:w="1858" w:type="pct"/>
            <w:tcMar>
              <w:top w:w="0" w:type="dxa"/>
              <w:left w:w="100" w:type="dxa"/>
              <w:bottom w:w="0" w:type="dxa"/>
              <w:right w:w="100" w:type="dxa"/>
            </w:tcMar>
          </w:tcPr>
          <w:p w14:paraId="5168B8BD"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Knowledge about AI</w:t>
            </w:r>
          </w:p>
        </w:tc>
        <w:tc>
          <w:tcPr>
            <w:tcW w:w="1051" w:type="pct"/>
            <w:tcMar>
              <w:top w:w="0" w:type="dxa"/>
              <w:left w:w="100" w:type="dxa"/>
              <w:bottom w:w="0" w:type="dxa"/>
              <w:right w:w="100" w:type="dxa"/>
            </w:tcMar>
          </w:tcPr>
          <w:p w14:paraId="39840746" w14:textId="7CAC3C5B" w:rsidR="00C0694C" w:rsidRPr="008B0387" w:rsidRDefault="008806BA">
            <w:pPr>
              <w:tabs>
                <w:tab w:val="left" w:pos="1080"/>
              </w:tabs>
              <w:spacing w:before="240" w:after="240"/>
              <w:rPr>
                <w:rFonts w:ascii="Arial" w:eastAsia="Arial" w:hAnsi="Arial" w:cs="Arial"/>
              </w:rPr>
            </w:pPr>
            <w:r w:rsidRPr="008B0387">
              <w:rPr>
                <w:rFonts w:ascii="Arial" w:eastAsia="Arial" w:hAnsi="Arial" w:cs="Arial"/>
              </w:rPr>
              <w:fldChar w:fldCharType="begin"/>
            </w:r>
            <w:r w:rsidRPr="008B0387">
              <w:rPr>
                <w:rFonts w:ascii="Arial" w:eastAsia="Arial" w:hAnsi="Arial" w:cs="Arial"/>
              </w:rPr>
              <w:instrText xml:space="preserve"> ADDIN ZOTERO_ITEM CSL_CITATION {"citationID":"3Mrn9A5j","properties":{"formattedCitation":"(Alam\\uc0\\u228{}ki et al., 2024; Verdiana &amp; Fachir, 2023)","plainCitation":"(Alamäki et al., 2024; Verdiana &amp; Fachir, 2023)","noteIndex":0},"citationItems":[{"id":12823,"uris":["http://zotero.org/users/local/JyjMxVLY/items/F4IN76QL"],"itemData":{"id":12823,"type":"article-journal","abstract":"IntroductionThe purpose of this empirical research was to map the capabilities and perceptions of undergraduate business administration students about artifi...","DOI":"10.3389/feduc.2024.1343406","language":"en","source":"Frontiers","title":"Artificial intelligence literacy in sustainable development: A learning experiment in higher education","title-short":"Frontiers | Artificial intelligence literacy in sustainable development","URL":"https://www.frontiersin.org/journals/education/articles/10.3389/feduc.2024.1343406/full","author":[{"family":"Alamäki","given":"Ari"},{"family":"Nyberg","given":"Crister"},{"family":"Kimberley","given":"Anna"},{"family":"Salonen","given":"Arto O."}],"accessed":{"date-parts":[["2025",6,7]]},"issued":{"date-parts":[["2024"]]}}},{"id":12826,"uris":["http://zotero.org/users/local/JyjMxVLY/items/HU9WSZ96"],"itemData":{"id":12826,"type":"article-journal","issue":"2","language":"id","source":"Zotero","title":"The Growth Role of Artificial Intelligence (AI) in Strategy Management in UMKM","volume":"2","author":[{"family":"Verdiana","given":"Yuni Qoriah"},{"family":"Fachir","given":"Zidane Azrulludin"}],"issued":{"date-parts":[["2023"]]}}}],"schema":"https://github.com/citation-style-language/schema/raw/master/csl-citation.json"} </w:instrText>
            </w:r>
            <w:r w:rsidRPr="008B0387">
              <w:rPr>
                <w:rFonts w:ascii="Arial" w:eastAsia="Arial" w:hAnsi="Arial" w:cs="Arial"/>
              </w:rPr>
              <w:fldChar w:fldCharType="separate"/>
            </w:r>
            <w:r w:rsidRPr="008B0387">
              <w:rPr>
                <w:rFonts w:ascii="Arial" w:hAnsi="Arial" w:cs="Arial"/>
                <w:szCs w:val="24"/>
              </w:rPr>
              <w:t>(Alamäki et al., 2024; Verdiana &amp; Fachir, 2023)</w:t>
            </w:r>
            <w:r w:rsidRPr="008B0387">
              <w:rPr>
                <w:rFonts w:ascii="Arial" w:eastAsia="Arial" w:hAnsi="Arial" w:cs="Arial"/>
              </w:rPr>
              <w:fldChar w:fldCharType="end"/>
            </w:r>
          </w:p>
        </w:tc>
      </w:tr>
      <w:tr w:rsidR="00F044DC" w:rsidRPr="008B0387" w14:paraId="2DDF3E89" w14:textId="77777777" w:rsidTr="00F044DC">
        <w:trPr>
          <w:trHeight w:val="340"/>
          <w:jc w:val="center"/>
        </w:trPr>
        <w:tc>
          <w:tcPr>
            <w:tcW w:w="1167" w:type="pct"/>
            <w:tcMar>
              <w:top w:w="0" w:type="dxa"/>
              <w:left w:w="100" w:type="dxa"/>
              <w:bottom w:w="0" w:type="dxa"/>
              <w:right w:w="100" w:type="dxa"/>
            </w:tcMar>
          </w:tcPr>
          <w:p w14:paraId="417BE354"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c>
          <w:tcPr>
            <w:tcW w:w="924" w:type="pct"/>
            <w:tcMar>
              <w:top w:w="0" w:type="dxa"/>
              <w:left w:w="100" w:type="dxa"/>
              <w:bottom w:w="0" w:type="dxa"/>
              <w:right w:w="100" w:type="dxa"/>
            </w:tcMar>
          </w:tcPr>
          <w:p w14:paraId="48CCE99A"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LAI2</w:t>
            </w:r>
          </w:p>
        </w:tc>
        <w:tc>
          <w:tcPr>
            <w:tcW w:w="1858" w:type="pct"/>
            <w:tcMar>
              <w:top w:w="0" w:type="dxa"/>
              <w:left w:w="100" w:type="dxa"/>
              <w:bottom w:w="0" w:type="dxa"/>
              <w:right w:w="100" w:type="dxa"/>
            </w:tcMar>
          </w:tcPr>
          <w:p w14:paraId="782A9BD9"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Understanding of AI usage</w:t>
            </w:r>
          </w:p>
        </w:tc>
        <w:tc>
          <w:tcPr>
            <w:tcW w:w="1051" w:type="pct"/>
            <w:tcMar>
              <w:top w:w="0" w:type="dxa"/>
              <w:left w:w="100" w:type="dxa"/>
              <w:bottom w:w="0" w:type="dxa"/>
              <w:right w:w="100" w:type="dxa"/>
            </w:tcMar>
          </w:tcPr>
          <w:p w14:paraId="15A9CB0C"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r>
      <w:tr w:rsidR="00F044DC" w:rsidRPr="008B0387" w14:paraId="31095480" w14:textId="77777777" w:rsidTr="00F044DC">
        <w:trPr>
          <w:trHeight w:val="340"/>
          <w:jc w:val="center"/>
        </w:trPr>
        <w:tc>
          <w:tcPr>
            <w:tcW w:w="1167" w:type="pct"/>
            <w:tcMar>
              <w:top w:w="0" w:type="dxa"/>
              <w:left w:w="100" w:type="dxa"/>
              <w:bottom w:w="0" w:type="dxa"/>
              <w:right w:w="100" w:type="dxa"/>
            </w:tcMar>
          </w:tcPr>
          <w:p w14:paraId="686EE9EE"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c>
          <w:tcPr>
            <w:tcW w:w="924" w:type="pct"/>
            <w:tcMar>
              <w:top w:w="0" w:type="dxa"/>
              <w:left w:w="100" w:type="dxa"/>
              <w:bottom w:w="0" w:type="dxa"/>
              <w:right w:w="100" w:type="dxa"/>
            </w:tcMar>
          </w:tcPr>
          <w:p w14:paraId="02113957"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LAI3</w:t>
            </w:r>
          </w:p>
        </w:tc>
        <w:tc>
          <w:tcPr>
            <w:tcW w:w="1858" w:type="pct"/>
            <w:tcMar>
              <w:top w:w="0" w:type="dxa"/>
              <w:left w:w="100" w:type="dxa"/>
              <w:bottom w:w="0" w:type="dxa"/>
              <w:right w:w="100" w:type="dxa"/>
            </w:tcMar>
          </w:tcPr>
          <w:p w14:paraId="69D164F7"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Readiness for AI adoption</w:t>
            </w:r>
          </w:p>
        </w:tc>
        <w:tc>
          <w:tcPr>
            <w:tcW w:w="1051" w:type="pct"/>
            <w:tcMar>
              <w:top w:w="0" w:type="dxa"/>
              <w:left w:w="100" w:type="dxa"/>
              <w:bottom w:w="0" w:type="dxa"/>
              <w:right w:w="100" w:type="dxa"/>
            </w:tcMar>
          </w:tcPr>
          <w:p w14:paraId="211B57F0"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r>
      <w:tr w:rsidR="00F044DC" w:rsidRPr="008B0387" w14:paraId="14BE0AF1" w14:textId="77777777" w:rsidTr="00F044DC">
        <w:trPr>
          <w:trHeight w:val="710"/>
          <w:jc w:val="center"/>
        </w:trPr>
        <w:tc>
          <w:tcPr>
            <w:tcW w:w="1167" w:type="pct"/>
            <w:tcMar>
              <w:top w:w="0" w:type="dxa"/>
              <w:left w:w="100" w:type="dxa"/>
              <w:bottom w:w="0" w:type="dxa"/>
              <w:right w:w="100" w:type="dxa"/>
            </w:tcMar>
          </w:tcPr>
          <w:p w14:paraId="4DFB82D3" w14:textId="77777777" w:rsidR="00C0694C" w:rsidRPr="008B0387" w:rsidRDefault="0045458C">
            <w:pPr>
              <w:tabs>
                <w:tab w:val="left" w:pos="1080"/>
              </w:tabs>
              <w:spacing w:before="240" w:after="240"/>
              <w:rPr>
                <w:rFonts w:ascii="Arial" w:eastAsia="Arial" w:hAnsi="Arial" w:cs="Arial"/>
                <w:b/>
              </w:rPr>
            </w:pPr>
            <w:r w:rsidRPr="008B0387">
              <w:rPr>
                <w:rFonts w:ascii="Arial" w:eastAsia="Arial" w:hAnsi="Arial" w:cs="Arial"/>
                <w:b/>
              </w:rPr>
              <w:t>Innovation Capability (KI)</w:t>
            </w:r>
          </w:p>
        </w:tc>
        <w:tc>
          <w:tcPr>
            <w:tcW w:w="924" w:type="pct"/>
            <w:tcMar>
              <w:top w:w="0" w:type="dxa"/>
              <w:left w:w="100" w:type="dxa"/>
              <w:bottom w:w="0" w:type="dxa"/>
              <w:right w:w="100" w:type="dxa"/>
            </w:tcMar>
          </w:tcPr>
          <w:p w14:paraId="44D6A7B4"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KI1</w:t>
            </w:r>
          </w:p>
        </w:tc>
        <w:tc>
          <w:tcPr>
            <w:tcW w:w="1858" w:type="pct"/>
            <w:tcMar>
              <w:top w:w="0" w:type="dxa"/>
              <w:left w:w="100" w:type="dxa"/>
              <w:bottom w:w="0" w:type="dxa"/>
              <w:right w:w="100" w:type="dxa"/>
            </w:tcMar>
          </w:tcPr>
          <w:p w14:paraId="79EC7011"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New products</w:t>
            </w:r>
          </w:p>
        </w:tc>
        <w:tc>
          <w:tcPr>
            <w:tcW w:w="1051" w:type="pct"/>
            <w:tcMar>
              <w:top w:w="0" w:type="dxa"/>
              <w:left w:w="100" w:type="dxa"/>
              <w:bottom w:w="0" w:type="dxa"/>
              <w:right w:w="100" w:type="dxa"/>
            </w:tcMar>
          </w:tcPr>
          <w:p w14:paraId="7E94278B" w14:textId="6CCFED1B" w:rsidR="00C0694C" w:rsidRPr="008B0387" w:rsidRDefault="008806BA">
            <w:pPr>
              <w:tabs>
                <w:tab w:val="left" w:pos="1080"/>
              </w:tabs>
              <w:spacing w:before="240" w:after="240"/>
              <w:rPr>
                <w:rFonts w:ascii="Arial" w:eastAsia="Arial" w:hAnsi="Arial" w:cs="Arial"/>
              </w:rPr>
            </w:pPr>
            <w:r w:rsidRPr="008B0387">
              <w:rPr>
                <w:rFonts w:ascii="Arial" w:eastAsia="Arial" w:hAnsi="Arial" w:cs="Arial"/>
              </w:rPr>
              <w:fldChar w:fldCharType="begin"/>
            </w:r>
            <w:r w:rsidRPr="008B0387">
              <w:rPr>
                <w:rFonts w:ascii="Arial" w:eastAsia="Arial" w:hAnsi="Arial" w:cs="Arial"/>
              </w:rPr>
              <w:instrText xml:space="preserve"> ADDIN ZOTERO_ITEM CSL_CITATION {"citationID":"jeLUHSIT","properties":{"formattedCitation":"(Busyeri et al., 2024; Dhewanto et al., 2022)","plainCitation":"(Busyeri et al., 2024; Dhewanto et al., 2022)","noteIndex":0},"citationItems":[{"id":12829,"uris":["http://zotero.org/users/local/JyjMxVLY/items/EAZQ6L42"],"itemData":{"id":12829,"type":"article-journal","abstract":"Micro, Small, and Medium Enterprises (MSMEs) in Cimahi City possess strategic potential, particularly in the food and beverage sector. Cimahi is one of the cities experiencing growth in the number of MSMEs, with a growth rate of 50.24%. However, the increase in the number of MSMEs has not been accompanied by consistent revenue growth, which has fluctuated from 2019 to 2023. Several challenges have been identified, including a lack of basic entrepreneurial knowledge among the workforce, insufficient self-reliance in entrepreneurship, and limited proficiency in the use of technology. To address these performance issues, it is crucial for MSME actors to create added value by strengthening strategic agility and innovation capability. The objective of this study is to examine the impact of strategic agility on business performance, mediated by innovation capability. The study sample consists of 106 MSMEs, selected using probability sampling with a cluster sampling technique. Descriptive analysis results categorize business performance and innovation capability as moderate, while strategic agility is categorized as high. The research findings indicate that strategic agility does not affect innovation capability, strategic agility influences business performance, innovation capability affects business performance, and innovation capability does not mediate the influence of intellectual capital on business performance.","container-title":"Dinasti International Journal of Education Management And Social Science","DOI":"10.38035/dijemss.v5i6.3238","ISSN":"2686-6331","issue":"6","language":"en","page":"2317-2330","source":"dinastipub.org","title":"The Role Of Innovation Capability In Mediating The Effect Of Strategic Agility On Business Performance Of Smes In The Food And Beverage Sector In Cimahi","volume":"5","author":[{"family":"Busyeri","given":"Azzam Tiar"},{"family":"Rofaida","given":"Rofi"},{"family":"Hadijah","given":"Hady Siti"},{"family":"Kurniawan","given":"Asep"}],"issued":{"date-parts":[["2024",8,27]]}}},{"id":12134,"uris":["http://zotero.org/users/local/JyjMxVLY/items/PAYS4PAA"],"itemData":{"id":12134,"type":"article-journal","abstract":"The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Noviyana"}],"issued":{"date-parts":[["2022"]]}}}],"schema":"https://github.com/citation-style-language/schema/raw/master/csl-citation.json"} </w:instrText>
            </w:r>
            <w:r w:rsidRPr="008B0387">
              <w:rPr>
                <w:rFonts w:ascii="Arial" w:eastAsia="Arial" w:hAnsi="Arial" w:cs="Arial"/>
              </w:rPr>
              <w:fldChar w:fldCharType="separate"/>
            </w:r>
            <w:r w:rsidRPr="008B0387">
              <w:rPr>
                <w:rFonts w:ascii="Arial" w:hAnsi="Arial" w:cs="Arial"/>
              </w:rPr>
              <w:t>(Busyeri et al., 2024; Dhewanto et al., 2022)</w:t>
            </w:r>
            <w:r w:rsidRPr="008B0387">
              <w:rPr>
                <w:rFonts w:ascii="Arial" w:eastAsia="Arial" w:hAnsi="Arial" w:cs="Arial"/>
              </w:rPr>
              <w:fldChar w:fldCharType="end"/>
            </w:r>
          </w:p>
        </w:tc>
      </w:tr>
      <w:tr w:rsidR="00F044DC" w:rsidRPr="008B0387" w14:paraId="4A3F2D0E" w14:textId="77777777" w:rsidTr="00F044DC">
        <w:trPr>
          <w:trHeight w:val="340"/>
          <w:jc w:val="center"/>
        </w:trPr>
        <w:tc>
          <w:tcPr>
            <w:tcW w:w="1167" w:type="pct"/>
            <w:tcMar>
              <w:top w:w="0" w:type="dxa"/>
              <w:left w:w="100" w:type="dxa"/>
              <w:bottom w:w="0" w:type="dxa"/>
              <w:right w:w="100" w:type="dxa"/>
            </w:tcMar>
          </w:tcPr>
          <w:p w14:paraId="59B67460"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lastRenderedPageBreak/>
              <w:t xml:space="preserve"> </w:t>
            </w:r>
          </w:p>
        </w:tc>
        <w:tc>
          <w:tcPr>
            <w:tcW w:w="924" w:type="pct"/>
            <w:tcMar>
              <w:top w:w="0" w:type="dxa"/>
              <w:left w:w="100" w:type="dxa"/>
              <w:bottom w:w="0" w:type="dxa"/>
              <w:right w:w="100" w:type="dxa"/>
            </w:tcMar>
          </w:tcPr>
          <w:p w14:paraId="479B62E3"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KI2</w:t>
            </w:r>
          </w:p>
        </w:tc>
        <w:tc>
          <w:tcPr>
            <w:tcW w:w="1858" w:type="pct"/>
            <w:tcMar>
              <w:top w:w="0" w:type="dxa"/>
              <w:left w:w="100" w:type="dxa"/>
              <w:bottom w:w="0" w:type="dxa"/>
              <w:right w:w="100" w:type="dxa"/>
            </w:tcMar>
          </w:tcPr>
          <w:p w14:paraId="2F2D7A67"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New processes</w:t>
            </w:r>
          </w:p>
        </w:tc>
        <w:tc>
          <w:tcPr>
            <w:tcW w:w="1051" w:type="pct"/>
            <w:tcMar>
              <w:top w:w="0" w:type="dxa"/>
              <w:left w:w="100" w:type="dxa"/>
              <w:bottom w:w="0" w:type="dxa"/>
              <w:right w:w="100" w:type="dxa"/>
            </w:tcMar>
          </w:tcPr>
          <w:p w14:paraId="7EBD9662"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r>
      <w:tr w:rsidR="00F044DC" w:rsidRPr="008B0387" w14:paraId="2222DF06" w14:textId="77777777" w:rsidTr="00F044DC">
        <w:trPr>
          <w:trHeight w:val="340"/>
          <w:jc w:val="center"/>
        </w:trPr>
        <w:tc>
          <w:tcPr>
            <w:tcW w:w="1167" w:type="pct"/>
            <w:tcMar>
              <w:top w:w="0" w:type="dxa"/>
              <w:left w:w="100" w:type="dxa"/>
              <w:bottom w:w="0" w:type="dxa"/>
              <w:right w:w="100" w:type="dxa"/>
            </w:tcMar>
          </w:tcPr>
          <w:p w14:paraId="74B04AE0"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c>
          <w:tcPr>
            <w:tcW w:w="924" w:type="pct"/>
            <w:tcMar>
              <w:top w:w="0" w:type="dxa"/>
              <w:left w:w="100" w:type="dxa"/>
              <w:bottom w:w="0" w:type="dxa"/>
              <w:right w:w="100" w:type="dxa"/>
            </w:tcMar>
          </w:tcPr>
          <w:p w14:paraId="2A355695"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KI3</w:t>
            </w:r>
          </w:p>
        </w:tc>
        <w:tc>
          <w:tcPr>
            <w:tcW w:w="1858" w:type="pct"/>
            <w:tcMar>
              <w:top w:w="0" w:type="dxa"/>
              <w:left w:w="100" w:type="dxa"/>
              <w:bottom w:w="0" w:type="dxa"/>
              <w:right w:w="100" w:type="dxa"/>
            </w:tcMar>
          </w:tcPr>
          <w:p w14:paraId="5B47587C"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Creative problem-solving</w:t>
            </w:r>
          </w:p>
        </w:tc>
        <w:tc>
          <w:tcPr>
            <w:tcW w:w="1051" w:type="pct"/>
            <w:tcMar>
              <w:top w:w="0" w:type="dxa"/>
              <w:left w:w="100" w:type="dxa"/>
              <w:bottom w:w="0" w:type="dxa"/>
              <w:right w:w="100" w:type="dxa"/>
            </w:tcMar>
          </w:tcPr>
          <w:p w14:paraId="5B1A7C64"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r>
      <w:tr w:rsidR="00F044DC" w:rsidRPr="008B0387" w14:paraId="5931F0BE" w14:textId="77777777" w:rsidTr="00F044DC">
        <w:trPr>
          <w:trHeight w:val="340"/>
          <w:jc w:val="center"/>
        </w:trPr>
        <w:tc>
          <w:tcPr>
            <w:tcW w:w="1167" w:type="pct"/>
            <w:tcMar>
              <w:top w:w="0" w:type="dxa"/>
              <w:left w:w="100" w:type="dxa"/>
              <w:bottom w:w="0" w:type="dxa"/>
              <w:right w:w="100" w:type="dxa"/>
            </w:tcMar>
          </w:tcPr>
          <w:p w14:paraId="2ED2A2BA"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c>
          <w:tcPr>
            <w:tcW w:w="924" w:type="pct"/>
            <w:tcMar>
              <w:top w:w="0" w:type="dxa"/>
              <w:left w:w="100" w:type="dxa"/>
              <w:bottom w:w="0" w:type="dxa"/>
              <w:right w:w="100" w:type="dxa"/>
            </w:tcMar>
          </w:tcPr>
          <w:p w14:paraId="61B9803A"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KI4</w:t>
            </w:r>
          </w:p>
        </w:tc>
        <w:tc>
          <w:tcPr>
            <w:tcW w:w="1858" w:type="pct"/>
            <w:tcMar>
              <w:top w:w="0" w:type="dxa"/>
              <w:left w:w="100" w:type="dxa"/>
              <w:bottom w:w="0" w:type="dxa"/>
              <w:right w:w="100" w:type="dxa"/>
            </w:tcMar>
          </w:tcPr>
          <w:p w14:paraId="247915ED"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Market adaptation</w:t>
            </w:r>
          </w:p>
        </w:tc>
        <w:tc>
          <w:tcPr>
            <w:tcW w:w="1051" w:type="pct"/>
            <w:tcMar>
              <w:top w:w="0" w:type="dxa"/>
              <w:left w:w="100" w:type="dxa"/>
              <w:bottom w:w="0" w:type="dxa"/>
              <w:right w:w="100" w:type="dxa"/>
            </w:tcMar>
          </w:tcPr>
          <w:p w14:paraId="544AEB4E"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r>
      <w:tr w:rsidR="00F044DC" w:rsidRPr="008B0387" w14:paraId="6E4918FE" w14:textId="77777777" w:rsidTr="00F044DC">
        <w:trPr>
          <w:trHeight w:val="886"/>
          <w:jc w:val="center"/>
        </w:trPr>
        <w:tc>
          <w:tcPr>
            <w:tcW w:w="1167" w:type="pct"/>
            <w:tcMar>
              <w:top w:w="0" w:type="dxa"/>
              <w:left w:w="100" w:type="dxa"/>
              <w:bottom w:w="0" w:type="dxa"/>
              <w:right w:w="100" w:type="dxa"/>
            </w:tcMar>
          </w:tcPr>
          <w:p w14:paraId="6BED87F5" w14:textId="77777777" w:rsidR="00C0694C" w:rsidRPr="008B0387" w:rsidRDefault="0045458C">
            <w:pPr>
              <w:tabs>
                <w:tab w:val="left" w:pos="1080"/>
              </w:tabs>
              <w:spacing w:before="240" w:after="240"/>
              <w:rPr>
                <w:rFonts w:ascii="Arial" w:eastAsia="Arial" w:hAnsi="Arial" w:cs="Arial"/>
                <w:b/>
              </w:rPr>
            </w:pPr>
            <w:r w:rsidRPr="008B0387">
              <w:rPr>
                <w:rFonts w:ascii="Arial" w:eastAsia="Arial" w:hAnsi="Arial" w:cs="Arial"/>
                <w:b/>
              </w:rPr>
              <w:t>Business Sustainability (KB)</w:t>
            </w:r>
          </w:p>
        </w:tc>
        <w:tc>
          <w:tcPr>
            <w:tcW w:w="924" w:type="pct"/>
            <w:tcMar>
              <w:top w:w="0" w:type="dxa"/>
              <w:left w:w="100" w:type="dxa"/>
              <w:bottom w:w="0" w:type="dxa"/>
              <w:right w:w="100" w:type="dxa"/>
            </w:tcMar>
          </w:tcPr>
          <w:p w14:paraId="1285A12A"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KB1</w:t>
            </w:r>
          </w:p>
        </w:tc>
        <w:tc>
          <w:tcPr>
            <w:tcW w:w="1858" w:type="pct"/>
            <w:tcMar>
              <w:top w:w="0" w:type="dxa"/>
              <w:left w:w="100" w:type="dxa"/>
              <w:bottom w:w="0" w:type="dxa"/>
              <w:right w:w="100" w:type="dxa"/>
            </w:tcMar>
          </w:tcPr>
          <w:p w14:paraId="2B84961C"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Financial sustainability</w:t>
            </w:r>
          </w:p>
        </w:tc>
        <w:tc>
          <w:tcPr>
            <w:tcW w:w="1051" w:type="pct"/>
            <w:tcMar>
              <w:top w:w="0" w:type="dxa"/>
              <w:left w:w="100" w:type="dxa"/>
              <w:bottom w:w="0" w:type="dxa"/>
              <w:right w:w="100" w:type="dxa"/>
            </w:tcMar>
          </w:tcPr>
          <w:p w14:paraId="187F7F73" w14:textId="3ACC925F" w:rsidR="00C0694C" w:rsidRPr="008B0387" w:rsidRDefault="008806BA">
            <w:pPr>
              <w:tabs>
                <w:tab w:val="left" w:pos="1080"/>
              </w:tabs>
              <w:spacing w:before="240" w:after="240"/>
              <w:rPr>
                <w:rFonts w:ascii="Arial" w:eastAsia="Arial" w:hAnsi="Arial" w:cs="Arial"/>
              </w:rPr>
            </w:pPr>
            <w:r w:rsidRPr="008B0387">
              <w:rPr>
                <w:rFonts w:ascii="Arial" w:eastAsia="Arial" w:hAnsi="Arial" w:cs="Arial"/>
              </w:rPr>
              <w:fldChar w:fldCharType="begin"/>
            </w:r>
            <w:r w:rsidR="00BA5951" w:rsidRPr="008B0387">
              <w:rPr>
                <w:rFonts w:ascii="Arial" w:eastAsia="Arial" w:hAnsi="Arial" w:cs="Arial"/>
              </w:rPr>
              <w:instrText xml:space="preserve"> ADDIN ZOTERO_ITEM CSL_CITATION {"citationID":"XgeNId0T","properties":{"formattedCitation":"(Noerchoidah &amp; Suhardiyah, 2025; Qing &amp; Jin, 2023a)","plainCitation":"(Noerchoidah &amp; Suhardiyah, 2025; Qing &amp; Jin, 2023a)","noteIndex":0},"citationItems":[{"id":12137,"uris":["http://zotero.org/users/local/JyjMxVLY/items/WVPZB6LL"],"itemData":{"id":12137,"type":"article-journal","container-title":"International Journal of Human Capital and Information Technology Professionals","issue":"1","language":"en","source":"Zotero","title":"Optimization of Digital Literacy Knowledge Sharing and Human Capital on Digital Economy for MSMEs Business Sustainability","volume":"16","author":[{"family":"Noerchoidah","given":"Noerchoidah"},{"family":"Suhardiyah","given":"Martha"}],"issued":{"date-parts":[["2025"]]}}},{"id":13039,"uris":["http://zotero.org/users/local/JyjMxVLY/items/QFRKV454"],"itemData":{"id":13039,"type":"article","abstract":"Recently, environmental, social, and governance (ESG) has become an important factor in companies' sustainable development. Artificial intelligence (AI) is also a core digital technology that can create innovative, sustainable, comprehensive, and resilient environments. ESG- and AI-based digital transformation is a relevant strategy for managing business value and sustainability in corporate green management operations. Therefore, this study examines how corporate sustainability relates to ESG- and AI-based digital transformation. Furthermore, it confirms the moderating effect of green innovation on the process of increasing sustainability. To achieve the purpose of this study, 359 data points collected for hypothesis testing were used for statistical analysis and for mobile business platform users. The following conclusions are drawn. (1) ESG activities have become key variables that enable sustainable corporate growth. Companies can implement eco-friendly operating processes through ESG activities. (2) This study verifies the relationship between AI-based digital transformation and corporate sustainability and confirms that digital transformation positively affects corporate sustainability. In addition, societal problems can be identified and environmental accidents prevented through technological innovation. (3) This study does not verify the positive moderating effect of green innovation; however, it emphasizes its necessity and importance. Although green innovation improves performance only in the long term, it is a key factor for companies pursuing sustainable growth. This study reveals that ESG- and AI-based digital transformation is an important tool for promoting corporate sustainability, broadening the literature in related fields and providing insights for corporate management and government policymakers to advance corporate sustainability.","DOI":"10.48550/arXiv.2311.18351","note":"arXiv:2311.18351 [econ]","number":"arXiv:2311.18351","publisher":"arXiv","source":"arXiv.org","title":"Does ESG and Digital Transformation affects Corporate Sustainability? The Moderating role of Green Innovation","title-short":"Does ESG and Digital Transformation affects Corporate Sustainability?","URL":"http://arxiv.org/abs/2311.18351","author":[{"family":"Qing","given":"Chenglin"},{"family":"Jin","given":"Shanyue"}],"accessed":{"date-parts":[["2025",6,10]]},"issued":{"date-parts":[["2023",11,30]]}}}],"schema":"https://github.com/citation-style-language/schema/raw/master/csl-citation.json"} </w:instrText>
            </w:r>
            <w:r w:rsidRPr="008B0387">
              <w:rPr>
                <w:rFonts w:ascii="Arial" w:eastAsia="Arial" w:hAnsi="Arial" w:cs="Arial"/>
              </w:rPr>
              <w:fldChar w:fldCharType="separate"/>
            </w:r>
            <w:r w:rsidR="00BA5951" w:rsidRPr="008B0387">
              <w:rPr>
                <w:rFonts w:ascii="Arial" w:hAnsi="Arial" w:cs="Arial"/>
              </w:rPr>
              <w:t>(Noerchoidah &amp; Suhardiyah, 2025; Qing &amp; Jin, 2023)</w:t>
            </w:r>
            <w:r w:rsidRPr="008B0387">
              <w:rPr>
                <w:rFonts w:ascii="Arial" w:eastAsia="Arial" w:hAnsi="Arial" w:cs="Arial"/>
              </w:rPr>
              <w:fldChar w:fldCharType="end"/>
            </w:r>
          </w:p>
        </w:tc>
      </w:tr>
      <w:tr w:rsidR="00F044DC" w:rsidRPr="008B0387" w14:paraId="7D8B1CC2" w14:textId="77777777" w:rsidTr="00F044DC">
        <w:trPr>
          <w:trHeight w:val="340"/>
          <w:jc w:val="center"/>
        </w:trPr>
        <w:tc>
          <w:tcPr>
            <w:tcW w:w="1167" w:type="pct"/>
            <w:tcMar>
              <w:top w:w="0" w:type="dxa"/>
              <w:left w:w="100" w:type="dxa"/>
              <w:bottom w:w="0" w:type="dxa"/>
              <w:right w:w="100" w:type="dxa"/>
            </w:tcMar>
          </w:tcPr>
          <w:p w14:paraId="0550CDA6"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c>
          <w:tcPr>
            <w:tcW w:w="924" w:type="pct"/>
            <w:tcMar>
              <w:top w:w="0" w:type="dxa"/>
              <w:left w:w="100" w:type="dxa"/>
              <w:bottom w:w="0" w:type="dxa"/>
              <w:right w:w="100" w:type="dxa"/>
            </w:tcMar>
          </w:tcPr>
          <w:p w14:paraId="07EE1913"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KB2</w:t>
            </w:r>
          </w:p>
        </w:tc>
        <w:tc>
          <w:tcPr>
            <w:tcW w:w="1858" w:type="pct"/>
            <w:tcMar>
              <w:top w:w="0" w:type="dxa"/>
              <w:left w:w="100" w:type="dxa"/>
              <w:bottom w:w="0" w:type="dxa"/>
              <w:right w:w="100" w:type="dxa"/>
            </w:tcMar>
          </w:tcPr>
          <w:p w14:paraId="5444911E"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Social responsibility</w:t>
            </w:r>
          </w:p>
        </w:tc>
        <w:tc>
          <w:tcPr>
            <w:tcW w:w="1051" w:type="pct"/>
            <w:tcMar>
              <w:top w:w="0" w:type="dxa"/>
              <w:left w:w="100" w:type="dxa"/>
              <w:bottom w:w="0" w:type="dxa"/>
              <w:right w:w="100" w:type="dxa"/>
            </w:tcMar>
          </w:tcPr>
          <w:p w14:paraId="658013F9"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r>
      <w:tr w:rsidR="00F044DC" w:rsidRPr="008B0387" w14:paraId="0DE11541" w14:textId="77777777" w:rsidTr="00F044DC">
        <w:trPr>
          <w:trHeight w:val="360"/>
          <w:jc w:val="center"/>
        </w:trPr>
        <w:tc>
          <w:tcPr>
            <w:tcW w:w="1167" w:type="pct"/>
            <w:tcMar>
              <w:top w:w="0" w:type="dxa"/>
              <w:left w:w="100" w:type="dxa"/>
              <w:bottom w:w="0" w:type="dxa"/>
              <w:right w:w="100" w:type="dxa"/>
            </w:tcMar>
          </w:tcPr>
          <w:p w14:paraId="5CDB2E7E"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c>
          <w:tcPr>
            <w:tcW w:w="924" w:type="pct"/>
            <w:tcMar>
              <w:top w:w="0" w:type="dxa"/>
              <w:left w:w="100" w:type="dxa"/>
              <w:bottom w:w="0" w:type="dxa"/>
              <w:right w:w="100" w:type="dxa"/>
            </w:tcMar>
          </w:tcPr>
          <w:p w14:paraId="5F9386E4"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KB3</w:t>
            </w:r>
          </w:p>
        </w:tc>
        <w:tc>
          <w:tcPr>
            <w:tcW w:w="1858" w:type="pct"/>
            <w:tcMar>
              <w:top w:w="0" w:type="dxa"/>
              <w:left w:w="100" w:type="dxa"/>
              <w:bottom w:w="0" w:type="dxa"/>
              <w:right w:w="100" w:type="dxa"/>
            </w:tcMar>
          </w:tcPr>
          <w:p w14:paraId="39AAC0FB"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Process efficiency and innovation</w:t>
            </w:r>
          </w:p>
        </w:tc>
        <w:tc>
          <w:tcPr>
            <w:tcW w:w="1051" w:type="pct"/>
            <w:tcMar>
              <w:top w:w="0" w:type="dxa"/>
              <w:left w:w="100" w:type="dxa"/>
              <w:bottom w:w="0" w:type="dxa"/>
              <w:right w:w="100" w:type="dxa"/>
            </w:tcMar>
          </w:tcPr>
          <w:p w14:paraId="66BA2317"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r>
    </w:tbl>
    <w:p w14:paraId="27C37649" w14:textId="77777777" w:rsidR="00C0694C" w:rsidRPr="008B0387" w:rsidRDefault="00C0694C">
      <w:pPr>
        <w:jc w:val="both"/>
        <w:rPr>
          <w:rFonts w:ascii="Arial" w:eastAsia="Arial" w:hAnsi="Arial" w:cs="Arial"/>
        </w:rPr>
      </w:pPr>
    </w:p>
    <w:p w14:paraId="25C9733B" w14:textId="77777777" w:rsidR="00A57BFC" w:rsidRPr="008B0387" w:rsidRDefault="00A57BFC">
      <w:pPr>
        <w:keepNext/>
        <w:jc w:val="both"/>
        <w:rPr>
          <w:rFonts w:ascii="Arial" w:eastAsia="Arial" w:hAnsi="Arial" w:cs="Arial"/>
          <w:b/>
          <w:smallCaps/>
          <w:sz w:val="22"/>
          <w:szCs w:val="22"/>
        </w:rPr>
        <w:sectPr w:rsidR="00A57BFC" w:rsidRPr="008B0387" w:rsidSect="00CF5AD7">
          <w:type w:val="continuous"/>
          <w:pgSz w:w="12240" w:h="15840"/>
          <w:pgMar w:top="1440" w:right="1440" w:bottom="1440" w:left="1440" w:header="720" w:footer="720" w:gutter="0"/>
          <w:cols w:space="720"/>
          <w:docGrid w:linePitch="272"/>
        </w:sectPr>
      </w:pPr>
    </w:p>
    <w:p w14:paraId="04CA0B95" w14:textId="0DAE09B9" w:rsidR="00D77FF0" w:rsidRPr="008B0387" w:rsidRDefault="00F044DC">
      <w:pPr>
        <w:jc w:val="both"/>
        <w:rPr>
          <w:rFonts w:ascii="Arial" w:eastAsia="Arial" w:hAnsi="Arial" w:cs="Arial"/>
          <w:b/>
          <w:bCs/>
        </w:rPr>
      </w:pPr>
      <w:r w:rsidRPr="008B0387">
        <w:rPr>
          <w:rFonts w:ascii="Arial" w:eastAsia="Arial" w:hAnsi="Arial" w:cs="Arial"/>
          <w:b/>
          <w:bCs/>
        </w:rPr>
        <w:t>3.4 Pop</w:t>
      </w:r>
      <w:r w:rsidR="00D77FF0" w:rsidRPr="008B0387">
        <w:rPr>
          <w:rFonts w:ascii="Arial" w:eastAsia="Arial" w:hAnsi="Arial" w:cs="Arial"/>
          <w:b/>
          <w:bCs/>
        </w:rPr>
        <w:t>ulation and Sampling Technique</w:t>
      </w:r>
    </w:p>
    <w:p w14:paraId="68B7C2FD" w14:textId="77777777" w:rsidR="0099160C" w:rsidRPr="008B0387" w:rsidRDefault="0099160C">
      <w:pPr>
        <w:jc w:val="both"/>
        <w:rPr>
          <w:rFonts w:ascii="Arial" w:eastAsia="Arial" w:hAnsi="Arial" w:cs="Arial"/>
          <w:b/>
          <w:bCs/>
        </w:rPr>
      </w:pPr>
    </w:p>
    <w:p w14:paraId="396F7C3D" w14:textId="1A5B926F" w:rsidR="00C0694C" w:rsidRPr="008B0387" w:rsidRDefault="0045458C">
      <w:pPr>
        <w:jc w:val="both"/>
        <w:rPr>
          <w:rFonts w:ascii="Arial" w:eastAsia="Arial" w:hAnsi="Arial" w:cs="Arial"/>
        </w:rPr>
      </w:pPr>
      <w:r w:rsidRPr="008B0387">
        <w:rPr>
          <w:rFonts w:ascii="Arial" w:eastAsia="Arial" w:hAnsi="Arial" w:cs="Arial"/>
        </w:rPr>
        <w:t>The target population consists of MSME owners or managers operating in Surabaya and Malang who have incorporated digital technology into their business activities.</w:t>
      </w:r>
      <w:r w:rsidR="00057807" w:rsidRPr="008B0387">
        <w:rPr>
          <w:rFonts w:ascii="Arial" w:eastAsia="Arial" w:hAnsi="Arial" w:cs="Arial"/>
        </w:rPr>
        <w:t xml:space="preserve"> </w:t>
      </w:r>
      <w:r w:rsidR="00DD1298" w:rsidRPr="008B0387">
        <w:rPr>
          <w:rFonts w:ascii="Arial" w:eastAsia="Arial" w:hAnsi="Arial" w:cs="Arial"/>
        </w:rPr>
        <w:t>The purposive</w:t>
      </w:r>
      <w:r w:rsidRPr="008B0387">
        <w:rPr>
          <w:rFonts w:ascii="Arial" w:eastAsia="Arial" w:hAnsi="Arial" w:cs="Arial"/>
        </w:rPr>
        <w:t xml:space="preserve"> sampling technique was used based on </w:t>
      </w:r>
      <w:r w:rsidR="00DD1298" w:rsidRPr="008B0387">
        <w:rPr>
          <w:rFonts w:ascii="Arial" w:eastAsia="Arial" w:hAnsi="Arial" w:cs="Arial"/>
        </w:rPr>
        <w:t>several</w:t>
      </w:r>
      <w:r w:rsidRPr="008B0387">
        <w:rPr>
          <w:rFonts w:ascii="Arial" w:eastAsia="Arial" w:hAnsi="Arial" w:cs="Arial"/>
        </w:rPr>
        <w:t xml:space="preserve"> inclusion criteria, as follows:</w:t>
      </w:r>
    </w:p>
    <w:p w14:paraId="04FE08A8" w14:textId="77777777" w:rsidR="00C0694C" w:rsidRPr="008B0387" w:rsidRDefault="0045458C">
      <w:pPr>
        <w:numPr>
          <w:ilvl w:val="0"/>
          <w:numId w:val="6"/>
        </w:numPr>
        <w:jc w:val="both"/>
        <w:rPr>
          <w:rFonts w:ascii="Arial" w:eastAsia="Arial" w:hAnsi="Arial" w:cs="Arial"/>
        </w:rPr>
      </w:pPr>
      <w:r w:rsidRPr="008B0387">
        <w:rPr>
          <w:rFonts w:ascii="Arial" w:eastAsia="Arial" w:hAnsi="Arial" w:cs="Arial"/>
        </w:rPr>
        <w:t>MSMEs have been in operation for at least two years.</w:t>
      </w:r>
    </w:p>
    <w:p w14:paraId="209EB600" w14:textId="77777777" w:rsidR="00C0694C" w:rsidRPr="008B0387" w:rsidRDefault="0045458C">
      <w:pPr>
        <w:numPr>
          <w:ilvl w:val="0"/>
          <w:numId w:val="6"/>
        </w:numPr>
        <w:jc w:val="both"/>
        <w:rPr>
          <w:rFonts w:ascii="Arial" w:eastAsia="Arial" w:hAnsi="Arial" w:cs="Arial"/>
        </w:rPr>
      </w:pPr>
      <w:r w:rsidRPr="008B0387">
        <w:rPr>
          <w:rFonts w:ascii="Arial" w:eastAsia="Arial" w:hAnsi="Arial" w:cs="Arial"/>
        </w:rPr>
        <w:t>They actively utilize a variety of digital technologies, including e-commerce platforms, social media, and digital payment services.</w:t>
      </w:r>
    </w:p>
    <w:p w14:paraId="03B8F4D9" w14:textId="77777777" w:rsidR="00C0694C" w:rsidRPr="008B0387" w:rsidRDefault="0045458C">
      <w:pPr>
        <w:numPr>
          <w:ilvl w:val="0"/>
          <w:numId w:val="6"/>
        </w:numPr>
        <w:jc w:val="both"/>
        <w:rPr>
          <w:rFonts w:ascii="Arial" w:eastAsia="Arial" w:hAnsi="Arial" w:cs="Arial"/>
        </w:rPr>
      </w:pPr>
      <w:r w:rsidRPr="008B0387">
        <w:rPr>
          <w:rFonts w:ascii="Arial" w:eastAsia="Arial" w:hAnsi="Arial" w:cs="Arial"/>
        </w:rPr>
        <w:t xml:space="preserve">They have adopted at least one AI-based technology (e.g., chatbots, recommendation systems, automation tools). </w:t>
      </w:r>
    </w:p>
    <w:p w14:paraId="6995C9F3" w14:textId="77777777" w:rsidR="00C0694C" w:rsidRPr="008B0387" w:rsidRDefault="0045458C">
      <w:pPr>
        <w:numPr>
          <w:ilvl w:val="0"/>
          <w:numId w:val="6"/>
        </w:numPr>
        <w:jc w:val="both"/>
        <w:rPr>
          <w:rFonts w:ascii="Arial" w:eastAsia="Arial" w:hAnsi="Arial" w:cs="Arial"/>
        </w:rPr>
      </w:pPr>
      <w:r w:rsidRPr="008B0387">
        <w:rPr>
          <w:rFonts w:ascii="Arial" w:eastAsia="Arial" w:hAnsi="Arial" w:cs="Arial"/>
        </w:rPr>
        <w:t>Respondents hold a decision-making position within the business.</w:t>
      </w:r>
    </w:p>
    <w:p w14:paraId="1B4C7F78" w14:textId="24A47DFE" w:rsidR="00C0694C" w:rsidRPr="008B0387" w:rsidRDefault="0045458C">
      <w:pPr>
        <w:jc w:val="both"/>
        <w:rPr>
          <w:rFonts w:ascii="Arial" w:eastAsia="Arial" w:hAnsi="Arial" w:cs="Arial"/>
        </w:rPr>
      </w:pPr>
      <w:r w:rsidRPr="008B0387">
        <w:rPr>
          <w:rFonts w:ascii="Arial" w:eastAsia="Arial" w:hAnsi="Arial" w:cs="Arial"/>
        </w:rPr>
        <w:t xml:space="preserve">The sample size was determined by referring to </w:t>
      </w:r>
      <w:r w:rsidR="008806B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{"citationID":"As4yGvGk","properties":{"formattedCitation":"(Hair et al., 2021)","plainCitation":"(Hair et al., 2021)","dontUpdate":true,"noteIndex":0},"citationItems":[{"id":13494,"uris":["http://zotero.org/users/local/JyjMxVLY/items/Z7F5IENE"],"itemData":{"id":13494,"type":"book","collection-title":"Classroom Companion: Business","event-place":"Cham","ISBN":"978-3-030-80518-0","language":"en","license":"https://creativecommons.org/licenses/by/4.0","note":"DOI: 10.1007/978-3-030-80519-7","publisher":"Springer International Publishing","publisher-place":"Cham","source":"DOI.org (Crossref)","title":"Partial Least Squares Structural Equation Modeling (PLS-SEM) Using R: A Workbook","title-short":"Partial Least Squares Structural Equation Modeling (PLS-SEM) Using R","URL":"https://link.springer.com/10.1007/978-3-030-80519-7","author":[{"family":"Hair","given":"Joseph F."},{"family":"Hult","given":"G. Tomas M."},{"family":"Ringle","given":"Christian M."},{"family":"Sarstedt","given":"Marko"},{"family":"Danks","given":"Nicholas P."},{"family":"Ray","given":"Soumya"}],"accessed":{"date-parts":[["2025",8,8]]},"issued":{"date-parts":[["2021"]]}}}],"schema":"https://github.com/citation-style-language/schema/raw/master/csl-citation.json"} </w:instrText>
      </w:r>
      <w:r w:rsidR="008806BA" w:rsidRPr="008B0387">
        <w:rPr>
          <w:rFonts w:ascii="Arial" w:eastAsia="Arial" w:hAnsi="Arial" w:cs="Arial"/>
        </w:rPr>
        <w:fldChar w:fldCharType="separate"/>
      </w:r>
      <w:r w:rsidR="008806BA" w:rsidRPr="008B0387">
        <w:rPr>
          <w:rFonts w:ascii="Arial" w:hAnsi="Arial" w:cs="Arial"/>
        </w:rPr>
        <w:t>Hair et al. (2021)</w:t>
      </w:r>
      <w:r w:rsidR="008806BA" w:rsidRPr="008B0387">
        <w:rPr>
          <w:rFonts w:ascii="Arial" w:eastAsia="Arial" w:hAnsi="Arial" w:cs="Arial"/>
        </w:rPr>
        <w:fldChar w:fldCharType="end"/>
      </w:r>
      <w:r w:rsidRPr="008B0387">
        <w:rPr>
          <w:rFonts w:ascii="Arial" w:eastAsia="Arial" w:hAnsi="Arial" w:cs="Arial"/>
        </w:rPr>
        <w:t>, who recommend a minimum of 100-120 respondents for Partial Least Squares Structural Equation Modeling (PLS-SEM) with a model of low to medium complexity. Therefore, this study utilized a sample of 120 respondents to ensure adequate statistical power.</w:t>
      </w:r>
    </w:p>
    <w:p w14:paraId="60C2D6CA" w14:textId="77777777" w:rsidR="00C0694C" w:rsidRPr="008B0387" w:rsidRDefault="00C0694C">
      <w:pPr>
        <w:jc w:val="both"/>
        <w:rPr>
          <w:rFonts w:ascii="Arial" w:eastAsia="Arial" w:hAnsi="Arial" w:cs="Arial"/>
        </w:rPr>
      </w:pPr>
    </w:p>
    <w:p w14:paraId="350CB6F4" w14:textId="42DE4947" w:rsidR="00D77FF0" w:rsidRPr="008B0387" w:rsidRDefault="00D77FF0">
      <w:pPr>
        <w:jc w:val="both"/>
        <w:rPr>
          <w:rFonts w:ascii="Arial" w:eastAsia="Arial" w:hAnsi="Arial" w:cs="Arial"/>
          <w:b/>
          <w:bCs/>
        </w:rPr>
      </w:pPr>
      <w:r w:rsidRPr="008B0387">
        <w:rPr>
          <w:rFonts w:ascii="Arial" w:eastAsia="Arial" w:hAnsi="Arial" w:cs="Arial"/>
          <w:b/>
          <w:bCs/>
        </w:rPr>
        <w:t>3.5 Data Sources and Collection Method</w:t>
      </w:r>
    </w:p>
    <w:p w14:paraId="64AE137D" w14:textId="77777777" w:rsidR="00D77FF0" w:rsidRPr="008B0387" w:rsidRDefault="00D77FF0">
      <w:pPr>
        <w:jc w:val="both"/>
        <w:rPr>
          <w:rFonts w:ascii="Arial" w:eastAsia="Arial" w:hAnsi="Arial" w:cs="Arial"/>
          <w:b/>
          <w:bCs/>
        </w:rPr>
      </w:pPr>
    </w:p>
    <w:p w14:paraId="5CA4D61E" w14:textId="219A3C6C" w:rsidR="00C0694C" w:rsidRPr="008B0387" w:rsidRDefault="0045458C">
      <w:pPr>
        <w:jc w:val="both"/>
        <w:rPr>
          <w:rFonts w:ascii="Arial" w:eastAsia="Arial" w:hAnsi="Arial" w:cs="Arial"/>
        </w:rPr>
      </w:pPr>
      <w:r w:rsidRPr="008B0387">
        <w:rPr>
          <w:rFonts w:ascii="Arial" w:eastAsia="Arial" w:hAnsi="Arial" w:cs="Arial"/>
        </w:rPr>
        <w:t>This study combines primary and secondary data:</w:t>
      </w:r>
    </w:p>
    <w:p w14:paraId="3AB722BA" w14:textId="1CDD0CE2" w:rsidR="00C0694C" w:rsidRPr="008B0387" w:rsidRDefault="0045458C">
      <w:pPr>
        <w:numPr>
          <w:ilvl w:val="0"/>
          <w:numId w:val="9"/>
        </w:numPr>
        <w:jc w:val="both"/>
        <w:rPr>
          <w:rFonts w:ascii="Arial" w:eastAsia="Arial" w:hAnsi="Arial" w:cs="Arial"/>
        </w:rPr>
      </w:pPr>
      <w:r w:rsidRPr="008B0387">
        <w:rPr>
          <w:rFonts w:ascii="Arial" w:eastAsia="Arial" w:hAnsi="Arial" w:cs="Arial"/>
        </w:rPr>
        <w:t xml:space="preserve">Primary Data: Collected through structured questionnaires distributed </w:t>
      </w:r>
      <w:r w:rsidRPr="008B0387">
        <w:rPr>
          <w:rFonts w:ascii="Arial" w:eastAsia="Arial" w:hAnsi="Arial" w:cs="Arial"/>
        </w:rPr>
        <w:t>online and offline. The research tools were designed based on a conceptual framework and verified through expert review.</w:t>
      </w:r>
    </w:p>
    <w:p w14:paraId="1EBC0DA4" w14:textId="0732F9A8" w:rsidR="00C0694C" w:rsidRPr="008B0387" w:rsidRDefault="0045458C">
      <w:pPr>
        <w:numPr>
          <w:ilvl w:val="0"/>
          <w:numId w:val="9"/>
        </w:numPr>
        <w:jc w:val="both"/>
        <w:rPr>
          <w:rFonts w:ascii="Arial" w:eastAsia="Arial" w:hAnsi="Arial" w:cs="Arial"/>
        </w:rPr>
      </w:pPr>
      <w:r w:rsidRPr="008B0387">
        <w:rPr>
          <w:rFonts w:ascii="Arial" w:eastAsia="Arial" w:hAnsi="Arial" w:cs="Arial"/>
        </w:rPr>
        <w:t xml:space="preserve">Secondary Data: Obtained from authoritative sources, including the Central Statistics Agency (BPS), the Ministry of Cooperatives and Small and Medium Enterprises, and international </w:t>
      </w:r>
      <w:r w:rsidR="00DD1298" w:rsidRPr="008B0387">
        <w:rPr>
          <w:rFonts w:ascii="Arial" w:eastAsia="Arial" w:hAnsi="Arial" w:cs="Arial"/>
        </w:rPr>
        <w:t>publications</w:t>
      </w:r>
      <w:r w:rsidRPr="008B0387">
        <w:rPr>
          <w:rFonts w:ascii="Arial" w:eastAsia="Arial" w:hAnsi="Arial" w:cs="Arial"/>
        </w:rPr>
        <w:t xml:space="preserve"> on digitalisation and artificial intelligence (e.g., Google SE Digital Report).</w:t>
      </w:r>
    </w:p>
    <w:p w14:paraId="2F641EC7" w14:textId="77777777" w:rsidR="00C0694C" w:rsidRPr="008B0387" w:rsidRDefault="00C0694C">
      <w:pPr>
        <w:jc w:val="both"/>
        <w:rPr>
          <w:rFonts w:ascii="Arial" w:eastAsia="Arial" w:hAnsi="Arial" w:cs="Arial"/>
        </w:rPr>
      </w:pPr>
    </w:p>
    <w:p w14:paraId="0A30036B" w14:textId="77777777" w:rsidR="00206514" w:rsidRPr="008B0387" w:rsidRDefault="00206514" w:rsidP="00206514">
      <w:pPr>
        <w:jc w:val="both"/>
        <w:rPr>
          <w:rFonts w:ascii="Arial" w:eastAsia="Arial" w:hAnsi="Arial" w:cs="Arial"/>
          <w:b/>
          <w:bCs/>
        </w:rPr>
      </w:pPr>
      <w:r w:rsidRPr="008B0387">
        <w:rPr>
          <w:rFonts w:ascii="Arial" w:eastAsia="Arial" w:hAnsi="Arial" w:cs="Arial"/>
          <w:b/>
          <w:bCs/>
        </w:rPr>
        <w:t>3.6 Data Analysis Technique</w:t>
      </w:r>
    </w:p>
    <w:p w14:paraId="6EFFCD93" w14:textId="77777777" w:rsidR="00206514" w:rsidRPr="008B0387" w:rsidRDefault="00206514" w:rsidP="00206514">
      <w:pPr>
        <w:jc w:val="both"/>
        <w:rPr>
          <w:rFonts w:ascii="Arial" w:eastAsia="Arial" w:hAnsi="Arial" w:cs="Arial"/>
          <w:b/>
          <w:bCs/>
        </w:rPr>
      </w:pPr>
    </w:p>
    <w:p w14:paraId="151254B4" w14:textId="5AA1CA3C" w:rsidR="00C5024B" w:rsidRPr="00C5024B" w:rsidRDefault="00C5024B" w:rsidP="00C5024B">
      <w:pPr>
        <w:jc w:val="both"/>
        <w:rPr>
          <w:rFonts w:ascii="Arial" w:eastAsia="Arial" w:hAnsi="Arial" w:cs="Arial"/>
          <w:lang w:val="en-ID"/>
        </w:rPr>
      </w:pPr>
      <w:r w:rsidRPr="00C5024B">
        <w:rPr>
          <w:rFonts w:ascii="Arial" w:eastAsia="Arial" w:hAnsi="Arial" w:cs="Arial"/>
          <w:lang w:val="en-ID"/>
        </w:rPr>
        <w:t xml:space="preserve">Data analysis was conducted using the Partial Least Squares–Structural Equation Modelling (PLS-SEM) approach with the assistance of SmartPLS 3.0 software. This method was chosen because it is suitable for testing models with complex interrelated latent variables, relatively limited sample sizes, and the need to assess predictive causal relationships </w:t>
      </w:r>
      <w:r w:rsidR="007D50A4">
        <w:rPr>
          <w:rFonts w:ascii="Arial" w:eastAsia="Arial" w:hAnsi="Arial" w:cs="Arial"/>
          <w:lang w:val="en-ID"/>
        </w:rPr>
        <w:fldChar w:fldCharType="begin"/>
      </w:r>
      <w:r w:rsidR="007D50A4">
        <w:rPr>
          <w:rFonts w:ascii="Arial" w:eastAsia="Arial" w:hAnsi="Arial" w:cs="Arial"/>
          <w:lang w:val="en-ID"/>
        </w:rPr>
        <w:instrText xml:space="preserve"> ADDIN ZOTERO_ITEM CSL_CITATION {"citationID":"SE5BY6Sx","properties":{"formattedCitation":"(Hair et al., 2021)","plainCitation":"(Hair et al., 2021)","noteIndex":0},"citationItems":[{"id":13494,"uris":["http://zotero.org/users/local/JyjMxVLY/items/Z7F5IENE"],"itemData":{"id":13494,"type":"book","collection-title":"Classroom Companion: Business","event-place":"Cham","ISBN":"978-3-030-80518-0","language":"en","license":"https://creativecommons.org/licenses/by/4.0","note":"DOI: 10.1007/978-3-030-80519-7","publisher":"Springer International Publishing","publisher-place":"Cham","source":"DOI.org (Crossref)","title":"Partial Least Squares Structural Equation Modeling (PLS-SEM) Using R: A Workbook","title-short":"Partial Least Squares Structural Equation Modeling (PLS-SEM) Using R","URL":"https://link.springer.com/10.1007/978-3-030-80519-7","author":[{"family":"Hair","given":"Joseph F."},{"family":"Hult","given":"G. Tomas M."},{"family":"Ringle","given":"Christian M."},{"family":"Sarstedt","given":"Marko"},{"family":"Danks","given":"Nicholas P."},{"family":"Ray","given":"Soumya"}],"accessed":{"date-parts":[["2025",8,8]]},"issued":{"date-parts":[["2021"]]}}}],"schema":"https://github.com/citation-style-language/schema/raw/master/csl-citation.json"} </w:instrText>
      </w:r>
      <w:r w:rsidR="007D50A4">
        <w:rPr>
          <w:rFonts w:ascii="Arial" w:eastAsia="Arial" w:hAnsi="Arial" w:cs="Arial"/>
          <w:lang w:val="en-ID"/>
        </w:rPr>
        <w:fldChar w:fldCharType="separate"/>
      </w:r>
      <w:r w:rsidR="007D50A4" w:rsidRPr="007D50A4">
        <w:rPr>
          <w:rFonts w:ascii="Arial" w:hAnsi="Arial" w:cs="Arial"/>
        </w:rPr>
        <w:t>(Hair et al., 2021)</w:t>
      </w:r>
      <w:r w:rsidR="007D50A4">
        <w:rPr>
          <w:rFonts w:ascii="Arial" w:eastAsia="Arial" w:hAnsi="Arial" w:cs="Arial"/>
          <w:lang w:val="en-ID"/>
        </w:rPr>
        <w:fldChar w:fldCharType="end"/>
      </w:r>
      <w:r w:rsidRPr="00C5024B">
        <w:rPr>
          <w:rFonts w:ascii="Arial" w:eastAsia="Arial" w:hAnsi="Arial" w:cs="Arial"/>
          <w:lang w:val="en-ID"/>
        </w:rPr>
        <w:t xml:space="preserve">. The analysis procedure comprised two main stages, namely testing the measurement model (outer model) and the structural model (inner model). The first stage was used to assess the validity and reliability of the constructs through factor loading, Average Variance Extracted (AVE), and Composite Reliability tests, with minimum thresholds of 0.50 for AVE and 0.70 for reliability </w:t>
      </w:r>
      <w:r w:rsidR="007D50A4">
        <w:rPr>
          <w:rFonts w:ascii="Arial" w:eastAsia="Arial" w:hAnsi="Arial" w:cs="Arial"/>
          <w:lang w:val="en-ID"/>
        </w:rPr>
        <w:fldChar w:fldCharType="begin"/>
      </w:r>
      <w:r w:rsidR="0085087B">
        <w:rPr>
          <w:rFonts w:ascii="Arial" w:eastAsia="Arial" w:hAnsi="Arial" w:cs="Arial"/>
          <w:lang w:val="en-ID"/>
        </w:rPr>
        <w:instrText xml:space="preserve"> ADDIN ZOTERO_ITEM CSL_CITATION {"citationID":"0klUq7gu","properties":{"formattedCitation":"(Hair et al., 2021)","plainCitation":"(Hair et al., 2021)","noteIndex":0},"citationItems":[{"id":13494,"uris":["http://zotero.org/users/local/JyjMxVLY/items/Z7F5IENE"],"itemData":{"id":13494,"type":"book","collection-title":"Classroom Companion: Business","event-place":"Cham","ISBN":"978-3-030-80518-0","language":"en","license":"https://creativecommons.org/licenses/by/4.0","note":"DOI: 10.1007/978-3-030-80519-7","publisher":"Springer International Publishing","publisher-place":"Cham","source":"DOI.org (Crossref)","title":"Partial Least Squares Structural Equation Modeling (PLS-SEM) Using R: A Workbook","title-short":"Partial Least Squares Structural Equation Modeling (PLS-SEM) Using R","URL":"https://link.springer.com/10.1007/978-3-030-80519-7","author":[{"family":"Hair","given":"Joseph F."},{"family":"Hult","given":"G. Tomas M."},{"family":"Ringle","given":"Christian M."},{"family":"Sarstedt","given":"Marko"},{"family":"Danks","given":"Nicholas P."},{"family":"Ray","given":"Soumya"}],"accessed":{"date-parts":[["2025",8,8]]},"issued":{"date-parts":[["2021"]]}}}],"schema":"https://github.com/citation-style-language/schema/raw/master/csl-citation.json"} </w:instrText>
      </w:r>
      <w:r w:rsidR="007D50A4">
        <w:rPr>
          <w:rFonts w:ascii="Arial" w:eastAsia="Arial" w:hAnsi="Arial" w:cs="Arial"/>
          <w:lang w:val="en-ID"/>
        </w:rPr>
        <w:fldChar w:fldCharType="separate"/>
      </w:r>
      <w:r w:rsidR="007D50A4" w:rsidRPr="007D50A4">
        <w:rPr>
          <w:rFonts w:ascii="Arial" w:hAnsi="Arial" w:cs="Arial"/>
        </w:rPr>
        <w:t>(Hair et al., 2021)</w:t>
      </w:r>
      <w:r w:rsidR="007D50A4">
        <w:rPr>
          <w:rFonts w:ascii="Arial" w:eastAsia="Arial" w:hAnsi="Arial" w:cs="Arial"/>
          <w:lang w:val="en-ID"/>
        </w:rPr>
        <w:fldChar w:fldCharType="end"/>
      </w:r>
      <w:r w:rsidRPr="00C5024B">
        <w:rPr>
          <w:rFonts w:ascii="Arial" w:eastAsia="Arial" w:hAnsi="Arial" w:cs="Arial"/>
          <w:lang w:val="en-ID"/>
        </w:rPr>
        <w:t xml:space="preserve">. The next stage was used to assess the relationship between constructs by considering the R-square value, </w:t>
      </w:r>
      <w:r w:rsidRPr="00C5024B">
        <w:rPr>
          <w:rFonts w:ascii="Arial" w:eastAsia="Arial" w:hAnsi="Arial" w:cs="Arial"/>
          <w:lang w:val="en-ID"/>
        </w:rPr>
        <w:lastRenderedPageBreak/>
        <w:t>path coefficient, and t-statistics from the bootstrapping process to determine the significance of both direct and indirect effects.</w:t>
      </w:r>
    </w:p>
    <w:p w14:paraId="7B483C7A" w14:textId="77777777" w:rsidR="00C5024B" w:rsidRPr="00C5024B" w:rsidRDefault="00C5024B" w:rsidP="00C5024B">
      <w:pPr>
        <w:jc w:val="both"/>
        <w:rPr>
          <w:rFonts w:ascii="Arial" w:eastAsia="Arial" w:hAnsi="Arial" w:cs="Arial"/>
        </w:rPr>
      </w:pPr>
    </w:p>
    <w:p w14:paraId="1D451247" w14:textId="03499BB6" w:rsidR="00C5024B" w:rsidRPr="00C5024B" w:rsidRDefault="00C5024B" w:rsidP="00C5024B">
      <w:pPr>
        <w:jc w:val="both"/>
        <w:rPr>
          <w:rFonts w:ascii="Arial" w:eastAsia="Arial" w:hAnsi="Arial" w:cs="Arial"/>
          <w:lang w:val="en-ID"/>
        </w:rPr>
      </w:pPr>
      <w:r w:rsidRPr="00C5024B">
        <w:rPr>
          <w:rFonts w:ascii="Arial" w:eastAsia="Arial" w:hAnsi="Arial" w:cs="Arial"/>
          <w:lang w:val="en-ID"/>
        </w:rPr>
        <w:t xml:space="preserve">In addition, mediation effect testing was conducted using the bootstrapping indirect effect approach as suggested by </w:t>
      </w:r>
      <w:r>
        <w:rPr>
          <w:rFonts w:ascii="Arial" w:eastAsia="Arial" w:hAnsi="Arial" w:cs="Arial"/>
          <w:lang w:val="en-ID"/>
        </w:rPr>
        <w:fldChar w:fldCharType="begin"/>
      </w:r>
      <w:r>
        <w:rPr>
          <w:rFonts w:ascii="Arial" w:eastAsia="Arial" w:hAnsi="Arial" w:cs="Arial"/>
          <w:lang w:val="en-ID"/>
        </w:rPr>
        <w:instrText xml:space="preserve"> ADDIN ZOTERO_ITEM CSL_CITATION {"citationID":"9aWLpB4t","properties":{"formattedCitation":"(Hayes, 2022)","plainCitation":"(Hayes, 2022)","noteIndex":0},"citationItems":[{"id":13579,"uris":["http://zotero.org/users/local/JyjMxVLY/items/72M4KRUR"],"itemData":{"id":13579,"type":"book","abstract":"Acclaimed for its thorough presentation of mediation, moderation, and conditional process analysis, this book has been updated to reflect the latest developments in PROCESS for SPSS, SAS, and, new to this edition, R. Using the principles of ordinary least squares regression, Andrew F. Hayes illustrates each step in an analysis using diverse examples from published studies, and displays SPSS, SAS, and R code for each example. Procedures are outlined for estimating and interpreting direct, indirect, and conditional effects; probing and visualizing interactions; testing hypotheses about the moderation of mechanisms; and reporting different types of analyses. Readers gain an understanding of the link between statistics and causality, as well as what the data are telling them. The companion website (www.afhayes.com) provides data for all the examples, plus the free PROCESS download.   New to This Edition *Rewritten Appendix A, which provides the only documentation of PROCESS, including a discussion of the syntax structure of PROCESS for R compared to SPSS and SAS. *Expanded discussion of effect scaling and the difference between unstandardized, completely standardized, and partially standardized effects. *Discussion of the meaning of and how to generate the correlation between mediator residuals in a multiple-mediator model, using a new PROCESS option. *Discussion of a method for comparing the strength of two specific indirect effects that are different in sign. *Introduction of a bootstrap-based Johnson–Neyman-like approach for probing moderation of mediation in a conditional process model. *Discussion of testing for interaction between a causal antecedent variable [ital]X[/ital] and a mediator [ital]M[/ital] in a mediation analysis, and how to test this assumption in a new PROCESS feature.","ISBN":"978-1-4625-4903-0","language":"en","number-of-pages":"684","publisher":"Guilford Publications","source":"Google Books","title":"Introduction to Mediation, Moderation, and Conditional Process Analysis: A Regression-Based Approach","title-short":"Introduction to Mediation, Moderation, and Conditional Process Analysis","author":[{"family":"Hayes","given":"Andrew F."}],"issued":{"date-parts":[["2022",1,24]]}}}],"schema":"https://github.com/citation-style-language/schema/raw/master/csl-citation.json"} </w:instrText>
      </w:r>
      <w:r>
        <w:rPr>
          <w:rFonts w:ascii="Arial" w:eastAsia="Arial" w:hAnsi="Arial" w:cs="Arial"/>
          <w:lang w:val="en-ID"/>
        </w:rPr>
        <w:fldChar w:fldCharType="separate"/>
      </w:r>
      <w:r w:rsidRPr="00C5024B">
        <w:rPr>
          <w:rFonts w:ascii="Arial" w:hAnsi="Arial" w:cs="Arial"/>
        </w:rPr>
        <w:t xml:space="preserve">Hayes </w:t>
      </w:r>
      <w:r w:rsidR="007D50A4">
        <w:rPr>
          <w:rFonts w:ascii="Arial" w:hAnsi="Arial" w:cs="Arial"/>
        </w:rPr>
        <w:t>(</w:t>
      </w:r>
      <w:r w:rsidRPr="00C5024B">
        <w:rPr>
          <w:rFonts w:ascii="Arial" w:hAnsi="Arial" w:cs="Arial"/>
        </w:rPr>
        <w:t>2022)</w:t>
      </w:r>
      <w:r>
        <w:rPr>
          <w:rFonts w:ascii="Arial" w:eastAsia="Arial" w:hAnsi="Arial" w:cs="Arial"/>
          <w:lang w:val="en-ID"/>
        </w:rPr>
        <w:fldChar w:fldCharType="end"/>
      </w:r>
      <w:r w:rsidRPr="00C5024B">
        <w:rPr>
          <w:rFonts w:ascii="Arial" w:eastAsia="Arial" w:hAnsi="Arial" w:cs="Arial"/>
          <w:lang w:val="en-ID"/>
        </w:rPr>
        <w:t>The model was considered to have adequate predictive power if the R-square value reached more than 0.67 and the path coefficients showed a significance level below 0.05. The PLS-SEM approach is considered appropriate not only because it is in line with the characteristics of the research sample size (n = 120), but also because of its ability to capture the complex latent relationships between digital trust, artificial intelligence literacy, innovation capability, and business sustainability simultaneously. This technique provides a strong analytical basis for assessing the integration of relationships between variables and comprehensively confirming the proposed conceptual model.</w:t>
      </w:r>
      <w:r w:rsidRPr="00C5024B">
        <w:rPr>
          <w:rFonts w:ascii="Arial" w:eastAsia="Arial" w:hAnsi="Arial" w:cs="Arial"/>
        </w:rPr>
        <w:t xml:space="preserve"> </w:t>
      </w:r>
    </w:p>
    <w:p w14:paraId="2E05CBCC" w14:textId="77777777" w:rsidR="00206514" w:rsidRPr="00C5024B" w:rsidRDefault="00206514" w:rsidP="00206514">
      <w:pPr>
        <w:jc w:val="both"/>
        <w:rPr>
          <w:rFonts w:ascii="Arial" w:eastAsia="Arial" w:hAnsi="Arial" w:cs="Arial"/>
          <w:lang w:val="en-ID"/>
        </w:rPr>
      </w:pPr>
    </w:p>
    <w:p w14:paraId="2F6824BB" w14:textId="77777777" w:rsidR="00206514" w:rsidRPr="008B0387" w:rsidRDefault="00206514" w:rsidP="00803A1F">
      <w:pPr>
        <w:pStyle w:val="NoSpacing"/>
        <w:rPr>
          <w:rFonts w:ascii="Arial" w:hAnsi="Arial" w:cs="Arial"/>
          <w:b/>
          <w:bCs/>
          <w:color w:val="000000"/>
          <w:sz w:val="22"/>
          <w:szCs w:val="22"/>
        </w:rPr>
      </w:pPr>
      <w:r w:rsidRPr="008B0387">
        <w:rPr>
          <w:rFonts w:ascii="Arial" w:hAnsi="Arial" w:cs="Arial"/>
          <w:b/>
          <w:bCs/>
          <w:sz w:val="22"/>
          <w:szCs w:val="22"/>
        </w:rPr>
        <w:t>4. RESEARCH RESULTS AND DISCUSSION</w:t>
      </w:r>
    </w:p>
    <w:p w14:paraId="4955E8AF" w14:textId="77777777" w:rsidR="00206514" w:rsidRPr="008B0387" w:rsidRDefault="00206514" w:rsidP="00206514">
      <w:pPr>
        <w:pBdr>
          <w:top w:val="nil"/>
          <w:left w:val="nil"/>
          <w:bottom w:val="nil"/>
          <w:right w:val="nil"/>
          <w:between w:val="nil"/>
        </w:pBdr>
        <w:jc w:val="both"/>
        <w:rPr>
          <w:rFonts w:ascii="Arial" w:eastAsia="Arial" w:hAnsi="Arial" w:cs="Arial"/>
          <w:color w:val="000000"/>
        </w:rPr>
      </w:pPr>
    </w:p>
    <w:p w14:paraId="7FCC57BD" w14:textId="77777777" w:rsidR="00206514" w:rsidRPr="008B0387" w:rsidRDefault="00206514" w:rsidP="00206514">
      <w:pPr>
        <w:pBdr>
          <w:top w:val="nil"/>
          <w:left w:val="nil"/>
          <w:bottom w:val="nil"/>
          <w:right w:val="nil"/>
          <w:between w:val="nil"/>
        </w:pBdr>
        <w:jc w:val="both"/>
        <w:rPr>
          <w:rFonts w:ascii="Arial" w:eastAsia="Arial" w:hAnsi="Arial" w:cs="Arial"/>
          <w:b/>
        </w:rPr>
      </w:pPr>
      <w:r w:rsidRPr="008B0387">
        <w:rPr>
          <w:rFonts w:ascii="Arial" w:eastAsia="Arial" w:hAnsi="Arial" w:cs="Arial"/>
          <w:b/>
        </w:rPr>
        <w:t>4.1 Data Presentation</w:t>
      </w:r>
    </w:p>
    <w:p w14:paraId="5D4EE984" w14:textId="77777777" w:rsidR="00206514" w:rsidRPr="008B0387" w:rsidRDefault="00206514" w:rsidP="00206514">
      <w:pPr>
        <w:pBdr>
          <w:top w:val="nil"/>
          <w:left w:val="nil"/>
          <w:bottom w:val="nil"/>
          <w:right w:val="nil"/>
          <w:between w:val="nil"/>
        </w:pBdr>
        <w:jc w:val="both"/>
        <w:rPr>
          <w:rFonts w:ascii="Arial" w:eastAsia="Arial" w:hAnsi="Arial" w:cs="Arial"/>
          <w:b/>
        </w:rPr>
      </w:pPr>
    </w:p>
    <w:p w14:paraId="37615089" w14:textId="62D5620C" w:rsidR="00206514" w:rsidRPr="008B0387" w:rsidRDefault="00206514" w:rsidP="00206514">
      <w:pPr>
        <w:pBdr>
          <w:top w:val="nil"/>
          <w:left w:val="nil"/>
          <w:bottom w:val="nil"/>
          <w:right w:val="nil"/>
          <w:between w:val="nil"/>
        </w:pBdr>
        <w:jc w:val="both"/>
        <w:rPr>
          <w:rFonts w:ascii="Arial" w:eastAsia="Arial" w:hAnsi="Arial" w:cs="Arial"/>
        </w:rPr>
      </w:pPr>
      <w:r w:rsidRPr="008B0387">
        <w:rPr>
          <w:rFonts w:ascii="Arial" w:eastAsia="Arial" w:hAnsi="Arial" w:cs="Arial"/>
        </w:rPr>
        <w:t xml:space="preserve">The indicator data were initially processed using Microsoft Excel and analyzed with SmartPLS 3.0, with all latent variables modeled reflectively. Preliminary tests indicated five indicators, KD1.6, KD1.12, KD1, LA2.4, LA2.7, and KI1.1, had outer loadings &lt;0.70, below the recommended threshold to ensure construct validity and reliability. These indicators were subsequently eliminated to simplify the model (parsimonious) and retain only </w:t>
      </w:r>
      <w:r w:rsidR="00803A1F" w:rsidRPr="008B0387">
        <w:rPr>
          <w:rFonts w:ascii="Arial" w:eastAsia="Arial" w:hAnsi="Arial" w:cs="Arial"/>
        </w:rPr>
        <w:t>those that significantly contributed, thereby improving the accuracy of estimates and the reliability of test results.</w:t>
      </w:r>
    </w:p>
    <w:p w14:paraId="2F1F431F" w14:textId="77777777" w:rsidR="00166420" w:rsidRPr="008B0387" w:rsidRDefault="00166420" w:rsidP="00206514">
      <w:pPr>
        <w:pBdr>
          <w:top w:val="nil"/>
          <w:left w:val="nil"/>
          <w:bottom w:val="nil"/>
          <w:right w:val="nil"/>
          <w:between w:val="nil"/>
        </w:pBdr>
        <w:jc w:val="both"/>
        <w:rPr>
          <w:rFonts w:ascii="Arial" w:eastAsia="Arial" w:hAnsi="Arial" w:cs="Arial"/>
        </w:rPr>
      </w:pPr>
    </w:p>
    <w:p w14:paraId="028A0A60" w14:textId="77777777" w:rsidR="00206514" w:rsidRPr="008B0387" w:rsidRDefault="00206514" w:rsidP="00206514">
      <w:pPr>
        <w:pBdr>
          <w:top w:val="nil"/>
          <w:left w:val="nil"/>
          <w:bottom w:val="nil"/>
          <w:right w:val="nil"/>
          <w:between w:val="nil"/>
        </w:pBdr>
        <w:rPr>
          <w:rFonts w:ascii="Arial" w:eastAsia="Arial" w:hAnsi="Arial" w:cs="Arial"/>
          <w:b/>
        </w:rPr>
      </w:pPr>
      <w:r w:rsidRPr="008B0387">
        <w:rPr>
          <w:rFonts w:ascii="Arial" w:eastAsia="Arial" w:hAnsi="Arial" w:cs="Arial"/>
          <w:b/>
        </w:rPr>
        <w:t>4.2 Hypothesis Testing Result</w:t>
      </w:r>
    </w:p>
    <w:p w14:paraId="04BCAFD0" w14:textId="77777777" w:rsidR="00206514" w:rsidRPr="008B0387" w:rsidRDefault="00206514" w:rsidP="00206514">
      <w:pPr>
        <w:pBdr>
          <w:top w:val="nil"/>
          <w:left w:val="nil"/>
          <w:bottom w:val="nil"/>
          <w:right w:val="nil"/>
          <w:between w:val="nil"/>
        </w:pBdr>
        <w:jc w:val="both"/>
        <w:rPr>
          <w:rFonts w:ascii="Arial" w:eastAsia="Arial" w:hAnsi="Arial" w:cs="Arial"/>
          <w:b/>
        </w:rPr>
      </w:pPr>
    </w:p>
    <w:p w14:paraId="55B1751D" w14:textId="3BD72982" w:rsidR="00206514" w:rsidRPr="008B0387" w:rsidRDefault="00206514" w:rsidP="00206514">
      <w:pPr>
        <w:pBdr>
          <w:top w:val="nil"/>
          <w:left w:val="nil"/>
          <w:bottom w:val="nil"/>
          <w:right w:val="nil"/>
          <w:between w:val="nil"/>
        </w:pBdr>
        <w:jc w:val="both"/>
        <w:rPr>
          <w:rFonts w:ascii="Arial" w:eastAsia="Arial" w:hAnsi="Arial" w:cs="Arial"/>
        </w:rPr>
      </w:pPr>
      <w:r w:rsidRPr="008B0387">
        <w:rPr>
          <w:rFonts w:ascii="Arial" w:eastAsia="Arial" w:hAnsi="Arial" w:cs="Arial"/>
        </w:rPr>
        <w:t xml:space="preserve">Based on the bootstrapping results displayed in the table and path diagram (inner model), hypothesis testing was conducted by referring to the T-statistics and p-value. This study employed a t-value threshold of 1.96 with a significance level of 0.05, as recommended by </w:t>
      </w:r>
      <w:r w:rsidRPr="008B0387">
        <w:rPr>
          <w:rFonts w:ascii="Arial" w:eastAsia="Arial" w:hAnsi="Arial" w:cs="Arial"/>
        </w:rPr>
        <w:fldChar w:fldCharType="begin"/>
      </w:r>
      <w:r w:rsidRPr="008B0387">
        <w:rPr>
          <w:rFonts w:ascii="Arial" w:eastAsia="Arial" w:hAnsi="Arial" w:cs="Arial"/>
        </w:rPr>
        <w:instrText xml:space="preserve"> ADDIN ZOTERO_ITEM CSL_CITATION {"citationID":"uVllCaCr","properties":{"formattedCitation":"(Hair et al., 2021)","plainCitation":"(Hair et al., 2021)","dontUpdate":true,"noteIndex":0},"citationItems":[{"id":13494,"uris":["http://zotero.org/users/local/JyjMxVLY/items/Z7F5IENE"],"itemData":{"id":13494,"type":"book","collection-title":"Classroom Companion: Business","event-place":"Cham","ISBN":"978-3-030-80518-0","language":"en","license":"https://creativecommons.org/licenses/by/4.0","note":"DOI: 10.1007/978-3-030-80519-7","publisher":"Springer International Publishing","publisher-place":"Cham","source":"DOI.org (Crossref)","title":"Partial Least Squares Structural Equation Modeling (PLS-SEM) Using R: A Workbook","title-short":"Partial Least Squares Structural Equation Modeling (PLS-SEM) Using R","URL":"https://link.springer.com/10.1007/978-3-030-80519-7","author":[{"family":"Hair","given":"Joseph F."},{"family":"Hult","given":"G. Tomas M."},{"family":"Ringle","given":"Christian M."},{"family":"Sarstedt","given":"Marko"},{"family":"Danks","given":"Nicholas P."},{"family":"Ray","given":"Soumya"}],"accessed":{"date-parts":[["2025",8,8]]},"issued":{"date-parts":[["2021"]]}}}],"schema":"https://github.com/citation-style-language/schema/raw/master/csl-citation.json"} </w:instrText>
      </w:r>
      <w:r w:rsidRPr="008B0387">
        <w:rPr>
          <w:rFonts w:ascii="Arial" w:eastAsia="Arial" w:hAnsi="Arial" w:cs="Arial"/>
        </w:rPr>
        <w:fldChar w:fldCharType="separate"/>
      </w:r>
      <w:r w:rsidRPr="008B0387">
        <w:rPr>
          <w:rFonts w:ascii="Arial" w:hAnsi="Arial" w:cs="Arial"/>
        </w:rPr>
        <w:t>Hair et al. (2021)</w:t>
      </w:r>
      <w:r w:rsidRPr="008B0387">
        <w:rPr>
          <w:rFonts w:ascii="Arial" w:eastAsia="Arial" w:hAnsi="Arial" w:cs="Arial"/>
        </w:rPr>
        <w:fldChar w:fldCharType="end"/>
      </w:r>
      <w:r w:rsidRPr="008B0387">
        <w:rPr>
          <w:rFonts w:ascii="Arial" w:eastAsia="Arial" w:hAnsi="Arial" w:cs="Arial"/>
        </w:rPr>
        <w:t xml:space="preserve">. According to their suggestion, a relationship between variables is considered statistically significant if the obtained p-value is at or below the specified significance level, typically  </w:t>
      </w:r>
      <w:bookmarkStart w:id="2" w:name="_Hlk209611148"/>
      <w:r w:rsidRPr="008B0387">
        <w:rPr>
          <w:rFonts w:ascii="Arial" w:eastAsia="Arial" w:hAnsi="Arial" w:cs="Arial"/>
        </w:rPr>
        <w:t>0.05. In other words, if the p-value &lt; 0.05, then the relationship is statistically significant and unlikely to occur by chance.</w:t>
      </w:r>
    </w:p>
    <w:bookmarkEnd w:id="2"/>
    <w:p w14:paraId="13E6AD00" w14:textId="77777777" w:rsidR="00206514" w:rsidRPr="008B0387" w:rsidRDefault="00206514" w:rsidP="00206514">
      <w:pPr>
        <w:pBdr>
          <w:top w:val="nil"/>
          <w:left w:val="nil"/>
          <w:bottom w:val="nil"/>
          <w:right w:val="nil"/>
          <w:between w:val="nil"/>
        </w:pBdr>
        <w:jc w:val="both"/>
        <w:rPr>
          <w:rFonts w:ascii="Arial" w:eastAsia="Arial" w:hAnsi="Arial" w:cs="Arial"/>
        </w:rPr>
        <w:sectPr w:rsidR="00206514" w:rsidRPr="008B0387" w:rsidSect="00CF5AD7">
          <w:type w:val="continuous"/>
          <w:pgSz w:w="12240" w:h="15840"/>
          <w:pgMar w:top="1440" w:right="1440" w:bottom="1440" w:left="1440" w:header="720" w:footer="720" w:gutter="0"/>
          <w:cols w:num="2" w:space="720"/>
          <w:docGrid w:linePitch="272"/>
        </w:sectPr>
      </w:pPr>
    </w:p>
    <w:p w14:paraId="13878A88" w14:textId="77777777" w:rsidR="00206514" w:rsidRPr="008B0387" w:rsidRDefault="00206514" w:rsidP="00206514">
      <w:pPr>
        <w:pBdr>
          <w:top w:val="nil"/>
          <w:left w:val="nil"/>
          <w:bottom w:val="nil"/>
          <w:right w:val="nil"/>
          <w:between w:val="nil"/>
        </w:pBdr>
        <w:jc w:val="both"/>
        <w:rPr>
          <w:rFonts w:ascii="Arial" w:eastAsia="Arial" w:hAnsi="Arial" w:cs="Arial"/>
        </w:rPr>
      </w:pPr>
    </w:p>
    <w:p w14:paraId="2D6B257D" w14:textId="77777777" w:rsidR="00206514" w:rsidRPr="008B0387" w:rsidRDefault="00206514" w:rsidP="00206514">
      <w:pPr>
        <w:pBdr>
          <w:top w:val="nil"/>
          <w:left w:val="nil"/>
          <w:bottom w:val="nil"/>
          <w:right w:val="nil"/>
          <w:between w:val="nil"/>
        </w:pBdr>
        <w:jc w:val="both"/>
        <w:rPr>
          <w:rFonts w:ascii="Arial" w:eastAsia="Arial" w:hAnsi="Arial" w:cs="Arial"/>
        </w:rPr>
      </w:pPr>
    </w:p>
    <w:p w14:paraId="065FF7A6" w14:textId="6F092748" w:rsidR="00206514" w:rsidRPr="008B0387" w:rsidRDefault="00206514" w:rsidP="00206514">
      <w:pPr>
        <w:jc w:val="both"/>
        <w:rPr>
          <w:rFonts w:ascii="Arial" w:eastAsia="Arial" w:hAnsi="Arial" w:cs="Arial"/>
          <w:b/>
          <w:bCs/>
        </w:rPr>
        <w:sectPr w:rsidR="00206514" w:rsidRPr="008B0387" w:rsidSect="00CF5AD7">
          <w:type w:val="continuous"/>
          <w:pgSz w:w="12240" w:h="15840"/>
          <w:pgMar w:top="1440" w:right="1440" w:bottom="1440" w:left="1440" w:header="720" w:footer="720" w:gutter="0"/>
          <w:cols w:num="2" w:space="720"/>
          <w:docGrid w:linePitch="272"/>
        </w:sectPr>
      </w:pPr>
    </w:p>
    <w:p w14:paraId="3846D235" w14:textId="77777777" w:rsidR="00A57BFC" w:rsidRPr="008B0387" w:rsidRDefault="00A57BFC">
      <w:pPr>
        <w:pBdr>
          <w:top w:val="nil"/>
          <w:left w:val="nil"/>
          <w:bottom w:val="nil"/>
          <w:right w:val="nil"/>
          <w:between w:val="nil"/>
        </w:pBdr>
        <w:jc w:val="both"/>
        <w:rPr>
          <w:rFonts w:ascii="Arial" w:eastAsia="Arial" w:hAnsi="Arial" w:cs="Arial"/>
        </w:rPr>
        <w:sectPr w:rsidR="00A57BFC" w:rsidRPr="008B0387" w:rsidSect="00CF5AD7">
          <w:type w:val="continuous"/>
          <w:pgSz w:w="12240" w:h="15840"/>
          <w:pgMar w:top="1440" w:right="1440" w:bottom="1440" w:left="1440" w:header="720" w:footer="720" w:gutter="0"/>
          <w:cols w:num="2" w:space="720"/>
          <w:docGrid w:linePitch="272"/>
        </w:sectPr>
      </w:pPr>
    </w:p>
    <w:p w14:paraId="6E5645D5" w14:textId="1B94D89D" w:rsidR="00C0694C" w:rsidRPr="008B0387" w:rsidRDefault="00C0694C">
      <w:pPr>
        <w:pBdr>
          <w:top w:val="nil"/>
          <w:left w:val="nil"/>
          <w:bottom w:val="nil"/>
          <w:right w:val="nil"/>
          <w:between w:val="nil"/>
        </w:pBdr>
        <w:jc w:val="both"/>
        <w:rPr>
          <w:rFonts w:ascii="Arial" w:eastAsia="Arial" w:hAnsi="Arial" w:cs="Arial"/>
        </w:rPr>
      </w:pPr>
    </w:p>
    <w:p w14:paraId="68D742E1" w14:textId="77777777" w:rsidR="00A57BFC" w:rsidRPr="008B0387" w:rsidRDefault="00A57BFC" w:rsidP="00A57BFC">
      <w:pPr>
        <w:pBdr>
          <w:top w:val="nil"/>
          <w:left w:val="nil"/>
          <w:bottom w:val="nil"/>
          <w:right w:val="nil"/>
          <w:between w:val="nil"/>
        </w:pBdr>
        <w:jc w:val="center"/>
        <w:rPr>
          <w:rFonts w:ascii="Arial" w:eastAsia="Arial" w:hAnsi="Arial" w:cs="Arial"/>
          <w:b/>
        </w:rPr>
      </w:pPr>
      <w:r w:rsidRPr="008B0387">
        <w:rPr>
          <w:rFonts w:ascii="Arial" w:eastAsia="Arial" w:hAnsi="Arial" w:cs="Arial"/>
          <w:b/>
          <w:noProof/>
        </w:rPr>
        <w:drawing>
          <wp:inline distT="114300" distB="114300" distL="114300" distR="114300" wp14:anchorId="2F69DCF9" wp14:editId="0B4EF64E">
            <wp:extent cx="3306128" cy="2783731"/>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3306128" cy="2783731"/>
                    </a:xfrm>
                    <a:prstGeom prst="rect">
                      <a:avLst/>
                    </a:prstGeom>
                    <a:ln/>
                  </pic:spPr>
                </pic:pic>
              </a:graphicData>
            </a:graphic>
          </wp:inline>
        </w:drawing>
      </w:r>
    </w:p>
    <w:p w14:paraId="3F934996" w14:textId="7E603AE2" w:rsidR="00A57BFC" w:rsidRPr="008B0387" w:rsidRDefault="00A57BFC" w:rsidP="008B00F0">
      <w:pPr>
        <w:jc w:val="center"/>
        <w:rPr>
          <w:rFonts w:ascii="Arial" w:eastAsia="Arial" w:hAnsi="Arial" w:cs="Arial"/>
          <w:b/>
        </w:rPr>
      </w:pPr>
      <w:r w:rsidRPr="008B0387">
        <w:rPr>
          <w:rFonts w:ascii="Arial" w:eastAsia="Arial" w:hAnsi="Arial" w:cs="Arial"/>
          <w:b/>
        </w:rPr>
        <w:t>Figure 1. Path Diagram Output of the Structural PLS-SEM Model</w:t>
      </w:r>
    </w:p>
    <w:p w14:paraId="4CBFEC08" w14:textId="48C5431A" w:rsidR="008B00F0" w:rsidRPr="008B0387" w:rsidRDefault="008B00F0" w:rsidP="008B00F0">
      <w:pPr>
        <w:jc w:val="center"/>
        <w:rPr>
          <w:rFonts w:ascii="Arial" w:eastAsia="Arial" w:hAnsi="Arial" w:cs="Arial"/>
          <w:b/>
          <w:sz w:val="18"/>
          <w:szCs w:val="18"/>
        </w:rPr>
      </w:pPr>
      <w:r w:rsidRPr="008B0387">
        <w:rPr>
          <w:rFonts w:ascii="Arial" w:eastAsia="Arial" w:hAnsi="Arial" w:cs="Arial"/>
          <w:b/>
          <w:sz w:val="18"/>
          <w:szCs w:val="18"/>
        </w:rPr>
        <w:t>Source: PLS 3 result data, processed (2025)</w:t>
      </w:r>
    </w:p>
    <w:p w14:paraId="52AC1BD4" w14:textId="77777777" w:rsidR="008B00F0" w:rsidRPr="008B0387" w:rsidRDefault="008B00F0" w:rsidP="008B00F0">
      <w:pPr>
        <w:jc w:val="center"/>
        <w:rPr>
          <w:rFonts w:ascii="Arial" w:eastAsia="Arial" w:hAnsi="Arial" w:cs="Arial"/>
          <w:b/>
          <w:sz w:val="18"/>
          <w:szCs w:val="18"/>
        </w:rPr>
      </w:pPr>
    </w:p>
    <w:p w14:paraId="6814E0DA" w14:textId="636AE861" w:rsidR="00DD1298" w:rsidRPr="008B0387" w:rsidRDefault="00DD1298" w:rsidP="00DD1298">
      <w:pPr>
        <w:pBdr>
          <w:top w:val="nil"/>
          <w:left w:val="nil"/>
          <w:bottom w:val="nil"/>
          <w:right w:val="nil"/>
          <w:between w:val="nil"/>
        </w:pBdr>
        <w:jc w:val="center"/>
        <w:rPr>
          <w:rFonts w:ascii="Arial" w:eastAsia="Arial" w:hAnsi="Arial" w:cs="Arial"/>
          <w:b/>
          <w:bCs/>
          <w:lang w:val="en-US"/>
        </w:rPr>
      </w:pPr>
      <w:r w:rsidRPr="008B0387">
        <w:rPr>
          <w:rFonts w:ascii="Arial" w:eastAsia="Arial" w:hAnsi="Arial" w:cs="Arial"/>
          <w:b/>
          <w:bCs/>
          <w:lang w:val="en-US"/>
        </w:rPr>
        <w:t>Table 2. Outer Loading</w:t>
      </w:r>
    </w:p>
    <w:p w14:paraId="1761AF20" w14:textId="77777777" w:rsidR="008B00F0" w:rsidRPr="008B0387" w:rsidRDefault="008B00F0" w:rsidP="00DD1298">
      <w:pPr>
        <w:pBdr>
          <w:top w:val="nil"/>
          <w:left w:val="nil"/>
          <w:bottom w:val="nil"/>
          <w:right w:val="nil"/>
          <w:between w:val="nil"/>
        </w:pBdr>
        <w:jc w:val="center"/>
        <w:rPr>
          <w:rFonts w:ascii="Arial" w:eastAsia="Arial" w:hAnsi="Arial" w:cs="Arial"/>
          <w:b/>
          <w:bCs/>
          <w:lang w:val="en-US"/>
        </w:rPr>
      </w:pPr>
    </w:p>
    <w:tbl>
      <w:tblPr>
        <w:tblW w:w="918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46"/>
        <w:gridCol w:w="1946"/>
        <w:gridCol w:w="1946"/>
        <w:gridCol w:w="1541"/>
        <w:gridCol w:w="1805"/>
      </w:tblGrid>
      <w:tr w:rsidR="00DD1298" w:rsidRPr="008B0387" w14:paraId="7D68DB32" w14:textId="77777777" w:rsidTr="00ED6974">
        <w:trPr>
          <w:trHeight w:val="225"/>
        </w:trPr>
        <w:tc>
          <w:tcPr>
            <w:tcW w:w="1946" w:type="dxa"/>
            <w:tcBorders>
              <w:top w:val="single" w:sz="4" w:space="0" w:color="auto"/>
              <w:bottom w:val="single" w:sz="4" w:space="0" w:color="auto"/>
            </w:tcBorders>
            <w:noWrap/>
            <w:vAlign w:val="center"/>
            <w:hideMark/>
          </w:tcPr>
          <w:p w14:paraId="0402F2E6" w14:textId="77777777" w:rsidR="00DD1298" w:rsidRPr="008B0387" w:rsidRDefault="00DD1298" w:rsidP="00DD1298">
            <w:pPr>
              <w:pBdr>
                <w:top w:val="nil"/>
                <w:left w:val="nil"/>
                <w:bottom w:val="nil"/>
                <w:right w:val="nil"/>
                <w:between w:val="nil"/>
              </w:pBdr>
              <w:jc w:val="both"/>
              <w:rPr>
                <w:rFonts w:ascii="Arial" w:eastAsia="Arial" w:hAnsi="Arial" w:cs="Arial"/>
                <w:b/>
                <w:bCs/>
                <w:lang w:val="id-ID"/>
              </w:rPr>
            </w:pPr>
            <w:r w:rsidRPr="008B0387">
              <w:rPr>
                <w:rFonts w:ascii="Arial" w:eastAsia="Arial" w:hAnsi="Arial" w:cs="Arial"/>
                <w:b/>
                <w:bCs/>
                <w:lang w:val="id-ID"/>
              </w:rPr>
              <w:lastRenderedPageBreak/>
              <w:t> </w:t>
            </w:r>
          </w:p>
        </w:tc>
        <w:tc>
          <w:tcPr>
            <w:tcW w:w="1946" w:type="dxa"/>
            <w:tcBorders>
              <w:top w:val="single" w:sz="4" w:space="0" w:color="auto"/>
              <w:bottom w:val="single" w:sz="4" w:space="0" w:color="auto"/>
            </w:tcBorders>
            <w:noWrap/>
            <w:vAlign w:val="center"/>
            <w:hideMark/>
          </w:tcPr>
          <w:p w14:paraId="002D2405"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en-US"/>
              </w:rPr>
            </w:pPr>
            <w:r w:rsidRPr="008B0387">
              <w:rPr>
                <w:rFonts w:ascii="Arial" w:eastAsia="Arial" w:hAnsi="Arial" w:cs="Arial"/>
                <w:b/>
                <w:bCs/>
                <w:i/>
                <w:iCs/>
                <w:lang w:val="en-US"/>
              </w:rPr>
              <w:t>Innovation Capability</w:t>
            </w:r>
          </w:p>
        </w:tc>
        <w:tc>
          <w:tcPr>
            <w:tcW w:w="1946" w:type="dxa"/>
            <w:tcBorders>
              <w:top w:val="single" w:sz="4" w:space="0" w:color="auto"/>
              <w:bottom w:val="single" w:sz="4" w:space="0" w:color="auto"/>
            </w:tcBorders>
            <w:noWrap/>
            <w:vAlign w:val="center"/>
            <w:hideMark/>
          </w:tcPr>
          <w:p w14:paraId="5ECB8BB6"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Business Sustainability</w:t>
            </w:r>
          </w:p>
        </w:tc>
        <w:tc>
          <w:tcPr>
            <w:tcW w:w="1541" w:type="dxa"/>
            <w:tcBorders>
              <w:top w:val="single" w:sz="4" w:space="0" w:color="auto"/>
              <w:bottom w:val="single" w:sz="4" w:space="0" w:color="auto"/>
            </w:tcBorders>
            <w:noWrap/>
            <w:vAlign w:val="center"/>
            <w:hideMark/>
          </w:tcPr>
          <w:p w14:paraId="41BBB24A"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Digital Trust</w:t>
            </w:r>
          </w:p>
        </w:tc>
        <w:tc>
          <w:tcPr>
            <w:tcW w:w="1805" w:type="dxa"/>
            <w:tcBorders>
              <w:top w:val="single" w:sz="4" w:space="0" w:color="auto"/>
              <w:bottom w:val="single" w:sz="4" w:space="0" w:color="auto"/>
            </w:tcBorders>
            <w:noWrap/>
            <w:vAlign w:val="center"/>
            <w:hideMark/>
          </w:tcPr>
          <w:p w14:paraId="58B39BB2" w14:textId="77777777" w:rsidR="00DD1298" w:rsidRPr="008B0387" w:rsidRDefault="00DD1298" w:rsidP="00DD1298">
            <w:pPr>
              <w:pBdr>
                <w:top w:val="nil"/>
                <w:left w:val="nil"/>
                <w:bottom w:val="nil"/>
                <w:right w:val="nil"/>
                <w:between w:val="nil"/>
              </w:pBdr>
              <w:jc w:val="both"/>
              <w:rPr>
                <w:rFonts w:ascii="Arial" w:eastAsia="Arial" w:hAnsi="Arial" w:cs="Arial"/>
                <w:b/>
                <w:bCs/>
                <w:lang w:val="id-ID"/>
              </w:rPr>
            </w:pPr>
            <w:r w:rsidRPr="008B0387">
              <w:rPr>
                <w:rFonts w:ascii="Arial" w:eastAsia="Arial" w:hAnsi="Arial" w:cs="Arial"/>
                <w:b/>
                <w:bCs/>
                <w:i/>
                <w:iCs/>
                <w:lang w:val="en-ID"/>
              </w:rPr>
              <w:t>Artificial Intelligence Literacy</w:t>
            </w:r>
          </w:p>
        </w:tc>
      </w:tr>
      <w:tr w:rsidR="00DD1298" w:rsidRPr="008B0387" w14:paraId="67F86C51" w14:textId="77777777" w:rsidTr="00ED6974">
        <w:trPr>
          <w:trHeight w:val="225"/>
        </w:trPr>
        <w:tc>
          <w:tcPr>
            <w:tcW w:w="1946" w:type="dxa"/>
            <w:tcBorders>
              <w:top w:val="single" w:sz="4" w:space="0" w:color="auto"/>
            </w:tcBorders>
            <w:noWrap/>
            <w:vAlign w:val="center"/>
            <w:hideMark/>
          </w:tcPr>
          <w:p w14:paraId="3AADFDB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KB1.1</w:t>
            </w:r>
          </w:p>
        </w:tc>
        <w:tc>
          <w:tcPr>
            <w:tcW w:w="1946" w:type="dxa"/>
            <w:tcBorders>
              <w:top w:val="single" w:sz="4" w:space="0" w:color="auto"/>
            </w:tcBorders>
            <w:noWrap/>
            <w:vAlign w:val="center"/>
            <w:hideMark/>
          </w:tcPr>
          <w:p w14:paraId="3FEADC0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tcBorders>
              <w:top w:val="single" w:sz="4" w:space="0" w:color="auto"/>
            </w:tcBorders>
            <w:noWrap/>
            <w:vAlign w:val="center"/>
            <w:hideMark/>
          </w:tcPr>
          <w:p w14:paraId="3006BE4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0,933</w:t>
            </w:r>
          </w:p>
        </w:tc>
        <w:tc>
          <w:tcPr>
            <w:tcW w:w="1541" w:type="dxa"/>
            <w:tcBorders>
              <w:top w:val="single" w:sz="4" w:space="0" w:color="auto"/>
            </w:tcBorders>
            <w:noWrap/>
            <w:vAlign w:val="center"/>
            <w:hideMark/>
          </w:tcPr>
          <w:p w14:paraId="0DBE47D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tcBorders>
              <w:top w:val="single" w:sz="4" w:space="0" w:color="auto"/>
            </w:tcBorders>
            <w:noWrap/>
            <w:vAlign w:val="center"/>
            <w:hideMark/>
          </w:tcPr>
          <w:p w14:paraId="57D6D6B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41A9EAA4" w14:textId="77777777" w:rsidTr="00ED6974">
        <w:trPr>
          <w:trHeight w:val="225"/>
        </w:trPr>
        <w:tc>
          <w:tcPr>
            <w:tcW w:w="1946" w:type="dxa"/>
            <w:noWrap/>
            <w:vAlign w:val="center"/>
            <w:hideMark/>
          </w:tcPr>
          <w:p w14:paraId="40605BF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KB1.2</w:t>
            </w:r>
          </w:p>
        </w:tc>
        <w:tc>
          <w:tcPr>
            <w:tcW w:w="1946" w:type="dxa"/>
            <w:noWrap/>
            <w:vAlign w:val="center"/>
            <w:hideMark/>
          </w:tcPr>
          <w:p w14:paraId="4BB49B7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6ABE3AA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0,888</w:t>
            </w:r>
          </w:p>
        </w:tc>
        <w:tc>
          <w:tcPr>
            <w:tcW w:w="1541" w:type="dxa"/>
            <w:noWrap/>
            <w:vAlign w:val="center"/>
            <w:hideMark/>
          </w:tcPr>
          <w:p w14:paraId="1EDC87D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0D52EF1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4C10B813" w14:textId="77777777" w:rsidTr="00ED6974">
        <w:trPr>
          <w:trHeight w:val="225"/>
        </w:trPr>
        <w:tc>
          <w:tcPr>
            <w:tcW w:w="1946" w:type="dxa"/>
            <w:noWrap/>
            <w:vAlign w:val="center"/>
            <w:hideMark/>
          </w:tcPr>
          <w:p w14:paraId="2E9B676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KB1.3</w:t>
            </w:r>
          </w:p>
        </w:tc>
        <w:tc>
          <w:tcPr>
            <w:tcW w:w="1946" w:type="dxa"/>
            <w:noWrap/>
            <w:vAlign w:val="center"/>
            <w:hideMark/>
          </w:tcPr>
          <w:p w14:paraId="1ADA9B62"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4F87C49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0,936</w:t>
            </w:r>
          </w:p>
        </w:tc>
        <w:tc>
          <w:tcPr>
            <w:tcW w:w="1541" w:type="dxa"/>
            <w:noWrap/>
            <w:vAlign w:val="center"/>
            <w:hideMark/>
          </w:tcPr>
          <w:p w14:paraId="268D7AF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1CB44D9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580A71DE" w14:textId="77777777" w:rsidTr="00ED6974">
        <w:trPr>
          <w:trHeight w:val="225"/>
        </w:trPr>
        <w:tc>
          <w:tcPr>
            <w:tcW w:w="1946" w:type="dxa"/>
            <w:noWrap/>
            <w:vAlign w:val="center"/>
            <w:hideMark/>
          </w:tcPr>
          <w:p w14:paraId="3872892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KB1.4</w:t>
            </w:r>
          </w:p>
        </w:tc>
        <w:tc>
          <w:tcPr>
            <w:tcW w:w="1946" w:type="dxa"/>
            <w:noWrap/>
            <w:vAlign w:val="center"/>
            <w:hideMark/>
          </w:tcPr>
          <w:p w14:paraId="1D050F6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662D125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0,887</w:t>
            </w:r>
          </w:p>
        </w:tc>
        <w:tc>
          <w:tcPr>
            <w:tcW w:w="1541" w:type="dxa"/>
            <w:noWrap/>
            <w:vAlign w:val="center"/>
            <w:hideMark/>
          </w:tcPr>
          <w:p w14:paraId="6A25CD0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47385B1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6A2502EE" w14:textId="77777777" w:rsidTr="00ED6974">
        <w:trPr>
          <w:trHeight w:val="225"/>
        </w:trPr>
        <w:tc>
          <w:tcPr>
            <w:tcW w:w="1946" w:type="dxa"/>
            <w:noWrap/>
            <w:vAlign w:val="center"/>
            <w:hideMark/>
          </w:tcPr>
          <w:p w14:paraId="23BF318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KB1.5</w:t>
            </w:r>
          </w:p>
        </w:tc>
        <w:tc>
          <w:tcPr>
            <w:tcW w:w="1946" w:type="dxa"/>
            <w:noWrap/>
            <w:vAlign w:val="center"/>
            <w:hideMark/>
          </w:tcPr>
          <w:p w14:paraId="78DD019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51937C2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0,912</w:t>
            </w:r>
          </w:p>
        </w:tc>
        <w:tc>
          <w:tcPr>
            <w:tcW w:w="1541" w:type="dxa"/>
            <w:noWrap/>
            <w:vAlign w:val="center"/>
            <w:hideMark/>
          </w:tcPr>
          <w:p w14:paraId="220F1D9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38EFFF6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055D59B7" w14:textId="77777777" w:rsidTr="00ED6974">
        <w:trPr>
          <w:trHeight w:val="225"/>
        </w:trPr>
        <w:tc>
          <w:tcPr>
            <w:tcW w:w="1946" w:type="dxa"/>
            <w:noWrap/>
            <w:vAlign w:val="center"/>
            <w:hideMark/>
          </w:tcPr>
          <w:p w14:paraId="28EE445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KB1.6</w:t>
            </w:r>
          </w:p>
        </w:tc>
        <w:tc>
          <w:tcPr>
            <w:tcW w:w="1946" w:type="dxa"/>
            <w:noWrap/>
            <w:vAlign w:val="center"/>
            <w:hideMark/>
          </w:tcPr>
          <w:p w14:paraId="57C1B72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3D9CD17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0,863</w:t>
            </w:r>
          </w:p>
        </w:tc>
        <w:tc>
          <w:tcPr>
            <w:tcW w:w="1541" w:type="dxa"/>
            <w:noWrap/>
            <w:vAlign w:val="center"/>
            <w:hideMark/>
          </w:tcPr>
          <w:p w14:paraId="441CFB8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26EA4B7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1649B62E" w14:textId="77777777" w:rsidTr="00ED6974">
        <w:trPr>
          <w:trHeight w:val="225"/>
        </w:trPr>
        <w:tc>
          <w:tcPr>
            <w:tcW w:w="1946" w:type="dxa"/>
            <w:noWrap/>
            <w:vAlign w:val="center"/>
            <w:hideMark/>
          </w:tcPr>
          <w:p w14:paraId="69477A4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KB1.7</w:t>
            </w:r>
          </w:p>
        </w:tc>
        <w:tc>
          <w:tcPr>
            <w:tcW w:w="1946" w:type="dxa"/>
            <w:noWrap/>
            <w:vAlign w:val="center"/>
            <w:hideMark/>
          </w:tcPr>
          <w:p w14:paraId="762AC37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619AA07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0,874</w:t>
            </w:r>
          </w:p>
        </w:tc>
        <w:tc>
          <w:tcPr>
            <w:tcW w:w="1541" w:type="dxa"/>
            <w:noWrap/>
            <w:vAlign w:val="center"/>
            <w:hideMark/>
          </w:tcPr>
          <w:p w14:paraId="040B2AC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3B7518E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3EFAE74A" w14:textId="77777777" w:rsidTr="00ED6974">
        <w:trPr>
          <w:trHeight w:val="225"/>
        </w:trPr>
        <w:tc>
          <w:tcPr>
            <w:tcW w:w="1946" w:type="dxa"/>
            <w:noWrap/>
            <w:vAlign w:val="center"/>
            <w:hideMark/>
          </w:tcPr>
          <w:p w14:paraId="24DECF2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KB1.8</w:t>
            </w:r>
          </w:p>
        </w:tc>
        <w:tc>
          <w:tcPr>
            <w:tcW w:w="1946" w:type="dxa"/>
            <w:noWrap/>
            <w:vAlign w:val="center"/>
            <w:hideMark/>
          </w:tcPr>
          <w:p w14:paraId="12BD560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049AC62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0,895</w:t>
            </w:r>
          </w:p>
        </w:tc>
        <w:tc>
          <w:tcPr>
            <w:tcW w:w="1541" w:type="dxa"/>
            <w:noWrap/>
            <w:vAlign w:val="center"/>
            <w:hideMark/>
          </w:tcPr>
          <w:p w14:paraId="40B09E0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52AC81C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0963BEF1" w14:textId="77777777" w:rsidTr="00ED6974">
        <w:trPr>
          <w:trHeight w:val="225"/>
        </w:trPr>
        <w:tc>
          <w:tcPr>
            <w:tcW w:w="1946" w:type="dxa"/>
            <w:noWrap/>
            <w:vAlign w:val="center"/>
            <w:hideMark/>
          </w:tcPr>
          <w:p w14:paraId="3A87C65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KB1.9</w:t>
            </w:r>
          </w:p>
        </w:tc>
        <w:tc>
          <w:tcPr>
            <w:tcW w:w="1946" w:type="dxa"/>
            <w:noWrap/>
            <w:vAlign w:val="center"/>
            <w:hideMark/>
          </w:tcPr>
          <w:p w14:paraId="05D1DEB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5F5AC34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0,893</w:t>
            </w:r>
          </w:p>
        </w:tc>
        <w:tc>
          <w:tcPr>
            <w:tcW w:w="1541" w:type="dxa"/>
            <w:noWrap/>
            <w:vAlign w:val="center"/>
            <w:hideMark/>
          </w:tcPr>
          <w:p w14:paraId="3802C46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5D365B9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286134DB" w14:textId="77777777" w:rsidTr="00ED6974">
        <w:trPr>
          <w:trHeight w:val="225"/>
        </w:trPr>
        <w:tc>
          <w:tcPr>
            <w:tcW w:w="1946" w:type="dxa"/>
            <w:noWrap/>
            <w:vAlign w:val="center"/>
            <w:hideMark/>
          </w:tcPr>
          <w:p w14:paraId="52A0E14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KD1.10</w:t>
            </w:r>
          </w:p>
        </w:tc>
        <w:tc>
          <w:tcPr>
            <w:tcW w:w="1946" w:type="dxa"/>
            <w:noWrap/>
            <w:vAlign w:val="center"/>
            <w:hideMark/>
          </w:tcPr>
          <w:p w14:paraId="00EFC78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09C5376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6DEAD28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0,930</w:t>
            </w:r>
          </w:p>
        </w:tc>
        <w:tc>
          <w:tcPr>
            <w:tcW w:w="1805" w:type="dxa"/>
            <w:noWrap/>
            <w:vAlign w:val="center"/>
            <w:hideMark/>
          </w:tcPr>
          <w:p w14:paraId="649AF97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5592C8E6" w14:textId="77777777" w:rsidTr="00ED6974">
        <w:trPr>
          <w:trHeight w:val="225"/>
        </w:trPr>
        <w:tc>
          <w:tcPr>
            <w:tcW w:w="1946" w:type="dxa"/>
            <w:noWrap/>
            <w:vAlign w:val="center"/>
            <w:hideMark/>
          </w:tcPr>
          <w:p w14:paraId="34357B3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KD1.11</w:t>
            </w:r>
          </w:p>
        </w:tc>
        <w:tc>
          <w:tcPr>
            <w:tcW w:w="1946" w:type="dxa"/>
            <w:noWrap/>
            <w:vAlign w:val="center"/>
            <w:hideMark/>
          </w:tcPr>
          <w:p w14:paraId="02C5D08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79DD2D5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3522720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0,849</w:t>
            </w:r>
          </w:p>
        </w:tc>
        <w:tc>
          <w:tcPr>
            <w:tcW w:w="1805" w:type="dxa"/>
            <w:noWrap/>
            <w:vAlign w:val="center"/>
            <w:hideMark/>
          </w:tcPr>
          <w:p w14:paraId="057E33B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7A662389" w14:textId="77777777" w:rsidTr="00ED6974">
        <w:trPr>
          <w:trHeight w:val="225"/>
        </w:trPr>
        <w:tc>
          <w:tcPr>
            <w:tcW w:w="1946" w:type="dxa"/>
            <w:noWrap/>
            <w:vAlign w:val="center"/>
            <w:hideMark/>
          </w:tcPr>
          <w:p w14:paraId="7B31FC1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KD1.2</w:t>
            </w:r>
          </w:p>
        </w:tc>
        <w:tc>
          <w:tcPr>
            <w:tcW w:w="1946" w:type="dxa"/>
            <w:noWrap/>
            <w:vAlign w:val="center"/>
            <w:hideMark/>
          </w:tcPr>
          <w:p w14:paraId="47A0E4B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0272D26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09FE099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0,917</w:t>
            </w:r>
          </w:p>
        </w:tc>
        <w:tc>
          <w:tcPr>
            <w:tcW w:w="1805" w:type="dxa"/>
            <w:noWrap/>
            <w:vAlign w:val="center"/>
            <w:hideMark/>
          </w:tcPr>
          <w:p w14:paraId="71C3AA3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7F1AAEE7" w14:textId="77777777" w:rsidTr="00ED6974">
        <w:trPr>
          <w:trHeight w:val="225"/>
        </w:trPr>
        <w:tc>
          <w:tcPr>
            <w:tcW w:w="1946" w:type="dxa"/>
            <w:noWrap/>
            <w:vAlign w:val="center"/>
            <w:hideMark/>
          </w:tcPr>
          <w:p w14:paraId="3B6E43C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KD1.3</w:t>
            </w:r>
          </w:p>
        </w:tc>
        <w:tc>
          <w:tcPr>
            <w:tcW w:w="1946" w:type="dxa"/>
            <w:noWrap/>
            <w:vAlign w:val="center"/>
            <w:hideMark/>
          </w:tcPr>
          <w:p w14:paraId="102A9FE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4E462C4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751C755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0,729</w:t>
            </w:r>
          </w:p>
        </w:tc>
        <w:tc>
          <w:tcPr>
            <w:tcW w:w="1805" w:type="dxa"/>
            <w:noWrap/>
            <w:vAlign w:val="center"/>
            <w:hideMark/>
          </w:tcPr>
          <w:p w14:paraId="5FCE0EC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4C223463" w14:textId="77777777" w:rsidTr="00ED6974">
        <w:trPr>
          <w:trHeight w:val="225"/>
        </w:trPr>
        <w:tc>
          <w:tcPr>
            <w:tcW w:w="1946" w:type="dxa"/>
            <w:noWrap/>
            <w:vAlign w:val="center"/>
            <w:hideMark/>
          </w:tcPr>
          <w:p w14:paraId="3DB4CB5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KD1.4</w:t>
            </w:r>
          </w:p>
        </w:tc>
        <w:tc>
          <w:tcPr>
            <w:tcW w:w="1946" w:type="dxa"/>
            <w:noWrap/>
            <w:vAlign w:val="center"/>
            <w:hideMark/>
          </w:tcPr>
          <w:p w14:paraId="5BEA2A3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416256B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74A6C44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0,798</w:t>
            </w:r>
          </w:p>
        </w:tc>
        <w:tc>
          <w:tcPr>
            <w:tcW w:w="1805" w:type="dxa"/>
            <w:noWrap/>
            <w:vAlign w:val="center"/>
            <w:hideMark/>
          </w:tcPr>
          <w:p w14:paraId="3CC4273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3DCB20B9" w14:textId="77777777" w:rsidTr="00ED6974">
        <w:trPr>
          <w:trHeight w:val="225"/>
        </w:trPr>
        <w:tc>
          <w:tcPr>
            <w:tcW w:w="1946" w:type="dxa"/>
            <w:noWrap/>
            <w:vAlign w:val="center"/>
            <w:hideMark/>
          </w:tcPr>
          <w:p w14:paraId="5740A30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KD1.5</w:t>
            </w:r>
          </w:p>
        </w:tc>
        <w:tc>
          <w:tcPr>
            <w:tcW w:w="1946" w:type="dxa"/>
            <w:noWrap/>
            <w:vAlign w:val="center"/>
            <w:hideMark/>
          </w:tcPr>
          <w:p w14:paraId="65BA9D4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432FA76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1636A7C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0,914</w:t>
            </w:r>
          </w:p>
        </w:tc>
        <w:tc>
          <w:tcPr>
            <w:tcW w:w="1805" w:type="dxa"/>
            <w:noWrap/>
            <w:vAlign w:val="center"/>
            <w:hideMark/>
          </w:tcPr>
          <w:p w14:paraId="49CFA3C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5A7CB566" w14:textId="77777777" w:rsidTr="00ED6974">
        <w:trPr>
          <w:trHeight w:val="225"/>
        </w:trPr>
        <w:tc>
          <w:tcPr>
            <w:tcW w:w="1946" w:type="dxa"/>
            <w:noWrap/>
            <w:vAlign w:val="center"/>
            <w:hideMark/>
          </w:tcPr>
          <w:p w14:paraId="34B336B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KD1.7</w:t>
            </w:r>
          </w:p>
        </w:tc>
        <w:tc>
          <w:tcPr>
            <w:tcW w:w="1946" w:type="dxa"/>
            <w:noWrap/>
            <w:vAlign w:val="center"/>
            <w:hideMark/>
          </w:tcPr>
          <w:p w14:paraId="5A46FEB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70A5C1F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220DF4C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0,923</w:t>
            </w:r>
          </w:p>
        </w:tc>
        <w:tc>
          <w:tcPr>
            <w:tcW w:w="1805" w:type="dxa"/>
            <w:noWrap/>
            <w:vAlign w:val="center"/>
            <w:hideMark/>
          </w:tcPr>
          <w:p w14:paraId="0C7408A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156375F6" w14:textId="77777777" w:rsidTr="00ED6974">
        <w:trPr>
          <w:trHeight w:val="225"/>
        </w:trPr>
        <w:tc>
          <w:tcPr>
            <w:tcW w:w="1946" w:type="dxa"/>
            <w:noWrap/>
            <w:vAlign w:val="center"/>
            <w:hideMark/>
          </w:tcPr>
          <w:p w14:paraId="7D47F5E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KD1.8</w:t>
            </w:r>
          </w:p>
        </w:tc>
        <w:tc>
          <w:tcPr>
            <w:tcW w:w="1946" w:type="dxa"/>
            <w:noWrap/>
            <w:vAlign w:val="center"/>
            <w:hideMark/>
          </w:tcPr>
          <w:p w14:paraId="4CB07AD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2964D29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1BEF877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0,961</w:t>
            </w:r>
          </w:p>
        </w:tc>
        <w:tc>
          <w:tcPr>
            <w:tcW w:w="1805" w:type="dxa"/>
            <w:noWrap/>
            <w:vAlign w:val="center"/>
            <w:hideMark/>
          </w:tcPr>
          <w:p w14:paraId="4F2D3BF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7D34479D" w14:textId="77777777" w:rsidTr="00ED6974">
        <w:trPr>
          <w:trHeight w:val="225"/>
        </w:trPr>
        <w:tc>
          <w:tcPr>
            <w:tcW w:w="1946" w:type="dxa"/>
            <w:noWrap/>
            <w:vAlign w:val="center"/>
            <w:hideMark/>
          </w:tcPr>
          <w:p w14:paraId="23B12D6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KD1.9</w:t>
            </w:r>
          </w:p>
        </w:tc>
        <w:tc>
          <w:tcPr>
            <w:tcW w:w="1946" w:type="dxa"/>
            <w:noWrap/>
            <w:vAlign w:val="center"/>
            <w:hideMark/>
          </w:tcPr>
          <w:p w14:paraId="5F282D8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23683F3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714E9F6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0,787</w:t>
            </w:r>
          </w:p>
        </w:tc>
        <w:tc>
          <w:tcPr>
            <w:tcW w:w="1805" w:type="dxa"/>
            <w:noWrap/>
            <w:vAlign w:val="center"/>
            <w:hideMark/>
          </w:tcPr>
          <w:p w14:paraId="70475FD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7C14AEC0" w14:textId="77777777" w:rsidTr="00ED6974">
        <w:trPr>
          <w:trHeight w:val="225"/>
        </w:trPr>
        <w:tc>
          <w:tcPr>
            <w:tcW w:w="1946" w:type="dxa"/>
            <w:noWrap/>
            <w:vAlign w:val="center"/>
            <w:hideMark/>
          </w:tcPr>
          <w:p w14:paraId="59AC5F2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KI1.10</w:t>
            </w:r>
          </w:p>
        </w:tc>
        <w:tc>
          <w:tcPr>
            <w:tcW w:w="1946" w:type="dxa"/>
            <w:noWrap/>
            <w:vAlign w:val="center"/>
            <w:hideMark/>
          </w:tcPr>
          <w:p w14:paraId="44CA29A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0,946</w:t>
            </w:r>
          </w:p>
        </w:tc>
        <w:tc>
          <w:tcPr>
            <w:tcW w:w="1946" w:type="dxa"/>
            <w:noWrap/>
            <w:vAlign w:val="center"/>
            <w:hideMark/>
          </w:tcPr>
          <w:p w14:paraId="1AAD2CD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009DCB9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4097012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4E933CCC" w14:textId="77777777" w:rsidTr="00ED6974">
        <w:trPr>
          <w:trHeight w:val="225"/>
        </w:trPr>
        <w:tc>
          <w:tcPr>
            <w:tcW w:w="1946" w:type="dxa"/>
            <w:noWrap/>
            <w:vAlign w:val="center"/>
            <w:hideMark/>
          </w:tcPr>
          <w:p w14:paraId="4081092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KI1.11</w:t>
            </w:r>
          </w:p>
        </w:tc>
        <w:tc>
          <w:tcPr>
            <w:tcW w:w="1946" w:type="dxa"/>
            <w:noWrap/>
            <w:vAlign w:val="center"/>
            <w:hideMark/>
          </w:tcPr>
          <w:p w14:paraId="31487AA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0,846</w:t>
            </w:r>
          </w:p>
        </w:tc>
        <w:tc>
          <w:tcPr>
            <w:tcW w:w="1946" w:type="dxa"/>
            <w:noWrap/>
            <w:vAlign w:val="center"/>
            <w:hideMark/>
          </w:tcPr>
          <w:p w14:paraId="4495301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2A6254F2"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19618E0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5B7AEFAE" w14:textId="77777777" w:rsidTr="00ED6974">
        <w:trPr>
          <w:trHeight w:val="225"/>
        </w:trPr>
        <w:tc>
          <w:tcPr>
            <w:tcW w:w="1946" w:type="dxa"/>
            <w:noWrap/>
            <w:vAlign w:val="center"/>
            <w:hideMark/>
          </w:tcPr>
          <w:p w14:paraId="0190412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KI1.12</w:t>
            </w:r>
          </w:p>
        </w:tc>
        <w:tc>
          <w:tcPr>
            <w:tcW w:w="1946" w:type="dxa"/>
            <w:noWrap/>
            <w:vAlign w:val="center"/>
            <w:hideMark/>
          </w:tcPr>
          <w:p w14:paraId="1620C70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0,913</w:t>
            </w:r>
          </w:p>
        </w:tc>
        <w:tc>
          <w:tcPr>
            <w:tcW w:w="1946" w:type="dxa"/>
            <w:noWrap/>
            <w:vAlign w:val="center"/>
            <w:hideMark/>
          </w:tcPr>
          <w:p w14:paraId="0280C23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20A7BFC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5E75779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52C8AC6D" w14:textId="77777777" w:rsidTr="00ED6974">
        <w:trPr>
          <w:trHeight w:val="225"/>
        </w:trPr>
        <w:tc>
          <w:tcPr>
            <w:tcW w:w="1946" w:type="dxa"/>
            <w:noWrap/>
            <w:vAlign w:val="center"/>
            <w:hideMark/>
          </w:tcPr>
          <w:p w14:paraId="1649D15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KI1.2</w:t>
            </w:r>
          </w:p>
        </w:tc>
        <w:tc>
          <w:tcPr>
            <w:tcW w:w="1946" w:type="dxa"/>
            <w:noWrap/>
            <w:vAlign w:val="center"/>
            <w:hideMark/>
          </w:tcPr>
          <w:p w14:paraId="28F1868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0,951</w:t>
            </w:r>
          </w:p>
        </w:tc>
        <w:tc>
          <w:tcPr>
            <w:tcW w:w="1946" w:type="dxa"/>
            <w:noWrap/>
            <w:vAlign w:val="center"/>
            <w:hideMark/>
          </w:tcPr>
          <w:p w14:paraId="54C27CD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443B82B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3A11AA8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1BADEC77" w14:textId="77777777" w:rsidTr="00ED6974">
        <w:trPr>
          <w:trHeight w:val="225"/>
        </w:trPr>
        <w:tc>
          <w:tcPr>
            <w:tcW w:w="1946" w:type="dxa"/>
            <w:noWrap/>
            <w:vAlign w:val="center"/>
            <w:hideMark/>
          </w:tcPr>
          <w:p w14:paraId="778BBD3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KI1.3</w:t>
            </w:r>
          </w:p>
        </w:tc>
        <w:tc>
          <w:tcPr>
            <w:tcW w:w="1946" w:type="dxa"/>
            <w:noWrap/>
            <w:vAlign w:val="center"/>
            <w:hideMark/>
          </w:tcPr>
          <w:p w14:paraId="46E5FAB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0,886</w:t>
            </w:r>
          </w:p>
        </w:tc>
        <w:tc>
          <w:tcPr>
            <w:tcW w:w="1946" w:type="dxa"/>
            <w:noWrap/>
            <w:vAlign w:val="center"/>
            <w:hideMark/>
          </w:tcPr>
          <w:p w14:paraId="7FCFDFF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64D034B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228321A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70A79920" w14:textId="77777777" w:rsidTr="00ED6974">
        <w:trPr>
          <w:trHeight w:val="225"/>
        </w:trPr>
        <w:tc>
          <w:tcPr>
            <w:tcW w:w="1946" w:type="dxa"/>
            <w:noWrap/>
            <w:vAlign w:val="center"/>
            <w:hideMark/>
          </w:tcPr>
          <w:p w14:paraId="7A5555F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KI1.4</w:t>
            </w:r>
          </w:p>
        </w:tc>
        <w:tc>
          <w:tcPr>
            <w:tcW w:w="1946" w:type="dxa"/>
            <w:noWrap/>
            <w:vAlign w:val="center"/>
            <w:hideMark/>
          </w:tcPr>
          <w:p w14:paraId="36CEC7A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0,711</w:t>
            </w:r>
          </w:p>
        </w:tc>
        <w:tc>
          <w:tcPr>
            <w:tcW w:w="1946" w:type="dxa"/>
            <w:noWrap/>
            <w:vAlign w:val="center"/>
            <w:hideMark/>
          </w:tcPr>
          <w:p w14:paraId="35CF42D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6B4409C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2C37B85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7B9B2FA2" w14:textId="77777777" w:rsidTr="00ED6974">
        <w:trPr>
          <w:trHeight w:val="225"/>
        </w:trPr>
        <w:tc>
          <w:tcPr>
            <w:tcW w:w="1946" w:type="dxa"/>
            <w:noWrap/>
            <w:vAlign w:val="center"/>
            <w:hideMark/>
          </w:tcPr>
          <w:p w14:paraId="68AA515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KI1.5</w:t>
            </w:r>
          </w:p>
        </w:tc>
        <w:tc>
          <w:tcPr>
            <w:tcW w:w="1946" w:type="dxa"/>
            <w:noWrap/>
            <w:vAlign w:val="center"/>
            <w:hideMark/>
          </w:tcPr>
          <w:p w14:paraId="68FE717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0,933</w:t>
            </w:r>
          </w:p>
        </w:tc>
        <w:tc>
          <w:tcPr>
            <w:tcW w:w="1946" w:type="dxa"/>
            <w:noWrap/>
            <w:vAlign w:val="center"/>
            <w:hideMark/>
          </w:tcPr>
          <w:p w14:paraId="045377F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112DE5C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28D4826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60BE7C0E" w14:textId="77777777" w:rsidTr="00ED6974">
        <w:trPr>
          <w:trHeight w:val="225"/>
        </w:trPr>
        <w:tc>
          <w:tcPr>
            <w:tcW w:w="1946" w:type="dxa"/>
            <w:noWrap/>
            <w:vAlign w:val="center"/>
            <w:hideMark/>
          </w:tcPr>
          <w:p w14:paraId="0B7F5CF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KI1.6</w:t>
            </w:r>
          </w:p>
        </w:tc>
        <w:tc>
          <w:tcPr>
            <w:tcW w:w="1946" w:type="dxa"/>
            <w:noWrap/>
            <w:vAlign w:val="center"/>
            <w:hideMark/>
          </w:tcPr>
          <w:p w14:paraId="301EB7D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0,908</w:t>
            </w:r>
          </w:p>
        </w:tc>
        <w:tc>
          <w:tcPr>
            <w:tcW w:w="1946" w:type="dxa"/>
            <w:noWrap/>
            <w:vAlign w:val="center"/>
            <w:hideMark/>
          </w:tcPr>
          <w:p w14:paraId="2580795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4CBBF99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6261E5E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4CD4D6C2" w14:textId="77777777" w:rsidTr="00ED6974">
        <w:trPr>
          <w:trHeight w:val="225"/>
        </w:trPr>
        <w:tc>
          <w:tcPr>
            <w:tcW w:w="1946" w:type="dxa"/>
            <w:noWrap/>
            <w:vAlign w:val="center"/>
            <w:hideMark/>
          </w:tcPr>
          <w:p w14:paraId="06A9FF7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KI1.7</w:t>
            </w:r>
          </w:p>
        </w:tc>
        <w:tc>
          <w:tcPr>
            <w:tcW w:w="1946" w:type="dxa"/>
            <w:noWrap/>
            <w:vAlign w:val="center"/>
            <w:hideMark/>
          </w:tcPr>
          <w:p w14:paraId="42B9BAD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0,854</w:t>
            </w:r>
          </w:p>
        </w:tc>
        <w:tc>
          <w:tcPr>
            <w:tcW w:w="1946" w:type="dxa"/>
            <w:noWrap/>
            <w:vAlign w:val="center"/>
            <w:hideMark/>
          </w:tcPr>
          <w:p w14:paraId="6A42933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17158FA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3134ACC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2CE26BD4" w14:textId="77777777" w:rsidTr="00ED6974">
        <w:trPr>
          <w:trHeight w:val="225"/>
        </w:trPr>
        <w:tc>
          <w:tcPr>
            <w:tcW w:w="1946" w:type="dxa"/>
            <w:noWrap/>
            <w:vAlign w:val="center"/>
            <w:hideMark/>
          </w:tcPr>
          <w:p w14:paraId="1C3FBE7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KI1.8</w:t>
            </w:r>
          </w:p>
        </w:tc>
        <w:tc>
          <w:tcPr>
            <w:tcW w:w="1946" w:type="dxa"/>
            <w:noWrap/>
            <w:vAlign w:val="center"/>
            <w:hideMark/>
          </w:tcPr>
          <w:p w14:paraId="547AF44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0,844</w:t>
            </w:r>
          </w:p>
        </w:tc>
        <w:tc>
          <w:tcPr>
            <w:tcW w:w="1946" w:type="dxa"/>
            <w:noWrap/>
            <w:vAlign w:val="center"/>
            <w:hideMark/>
          </w:tcPr>
          <w:p w14:paraId="0BFB581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446E1DB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4F77401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1AD11668" w14:textId="77777777" w:rsidTr="00ED6974">
        <w:trPr>
          <w:trHeight w:val="225"/>
        </w:trPr>
        <w:tc>
          <w:tcPr>
            <w:tcW w:w="1946" w:type="dxa"/>
            <w:noWrap/>
            <w:vAlign w:val="center"/>
            <w:hideMark/>
          </w:tcPr>
          <w:p w14:paraId="054F63B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KI1.9</w:t>
            </w:r>
          </w:p>
        </w:tc>
        <w:tc>
          <w:tcPr>
            <w:tcW w:w="1946" w:type="dxa"/>
            <w:noWrap/>
            <w:vAlign w:val="center"/>
            <w:hideMark/>
          </w:tcPr>
          <w:p w14:paraId="51B0D95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0,910</w:t>
            </w:r>
          </w:p>
        </w:tc>
        <w:tc>
          <w:tcPr>
            <w:tcW w:w="1946" w:type="dxa"/>
            <w:noWrap/>
            <w:vAlign w:val="center"/>
            <w:hideMark/>
          </w:tcPr>
          <w:p w14:paraId="088FB0F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0B85721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19778FB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39354D0F" w14:textId="77777777" w:rsidTr="00ED6974">
        <w:trPr>
          <w:trHeight w:val="225"/>
        </w:trPr>
        <w:tc>
          <w:tcPr>
            <w:tcW w:w="1946" w:type="dxa"/>
            <w:noWrap/>
            <w:vAlign w:val="center"/>
            <w:hideMark/>
          </w:tcPr>
          <w:p w14:paraId="62554CB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LA2.1</w:t>
            </w:r>
          </w:p>
        </w:tc>
        <w:tc>
          <w:tcPr>
            <w:tcW w:w="1946" w:type="dxa"/>
            <w:noWrap/>
            <w:vAlign w:val="center"/>
            <w:hideMark/>
          </w:tcPr>
          <w:p w14:paraId="7D6D573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66B76BB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25AC0ED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54C23342"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0,736</w:t>
            </w:r>
          </w:p>
        </w:tc>
      </w:tr>
      <w:tr w:rsidR="00DD1298" w:rsidRPr="008B0387" w14:paraId="39702D1C" w14:textId="77777777" w:rsidTr="00ED6974">
        <w:trPr>
          <w:trHeight w:val="225"/>
        </w:trPr>
        <w:tc>
          <w:tcPr>
            <w:tcW w:w="1946" w:type="dxa"/>
            <w:noWrap/>
            <w:vAlign w:val="center"/>
            <w:hideMark/>
          </w:tcPr>
          <w:p w14:paraId="4CDA095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LA2.2</w:t>
            </w:r>
          </w:p>
        </w:tc>
        <w:tc>
          <w:tcPr>
            <w:tcW w:w="1946" w:type="dxa"/>
            <w:noWrap/>
            <w:vAlign w:val="center"/>
            <w:hideMark/>
          </w:tcPr>
          <w:p w14:paraId="63A661F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010851F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373E1EE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6534E63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0,921</w:t>
            </w:r>
          </w:p>
        </w:tc>
      </w:tr>
      <w:tr w:rsidR="00DD1298" w:rsidRPr="008B0387" w14:paraId="2F590AD1" w14:textId="77777777" w:rsidTr="00ED6974">
        <w:trPr>
          <w:trHeight w:val="225"/>
        </w:trPr>
        <w:tc>
          <w:tcPr>
            <w:tcW w:w="1946" w:type="dxa"/>
            <w:noWrap/>
            <w:vAlign w:val="center"/>
            <w:hideMark/>
          </w:tcPr>
          <w:p w14:paraId="1F7F6B4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LA2.3</w:t>
            </w:r>
          </w:p>
        </w:tc>
        <w:tc>
          <w:tcPr>
            <w:tcW w:w="1946" w:type="dxa"/>
            <w:noWrap/>
            <w:vAlign w:val="center"/>
            <w:hideMark/>
          </w:tcPr>
          <w:p w14:paraId="76446AE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39C5D20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7517DDC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2FA3860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0,930</w:t>
            </w:r>
          </w:p>
        </w:tc>
      </w:tr>
      <w:tr w:rsidR="00DD1298" w:rsidRPr="008B0387" w14:paraId="0A3CEA1B" w14:textId="77777777" w:rsidTr="00ED6974">
        <w:trPr>
          <w:trHeight w:val="225"/>
        </w:trPr>
        <w:tc>
          <w:tcPr>
            <w:tcW w:w="1946" w:type="dxa"/>
            <w:noWrap/>
            <w:vAlign w:val="center"/>
            <w:hideMark/>
          </w:tcPr>
          <w:p w14:paraId="0600B2B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LA2.5</w:t>
            </w:r>
          </w:p>
        </w:tc>
        <w:tc>
          <w:tcPr>
            <w:tcW w:w="1946" w:type="dxa"/>
            <w:noWrap/>
            <w:vAlign w:val="center"/>
            <w:hideMark/>
          </w:tcPr>
          <w:p w14:paraId="63D4F88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7C507D3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36E1473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7B76739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0,788</w:t>
            </w:r>
          </w:p>
        </w:tc>
      </w:tr>
      <w:tr w:rsidR="00DD1298" w:rsidRPr="008B0387" w14:paraId="71B423E1" w14:textId="77777777" w:rsidTr="00ED6974">
        <w:trPr>
          <w:trHeight w:val="225"/>
        </w:trPr>
        <w:tc>
          <w:tcPr>
            <w:tcW w:w="1946" w:type="dxa"/>
            <w:noWrap/>
            <w:vAlign w:val="center"/>
            <w:hideMark/>
          </w:tcPr>
          <w:p w14:paraId="5DEDD2A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LA2.6</w:t>
            </w:r>
          </w:p>
        </w:tc>
        <w:tc>
          <w:tcPr>
            <w:tcW w:w="1946" w:type="dxa"/>
            <w:noWrap/>
            <w:vAlign w:val="center"/>
            <w:hideMark/>
          </w:tcPr>
          <w:p w14:paraId="07B7C13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2F7B2AD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2326B912"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1F96A7E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0,922</w:t>
            </w:r>
          </w:p>
        </w:tc>
      </w:tr>
      <w:tr w:rsidR="00DD1298" w:rsidRPr="008B0387" w14:paraId="064A26E1" w14:textId="77777777" w:rsidTr="00ED6974">
        <w:trPr>
          <w:trHeight w:val="225"/>
        </w:trPr>
        <w:tc>
          <w:tcPr>
            <w:tcW w:w="1946" w:type="dxa"/>
            <w:noWrap/>
            <w:vAlign w:val="center"/>
            <w:hideMark/>
          </w:tcPr>
          <w:p w14:paraId="26D15C3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LA2.8</w:t>
            </w:r>
          </w:p>
        </w:tc>
        <w:tc>
          <w:tcPr>
            <w:tcW w:w="1946" w:type="dxa"/>
            <w:noWrap/>
            <w:vAlign w:val="center"/>
            <w:hideMark/>
          </w:tcPr>
          <w:p w14:paraId="48CB45A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393B0C4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2953C582"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0DCCD66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0,942</w:t>
            </w:r>
          </w:p>
        </w:tc>
      </w:tr>
      <w:tr w:rsidR="00DD1298" w:rsidRPr="008B0387" w14:paraId="30721EDF" w14:textId="77777777" w:rsidTr="00ED6974">
        <w:trPr>
          <w:trHeight w:val="225"/>
        </w:trPr>
        <w:tc>
          <w:tcPr>
            <w:tcW w:w="1946" w:type="dxa"/>
            <w:noWrap/>
            <w:vAlign w:val="center"/>
            <w:hideMark/>
          </w:tcPr>
          <w:p w14:paraId="65C24A12"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LA2.9</w:t>
            </w:r>
          </w:p>
        </w:tc>
        <w:tc>
          <w:tcPr>
            <w:tcW w:w="1946" w:type="dxa"/>
            <w:noWrap/>
            <w:vAlign w:val="center"/>
            <w:hideMark/>
          </w:tcPr>
          <w:p w14:paraId="69A0878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4E7D257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3212CF4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16A76FA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0,937</w:t>
            </w:r>
          </w:p>
        </w:tc>
      </w:tr>
      <w:tr w:rsidR="00DD1298" w:rsidRPr="008B0387" w14:paraId="4C3375AF" w14:textId="77777777" w:rsidTr="00ED6974">
        <w:trPr>
          <w:trHeight w:val="225"/>
        </w:trPr>
        <w:tc>
          <w:tcPr>
            <w:tcW w:w="1946" w:type="dxa"/>
            <w:noWrap/>
            <w:vAlign w:val="center"/>
            <w:hideMark/>
          </w:tcPr>
          <w:p w14:paraId="2517315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Tahoma" w:eastAsia="Arial" w:hAnsi="Tahoma" w:cs="Tahoma"/>
                <w:lang w:val="id-ID"/>
              </w:rPr>
              <w:t>﻿</w:t>
            </w:r>
            <w:r w:rsidRPr="008B0387">
              <w:rPr>
                <w:rFonts w:ascii="Arial" w:eastAsia="Arial" w:hAnsi="Arial" w:cs="Arial"/>
                <w:lang w:val="id-ID"/>
              </w:rPr>
              <w:t>KD1.1</w:t>
            </w:r>
          </w:p>
        </w:tc>
        <w:tc>
          <w:tcPr>
            <w:tcW w:w="1946" w:type="dxa"/>
            <w:noWrap/>
            <w:vAlign w:val="center"/>
            <w:hideMark/>
          </w:tcPr>
          <w:p w14:paraId="05CDD39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443C208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51B8A37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0,871</w:t>
            </w:r>
          </w:p>
        </w:tc>
        <w:tc>
          <w:tcPr>
            <w:tcW w:w="1805" w:type="dxa"/>
            <w:noWrap/>
            <w:vAlign w:val="center"/>
            <w:hideMark/>
          </w:tcPr>
          <w:p w14:paraId="336531C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bl>
    <w:p w14:paraId="39378D1A" w14:textId="77777777" w:rsidR="008B00F0" w:rsidRPr="008B0387" w:rsidRDefault="008B00F0" w:rsidP="008B00F0">
      <w:pPr>
        <w:jc w:val="center"/>
        <w:rPr>
          <w:rFonts w:ascii="Arial" w:eastAsia="Arial" w:hAnsi="Arial" w:cs="Arial"/>
          <w:bCs/>
          <w:sz w:val="18"/>
          <w:szCs w:val="18"/>
        </w:rPr>
      </w:pPr>
      <w:r w:rsidRPr="008B0387">
        <w:rPr>
          <w:rFonts w:ascii="Arial" w:eastAsia="Arial" w:hAnsi="Arial" w:cs="Arial"/>
          <w:bCs/>
          <w:sz w:val="18"/>
          <w:szCs w:val="18"/>
        </w:rPr>
        <w:t>Source: PLS 3 result data, processed (2025)</w:t>
      </w:r>
    </w:p>
    <w:p w14:paraId="6463BB99" w14:textId="77777777" w:rsidR="00DD1298" w:rsidRPr="008B0387" w:rsidRDefault="00DD1298" w:rsidP="00DD1298">
      <w:pPr>
        <w:pBdr>
          <w:top w:val="nil"/>
          <w:left w:val="nil"/>
          <w:bottom w:val="nil"/>
          <w:right w:val="nil"/>
          <w:between w:val="nil"/>
        </w:pBdr>
        <w:jc w:val="both"/>
        <w:rPr>
          <w:rFonts w:ascii="Arial" w:eastAsia="Arial" w:hAnsi="Arial" w:cs="Arial"/>
        </w:rPr>
      </w:pPr>
    </w:p>
    <w:p w14:paraId="6120C003" w14:textId="5D046025" w:rsidR="00DD1298" w:rsidRPr="008B0387" w:rsidRDefault="00DD1298" w:rsidP="00590C2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Based on the table above, the indicator loading factors for Business Sustainability range from 0.863 to 0.936, for Digital Trust from 0.729 to 0.961, for Innovation Capability from 0.711 to 0.951, and for Artificial Intelligence Literacy from 0.736 to 0.942. All indicators are declared valid as they meet the loading factor threshold of &gt;0.70, thus satisfying convergent validity criteria, and are eligible for further model testing.</w:t>
      </w:r>
    </w:p>
    <w:p w14:paraId="2B861778" w14:textId="77777777" w:rsidR="00DD1298" w:rsidRPr="008B0387" w:rsidRDefault="00DD1298" w:rsidP="00DD1298">
      <w:pPr>
        <w:pBdr>
          <w:top w:val="nil"/>
          <w:left w:val="nil"/>
          <w:bottom w:val="nil"/>
          <w:right w:val="nil"/>
          <w:between w:val="nil"/>
        </w:pBdr>
        <w:jc w:val="both"/>
        <w:rPr>
          <w:rFonts w:ascii="Arial" w:eastAsia="Arial" w:hAnsi="Arial" w:cs="Arial"/>
          <w:bCs/>
          <w:i/>
          <w:iCs/>
          <w:lang w:val="en-US"/>
        </w:rPr>
      </w:pPr>
    </w:p>
    <w:p w14:paraId="687FE433" w14:textId="5222780A" w:rsidR="00DD1298" w:rsidRPr="008B0387" w:rsidRDefault="00DD1298" w:rsidP="00DD1298">
      <w:pPr>
        <w:pBdr>
          <w:top w:val="nil"/>
          <w:left w:val="nil"/>
          <w:bottom w:val="nil"/>
          <w:right w:val="nil"/>
          <w:between w:val="nil"/>
        </w:pBdr>
        <w:jc w:val="center"/>
        <w:rPr>
          <w:rFonts w:ascii="Arial" w:eastAsia="Arial" w:hAnsi="Arial" w:cs="Arial"/>
          <w:b/>
          <w:lang w:val="en-US"/>
        </w:rPr>
      </w:pPr>
      <w:r w:rsidRPr="008B0387">
        <w:rPr>
          <w:rFonts w:ascii="Arial" w:eastAsia="Arial" w:hAnsi="Arial" w:cs="Arial"/>
          <w:b/>
          <w:lang w:val="en-US"/>
        </w:rPr>
        <w:t>Table 3. Fornell-Larcker Criteria</w:t>
      </w:r>
    </w:p>
    <w:p w14:paraId="212440CE" w14:textId="77777777" w:rsidR="00A57BFC" w:rsidRPr="008B0387" w:rsidRDefault="00A57BFC" w:rsidP="00DD1298">
      <w:pPr>
        <w:pBdr>
          <w:top w:val="nil"/>
          <w:left w:val="nil"/>
          <w:bottom w:val="nil"/>
          <w:right w:val="nil"/>
          <w:between w:val="nil"/>
        </w:pBdr>
        <w:jc w:val="both"/>
        <w:rPr>
          <w:rFonts w:ascii="Arial" w:eastAsia="Arial" w:hAnsi="Arial" w:cs="Arial"/>
        </w:rPr>
      </w:pPr>
    </w:p>
    <w:p w14:paraId="0D6260D5" w14:textId="563A999F"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According to the Fornell–Larcker criteria, the square roots of AVE on the diagonal</w:t>
      </w:r>
      <w:r w:rsidRPr="008B0387">
        <w:rPr>
          <w:rFonts w:ascii="Arial" w:eastAsia="Arial" w:hAnsi="Arial" w:cs="Arial"/>
          <w:lang w:val="en-US"/>
        </w:rPr>
        <w:t xml:space="preserve"> </w:t>
      </w:r>
      <w:r w:rsidRPr="008B0387">
        <w:rPr>
          <w:rFonts w:ascii="Arial" w:eastAsia="Arial" w:hAnsi="Arial" w:cs="Arial"/>
          <w:lang w:val="id-ID"/>
        </w:rPr>
        <w:t>IC = 0.884; BS = 0.898; DT = 0.871; AIL = 0.886</w:t>
      </w:r>
      <w:r w:rsidRPr="008B0387">
        <w:rPr>
          <w:rFonts w:ascii="Arial" w:eastAsia="Arial" w:hAnsi="Arial" w:cs="Arial"/>
          <w:lang w:val="en-US"/>
        </w:rPr>
        <w:t xml:space="preserve"> </w:t>
      </w:r>
      <w:r w:rsidRPr="008B0387">
        <w:rPr>
          <w:rFonts w:ascii="Arial" w:eastAsia="Arial" w:hAnsi="Arial" w:cs="Arial"/>
          <w:lang w:val="id-ID"/>
        </w:rPr>
        <w:t>are greater than the correlations between the respective constructs and other constructs in the corresponding rows/columns. Thus, each construct can adequately differentiate itself, meeting the discriminant validity requirement.</w:t>
      </w:r>
    </w:p>
    <w:p w14:paraId="5C0E7393" w14:textId="77777777" w:rsidR="00DD1298" w:rsidRPr="008B0387" w:rsidRDefault="00DD1298" w:rsidP="00DD1298">
      <w:pPr>
        <w:pBdr>
          <w:top w:val="nil"/>
          <w:left w:val="nil"/>
          <w:bottom w:val="nil"/>
          <w:right w:val="nil"/>
          <w:between w:val="nil"/>
        </w:pBdr>
        <w:jc w:val="both"/>
        <w:rPr>
          <w:rFonts w:ascii="Arial" w:eastAsia="Arial" w:hAnsi="Arial" w:cs="Arial"/>
          <w:b/>
          <w:lang w:val="id-ID"/>
        </w:rPr>
      </w:pPr>
    </w:p>
    <w:p w14:paraId="3174BE92" w14:textId="77777777" w:rsidR="00DD1298" w:rsidRPr="008B0387" w:rsidRDefault="00DD1298" w:rsidP="00DD1298">
      <w:pPr>
        <w:pBdr>
          <w:top w:val="nil"/>
          <w:left w:val="nil"/>
          <w:bottom w:val="nil"/>
          <w:right w:val="nil"/>
          <w:between w:val="nil"/>
        </w:pBdr>
        <w:jc w:val="center"/>
        <w:rPr>
          <w:rFonts w:ascii="Arial" w:eastAsia="Arial" w:hAnsi="Arial" w:cs="Arial"/>
          <w:b/>
          <w:bCs/>
          <w:lang w:val="id-ID"/>
        </w:rPr>
      </w:pPr>
      <w:r w:rsidRPr="008B0387">
        <w:rPr>
          <w:rFonts w:ascii="Arial" w:eastAsia="Arial" w:hAnsi="Arial" w:cs="Arial"/>
          <w:b/>
          <w:bCs/>
          <w:lang w:val="id-ID"/>
        </w:rPr>
        <w:t>Table 4</w:t>
      </w:r>
      <w:r w:rsidRPr="008B0387">
        <w:rPr>
          <w:rFonts w:ascii="Arial" w:eastAsia="Arial" w:hAnsi="Arial" w:cs="Arial"/>
          <w:b/>
          <w:bCs/>
          <w:lang w:val="en-US"/>
        </w:rPr>
        <w:t>.</w:t>
      </w:r>
      <w:r w:rsidRPr="008B0387">
        <w:rPr>
          <w:rFonts w:ascii="Arial" w:eastAsia="Arial" w:hAnsi="Arial" w:cs="Arial"/>
          <w:b/>
          <w:bCs/>
          <w:lang w:val="id-ID"/>
        </w:rPr>
        <w:t xml:space="preserve"> Cross Loadings</w:t>
      </w:r>
    </w:p>
    <w:p w14:paraId="19572927" w14:textId="77777777" w:rsidR="00DD1298" w:rsidRPr="008B0387" w:rsidRDefault="00DD1298" w:rsidP="00DD1298">
      <w:pPr>
        <w:pBdr>
          <w:top w:val="nil"/>
          <w:left w:val="nil"/>
          <w:bottom w:val="nil"/>
          <w:right w:val="nil"/>
          <w:between w:val="nil"/>
        </w:pBdr>
        <w:jc w:val="both"/>
        <w:rPr>
          <w:rFonts w:ascii="Arial" w:eastAsia="Arial" w:hAnsi="Arial" w:cs="Arial"/>
          <w:b/>
        </w:rPr>
      </w:pPr>
    </w:p>
    <w:p w14:paraId="3FD28B05" w14:textId="77777777" w:rsidR="00DD1298" w:rsidRPr="008B0387" w:rsidRDefault="00DD1298" w:rsidP="00590C28">
      <w:pPr>
        <w:pBdr>
          <w:top w:val="nil"/>
          <w:left w:val="nil"/>
          <w:bottom w:val="nil"/>
          <w:right w:val="nil"/>
          <w:between w:val="nil"/>
        </w:pBdr>
        <w:jc w:val="both"/>
        <w:rPr>
          <w:rFonts w:ascii="Arial" w:eastAsia="Arial" w:hAnsi="Arial" w:cs="Arial"/>
          <w:bCs/>
          <w:lang w:val="en-US"/>
        </w:rPr>
      </w:pPr>
      <w:r w:rsidRPr="008B0387">
        <w:rPr>
          <w:rFonts w:ascii="Arial" w:eastAsia="Arial" w:hAnsi="Arial" w:cs="Arial"/>
          <w:bCs/>
          <w:lang w:val="id-ID"/>
        </w:rPr>
        <w:lastRenderedPageBreak/>
        <w:t>The cross-loading test shows that each indicator loads highest on the construct it is intended to measure compared to other constructs. For example, KI1.2 has a loading of 0.951 on Innovation Capability,</w:t>
      </w:r>
      <w:r w:rsidRPr="008B0387">
        <w:rPr>
          <w:rFonts w:ascii="Arial" w:eastAsia="Arial" w:hAnsi="Arial" w:cs="Arial"/>
          <w:bCs/>
          <w:lang w:val="en-US"/>
        </w:rPr>
        <w:t xml:space="preserve"> </w:t>
      </w:r>
      <w:r w:rsidRPr="008B0387">
        <w:rPr>
          <w:rFonts w:ascii="Arial" w:eastAsia="Arial" w:hAnsi="Arial" w:cs="Arial"/>
          <w:bCs/>
          <w:lang w:val="id-ID"/>
        </w:rPr>
        <w:t>higher than on Business Sustainability (0.884), Digital Trust (0.748), and AI Literacy (0.671),</w:t>
      </w:r>
      <w:r w:rsidRPr="008B0387">
        <w:rPr>
          <w:rFonts w:ascii="Arial" w:eastAsia="Arial" w:hAnsi="Arial" w:cs="Arial"/>
          <w:bCs/>
          <w:lang w:val="en-US"/>
        </w:rPr>
        <w:t xml:space="preserve"> </w:t>
      </w:r>
      <w:r w:rsidRPr="008B0387">
        <w:rPr>
          <w:rFonts w:ascii="Arial" w:eastAsia="Arial" w:hAnsi="Arial" w:cs="Arial"/>
          <w:bCs/>
          <w:lang w:val="id-ID"/>
        </w:rPr>
        <w:t>and KB1.3 loads highest on Business Sustainability (0.936). This consistent pattern confirms that the indicators accurately represent their respective constructs and support discriminant validity at the indicator level.</w:t>
      </w:r>
    </w:p>
    <w:p w14:paraId="0B2C0E18" w14:textId="77777777" w:rsidR="00DD1298" w:rsidRPr="008B0387" w:rsidRDefault="00DD1298" w:rsidP="00DD1298">
      <w:pPr>
        <w:pBdr>
          <w:top w:val="nil"/>
          <w:left w:val="nil"/>
          <w:bottom w:val="nil"/>
          <w:right w:val="nil"/>
          <w:between w:val="nil"/>
        </w:pBdr>
        <w:jc w:val="both"/>
        <w:rPr>
          <w:rFonts w:ascii="Arial" w:eastAsia="Arial" w:hAnsi="Arial" w:cs="Arial"/>
          <w:b/>
          <w:lang w:val="en-US"/>
        </w:rPr>
      </w:pPr>
    </w:p>
    <w:p w14:paraId="342568F0" w14:textId="59D797CD" w:rsidR="00DD1298" w:rsidRPr="008B0387" w:rsidRDefault="00DD1298" w:rsidP="00DD1298">
      <w:pPr>
        <w:pBdr>
          <w:top w:val="nil"/>
          <w:left w:val="nil"/>
          <w:bottom w:val="nil"/>
          <w:right w:val="nil"/>
          <w:between w:val="nil"/>
        </w:pBdr>
        <w:jc w:val="center"/>
        <w:rPr>
          <w:rFonts w:ascii="Arial" w:eastAsia="Arial" w:hAnsi="Arial" w:cs="Arial"/>
          <w:b/>
          <w:i/>
          <w:iCs/>
          <w:lang w:val="id-ID"/>
        </w:rPr>
      </w:pPr>
      <w:r w:rsidRPr="008B0387">
        <w:rPr>
          <w:rFonts w:ascii="Arial" w:eastAsia="Arial" w:hAnsi="Arial" w:cs="Arial"/>
          <w:b/>
          <w:lang w:val="en-US"/>
        </w:rPr>
        <w:t xml:space="preserve">Table </w:t>
      </w:r>
      <w:r w:rsidR="00C03BF6">
        <w:rPr>
          <w:rFonts w:ascii="Arial" w:eastAsia="Arial" w:hAnsi="Arial" w:cs="Arial"/>
          <w:b/>
          <w:lang w:val="en-US"/>
        </w:rPr>
        <w:t>3</w:t>
      </w:r>
      <w:r w:rsidRPr="008B0387">
        <w:rPr>
          <w:rFonts w:ascii="Arial" w:eastAsia="Arial" w:hAnsi="Arial" w:cs="Arial"/>
          <w:b/>
          <w:lang w:val="en-US"/>
        </w:rPr>
        <w:t xml:space="preserve">. </w:t>
      </w:r>
      <w:r w:rsidRPr="008B0387">
        <w:rPr>
          <w:rFonts w:ascii="Arial" w:eastAsia="Arial" w:hAnsi="Arial" w:cs="Arial"/>
          <w:b/>
          <w:i/>
          <w:iCs/>
          <w:lang w:val="id-ID"/>
        </w:rPr>
        <w:t>Construct Reliability and Validity</w:t>
      </w:r>
    </w:p>
    <w:p w14:paraId="7D515FEE" w14:textId="77777777" w:rsidR="00DD1298" w:rsidRPr="008B0387" w:rsidRDefault="00DD1298" w:rsidP="00DD1298">
      <w:pPr>
        <w:pBdr>
          <w:top w:val="nil"/>
          <w:left w:val="nil"/>
          <w:bottom w:val="nil"/>
          <w:right w:val="nil"/>
          <w:between w:val="nil"/>
        </w:pBdr>
        <w:jc w:val="center"/>
        <w:rPr>
          <w:rFonts w:ascii="Arial" w:eastAsia="Arial" w:hAnsi="Arial" w:cs="Arial"/>
          <w:i/>
          <w:iCs/>
          <w:lang w:val="id-ID"/>
        </w:rPr>
      </w:pPr>
    </w:p>
    <w:tbl>
      <w:tblPr>
        <w:tblStyle w:val="TableGrid"/>
        <w:tblW w:w="5027" w:type="pct"/>
        <w:tblLook w:val="04A0" w:firstRow="1" w:lastRow="0" w:firstColumn="1" w:lastColumn="0" w:noHBand="0" w:noVBand="1"/>
      </w:tblPr>
      <w:tblGrid>
        <w:gridCol w:w="2916"/>
        <w:gridCol w:w="2072"/>
        <w:gridCol w:w="3151"/>
        <w:gridCol w:w="1261"/>
      </w:tblGrid>
      <w:tr w:rsidR="00DD1298" w:rsidRPr="008B0387" w14:paraId="7C041AF2" w14:textId="77777777" w:rsidTr="00871606">
        <w:trPr>
          <w:trHeight w:val="142"/>
        </w:trPr>
        <w:tc>
          <w:tcPr>
            <w:tcW w:w="1551" w:type="pct"/>
            <w:tcBorders>
              <w:bottom w:val="single" w:sz="4" w:space="0" w:color="auto"/>
            </w:tcBorders>
            <w:hideMark/>
          </w:tcPr>
          <w:p w14:paraId="1A379E33"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Construct</w:t>
            </w:r>
          </w:p>
        </w:tc>
        <w:tc>
          <w:tcPr>
            <w:tcW w:w="1102" w:type="pct"/>
            <w:tcBorders>
              <w:bottom w:val="single" w:sz="4" w:space="0" w:color="auto"/>
            </w:tcBorders>
            <w:hideMark/>
          </w:tcPr>
          <w:p w14:paraId="62BCCA4A"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Cronbach’s Alpha</w:t>
            </w:r>
          </w:p>
        </w:tc>
        <w:tc>
          <w:tcPr>
            <w:tcW w:w="1676" w:type="pct"/>
            <w:tcBorders>
              <w:bottom w:val="single" w:sz="4" w:space="0" w:color="auto"/>
            </w:tcBorders>
            <w:hideMark/>
          </w:tcPr>
          <w:p w14:paraId="7FA968D2"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Composite Reliability</w:t>
            </w:r>
          </w:p>
        </w:tc>
        <w:tc>
          <w:tcPr>
            <w:tcW w:w="671" w:type="pct"/>
            <w:tcBorders>
              <w:bottom w:val="single" w:sz="4" w:space="0" w:color="auto"/>
            </w:tcBorders>
            <w:hideMark/>
          </w:tcPr>
          <w:p w14:paraId="21274EBB"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AVE</w:t>
            </w:r>
          </w:p>
        </w:tc>
      </w:tr>
      <w:tr w:rsidR="00DD1298" w:rsidRPr="008B0387" w14:paraId="585194CD" w14:textId="77777777" w:rsidTr="00871606">
        <w:trPr>
          <w:trHeight w:val="285"/>
        </w:trPr>
        <w:tc>
          <w:tcPr>
            <w:tcW w:w="1551" w:type="pct"/>
            <w:tcBorders>
              <w:bottom w:val="nil"/>
              <w:right w:val="nil"/>
            </w:tcBorders>
            <w:hideMark/>
          </w:tcPr>
          <w:p w14:paraId="448AACE6" w14:textId="77777777" w:rsidR="00DD1298" w:rsidRPr="008B0387" w:rsidRDefault="00DD1298" w:rsidP="00DD1298">
            <w:pPr>
              <w:pBdr>
                <w:top w:val="nil"/>
                <w:left w:val="nil"/>
                <w:bottom w:val="nil"/>
                <w:right w:val="nil"/>
                <w:between w:val="nil"/>
              </w:pBdr>
              <w:jc w:val="both"/>
              <w:rPr>
                <w:rFonts w:ascii="Arial" w:eastAsia="Arial" w:hAnsi="Arial" w:cs="Arial"/>
                <w:bCs/>
                <w:i/>
                <w:iCs/>
                <w:lang w:val="id-ID"/>
              </w:rPr>
            </w:pPr>
            <w:r w:rsidRPr="008B0387">
              <w:rPr>
                <w:rFonts w:ascii="Arial" w:eastAsia="Arial" w:hAnsi="Arial" w:cs="Arial"/>
                <w:bCs/>
                <w:i/>
                <w:iCs/>
                <w:lang w:val="id-ID"/>
              </w:rPr>
              <w:t>Innovation Capability</w:t>
            </w:r>
          </w:p>
        </w:tc>
        <w:tc>
          <w:tcPr>
            <w:tcW w:w="1102" w:type="pct"/>
            <w:tcBorders>
              <w:left w:val="nil"/>
              <w:bottom w:val="nil"/>
              <w:right w:val="nil"/>
            </w:tcBorders>
            <w:hideMark/>
          </w:tcPr>
          <w:p w14:paraId="1717DE7B"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0.971</w:t>
            </w:r>
          </w:p>
        </w:tc>
        <w:tc>
          <w:tcPr>
            <w:tcW w:w="1676" w:type="pct"/>
            <w:tcBorders>
              <w:left w:val="nil"/>
              <w:bottom w:val="nil"/>
              <w:right w:val="nil"/>
            </w:tcBorders>
            <w:hideMark/>
          </w:tcPr>
          <w:p w14:paraId="09BECFE1"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0.975</w:t>
            </w:r>
          </w:p>
        </w:tc>
        <w:tc>
          <w:tcPr>
            <w:tcW w:w="671" w:type="pct"/>
            <w:tcBorders>
              <w:left w:val="nil"/>
              <w:bottom w:val="nil"/>
            </w:tcBorders>
            <w:hideMark/>
          </w:tcPr>
          <w:p w14:paraId="7839B13E"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0.782</w:t>
            </w:r>
          </w:p>
        </w:tc>
      </w:tr>
      <w:tr w:rsidR="00DD1298" w:rsidRPr="008B0387" w14:paraId="5F2CB2B8" w14:textId="77777777" w:rsidTr="00871606">
        <w:trPr>
          <w:trHeight w:val="285"/>
        </w:trPr>
        <w:tc>
          <w:tcPr>
            <w:tcW w:w="1551" w:type="pct"/>
            <w:tcBorders>
              <w:top w:val="nil"/>
              <w:bottom w:val="nil"/>
              <w:right w:val="nil"/>
            </w:tcBorders>
            <w:hideMark/>
          </w:tcPr>
          <w:p w14:paraId="4CC67149" w14:textId="77777777" w:rsidR="00DD1298" w:rsidRPr="008B0387" w:rsidRDefault="00DD1298" w:rsidP="00DD1298">
            <w:pPr>
              <w:pBdr>
                <w:top w:val="nil"/>
                <w:left w:val="nil"/>
                <w:bottom w:val="nil"/>
                <w:right w:val="nil"/>
                <w:between w:val="nil"/>
              </w:pBdr>
              <w:jc w:val="both"/>
              <w:rPr>
                <w:rFonts w:ascii="Arial" w:eastAsia="Arial" w:hAnsi="Arial" w:cs="Arial"/>
                <w:bCs/>
                <w:i/>
                <w:iCs/>
                <w:lang w:val="id-ID"/>
              </w:rPr>
            </w:pPr>
            <w:r w:rsidRPr="008B0387">
              <w:rPr>
                <w:rFonts w:ascii="Arial" w:eastAsia="Arial" w:hAnsi="Arial" w:cs="Arial"/>
                <w:bCs/>
                <w:i/>
                <w:iCs/>
                <w:lang w:val="id-ID"/>
              </w:rPr>
              <w:t>Business Sustainability</w:t>
            </w:r>
          </w:p>
        </w:tc>
        <w:tc>
          <w:tcPr>
            <w:tcW w:w="1102" w:type="pct"/>
            <w:tcBorders>
              <w:top w:val="nil"/>
              <w:left w:val="nil"/>
              <w:bottom w:val="nil"/>
              <w:right w:val="nil"/>
            </w:tcBorders>
            <w:hideMark/>
          </w:tcPr>
          <w:p w14:paraId="73F4DE2D"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0.970</w:t>
            </w:r>
          </w:p>
        </w:tc>
        <w:tc>
          <w:tcPr>
            <w:tcW w:w="1676" w:type="pct"/>
            <w:tcBorders>
              <w:top w:val="nil"/>
              <w:left w:val="nil"/>
              <w:bottom w:val="nil"/>
              <w:right w:val="nil"/>
            </w:tcBorders>
            <w:hideMark/>
          </w:tcPr>
          <w:p w14:paraId="13FC4A54"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0.974</w:t>
            </w:r>
          </w:p>
        </w:tc>
        <w:tc>
          <w:tcPr>
            <w:tcW w:w="671" w:type="pct"/>
            <w:tcBorders>
              <w:top w:val="nil"/>
              <w:left w:val="nil"/>
              <w:bottom w:val="nil"/>
            </w:tcBorders>
            <w:hideMark/>
          </w:tcPr>
          <w:p w14:paraId="50BC343C"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0.807</w:t>
            </w:r>
          </w:p>
        </w:tc>
      </w:tr>
      <w:tr w:rsidR="00DD1298" w:rsidRPr="008B0387" w14:paraId="17D25082" w14:textId="77777777" w:rsidTr="00871606">
        <w:trPr>
          <w:trHeight w:val="142"/>
        </w:trPr>
        <w:tc>
          <w:tcPr>
            <w:tcW w:w="1551" w:type="pct"/>
            <w:tcBorders>
              <w:top w:val="nil"/>
              <w:bottom w:val="nil"/>
              <w:right w:val="nil"/>
            </w:tcBorders>
            <w:hideMark/>
          </w:tcPr>
          <w:p w14:paraId="50D11D47" w14:textId="77777777" w:rsidR="00DD1298" w:rsidRPr="008B0387" w:rsidRDefault="00DD1298" w:rsidP="00DD1298">
            <w:pPr>
              <w:pBdr>
                <w:top w:val="nil"/>
                <w:left w:val="nil"/>
                <w:bottom w:val="nil"/>
                <w:right w:val="nil"/>
                <w:between w:val="nil"/>
              </w:pBdr>
              <w:jc w:val="both"/>
              <w:rPr>
                <w:rFonts w:ascii="Arial" w:eastAsia="Arial" w:hAnsi="Arial" w:cs="Arial"/>
                <w:bCs/>
                <w:i/>
                <w:iCs/>
                <w:lang w:val="id-ID"/>
              </w:rPr>
            </w:pPr>
            <w:r w:rsidRPr="008B0387">
              <w:rPr>
                <w:rFonts w:ascii="Arial" w:eastAsia="Arial" w:hAnsi="Arial" w:cs="Arial"/>
                <w:bCs/>
                <w:i/>
                <w:iCs/>
                <w:lang w:val="id-ID"/>
              </w:rPr>
              <w:t>Digital Trust</w:t>
            </w:r>
          </w:p>
        </w:tc>
        <w:tc>
          <w:tcPr>
            <w:tcW w:w="1102" w:type="pct"/>
            <w:tcBorders>
              <w:top w:val="nil"/>
              <w:left w:val="nil"/>
              <w:bottom w:val="nil"/>
              <w:right w:val="nil"/>
            </w:tcBorders>
            <w:hideMark/>
          </w:tcPr>
          <w:p w14:paraId="015CFDDF"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0.964</w:t>
            </w:r>
          </w:p>
        </w:tc>
        <w:tc>
          <w:tcPr>
            <w:tcW w:w="1676" w:type="pct"/>
            <w:tcBorders>
              <w:top w:val="nil"/>
              <w:left w:val="nil"/>
              <w:bottom w:val="nil"/>
              <w:right w:val="nil"/>
            </w:tcBorders>
            <w:hideMark/>
          </w:tcPr>
          <w:p w14:paraId="6783F5A7"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0.969</w:t>
            </w:r>
          </w:p>
        </w:tc>
        <w:tc>
          <w:tcPr>
            <w:tcW w:w="671" w:type="pct"/>
            <w:tcBorders>
              <w:top w:val="nil"/>
              <w:left w:val="nil"/>
              <w:bottom w:val="nil"/>
            </w:tcBorders>
            <w:hideMark/>
          </w:tcPr>
          <w:p w14:paraId="4C73F6DD"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0.758</w:t>
            </w:r>
          </w:p>
        </w:tc>
      </w:tr>
      <w:tr w:rsidR="00DD1298" w:rsidRPr="008B0387" w14:paraId="32AC6A6E" w14:textId="77777777" w:rsidTr="00871606">
        <w:trPr>
          <w:trHeight w:val="217"/>
        </w:trPr>
        <w:tc>
          <w:tcPr>
            <w:tcW w:w="1551" w:type="pct"/>
            <w:tcBorders>
              <w:top w:val="nil"/>
              <w:right w:val="nil"/>
            </w:tcBorders>
            <w:hideMark/>
          </w:tcPr>
          <w:p w14:paraId="7A6744FE" w14:textId="77777777" w:rsidR="00DD1298" w:rsidRPr="008B0387" w:rsidRDefault="00DD1298" w:rsidP="00DD1298">
            <w:pPr>
              <w:pBdr>
                <w:top w:val="nil"/>
                <w:left w:val="nil"/>
                <w:bottom w:val="nil"/>
                <w:right w:val="nil"/>
                <w:between w:val="nil"/>
              </w:pBdr>
              <w:jc w:val="both"/>
              <w:rPr>
                <w:rFonts w:ascii="Arial" w:eastAsia="Arial" w:hAnsi="Arial" w:cs="Arial"/>
                <w:bCs/>
                <w:i/>
                <w:iCs/>
                <w:lang w:val="id-ID"/>
              </w:rPr>
            </w:pPr>
            <w:r w:rsidRPr="008B0387">
              <w:rPr>
                <w:rFonts w:ascii="Arial" w:eastAsia="Arial" w:hAnsi="Arial" w:cs="Arial"/>
                <w:bCs/>
                <w:i/>
                <w:iCs/>
                <w:lang w:val="id-ID"/>
              </w:rPr>
              <w:t>Artificial Intelligence Literacy</w:t>
            </w:r>
          </w:p>
        </w:tc>
        <w:tc>
          <w:tcPr>
            <w:tcW w:w="1102" w:type="pct"/>
            <w:tcBorders>
              <w:top w:val="nil"/>
              <w:left w:val="nil"/>
              <w:right w:val="nil"/>
            </w:tcBorders>
            <w:hideMark/>
          </w:tcPr>
          <w:p w14:paraId="66CEC632"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0.953</w:t>
            </w:r>
          </w:p>
        </w:tc>
        <w:tc>
          <w:tcPr>
            <w:tcW w:w="1676" w:type="pct"/>
            <w:tcBorders>
              <w:top w:val="nil"/>
              <w:left w:val="nil"/>
              <w:right w:val="nil"/>
            </w:tcBorders>
            <w:hideMark/>
          </w:tcPr>
          <w:p w14:paraId="25966B2B"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0.962</w:t>
            </w:r>
          </w:p>
        </w:tc>
        <w:tc>
          <w:tcPr>
            <w:tcW w:w="671" w:type="pct"/>
            <w:tcBorders>
              <w:top w:val="nil"/>
              <w:left w:val="nil"/>
            </w:tcBorders>
            <w:hideMark/>
          </w:tcPr>
          <w:p w14:paraId="169A25E4"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0.785</w:t>
            </w:r>
          </w:p>
        </w:tc>
      </w:tr>
    </w:tbl>
    <w:p w14:paraId="64A910CD" w14:textId="77777777" w:rsidR="008B00F0" w:rsidRPr="008B0387" w:rsidRDefault="008B00F0" w:rsidP="008B00F0">
      <w:pPr>
        <w:jc w:val="center"/>
        <w:rPr>
          <w:rFonts w:ascii="Arial" w:eastAsia="Arial" w:hAnsi="Arial" w:cs="Arial"/>
          <w:bCs/>
          <w:sz w:val="18"/>
          <w:szCs w:val="18"/>
        </w:rPr>
      </w:pPr>
      <w:r w:rsidRPr="008B0387">
        <w:rPr>
          <w:rFonts w:ascii="Arial" w:eastAsia="Arial" w:hAnsi="Arial" w:cs="Arial"/>
          <w:bCs/>
          <w:sz w:val="18"/>
          <w:szCs w:val="18"/>
        </w:rPr>
        <w:t>Source: PLS 3 result data, processed (2025)</w:t>
      </w:r>
    </w:p>
    <w:p w14:paraId="766F2388" w14:textId="77777777" w:rsidR="00DD1298" w:rsidRPr="008B0387" w:rsidRDefault="00DD1298" w:rsidP="00590C28">
      <w:pPr>
        <w:pBdr>
          <w:top w:val="nil"/>
          <w:left w:val="nil"/>
          <w:bottom w:val="nil"/>
          <w:right w:val="nil"/>
          <w:between w:val="nil"/>
        </w:pBdr>
        <w:jc w:val="both"/>
        <w:rPr>
          <w:rFonts w:ascii="Arial" w:eastAsia="Arial" w:hAnsi="Arial" w:cs="Arial"/>
          <w:b/>
        </w:rPr>
      </w:pPr>
    </w:p>
    <w:p w14:paraId="3281762F" w14:textId="77777777" w:rsidR="00ED2CA7" w:rsidRDefault="00DD1298" w:rsidP="00590C28">
      <w:pPr>
        <w:pBdr>
          <w:top w:val="nil"/>
          <w:left w:val="nil"/>
          <w:bottom w:val="nil"/>
          <w:right w:val="nil"/>
          <w:between w:val="nil"/>
        </w:pBdr>
        <w:jc w:val="both"/>
      </w:pPr>
      <w:r w:rsidRPr="008B0387">
        <w:rPr>
          <w:rFonts w:ascii="Arial" w:eastAsia="Arial" w:hAnsi="Arial" w:cs="Arial"/>
          <w:bCs/>
          <w:lang w:val="id-ID"/>
        </w:rPr>
        <w:t>All constructs meet reliability and validity criteria: Cronbach’s Alpha &gt;0.70 indicates excellent internal consistency, and Composite Reliability between 0.962–0.975 confirms adequate internal consistency across indicators. AVE values &gt;0.50 indicate that each construct explains more than half the variance of its indicators, fulfilling convergent validity.</w:t>
      </w:r>
      <w:r w:rsidR="00ED2CA7" w:rsidRPr="00ED2CA7">
        <w:t xml:space="preserve"> </w:t>
      </w:r>
    </w:p>
    <w:p w14:paraId="2BB1D4EC" w14:textId="77777777" w:rsidR="00ED2CA7" w:rsidRDefault="00ED2CA7" w:rsidP="00590C28">
      <w:pPr>
        <w:pBdr>
          <w:top w:val="nil"/>
          <w:left w:val="nil"/>
          <w:bottom w:val="nil"/>
          <w:right w:val="nil"/>
          <w:between w:val="nil"/>
        </w:pBdr>
        <w:jc w:val="both"/>
      </w:pPr>
    </w:p>
    <w:p w14:paraId="20B32187" w14:textId="2B9FC769" w:rsidR="00DD1298" w:rsidRDefault="00ED2CA7" w:rsidP="00590C28">
      <w:pPr>
        <w:pBdr>
          <w:top w:val="nil"/>
          <w:left w:val="nil"/>
          <w:bottom w:val="nil"/>
          <w:right w:val="nil"/>
          <w:between w:val="nil"/>
        </w:pBdr>
        <w:jc w:val="both"/>
        <w:rPr>
          <w:rFonts w:ascii="Arial" w:eastAsia="Arial" w:hAnsi="Arial" w:cs="Arial"/>
          <w:bCs/>
          <w:lang w:val="id-ID"/>
        </w:rPr>
      </w:pPr>
      <w:r w:rsidRPr="00ED2CA7">
        <w:rPr>
          <w:rFonts w:ascii="Arial" w:eastAsia="Arial" w:hAnsi="Arial" w:cs="Arial"/>
          <w:bCs/>
          <w:lang w:val="id-ID"/>
        </w:rPr>
        <w:t>Discriminant validity was evaluated using two criteria: the Fornell-Larcker criterion and cross-loading analysis. As shown in Appendix Table A1, the square root of the Average Variance Extracted (AVE) for each construct was higher than its correlations with other constructs, indicating adequate discriminant validity across all latent variables. Furthermore, the cross-loading results (see Appendix Table A2) confirmed that each indicator loaded more strongly on its associated construct than on any other, supporting item-level discriminant validity. These results collectively demonstrate that the measurement model has sufficient discriminant power and that the constructs are empirically distinct from one another.</w:t>
      </w:r>
    </w:p>
    <w:p w14:paraId="1319FB1B" w14:textId="513A3A5D" w:rsidR="00DD1298" w:rsidRDefault="00DD1298" w:rsidP="00DD1298">
      <w:pPr>
        <w:pBdr>
          <w:top w:val="nil"/>
          <w:left w:val="nil"/>
          <w:bottom w:val="nil"/>
          <w:right w:val="nil"/>
          <w:between w:val="nil"/>
        </w:pBdr>
        <w:jc w:val="both"/>
        <w:rPr>
          <w:rFonts w:ascii="Arial" w:eastAsia="Arial" w:hAnsi="Arial" w:cs="Arial"/>
          <w:bCs/>
          <w:lang w:val="id-ID"/>
        </w:rPr>
      </w:pPr>
    </w:p>
    <w:p w14:paraId="41DDE810" w14:textId="791C8553" w:rsidR="00ED2CA7" w:rsidRDefault="00ED2CA7" w:rsidP="00DD1298">
      <w:pPr>
        <w:pBdr>
          <w:top w:val="nil"/>
          <w:left w:val="nil"/>
          <w:bottom w:val="nil"/>
          <w:right w:val="nil"/>
          <w:between w:val="nil"/>
        </w:pBdr>
        <w:jc w:val="both"/>
        <w:rPr>
          <w:rFonts w:ascii="Arial" w:eastAsia="Arial" w:hAnsi="Arial" w:cs="Arial"/>
          <w:bCs/>
          <w:lang w:val="id-ID"/>
        </w:rPr>
      </w:pPr>
    </w:p>
    <w:p w14:paraId="5633C759" w14:textId="1B738776" w:rsidR="00ED2CA7" w:rsidRDefault="00ED2CA7" w:rsidP="00DD1298">
      <w:pPr>
        <w:pBdr>
          <w:top w:val="nil"/>
          <w:left w:val="nil"/>
          <w:bottom w:val="nil"/>
          <w:right w:val="nil"/>
          <w:between w:val="nil"/>
        </w:pBdr>
        <w:jc w:val="both"/>
        <w:rPr>
          <w:rFonts w:ascii="Arial" w:eastAsia="Arial" w:hAnsi="Arial" w:cs="Arial"/>
          <w:bCs/>
          <w:lang w:val="id-ID"/>
        </w:rPr>
      </w:pPr>
    </w:p>
    <w:p w14:paraId="3A208373" w14:textId="77777777" w:rsidR="00ED2CA7" w:rsidRPr="008B0387" w:rsidRDefault="00ED2CA7" w:rsidP="00DD1298">
      <w:pPr>
        <w:pBdr>
          <w:top w:val="nil"/>
          <w:left w:val="nil"/>
          <w:bottom w:val="nil"/>
          <w:right w:val="nil"/>
          <w:between w:val="nil"/>
        </w:pBdr>
        <w:jc w:val="both"/>
        <w:rPr>
          <w:rFonts w:ascii="Arial" w:eastAsia="Arial" w:hAnsi="Arial" w:cs="Arial"/>
          <w:bCs/>
          <w:lang w:val="en-US"/>
        </w:rPr>
      </w:pPr>
    </w:p>
    <w:p w14:paraId="66C30416" w14:textId="7D118248" w:rsidR="00DD1298" w:rsidRPr="008B0387" w:rsidRDefault="00DD1298" w:rsidP="00DD1298">
      <w:pPr>
        <w:pBdr>
          <w:top w:val="nil"/>
          <w:left w:val="nil"/>
          <w:bottom w:val="nil"/>
          <w:right w:val="nil"/>
          <w:between w:val="nil"/>
        </w:pBdr>
        <w:jc w:val="center"/>
        <w:rPr>
          <w:rFonts w:ascii="Arial" w:eastAsia="Arial" w:hAnsi="Arial" w:cs="Arial"/>
          <w:b/>
          <w:lang w:val="en-US"/>
        </w:rPr>
      </w:pPr>
      <w:r w:rsidRPr="008B0387">
        <w:rPr>
          <w:rFonts w:ascii="Arial" w:eastAsia="Arial" w:hAnsi="Arial" w:cs="Arial"/>
          <w:b/>
          <w:lang w:val="en-US"/>
        </w:rPr>
        <w:t xml:space="preserve">Table </w:t>
      </w:r>
      <w:r w:rsidR="00590C28">
        <w:rPr>
          <w:rFonts w:ascii="Arial" w:eastAsia="Arial" w:hAnsi="Arial" w:cs="Arial"/>
          <w:b/>
          <w:lang w:val="en-US"/>
        </w:rPr>
        <w:t>4</w:t>
      </w:r>
      <w:r w:rsidRPr="008B0387">
        <w:rPr>
          <w:rFonts w:ascii="Arial" w:eastAsia="Arial" w:hAnsi="Arial" w:cs="Arial"/>
          <w:b/>
          <w:lang w:val="en-US"/>
        </w:rPr>
        <w:t>. R-Square</w:t>
      </w:r>
    </w:p>
    <w:p w14:paraId="40CA390E" w14:textId="77777777" w:rsidR="00DD1298" w:rsidRPr="008B0387" w:rsidRDefault="00DD1298" w:rsidP="00DD1298">
      <w:pPr>
        <w:pBdr>
          <w:top w:val="nil"/>
          <w:left w:val="nil"/>
          <w:bottom w:val="nil"/>
          <w:right w:val="nil"/>
          <w:between w:val="nil"/>
        </w:pBdr>
        <w:jc w:val="center"/>
        <w:rPr>
          <w:rFonts w:ascii="Arial" w:eastAsia="Arial" w:hAnsi="Arial" w:cs="Arial"/>
          <w:b/>
          <w:lang w:val="id-ID"/>
        </w:rPr>
      </w:pPr>
    </w:p>
    <w:tbl>
      <w:tblPr>
        <w:tblW w:w="5082" w:type="pct"/>
        <w:tblLook w:val="04A0" w:firstRow="1" w:lastRow="0" w:firstColumn="1" w:lastColumn="0" w:noHBand="0" w:noVBand="1"/>
      </w:tblPr>
      <w:tblGrid>
        <w:gridCol w:w="4489"/>
        <w:gridCol w:w="2150"/>
        <w:gridCol w:w="2864"/>
      </w:tblGrid>
      <w:tr w:rsidR="00DD1298" w:rsidRPr="008B0387" w14:paraId="41CD07C0" w14:textId="77777777" w:rsidTr="00871606">
        <w:trPr>
          <w:trHeight w:val="164"/>
        </w:trPr>
        <w:tc>
          <w:tcPr>
            <w:tcW w:w="2362" w:type="pct"/>
            <w:tcBorders>
              <w:top w:val="single" w:sz="4" w:space="0" w:color="auto"/>
              <w:left w:val="single" w:sz="4" w:space="0" w:color="auto"/>
              <w:bottom w:val="single" w:sz="4" w:space="0" w:color="auto"/>
              <w:right w:val="nil"/>
            </w:tcBorders>
            <w:vAlign w:val="center"/>
            <w:hideMark/>
          </w:tcPr>
          <w:p w14:paraId="6280B28E"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Construct</w:t>
            </w:r>
          </w:p>
        </w:tc>
        <w:tc>
          <w:tcPr>
            <w:tcW w:w="1131" w:type="pct"/>
            <w:tcBorders>
              <w:top w:val="single" w:sz="4" w:space="0" w:color="auto"/>
              <w:left w:val="nil"/>
              <w:bottom w:val="single" w:sz="4" w:space="0" w:color="auto"/>
              <w:right w:val="nil"/>
            </w:tcBorders>
            <w:vAlign w:val="center"/>
            <w:hideMark/>
          </w:tcPr>
          <w:p w14:paraId="7E4EE75F"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R²</w:t>
            </w:r>
          </w:p>
        </w:tc>
        <w:tc>
          <w:tcPr>
            <w:tcW w:w="1507" w:type="pct"/>
            <w:tcBorders>
              <w:top w:val="single" w:sz="4" w:space="0" w:color="auto"/>
              <w:left w:val="nil"/>
              <w:bottom w:val="single" w:sz="4" w:space="0" w:color="auto"/>
              <w:right w:val="single" w:sz="4" w:space="0" w:color="auto"/>
            </w:tcBorders>
            <w:vAlign w:val="center"/>
            <w:hideMark/>
          </w:tcPr>
          <w:p w14:paraId="340F1608"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Adjusted R²</w:t>
            </w:r>
          </w:p>
        </w:tc>
      </w:tr>
      <w:tr w:rsidR="00DD1298" w:rsidRPr="008B0387" w14:paraId="6E4E26BD" w14:textId="77777777" w:rsidTr="00871606">
        <w:trPr>
          <w:trHeight w:val="328"/>
        </w:trPr>
        <w:tc>
          <w:tcPr>
            <w:tcW w:w="2362" w:type="pct"/>
            <w:tcBorders>
              <w:top w:val="single" w:sz="4" w:space="0" w:color="auto"/>
              <w:left w:val="single" w:sz="4" w:space="0" w:color="auto"/>
              <w:right w:val="nil"/>
            </w:tcBorders>
            <w:vAlign w:val="center"/>
            <w:hideMark/>
          </w:tcPr>
          <w:p w14:paraId="71AF183B" w14:textId="77777777" w:rsidR="00DD1298" w:rsidRPr="008B0387" w:rsidRDefault="00DD1298" w:rsidP="00DD1298">
            <w:pPr>
              <w:pBdr>
                <w:top w:val="nil"/>
                <w:left w:val="nil"/>
                <w:bottom w:val="nil"/>
                <w:right w:val="nil"/>
                <w:between w:val="nil"/>
              </w:pBdr>
              <w:jc w:val="both"/>
              <w:rPr>
                <w:rFonts w:ascii="Arial" w:eastAsia="Arial" w:hAnsi="Arial" w:cs="Arial"/>
                <w:i/>
                <w:iCs/>
                <w:lang w:val="en-ID"/>
              </w:rPr>
            </w:pPr>
            <w:r w:rsidRPr="008B0387">
              <w:rPr>
                <w:rFonts w:ascii="Arial" w:eastAsia="Arial" w:hAnsi="Arial" w:cs="Arial"/>
                <w:i/>
                <w:iCs/>
                <w:lang w:val="en-ID"/>
              </w:rPr>
              <w:t>Innovation Capability</w:t>
            </w:r>
          </w:p>
        </w:tc>
        <w:tc>
          <w:tcPr>
            <w:tcW w:w="1131" w:type="pct"/>
            <w:tcBorders>
              <w:top w:val="single" w:sz="4" w:space="0" w:color="auto"/>
              <w:left w:val="nil"/>
              <w:right w:val="nil"/>
            </w:tcBorders>
            <w:vAlign w:val="center"/>
            <w:hideMark/>
          </w:tcPr>
          <w:p w14:paraId="65417436"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0.774</w:t>
            </w:r>
          </w:p>
        </w:tc>
        <w:tc>
          <w:tcPr>
            <w:tcW w:w="1507" w:type="pct"/>
            <w:tcBorders>
              <w:top w:val="single" w:sz="4" w:space="0" w:color="auto"/>
              <w:left w:val="nil"/>
              <w:right w:val="single" w:sz="4" w:space="0" w:color="auto"/>
            </w:tcBorders>
            <w:vAlign w:val="center"/>
            <w:hideMark/>
          </w:tcPr>
          <w:p w14:paraId="1B14214C"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0.770</w:t>
            </w:r>
          </w:p>
        </w:tc>
      </w:tr>
      <w:tr w:rsidR="00DD1298" w:rsidRPr="008B0387" w14:paraId="169F736F" w14:textId="77777777" w:rsidTr="00B058B6">
        <w:trPr>
          <w:trHeight w:val="328"/>
        </w:trPr>
        <w:tc>
          <w:tcPr>
            <w:tcW w:w="2362" w:type="pct"/>
            <w:tcBorders>
              <w:top w:val="nil"/>
              <w:left w:val="single" w:sz="4" w:space="0" w:color="auto"/>
              <w:bottom w:val="single" w:sz="4" w:space="0" w:color="auto"/>
              <w:right w:val="nil"/>
            </w:tcBorders>
            <w:vAlign w:val="center"/>
            <w:hideMark/>
          </w:tcPr>
          <w:p w14:paraId="47312176" w14:textId="77777777" w:rsidR="00DD1298" w:rsidRPr="008B0387" w:rsidRDefault="00DD1298" w:rsidP="00DD1298">
            <w:pPr>
              <w:pBdr>
                <w:top w:val="nil"/>
                <w:left w:val="nil"/>
                <w:bottom w:val="nil"/>
                <w:right w:val="nil"/>
                <w:between w:val="nil"/>
              </w:pBdr>
              <w:jc w:val="both"/>
              <w:rPr>
                <w:rFonts w:ascii="Arial" w:eastAsia="Arial" w:hAnsi="Arial" w:cs="Arial"/>
                <w:i/>
                <w:iCs/>
                <w:lang w:val="en-ID"/>
              </w:rPr>
            </w:pPr>
            <w:r w:rsidRPr="008B0387">
              <w:rPr>
                <w:rFonts w:ascii="Arial" w:eastAsia="Arial" w:hAnsi="Arial" w:cs="Arial"/>
                <w:i/>
                <w:iCs/>
                <w:lang w:val="en-ID"/>
              </w:rPr>
              <w:t>Business Sustainability</w:t>
            </w:r>
          </w:p>
        </w:tc>
        <w:tc>
          <w:tcPr>
            <w:tcW w:w="1131" w:type="pct"/>
            <w:tcBorders>
              <w:top w:val="nil"/>
              <w:left w:val="nil"/>
              <w:bottom w:val="single" w:sz="4" w:space="0" w:color="auto"/>
              <w:right w:val="nil"/>
            </w:tcBorders>
            <w:vAlign w:val="center"/>
            <w:hideMark/>
          </w:tcPr>
          <w:p w14:paraId="42DD8EFF"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0.822</w:t>
            </w:r>
          </w:p>
        </w:tc>
        <w:tc>
          <w:tcPr>
            <w:tcW w:w="1507" w:type="pct"/>
            <w:tcBorders>
              <w:top w:val="nil"/>
              <w:left w:val="nil"/>
              <w:bottom w:val="single" w:sz="4" w:space="0" w:color="auto"/>
              <w:right w:val="single" w:sz="4" w:space="0" w:color="auto"/>
            </w:tcBorders>
            <w:vAlign w:val="center"/>
            <w:hideMark/>
          </w:tcPr>
          <w:p w14:paraId="48C3B264"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0.817</w:t>
            </w:r>
          </w:p>
        </w:tc>
      </w:tr>
    </w:tbl>
    <w:p w14:paraId="44F684B4" w14:textId="77777777" w:rsidR="008B00F0" w:rsidRPr="008B0387" w:rsidRDefault="008B00F0" w:rsidP="008B00F0">
      <w:pPr>
        <w:jc w:val="center"/>
        <w:rPr>
          <w:rFonts w:ascii="Arial" w:eastAsia="Arial" w:hAnsi="Arial" w:cs="Arial"/>
          <w:bCs/>
          <w:sz w:val="18"/>
          <w:szCs w:val="18"/>
        </w:rPr>
      </w:pPr>
      <w:r w:rsidRPr="008B0387">
        <w:rPr>
          <w:rFonts w:ascii="Arial" w:eastAsia="Arial" w:hAnsi="Arial" w:cs="Arial"/>
          <w:bCs/>
          <w:sz w:val="18"/>
          <w:szCs w:val="18"/>
        </w:rPr>
        <w:t>Source: PLS 3 result data, processed (2025)</w:t>
      </w:r>
    </w:p>
    <w:p w14:paraId="17029C3A" w14:textId="77777777" w:rsidR="00DD1298" w:rsidRPr="008B0387" w:rsidRDefault="00DD1298" w:rsidP="00DD1298">
      <w:pPr>
        <w:pBdr>
          <w:top w:val="nil"/>
          <w:left w:val="nil"/>
          <w:bottom w:val="nil"/>
          <w:right w:val="nil"/>
          <w:between w:val="nil"/>
        </w:pBdr>
        <w:jc w:val="both"/>
        <w:rPr>
          <w:rFonts w:ascii="Arial" w:eastAsia="Arial" w:hAnsi="Arial" w:cs="Arial"/>
          <w:bCs/>
          <w:lang w:val="en-US"/>
        </w:rPr>
      </w:pPr>
    </w:p>
    <w:p w14:paraId="5A30120B" w14:textId="751E5B89" w:rsidR="00DD1298" w:rsidRPr="008B0387" w:rsidRDefault="00DD1298" w:rsidP="00590C2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xml:space="preserve">Based on the R-Square results, Innovation Capability has an R² = 0.774 (77.4% of the variance is explained by the model; 22.6% by factors outside the model) with an Adjusted R² = 0.770; the small difference indicates model stability. Business Sustainability shows an R² = 0.822 (82.2% of the variance explained) and Adjusted R² = 0.817, indicating excellent predictive power with minimal discrepancy. Referring to </w:t>
      </w:r>
      <w:r w:rsidR="00CF5AD7" w:rsidRPr="008B0387">
        <w:rPr>
          <w:rFonts w:ascii="Arial" w:eastAsia="Arial" w:hAnsi="Arial" w:cs="Arial"/>
          <w:lang w:val="id-ID"/>
        </w:rPr>
        <w:fldChar w:fldCharType="begin"/>
      </w:r>
      <w:r w:rsidR="00CF5AD7" w:rsidRPr="008B0387">
        <w:rPr>
          <w:rFonts w:ascii="Arial" w:eastAsia="Arial" w:hAnsi="Arial" w:cs="Arial"/>
          <w:lang w:val="id-ID"/>
        </w:rPr>
        <w:instrText xml:space="preserve"> ADDIN ZOTERO_ITEM CSL_CITATION {"citationID":"jJHxuZE4","properties":{"formattedCitation":"(Chin, 1998)","plainCitation":"(Chin, 1998)","dontUpdate":true,"noteIndex":0},"citationItems":[{"id":13572,"uris":["http://zotero.org/users/local/JyjMxVLY/items/B28RTQFY"],"itemData":{"id":13572,"type":"chapter","abstract":"Among structural equation modeling (SEM) techniques, by far the most well known are covariance-based methods as exemplified by software such as LISREL, EQS,","container-title":"Modern Methods for Business Research","ISBN":"978-1-4106-0438-5","note":"number-of-pages: 42","publisher":"Psychology Press","title":"The Partial Least Squares Approach to Structural Equation Modeling","author":[{"family":"Chin","given":"Wynne W."}],"issued":{"date-parts":[["1998"]]}}}],"schema":"https://github.com/citation-style-language/schema/raw/master/csl-citation.json"} </w:instrText>
      </w:r>
      <w:r w:rsidR="00CF5AD7" w:rsidRPr="008B0387">
        <w:rPr>
          <w:rFonts w:ascii="Arial" w:eastAsia="Arial" w:hAnsi="Arial" w:cs="Arial"/>
          <w:lang w:val="id-ID"/>
        </w:rPr>
        <w:fldChar w:fldCharType="separate"/>
      </w:r>
      <w:r w:rsidR="00CF5AD7" w:rsidRPr="008B0387">
        <w:rPr>
          <w:rFonts w:ascii="Arial" w:hAnsi="Arial" w:cs="Arial"/>
        </w:rPr>
        <w:t>Chin (1998)</w:t>
      </w:r>
      <w:r w:rsidR="00CF5AD7" w:rsidRPr="008B0387">
        <w:rPr>
          <w:rFonts w:ascii="Arial" w:eastAsia="Arial" w:hAnsi="Arial" w:cs="Arial"/>
          <w:lang w:val="id-ID"/>
        </w:rPr>
        <w:fldChar w:fldCharType="end"/>
      </w:r>
      <w:r w:rsidRPr="008B0387">
        <w:rPr>
          <w:rFonts w:ascii="Arial" w:eastAsia="Arial" w:hAnsi="Arial" w:cs="Arial"/>
          <w:lang w:val="id-ID"/>
        </w:rPr>
        <w:t>, an R² &gt; 0.67 is considered strong, meaning both constructs demonstrate high explanatory power.</w:t>
      </w:r>
    </w:p>
    <w:p w14:paraId="013119F3"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p>
    <w:p w14:paraId="53BD2C9C" w14:textId="15DC0CF9" w:rsidR="00DD1298" w:rsidRPr="008B0387" w:rsidRDefault="00DD1298" w:rsidP="00E84F21">
      <w:pPr>
        <w:pBdr>
          <w:top w:val="nil"/>
          <w:left w:val="nil"/>
          <w:bottom w:val="nil"/>
          <w:right w:val="nil"/>
          <w:between w:val="nil"/>
        </w:pBdr>
        <w:jc w:val="center"/>
        <w:rPr>
          <w:rFonts w:ascii="Arial" w:eastAsia="Arial" w:hAnsi="Arial" w:cs="Arial"/>
          <w:b/>
          <w:bCs/>
          <w:lang w:val="id-ID"/>
        </w:rPr>
      </w:pPr>
      <w:r w:rsidRPr="008B0387">
        <w:rPr>
          <w:rFonts w:ascii="Arial" w:eastAsia="Arial" w:hAnsi="Arial" w:cs="Arial"/>
          <w:b/>
          <w:bCs/>
          <w:lang w:val="id-ID"/>
        </w:rPr>
        <w:t xml:space="preserve">Table </w:t>
      </w:r>
      <w:r w:rsidR="00590C28">
        <w:rPr>
          <w:rFonts w:ascii="Arial" w:eastAsia="Arial" w:hAnsi="Arial" w:cs="Arial"/>
          <w:b/>
          <w:bCs/>
          <w:lang w:val="en-US"/>
        </w:rPr>
        <w:t>5</w:t>
      </w:r>
      <w:r w:rsidRPr="008B0387">
        <w:rPr>
          <w:rFonts w:ascii="Arial" w:eastAsia="Arial" w:hAnsi="Arial" w:cs="Arial"/>
          <w:b/>
          <w:bCs/>
          <w:lang w:val="en-US"/>
        </w:rPr>
        <w:t>.</w:t>
      </w:r>
      <w:r w:rsidRPr="008B0387">
        <w:rPr>
          <w:rFonts w:ascii="Arial" w:eastAsia="Arial" w:hAnsi="Arial" w:cs="Arial"/>
          <w:b/>
          <w:bCs/>
          <w:lang w:val="id-ID"/>
        </w:rPr>
        <w:t xml:space="preserve"> F-Square (Effect Size)</w:t>
      </w:r>
    </w:p>
    <w:p w14:paraId="01A029C9" w14:textId="77777777" w:rsidR="00E84F21" w:rsidRPr="008B0387" w:rsidRDefault="00E84F21" w:rsidP="00E84F21">
      <w:pPr>
        <w:pBdr>
          <w:top w:val="nil"/>
          <w:left w:val="nil"/>
          <w:bottom w:val="nil"/>
          <w:right w:val="nil"/>
          <w:between w:val="nil"/>
        </w:pBdr>
        <w:jc w:val="center"/>
        <w:rPr>
          <w:rFonts w:ascii="Arial" w:eastAsia="Arial" w:hAnsi="Arial" w:cs="Arial"/>
          <w:b/>
          <w:bCs/>
          <w:lang w:val="id-ID"/>
        </w:rPr>
      </w:pPr>
    </w:p>
    <w:tbl>
      <w:tblPr>
        <w:tblW w:w="5000" w:type="pct"/>
        <w:tblLook w:val="04A0" w:firstRow="1" w:lastRow="0" w:firstColumn="1" w:lastColumn="0" w:noHBand="0" w:noVBand="1"/>
      </w:tblPr>
      <w:tblGrid>
        <w:gridCol w:w="4116"/>
        <w:gridCol w:w="2375"/>
        <w:gridCol w:w="2859"/>
      </w:tblGrid>
      <w:tr w:rsidR="00DD1298" w:rsidRPr="008B0387" w14:paraId="3666B247" w14:textId="77777777" w:rsidTr="00871606">
        <w:trPr>
          <w:trHeight w:val="366"/>
        </w:trPr>
        <w:tc>
          <w:tcPr>
            <w:tcW w:w="2201" w:type="pct"/>
            <w:tcBorders>
              <w:top w:val="single" w:sz="4" w:space="0" w:color="auto"/>
              <w:left w:val="single" w:sz="4" w:space="0" w:color="auto"/>
              <w:bottom w:val="single" w:sz="4" w:space="0" w:color="auto"/>
              <w:right w:val="nil"/>
            </w:tcBorders>
            <w:vAlign w:val="center"/>
            <w:hideMark/>
          </w:tcPr>
          <w:p w14:paraId="1B653265"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 </w:t>
            </w:r>
          </w:p>
        </w:tc>
        <w:tc>
          <w:tcPr>
            <w:tcW w:w="1270" w:type="pct"/>
            <w:tcBorders>
              <w:top w:val="single" w:sz="4" w:space="0" w:color="auto"/>
              <w:left w:val="nil"/>
              <w:bottom w:val="single" w:sz="4" w:space="0" w:color="auto"/>
              <w:right w:val="nil"/>
            </w:tcBorders>
            <w:vAlign w:val="center"/>
            <w:hideMark/>
          </w:tcPr>
          <w:p w14:paraId="144B03D7"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Innovation Capability</w:t>
            </w:r>
          </w:p>
        </w:tc>
        <w:tc>
          <w:tcPr>
            <w:tcW w:w="1529" w:type="pct"/>
            <w:tcBorders>
              <w:top w:val="single" w:sz="4" w:space="0" w:color="auto"/>
              <w:left w:val="nil"/>
              <w:bottom w:val="single" w:sz="4" w:space="0" w:color="auto"/>
              <w:right w:val="single" w:sz="4" w:space="0" w:color="auto"/>
            </w:tcBorders>
            <w:vAlign w:val="center"/>
            <w:hideMark/>
          </w:tcPr>
          <w:p w14:paraId="1CDF1CF5"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Business Sustainability</w:t>
            </w:r>
          </w:p>
        </w:tc>
      </w:tr>
      <w:tr w:rsidR="00DD1298" w:rsidRPr="008B0387" w14:paraId="0098C404" w14:textId="77777777" w:rsidTr="00871606">
        <w:trPr>
          <w:trHeight w:val="366"/>
        </w:trPr>
        <w:tc>
          <w:tcPr>
            <w:tcW w:w="2201" w:type="pct"/>
            <w:tcBorders>
              <w:top w:val="single" w:sz="4" w:space="0" w:color="auto"/>
              <w:left w:val="single" w:sz="4" w:space="0" w:color="auto"/>
              <w:right w:val="nil"/>
            </w:tcBorders>
            <w:vAlign w:val="center"/>
            <w:hideMark/>
          </w:tcPr>
          <w:p w14:paraId="1CD22E61" w14:textId="77777777" w:rsidR="00DD1298" w:rsidRPr="008B0387" w:rsidRDefault="00DD1298" w:rsidP="00DD1298">
            <w:pPr>
              <w:pBdr>
                <w:top w:val="nil"/>
                <w:left w:val="nil"/>
                <w:bottom w:val="nil"/>
                <w:right w:val="nil"/>
                <w:between w:val="nil"/>
              </w:pBdr>
              <w:jc w:val="both"/>
              <w:rPr>
                <w:rFonts w:ascii="Arial" w:eastAsia="Arial" w:hAnsi="Arial" w:cs="Arial"/>
                <w:i/>
                <w:iCs/>
                <w:lang w:val="en-ID"/>
              </w:rPr>
            </w:pPr>
            <w:r w:rsidRPr="008B0387">
              <w:rPr>
                <w:rFonts w:ascii="Arial" w:eastAsia="Arial" w:hAnsi="Arial" w:cs="Arial"/>
                <w:i/>
                <w:iCs/>
                <w:lang w:val="en-ID"/>
              </w:rPr>
              <w:t>InnovationCapability</w:t>
            </w:r>
          </w:p>
        </w:tc>
        <w:tc>
          <w:tcPr>
            <w:tcW w:w="1270" w:type="pct"/>
            <w:tcBorders>
              <w:top w:val="single" w:sz="4" w:space="0" w:color="auto"/>
              <w:left w:val="nil"/>
              <w:right w:val="nil"/>
            </w:tcBorders>
            <w:vAlign w:val="center"/>
            <w:hideMark/>
          </w:tcPr>
          <w:p w14:paraId="4649F7E2"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 </w:t>
            </w:r>
          </w:p>
        </w:tc>
        <w:tc>
          <w:tcPr>
            <w:tcW w:w="1529" w:type="pct"/>
            <w:tcBorders>
              <w:top w:val="single" w:sz="4" w:space="0" w:color="auto"/>
              <w:left w:val="nil"/>
              <w:right w:val="single" w:sz="4" w:space="0" w:color="auto"/>
            </w:tcBorders>
            <w:vAlign w:val="center"/>
            <w:hideMark/>
          </w:tcPr>
          <w:p w14:paraId="1EB77F3B"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0.445</w:t>
            </w:r>
          </w:p>
        </w:tc>
      </w:tr>
      <w:tr w:rsidR="00DD1298" w:rsidRPr="008B0387" w14:paraId="39A5E2DC" w14:textId="77777777" w:rsidTr="00871606">
        <w:trPr>
          <w:trHeight w:val="182"/>
        </w:trPr>
        <w:tc>
          <w:tcPr>
            <w:tcW w:w="2201" w:type="pct"/>
            <w:tcBorders>
              <w:left w:val="single" w:sz="4" w:space="0" w:color="auto"/>
              <w:bottom w:val="single" w:sz="4" w:space="0" w:color="auto"/>
              <w:right w:val="nil"/>
            </w:tcBorders>
            <w:vAlign w:val="center"/>
            <w:hideMark/>
          </w:tcPr>
          <w:p w14:paraId="7FA48F29" w14:textId="77777777" w:rsidR="00DD1298" w:rsidRPr="008B0387" w:rsidRDefault="00DD1298" w:rsidP="00DD1298">
            <w:pPr>
              <w:pBdr>
                <w:top w:val="nil"/>
                <w:left w:val="nil"/>
                <w:bottom w:val="nil"/>
                <w:right w:val="nil"/>
                <w:between w:val="nil"/>
              </w:pBdr>
              <w:jc w:val="both"/>
              <w:rPr>
                <w:rFonts w:ascii="Arial" w:eastAsia="Arial" w:hAnsi="Arial" w:cs="Arial"/>
                <w:i/>
                <w:iCs/>
                <w:lang w:val="en-ID"/>
              </w:rPr>
            </w:pPr>
            <w:r w:rsidRPr="008B0387">
              <w:rPr>
                <w:rFonts w:ascii="Arial" w:eastAsia="Arial" w:hAnsi="Arial" w:cs="Arial"/>
                <w:i/>
                <w:iCs/>
                <w:lang w:val="en-ID"/>
              </w:rPr>
              <w:t>Digital Trust</w:t>
            </w:r>
          </w:p>
        </w:tc>
        <w:tc>
          <w:tcPr>
            <w:tcW w:w="1270" w:type="pct"/>
            <w:tcBorders>
              <w:left w:val="nil"/>
              <w:bottom w:val="single" w:sz="4" w:space="0" w:color="auto"/>
              <w:right w:val="nil"/>
            </w:tcBorders>
            <w:vAlign w:val="center"/>
            <w:hideMark/>
          </w:tcPr>
          <w:p w14:paraId="6715238F"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1.253</w:t>
            </w:r>
          </w:p>
        </w:tc>
        <w:tc>
          <w:tcPr>
            <w:tcW w:w="1529" w:type="pct"/>
            <w:tcBorders>
              <w:left w:val="nil"/>
              <w:bottom w:val="single" w:sz="4" w:space="0" w:color="auto"/>
              <w:right w:val="single" w:sz="4" w:space="0" w:color="auto"/>
            </w:tcBorders>
            <w:vAlign w:val="center"/>
            <w:hideMark/>
          </w:tcPr>
          <w:p w14:paraId="31022082"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0.175</w:t>
            </w:r>
          </w:p>
        </w:tc>
      </w:tr>
    </w:tbl>
    <w:p w14:paraId="404DCD60" w14:textId="77777777" w:rsidR="008B00F0" w:rsidRPr="008B0387" w:rsidRDefault="008B00F0" w:rsidP="008B00F0">
      <w:pPr>
        <w:jc w:val="center"/>
        <w:rPr>
          <w:rFonts w:ascii="Arial" w:eastAsia="Arial" w:hAnsi="Arial" w:cs="Arial"/>
          <w:bCs/>
          <w:sz w:val="18"/>
          <w:szCs w:val="18"/>
        </w:rPr>
      </w:pPr>
      <w:bookmarkStart w:id="3" w:name="_Hlk208091840"/>
      <w:r w:rsidRPr="008B0387">
        <w:rPr>
          <w:rFonts w:ascii="Arial" w:eastAsia="Arial" w:hAnsi="Arial" w:cs="Arial"/>
          <w:bCs/>
          <w:sz w:val="18"/>
          <w:szCs w:val="18"/>
        </w:rPr>
        <w:t>Source: PLS 3 result data, processed (2025)</w:t>
      </w:r>
    </w:p>
    <w:p w14:paraId="1EE800CB" w14:textId="77777777" w:rsidR="00DD1298" w:rsidRPr="008B0387" w:rsidRDefault="00DD1298" w:rsidP="00DD1298">
      <w:pPr>
        <w:pBdr>
          <w:top w:val="nil"/>
          <w:left w:val="nil"/>
          <w:bottom w:val="nil"/>
          <w:right w:val="nil"/>
          <w:between w:val="nil"/>
        </w:pBdr>
        <w:jc w:val="both"/>
        <w:rPr>
          <w:rFonts w:ascii="Arial" w:eastAsia="Arial" w:hAnsi="Arial" w:cs="Arial"/>
        </w:rPr>
      </w:pPr>
    </w:p>
    <w:bookmarkEnd w:id="3"/>
    <w:p w14:paraId="45732BA9" w14:textId="488EBFAA" w:rsidR="00DD1298" w:rsidRPr="008B0387" w:rsidRDefault="00DD1298" w:rsidP="00590C2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The f² analysis</w:t>
      </w:r>
      <w:r w:rsidR="00803A1F" w:rsidRPr="008B0387">
        <w:rPr>
          <w:rFonts w:ascii="Arial" w:eastAsia="Arial" w:hAnsi="Arial" w:cs="Arial"/>
          <w:bCs/>
          <w:lang w:val="id-ID"/>
        </w:rPr>
        <w:t>,</w:t>
      </w:r>
      <w:r w:rsidRPr="008B0387">
        <w:rPr>
          <w:rFonts w:ascii="Arial" w:eastAsia="Arial" w:hAnsi="Arial" w:cs="Arial"/>
          <w:bCs/>
          <w:lang w:val="id-ID"/>
        </w:rPr>
        <w:t xml:space="preserve"> </w:t>
      </w:r>
      <w:r w:rsidR="00CF5AD7" w:rsidRPr="008B0387">
        <w:rPr>
          <w:rFonts w:ascii="Arial" w:eastAsia="Arial" w:hAnsi="Arial" w:cs="Arial"/>
          <w:bCs/>
          <w:lang w:val="id-ID"/>
        </w:rPr>
        <w:fldChar w:fldCharType="begin"/>
      </w:r>
      <w:r w:rsidR="00CF5AD7" w:rsidRPr="008B0387">
        <w:rPr>
          <w:rFonts w:ascii="Arial" w:eastAsia="Arial" w:hAnsi="Arial" w:cs="Arial"/>
          <w:bCs/>
          <w:lang w:val="id-ID"/>
        </w:rPr>
        <w:instrText xml:space="preserve"> ADDIN ZOTERO_ITEM CSL_CITATION {"citationID":"kJveYoYk","properties":{"formattedCitation":"(Cohen, 2013)","plainCitation":"(Cohen, 2013)","dontUpdate":true,"noteIndex":0},"citationItems":[{"id":13495,"uris":["http://zotero.org/users/local/JyjMxVLY/items/W7TINXIL"],"itemData":{"id":13495,"type":"book","abstract":"Statistical Power Analysis is a nontechnical guide to power analysis in research planning that provides users of applied statistics with the tools they need for","edition":"2","event-place":"New York","ISBN":"978-0-203-77158-7","note":"DOI: 10.4324/9780203771587","number-of-pages":"567","publisher":"Routledge","publisher-place":"New York","title":"Statistical Power Analysis for the Behavioral Sciences","author":[{"family":"Cohen","given":"Jacob"}],"issued":{"date-parts":[["2013",5,13]]}}}],"schema":"https://github.com/citation-style-language/schema/raw/master/csl-citation.json"} </w:instrText>
      </w:r>
      <w:r w:rsidR="00CF5AD7" w:rsidRPr="008B0387">
        <w:rPr>
          <w:rFonts w:ascii="Arial" w:eastAsia="Arial" w:hAnsi="Arial" w:cs="Arial"/>
          <w:bCs/>
          <w:lang w:val="id-ID"/>
        </w:rPr>
        <w:fldChar w:fldCharType="separate"/>
      </w:r>
      <w:r w:rsidR="00CF5AD7" w:rsidRPr="008B0387">
        <w:rPr>
          <w:rFonts w:ascii="Arial" w:hAnsi="Arial" w:cs="Arial"/>
        </w:rPr>
        <w:t>Cohen (2013)</w:t>
      </w:r>
      <w:r w:rsidR="00CF5AD7" w:rsidRPr="008B0387">
        <w:rPr>
          <w:rFonts w:ascii="Arial" w:eastAsia="Arial" w:hAnsi="Arial" w:cs="Arial"/>
          <w:bCs/>
          <w:lang w:val="id-ID"/>
        </w:rPr>
        <w:fldChar w:fldCharType="end"/>
      </w:r>
      <w:r w:rsidR="00803A1F" w:rsidRPr="008B0387">
        <w:rPr>
          <w:rFonts w:ascii="Arial" w:eastAsia="Arial" w:hAnsi="Arial" w:cs="Arial"/>
          <w:bCs/>
          <w:lang w:val="id-ID"/>
        </w:rPr>
        <w:t>,</w:t>
      </w:r>
      <w:r w:rsidRPr="008B0387">
        <w:rPr>
          <w:rFonts w:ascii="Arial" w:eastAsia="Arial" w:hAnsi="Arial" w:cs="Arial"/>
          <w:bCs/>
          <w:lang w:val="id-ID"/>
        </w:rPr>
        <w:t xml:space="preserve"> shows that Digital Trust (f² = 1.253; large) and AI Literacy (f² = 0.872; large) strongly drive Innovation Capability. Innovation Capability itself has a substantial impact on Business </w:t>
      </w:r>
      <w:r w:rsidRPr="008B0387">
        <w:rPr>
          <w:rFonts w:ascii="Arial" w:eastAsia="Arial" w:hAnsi="Arial" w:cs="Arial"/>
          <w:bCs/>
          <w:lang w:val="id-ID"/>
        </w:rPr>
        <w:lastRenderedPageBreak/>
        <w:t>Sustainability (f² = 0.445; large). Meanwhile, the influence of Digital Trust on Business Sustainability is moderate (f² = 0.175), and the effect of AI Literacy is small (f² = 0.032), indicating that AI Literacy has a more dominant indirect effect through innovation. Overall, the magnitude of influence between variables varies, with technology and innovation factors emerging as the main drivers of business sustainability.</w:t>
      </w:r>
    </w:p>
    <w:p w14:paraId="6E5EC9E9"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p>
    <w:p w14:paraId="4574CF7A" w14:textId="7A4CD28E" w:rsidR="00DD1298" w:rsidRPr="00590C28" w:rsidRDefault="00DD1298" w:rsidP="00E84F21">
      <w:pPr>
        <w:pBdr>
          <w:top w:val="nil"/>
          <w:left w:val="nil"/>
          <w:bottom w:val="nil"/>
          <w:right w:val="nil"/>
          <w:between w:val="nil"/>
        </w:pBdr>
        <w:jc w:val="center"/>
        <w:rPr>
          <w:rFonts w:ascii="Arial" w:eastAsia="Arial" w:hAnsi="Arial" w:cs="Arial"/>
          <w:b/>
          <w:bCs/>
          <w:lang w:val="id-ID"/>
        </w:rPr>
      </w:pPr>
      <w:r w:rsidRPr="00590C28">
        <w:rPr>
          <w:rFonts w:ascii="Arial" w:eastAsia="Arial" w:hAnsi="Arial" w:cs="Arial"/>
          <w:b/>
          <w:bCs/>
          <w:lang w:val="id-ID"/>
        </w:rPr>
        <w:t xml:space="preserve">Table </w:t>
      </w:r>
      <w:r w:rsidR="00590C28" w:rsidRPr="00590C28">
        <w:rPr>
          <w:rFonts w:ascii="Arial" w:eastAsia="Arial" w:hAnsi="Arial" w:cs="Arial"/>
          <w:b/>
          <w:bCs/>
          <w:lang w:val="en-US"/>
        </w:rPr>
        <w:t>6</w:t>
      </w:r>
      <w:r w:rsidRPr="00590C28">
        <w:rPr>
          <w:rFonts w:ascii="Arial" w:eastAsia="Arial" w:hAnsi="Arial" w:cs="Arial"/>
          <w:b/>
          <w:bCs/>
          <w:lang w:val="en-US"/>
        </w:rPr>
        <w:t>.</w:t>
      </w:r>
      <w:r w:rsidRPr="00590C28">
        <w:rPr>
          <w:rFonts w:ascii="Arial" w:eastAsia="Arial" w:hAnsi="Arial" w:cs="Arial"/>
          <w:b/>
          <w:bCs/>
          <w:lang w:val="id-ID"/>
        </w:rPr>
        <w:t xml:space="preserve"> Path Coefficients (Bootstrapping)</w:t>
      </w:r>
    </w:p>
    <w:tbl>
      <w:tblPr>
        <w:tblStyle w:val="TableGrid"/>
        <w:tblpPr w:leftFromText="180" w:rightFromText="180" w:vertAnchor="text" w:horzAnchor="margin" w:tblpY="71"/>
        <w:tblW w:w="5000" w:type="pct"/>
        <w:tblLook w:val="04A0" w:firstRow="1" w:lastRow="0" w:firstColumn="1" w:lastColumn="0" w:noHBand="0" w:noVBand="1"/>
      </w:tblPr>
      <w:tblGrid>
        <w:gridCol w:w="6040"/>
        <w:gridCol w:w="1532"/>
        <w:gridCol w:w="1778"/>
      </w:tblGrid>
      <w:tr w:rsidR="00B058B6" w:rsidRPr="008B0387" w14:paraId="7A7033BB" w14:textId="77777777" w:rsidTr="00166420">
        <w:trPr>
          <w:trHeight w:val="199"/>
        </w:trPr>
        <w:tc>
          <w:tcPr>
            <w:tcW w:w="3230" w:type="pct"/>
            <w:tcBorders>
              <w:bottom w:val="single" w:sz="4" w:space="0" w:color="auto"/>
            </w:tcBorders>
            <w:hideMark/>
          </w:tcPr>
          <w:p w14:paraId="6252F8CE" w14:textId="77777777" w:rsidR="00B058B6" w:rsidRPr="008B0387" w:rsidRDefault="00B058B6" w:rsidP="00B058B6">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Relationship</w:t>
            </w:r>
          </w:p>
        </w:tc>
        <w:tc>
          <w:tcPr>
            <w:tcW w:w="819" w:type="pct"/>
            <w:tcBorders>
              <w:bottom w:val="single" w:sz="4" w:space="0" w:color="auto"/>
            </w:tcBorders>
            <w:hideMark/>
          </w:tcPr>
          <w:p w14:paraId="241FE954" w14:textId="77777777" w:rsidR="00B058B6" w:rsidRPr="008B0387" w:rsidRDefault="00B058B6" w:rsidP="00B058B6">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Original Sample</w:t>
            </w:r>
          </w:p>
        </w:tc>
        <w:tc>
          <w:tcPr>
            <w:tcW w:w="951" w:type="pct"/>
            <w:tcBorders>
              <w:bottom w:val="single" w:sz="4" w:space="0" w:color="auto"/>
            </w:tcBorders>
            <w:hideMark/>
          </w:tcPr>
          <w:p w14:paraId="774703F8" w14:textId="77777777" w:rsidR="00B058B6" w:rsidRPr="008B0387" w:rsidRDefault="00B058B6" w:rsidP="00B058B6">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T-Statistic</w:t>
            </w:r>
          </w:p>
        </w:tc>
      </w:tr>
      <w:tr w:rsidR="00B058B6" w:rsidRPr="008B0387" w14:paraId="74E5F640" w14:textId="77777777" w:rsidTr="00166420">
        <w:trPr>
          <w:trHeight w:val="321"/>
        </w:trPr>
        <w:tc>
          <w:tcPr>
            <w:tcW w:w="3230" w:type="pct"/>
            <w:tcBorders>
              <w:bottom w:val="nil"/>
              <w:right w:val="nil"/>
            </w:tcBorders>
            <w:hideMark/>
          </w:tcPr>
          <w:p w14:paraId="3D7D89D7" w14:textId="77777777" w:rsidR="00B058B6" w:rsidRPr="008B0387" w:rsidRDefault="00B058B6" w:rsidP="00B058B6">
            <w:pPr>
              <w:pBdr>
                <w:top w:val="nil"/>
                <w:left w:val="nil"/>
                <w:bottom w:val="nil"/>
                <w:right w:val="nil"/>
                <w:between w:val="nil"/>
              </w:pBdr>
              <w:jc w:val="both"/>
              <w:rPr>
                <w:rFonts w:ascii="Arial" w:eastAsia="Arial" w:hAnsi="Arial" w:cs="Arial"/>
                <w:bCs/>
                <w:i/>
                <w:iCs/>
                <w:lang w:val="id-ID"/>
              </w:rPr>
            </w:pPr>
            <w:r w:rsidRPr="008B0387">
              <w:rPr>
                <w:rFonts w:ascii="Arial" w:eastAsia="Arial" w:hAnsi="Arial" w:cs="Arial"/>
                <w:bCs/>
                <w:i/>
                <w:iCs/>
                <w:lang w:val="id-ID"/>
              </w:rPr>
              <w:t>Innovation Capability → Business Sustainability</w:t>
            </w:r>
          </w:p>
        </w:tc>
        <w:tc>
          <w:tcPr>
            <w:tcW w:w="819" w:type="pct"/>
            <w:tcBorders>
              <w:left w:val="nil"/>
              <w:bottom w:val="nil"/>
              <w:right w:val="nil"/>
            </w:tcBorders>
            <w:hideMark/>
          </w:tcPr>
          <w:p w14:paraId="141DCF28" w14:textId="77777777" w:rsidR="00B058B6" w:rsidRPr="008B0387" w:rsidRDefault="00B058B6" w:rsidP="00B058B6">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0.592</w:t>
            </w:r>
          </w:p>
        </w:tc>
        <w:tc>
          <w:tcPr>
            <w:tcW w:w="951" w:type="pct"/>
            <w:tcBorders>
              <w:left w:val="nil"/>
              <w:bottom w:val="nil"/>
            </w:tcBorders>
            <w:hideMark/>
          </w:tcPr>
          <w:p w14:paraId="56A0E109" w14:textId="77777777" w:rsidR="00B058B6" w:rsidRPr="008B0387" w:rsidRDefault="00B058B6" w:rsidP="00B058B6">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7.221</w:t>
            </w:r>
          </w:p>
        </w:tc>
      </w:tr>
      <w:tr w:rsidR="00B058B6" w:rsidRPr="008B0387" w14:paraId="64AD95D0" w14:textId="77777777" w:rsidTr="00166420">
        <w:trPr>
          <w:trHeight w:val="299"/>
        </w:trPr>
        <w:tc>
          <w:tcPr>
            <w:tcW w:w="3230" w:type="pct"/>
            <w:tcBorders>
              <w:top w:val="nil"/>
              <w:right w:val="nil"/>
            </w:tcBorders>
            <w:hideMark/>
          </w:tcPr>
          <w:p w14:paraId="3524E93D" w14:textId="77777777" w:rsidR="00B058B6" w:rsidRPr="008B0387" w:rsidRDefault="00B058B6" w:rsidP="00B058B6">
            <w:pPr>
              <w:pBdr>
                <w:top w:val="nil"/>
                <w:left w:val="nil"/>
                <w:bottom w:val="nil"/>
                <w:right w:val="nil"/>
                <w:between w:val="nil"/>
              </w:pBdr>
              <w:jc w:val="both"/>
              <w:rPr>
                <w:rFonts w:ascii="Arial" w:eastAsia="Arial" w:hAnsi="Arial" w:cs="Arial"/>
                <w:bCs/>
                <w:i/>
                <w:iCs/>
                <w:lang w:val="id-ID"/>
              </w:rPr>
            </w:pPr>
            <w:r w:rsidRPr="008B0387">
              <w:rPr>
                <w:rFonts w:ascii="Arial" w:eastAsia="Arial" w:hAnsi="Arial" w:cs="Arial"/>
                <w:bCs/>
                <w:i/>
                <w:iCs/>
                <w:lang w:val="id-ID"/>
              </w:rPr>
              <w:t>Digital Trust → Innovation Capability</w:t>
            </w:r>
          </w:p>
        </w:tc>
        <w:tc>
          <w:tcPr>
            <w:tcW w:w="819" w:type="pct"/>
            <w:tcBorders>
              <w:top w:val="nil"/>
              <w:left w:val="nil"/>
              <w:right w:val="nil"/>
            </w:tcBorders>
            <w:hideMark/>
          </w:tcPr>
          <w:p w14:paraId="6414A9E4" w14:textId="77777777" w:rsidR="00B058B6" w:rsidRPr="008B0387" w:rsidRDefault="00B058B6" w:rsidP="00B058B6">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0.576</w:t>
            </w:r>
          </w:p>
        </w:tc>
        <w:tc>
          <w:tcPr>
            <w:tcW w:w="951" w:type="pct"/>
            <w:tcBorders>
              <w:top w:val="nil"/>
              <w:left w:val="nil"/>
            </w:tcBorders>
            <w:hideMark/>
          </w:tcPr>
          <w:p w14:paraId="07C67CC7" w14:textId="77777777" w:rsidR="00B058B6" w:rsidRPr="008B0387" w:rsidRDefault="00B058B6" w:rsidP="00B058B6">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7.247</w:t>
            </w:r>
          </w:p>
        </w:tc>
      </w:tr>
    </w:tbl>
    <w:p w14:paraId="03CCA981" w14:textId="77777777" w:rsidR="008B00F0" w:rsidRPr="008B0387" w:rsidRDefault="008B00F0" w:rsidP="008B00F0">
      <w:pPr>
        <w:jc w:val="center"/>
        <w:rPr>
          <w:rFonts w:ascii="Arial" w:eastAsia="Arial" w:hAnsi="Arial" w:cs="Arial"/>
          <w:bCs/>
          <w:sz w:val="18"/>
          <w:szCs w:val="18"/>
        </w:rPr>
      </w:pPr>
      <w:r w:rsidRPr="008B0387">
        <w:rPr>
          <w:rFonts w:ascii="Arial" w:eastAsia="Arial" w:hAnsi="Arial" w:cs="Arial"/>
          <w:bCs/>
          <w:sz w:val="18"/>
          <w:szCs w:val="18"/>
        </w:rPr>
        <w:t>Source: PLS 3 result data, processed (2025)</w:t>
      </w:r>
    </w:p>
    <w:p w14:paraId="44553B4F" w14:textId="77777777" w:rsidR="00DD1298" w:rsidRPr="008B0387" w:rsidRDefault="00DD1298" w:rsidP="00DD1298">
      <w:pPr>
        <w:pBdr>
          <w:top w:val="nil"/>
          <w:left w:val="nil"/>
          <w:bottom w:val="nil"/>
          <w:right w:val="nil"/>
          <w:between w:val="nil"/>
        </w:pBdr>
        <w:jc w:val="both"/>
        <w:rPr>
          <w:rFonts w:ascii="Arial" w:eastAsia="Arial" w:hAnsi="Arial" w:cs="Arial"/>
          <w:b/>
        </w:rPr>
      </w:pPr>
    </w:p>
    <w:p w14:paraId="14D1307A" w14:textId="77777777" w:rsidR="00DD1298" w:rsidRPr="008B0387" w:rsidRDefault="00DD1298" w:rsidP="00590C2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The path analysis results show that all relationships are positive: Innovation Capability → Business Sustainability (β=0.592; t=7.221 &gt; 1.96; p=0.000) is significant; Digital Trust → Innovation Capability (β=0.576; t=7.247; p=0.000) and → Business Sustainability (β=0.287; t=4.578; p=0.000) are also significant; AI Literacy → Innovation Capability (β=0.481; t=5.574; p=0.000) is significant; while AI Literacy → Business Sustainability (β=0.113; t=1.965 ≈ 1.96; p=0.050) is marginally significant at the 0.05 threshold. Overall, the findings confirm the central role of Digital Trust and AI Literacy in driving Innovation Capability, which in turn strengthens Business Sustainability.</w:t>
      </w:r>
    </w:p>
    <w:p w14:paraId="383D6594" w14:textId="77777777" w:rsidR="00DD1298" w:rsidRPr="008B0387" w:rsidRDefault="00DD1298" w:rsidP="00DD1298">
      <w:pPr>
        <w:pBdr>
          <w:top w:val="nil"/>
          <w:left w:val="nil"/>
          <w:bottom w:val="nil"/>
          <w:right w:val="nil"/>
          <w:between w:val="nil"/>
        </w:pBdr>
        <w:jc w:val="both"/>
        <w:rPr>
          <w:rFonts w:ascii="Arial" w:eastAsia="Arial" w:hAnsi="Arial" w:cs="Arial"/>
          <w:bCs/>
          <w:lang w:val="en-US"/>
        </w:rPr>
      </w:pPr>
    </w:p>
    <w:p w14:paraId="266EAD84" w14:textId="77952EC9" w:rsidR="00DD1298" w:rsidRPr="008B0387" w:rsidRDefault="00DD1298" w:rsidP="00E84F21">
      <w:pPr>
        <w:pBdr>
          <w:top w:val="nil"/>
          <w:left w:val="nil"/>
          <w:bottom w:val="nil"/>
          <w:right w:val="nil"/>
          <w:between w:val="nil"/>
        </w:pBdr>
        <w:jc w:val="center"/>
        <w:rPr>
          <w:rFonts w:ascii="Arial" w:eastAsia="Arial" w:hAnsi="Arial" w:cs="Arial"/>
          <w:b/>
          <w:bCs/>
          <w:lang w:val="en-ID"/>
        </w:rPr>
      </w:pPr>
      <w:r w:rsidRPr="008B0387">
        <w:rPr>
          <w:rFonts w:ascii="Arial" w:eastAsia="Arial" w:hAnsi="Arial" w:cs="Arial"/>
          <w:b/>
          <w:bCs/>
          <w:lang w:val="en-ID"/>
        </w:rPr>
        <w:t xml:space="preserve">Table </w:t>
      </w:r>
      <w:r w:rsidR="00590C28">
        <w:rPr>
          <w:rFonts w:ascii="Arial" w:eastAsia="Arial" w:hAnsi="Arial" w:cs="Arial"/>
          <w:b/>
          <w:bCs/>
          <w:lang w:val="en-ID"/>
        </w:rPr>
        <w:t>7</w:t>
      </w:r>
      <w:r w:rsidRPr="008B0387">
        <w:rPr>
          <w:rFonts w:ascii="Arial" w:eastAsia="Arial" w:hAnsi="Arial" w:cs="Arial"/>
          <w:b/>
          <w:bCs/>
          <w:lang w:val="en-ID"/>
        </w:rPr>
        <w:t>. Total Indirect Effects</w:t>
      </w:r>
    </w:p>
    <w:p w14:paraId="176D971A" w14:textId="77777777" w:rsidR="00E84F21" w:rsidRPr="008B0387" w:rsidRDefault="00E84F21" w:rsidP="00E84F21">
      <w:pPr>
        <w:pBdr>
          <w:top w:val="nil"/>
          <w:left w:val="nil"/>
          <w:bottom w:val="nil"/>
          <w:right w:val="nil"/>
          <w:between w:val="nil"/>
        </w:pBdr>
        <w:jc w:val="center"/>
        <w:rPr>
          <w:rFonts w:ascii="Arial" w:eastAsia="Arial" w:hAnsi="Arial" w:cs="Arial"/>
          <w:b/>
          <w:bCs/>
          <w:lang w:val="en-ID"/>
        </w:rPr>
      </w:pPr>
    </w:p>
    <w:tbl>
      <w:tblPr>
        <w:tblW w:w="5000" w:type="pct"/>
        <w:tblLook w:val="04A0" w:firstRow="1" w:lastRow="0" w:firstColumn="1" w:lastColumn="0" w:noHBand="0" w:noVBand="1"/>
      </w:tblPr>
      <w:tblGrid>
        <w:gridCol w:w="5571"/>
        <w:gridCol w:w="2517"/>
        <w:gridCol w:w="1262"/>
      </w:tblGrid>
      <w:tr w:rsidR="00DD1298" w:rsidRPr="008B0387" w14:paraId="20E5BF81" w14:textId="77777777" w:rsidTr="00B058B6">
        <w:trPr>
          <w:trHeight w:val="129"/>
        </w:trPr>
        <w:tc>
          <w:tcPr>
            <w:tcW w:w="2979" w:type="pct"/>
            <w:tcBorders>
              <w:top w:val="single" w:sz="4" w:space="0" w:color="auto"/>
              <w:left w:val="single" w:sz="4" w:space="0" w:color="auto"/>
              <w:bottom w:val="single" w:sz="4" w:space="0" w:color="auto"/>
              <w:right w:val="nil"/>
            </w:tcBorders>
            <w:vAlign w:val="center"/>
            <w:hideMark/>
          </w:tcPr>
          <w:p w14:paraId="7F03771E"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Relationship</w:t>
            </w:r>
          </w:p>
        </w:tc>
        <w:tc>
          <w:tcPr>
            <w:tcW w:w="1346" w:type="pct"/>
            <w:tcBorders>
              <w:top w:val="single" w:sz="4" w:space="0" w:color="auto"/>
              <w:left w:val="nil"/>
              <w:bottom w:val="single" w:sz="4" w:space="0" w:color="auto"/>
              <w:right w:val="nil"/>
            </w:tcBorders>
            <w:vAlign w:val="center"/>
            <w:hideMark/>
          </w:tcPr>
          <w:p w14:paraId="42FDB5C1"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Original Sample</w:t>
            </w:r>
          </w:p>
        </w:tc>
        <w:tc>
          <w:tcPr>
            <w:tcW w:w="675" w:type="pct"/>
            <w:tcBorders>
              <w:top w:val="single" w:sz="4" w:space="0" w:color="auto"/>
              <w:left w:val="nil"/>
              <w:bottom w:val="single" w:sz="4" w:space="0" w:color="auto"/>
              <w:right w:val="single" w:sz="4" w:space="0" w:color="auto"/>
            </w:tcBorders>
            <w:vAlign w:val="center"/>
            <w:hideMark/>
          </w:tcPr>
          <w:p w14:paraId="1A3290B2"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T-Statistic</w:t>
            </w:r>
          </w:p>
        </w:tc>
      </w:tr>
      <w:tr w:rsidR="00DD1298" w:rsidRPr="008B0387" w14:paraId="2B040EBC" w14:textId="77777777" w:rsidTr="00B058B6">
        <w:trPr>
          <w:trHeight w:val="324"/>
        </w:trPr>
        <w:tc>
          <w:tcPr>
            <w:tcW w:w="2979" w:type="pct"/>
            <w:tcBorders>
              <w:top w:val="nil"/>
              <w:left w:val="single" w:sz="4" w:space="0" w:color="auto"/>
              <w:bottom w:val="single" w:sz="4" w:space="0" w:color="auto"/>
              <w:right w:val="nil"/>
            </w:tcBorders>
            <w:vAlign w:val="center"/>
            <w:hideMark/>
          </w:tcPr>
          <w:p w14:paraId="28F06C3D" w14:textId="77777777" w:rsidR="00DD1298" w:rsidRPr="008B0387" w:rsidRDefault="00DD1298" w:rsidP="00DD1298">
            <w:pPr>
              <w:pBdr>
                <w:top w:val="nil"/>
                <w:left w:val="nil"/>
                <w:bottom w:val="nil"/>
                <w:right w:val="nil"/>
                <w:between w:val="nil"/>
              </w:pBdr>
              <w:jc w:val="both"/>
              <w:rPr>
                <w:rFonts w:ascii="Arial" w:eastAsia="Arial" w:hAnsi="Arial" w:cs="Arial"/>
                <w:i/>
                <w:iCs/>
                <w:lang w:val="en-ID"/>
              </w:rPr>
            </w:pPr>
            <w:r w:rsidRPr="008B0387">
              <w:rPr>
                <w:rFonts w:ascii="Arial" w:eastAsia="Arial" w:hAnsi="Arial" w:cs="Arial"/>
                <w:i/>
                <w:iCs/>
                <w:lang w:val="en-ID"/>
              </w:rPr>
              <w:t>Digital Trust → Business Sustainability (via Innovation)</w:t>
            </w:r>
          </w:p>
        </w:tc>
        <w:tc>
          <w:tcPr>
            <w:tcW w:w="1346" w:type="pct"/>
            <w:tcBorders>
              <w:top w:val="nil"/>
              <w:left w:val="nil"/>
              <w:bottom w:val="single" w:sz="4" w:space="0" w:color="auto"/>
              <w:right w:val="nil"/>
            </w:tcBorders>
            <w:vAlign w:val="center"/>
            <w:hideMark/>
          </w:tcPr>
          <w:p w14:paraId="2A7538BA"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0.341</w:t>
            </w:r>
          </w:p>
        </w:tc>
        <w:tc>
          <w:tcPr>
            <w:tcW w:w="675" w:type="pct"/>
            <w:tcBorders>
              <w:top w:val="nil"/>
              <w:left w:val="nil"/>
              <w:bottom w:val="single" w:sz="4" w:space="0" w:color="auto"/>
              <w:right w:val="single" w:sz="4" w:space="0" w:color="auto"/>
            </w:tcBorders>
            <w:vAlign w:val="center"/>
            <w:hideMark/>
          </w:tcPr>
          <w:p w14:paraId="6E0E05DE"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4.883</w:t>
            </w:r>
          </w:p>
        </w:tc>
      </w:tr>
      <w:tr w:rsidR="00DD1298" w:rsidRPr="008B0387" w14:paraId="0604EFA0" w14:textId="77777777" w:rsidTr="00B058B6">
        <w:trPr>
          <w:trHeight w:val="324"/>
        </w:trPr>
        <w:tc>
          <w:tcPr>
            <w:tcW w:w="2979" w:type="pct"/>
            <w:tcBorders>
              <w:top w:val="nil"/>
              <w:left w:val="single" w:sz="4" w:space="0" w:color="auto"/>
              <w:bottom w:val="single" w:sz="4" w:space="0" w:color="auto"/>
              <w:right w:val="nil"/>
            </w:tcBorders>
            <w:vAlign w:val="center"/>
            <w:hideMark/>
          </w:tcPr>
          <w:p w14:paraId="55B60A27" w14:textId="77777777" w:rsidR="00DD1298" w:rsidRPr="008B0387" w:rsidRDefault="00DD1298" w:rsidP="00DD1298">
            <w:pPr>
              <w:pBdr>
                <w:top w:val="nil"/>
                <w:left w:val="nil"/>
                <w:bottom w:val="nil"/>
                <w:right w:val="nil"/>
                <w:between w:val="nil"/>
              </w:pBdr>
              <w:jc w:val="both"/>
              <w:rPr>
                <w:rFonts w:ascii="Arial" w:eastAsia="Arial" w:hAnsi="Arial" w:cs="Arial"/>
                <w:i/>
                <w:iCs/>
                <w:lang w:val="en-ID"/>
              </w:rPr>
            </w:pPr>
            <w:r w:rsidRPr="008B0387">
              <w:rPr>
                <w:rFonts w:ascii="Arial" w:eastAsia="Arial" w:hAnsi="Arial" w:cs="Arial"/>
                <w:i/>
                <w:iCs/>
                <w:lang w:val="en-ID"/>
              </w:rPr>
              <w:t>AI Literacy → Business Sustainability (via Innovation)</w:t>
            </w:r>
          </w:p>
        </w:tc>
        <w:tc>
          <w:tcPr>
            <w:tcW w:w="1346" w:type="pct"/>
            <w:tcBorders>
              <w:top w:val="nil"/>
              <w:left w:val="nil"/>
              <w:bottom w:val="single" w:sz="4" w:space="0" w:color="auto"/>
              <w:right w:val="nil"/>
            </w:tcBorders>
            <w:vAlign w:val="center"/>
            <w:hideMark/>
          </w:tcPr>
          <w:p w14:paraId="43B05B6D"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0.284</w:t>
            </w:r>
          </w:p>
        </w:tc>
        <w:tc>
          <w:tcPr>
            <w:tcW w:w="675" w:type="pct"/>
            <w:tcBorders>
              <w:top w:val="nil"/>
              <w:left w:val="nil"/>
              <w:bottom w:val="single" w:sz="4" w:space="0" w:color="auto"/>
              <w:right w:val="single" w:sz="4" w:space="0" w:color="auto"/>
            </w:tcBorders>
            <w:vAlign w:val="center"/>
            <w:hideMark/>
          </w:tcPr>
          <w:p w14:paraId="5FB03598"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4.423</w:t>
            </w:r>
          </w:p>
        </w:tc>
      </w:tr>
    </w:tbl>
    <w:p w14:paraId="5D8F743B" w14:textId="77777777" w:rsidR="008B00F0" w:rsidRPr="008B0387" w:rsidRDefault="008B00F0" w:rsidP="008B00F0">
      <w:pPr>
        <w:jc w:val="center"/>
        <w:rPr>
          <w:rFonts w:ascii="Arial" w:eastAsia="Arial" w:hAnsi="Arial" w:cs="Arial"/>
          <w:bCs/>
          <w:sz w:val="18"/>
          <w:szCs w:val="18"/>
        </w:rPr>
      </w:pPr>
      <w:r w:rsidRPr="008B0387">
        <w:rPr>
          <w:rFonts w:ascii="Arial" w:eastAsia="Arial" w:hAnsi="Arial" w:cs="Arial"/>
          <w:bCs/>
          <w:sz w:val="18"/>
          <w:szCs w:val="18"/>
        </w:rPr>
        <w:t>Source: PLS 3 result data, processed (2025)</w:t>
      </w:r>
    </w:p>
    <w:p w14:paraId="1688FBDD" w14:textId="77777777" w:rsidR="00DD1298" w:rsidRPr="008B0387" w:rsidRDefault="00DD1298" w:rsidP="00DD1298">
      <w:pPr>
        <w:pBdr>
          <w:top w:val="nil"/>
          <w:left w:val="nil"/>
          <w:bottom w:val="nil"/>
          <w:right w:val="nil"/>
          <w:between w:val="nil"/>
        </w:pBdr>
        <w:jc w:val="both"/>
        <w:rPr>
          <w:rFonts w:ascii="Arial" w:eastAsia="Arial" w:hAnsi="Arial" w:cs="Arial"/>
        </w:rPr>
      </w:pPr>
    </w:p>
    <w:p w14:paraId="4BAD6224" w14:textId="40F800EF" w:rsidR="00C0694C" w:rsidRPr="008B0387" w:rsidRDefault="00DD1298" w:rsidP="00590C28">
      <w:pPr>
        <w:pBdr>
          <w:top w:val="nil"/>
          <w:left w:val="nil"/>
          <w:bottom w:val="nil"/>
          <w:right w:val="nil"/>
          <w:between w:val="nil"/>
        </w:pBdr>
        <w:jc w:val="both"/>
        <w:rPr>
          <w:rFonts w:ascii="Arial" w:eastAsia="Arial" w:hAnsi="Arial" w:cs="Arial"/>
          <w:b/>
          <w:lang w:val="id-ID"/>
        </w:rPr>
      </w:pPr>
      <w:r w:rsidRPr="008B0387">
        <w:rPr>
          <w:rFonts w:ascii="Arial" w:eastAsia="Arial" w:hAnsi="Arial" w:cs="Arial"/>
          <w:bCs/>
          <w:lang w:val="id-ID"/>
        </w:rPr>
        <w:t>Based on the table above, Digital Trust has a positive and significant influence on Business Sustainability through Innovation Capability. The original sample value is 0.341 (positive), with a t-statistic of 4.796 &gt; 1.96 and a p-value of 0.000 &lt; 0.05. Furthermore, Artificial Intelligence Literacy also has a positive and significant influence on Business Sustainability through Innovation Capability. The original sample value is 0.284 (positive), with a t-statistic of 4.423 &gt; 1.96 and a p-value of 0.000 &lt; 0.05.</w:t>
      </w:r>
    </w:p>
    <w:p w14:paraId="559ADD1D" w14:textId="77777777" w:rsidR="00C0694C" w:rsidRPr="008B0387" w:rsidRDefault="00C0694C">
      <w:pPr>
        <w:pBdr>
          <w:top w:val="nil"/>
          <w:left w:val="nil"/>
          <w:bottom w:val="nil"/>
          <w:right w:val="nil"/>
          <w:between w:val="nil"/>
        </w:pBdr>
        <w:jc w:val="both"/>
        <w:rPr>
          <w:rFonts w:ascii="Arial" w:eastAsia="Arial" w:hAnsi="Arial" w:cs="Arial"/>
          <w:color w:val="000000"/>
        </w:rPr>
      </w:pPr>
    </w:p>
    <w:p w14:paraId="4996BC90" w14:textId="77777777" w:rsidR="00B058B6" w:rsidRPr="008B0387" w:rsidRDefault="00B058B6">
      <w:pPr>
        <w:pBdr>
          <w:top w:val="nil"/>
          <w:left w:val="nil"/>
          <w:bottom w:val="nil"/>
          <w:right w:val="nil"/>
          <w:between w:val="nil"/>
        </w:pBdr>
        <w:jc w:val="both"/>
        <w:rPr>
          <w:rFonts w:ascii="Arial" w:eastAsia="Arial" w:hAnsi="Arial" w:cs="Arial"/>
          <w:b/>
        </w:rPr>
        <w:sectPr w:rsidR="00B058B6" w:rsidRPr="008B0387" w:rsidSect="00CF5AD7">
          <w:type w:val="continuous"/>
          <w:pgSz w:w="12240" w:h="15840"/>
          <w:pgMar w:top="1440" w:right="1440" w:bottom="1440" w:left="1440" w:header="720" w:footer="720" w:gutter="0"/>
          <w:cols w:space="720"/>
          <w:docGrid w:linePitch="272"/>
        </w:sectPr>
      </w:pPr>
    </w:p>
    <w:p w14:paraId="312179CD" w14:textId="799AFADC" w:rsidR="00C0694C" w:rsidRPr="008B0387" w:rsidRDefault="00E84F21" w:rsidP="0085087B">
      <w:pPr>
        <w:pBdr>
          <w:top w:val="nil"/>
          <w:left w:val="nil"/>
          <w:bottom w:val="nil"/>
          <w:right w:val="nil"/>
          <w:between w:val="nil"/>
        </w:pBdr>
        <w:jc w:val="both"/>
        <w:rPr>
          <w:rFonts w:ascii="Arial" w:eastAsia="Arial" w:hAnsi="Arial" w:cs="Arial"/>
          <w:b/>
          <w:sz w:val="22"/>
          <w:szCs w:val="22"/>
        </w:rPr>
      </w:pPr>
      <w:r w:rsidRPr="008B0387">
        <w:rPr>
          <w:rFonts w:ascii="Arial" w:eastAsia="Arial" w:hAnsi="Arial" w:cs="Arial"/>
          <w:b/>
          <w:sz w:val="22"/>
          <w:szCs w:val="22"/>
        </w:rPr>
        <w:t xml:space="preserve">4.3 </w:t>
      </w:r>
      <w:r w:rsidR="0045458C" w:rsidRPr="008B0387">
        <w:rPr>
          <w:rFonts w:ascii="Arial" w:eastAsia="Arial" w:hAnsi="Arial" w:cs="Arial"/>
          <w:b/>
          <w:sz w:val="22"/>
          <w:szCs w:val="22"/>
        </w:rPr>
        <w:t>Discussion</w:t>
      </w:r>
    </w:p>
    <w:p w14:paraId="6C4A8643" w14:textId="77777777" w:rsidR="00C0694C" w:rsidRPr="008B0387" w:rsidRDefault="00C0694C" w:rsidP="0085087B">
      <w:pPr>
        <w:pBdr>
          <w:top w:val="nil"/>
          <w:left w:val="nil"/>
          <w:bottom w:val="nil"/>
          <w:right w:val="nil"/>
          <w:between w:val="nil"/>
        </w:pBdr>
        <w:jc w:val="both"/>
        <w:rPr>
          <w:rFonts w:ascii="Arial" w:eastAsia="Arial" w:hAnsi="Arial" w:cs="Arial"/>
        </w:rPr>
      </w:pPr>
    </w:p>
    <w:p w14:paraId="020D9B8D" w14:textId="0C86D355" w:rsidR="00C0694C" w:rsidRPr="008B0387" w:rsidRDefault="0065486C" w:rsidP="0085087B">
      <w:pPr>
        <w:pBdr>
          <w:top w:val="nil"/>
          <w:left w:val="nil"/>
          <w:bottom w:val="nil"/>
          <w:right w:val="nil"/>
          <w:between w:val="nil"/>
        </w:pBdr>
        <w:jc w:val="both"/>
        <w:rPr>
          <w:rFonts w:ascii="Arial" w:eastAsia="Arial" w:hAnsi="Arial" w:cs="Arial"/>
          <w:b/>
        </w:rPr>
      </w:pPr>
      <w:r w:rsidRPr="008B0387">
        <w:rPr>
          <w:rFonts w:ascii="Arial" w:eastAsia="Arial" w:hAnsi="Arial" w:cs="Arial"/>
          <w:b/>
        </w:rPr>
        <w:t xml:space="preserve">4.3.1 </w:t>
      </w:r>
      <w:r w:rsidR="0045458C" w:rsidRPr="008B0387">
        <w:rPr>
          <w:rFonts w:ascii="Arial" w:eastAsia="Arial" w:hAnsi="Arial" w:cs="Arial"/>
          <w:b/>
        </w:rPr>
        <w:t xml:space="preserve">The </w:t>
      </w:r>
      <w:r w:rsidR="00DD1298" w:rsidRPr="008B0387">
        <w:rPr>
          <w:rFonts w:ascii="Arial" w:eastAsia="Arial" w:hAnsi="Arial" w:cs="Arial"/>
          <w:b/>
        </w:rPr>
        <w:t>Impact</w:t>
      </w:r>
      <w:r w:rsidR="0045458C" w:rsidRPr="008B0387">
        <w:rPr>
          <w:rFonts w:ascii="Arial" w:eastAsia="Arial" w:hAnsi="Arial" w:cs="Arial"/>
          <w:b/>
        </w:rPr>
        <w:t xml:space="preserve"> of Digital Trust on Business Sustainability</w:t>
      </w:r>
    </w:p>
    <w:p w14:paraId="2B661EED" w14:textId="77777777" w:rsidR="0065486C" w:rsidRPr="008B0387" w:rsidRDefault="0065486C" w:rsidP="0085087B">
      <w:pPr>
        <w:pBdr>
          <w:top w:val="nil"/>
          <w:left w:val="nil"/>
          <w:bottom w:val="nil"/>
          <w:right w:val="nil"/>
          <w:between w:val="nil"/>
        </w:pBdr>
        <w:jc w:val="both"/>
        <w:rPr>
          <w:rFonts w:ascii="Arial" w:eastAsia="Arial" w:hAnsi="Arial" w:cs="Arial"/>
          <w:b/>
        </w:rPr>
      </w:pPr>
    </w:p>
    <w:p w14:paraId="30161FA0" w14:textId="77777777" w:rsidR="0031690C" w:rsidRDefault="0031690C" w:rsidP="0085087B">
      <w:pPr>
        <w:pBdr>
          <w:top w:val="nil"/>
          <w:left w:val="nil"/>
          <w:bottom w:val="nil"/>
          <w:right w:val="nil"/>
          <w:between w:val="nil"/>
        </w:pBdr>
        <w:jc w:val="both"/>
        <w:rPr>
          <w:rFonts w:ascii="Arial" w:hAnsi="Arial" w:cs="Arial"/>
        </w:rPr>
      </w:pPr>
      <w:r w:rsidRPr="0031690C">
        <w:rPr>
          <w:rFonts w:ascii="Arial" w:hAnsi="Arial" w:cs="Arial"/>
        </w:rPr>
        <w:t xml:space="preserve">The findings of this study indicate that digital trust has a positive and significant influence on business sustainability. Consistent with the Technology Acceptance Model (TAM), digital trust improves perceptions of usefulness and ease of use, while simultaneously reducing psychological barriers related to risk, uncertainty, and reliability. In addition, within the framework of Dynamic Capabilities Theory (DCT), digital trust contributes to the sensing process by enabling micro, small, and medium enterprises (MSMEs) to identify and interpret opportunities for digital transformation. It also supports the seizing function by enhancing the readiness of MSMEs to allocate resources towards technological adoption. </w:t>
      </w:r>
    </w:p>
    <w:p w14:paraId="266DB02C" w14:textId="77777777" w:rsidR="0031690C" w:rsidRDefault="0031690C" w:rsidP="0085087B">
      <w:pPr>
        <w:pBdr>
          <w:top w:val="nil"/>
          <w:left w:val="nil"/>
          <w:bottom w:val="nil"/>
          <w:right w:val="nil"/>
          <w:between w:val="nil"/>
        </w:pBdr>
        <w:jc w:val="both"/>
        <w:rPr>
          <w:rFonts w:ascii="Arial" w:hAnsi="Arial" w:cs="Arial"/>
        </w:rPr>
      </w:pPr>
    </w:p>
    <w:p w14:paraId="5F151037" w14:textId="55182C6A" w:rsidR="00C0694C" w:rsidRPr="008B0387" w:rsidRDefault="0031690C" w:rsidP="0085087B">
      <w:pPr>
        <w:pBdr>
          <w:top w:val="nil"/>
          <w:left w:val="nil"/>
          <w:bottom w:val="nil"/>
          <w:right w:val="nil"/>
          <w:between w:val="nil"/>
        </w:pBdr>
        <w:jc w:val="both"/>
        <w:rPr>
          <w:rFonts w:ascii="Arial" w:eastAsia="Arial" w:hAnsi="Arial" w:cs="Arial"/>
        </w:rPr>
      </w:pPr>
      <w:r w:rsidRPr="0031690C">
        <w:rPr>
          <w:rFonts w:ascii="Arial" w:hAnsi="Arial" w:cs="Arial"/>
        </w:rPr>
        <w:t>With greater digital trust, MSMEs are more prepared to implement and optimize technology across various business functions, including marketing, payment systems, customer service, and innovation. The resulting outcomes include increased operational efficiency, expansion of market reach, improved customer engagement, a more professional business image, and enhanced data security. Collectively, these factors strengthen customer loyalty and business resilience. These findings are aligned with previous studies</w:t>
      </w:r>
      <w:r w:rsidR="00DA3875" w:rsidRPr="008B0387">
        <w:rPr>
          <w:rFonts w:ascii="Arial" w:eastAsia="Arial" w:hAnsi="Arial" w:cs="Arial"/>
        </w:rPr>
        <w:fldChar w:fldCharType="begin"/>
      </w:r>
      <w:r w:rsidR="00BA5951" w:rsidRPr="008B0387">
        <w:rPr>
          <w:rFonts w:ascii="Arial" w:eastAsia="Arial" w:hAnsi="Arial" w:cs="Arial"/>
        </w:rPr>
        <w:instrText xml:space="preserve"> ADDIN ZOTERO_ITEM CSL_CITATION {"citationID":"C2rFvr2n","properties":{"formattedCitation":"(Dhewanto et al., 2022; El Hilali et al., 2020; Khatib et al., 2024; Puteri &amp; Asyari, 2023; Qing &amp; Jin, 2023a)","plainCitation":"(Dhewanto et al., 2022; El Hilali et al., 2020; Khatib et al., 2024; Puteri &amp; Asyari, 2023; Qing &amp; Jin, 2023a)","noteIndex":0},"citationItems":[{"id":12134,"uris":["http://zotero.org/users/local/JyjMxVLY/items/PAYS4PAA"],"itemData":{"id":12134,"type":"article-journal","abstract":"The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Noviyana"}],"issued":{"date-parts":[["2022"]]}}},{"id":13468,"uris":["http://zotero.org/users/local/JyjMxVLY/items/J49J9QBW"],"itemData":{"id":13468,"type":"article-journal","abstract":"In a world where big data have become crucial to guarantee the success of companies, digital transformation came to help companies transition towards a digital business and accept the changes in the organizational structure as well as the market. Nonetheless, even with the ever-growing importance shed on it, few articles and studies have linked it to the sustainability paradigm. Empirical studies that have linked between the factors of digital transformation and a more sustainable business are still scant. Many efforts are still needed to reduce the knowledge gap between these two concepts. The purpose of this paper is to fill this gap by examining (empirically) the effect of digital transformation on sustainability.The study validates five different hypotheses highlighted by the literature using structural equation model (SEM) analysis from partial least square (PLS) approach. It uses a new conceptual framework using a survey data, answered by 41 small- and medium-sized enterprises (SMEs) in Morocco from different industries.Using PLS-SEM modeling, the results show that customers, data and innovation, which are drivers that companies should work on during a digital transformation, have a significant impact on companies’ quest to reach sustainability. However, and in contrast to the existing literature, authors find that competition did not play a significant role in enhancing the companies’ commitment to sustainability.Authors’ findings encourage firms to seize the opportunity of digital transformation to embrace sustainability, because the implementation of these two concepts requires radical changes at the business model level. Authors suggest that the road to achieve sustainability in a digital era should focus on three main axes, enhancing the customer experience and adopting customer centricity, building data analytics capabilities and shifting innovation to the business model level.To the best of the authors’ knowledge, this study is one of the first research papers that explain how to reach sustainability during a digital transformation. The originality of this paper lies in the fact that it focuses on SMEs as they remain the backbone of the Moroccan economy. This study is also novel for showing with empirical evidences that working on the axes of customers, data and innovation, during a digital transformation journey, will improve sustainable practices within businesses.","container-title":"International Journal of Innovation Science","DOI":"10.1108/IJIS-08-2019-0083","ISSN":"1757-2223","issue":"1","journalAbbreviation":"International Journal of Innovation Science","page":"52-79","source":"Silverchair","title":"Reaching sustainability during a digital transformation: a PLS approach","title-short":"Reaching sustainability during a digital transformation","volume":"12","author":[{"family":"El Hilali","given":"Wail"},{"family":"El Manouar","given":"Abdellah"},{"family":"Janati Idrissi","given":"Mohammed Abdou"}],"issued":{"date-parts":[["2020",2,10]]}}},{"id":13474,"uris":["http://zotero.org/users/local/JyjMxVLY/items/ARYX4HSN"],"itemData":{"id":13474,"type":"article-journal","abstract":"Abstract:\nThe existence of trust in the work environment is significant to organizational performance and competitiveness in an increasingly universal market (Combs et al., 2015). Several studies (Olivier, 2017) (Stephanie et al., 2014) has showed that promoting trusting relationships by an organization is an essential criterion of competitive advantage. Organizations that enhance of trust internally and externally earn advantages such as, attract loyal customers, high performance by employee and good position in market (Roderick and Roy, 2010). Furthermore, trust has several benefits on firms’ outcomes such as increase sales, high profits, minimize worker turnover and employees achieve high level of cooperation among others.\nLack of&amp;nbsp;trust in government threatens the desire of people and business obey to government policies and participate to a potential economic recovery (Tao and Yunfan, 2010).&amp;nbsp;The validity of organizations is construct based on the presence of trust and is significant for preserving social cohesion. A study was conducted by (Nils and Darja, 2008) showed that the impact of lacking trust in an organization resulted in several disadvantages such as, reduction in performance, work quality, sharing information, spirits of workers and increase in group combats. In addition, the employees prefer individual interest over group interest and expect negative comments from the manager. This result in, high supervision from mangers on employees that decreased the level of trust. Therefore, the presence of trust is essential to governments, organizations both public and private in providing services.","container-title":"International Journal of Business Analytics and Security (IJBAS)","ISSN":"2958-5791","issue":"2","language":"en","license":"Copyright (c) 2024 International Journal of Business Analytics and Security (IJBAS)","note":"number: 2","page":"16-38","source":"journals.gaftim.com","title":"The importance of Trust in digital transformation and SMART Government initiatives","volume":"4","author":[{"family":"Khatib","given":"Mounir El"},{"family":"AlMansoori","given":"Abdulrahman Ahmed"},{"family":"Alsuwidi","given":"Saeed"}],"issued":{"date-parts":[["2024",5,1]]}}},{"id":12423,"uris":["http://zotero.org/users/local/JyjMxVLY/items/VENDATFP"],"itemData":{"id":12423,"type":"article-journal","abstract":"This study analyzes whether the application of digital transformation affects the revitalization of MSMEs during the pandemic and whether it can be mediated by digital literacy. Using a sample of 378 respondents from micro-sector MSMEs in Bukittinggi City in 2021, this study reveals that the application of digital transformation and digital literacy is positively related to the revitalization of MSMEs, which in this case uses business performance indicators to serve as a basis for determining the level of success. from the revitalization of SMEs. This finding offers empirical evidence about the importance of digital literacy in the relationship between implementing digital transformation and revitalizing MSMEs during the pandemic. This shows that the implementation of digital transformation will not succeed without an educational intermediary for digital technology itself. Furthermore, this study recommends strategies to improve the application of digital transformation for MSME business actors by increasing digital literacy of business actors","language":"en-US","source":"ejournal.stebisigm.ac.id","title":"The Effect of Digital Transformation On The Revitalization of Msmes In Pandemi Time With Digital Literacy As An Intervening Variable (Case Study of Micro Enterprises in the City of Bukittinggi) | Islamic Banking : Jurnal Pemikiran dan Pengembangan Perbankan Syariah","title-short":"The Effect of Digital Transformation On The Revitalization of Msmes In Pandemi Time With Digital Literacy As An Intervening Variable (Case Study of Micro Enterprises in the City of Bukittinggi) | Islamic Banking","URL":"https://ejournal.stebisigm.ac.id/index.php/isbank/article/view/695","author":[{"family":"Puteri","given":"Dhea Ananda"},{"family":"Asyari","given":"Asyari"}],"accessed":{"date-parts":[["2025",4,30]]},"issued":{"date-parts":[["2023",2,4]]}}},{"id":13039,"uris":["http://zotero.org/users/local/JyjMxVLY/items/QFRKV454"],"itemData":{"id":13039,"type":"article","abstract":"Recently, environmental, social, and governance (ESG) has become an important factor in companies' sustainable development. Artificial intelligence (AI) is also a core digital technology that can create innovative, sustainable, comprehensive, and resilient environments. ESG- and AI-based digital transformation is a relevant strategy for managing business value and sustainability in corporate green management operations. Therefore, this study examines how corporate sustainability relates to ESG- and AI-based digital transformation. Furthermore, it confirms the moderating effect of green innovation on the process of increasing sustainability. To achieve the purpose of this study, 359 data points collected for hypothesis testing were used for statistical analysis and for mobile business platform users. The following conclusions are drawn. (1) ESG activities have become key variables that enable sustainable corporate growth. Companies can implement eco-friendly operating processes through ESG activities. (2) This study verifies the relationship between AI-based digital transformation and corporate sustainability and confirms that digital transformation positively affects corporate sustainability. In addition, societal problems can be identified and environmental accidents prevented through technological innovation. (3) This study does not verify the positive moderating effect of green innovation; however, it emphasizes its necessity and importance. Although green innovation improves performance only in the long term, it is a key factor for companies pursuing sustainable growth. This study reveals that ESG- and AI-based digital transformation is an important tool for promoting corporate sustainability, broadening the literature in related fields and providing insights for corporate management and government policymakers to advance corporate sustainability.","DOI":"10.48550/arXiv.2311.18351","note":"arXiv:2311.18351 [econ]","number":"arXiv:2311.18351","publisher":"arXiv","source":"arXiv.org","title":"Does ESG and Digital Transformation affects Corporate Sustainability? The Moderating role of Green Innovation","title-short":"Does ESG and Digital Transformation affects Corporate Sustainability?","URL":"http://arxiv.org/abs/2311.18351","author":[{"family":"Qing","given":"Chenglin"},{"family":"Jin","given":"Shanyue"}],"accessed":{"date-parts":[["2025",6,10]]},"issued":{"date-parts":[["2023",11,30]]}}}],"schema":"https://github.com/citation-style-language/schema/raw/master/csl-citation.json"} </w:instrText>
      </w:r>
      <w:r w:rsidR="00DA3875" w:rsidRPr="008B0387">
        <w:rPr>
          <w:rFonts w:ascii="Arial" w:eastAsia="Arial" w:hAnsi="Arial" w:cs="Arial"/>
        </w:rPr>
        <w:fldChar w:fldCharType="separate"/>
      </w:r>
      <w:r w:rsidR="00BA5951" w:rsidRPr="008B0387">
        <w:rPr>
          <w:rFonts w:ascii="Arial" w:hAnsi="Arial" w:cs="Arial"/>
        </w:rPr>
        <w:t>(Dhewanto et al., 2022; El Hilali et al., 2020; Khatib et al., 2024; Puteri &amp; Asyari, 2023; Qing &amp; Jin, 2023)</w:t>
      </w:r>
      <w:r w:rsidR="00DA3875" w:rsidRPr="008B0387">
        <w:rPr>
          <w:rFonts w:ascii="Arial" w:eastAsia="Arial" w:hAnsi="Arial" w:cs="Arial"/>
        </w:rPr>
        <w:fldChar w:fldCharType="end"/>
      </w:r>
      <w:r w:rsidR="00DA3875" w:rsidRPr="008B0387">
        <w:rPr>
          <w:rFonts w:ascii="Arial" w:eastAsia="Arial" w:hAnsi="Arial" w:cs="Arial"/>
        </w:rPr>
        <w:t xml:space="preserve">. </w:t>
      </w:r>
      <w:r w:rsidR="00012B54" w:rsidRPr="00012B54">
        <w:rPr>
          <w:rFonts w:ascii="Arial" w:hAnsi="Arial" w:cs="Arial"/>
        </w:rPr>
        <w:t>From a practical standpoint, improving digital literacy, adopting secure platforms, and maintaining transparent digital communication are essential strategies for reinforcing both market positioning and long-term sustainability.</w:t>
      </w:r>
      <w:r w:rsidR="0045458C" w:rsidRPr="008B0387">
        <w:rPr>
          <w:rFonts w:ascii="Arial" w:eastAsia="Arial" w:hAnsi="Arial" w:cs="Arial"/>
        </w:rPr>
        <w:br/>
      </w:r>
    </w:p>
    <w:p w14:paraId="461BFD54" w14:textId="4E4EDB02" w:rsidR="00C0694C" w:rsidRPr="008B0387" w:rsidRDefault="0065486C" w:rsidP="0085087B">
      <w:pPr>
        <w:pBdr>
          <w:top w:val="nil"/>
          <w:left w:val="nil"/>
          <w:bottom w:val="nil"/>
          <w:right w:val="nil"/>
          <w:between w:val="nil"/>
        </w:pBdr>
        <w:jc w:val="both"/>
        <w:rPr>
          <w:rFonts w:ascii="Arial" w:eastAsia="Arial" w:hAnsi="Arial" w:cs="Arial"/>
          <w:b/>
        </w:rPr>
      </w:pPr>
      <w:r w:rsidRPr="008B0387">
        <w:rPr>
          <w:rFonts w:ascii="Arial" w:eastAsia="Arial" w:hAnsi="Arial" w:cs="Arial"/>
          <w:b/>
        </w:rPr>
        <w:lastRenderedPageBreak/>
        <w:t xml:space="preserve">4.3.2  </w:t>
      </w:r>
      <w:r w:rsidR="0045458C" w:rsidRPr="008B0387">
        <w:rPr>
          <w:rFonts w:ascii="Arial" w:eastAsia="Arial" w:hAnsi="Arial" w:cs="Arial"/>
          <w:b/>
        </w:rPr>
        <w:t>The Influence of Artificial Intelligence Literacy on Business Sustainability</w:t>
      </w:r>
    </w:p>
    <w:p w14:paraId="4234C321" w14:textId="77777777" w:rsidR="0065486C" w:rsidRPr="008B0387" w:rsidRDefault="0065486C" w:rsidP="0085087B">
      <w:pPr>
        <w:pBdr>
          <w:top w:val="nil"/>
          <w:left w:val="nil"/>
          <w:bottom w:val="nil"/>
          <w:right w:val="nil"/>
          <w:between w:val="nil"/>
        </w:pBdr>
        <w:jc w:val="both"/>
        <w:rPr>
          <w:rFonts w:ascii="Arial" w:eastAsia="Arial" w:hAnsi="Arial" w:cs="Arial"/>
          <w:b/>
        </w:rPr>
      </w:pPr>
    </w:p>
    <w:p w14:paraId="2B0708B7" w14:textId="77777777" w:rsidR="008B6B79" w:rsidRDefault="002B6B9D" w:rsidP="0085087B">
      <w:pPr>
        <w:pBdr>
          <w:top w:val="nil"/>
          <w:left w:val="nil"/>
          <w:bottom w:val="nil"/>
          <w:right w:val="nil"/>
          <w:between w:val="nil"/>
        </w:pBdr>
        <w:jc w:val="both"/>
        <w:rPr>
          <w:rFonts w:ascii="Arial" w:hAnsi="Arial" w:cs="Arial"/>
        </w:rPr>
      </w:pPr>
      <w:r w:rsidRPr="002B6B9D">
        <w:rPr>
          <w:rFonts w:ascii="Arial" w:hAnsi="Arial" w:cs="Arial"/>
        </w:rPr>
        <w:t xml:space="preserve">The results indicate that artificial intelligence (AI) literacy exerts a positive and significant effect on business sustainability. For MSMEs, AI literacy encompasses not only technical knowledge but also strategic awareness of how AI functions and creates value. From the perspective of Dynamic Capabilities Theory, AI literacy enhances the sensing capability by enabling businesses to detect technological changes and market shifts. It further facilitates the seizing process by equipping firms with the skills necessary to implement AI tools effectively, and supports the transforming process by allowing them to realign their operational models in response to emerging opportunities. </w:t>
      </w:r>
    </w:p>
    <w:p w14:paraId="60CE9C86" w14:textId="77777777" w:rsidR="008B6B79" w:rsidRDefault="008B6B79" w:rsidP="0085087B">
      <w:pPr>
        <w:pBdr>
          <w:top w:val="nil"/>
          <w:left w:val="nil"/>
          <w:bottom w:val="nil"/>
          <w:right w:val="nil"/>
          <w:between w:val="nil"/>
        </w:pBdr>
        <w:jc w:val="both"/>
        <w:rPr>
          <w:rFonts w:ascii="Arial" w:hAnsi="Arial" w:cs="Arial"/>
        </w:rPr>
      </w:pPr>
    </w:p>
    <w:p w14:paraId="3AD246D9" w14:textId="47E6155E" w:rsidR="00C0694C" w:rsidRPr="008B0387" w:rsidRDefault="002B6B9D" w:rsidP="0085087B">
      <w:pPr>
        <w:pBdr>
          <w:top w:val="nil"/>
          <w:left w:val="nil"/>
          <w:bottom w:val="nil"/>
          <w:right w:val="nil"/>
          <w:between w:val="nil"/>
        </w:pBdr>
        <w:jc w:val="both"/>
        <w:rPr>
          <w:rFonts w:ascii="Arial" w:eastAsia="Arial" w:hAnsi="Arial" w:cs="Arial"/>
        </w:rPr>
      </w:pPr>
      <w:r w:rsidRPr="002B6B9D">
        <w:rPr>
          <w:rFonts w:ascii="Arial" w:hAnsi="Arial" w:cs="Arial"/>
        </w:rPr>
        <w:t>Entrepreneurs with high AI literacy are more likely to integrate AI technologies across multiple domains such as production automation, customer service personalization, market trend forecasting, and supply chain optimization. These applications contribute to improved adaptability and competitive advantage. The findings are consistent with those of</w:t>
      </w:r>
      <w:r w:rsidR="0045458C" w:rsidRPr="002B6B9D">
        <w:rPr>
          <w:rFonts w:ascii="Arial" w:hAnsi="Arial" w:cs="Arial"/>
        </w:rPr>
        <w:t xml:space="preserve"> </w:t>
      </w:r>
      <w:r w:rsidR="00DA3875"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{"citationID":"7ZAIAoJW","properties":{"formattedCitation":"(Alam\\uc0\\u228{}ki et al., 2024; Hernandez et al., 2023; Jankovic &amp; Curovic, 2023; Khaq et al., 2024; Noerchoidah &amp; Suhardiyah, 2025)","plainCitation":"(Alamäki et al., 2024; Hernandez et al., 2023; Jankovic &amp; Curovic, 2023; Khaq et al., 2024; Noerchoidah &amp; Suhardiyah, 2025)","dontUpdate":true,"noteIndex":0},"citationItems":[{"id":12823,"uris":["http://zotero.org/users/local/JyjMxVLY/items/F4IN76QL"],"itemData":{"id":12823,"type":"article-journal","abstract":"IntroductionThe purpose of this empirical research was to map the capabilities and perceptions of undergraduate business administration students about artifi...","DOI":"10.3389/feduc.2024.1343406","language":"en","source":"Frontiers","title":"Artificial intelligence literacy in sustainable development: A learning experiment in higher education","title-short":"Frontiers | Artificial intelligence literacy in sustainable development","URL":"https://www.frontiersin.org/journals/education/articles/10.3389/feduc.2024.1343406/full","author":[{"family":"Alamäki","given":"Ari"},{"family":"Nyberg","given":"Crister"},{"family":"Kimberley","given":"Anna"},{"family":"Salonen","given":"Arto O."}],"accessed":{"date-parts":[["2025",6,7]]},"issued":{"date-parts":[["2024"]]}}},{"id":13072,"uris":["http://zotero.org/users/local/JyjMxVLY/items/QLBT2U7D"],"itemData":{"id":13072,"type":"paper-conference","abstract":"Artificial intelligence (AI) is an emerging technology in small and medium enterprises (SMEs). Recently, SMEs have growing interests in using artificial intelligence to improve business performance. However, SMEs are confronted with sustainability, which remains a research gap. This paper presents the first evidence of select SMEs using artificial intelligence in business for sustainability in the Philippines, through a qualitative study involving managers. Results show that a few SMEs have AI applications in business that contributes to sustainability. While there are on-going sustainability efforts, most SMEs are in the incremental and situational development levels. Also, this study confirms that insufficient physical and technological infrastructure, availability of data, customers privacy and security, insufficient legal frameworks, management support, and lack of AI adoption strategy are evident issues and challenges that limits the progress AI application in business for sustainability. This study presents some implications to SMEs, policy-making and future work to progress AI for sustainability.","container-title":"2023 8th International Conference on Business and Industrial Research (ICBIR)","DOI":"10.1109/ICBIR57571.2023.10147579","event-place":"Bangkok, Thailand","event-title":"2023 8th International Conference on Business and Industrial Research (ICBIR)","ISBN":"9798350399646","language":"en","license":"https://doi.org/10.15223/policy-029","page":"818-823","publisher":"IEEE","publisher-place":"Bangkok, Thailand","source":"DOI.org (Crossref)","title":"Artificial Intelligence for Sustainability: Evidence from select Small and Medium Enterprises in the Philippines","title-short":"Artificial Intelligence for Sustainability","URL":"https://ieeexplore.ieee.org/document/10147579/","author":[{"family":"Hernandez","given":"Alexander A."},{"family":"Caballero","given":"Arlene R."},{"family":"Albina","given":"Erlito M."},{"family":"Balmes","given":"Irene L."},{"family":"Niguidula","given":"Jasmin D."}],"accessed":{"date-parts":[["2025",6,15]]},"issued":{"date-parts":[["2023",5,18]]}}},{"id":12827,"uris":["http://zotero.org/users/local/JyjMxVLY/items/M8QENF6R"],"itemData":{"id":12827,"type":"article-journal","abstract":"This research paper delves into the pivotal role of strategic integration of artificial intelligence (AI) concepts across sustainability efforts in for-profit businesses. As organizations are increasingly starting to rely on AI-driven solutions, this study examines the profound implications of AI integration for two critical facets: impact on data management in companies and diversification of human engagement during interactions in the digital ecosystem. The main goal of this research is to analyze the AI adoption index within a sample of 240 medium and large-sized companies (therefore excluding new companies, small startups, and low-scale AI applications). Firstly, the paper scrutinizes how AI technologies enhance data management by enabling efficient data collection, analysis, and utilization. It emphasizes the importance of AI-driven data analytics in improving decision-making processes, resource optimization, and overall operational efficiency for sustainable practices. Secondly, this research explores how AI-driven personalization, omnichannel interactions, and recommendation systems significantly impact user experiences, satisfaction, and loyalty, ultimately contributing to sustainable business growth. Findings show that there are three separate profiles of companies (low, moderate, and high), distinguished by AI adoption index and other important dimensions. Future research should focus on determining preconditions for successful planning of AI adoption index improvement, using a data-driven approach.","container-title":"Sustainability","DOI":"10.3390/su152115208","ISSN":"2071-1050","issue":"21","language":"en","license":"http://creativecommons.org/licenses/by/3.0/","note":"number: 21\npublisher: Multidisciplinary Digital Publishing Institute","page":"15208","source":"www.mdpi.com","title":"Strategic Integration of Artificial Intelligence for Sustainable Businesses: Implications for Data Management and Human User Engagement in the Digital Era","title-short":"Strategic Integration of Artificial Intelligence for Sustainable Businesses","volume":"15","author":[{"family":"Jankovic","given":"Svetozar D."},{"family":"Curovic","given":"Dejan M."}],"issued":{"date-parts":[["2023",1]]}}},{"id":11976,"uris":["http://zotero.org/users/local/JyjMxVLY/items/I6QPZTAE"],"itemData":{"id":11976,"type":"article-journal","abstract":"… (MSMEs) in Indonesia in adopting artificial intelligence (AI) technology to enhance sales and business … the impact of AI adoption on the operational efficiency and sales of MSMEs, as …","container-title":"Journal of Management and …","issue":"Query date: 2025-04-26 18:46:36","note":"publisher: jmi.stekom.ac.id","title":"AI-driven Strategies for Enhancing MSME Sales and Business Communication: A Case Study","URL":"https://jmi.stekom.ac.id/index.php/jmi/article/view/28","author":[{"family":"Khaq","given":"ZD"},{"family":"Subroto","given":"VK"},{"family":"Susanto","given":"E"}],"issued":{"date-parts":[["2024"]]}}},{"id":12137,"uris":["http://zotero.org/users/local/JyjMxVLY/items/WVPZB6LL"],"itemData":{"id":12137,"type":"article-journal","container-title":"International Journal of Human Capital and Information Technology Professionals","issue":"1","language":"en","source":"Zotero","title":"Optimization of Digital Literacy Knowledge Sharing and Human Capital on Digital Economy for MSMEs Business Sustainability","volume":"16","author":[{"family":"Noerchoidah","given":"Noerchoidah"},{"family":"Suhardiyah","given":"Martha"}],"issued":{"date-parts":[["2025"]]}}}],"schema":"https://github.com/citation-style-language/schema/raw/master/csl-citation.json"} </w:instrText>
      </w:r>
      <w:r w:rsidR="00DA3875" w:rsidRPr="008B0387">
        <w:rPr>
          <w:rFonts w:ascii="Arial" w:eastAsia="Arial" w:hAnsi="Arial" w:cs="Arial"/>
        </w:rPr>
        <w:fldChar w:fldCharType="separate"/>
      </w:r>
      <w:r w:rsidR="00DA3875" w:rsidRPr="008B0387">
        <w:rPr>
          <w:rFonts w:ascii="Arial" w:hAnsi="Arial" w:cs="Arial"/>
          <w:szCs w:val="24"/>
        </w:rPr>
        <w:t>Alamäki et al. (2024); Hernandez et al. (2023); Jankovic &amp; Curovic (2023); Khaq et al. (2024); Noerchoidah &amp; Suhardiyah (2025)</w:t>
      </w:r>
      <w:r w:rsidR="00DA3875" w:rsidRPr="008B0387">
        <w:rPr>
          <w:rFonts w:ascii="Arial" w:eastAsia="Arial" w:hAnsi="Arial" w:cs="Arial"/>
        </w:rPr>
        <w:fldChar w:fldCharType="end"/>
      </w:r>
      <w:r w:rsidR="0045458C" w:rsidRPr="008B0387">
        <w:rPr>
          <w:rFonts w:ascii="Arial" w:eastAsia="Arial" w:hAnsi="Arial" w:cs="Arial"/>
        </w:rPr>
        <w:t xml:space="preserve">, </w:t>
      </w:r>
      <w:r w:rsidRPr="002B6B9D">
        <w:rPr>
          <w:rFonts w:ascii="Arial" w:eastAsia="Arial" w:hAnsi="Arial" w:cs="Arial"/>
        </w:rPr>
        <w:t>who assert that AI proficiency enhances strategic agility and business resilience. Therefore, increasing AI literacy through targeted training programs, expert collaboration, and hands-on technology support is imperative for MSMEs seeking to achieve sustainable business outcomes.</w:t>
      </w:r>
    </w:p>
    <w:p w14:paraId="2FF4C9AD" w14:textId="77777777" w:rsidR="00C0694C" w:rsidRPr="008B0387" w:rsidRDefault="00C0694C" w:rsidP="0085087B">
      <w:pPr>
        <w:pBdr>
          <w:top w:val="nil"/>
          <w:left w:val="nil"/>
          <w:bottom w:val="nil"/>
          <w:right w:val="nil"/>
          <w:between w:val="nil"/>
        </w:pBdr>
        <w:jc w:val="both"/>
        <w:rPr>
          <w:rFonts w:ascii="Arial" w:eastAsia="Arial" w:hAnsi="Arial" w:cs="Arial"/>
        </w:rPr>
      </w:pPr>
    </w:p>
    <w:p w14:paraId="5CE9B954" w14:textId="54688A6D" w:rsidR="00C0694C" w:rsidRPr="008B0387" w:rsidRDefault="0065486C" w:rsidP="0085087B">
      <w:pPr>
        <w:pBdr>
          <w:top w:val="nil"/>
          <w:left w:val="nil"/>
          <w:bottom w:val="nil"/>
          <w:right w:val="nil"/>
          <w:between w:val="nil"/>
        </w:pBdr>
        <w:jc w:val="both"/>
        <w:rPr>
          <w:rFonts w:ascii="Arial" w:eastAsia="Arial" w:hAnsi="Arial" w:cs="Arial"/>
          <w:b/>
        </w:rPr>
      </w:pPr>
      <w:r w:rsidRPr="008B0387">
        <w:rPr>
          <w:rFonts w:ascii="Arial" w:eastAsia="Arial" w:hAnsi="Arial" w:cs="Arial"/>
          <w:b/>
        </w:rPr>
        <w:t xml:space="preserve">4.3.3 </w:t>
      </w:r>
      <w:r w:rsidR="0045458C" w:rsidRPr="008B0387">
        <w:rPr>
          <w:rFonts w:ascii="Arial" w:eastAsia="Arial" w:hAnsi="Arial" w:cs="Arial"/>
          <w:b/>
        </w:rPr>
        <w:t xml:space="preserve">The </w:t>
      </w:r>
      <w:r w:rsidRPr="008B0387">
        <w:rPr>
          <w:rFonts w:ascii="Arial" w:eastAsia="Arial" w:hAnsi="Arial" w:cs="Arial"/>
          <w:b/>
        </w:rPr>
        <w:t>Influence</w:t>
      </w:r>
      <w:r w:rsidR="0045458C" w:rsidRPr="008B0387">
        <w:rPr>
          <w:rFonts w:ascii="Arial" w:eastAsia="Arial" w:hAnsi="Arial" w:cs="Arial"/>
          <w:b/>
        </w:rPr>
        <w:t xml:space="preserve"> of Innovation </w:t>
      </w:r>
      <w:r w:rsidRPr="008B0387">
        <w:rPr>
          <w:rFonts w:ascii="Arial" w:eastAsia="Arial" w:hAnsi="Arial" w:cs="Arial"/>
          <w:b/>
        </w:rPr>
        <w:t>Capability</w:t>
      </w:r>
      <w:r w:rsidR="0045458C" w:rsidRPr="008B0387">
        <w:rPr>
          <w:rFonts w:ascii="Arial" w:eastAsia="Arial" w:hAnsi="Arial" w:cs="Arial"/>
          <w:b/>
        </w:rPr>
        <w:t xml:space="preserve"> on Business Sustainability</w:t>
      </w:r>
    </w:p>
    <w:p w14:paraId="49936A9D" w14:textId="77777777" w:rsidR="0065486C" w:rsidRPr="008B0387" w:rsidRDefault="0065486C" w:rsidP="0085087B">
      <w:pPr>
        <w:pBdr>
          <w:top w:val="nil"/>
          <w:left w:val="nil"/>
          <w:bottom w:val="nil"/>
          <w:right w:val="nil"/>
          <w:between w:val="nil"/>
        </w:pBdr>
        <w:jc w:val="both"/>
        <w:rPr>
          <w:rFonts w:ascii="Arial" w:eastAsia="Arial" w:hAnsi="Arial" w:cs="Arial"/>
          <w:b/>
        </w:rPr>
      </w:pPr>
    </w:p>
    <w:p w14:paraId="5B0A2F86" w14:textId="77777777" w:rsidR="0085087B" w:rsidRPr="0085087B" w:rsidRDefault="0085087B" w:rsidP="0085087B">
      <w:pPr>
        <w:pBdr>
          <w:top w:val="nil"/>
          <w:left w:val="nil"/>
          <w:bottom w:val="nil"/>
          <w:right w:val="nil"/>
          <w:between w:val="nil"/>
        </w:pBdr>
        <w:jc w:val="both"/>
        <w:rPr>
          <w:rFonts w:ascii="Arial" w:hAnsi="Arial" w:cs="Arial"/>
          <w:lang w:val="en-ID"/>
        </w:rPr>
      </w:pPr>
      <w:r w:rsidRPr="0085087B">
        <w:rPr>
          <w:rFonts w:ascii="Arial" w:hAnsi="Arial" w:cs="Arial"/>
          <w:lang w:val="en-ID"/>
        </w:rPr>
        <w:t xml:space="preserve">The findings indicate that innovation capability acts as a key element that bridges the relationship between digital trust and business sustainability. From a theoretical perspective, these results enrich the Technology Acceptance Model (TAM) and Dynamic Capabilities Theory (DCT) by confirming that digital trust is not only related to technology acceptance, but also contributes to the formation of psychological and structural foundations that encourage the creation of sustainable innovation. Within the TAM framework, trust in digital systems strengthens perceptions of the benefits and ease of use of technology, which ultimately encourages SMEs to integrate digital solutions into their business strategies. Based on the DCT </w:t>
      </w:r>
      <w:r w:rsidRPr="0085087B">
        <w:rPr>
          <w:rFonts w:ascii="Arial" w:hAnsi="Arial" w:cs="Arial"/>
          <w:lang w:val="en-ID"/>
        </w:rPr>
        <w:t>perspective, digital trust plays a role in strengthening an organisation's ability to recognise opportunities (sensing) and utilise them effectively (seizing). Business actors who have high confidence in the reliability of technology tend to be more open to change and show courage in experimenting with new innovations.</w:t>
      </w:r>
      <w:r w:rsidRPr="0085087B">
        <w:rPr>
          <w:rFonts w:ascii="Arial" w:hAnsi="Arial" w:cs="Arial"/>
        </w:rPr>
        <w:t xml:space="preserve"> </w:t>
      </w:r>
    </w:p>
    <w:p w14:paraId="30CE01E5" w14:textId="77777777" w:rsidR="0085087B" w:rsidRPr="0085087B" w:rsidRDefault="0085087B" w:rsidP="0085087B">
      <w:pPr>
        <w:pBdr>
          <w:top w:val="nil"/>
          <w:left w:val="nil"/>
          <w:bottom w:val="nil"/>
          <w:right w:val="nil"/>
          <w:between w:val="nil"/>
        </w:pBdr>
        <w:jc w:val="both"/>
        <w:rPr>
          <w:rFonts w:ascii="Arial" w:hAnsi="Arial" w:cs="Arial"/>
        </w:rPr>
      </w:pPr>
    </w:p>
    <w:p w14:paraId="0D77B04C" w14:textId="6A98E57D" w:rsidR="00C0694C" w:rsidRPr="0085087B" w:rsidRDefault="0085087B" w:rsidP="0085087B">
      <w:pPr>
        <w:pBdr>
          <w:top w:val="nil"/>
          <w:left w:val="nil"/>
          <w:bottom w:val="nil"/>
          <w:right w:val="nil"/>
          <w:between w:val="nil"/>
        </w:pBdr>
        <w:jc w:val="both"/>
        <w:rPr>
          <w:rFonts w:ascii="Arial" w:hAnsi="Arial" w:cs="Arial"/>
          <w:lang w:val="en-ID"/>
        </w:rPr>
      </w:pPr>
      <w:r w:rsidRPr="0085087B">
        <w:rPr>
          <w:rFonts w:ascii="Arial" w:hAnsi="Arial" w:cs="Arial"/>
          <w:lang w:val="en-ID"/>
        </w:rPr>
        <w:t xml:space="preserve">Innovation capabilities serve as a pathway for transformation that converts digital trust into competitive advantage and long-term sustainability. Trust in digital systems helps overcome psychological barriers to technology adoption, while fostering a responsive, creative, and learning-oriented work culture. For MSMEs, this condition is crucial because limited resources demand efficiency and trust in technology as the main driver of innovation. These results are in line with the views of </w:t>
      </w:r>
      <w:r w:rsidRPr="0085087B">
        <w:rPr>
          <w:rFonts w:ascii="Arial" w:hAnsi="Arial" w:cs="Arial"/>
          <w:lang w:val="id-ID"/>
        </w:rPr>
        <w:fldChar w:fldCharType="begin"/>
      </w:r>
      <w:r>
        <w:rPr>
          <w:rFonts w:ascii="Arial" w:hAnsi="Arial" w:cs="Arial"/>
          <w:lang w:val="id-ID"/>
        </w:rPr>
        <w:instrText xml:space="preserve"> ADDIN ZOTERO_ITEM CSL_CITATION {"citationID":"o7ssg6To","properties":{"formattedCitation":"(Busyeri et al., 2024; Dhewanto et al., 2022)","plainCitation":"(Busyeri et al., 2024; Dhewanto et al., 2022)","noteIndex":0},"citationItems":[{"id":12829,"uris":["http://zotero.org/users/local/JyjMxVLY/items/EAZQ6L42"],"itemData":{"id":12829,"type":"article-journal","abstract":"Micro, Small, and Medium Enterprises (MSMEs) in Cimahi City possess strategic potential, particularly in the food and beverage sector. Cimahi is one of the cities experiencing growth in the number of MSMEs, with a growth rate of 50.24%. However, the increase in the number of MSMEs has not been accompanied by consistent revenue growth, which has fluctuated from 2019 to 2023. Several challenges have been identified, including a lack of basic entrepreneurial knowledge among the workforce, insufficient self-reliance in entrepreneurship, and limited proficiency in the use of technology. To address these performance issues, it is crucial for MSME actors to create added value by strengthening strategic agility and innovation capability. The objective of this study is to examine the impact of strategic agility on business performance, mediated by innovation capability. The study sample consists of 106 MSMEs, selected using probability sampling with a cluster sampling technique. Descriptive analysis results categorize business performance and innovation capability as moderate, while strategic agility is categorized as high. The research findings indicate that strategic agility does not affect innovation capability, strategic agility influences business performance, innovation capability affects business performance, and innovation capability does not mediate the influence of intellectual capital on business performance.","container-title":"Dinasti International Journal of Education Management And Social Science","DOI":"10.38035/dijemss.v5i6.3238","ISSN":"2686-6331","issue":"6","language":"en","page":"2317-2330","source":"dinastipub.org","title":"The Role Of Innovation Capability In Mediating The Effect Of Strategic Agility On Business Performance Of Smes In The Food And Beverage Sector In Cimahi","volume":"5","author":[{"family":"Busyeri","given":"Azzam Tiar"},{"family":"Rofaida","given":"Rofi"},{"family":"Hadijah","given":"Hady Siti"},{"family":"Kurniawan","given":"Asep"}],"issued":{"date-parts":[["2024",8,27]]}}},{"id":12134,"uris":["http://zotero.org/users/local/JyjMxVLY/items/PAYS4PAA"],"itemData":{"id":12134,"type":"article-journal","abstract":"The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Noviyana"}],"issued":{"date-parts":[["2022"]]}}}],"schema":"https://github.com/citation-style-language/schema/raw/master/csl-citation.json"} </w:instrText>
      </w:r>
      <w:r w:rsidRPr="0085087B">
        <w:rPr>
          <w:rFonts w:ascii="Arial" w:hAnsi="Arial" w:cs="Arial"/>
          <w:lang w:val="id-ID"/>
        </w:rPr>
        <w:fldChar w:fldCharType="separate"/>
      </w:r>
      <w:r w:rsidRPr="0085087B">
        <w:rPr>
          <w:rFonts w:ascii="Arial" w:hAnsi="Arial" w:cs="Arial"/>
          <w:lang w:val="id-ID"/>
        </w:rPr>
        <w:t xml:space="preserve">Busyeri et al. </w:t>
      </w:r>
      <w:r w:rsidR="00A711B2">
        <w:rPr>
          <w:rFonts w:ascii="Arial" w:hAnsi="Arial" w:cs="Arial"/>
          <w:lang w:val="en-US"/>
        </w:rPr>
        <w:t>(</w:t>
      </w:r>
      <w:r w:rsidRPr="0085087B">
        <w:rPr>
          <w:rFonts w:ascii="Arial" w:hAnsi="Arial" w:cs="Arial"/>
          <w:lang w:val="id-ID"/>
        </w:rPr>
        <w:t>2024</w:t>
      </w:r>
      <w:r w:rsidR="00A711B2">
        <w:rPr>
          <w:rFonts w:ascii="Arial" w:hAnsi="Arial" w:cs="Arial"/>
          <w:lang w:val="en-US"/>
        </w:rPr>
        <w:t>) &amp;</w:t>
      </w:r>
      <w:r w:rsidRPr="0085087B">
        <w:rPr>
          <w:rFonts w:ascii="Arial" w:hAnsi="Arial" w:cs="Arial"/>
          <w:lang w:val="id-ID"/>
        </w:rPr>
        <w:t xml:space="preserve"> Dhewanto et al. </w:t>
      </w:r>
      <w:r w:rsidR="00A711B2">
        <w:rPr>
          <w:rFonts w:ascii="Arial" w:hAnsi="Arial" w:cs="Arial"/>
          <w:lang w:val="en-US"/>
        </w:rPr>
        <w:t>(</w:t>
      </w:r>
      <w:r w:rsidRPr="0085087B">
        <w:rPr>
          <w:rFonts w:ascii="Arial" w:hAnsi="Arial" w:cs="Arial"/>
          <w:lang w:val="id-ID"/>
        </w:rPr>
        <w:t>2022)</w:t>
      </w:r>
      <w:r w:rsidRPr="0085087B">
        <w:rPr>
          <w:rFonts w:ascii="Arial" w:hAnsi="Arial" w:cs="Arial"/>
        </w:rPr>
        <w:fldChar w:fldCharType="end"/>
      </w:r>
      <w:r w:rsidRPr="0085087B">
        <w:rPr>
          <w:rFonts w:ascii="Arial" w:hAnsi="Arial" w:cs="Arial"/>
          <w:lang w:val="id-ID"/>
        </w:rPr>
        <w:t>,</w:t>
      </w:r>
      <w:r w:rsidRPr="0085087B">
        <w:rPr>
          <w:rFonts w:ascii="Arial" w:hAnsi="Arial" w:cs="Arial"/>
          <w:lang w:val="en-ID"/>
        </w:rPr>
        <w:t xml:space="preserve"> who emphasise that digital trust is the foundation for building innovative capabilities that enhance competitiveness and maintain business sustainability. Conceptually, this mediation process illustrates an adaptive journey where trust fosters readiness, readiness gives rise to innovation, and innovation becomes the basis for long-term business sustainability.</w:t>
      </w:r>
    </w:p>
    <w:p w14:paraId="43B312D9" w14:textId="77777777" w:rsidR="00C0694C" w:rsidRPr="008B0387" w:rsidRDefault="00C0694C" w:rsidP="0085087B">
      <w:pPr>
        <w:pBdr>
          <w:top w:val="nil"/>
          <w:left w:val="nil"/>
          <w:bottom w:val="nil"/>
          <w:right w:val="nil"/>
          <w:between w:val="nil"/>
        </w:pBdr>
        <w:jc w:val="both"/>
        <w:rPr>
          <w:rFonts w:ascii="Arial" w:eastAsia="Arial" w:hAnsi="Arial" w:cs="Arial"/>
        </w:rPr>
      </w:pPr>
    </w:p>
    <w:p w14:paraId="47E6F45C" w14:textId="437A05E9" w:rsidR="00C0694C" w:rsidRPr="008B0387" w:rsidRDefault="0065486C" w:rsidP="0085087B">
      <w:pPr>
        <w:pBdr>
          <w:top w:val="nil"/>
          <w:left w:val="nil"/>
          <w:bottom w:val="nil"/>
          <w:right w:val="nil"/>
          <w:between w:val="nil"/>
        </w:pBdr>
        <w:jc w:val="both"/>
        <w:rPr>
          <w:rFonts w:ascii="Arial" w:eastAsia="Arial" w:hAnsi="Arial" w:cs="Arial"/>
          <w:b/>
        </w:rPr>
      </w:pPr>
      <w:r w:rsidRPr="008B0387">
        <w:rPr>
          <w:rFonts w:ascii="Arial" w:eastAsia="Arial" w:hAnsi="Arial" w:cs="Arial"/>
          <w:b/>
        </w:rPr>
        <w:t xml:space="preserve">4.3.4 </w:t>
      </w:r>
      <w:r w:rsidR="0045458C" w:rsidRPr="008B0387">
        <w:rPr>
          <w:rFonts w:ascii="Arial" w:eastAsia="Arial" w:hAnsi="Arial" w:cs="Arial"/>
          <w:b/>
        </w:rPr>
        <w:t>The Influence of Digital Trust on Business Sustainability Mediated by Innovation Capability</w:t>
      </w:r>
    </w:p>
    <w:p w14:paraId="3B41A2BF" w14:textId="77777777" w:rsidR="0065486C" w:rsidRPr="008B0387" w:rsidRDefault="0065486C" w:rsidP="0085087B">
      <w:pPr>
        <w:pBdr>
          <w:top w:val="nil"/>
          <w:left w:val="nil"/>
          <w:bottom w:val="nil"/>
          <w:right w:val="nil"/>
          <w:between w:val="nil"/>
        </w:pBdr>
        <w:jc w:val="both"/>
        <w:rPr>
          <w:rFonts w:ascii="Arial" w:eastAsia="Arial" w:hAnsi="Arial" w:cs="Arial"/>
          <w:b/>
        </w:rPr>
      </w:pPr>
    </w:p>
    <w:p w14:paraId="384FE6D3" w14:textId="77777777" w:rsidR="008318B9" w:rsidRDefault="008318B9" w:rsidP="0085087B">
      <w:pPr>
        <w:pBdr>
          <w:top w:val="nil"/>
          <w:left w:val="nil"/>
          <w:bottom w:val="nil"/>
          <w:right w:val="nil"/>
          <w:between w:val="nil"/>
        </w:pBdr>
        <w:jc w:val="both"/>
        <w:rPr>
          <w:rFonts w:ascii="Arial" w:eastAsia="Arial" w:hAnsi="Arial" w:cs="Arial"/>
        </w:rPr>
      </w:pPr>
      <w:r w:rsidRPr="008318B9">
        <w:rPr>
          <w:rFonts w:ascii="Arial" w:eastAsia="Arial" w:hAnsi="Arial" w:cs="Arial"/>
        </w:rPr>
        <w:t xml:space="preserve">The analysis reveals that digital trust significantly influences business sustainability through the mediating role of innovation capability. In the MSME context, digital trust refers to the belief in the reliability, security, and integrity of digital technologies. This trust promotes broader technology adoption not only to enhance operational efficiency but also to foster innovation. From the DCT perspective, digital trust contributes to the seizing function by reducing resistance to technological change and increasing the willingness to experiment with digital solutions. It also indirectly facilitates the transforming process through the enhancement of innovation capability. </w:t>
      </w:r>
    </w:p>
    <w:p w14:paraId="5FED6500" w14:textId="77777777" w:rsidR="008318B9" w:rsidRDefault="008318B9" w:rsidP="0085087B">
      <w:pPr>
        <w:pBdr>
          <w:top w:val="nil"/>
          <w:left w:val="nil"/>
          <w:bottom w:val="nil"/>
          <w:right w:val="nil"/>
          <w:between w:val="nil"/>
        </w:pBdr>
        <w:jc w:val="both"/>
        <w:rPr>
          <w:rFonts w:ascii="Arial" w:eastAsia="Arial" w:hAnsi="Arial" w:cs="Arial"/>
        </w:rPr>
      </w:pPr>
    </w:p>
    <w:p w14:paraId="02394BFC" w14:textId="32DEF732" w:rsidR="00C0694C" w:rsidRPr="008B0387" w:rsidRDefault="008318B9" w:rsidP="0085087B">
      <w:pPr>
        <w:pBdr>
          <w:top w:val="nil"/>
          <w:left w:val="nil"/>
          <w:bottom w:val="nil"/>
          <w:right w:val="nil"/>
          <w:between w:val="nil"/>
        </w:pBdr>
        <w:jc w:val="both"/>
        <w:rPr>
          <w:rFonts w:ascii="Arial" w:eastAsia="Arial" w:hAnsi="Arial" w:cs="Arial"/>
        </w:rPr>
      </w:pPr>
      <w:r w:rsidRPr="008318B9">
        <w:rPr>
          <w:rFonts w:ascii="Arial" w:eastAsia="Arial" w:hAnsi="Arial" w:cs="Arial"/>
        </w:rPr>
        <w:t xml:space="preserve">This capability enables firms to restructure internal operations, improve services, and adjust business models in line with technological advancements. Drawing upon TAM, trust in technology further reinforces perceived ease of use and usefulness, which in turn accelerates </w:t>
      </w:r>
      <w:r w:rsidRPr="008318B9">
        <w:rPr>
          <w:rFonts w:ascii="Arial" w:eastAsia="Arial" w:hAnsi="Arial" w:cs="Arial"/>
        </w:rPr>
        <w:lastRenderedPageBreak/>
        <w:t>technology-based innovation.</w:t>
      </w:r>
      <w:r w:rsidR="00E71E80">
        <w:rPr>
          <w:rFonts w:ascii="Arial" w:eastAsia="Arial" w:hAnsi="Arial" w:cs="Arial"/>
        </w:rPr>
        <w:t xml:space="preserve"> The findings are aligned with previous studies</w:t>
      </w:r>
      <w:r w:rsidR="0045458C" w:rsidRPr="008B0387">
        <w:rPr>
          <w:rFonts w:ascii="Arial" w:eastAsia="Arial" w:hAnsi="Arial" w:cs="Arial"/>
        </w:rPr>
        <w:t xml:space="preserve"> </w:t>
      </w:r>
      <w:r w:rsidR="00DA3875"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{"citationID":"vAZlGauJ","properties":{"formattedCitation":"(Dhewanto et al., 2022; El Hilali et al., 2020; Khatib et al., 2024; Puteri &amp; Asyari, 2023; Qing &amp; Jin, 2023)","plainCitation":"(Dhewanto et al., 2022; El Hilali et al., 2020; Khatib et al., 2024; Puteri &amp; Asyari, 2023; Qing &amp; Jin, 2023)","dontUpdate":true,"noteIndex":0},"citationItems":[{"id":12134,"uris":["http://zotero.org/users/local/JyjMxVLY/items/PAYS4PAA"],"itemData":{"id":12134,"type":"article-journal","abstract":"The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Noviyana"}],"issued":{"date-parts":[["2022"]]}}},{"id":13468,"uris":["http://zotero.org/users/local/JyjMxVLY/items/J49J9QBW"],"itemData":{"id":13468,"type":"article-journal","abstract":"In a world where big data have become crucial to guarantee the success of companies, digital transformation came to help companies transition towards a digital business and accept the changes in the organizational structure as well as the market. Nonetheless, even with the ever-growing importance shed on it, few articles and studies have linked it to the sustainability paradigm. Empirical studies that have linked between the factors of digital transformation and a more sustainable business are still scant. Many efforts are still needed to reduce the knowledge gap between these two concepts. The purpose of this paper is to fill this gap by examining (empirically) the effect of digital transformation on sustainability.The study validates five different hypotheses highlighted by the literature using structural equation model (SEM) analysis from partial least square (PLS) approach. It uses a new conceptual framework using a survey data, answered by 41 small- and medium-sized enterprises (SMEs) in Morocco from different industries.Using PLS-SEM modeling, the results show that customers, data and innovation, which are drivers that companies should work on during a digital transformation, have a significant impact on companies’ quest to reach sustainability. However, and in contrast to the existing literature, authors find that competition did not play a significant role in enhancing the companies’ commitment to sustainability.Authors’ findings encourage firms to seize the opportunity of digital transformation to embrace sustainability, because the implementation of these two concepts requires radical changes at the business model level. Authors suggest that the road to achieve sustainability in a digital era should focus on three main axes, enhancing the customer experience and adopting customer centricity, building data analytics capabilities and shifting innovation to the business model level.To the best of the authors’ knowledge, this study is one of the first research papers that explain how to reach sustainability during a digital transformation. The originality of this paper lies in the fact that it focuses on SMEs as they remain the backbone of the Moroccan economy. This study is also novel for showing with empirical evidences that working on the axes of customers, data and innovation, during a digital transformation journey, will improve sustainable practices within businesses.","container-title":"International Journal of Innovation Science","DOI":"10.1108/IJIS-08-2019-0083","ISSN":"1757-2223","issue":"1","journalAbbreviation":"International Journal of Innovation Science","page":"52-79","source":"Silverchair","title":"Reaching sustainability during a digital transformation: a PLS approach","title-short":"Reaching sustainability during a digital transformation","volume":"12","author":[{"family":"El Hilali","given":"Wail"},{"family":"El Manouar","given":"Abdellah"},{"family":"Janati Idrissi","given":"Mohammed Abdou"}],"issued":{"date-parts":[["2020",2,10]]}}},{"id":13474,"uris":["http://zotero.org/users/local/JyjMxVLY/items/ARYX4HSN"],"itemData":{"id":13474,"type":"article-journal","abstract":"Abstract:\nThe existence of trust in the work environment is significant to organizational performance and competitiveness in an increasingly universal market (Combs et al., 2015). Several studies (Olivier, 2017) (Stephanie et al., 2014) has showed that promoting trusting relationships by an organization is an essential criterion of competitive advantage. Organizations that enhance of trust internally and externally earn advantages such as, attract loyal customers, high performance by employee and good position in market (Roderick and Roy, 2010). Furthermore, trust has several benefits on firms’ outcomes such as increase sales, high profits, minimize worker turnover and employees achieve high level of cooperation among others.\nLack of&amp;nbsp;trust in government threatens the desire of people and business obey to government policies and participate to a potential economic recovery (Tao and Yunfan, 2010).&amp;nbsp;The validity of organizations is construct based on the presence of trust and is significant for preserving social cohesion. A study was conducted by (Nils and Darja, 2008) showed that the impact of lacking trust in an organization resulted in several disadvantages such as, reduction in performance, work quality, sharing information, spirits of workers and increase in group combats. In addition, the employees prefer individual interest over group interest and expect negative comments from the manager. This result in, high supervision from mangers on employees that decreased the level of trust. Therefore, the presence of trust is essential to governments, organizations both public and private in providing services.","container-title":"International Journal of Business Analytics and Security (IJBAS)","ISSN":"2958-5791","issue":"2","language":"en","license":"Copyright (c) 2024 International Journal of Business Analytics and Security (IJBAS)","note":"number: 2","page":"16-38","source":"journals.gaftim.com","title":"The importance of Trust in digital transformation and SMART Government initiatives","volume":"4","author":[{"family":"Khatib","given":"Mounir El"},{"family":"AlMansoori","given":"Abdulrahman Ahmed"},{"family":"Alsuwidi","given":"Saeed"}],"issued":{"date-parts":[["2024",5,1]]}}},{"id":12423,"uris":["http://zotero.org/users/local/JyjMxVLY/items/VENDATFP"],"itemData":{"id":12423,"type":"article-journal","abstract":"This study analyzes whether the application of digital transformation affects the revitalization of MSMEs during the pandemic and whether it can be mediated by digital literacy. Using a sample of 378 respondents from micro-sector MSMEs in Bukittinggi City in 2021, this study reveals that the application of digital transformation and digital literacy is positively related to the revitalization of MSMEs, which in this case uses business performance indicators to serve as a basis for determining the level of success. from the revitalization of SMEs. This finding offers empirical evidence about the importance of digital literacy in the relationship between implementing digital transformation and revitalizing MSMEs during the pandemic. This shows that the implementation of digital transformation will not succeed without an educational intermediary for digital technology itself. Furthermore, this study recommends strategies to improve the application of digital transformation for MSME business actors by increasing digital literacy of business actors","language":"en-US","source":"ejournal.stebisigm.ac.id","title":"The Effect of Digital Transformation On The Revitalization of Msmes In Pandemi Time With Digital Literacy As An Intervening Variable (Case Study of Micro Enterprises in the City of Bukittinggi) | Islamic Banking : Jurnal Pemikiran dan Pengembangan Perbankan Syariah","title-short":"The Effect of Digital Transformation On The Revitalization of Msmes In Pandemi Time With Digital Literacy As An Intervening Variable (Case Study of Micro Enterprises in the City of Bukittinggi) | Islamic Banking","URL":"https://ejournal.stebisigm.ac.id/index.php/isbank/article/view/695","author":[{"family":"Puteri","given":"Dhea Ananda"},{"family":"Asyari","given":"Asyari"}],"accessed":{"date-parts":[["2025",4,30]]},"issued":{"date-parts":[["2023",2,4]]}}},{"id":13039,"uris":["http://zotero.org/users/local/JyjMxVLY/items/QFRKV454"],"itemData":{"id":13039,"type":"article","abstract":"Recently, environmental, social, and governance (ESG) has become an important factor in companies' sustainable development. Artificial intelligence (AI) is also a core digital technology that can create innovative, sustainable, comprehensive, and resilient environments. ESG- and AI-based digital transformation is a relevant strategy for managing business value and sustainability in corporate green management operations. Therefore, this study examines how corporate sustainability relates to ESG- and AI-based digital transformation. Furthermore, it confirms the moderating effect of green innovation on the process of increasing sustainability. To achieve the purpose of this study, 359 data points collected for hypothesis testing were used for statistical analysis and for mobile business platform users. The following conclusions are drawn. (1) ESG activities have become key variables that enable sustainable corporate growth. Companies can implement eco-friendly operating processes through ESG activities. (2) This study verifies the relationship between AI-based digital transformation and corporate sustainability and confirms that digital transformation positively affects corporate sustainability. In addition, societal problems can be identified and environmental accidents prevented through technological innovation. (3) This study does not verify the positive moderating effect of green innovation; however, it emphasizes its necessity and importance. Although green innovation improves performance only in the long term, it is a key factor for companies pursuing sustainable growth. This study reveals that ESG- and AI-based digital transformation is an important tool for promoting corporate sustainability, broadening the literature in related fields and providing insights for corporate management and government policymakers to advance corporate sustainability.","DOI":"10.48550/arXiv.2311.18351","note":"arXiv:2311.18351 [econ]","number":"arXiv:2311.18351","publisher":"arXiv","source":"arXiv.org","title":"Does ESG and Digital Transformation affects Corporate Sustainability? The Moderating role of Green Innovation","title-short":"Does ESG and Digital Transformation affects Corporate Sustainability?","URL":"http://arxiv.org/abs/2311.18351","author":[{"family":"Qing","given":"Chenglin"},{"family":"Jin","given":"Shanyue"}],"accessed":{"date-parts":[["2025",6,10]]},"issued":{"date-parts":[["2023",11,30]]}}}],"schema":"https://github.com/citation-style-language/schema/raw/master/csl-citation.json"} </w:instrText>
      </w:r>
      <w:r w:rsidR="00DA3875" w:rsidRPr="008B0387">
        <w:rPr>
          <w:rFonts w:ascii="Arial" w:eastAsia="Arial" w:hAnsi="Arial" w:cs="Arial"/>
        </w:rPr>
        <w:fldChar w:fldCharType="separate"/>
      </w:r>
      <w:r w:rsidR="00DA3875" w:rsidRPr="008B0387">
        <w:rPr>
          <w:rFonts w:ascii="Arial" w:hAnsi="Arial" w:cs="Arial"/>
        </w:rPr>
        <w:t>Dhewanto et al. (2022); El Hilali et al. (2020); Khatib et al. (2024); Puteri &amp; Asyari (2023); Qing &amp; Jin (2023)</w:t>
      </w:r>
      <w:r w:rsidR="00DA3875" w:rsidRPr="008B0387">
        <w:rPr>
          <w:rFonts w:ascii="Arial" w:eastAsia="Arial" w:hAnsi="Arial" w:cs="Arial"/>
        </w:rPr>
        <w:fldChar w:fldCharType="end"/>
      </w:r>
      <w:r w:rsidR="0045458C" w:rsidRPr="008B0387">
        <w:rPr>
          <w:rFonts w:ascii="Arial" w:eastAsia="Arial" w:hAnsi="Arial" w:cs="Arial"/>
        </w:rPr>
        <w:t xml:space="preserve">, </w:t>
      </w:r>
      <w:r w:rsidR="00E71E80" w:rsidRPr="0047566A">
        <w:rPr>
          <w:rFonts w:ascii="Arial" w:hAnsi="Arial" w:cs="Arial"/>
        </w:rPr>
        <w:t>which affirm that digital trust, when coupled with strong innovation capability, contributes to greater operational performance, market expansion, and business adaptability. Therefore, enhancing business sustainability among MSMEs requires a dual approach: cultivating digital trust and building innovation capacity through digital literacy initiatives, secure technology deployment, and strategic technological alignment.</w:t>
      </w:r>
    </w:p>
    <w:p w14:paraId="6B24BEDD" w14:textId="77777777" w:rsidR="00C0694C" w:rsidRPr="008B0387" w:rsidRDefault="00C0694C" w:rsidP="0085087B">
      <w:pPr>
        <w:pBdr>
          <w:top w:val="nil"/>
          <w:left w:val="nil"/>
          <w:bottom w:val="nil"/>
          <w:right w:val="nil"/>
          <w:between w:val="nil"/>
        </w:pBdr>
        <w:jc w:val="both"/>
        <w:rPr>
          <w:rFonts w:ascii="Arial" w:eastAsia="Arial" w:hAnsi="Arial" w:cs="Arial"/>
        </w:rPr>
      </w:pPr>
    </w:p>
    <w:p w14:paraId="7BBB0697" w14:textId="03F9ED5D" w:rsidR="00C0694C" w:rsidRPr="008B0387" w:rsidRDefault="0065486C" w:rsidP="0085087B">
      <w:pPr>
        <w:pBdr>
          <w:top w:val="nil"/>
          <w:left w:val="nil"/>
          <w:bottom w:val="nil"/>
          <w:right w:val="nil"/>
          <w:between w:val="nil"/>
        </w:pBdr>
        <w:jc w:val="both"/>
        <w:rPr>
          <w:rFonts w:ascii="Arial" w:eastAsia="Arial" w:hAnsi="Arial" w:cs="Arial"/>
          <w:b/>
        </w:rPr>
      </w:pPr>
      <w:r w:rsidRPr="008B0387">
        <w:rPr>
          <w:rFonts w:ascii="Arial" w:eastAsia="Arial" w:hAnsi="Arial" w:cs="Arial"/>
          <w:b/>
        </w:rPr>
        <w:t xml:space="preserve">4.3.5 </w:t>
      </w:r>
      <w:r w:rsidR="0045458C" w:rsidRPr="008B0387">
        <w:rPr>
          <w:rFonts w:ascii="Arial" w:eastAsia="Arial" w:hAnsi="Arial" w:cs="Arial"/>
          <w:b/>
        </w:rPr>
        <w:t>The Influence of Artificial Intelligence Literacy on Business Sustainability Mediated by Innovation Capability</w:t>
      </w:r>
    </w:p>
    <w:p w14:paraId="2613CE2C" w14:textId="77777777" w:rsidR="0065486C" w:rsidRPr="008B0387" w:rsidRDefault="0065486C" w:rsidP="0085087B">
      <w:pPr>
        <w:pBdr>
          <w:top w:val="nil"/>
          <w:left w:val="nil"/>
          <w:bottom w:val="nil"/>
          <w:right w:val="nil"/>
          <w:between w:val="nil"/>
        </w:pBdr>
        <w:jc w:val="both"/>
        <w:rPr>
          <w:rFonts w:ascii="Arial" w:eastAsia="Arial" w:hAnsi="Arial" w:cs="Arial"/>
          <w:b/>
        </w:rPr>
      </w:pPr>
    </w:p>
    <w:p w14:paraId="1AC6D26A" w14:textId="77777777" w:rsidR="00F23DBE" w:rsidRDefault="0047566A" w:rsidP="0085087B">
      <w:pPr>
        <w:pBdr>
          <w:top w:val="nil"/>
          <w:left w:val="nil"/>
          <w:bottom w:val="nil"/>
          <w:right w:val="nil"/>
          <w:between w:val="nil"/>
        </w:pBdr>
        <w:jc w:val="both"/>
        <w:rPr>
          <w:rFonts w:ascii="Arial" w:hAnsi="Arial" w:cs="Arial"/>
        </w:rPr>
      </w:pPr>
      <w:r w:rsidRPr="0047566A">
        <w:rPr>
          <w:rFonts w:ascii="Arial" w:hAnsi="Arial" w:cs="Arial"/>
        </w:rPr>
        <w:t xml:space="preserve">This study further reveals that artificial intelligence (AI) literacy significantly influences business sustainability, with innovation capability serving as a mediating variable. AI literacy involves both technical and strategic competencies, including the ability to understand, apply, and evaluate AI technologies in ways that align with market needs and organizational goals. According to TAM, higher AI literacy enhances perceived usefulness and ease of use, which facilitates the adoption and integration of AI into business operations. </w:t>
      </w:r>
    </w:p>
    <w:p w14:paraId="32BA56FC" w14:textId="77777777" w:rsidR="00F23DBE" w:rsidRDefault="00F23DBE" w:rsidP="0085087B">
      <w:pPr>
        <w:pBdr>
          <w:top w:val="nil"/>
          <w:left w:val="nil"/>
          <w:bottom w:val="nil"/>
          <w:right w:val="nil"/>
          <w:between w:val="nil"/>
        </w:pBdr>
        <w:jc w:val="both"/>
        <w:rPr>
          <w:rFonts w:ascii="Arial" w:hAnsi="Arial" w:cs="Arial"/>
        </w:rPr>
      </w:pPr>
    </w:p>
    <w:p w14:paraId="0C08FFA3" w14:textId="77777777" w:rsidR="00F23DBE" w:rsidRDefault="0047566A" w:rsidP="0085087B">
      <w:pPr>
        <w:pBdr>
          <w:top w:val="nil"/>
          <w:left w:val="nil"/>
          <w:bottom w:val="nil"/>
          <w:right w:val="nil"/>
          <w:between w:val="nil"/>
        </w:pBdr>
        <w:jc w:val="both"/>
        <w:rPr>
          <w:rFonts w:ascii="Arial" w:hAnsi="Arial" w:cs="Arial"/>
        </w:rPr>
      </w:pPr>
      <w:r w:rsidRPr="0047566A">
        <w:rPr>
          <w:rFonts w:ascii="Arial" w:hAnsi="Arial" w:cs="Arial"/>
        </w:rPr>
        <w:t>In line with DCT, AI literacy strengthens the sensing function by enabling MSMEs to recognize technological potential in their environments. It also supports the seizing process through the strategic application of AI in decision-making, and drives transformation by enabling the adaptation of internal processes. The integration of AI into innovation activities</w:t>
      </w:r>
      <w:r>
        <w:rPr>
          <w:rFonts w:ascii="Arial" w:hAnsi="Arial" w:cs="Arial"/>
        </w:rPr>
        <w:t xml:space="preserve"> </w:t>
      </w:r>
      <w:r w:rsidRPr="0047566A">
        <w:rPr>
          <w:rFonts w:ascii="Arial" w:hAnsi="Arial" w:cs="Arial"/>
        </w:rPr>
        <w:t>such as product development, customer experience design, market analysis, and operational optimization</w:t>
      </w:r>
      <w:r>
        <w:rPr>
          <w:rFonts w:ascii="Arial" w:hAnsi="Arial" w:cs="Arial"/>
        </w:rPr>
        <w:t xml:space="preserve"> </w:t>
      </w:r>
      <w:r w:rsidRPr="0047566A">
        <w:rPr>
          <w:rFonts w:ascii="Arial" w:hAnsi="Arial" w:cs="Arial"/>
        </w:rPr>
        <w:t xml:space="preserve">demonstrates how AI literacy contributes to enhanced innovation capability, which in turn promotes greater resilience and long-term sustainability. </w:t>
      </w:r>
    </w:p>
    <w:p w14:paraId="52F38C42" w14:textId="77777777" w:rsidR="00F23DBE" w:rsidRDefault="00F23DBE" w:rsidP="0085087B">
      <w:pPr>
        <w:pBdr>
          <w:top w:val="nil"/>
          <w:left w:val="nil"/>
          <w:bottom w:val="nil"/>
          <w:right w:val="nil"/>
          <w:between w:val="nil"/>
        </w:pBdr>
        <w:jc w:val="both"/>
        <w:rPr>
          <w:rFonts w:ascii="Arial" w:hAnsi="Arial" w:cs="Arial"/>
        </w:rPr>
      </w:pPr>
    </w:p>
    <w:p w14:paraId="50F8CBC3" w14:textId="5043C543" w:rsidR="00C0694C" w:rsidRPr="008B0387" w:rsidRDefault="0047566A" w:rsidP="0085087B">
      <w:pPr>
        <w:pBdr>
          <w:top w:val="nil"/>
          <w:left w:val="nil"/>
          <w:bottom w:val="nil"/>
          <w:right w:val="nil"/>
          <w:between w:val="nil"/>
        </w:pBdr>
        <w:jc w:val="both"/>
        <w:rPr>
          <w:rFonts w:ascii="Arial" w:eastAsia="Arial" w:hAnsi="Arial" w:cs="Arial"/>
        </w:rPr>
      </w:pPr>
      <w:r w:rsidRPr="0047566A">
        <w:rPr>
          <w:rFonts w:ascii="Arial" w:hAnsi="Arial" w:cs="Arial"/>
        </w:rPr>
        <w:t>These findings are consistent with studies by</w:t>
      </w:r>
      <w:r w:rsidR="0045458C" w:rsidRPr="008B0387">
        <w:rPr>
          <w:rFonts w:ascii="Arial" w:eastAsia="Arial" w:hAnsi="Arial" w:cs="Arial"/>
        </w:rPr>
        <w:t xml:space="preserve"> </w:t>
      </w:r>
      <w:r w:rsidR="00DA3875"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{"citationID":"lTTy2cxW","properties":{"formattedCitation":"(Alam\\uc0\\u228{}ki et al., 2024; Anggitasari et al., 2023; Busyeri et al., 2024; Gao, 2023; Verdiana &amp; Fachir, 2023)","plainCitation":"(Alamäki et al., 2024; Anggitasari et al., 2023; Busyeri et al., 2024; Gao, 2023; Verdiana &amp; Fachir, 2023)","dontUpdate":true,"noteIndex":0},"citationItems":[{"id":12823,"uris":["http://zotero.org/users/local/JyjMxVLY/items/F4IN76QL"],"itemData":{"id":12823,"type":"article-journal","abstract":"IntroductionThe purpose of this empirical research was to map the capabilities and perceptions of undergraduate business administration students about artifi...","DOI":"10.3389/feduc.2024.1343406","language":"en","source":"Frontiers","title":"Artificial intelligence literacy in sustainable development: A learning experiment in higher education","title-short":"Frontiers | Artificial intelligence literacy in sustainable development","URL":"https://www.frontiersin.org/journals/education/articles/10.3389/feduc.2024.1343406/full","author":[{"family":"Alamäki","given":"Ari"},{"family":"Nyberg","given":"Crister"},{"family":"Kimberley","given":"Anna"},{"family":"Salonen","given":"Arto O."}],"accessed":{"date-parts":[["2025",6,7]]},"issued":{"date-parts":[["2024"]]}}},{"id":12130,"uris":["http://zotero.org/users/local/JyjMxVLY/items/ARAHR85P"],"itemData":{"id":12130,"type":"article-journal","abstract":"The purpose of this research was to determine the effect of digital capability and digital literacy on PT Pegadaian's micro employees on business performance both directly and through employee innovation. PT Pegadaian has a mission to be able to provide service excellence with a customer focus through simpler and digital business processes to be able to continue to compete with competitors so as to improve the company's business performance. One of the efforts that can be made to achieve this mission is that PT Pegadaian employees are required to have innovation and be supported by digital capability and digital literacy. The research is a quantitative research with convenience sampling method and data analysis using Smart PLS. The results of the analysis in show that digital capability &amp;amp; digital literacy do not have a direct role in improving business performance. Digital capability &amp;amp; digital literacy must take advantage of employee innovation to improve business performance.","language":"en-US","source":"return.publikasikupublisher.com","title":"The Effect of Digital Capability and Digital Literacy on Business Performance With Employee Innovation as a Mediating Variable at PT Pegadaian | Return : Study of Management, Economic and Bussines","title-short":"The Effect of Digital Capability and Digital Literacy on Business Performance With Employee Innovation as a Mediating Variable at PT Pegadaian | Return","URL":"https://return.publikasikupublisher.com/index.php/return/article/view/150","author":[{"family":"Anggitasari","given":"Devinda"},{"family":"Purwanto","given":"Eko"},{"family":"Pertiwi","given":"Tri Kartika"}],"accessed":{"date-parts":[["2025",4,30]]},"issued":{"date-parts":[["2023",9,20]]}}},{"id":12829,"uris":["http://zotero.org/users/local/JyjMxVLY/items/EAZQ6L42"],"itemData":{"id":12829,"type":"article-journal","abstract":"Micro, Small, and Medium Enterprises (MSMEs) in Cimahi City possess strategic potential, particularly in the food and beverage sector. Cimahi is one of the cities experiencing growth in the number of MSMEs, with a growth rate of 50.24%. However, the increase in the number of MSMEs has not been accompanied by consistent revenue growth, which has fluctuated from 2019 to 2023. Several challenges have been identified, including a lack of basic entrepreneurial knowledge among the workforce, insufficient self-reliance in entrepreneurship, and limited proficiency in the use of technology. To address these performance issues, it is crucial for MSME actors to create added value by strengthening strategic agility and innovation capability. The objective of this study is to examine the impact of strategic agility on business performance, mediated by innovation capability. The study sample consists of 106 MSMEs, selected using probability sampling with a cluster sampling technique. Descriptive analysis results categorize business performance and innovation capability as moderate, while strategic agility is categorized as high. The research findings indicate that strategic agility does not affect innovation capability, strategic agility influences business performance, innovation capability affects business performance, and innovation capability does not mediate the influence of intellectual capital on business performance.","container-title":"Dinasti International Journal of Education Management And Social Science","DOI":"10.38035/dijemss.v5i6.3238","ISSN":"2686-6331","issue":"6","language":"en","page":"2317-2330","source":"dinastipub.org","title":"The Role Of Innovation Capability In Mediating The Effect Of Strategic Agility On Business Performance Of Smes In The Food And Beverage Sector In Cimahi","volume":"5","author":[{"family":"Busyeri","given":"Azzam Tiar"},{"family":"Rofaida","given":"Rofi"},{"family":"Hadijah","given":"Hady Siti"},{"family":"Kurniawan","given":"Asep"}],"issued":{"date-parts":[["2024",8,27]]}}},{"id":13201,"uris":["http://zotero.org/users/local/JyjMxVLY/items/3HR5YA3K"],"itemData":{"id":13201,"type":"article-journal","abstract":"… financial reporting within companies. This paper focuses on China, aiming to quantify the relationship between digital finance and financial … The results confirm that digital finance exerts …","container-title":"Global Finance Journal","issue":"Query date: 2025-06-19 22:21:24","note":"publisher: Elsevier","title":"Digital transformation in finance and its role in promoting financial transparency","URL":"https://www.sciencedirect.com/science/article/pii/S1044028323000984","author":[{"family":"Gao","given":"X"}],"issued":{"date-parts":[["2023"]]}}},{"id":12826,"uris":["http://zotero.org/users/local/JyjMxVLY/items/HU9WSZ96"],"itemData":{"id":12826,"type":"article-journal","issue":"2","language":"id","source":"Zotero","title":"The Growth Role of Artificial Intelligence (AI) in Strategy Management in UMKM","volume":"2","author":[{"family":"Verdiana","given":"Yuni Qoriah"},{"family":"Fachir","given":"Zidane Azrulludin"}],"issued":{"date-parts":[["2023"]]}}}],"schema":"https://github.com/citation-style-language/schema/raw/master/csl-citation.json"} </w:instrText>
      </w:r>
      <w:r w:rsidR="00DA3875" w:rsidRPr="008B0387">
        <w:rPr>
          <w:rFonts w:ascii="Arial" w:eastAsia="Arial" w:hAnsi="Arial" w:cs="Arial"/>
        </w:rPr>
        <w:fldChar w:fldCharType="separate"/>
      </w:r>
      <w:r w:rsidR="00DA3875" w:rsidRPr="008B0387">
        <w:rPr>
          <w:rFonts w:ascii="Arial" w:hAnsi="Arial" w:cs="Arial"/>
          <w:szCs w:val="24"/>
        </w:rPr>
        <w:t>Alamäki et al. (2024); Anggitasari et al. (2023); Busyeri et al. (2024); Gao (2023); Verdiana &amp; Fachir (2023)</w:t>
      </w:r>
      <w:r w:rsidR="00DA3875" w:rsidRPr="008B0387">
        <w:rPr>
          <w:rFonts w:ascii="Arial" w:eastAsia="Arial" w:hAnsi="Arial" w:cs="Arial"/>
        </w:rPr>
        <w:fldChar w:fldCharType="end"/>
      </w:r>
      <w:r w:rsidR="0045458C" w:rsidRPr="008B0387">
        <w:rPr>
          <w:rFonts w:ascii="Arial" w:eastAsia="Arial" w:hAnsi="Arial" w:cs="Arial"/>
        </w:rPr>
        <w:t xml:space="preserve">, </w:t>
      </w:r>
      <w:r w:rsidRPr="0047566A">
        <w:rPr>
          <w:rFonts w:ascii="Arial" w:hAnsi="Arial" w:cs="Arial"/>
        </w:rPr>
        <w:t xml:space="preserve">which emphasize the central role of innovation in mediating the effects of AI literacy on business sustainability. Therefore, enhancing AI literacy should be a strategic imperative for MSMEs. This can be achieved through context-specific training, partnerships with technology </w:t>
      </w:r>
      <w:r w:rsidRPr="0047566A">
        <w:rPr>
          <w:rFonts w:ascii="Arial" w:hAnsi="Arial" w:cs="Arial"/>
        </w:rPr>
        <w:t>providers, and structured guidance for the application of AI in business models. Such efforts will enable MSMEs to unlock AI-driven innovation, improve market competitiveness, and achieve sustainable growth.</w:t>
      </w:r>
    </w:p>
    <w:p w14:paraId="73ADC9E2" w14:textId="77777777" w:rsidR="00C0694C" w:rsidRPr="008B0387" w:rsidRDefault="00C0694C" w:rsidP="0085087B">
      <w:pPr>
        <w:pBdr>
          <w:top w:val="nil"/>
          <w:left w:val="nil"/>
          <w:bottom w:val="nil"/>
          <w:right w:val="nil"/>
          <w:between w:val="nil"/>
        </w:pBdr>
        <w:jc w:val="both"/>
        <w:rPr>
          <w:rFonts w:ascii="Arial" w:eastAsia="Arial" w:hAnsi="Arial" w:cs="Arial"/>
        </w:rPr>
      </w:pPr>
    </w:p>
    <w:p w14:paraId="6D26DF55" w14:textId="6E90D5DC" w:rsidR="00C0694C" w:rsidRPr="008B0387" w:rsidRDefault="00E84F21" w:rsidP="0085087B">
      <w:pPr>
        <w:keepNext/>
        <w:pBdr>
          <w:top w:val="nil"/>
          <w:left w:val="nil"/>
          <w:bottom w:val="nil"/>
          <w:right w:val="nil"/>
          <w:between w:val="nil"/>
        </w:pBdr>
        <w:jc w:val="both"/>
        <w:rPr>
          <w:rFonts w:ascii="Arial" w:eastAsia="Arial" w:hAnsi="Arial" w:cs="Arial"/>
          <w:b/>
          <w:smallCaps/>
          <w:color w:val="000000"/>
          <w:sz w:val="22"/>
          <w:szCs w:val="22"/>
        </w:rPr>
      </w:pPr>
      <w:r w:rsidRPr="008B0387">
        <w:rPr>
          <w:rFonts w:ascii="Arial" w:eastAsia="Arial" w:hAnsi="Arial" w:cs="Arial"/>
          <w:b/>
          <w:smallCaps/>
          <w:color w:val="000000"/>
          <w:sz w:val="22"/>
          <w:szCs w:val="22"/>
        </w:rPr>
        <w:t>5</w:t>
      </w:r>
      <w:r w:rsidR="0045458C" w:rsidRPr="008B0387">
        <w:rPr>
          <w:rFonts w:ascii="Arial" w:eastAsia="Arial" w:hAnsi="Arial" w:cs="Arial"/>
          <w:b/>
          <w:smallCaps/>
          <w:color w:val="000000"/>
          <w:sz w:val="22"/>
          <w:szCs w:val="22"/>
        </w:rPr>
        <w:t xml:space="preserve">. </w:t>
      </w:r>
      <w:r w:rsidRPr="008B0387">
        <w:rPr>
          <w:rFonts w:ascii="Arial" w:eastAsia="Arial" w:hAnsi="Arial" w:cs="Arial"/>
          <w:b/>
          <w:smallCaps/>
          <w:color w:val="000000"/>
          <w:sz w:val="22"/>
          <w:szCs w:val="22"/>
        </w:rPr>
        <w:t>CONCLUSION</w:t>
      </w:r>
    </w:p>
    <w:p w14:paraId="0752A004" w14:textId="77777777" w:rsidR="00C0694C" w:rsidRPr="008B0387" w:rsidRDefault="00C0694C" w:rsidP="0085087B">
      <w:pPr>
        <w:keepNext/>
        <w:pBdr>
          <w:top w:val="nil"/>
          <w:left w:val="nil"/>
          <w:bottom w:val="nil"/>
          <w:right w:val="nil"/>
          <w:between w:val="nil"/>
        </w:pBdr>
        <w:jc w:val="both"/>
        <w:rPr>
          <w:rFonts w:ascii="Arial" w:eastAsia="Arial" w:hAnsi="Arial" w:cs="Arial"/>
          <w:b/>
          <w:smallCaps/>
          <w:color w:val="000000"/>
          <w:sz w:val="22"/>
          <w:szCs w:val="22"/>
        </w:rPr>
      </w:pPr>
    </w:p>
    <w:p w14:paraId="622603C7" w14:textId="77777777" w:rsidR="00A711B2" w:rsidRPr="00A711B2" w:rsidRDefault="00A711B2" w:rsidP="00A711B2">
      <w:pPr>
        <w:pBdr>
          <w:top w:val="nil"/>
          <w:left w:val="nil"/>
          <w:bottom w:val="nil"/>
          <w:right w:val="nil"/>
          <w:between w:val="nil"/>
        </w:pBdr>
        <w:jc w:val="both"/>
        <w:rPr>
          <w:rFonts w:ascii="Arial" w:eastAsia="Arial" w:hAnsi="Arial" w:cs="Arial"/>
          <w:lang w:val="en-ID"/>
        </w:rPr>
      </w:pPr>
      <w:r w:rsidRPr="00A711B2">
        <w:rPr>
          <w:rFonts w:ascii="Arial" w:eastAsia="Arial" w:hAnsi="Arial" w:cs="Arial"/>
          <w:lang w:val="en-ID"/>
        </w:rPr>
        <w:t>This study shows that digital trust and artificial intelligence literacy play an important role in promoting the sustainability of micro, small, and medium enterprises by strengthening innovation capabilities as a connecting element. Conceptually, these findings enrich our understanding of the Technology Acceptance Model (TAM) and Dynamic Capabilities Theory (DCT) by placing aspects of trust and technological literacy as factors that not only influence technology acceptance but also strengthen organisational capacity to adapt and innovate in the digital age. Innovation capabilities become a strategic mechanism that transforms digital trust and AI skills into sustainable advantages. From a policy perspective, a balance is needed between developing digital infrastructure and increasing human resource capacity through policies that guarantee data security, system transparency, and AI literacy programmes that are relevant to MSME players. These efforts will encourage the creation of an innovative, adaptive, and inclusive business ecosystem, where business players not only utilise technology but also play a role as creators of sustainable value in facing the challenges of the digital economy.</w:t>
      </w:r>
    </w:p>
    <w:p w14:paraId="5755301E" w14:textId="322A5111" w:rsidR="00154047" w:rsidRPr="00A711B2" w:rsidRDefault="00154047" w:rsidP="0085087B">
      <w:pPr>
        <w:pBdr>
          <w:top w:val="nil"/>
          <w:left w:val="nil"/>
          <w:bottom w:val="nil"/>
          <w:right w:val="nil"/>
          <w:between w:val="nil"/>
        </w:pBdr>
        <w:jc w:val="both"/>
        <w:rPr>
          <w:rFonts w:ascii="Arial" w:eastAsia="Arial" w:hAnsi="Arial" w:cs="Arial"/>
          <w:lang w:val="en-ID"/>
        </w:rPr>
      </w:pPr>
    </w:p>
    <w:p w14:paraId="48181A67" w14:textId="77777777" w:rsidR="00154047" w:rsidRPr="008B0387" w:rsidRDefault="00154047" w:rsidP="0085087B">
      <w:pPr>
        <w:keepNext/>
        <w:pBdr>
          <w:top w:val="nil"/>
          <w:left w:val="nil"/>
          <w:bottom w:val="nil"/>
          <w:right w:val="nil"/>
          <w:between w:val="nil"/>
        </w:pBdr>
        <w:jc w:val="both"/>
        <w:rPr>
          <w:rFonts w:ascii="Arial" w:eastAsia="Arial" w:hAnsi="Arial" w:cs="Arial"/>
        </w:rPr>
      </w:pPr>
      <w:r w:rsidRPr="008B0387">
        <w:rPr>
          <w:rFonts w:ascii="Arial" w:eastAsia="Arial" w:hAnsi="Arial" w:cs="Arial"/>
          <w:b/>
        </w:rPr>
        <w:t>6. Implications and Recommendations</w:t>
      </w:r>
      <w:r w:rsidRPr="008B0387">
        <w:rPr>
          <w:rFonts w:ascii="Arial" w:eastAsia="Arial" w:hAnsi="Arial" w:cs="Arial"/>
        </w:rPr>
        <w:t xml:space="preserve"> </w:t>
      </w:r>
    </w:p>
    <w:p w14:paraId="5FB9B603" w14:textId="77777777" w:rsidR="00154047" w:rsidRPr="008B0387" w:rsidRDefault="00154047" w:rsidP="0085087B">
      <w:pPr>
        <w:keepNext/>
        <w:pBdr>
          <w:top w:val="nil"/>
          <w:left w:val="nil"/>
          <w:bottom w:val="nil"/>
          <w:right w:val="nil"/>
          <w:between w:val="nil"/>
        </w:pBdr>
        <w:jc w:val="both"/>
        <w:rPr>
          <w:rFonts w:ascii="Arial" w:eastAsia="Arial" w:hAnsi="Arial" w:cs="Arial"/>
        </w:rPr>
      </w:pPr>
    </w:p>
    <w:p w14:paraId="72886DB3" w14:textId="154AE105" w:rsidR="00154047" w:rsidRDefault="003C2C22" w:rsidP="0085087B">
      <w:pPr>
        <w:keepNext/>
        <w:pBdr>
          <w:top w:val="nil"/>
          <w:left w:val="nil"/>
          <w:bottom w:val="nil"/>
          <w:right w:val="nil"/>
          <w:between w:val="nil"/>
        </w:pBdr>
        <w:jc w:val="both"/>
        <w:rPr>
          <w:rFonts w:ascii="Arial" w:eastAsia="Arial" w:hAnsi="Arial" w:cs="Arial"/>
        </w:rPr>
      </w:pPr>
      <w:r>
        <w:rPr>
          <w:rFonts w:ascii="Arial" w:eastAsia="Arial" w:hAnsi="Arial" w:cs="Arial"/>
        </w:rPr>
        <w:t xml:space="preserve">The practical implications highlight the necessity of strengthening digital trust as a foundation of MSME competitiveness, which can be achieved through secure platforms, transparent interactions, and consistent service delivery. Ai literacy emerges as a strategic priority that should be advanced through targeted training and technological support to ensure the effective integration of AI into business strategies. Innovation capability must also be reinforced through market research, product diversification, and cross-sector collaboration, enabling both resilience and sustainable growth. From a policy perspective, inclusive digital and AI literacy programs, complemented by financial incentives and adequate infrastructure, represent critical instruments for accelerating equitable digital transformation. Form a theoretical standpoint, </w:t>
      </w:r>
      <w:r>
        <w:rPr>
          <w:rFonts w:ascii="Arial" w:eastAsia="Arial" w:hAnsi="Arial" w:cs="Arial"/>
        </w:rPr>
        <w:lastRenderedPageBreak/>
        <w:t>this research contributes to the refinement of the Technology Acceptance Model (TAM)</w:t>
      </w:r>
      <w:r w:rsidR="00154047" w:rsidRPr="008B0387">
        <w:rPr>
          <w:rFonts w:ascii="Arial" w:eastAsia="Arial" w:hAnsi="Arial" w:cs="Arial"/>
        </w:rPr>
        <w:t xml:space="preserve"> </w:t>
      </w:r>
      <w:r>
        <w:rPr>
          <w:rFonts w:ascii="Arial" w:eastAsia="Arial" w:hAnsi="Arial" w:cs="Arial"/>
        </w:rPr>
        <w:t xml:space="preserve">and the dynamic capability framework by confirming the mediating role of innovation capability in linking digital trust and AI literacy to business sustainability. </w:t>
      </w:r>
    </w:p>
    <w:p w14:paraId="0E17BBF6" w14:textId="77777777" w:rsidR="003C2C22" w:rsidRDefault="003C2C22" w:rsidP="0085087B">
      <w:pPr>
        <w:keepNext/>
        <w:pBdr>
          <w:top w:val="nil"/>
          <w:left w:val="nil"/>
          <w:bottom w:val="nil"/>
          <w:right w:val="nil"/>
          <w:between w:val="nil"/>
        </w:pBdr>
        <w:jc w:val="both"/>
        <w:rPr>
          <w:rFonts w:ascii="Arial" w:eastAsia="Arial" w:hAnsi="Arial" w:cs="Arial"/>
        </w:rPr>
      </w:pPr>
    </w:p>
    <w:p w14:paraId="74D47565" w14:textId="3876AAB9" w:rsidR="003C2C22" w:rsidRPr="008B0387" w:rsidRDefault="003C2C22" w:rsidP="0085087B">
      <w:pPr>
        <w:keepNext/>
        <w:pBdr>
          <w:top w:val="nil"/>
          <w:left w:val="nil"/>
          <w:bottom w:val="nil"/>
          <w:right w:val="nil"/>
          <w:between w:val="nil"/>
        </w:pBdr>
        <w:jc w:val="both"/>
        <w:rPr>
          <w:rFonts w:ascii="Arial" w:eastAsia="Arial" w:hAnsi="Arial" w:cs="Arial"/>
        </w:rPr>
      </w:pPr>
      <w:r>
        <w:rPr>
          <w:rFonts w:ascii="Arial" w:eastAsia="Arial" w:hAnsi="Arial" w:cs="Arial"/>
        </w:rPr>
        <w:t xml:space="preserve">However, there are several limitations to this study, including limited sample coverage, </w:t>
      </w:r>
      <w:r w:rsidR="002A439D">
        <w:rPr>
          <w:rFonts w:ascii="Arial" w:eastAsia="Arial" w:hAnsi="Arial" w:cs="Arial"/>
        </w:rPr>
        <w:t xml:space="preserve">a narrow range of variables analysed, and the absence of longitudinal data. Future research should expand the geographical scope, integrate additional contextual factors such as institutional support, access to financing, and managerial capacity, and adopt a longitudinal or mixed approach to capture more comprehensive dynamics. In practical terms, sustained investment in digital trust building mechanisms and AI literacy at the SME level, combined with inclusive policy initiatives aimed at reducing regional digital disparities, will be key to strengthening innovation capabilities, enhancing competitiveness, and ensuring sustainable growth in the global digital economy. </w:t>
      </w:r>
    </w:p>
    <w:p w14:paraId="76E55958" w14:textId="77777777" w:rsidR="00154047" w:rsidRPr="008B0387" w:rsidRDefault="00154047" w:rsidP="0085087B">
      <w:pPr>
        <w:keepNext/>
        <w:pBdr>
          <w:top w:val="nil"/>
          <w:left w:val="nil"/>
          <w:bottom w:val="nil"/>
          <w:right w:val="nil"/>
          <w:between w:val="nil"/>
        </w:pBdr>
        <w:jc w:val="both"/>
        <w:rPr>
          <w:rFonts w:ascii="Arial" w:eastAsia="Arial" w:hAnsi="Arial" w:cs="Arial"/>
        </w:rPr>
      </w:pPr>
    </w:p>
    <w:p w14:paraId="507A0F1B" w14:textId="643E8D8D" w:rsidR="00154047" w:rsidRPr="008B0387" w:rsidRDefault="00154047" w:rsidP="0085087B">
      <w:pPr>
        <w:pBdr>
          <w:top w:val="nil"/>
          <w:left w:val="nil"/>
          <w:bottom w:val="nil"/>
          <w:right w:val="nil"/>
          <w:between w:val="nil"/>
        </w:pBdr>
        <w:jc w:val="both"/>
        <w:rPr>
          <w:rFonts w:ascii="Arial" w:eastAsia="Arial" w:hAnsi="Arial" w:cs="Arial"/>
          <w:b/>
          <w:bCs/>
        </w:rPr>
      </w:pPr>
      <w:r w:rsidRPr="008B0387">
        <w:rPr>
          <w:rFonts w:ascii="Arial" w:eastAsia="Arial" w:hAnsi="Arial" w:cs="Arial"/>
          <w:b/>
          <w:bCs/>
        </w:rPr>
        <w:t xml:space="preserve">COMPETING </w:t>
      </w:r>
      <w:r w:rsidR="00CF5AD7" w:rsidRPr="008B0387">
        <w:rPr>
          <w:rFonts w:ascii="Arial" w:eastAsia="Arial" w:hAnsi="Arial" w:cs="Arial"/>
          <w:b/>
          <w:bCs/>
        </w:rPr>
        <w:t>INTEREST</w:t>
      </w:r>
    </w:p>
    <w:p w14:paraId="424FB2EE" w14:textId="6744C6E1" w:rsidR="00154047" w:rsidRPr="008B0387" w:rsidRDefault="00154047" w:rsidP="0085087B">
      <w:pPr>
        <w:pBdr>
          <w:top w:val="nil"/>
          <w:left w:val="nil"/>
          <w:bottom w:val="nil"/>
          <w:right w:val="nil"/>
          <w:between w:val="nil"/>
        </w:pBdr>
        <w:jc w:val="both"/>
        <w:rPr>
          <w:rFonts w:ascii="Arial" w:eastAsia="Arial" w:hAnsi="Arial" w:cs="Arial"/>
          <w:b/>
          <w:bCs/>
        </w:rPr>
      </w:pPr>
    </w:p>
    <w:p w14:paraId="548E9634" w14:textId="771F8887" w:rsidR="00154047" w:rsidRPr="008B0387" w:rsidRDefault="00154047" w:rsidP="0085087B">
      <w:pPr>
        <w:pBdr>
          <w:top w:val="nil"/>
          <w:left w:val="nil"/>
          <w:bottom w:val="nil"/>
          <w:right w:val="nil"/>
          <w:between w:val="nil"/>
        </w:pBdr>
        <w:jc w:val="both"/>
        <w:rPr>
          <w:rFonts w:ascii="Arial" w:eastAsia="Arial" w:hAnsi="Arial" w:cs="Arial"/>
        </w:rPr>
      </w:pPr>
      <w:r w:rsidRPr="008B0387">
        <w:rPr>
          <w:rFonts w:ascii="Arial" w:eastAsia="Arial" w:hAnsi="Arial" w:cs="Arial"/>
        </w:rPr>
        <w:t>The authors affirm that this research was conducted without any conflicts of interest that could affect the integrity or objectivity of the results presented. All authors have openly disclosed any financial or personal relationships with individuals or institutions that could potentially influence the content of the manuscript, and no connections have been found in the form of employment, consultation, receipt of honoraria, expert testimony, ownership or filing of patents, or other sources of funding relevant to this study. Should any such relationships exist, they will be transparently disclosed in this statement. Thus, the authors reiterate that this research is free from conflicts of interest.</w:t>
      </w:r>
    </w:p>
    <w:p w14:paraId="0FC5A4E6" w14:textId="2C53B6CA" w:rsidR="002C06D7" w:rsidRPr="008B0387" w:rsidRDefault="002C06D7" w:rsidP="0085087B">
      <w:pPr>
        <w:pBdr>
          <w:top w:val="nil"/>
          <w:left w:val="nil"/>
          <w:bottom w:val="nil"/>
          <w:right w:val="nil"/>
          <w:between w:val="nil"/>
        </w:pBdr>
        <w:jc w:val="both"/>
        <w:rPr>
          <w:rFonts w:ascii="Arial" w:eastAsia="Arial" w:hAnsi="Arial" w:cs="Arial"/>
        </w:rPr>
      </w:pPr>
    </w:p>
    <w:p w14:paraId="0DEFA84D" w14:textId="77777777" w:rsidR="002A439D" w:rsidRPr="008B0387" w:rsidRDefault="002A439D" w:rsidP="0085087B">
      <w:pPr>
        <w:pBdr>
          <w:top w:val="nil"/>
          <w:left w:val="nil"/>
          <w:bottom w:val="nil"/>
          <w:right w:val="nil"/>
          <w:between w:val="nil"/>
        </w:pBdr>
        <w:jc w:val="both"/>
        <w:rPr>
          <w:rFonts w:ascii="Arial" w:eastAsia="Arial" w:hAnsi="Arial" w:cs="Arial"/>
          <w:b/>
          <w:bCs/>
        </w:rPr>
      </w:pPr>
      <w:r w:rsidRPr="008B0387">
        <w:rPr>
          <w:rFonts w:ascii="Arial" w:eastAsia="Arial" w:hAnsi="Arial" w:cs="Arial"/>
          <w:b/>
          <w:bCs/>
        </w:rPr>
        <w:t>DISCLAIMER (ARTIFICIAL INTELLIGENCE)</w:t>
      </w:r>
    </w:p>
    <w:p w14:paraId="229835CE" w14:textId="4607691C" w:rsidR="002C06D7" w:rsidRPr="008B0387" w:rsidRDefault="002A439D" w:rsidP="002A439D">
      <w:pPr>
        <w:keepNext/>
        <w:spacing w:before="240" w:after="240"/>
        <w:jc w:val="both"/>
        <w:rPr>
          <w:rFonts w:ascii="Arial" w:eastAsia="Arial" w:hAnsi="Arial" w:cs="Arial"/>
        </w:rPr>
      </w:pPr>
      <w:r w:rsidRPr="008B0387">
        <w:rPr>
          <w:rFonts w:ascii="Arial" w:eastAsia="Arial" w:hAnsi="Arial" w:cs="Arial"/>
        </w:rPr>
        <w:t>The author (s) hereby declare that NO generative AI technologies such as Large Language Models (ChatGPT, COPILOT, etc.) and text-to-image generators have been used during the writing or editing of this manuscript.</w:t>
      </w:r>
    </w:p>
    <w:p w14:paraId="37C3DD24" w14:textId="70077B7B" w:rsidR="00154047" w:rsidRPr="008B0387" w:rsidRDefault="00154047">
      <w:pPr>
        <w:pBdr>
          <w:top w:val="nil"/>
          <w:left w:val="nil"/>
          <w:bottom w:val="nil"/>
          <w:right w:val="nil"/>
          <w:between w:val="nil"/>
        </w:pBdr>
        <w:jc w:val="both"/>
        <w:rPr>
          <w:rFonts w:ascii="Arial" w:eastAsia="Arial" w:hAnsi="Arial" w:cs="Arial"/>
        </w:rPr>
      </w:pPr>
    </w:p>
    <w:p w14:paraId="6A190083" w14:textId="7E1578DD" w:rsidR="00154047" w:rsidRPr="008B0387" w:rsidRDefault="00154047">
      <w:pPr>
        <w:pBdr>
          <w:top w:val="nil"/>
          <w:left w:val="nil"/>
          <w:bottom w:val="nil"/>
          <w:right w:val="nil"/>
          <w:between w:val="nil"/>
        </w:pBdr>
        <w:jc w:val="both"/>
        <w:rPr>
          <w:rFonts w:ascii="Arial" w:eastAsia="Arial" w:hAnsi="Arial" w:cs="Arial"/>
          <w:b/>
          <w:bCs/>
          <w:sz w:val="22"/>
          <w:szCs w:val="22"/>
        </w:rPr>
      </w:pPr>
      <w:r w:rsidRPr="008B0387">
        <w:rPr>
          <w:rFonts w:ascii="Arial" w:eastAsia="Arial" w:hAnsi="Arial" w:cs="Arial"/>
          <w:b/>
          <w:bCs/>
          <w:sz w:val="22"/>
          <w:szCs w:val="22"/>
        </w:rPr>
        <w:t>REFERENCES</w:t>
      </w:r>
    </w:p>
    <w:p w14:paraId="18CAC51A" w14:textId="35F83204" w:rsidR="00154047" w:rsidRPr="008B0387" w:rsidRDefault="00154047" w:rsidP="007C7428">
      <w:pPr>
        <w:pBdr>
          <w:top w:val="nil"/>
          <w:left w:val="nil"/>
          <w:bottom w:val="nil"/>
          <w:right w:val="nil"/>
          <w:between w:val="nil"/>
        </w:pBdr>
        <w:jc w:val="both"/>
        <w:rPr>
          <w:rFonts w:ascii="Arial" w:eastAsia="Arial" w:hAnsi="Arial" w:cs="Arial"/>
          <w:b/>
          <w:bCs/>
        </w:rPr>
      </w:pPr>
    </w:p>
    <w:p w14:paraId="085BF13A" w14:textId="77777777" w:rsidR="00AD3FBB" w:rsidRPr="00AD3FBB" w:rsidRDefault="00154047" w:rsidP="00F201B1">
      <w:pPr>
        <w:pStyle w:val="Bibliography"/>
        <w:numPr>
          <w:ilvl w:val="0"/>
          <w:numId w:val="29"/>
        </w:numPr>
        <w:spacing w:line="240" w:lineRule="auto"/>
        <w:jc w:val="both"/>
        <w:rPr>
          <w:rFonts w:ascii="Arial" w:hAnsi="Arial" w:cs="Arial"/>
        </w:rPr>
      </w:pPr>
      <w:r w:rsidRPr="008B0387">
        <w:rPr>
          <w:rFonts w:ascii="Arial" w:eastAsia="Arial" w:hAnsi="Arial" w:cs="Arial"/>
          <w:smallCaps/>
          <w:color w:val="000000"/>
        </w:rPr>
        <w:fldChar w:fldCharType="begin"/>
      </w:r>
      <w:r w:rsidR="00F57597" w:rsidRPr="008B0387">
        <w:rPr>
          <w:rFonts w:ascii="Arial" w:eastAsia="Arial" w:hAnsi="Arial" w:cs="Arial"/>
          <w:smallCaps/>
          <w:color w:val="000000"/>
        </w:rPr>
        <w:instrText xml:space="preserve"> ADDIN ZOTERO_BIBL {"uncited":[],"omitted":[],"custom":[]} CSL_BIBLIOGRAPHY </w:instrText>
      </w:r>
      <w:r w:rsidRPr="008B0387">
        <w:rPr>
          <w:rFonts w:ascii="Arial" w:eastAsia="Arial" w:hAnsi="Arial" w:cs="Arial"/>
          <w:smallCaps/>
          <w:color w:val="000000"/>
        </w:rPr>
        <w:fldChar w:fldCharType="separate"/>
      </w:r>
      <w:r w:rsidR="00AD3FBB" w:rsidRPr="00AD3FBB">
        <w:rPr>
          <w:rFonts w:ascii="Arial" w:hAnsi="Arial" w:cs="Arial"/>
        </w:rPr>
        <w:t xml:space="preserve">Alamäki, A., Nyberg, C., Kimberley, A., &amp; Salonen, A. O. (2024). </w:t>
      </w:r>
      <w:r w:rsidR="00AD3FBB" w:rsidRPr="00AD3FBB">
        <w:rPr>
          <w:rFonts w:ascii="Arial" w:hAnsi="Arial" w:cs="Arial"/>
          <w:i/>
          <w:iCs/>
        </w:rPr>
        <w:t>Artificial intelligence literacy in sustainable development: A learning experiment in higher education</w:t>
      </w:r>
      <w:r w:rsidR="00AD3FBB" w:rsidRPr="00AD3FBB">
        <w:rPr>
          <w:rFonts w:ascii="Arial" w:hAnsi="Arial" w:cs="Arial"/>
        </w:rPr>
        <w:t>. https://doi.org/10.3389/feduc.2024.1343406</w:t>
      </w:r>
    </w:p>
    <w:p w14:paraId="4A41E854"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Alaskar, T. H. (2023). Innovation Capabilities as a Mediator between Business Analytics and Firm Performance. </w:t>
      </w:r>
      <w:r w:rsidRPr="00AD3FBB">
        <w:rPr>
          <w:rFonts w:ascii="Arial" w:hAnsi="Arial" w:cs="Arial"/>
          <w:i/>
          <w:iCs/>
        </w:rPr>
        <w:t>Sustainability</w:t>
      </w:r>
      <w:r w:rsidRPr="00AD3FBB">
        <w:rPr>
          <w:rFonts w:ascii="Arial" w:hAnsi="Arial" w:cs="Arial"/>
        </w:rPr>
        <w:t xml:space="preserve">, </w:t>
      </w:r>
      <w:r w:rsidRPr="00AD3FBB">
        <w:rPr>
          <w:rFonts w:ascii="Arial" w:hAnsi="Arial" w:cs="Arial"/>
          <w:i/>
          <w:iCs/>
        </w:rPr>
        <w:t>15</w:t>
      </w:r>
      <w:r w:rsidRPr="00AD3FBB">
        <w:rPr>
          <w:rFonts w:ascii="Arial" w:hAnsi="Arial" w:cs="Arial"/>
        </w:rPr>
        <w:t>(6), Article 6. https://doi.org/10.3390/su15065522</w:t>
      </w:r>
    </w:p>
    <w:p w14:paraId="5D7AC970"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Anggitasari, D., Purwanto, E., &amp; Pertiwi, T. K. (2023). </w:t>
      </w:r>
      <w:r w:rsidRPr="00AD3FBB">
        <w:rPr>
          <w:rFonts w:ascii="Arial" w:hAnsi="Arial" w:cs="Arial"/>
          <w:i/>
          <w:iCs/>
        </w:rPr>
        <w:t>The Effect of Digital Capability and Digital Literacy on Business Performance With Employee Innovation as a Mediating Variable at PT Pegadaian | Return: Study of Management, Economic and Bussines</w:t>
      </w:r>
      <w:r w:rsidRPr="00AD3FBB">
        <w:rPr>
          <w:rFonts w:ascii="Arial" w:hAnsi="Arial" w:cs="Arial"/>
        </w:rPr>
        <w:t>. https://return.publikasikupublisher.com/index.php/return/article/view/150</w:t>
      </w:r>
    </w:p>
    <w:p w14:paraId="4A8EAF3E"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Annarelli, A., Catarci, T., &amp; Palagi, L. (2024). </w:t>
      </w:r>
      <w:r w:rsidRPr="00AD3FBB">
        <w:rPr>
          <w:rFonts w:ascii="Arial" w:hAnsi="Arial" w:cs="Arial"/>
          <w:i/>
          <w:iCs/>
        </w:rPr>
        <w:t>The forgotten pillar of sustainability: Development of the S-assessment tool to evaluate Organizational Social Sustainability</w:t>
      </w:r>
      <w:r w:rsidRPr="00AD3FBB">
        <w:rPr>
          <w:rFonts w:ascii="Arial" w:hAnsi="Arial" w:cs="Arial"/>
        </w:rPr>
        <w:t xml:space="preserve"> (arXiv:2404.04077). arXiv. https://doi.org/10.48550/arXiv.2404.04077</w:t>
      </w:r>
    </w:p>
    <w:p w14:paraId="5EE5CA65"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Busyeri, A. T., Rofaida, R., Hadijah, H. S., &amp; Kurniawan, A. (2024). The Role Of Innovation Capability In Mediating The Effect Of Strategic Agility On Business Performance Of Smes In The Food And Beverage Sector In Cimahi. </w:t>
      </w:r>
      <w:r w:rsidRPr="00AD3FBB">
        <w:rPr>
          <w:rFonts w:ascii="Arial" w:hAnsi="Arial" w:cs="Arial"/>
          <w:i/>
          <w:iCs/>
        </w:rPr>
        <w:t>Dinasti International Journal of Education Management And Social Science</w:t>
      </w:r>
      <w:r w:rsidRPr="00AD3FBB">
        <w:rPr>
          <w:rFonts w:ascii="Arial" w:hAnsi="Arial" w:cs="Arial"/>
        </w:rPr>
        <w:t xml:space="preserve">, </w:t>
      </w:r>
      <w:r w:rsidRPr="00AD3FBB">
        <w:rPr>
          <w:rFonts w:ascii="Arial" w:hAnsi="Arial" w:cs="Arial"/>
          <w:i/>
          <w:iCs/>
        </w:rPr>
        <w:t>5</w:t>
      </w:r>
      <w:r w:rsidRPr="00AD3FBB">
        <w:rPr>
          <w:rFonts w:ascii="Arial" w:hAnsi="Arial" w:cs="Arial"/>
        </w:rPr>
        <w:t>(6), 2317–2330. https://doi.org/10.38035/dijemss.v5i6.3238</w:t>
      </w:r>
    </w:p>
    <w:p w14:paraId="30925B9C"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Chin, W. W. (1998). The Partial Least Squares Approach to Structural Equation Modeling. In </w:t>
      </w:r>
      <w:r w:rsidRPr="00AD3FBB">
        <w:rPr>
          <w:rFonts w:ascii="Arial" w:hAnsi="Arial" w:cs="Arial"/>
          <w:i/>
          <w:iCs/>
        </w:rPr>
        <w:t>Modern Methods for Business Research</w:t>
      </w:r>
      <w:r w:rsidRPr="00AD3FBB">
        <w:rPr>
          <w:rFonts w:ascii="Arial" w:hAnsi="Arial" w:cs="Arial"/>
        </w:rPr>
        <w:t>. Psychology Press.</w:t>
      </w:r>
    </w:p>
    <w:p w14:paraId="79D13E1E"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Cohen, J. (2013). </w:t>
      </w:r>
      <w:r w:rsidRPr="00AD3FBB">
        <w:rPr>
          <w:rFonts w:ascii="Arial" w:hAnsi="Arial" w:cs="Arial"/>
          <w:i/>
          <w:iCs/>
        </w:rPr>
        <w:t>Statistical Power Analysis for the Behavioral Sciences</w:t>
      </w:r>
      <w:r w:rsidRPr="00AD3FBB">
        <w:rPr>
          <w:rFonts w:ascii="Arial" w:hAnsi="Arial" w:cs="Arial"/>
        </w:rPr>
        <w:t xml:space="preserve"> (2nd ed.). Routledge. https://doi.org/10.4324/9780203771587</w:t>
      </w:r>
    </w:p>
    <w:p w14:paraId="6B490BEB"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Creswell, J. W., &amp; Creswell, J. D. (2017). </w:t>
      </w:r>
      <w:r w:rsidRPr="00AD3FBB">
        <w:rPr>
          <w:rFonts w:ascii="Arial" w:hAnsi="Arial" w:cs="Arial"/>
          <w:i/>
          <w:iCs/>
        </w:rPr>
        <w:t>Research Design: Qualitative, Quantitative, and Mixed Methods Approaches</w:t>
      </w:r>
      <w:r w:rsidRPr="00AD3FBB">
        <w:rPr>
          <w:rFonts w:ascii="Arial" w:hAnsi="Arial" w:cs="Arial"/>
        </w:rPr>
        <w:t>. SAGE Publications.</w:t>
      </w:r>
    </w:p>
    <w:p w14:paraId="6C5B1C7F"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Davis, F. (1985). </w:t>
      </w:r>
      <w:r w:rsidRPr="00AD3FBB">
        <w:rPr>
          <w:rFonts w:ascii="Arial" w:hAnsi="Arial" w:cs="Arial"/>
          <w:i/>
          <w:iCs/>
        </w:rPr>
        <w:t>A Technology Acceptance Model for Empirically Testing New End-User Information Systems</w:t>
      </w:r>
      <w:r w:rsidRPr="00AD3FBB">
        <w:rPr>
          <w:rFonts w:ascii="Arial" w:hAnsi="Arial" w:cs="Arial"/>
        </w:rPr>
        <w:t>.</w:t>
      </w:r>
    </w:p>
    <w:p w14:paraId="7E612427"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Dhewanto, W., Belgiawan, P. F., Hanifan, R., &amp; Umbara, A. N. (2022). </w:t>
      </w:r>
      <w:r w:rsidRPr="00AD3FBB">
        <w:rPr>
          <w:rFonts w:ascii="Arial" w:hAnsi="Arial" w:cs="Arial"/>
          <w:i/>
          <w:iCs/>
        </w:rPr>
        <w:t>Strengthening Entrepreneurial Ecosystem to Achieve Sustainability Through Digitalization and Innovation: A Case of Indonesian MSMEs Ecosystem</w:t>
      </w:r>
      <w:r w:rsidRPr="00AD3FBB">
        <w:rPr>
          <w:rFonts w:ascii="Arial" w:hAnsi="Arial" w:cs="Arial"/>
        </w:rPr>
        <w:t>.</w:t>
      </w:r>
    </w:p>
    <w:p w14:paraId="6FB4DB49"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Dwivedi, Y. K., Hughes, L., Ismagilova, E., Aarts, G., Coombs, C., Crick, T., Duan, Y., Dwivedi, R., Edwards, J., Eirug, A., Galanos, V., Ilavarasan, P. V., Janssen, M., Jones, P., Kar, A. K., Kizgin, H., Kronemann, B., Lal, B., Lucini, B., … Williams, M. D. (2021). Artificial Intelligence (AI): Multidisciplinary perspectives on emerging challenges, opportunities, and agenda for research, practice and policy. </w:t>
      </w:r>
      <w:r w:rsidRPr="00AD3FBB">
        <w:rPr>
          <w:rFonts w:ascii="Arial" w:hAnsi="Arial" w:cs="Arial"/>
          <w:i/>
          <w:iCs/>
        </w:rPr>
        <w:t>International Journal of Information Management</w:t>
      </w:r>
      <w:r w:rsidRPr="00AD3FBB">
        <w:rPr>
          <w:rFonts w:ascii="Arial" w:hAnsi="Arial" w:cs="Arial"/>
        </w:rPr>
        <w:t xml:space="preserve">, </w:t>
      </w:r>
      <w:r w:rsidRPr="00AD3FBB">
        <w:rPr>
          <w:rFonts w:ascii="Arial" w:hAnsi="Arial" w:cs="Arial"/>
          <w:i/>
          <w:iCs/>
        </w:rPr>
        <w:t>57</w:t>
      </w:r>
      <w:r w:rsidRPr="00AD3FBB">
        <w:rPr>
          <w:rFonts w:ascii="Arial" w:hAnsi="Arial" w:cs="Arial"/>
        </w:rPr>
        <w:t>, 101994. https://doi.org/10.1016/j.ijinfomgt.2019.08.002</w:t>
      </w:r>
    </w:p>
    <w:p w14:paraId="084D67C0"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El Hilali, W., El Manouar, A., &amp; Janati Idrissi, M. A. (2020). Reaching sustainability during a digital transformation: A PLS approach. </w:t>
      </w:r>
      <w:r w:rsidRPr="00AD3FBB">
        <w:rPr>
          <w:rFonts w:ascii="Arial" w:hAnsi="Arial" w:cs="Arial"/>
          <w:i/>
          <w:iCs/>
        </w:rPr>
        <w:t>International Journal of Innovation Science</w:t>
      </w:r>
      <w:r w:rsidRPr="00AD3FBB">
        <w:rPr>
          <w:rFonts w:ascii="Arial" w:hAnsi="Arial" w:cs="Arial"/>
        </w:rPr>
        <w:t xml:space="preserve">, </w:t>
      </w:r>
      <w:r w:rsidRPr="00AD3FBB">
        <w:rPr>
          <w:rFonts w:ascii="Arial" w:hAnsi="Arial" w:cs="Arial"/>
          <w:i/>
          <w:iCs/>
        </w:rPr>
        <w:t>12</w:t>
      </w:r>
      <w:r w:rsidRPr="00AD3FBB">
        <w:rPr>
          <w:rFonts w:ascii="Arial" w:hAnsi="Arial" w:cs="Arial"/>
        </w:rPr>
        <w:t>(1), 52–79. https://doi.org/10.1108/IJIS-08-2019-0083</w:t>
      </w:r>
    </w:p>
    <w:p w14:paraId="1C91D757"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Gao, X. (2023). Digital transformation in finance and its role in promoting financial transparency. </w:t>
      </w:r>
      <w:r w:rsidRPr="00AD3FBB">
        <w:rPr>
          <w:rFonts w:ascii="Arial" w:hAnsi="Arial" w:cs="Arial"/>
          <w:i/>
          <w:iCs/>
        </w:rPr>
        <w:t>Global Finance Journal</w:t>
      </w:r>
      <w:r w:rsidRPr="00AD3FBB">
        <w:rPr>
          <w:rFonts w:ascii="Arial" w:hAnsi="Arial" w:cs="Arial"/>
        </w:rPr>
        <w:t xml:space="preserve">, </w:t>
      </w:r>
      <w:r w:rsidRPr="00AD3FBB">
        <w:rPr>
          <w:rFonts w:ascii="Arial" w:hAnsi="Arial" w:cs="Arial"/>
          <w:i/>
          <w:iCs/>
        </w:rPr>
        <w:t>Query date: 2025-06-19 22:21:24</w:t>
      </w:r>
      <w:r w:rsidRPr="00AD3FBB">
        <w:rPr>
          <w:rFonts w:ascii="Arial" w:hAnsi="Arial" w:cs="Arial"/>
        </w:rPr>
        <w:t>. https://www.sciencedirect.com/science/article/pii/S1044028323000984</w:t>
      </w:r>
    </w:p>
    <w:p w14:paraId="21FEECFD"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González Moyano, C., Klessascheck, F., Bala, S., Fahrenkrog-Petersen, S. A., &amp; Mendling, J. (2025, March 28). </w:t>
      </w:r>
      <w:r w:rsidRPr="00AD3FBB">
        <w:rPr>
          <w:rFonts w:ascii="Arial" w:hAnsi="Arial" w:cs="Arial"/>
          <w:i/>
          <w:iCs/>
        </w:rPr>
        <w:t>Towards Nudging in BPM: A Human-Centric Approach for Sustainable Business Processes</w:t>
      </w:r>
      <w:r w:rsidRPr="00AD3FBB">
        <w:rPr>
          <w:rFonts w:ascii="Arial" w:hAnsi="Arial" w:cs="Arial"/>
        </w:rPr>
        <w:t>. https://doi.org/10.1007/978-3-031-82225-4_54</w:t>
      </w:r>
    </w:p>
    <w:p w14:paraId="4BD66B38"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Hair, J. F., Hult, G. T. M., Ringle, C. M., Sarstedt, M., Danks, N. P., &amp; Ray, S. (2021). </w:t>
      </w:r>
      <w:r w:rsidRPr="00AD3FBB">
        <w:rPr>
          <w:rFonts w:ascii="Arial" w:hAnsi="Arial" w:cs="Arial"/>
          <w:i/>
          <w:iCs/>
        </w:rPr>
        <w:t>Partial Least Squares Structural Equation Modeling (PLS-SEM) Using R: A Workbook</w:t>
      </w:r>
      <w:r w:rsidRPr="00AD3FBB">
        <w:rPr>
          <w:rFonts w:ascii="Arial" w:hAnsi="Arial" w:cs="Arial"/>
        </w:rPr>
        <w:t>. Springer International Publishing. https://doi.org/10.1007/978-3-030-80519-7</w:t>
      </w:r>
    </w:p>
    <w:p w14:paraId="7BDC1DDB"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Hayes, A. F. (2022). </w:t>
      </w:r>
      <w:r w:rsidRPr="00AD3FBB">
        <w:rPr>
          <w:rFonts w:ascii="Arial" w:hAnsi="Arial" w:cs="Arial"/>
          <w:i/>
          <w:iCs/>
        </w:rPr>
        <w:t>Introduction to Mediation, Moderation, and Conditional Process Analysis: A Regression-Based Approach</w:t>
      </w:r>
      <w:r w:rsidRPr="00AD3FBB">
        <w:rPr>
          <w:rFonts w:ascii="Arial" w:hAnsi="Arial" w:cs="Arial"/>
        </w:rPr>
        <w:t>. Guilford Publications.</w:t>
      </w:r>
    </w:p>
    <w:p w14:paraId="46724495"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Hernandez, A. A., Caballero, A. R., Albina, E. M., Balmes, I. L., &amp; Niguidula, J. D. (2023). Artificial Intelligence for Sustainability: Evidence from select Small and Medium Enterprises in the Philippines. </w:t>
      </w:r>
      <w:r w:rsidRPr="00AD3FBB">
        <w:rPr>
          <w:rFonts w:ascii="Arial" w:hAnsi="Arial" w:cs="Arial"/>
          <w:i/>
          <w:iCs/>
        </w:rPr>
        <w:t>2023 8th International Conference on Business and Industrial Research (ICBIR)</w:t>
      </w:r>
      <w:r w:rsidRPr="00AD3FBB">
        <w:rPr>
          <w:rFonts w:ascii="Arial" w:hAnsi="Arial" w:cs="Arial"/>
        </w:rPr>
        <w:t>, 818–823. https://doi.org/10.1109/ICBIR57571.2023.10147579</w:t>
      </w:r>
    </w:p>
    <w:p w14:paraId="28BDE2DE"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Ivanov, D., &amp; Dolgui, A. (2021). A digital supply chain twin for managing the disruption risks and resilience in the era of Industry 4.0. </w:t>
      </w:r>
      <w:r w:rsidRPr="00AD3FBB">
        <w:rPr>
          <w:rFonts w:ascii="Arial" w:hAnsi="Arial" w:cs="Arial"/>
          <w:i/>
          <w:iCs/>
        </w:rPr>
        <w:t>Production Planning &amp; Control</w:t>
      </w:r>
      <w:r w:rsidRPr="00AD3FBB">
        <w:rPr>
          <w:rFonts w:ascii="Arial" w:hAnsi="Arial" w:cs="Arial"/>
        </w:rPr>
        <w:t xml:space="preserve">, </w:t>
      </w:r>
      <w:r w:rsidRPr="00AD3FBB">
        <w:rPr>
          <w:rFonts w:ascii="Arial" w:hAnsi="Arial" w:cs="Arial"/>
          <w:i/>
          <w:iCs/>
        </w:rPr>
        <w:t>32</w:t>
      </w:r>
      <w:r w:rsidRPr="00AD3FBB">
        <w:rPr>
          <w:rFonts w:ascii="Arial" w:hAnsi="Arial" w:cs="Arial"/>
        </w:rPr>
        <w:t>(9), 775–788. https://doi.org/10.1080/09537287.2020.1768450</w:t>
      </w:r>
    </w:p>
    <w:p w14:paraId="17B53737"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Jankovic, S. D., &amp; Curovic, D. M. (2023). Strategic Integration of Artificial Intelligence for Sustainable Businesses: Implications for Data Management and Human User Engagement in the Digital Era. </w:t>
      </w:r>
      <w:r w:rsidRPr="00AD3FBB">
        <w:rPr>
          <w:rFonts w:ascii="Arial" w:hAnsi="Arial" w:cs="Arial"/>
          <w:i/>
          <w:iCs/>
        </w:rPr>
        <w:t>Sustainability</w:t>
      </w:r>
      <w:r w:rsidRPr="00AD3FBB">
        <w:rPr>
          <w:rFonts w:ascii="Arial" w:hAnsi="Arial" w:cs="Arial"/>
        </w:rPr>
        <w:t xml:space="preserve">, </w:t>
      </w:r>
      <w:r w:rsidRPr="00AD3FBB">
        <w:rPr>
          <w:rFonts w:ascii="Arial" w:hAnsi="Arial" w:cs="Arial"/>
          <w:i/>
          <w:iCs/>
        </w:rPr>
        <w:t>15</w:t>
      </w:r>
      <w:r w:rsidRPr="00AD3FBB">
        <w:rPr>
          <w:rFonts w:ascii="Arial" w:hAnsi="Arial" w:cs="Arial"/>
        </w:rPr>
        <w:t>(21), Article 21. https://doi.org/10.3390/su152115208</w:t>
      </w:r>
    </w:p>
    <w:p w14:paraId="1E140748"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Khaq, Z., Subroto, V., &amp; Susanto, E. (2024a). AI-driven Strategies for Enhancing MSME Sales and Business Communication: A Case Study. </w:t>
      </w:r>
      <w:r w:rsidRPr="00AD3FBB">
        <w:rPr>
          <w:rFonts w:ascii="Arial" w:hAnsi="Arial" w:cs="Arial"/>
          <w:i/>
          <w:iCs/>
        </w:rPr>
        <w:t>Journal of Management and …</w:t>
      </w:r>
      <w:r w:rsidRPr="00AD3FBB">
        <w:rPr>
          <w:rFonts w:ascii="Arial" w:hAnsi="Arial" w:cs="Arial"/>
        </w:rPr>
        <w:t xml:space="preserve">, </w:t>
      </w:r>
      <w:r w:rsidRPr="00AD3FBB">
        <w:rPr>
          <w:rFonts w:ascii="Arial" w:hAnsi="Arial" w:cs="Arial"/>
          <w:i/>
          <w:iCs/>
        </w:rPr>
        <w:t>Query date: 2025-04-30 20:41:44</w:t>
      </w:r>
      <w:r w:rsidRPr="00AD3FBB">
        <w:rPr>
          <w:rFonts w:ascii="Arial" w:hAnsi="Arial" w:cs="Arial"/>
        </w:rPr>
        <w:t>. https://jmi.stekom.ac.id/index.php/jmi/article/view/28</w:t>
      </w:r>
    </w:p>
    <w:p w14:paraId="016827E2"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Khaq, Z., Subroto, V., &amp; Susanto, E. (2024b). AI-driven Strategies for Enhancing MSME Sales and Business Communication: A Case Study. </w:t>
      </w:r>
      <w:r w:rsidRPr="00AD3FBB">
        <w:rPr>
          <w:rFonts w:ascii="Arial" w:hAnsi="Arial" w:cs="Arial"/>
          <w:i/>
          <w:iCs/>
        </w:rPr>
        <w:t>Journal of Management and …</w:t>
      </w:r>
      <w:r w:rsidRPr="00AD3FBB">
        <w:rPr>
          <w:rFonts w:ascii="Arial" w:hAnsi="Arial" w:cs="Arial"/>
        </w:rPr>
        <w:t xml:space="preserve">, </w:t>
      </w:r>
      <w:r w:rsidRPr="00AD3FBB">
        <w:rPr>
          <w:rFonts w:ascii="Arial" w:hAnsi="Arial" w:cs="Arial"/>
          <w:i/>
          <w:iCs/>
        </w:rPr>
        <w:t>Query date: 2025-04-26 18:46:36</w:t>
      </w:r>
      <w:r w:rsidRPr="00AD3FBB">
        <w:rPr>
          <w:rFonts w:ascii="Arial" w:hAnsi="Arial" w:cs="Arial"/>
        </w:rPr>
        <w:t>. https://jmi.stekom.ac.id/index.php/jmi/article/view/28</w:t>
      </w:r>
    </w:p>
    <w:p w14:paraId="13CEAA99"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Khatib, M. E., AlMansoori, A. A., &amp; Alsuwidi, S. (2024). The importance of Trust in digital transformation and SMART Government initiatives. </w:t>
      </w:r>
      <w:r w:rsidRPr="00AD3FBB">
        <w:rPr>
          <w:rFonts w:ascii="Arial" w:hAnsi="Arial" w:cs="Arial"/>
          <w:i/>
          <w:iCs/>
        </w:rPr>
        <w:t>International Journal of Business Analytics and Security (IJBAS)</w:t>
      </w:r>
      <w:r w:rsidRPr="00AD3FBB">
        <w:rPr>
          <w:rFonts w:ascii="Arial" w:hAnsi="Arial" w:cs="Arial"/>
        </w:rPr>
        <w:t xml:space="preserve">, </w:t>
      </w:r>
      <w:r w:rsidRPr="00AD3FBB">
        <w:rPr>
          <w:rFonts w:ascii="Arial" w:hAnsi="Arial" w:cs="Arial"/>
          <w:i/>
          <w:iCs/>
        </w:rPr>
        <w:t>4</w:t>
      </w:r>
      <w:r w:rsidRPr="00AD3FBB">
        <w:rPr>
          <w:rFonts w:ascii="Arial" w:hAnsi="Arial" w:cs="Arial"/>
        </w:rPr>
        <w:t>(2), Article 2.</w:t>
      </w:r>
    </w:p>
    <w:p w14:paraId="7A736A79"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Lawson, B., &amp; Samson, D. (2001). DEVELOPING INNOVATION CAPABILITY IN ORGANISATIONS: A DYNAMIC CAPABILITIES APPROACH. </w:t>
      </w:r>
      <w:r w:rsidRPr="00AD3FBB">
        <w:rPr>
          <w:rFonts w:ascii="Arial" w:hAnsi="Arial" w:cs="Arial"/>
          <w:i/>
          <w:iCs/>
        </w:rPr>
        <w:t>International Journal of Innovation Management</w:t>
      </w:r>
      <w:r w:rsidRPr="00AD3FBB">
        <w:rPr>
          <w:rFonts w:ascii="Arial" w:hAnsi="Arial" w:cs="Arial"/>
        </w:rPr>
        <w:t xml:space="preserve">, </w:t>
      </w:r>
      <w:r w:rsidRPr="00AD3FBB">
        <w:rPr>
          <w:rFonts w:ascii="Arial" w:hAnsi="Arial" w:cs="Arial"/>
          <w:i/>
          <w:iCs/>
        </w:rPr>
        <w:t>05</w:t>
      </w:r>
      <w:r w:rsidRPr="00AD3FBB">
        <w:rPr>
          <w:rFonts w:ascii="Arial" w:hAnsi="Arial" w:cs="Arial"/>
        </w:rPr>
        <w:t>(03), 377–400. https://doi.org/10.1142/S1363919601000427</w:t>
      </w:r>
    </w:p>
    <w:p w14:paraId="38C8A6D2"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Long, D., &amp; Magerko, B. (2020). What is AI Literacy? Competencies and Design Considerations. </w:t>
      </w:r>
      <w:r w:rsidRPr="00AD3FBB">
        <w:rPr>
          <w:rFonts w:ascii="Arial" w:hAnsi="Arial" w:cs="Arial"/>
          <w:i/>
          <w:iCs/>
        </w:rPr>
        <w:t>Proceedings of the 2020 CHI Conference on Human Factors in Computing Systems</w:t>
      </w:r>
      <w:r w:rsidRPr="00AD3FBB">
        <w:rPr>
          <w:rFonts w:ascii="Arial" w:hAnsi="Arial" w:cs="Arial"/>
        </w:rPr>
        <w:t>, 1–16. https://doi.org/10.1145/3313831.3376727</w:t>
      </w:r>
    </w:p>
    <w:p w14:paraId="04B49617"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Maycotte, S., Alvarez-Risco, A., Garcia-Valenzuela, E., &amp; Kuljis, M. (2025). Digital capabilities in emerging market firms: Construct development, scale validation, and implications for SMEs. </w:t>
      </w:r>
      <w:r w:rsidRPr="00AD3FBB">
        <w:rPr>
          <w:rFonts w:ascii="Arial" w:hAnsi="Arial" w:cs="Arial"/>
          <w:i/>
          <w:iCs/>
        </w:rPr>
        <w:t>Journal of Open Innovation: Technology, Market, and Complexity</w:t>
      </w:r>
      <w:r w:rsidRPr="00AD3FBB">
        <w:rPr>
          <w:rFonts w:ascii="Arial" w:hAnsi="Arial" w:cs="Arial"/>
        </w:rPr>
        <w:t xml:space="preserve">, </w:t>
      </w:r>
      <w:r w:rsidRPr="00AD3FBB">
        <w:rPr>
          <w:rFonts w:ascii="Arial" w:hAnsi="Arial" w:cs="Arial"/>
          <w:i/>
          <w:iCs/>
        </w:rPr>
        <w:t>11</w:t>
      </w:r>
      <w:r w:rsidRPr="00AD3FBB">
        <w:rPr>
          <w:rFonts w:ascii="Arial" w:hAnsi="Arial" w:cs="Arial"/>
        </w:rPr>
        <w:t>(2), 100513. https://doi.org/10.1016/j.joitmc.2025.100513</w:t>
      </w:r>
    </w:p>
    <w:p w14:paraId="1EEEB4FE"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McKnight, D. H., Liu, P., &amp; Pentland, B. T. (2020). Trust Change in Information Technology Products. </w:t>
      </w:r>
      <w:r w:rsidRPr="00AD3FBB">
        <w:rPr>
          <w:rFonts w:ascii="Arial" w:hAnsi="Arial" w:cs="Arial"/>
          <w:i/>
          <w:iCs/>
        </w:rPr>
        <w:t>Journal of Management Information Systems</w:t>
      </w:r>
      <w:r w:rsidRPr="00AD3FBB">
        <w:rPr>
          <w:rFonts w:ascii="Arial" w:hAnsi="Arial" w:cs="Arial"/>
        </w:rPr>
        <w:t xml:space="preserve">, </w:t>
      </w:r>
      <w:r w:rsidRPr="00AD3FBB">
        <w:rPr>
          <w:rFonts w:ascii="Arial" w:hAnsi="Arial" w:cs="Arial"/>
          <w:i/>
          <w:iCs/>
        </w:rPr>
        <w:t>37</w:t>
      </w:r>
      <w:r w:rsidRPr="00AD3FBB">
        <w:rPr>
          <w:rFonts w:ascii="Arial" w:hAnsi="Arial" w:cs="Arial"/>
        </w:rPr>
        <w:t>(4), 1015–1046. https://doi.org/10.1080/07421222.2020.1831772</w:t>
      </w:r>
    </w:p>
    <w:p w14:paraId="46A2366F"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McKnight, H., &amp; Carter, M. (2009). </w:t>
      </w:r>
      <w:r w:rsidRPr="00AD3FBB">
        <w:rPr>
          <w:rFonts w:ascii="Arial" w:hAnsi="Arial" w:cs="Arial"/>
          <w:i/>
          <w:iCs/>
        </w:rPr>
        <w:t>TRUST IN TECHNOLOGY: DEVELOPMENT OF A SET OF CONSTRUCTS AND MEASURES</w:t>
      </w:r>
      <w:r w:rsidRPr="00AD3FBB">
        <w:rPr>
          <w:rFonts w:ascii="Arial" w:hAnsi="Arial" w:cs="Arial"/>
        </w:rPr>
        <w:t>.</w:t>
      </w:r>
    </w:p>
    <w:p w14:paraId="580F2913"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Noerchoidah, N., &amp; Suhardiyah, M. (2025). Optimization of Digital Literacy Knowledge Sharing and Human Capital on Digital Economy for MSMEs Business Sustainability. </w:t>
      </w:r>
      <w:r w:rsidRPr="00AD3FBB">
        <w:rPr>
          <w:rFonts w:ascii="Arial" w:hAnsi="Arial" w:cs="Arial"/>
          <w:i/>
          <w:iCs/>
        </w:rPr>
        <w:t>International Journal of Human Capital and Information Technology Professionals</w:t>
      </w:r>
      <w:r w:rsidRPr="00AD3FBB">
        <w:rPr>
          <w:rFonts w:ascii="Arial" w:hAnsi="Arial" w:cs="Arial"/>
        </w:rPr>
        <w:t xml:space="preserve">, </w:t>
      </w:r>
      <w:r w:rsidRPr="00AD3FBB">
        <w:rPr>
          <w:rFonts w:ascii="Arial" w:hAnsi="Arial" w:cs="Arial"/>
          <w:i/>
          <w:iCs/>
        </w:rPr>
        <w:t>16</w:t>
      </w:r>
      <w:r w:rsidRPr="00AD3FBB">
        <w:rPr>
          <w:rFonts w:ascii="Arial" w:hAnsi="Arial" w:cs="Arial"/>
        </w:rPr>
        <w:t>(1).</w:t>
      </w:r>
    </w:p>
    <w:p w14:paraId="58A79531"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Noerchoidah, N., Suhardiyah, M., Nurcahyanie, Y. D., &amp; Sawitri, A. P. (1 C.E.). Optimization of Digital Literacy Knowledge Sharing and Human Capital on Digital Economy for MSMEs Business Sustainability. </w:t>
      </w:r>
      <w:r w:rsidRPr="00AD3FBB">
        <w:rPr>
          <w:rFonts w:ascii="Arial" w:hAnsi="Arial" w:cs="Arial"/>
          <w:i/>
          <w:iCs/>
        </w:rPr>
        <w:t>Https://Services.Igi-Global.Com/Resolvedoi/Resolve.Aspx?Doi=10.4018/IJHCITP.368715</w:t>
      </w:r>
      <w:r w:rsidRPr="00AD3FBB">
        <w:rPr>
          <w:rFonts w:ascii="Arial" w:hAnsi="Arial" w:cs="Arial"/>
        </w:rPr>
        <w:t>. https://www.igi-global.com/article/optimization-of-digital-literacy-knowledge-sharing-and-human-capital-on-digital-economy-for-msmes-business-sustainability/www.igi-global.com/article/optimization-of-digital-literacy-knowledge-sharing-and-human-capital-on-digital-economy-for-msmes-business-sustainability/368715</w:t>
      </w:r>
    </w:p>
    <w:p w14:paraId="30136A18"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OECD, O. (2021, February 3). </w:t>
      </w:r>
      <w:r w:rsidRPr="00AD3FBB">
        <w:rPr>
          <w:rFonts w:ascii="Arial" w:hAnsi="Arial" w:cs="Arial"/>
          <w:i/>
          <w:iCs/>
        </w:rPr>
        <w:t>The Digital Transformation of SMEs</w:t>
      </w:r>
      <w:r w:rsidRPr="00AD3FBB">
        <w:rPr>
          <w:rFonts w:ascii="Arial" w:hAnsi="Arial" w:cs="Arial"/>
        </w:rPr>
        <w:t>. OECD. https://www.oecd.org/en/publications/the-digital-transformation-of-smes_bdb9256a-en.html</w:t>
      </w:r>
    </w:p>
    <w:p w14:paraId="73D9E6C5"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OECD, O. (2022). </w:t>
      </w:r>
      <w:r w:rsidRPr="00AD3FBB">
        <w:rPr>
          <w:rFonts w:ascii="Arial" w:hAnsi="Arial" w:cs="Arial"/>
          <w:i/>
          <w:iCs/>
        </w:rPr>
        <w:t>SMEs and entrepreneurship</w:t>
      </w:r>
      <w:r w:rsidRPr="00AD3FBB">
        <w:rPr>
          <w:rFonts w:ascii="Arial" w:hAnsi="Arial" w:cs="Arial"/>
        </w:rPr>
        <w:t>. OECD. https://www.oecd.org/en/topics/smes-and-entrepreneurship.html</w:t>
      </w:r>
    </w:p>
    <w:p w14:paraId="0976FB6C"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Purnami, A. A. S., Trisnadewi, A. A. E., &amp; Putra, I. G. L. (2022). The Role Of Innovation Capability In Mediation Of Social Capital Relationship And Entrepreneurship Leadership To Sme Performance In Denpasar City. </w:t>
      </w:r>
      <w:r w:rsidRPr="00AD3FBB">
        <w:rPr>
          <w:rFonts w:ascii="Arial" w:hAnsi="Arial" w:cs="Arial"/>
          <w:i/>
          <w:iCs/>
        </w:rPr>
        <w:t>International Journal of Progressive Sciences and Technologies</w:t>
      </w:r>
      <w:r w:rsidRPr="00AD3FBB">
        <w:rPr>
          <w:rFonts w:ascii="Arial" w:hAnsi="Arial" w:cs="Arial"/>
        </w:rPr>
        <w:t xml:space="preserve">, </w:t>
      </w:r>
      <w:r w:rsidRPr="00AD3FBB">
        <w:rPr>
          <w:rFonts w:ascii="Arial" w:hAnsi="Arial" w:cs="Arial"/>
          <w:i/>
          <w:iCs/>
        </w:rPr>
        <w:t>35</w:t>
      </w:r>
      <w:r w:rsidRPr="00AD3FBB">
        <w:rPr>
          <w:rFonts w:ascii="Arial" w:hAnsi="Arial" w:cs="Arial"/>
        </w:rPr>
        <w:t>(1), Article 1. https://doi.org/10.52155/ijpsat.v35.1.4702</w:t>
      </w:r>
    </w:p>
    <w:p w14:paraId="3498086C"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Puteri, D. A., &amp; Asyari, A. (2023). </w:t>
      </w:r>
      <w:r w:rsidRPr="00AD3FBB">
        <w:rPr>
          <w:rFonts w:ascii="Arial" w:hAnsi="Arial" w:cs="Arial"/>
          <w:i/>
          <w:iCs/>
        </w:rPr>
        <w:t>The Effect of Digital Transformation On The Revitalization of Msmes In Pandemi Time With Digital Literacy As An Intervening Variable (Case Study of Micro Enterprises in the City of Bukittinggi) | Islamic Banking: Jurnal Pemikiran dan Pengembangan Perbankan Syariah</w:t>
      </w:r>
      <w:r w:rsidRPr="00AD3FBB">
        <w:rPr>
          <w:rFonts w:ascii="Arial" w:hAnsi="Arial" w:cs="Arial"/>
        </w:rPr>
        <w:t>. https://ejournal.stebisigm.ac.id/index.php/isbank/article/view/695</w:t>
      </w:r>
    </w:p>
    <w:p w14:paraId="4787D4D3" w14:textId="1B6CB98C"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Qing, C., &amp; Jin, S. (2023). </w:t>
      </w:r>
      <w:r w:rsidRPr="00AD3FBB">
        <w:rPr>
          <w:rFonts w:ascii="Arial" w:hAnsi="Arial" w:cs="Arial"/>
          <w:i/>
          <w:iCs/>
        </w:rPr>
        <w:t>Does ESG and Digital Transformation affects Corporate Sustainability? The Moderating role of Green Innovation</w:t>
      </w:r>
      <w:r w:rsidRPr="00AD3FBB">
        <w:rPr>
          <w:rFonts w:ascii="Arial" w:hAnsi="Arial" w:cs="Arial"/>
        </w:rPr>
        <w:t xml:space="preserve"> (arXiv:2311.18351). arXiv. https://doi.org/10.48550/arXiv.2311.18351</w:t>
      </w:r>
    </w:p>
    <w:p w14:paraId="40FC8855"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Qing, C., &amp; Jin, S. (2023b). </w:t>
      </w:r>
      <w:r w:rsidRPr="00AD3FBB">
        <w:rPr>
          <w:rFonts w:ascii="Arial" w:hAnsi="Arial" w:cs="Arial"/>
          <w:i/>
          <w:iCs/>
        </w:rPr>
        <w:t>Does ESG and Digital Transformation affects Corporate Sustainability? The Moderating role of Green Innovation</w:t>
      </w:r>
      <w:r w:rsidRPr="00AD3FBB">
        <w:rPr>
          <w:rFonts w:ascii="Arial" w:hAnsi="Arial" w:cs="Arial"/>
        </w:rPr>
        <w:t xml:space="preserve"> (arXiv:2311.18351). arXiv. https://doi.org/10.48550/arXiv.2311.18351</w:t>
      </w:r>
    </w:p>
    <w:p w14:paraId="3306EB03"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Rai, K., Dua, S., &amp; Yadav, M. (2019). Association of Financial Attitude, Financial Behaviour and Financial Knowledge Towards Financial Literacy: A Structural Equation Modeling Approach. </w:t>
      </w:r>
      <w:r w:rsidRPr="00AD3FBB">
        <w:rPr>
          <w:rFonts w:ascii="Arial" w:hAnsi="Arial" w:cs="Arial"/>
          <w:i/>
          <w:iCs/>
        </w:rPr>
        <w:t>FIIB Business Review</w:t>
      </w:r>
      <w:r w:rsidRPr="00AD3FBB">
        <w:rPr>
          <w:rFonts w:ascii="Arial" w:hAnsi="Arial" w:cs="Arial"/>
        </w:rPr>
        <w:t xml:space="preserve">, </w:t>
      </w:r>
      <w:r w:rsidRPr="00AD3FBB">
        <w:rPr>
          <w:rFonts w:ascii="Arial" w:hAnsi="Arial" w:cs="Arial"/>
          <w:i/>
          <w:iCs/>
        </w:rPr>
        <w:t>8</w:t>
      </w:r>
      <w:r w:rsidRPr="00AD3FBB">
        <w:rPr>
          <w:rFonts w:ascii="Arial" w:hAnsi="Arial" w:cs="Arial"/>
        </w:rPr>
        <w:t>(1), 51–60. https://doi.org/10.1177/2319714519826651</w:t>
      </w:r>
    </w:p>
    <w:p w14:paraId="2B72AC88"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Ransbotham, R. (2020). </w:t>
      </w:r>
      <w:r w:rsidRPr="00AD3FBB">
        <w:rPr>
          <w:rFonts w:ascii="Arial" w:hAnsi="Arial" w:cs="Arial"/>
          <w:i/>
          <w:iCs/>
        </w:rPr>
        <w:t>Expanding AI’s Impact with Organizational Learning—Article—Faculty &amp; Research—Harvard Business School</w:t>
      </w:r>
      <w:r w:rsidRPr="00AD3FBB">
        <w:rPr>
          <w:rFonts w:ascii="Arial" w:hAnsi="Arial" w:cs="Arial"/>
        </w:rPr>
        <w:t>. https://www.hbs.edu/faculty/Pages/item.aspx?num=63842</w:t>
      </w:r>
    </w:p>
    <w:p w14:paraId="69519A19"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ROGERS, E. M., SINGHAL, A., &amp; QUINLAN, M. M. (2008). Diffusion of Innovations. In </w:t>
      </w:r>
      <w:r w:rsidRPr="00AD3FBB">
        <w:rPr>
          <w:rFonts w:ascii="Arial" w:hAnsi="Arial" w:cs="Arial"/>
          <w:i/>
          <w:iCs/>
        </w:rPr>
        <w:t>An Integrated Approach to Communication Theory and Research</w:t>
      </w:r>
      <w:r w:rsidRPr="00AD3FBB">
        <w:rPr>
          <w:rFonts w:ascii="Arial" w:hAnsi="Arial" w:cs="Arial"/>
        </w:rPr>
        <w:t xml:space="preserve"> (2nd ed.). Routledge.</w:t>
      </w:r>
    </w:p>
    <w:p w14:paraId="7A918FDD"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Teece, D. J. (2007). Explicating Dynamic Capabilities: The Nature and Microfoundations of (Sustainable) Enterprise Performance. </w:t>
      </w:r>
      <w:r w:rsidRPr="00AD3FBB">
        <w:rPr>
          <w:rFonts w:ascii="Arial" w:hAnsi="Arial" w:cs="Arial"/>
          <w:i/>
          <w:iCs/>
        </w:rPr>
        <w:t>Strategic Management Journal</w:t>
      </w:r>
      <w:r w:rsidRPr="00AD3FBB">
        <w:rPr>
          <w:rFonts w:ascii="Arial" w:hAnsi="Arial" w:cs="Arial"/>
        </w:rPr>
        <w:t xml:space="preserve">, </w:t>
      </w:r>
      <w:r w:rsidRPr="00AD3FBB">
        <w:rPr>
          <w:rFonts w:ascii="Arial" w:hAnsi="Arial" w:cs="Arial"/>
          <w:i/>
          <w:iCs/>
        </w:rPr>
        <w:t>28</w:t>
      </w:r>
      <w:r w:rsidRPr="00AD3FBB">
        <w:rPr>
          <w:rFonts w:ascii="Arial" w:hAnsi="Arial" w:cs="Arial"/>
        </w:rPr>
        <w:t>(13), 1319–1350.</w:t>
      </w:r>
    </w:p>
    <w:p w14:paraId="3D4908DF"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Teece, D. J., Pisano, G., &amp; Shuen, A. (1997). Dynamic Capabilities and Strategic Management. </w:t>
      </w:r>
      <w:r w:rsidRPr="00AD3FBB">
        <w:rPr>
          <w:rFonts w:ascii="Arial" w:hAnsi="Arial" w:cs="Arial"/>
          <w:i/>
          <w:iCs/>
        </w:rPr>
        <w:t>Strategic Management Journal</w:t>
      </w:r>
      <w:r w:rsidRPr="00AD3FBB">
        <w:rPr>
          <w:rFonts w:ascii="Arial" w:hAnsi="Arial" w:cs="Arial"/>
        </w:rPr>
        <w:t xml:space="preserve">, </w:t>
      </w:r>
      <w:r w:rsidRPr="00AD3FBB">
        <w:rPr>
          <w:rFonts w:ascii="Arial" w:hAnsi="Arial" w:cs="Arial"/>
          <w:i/>
          <w:iCs/>
        </w:rPr>
        <w:t>18</w:t>
      </w:r>
      <w:r w:rsidRPr="00AD3FBB">
        <w:rPr>
          <w:rFonts w:ascii="Arial" w:hAnsi="Arial" w:cs="Arial"/>
        </w:rPr>
        <w:t>(7), 509–533.</w:t>
      </w:r>
    </w:p>
    <w:p w14:paraId="35E628F5"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UKM, D. K. &amp;. (n.d.). </w:t>
      </w:r>
      <w:r w:rsidRPr="00AD3FBB">
        <w:rPr>
          <w:rFonts w:ascii="Arial" w:hAnsi="Arial" w:cs="Arial"/>
          <w:i/>
          <w:iCs/>
        </w:rPr>
        <w:t>SATU DATA - DINAS KOPERASI DAN UKM JATIM</w:t>
      </w:r>
      <w:r w:rsidRPr="00AD3FBB">
        <w:rPr>
          <w:rFonts w:ascii="Arial" w:hAnsi="Arial" w:cs="Arial"/>
        </w:rPr>
        <w:t>. Retrieved August 6, 2025, from https://data.diskopukm.jatimprov.go.id/satu_data/</w:t>
      </w:r>
    </w:p>
    <w:p w14:paraId="59BDFF97"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UNESCO, U. (2021). </w:t>
      </w:r>
      <w:r w:rsidRPr="00AD3FBB">
        <w:rPr>
          <w:rFonts w:ascii="Arial" w:hAnsi="Arial" w:cs="Arial"/>
          <w:i/>
          <w:iCs/>
        </w:rPr>
        <w:t>AI and education: Guidance for policy-makers—UNESCO Digital Library</w:t>
      </w:r>
      <w:r w:rsidRPr="00AD3FBB">
        <w:rPr>
          <w:rFonts w:ascii="Arial" w:hAnsi="Arial" w:cs="Arial"/>
        </w:rPr>
        <w:t>. https://unesdoc.unesco.org/ark:/48223/pf0000376709</w:t>
      </w:r>
    </w:p>
    <w:p w14:paraId="690333B9"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Venkatesh, V., Thong, J. Y. L., &amp; Xu, X. (2012). Consumer Acceptance and Use of Information Technology: Extending the Unified Theory of Acceptance and Use of Technology. </w:t>
      </w:r>
      <w:r w:rsidRPr="00AD3FBB">
        <w:rPr>
          <w:rFonts w:ascii="Arial" w:hAnsi="Arial" w:cs="Arial"/>
          <w:i/>
          <w:iCs/>
        </w:rPr>
        <w:t>MIS Quarterly</w:t>
      </w:r>
      <w:r w:rsidRPr="00AD3FBB">
        <w:rPr>
          <w:rFonts w:ascii="Arial" w:hAnsi="Arial" w:cs="Arial"/>
        </w:rPr>
        <w:t xml:space="preserve">, </w:t>
      </w:r>
      <w:r w:rsidRPr="00AD3FBB">
        <w:rPr>
          <w:rFonts w:ascii="Arial" w:hAnsi="Arial" w:cs="Arial"/>
          <w:i/>
          <w:iCs/>
        </w:rPr>
        <w:t>36</w:t>
      </w:r>
      <w:r w:rsidRPr="00AD3FBB">
        <w:rPr>
          <w:rFonts w:ascii="Arial" w:hAnsi="Arial" w:cs="Arial"/>
        </w:rPr>
        <w:t>(1), 157–178. https://doi.org/10.2307/41410412</w:t>
      </w:r>
    </w:p>
    <w:p w14:paraId="3AE42151"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Verdiana, Y. Q., &amp; Fachir, Z. A. (2023). </w:t>
      </w:r>
      <w:r w:rsidRPr="00AD3FBB">
        <w:rPr>
          <w:rFonts w:ascii="Arial" w:hAnsi="Arial" w:cs="Arial"/>
          <w:i/>
          <w:iCs/>
        </w:rPr>
        <w:t>The Growth Role of Artificial Intelligence (AI) in Strategy Management in UMKM</w:t>
      </w:r>
      <w:r w:rsidRPr="00AD3FBB">
        <w:rPr>
          <w:rFonts w:ascii="Arial" w:hAnsi="Arial" w:cs="Arial"/>
        </w:rPr>
        <w:t xml:space="preserve">. </w:t>
      </w:r>
      <w:r w:rsidRPr="00AD3FBB">
        <w:rPr>
          <w:rFonts w:ascii="Arial" w:hAnsi="Arial" w:cs="Arial"/>
          <w:i/>
          <w:iCs/>
        </w:rPr>
        <w:t>2</w:t>
      </w:r>
      <w:r w:rsidRPr="00AD3FBB">
        <w:rPr>
          <w:rFonts w:ascii="Arial" w:hAnsi="Arial" w:cs="Arial"/>
        </w:rPr>
        <w:t>(2).</w:t>
      </w:r>
    </w:p>
    <w:p w14:paraId="5CDEE37C"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Wamba, S. F., Gunasekaran, A., Akter, S., Ren, S. J., Dubey, R., &amp; Childe, S. J. (2017). Big data analytics and firm performance: Effects of dynamic capabilities. </w:t>
      </w:r>
      <w:r w:rsidRPr="00AD3FBB">
        <w:rPr>
          <w:rFonts w:ascii="Arial" w:hAnsi="Arial" w:cs="Arial"/>
          <w:i/>
          <w:iCs/>
        </w:rPr>
        <w:t>Journal of Business Research</w:t>
      </w:r>
      <w:r w:rsidRPr="00AD3FBB">
        <w:rPr>
          <w:rFonts w:ascii="Arial" w:hAnsi="Arial" w:cs="Arial"/>
        </w:rPr>
        <w:t xml:space="preserve">, </w:t>
      </w:r>
      <w:r w:rsidRPr="00AD3FBB">
        <w:rPr>
          <w:rFonts w:ascii="Arial" w:hAnsi="Arial" w:cs="Arial"/>
          <w:i/>
          <w:iCs/>
        </w:rPr>
        <w:t>70</w:t>
      </w:r>
      <w:r w:rsidRPr="00AD3FBB">
        <w:rPr>
          <w:rFonts w:ascii="Arial" w:hAnsi="Arial" w:cs="Arial"/>
        </w:rPr>
        <w:t>, 356–365. https://doi.org/10.1016/j.jbusres.2016.08.009</w:t>
      </w:r>
    </w:p>
    <w:p w14:paraId="34987F61" w14:textId="78C98180" w:rsidR="00154047" w:rsidRPr="008B0387" w:rsidRDefault="00154047" w:rsidP="00F201B1">
      <w:pPr>
        <w:keepNext/>
        <w:pBdr>
          <w:top w:val="nil"/>
          <w:left w:val="nil"/>
          <w:bottom w:val="nil"/>
          <w:right w:val="nil"/>
          <w:between w:val="nil"/>
        </w:pBdr>
        <w:ind w:left="426" w:hanging="426"/>
        <w:jc w:val="both"/>
        <w:rPr>
          <w:rFonts w:ascii="Arial" w:eastAsia="Arial" w:hAnsi="Arial" w:cs="Arial"/>
          <w:smallCaps/>
          <w:color w:val="000000"/>
          <w:sz w:val="22"/>
          <w:szCs w:val="22"/>
        </w:rPr>
      </w:pPr>
      <w:r w:rsidRPr="008B0387">
        <w:rPr>
          <w:rFonts w:ascii="Arial" w:eastAsia="Arial" w:hAnsi="Arial" w:cs="Arial"/>
          <w:smallCaps/>
          <w:color w:val="000000"/>
        </w:rPr>
        <w:fldChar w:fldCharType="end"/>
      </w:r>
    </w:p>
    <w:p w14:paraId="0DA38671" w14:textId="77777777" w:rsidR="00154047" w:rsidRPr="008B0387" w:rsidRDefault="00154047" w:rsidP="00F201B1">
      <w:pPr>
        <w:pBdr>
          <w:top w:val="nil"/>
          <w:left w:val="nil"/>
          <w:bottom w:val="nil"/>
          <w:right w:val="nil"/>
          <w:between w:val="nil"/>
        </w:pBdr>
        <w:ind w:left="426" w:hanging="426"/>
        <w:jc w:val="both"/>
        <w:rPr>
          <w:rFonts w:ascii="Arial" w:eastAsia="Arial" w:hAnsi="Arial" w:cs="Arial"/>
        </w:rPr>
      </w:pPr>
    </w:p>
    <w:p w14:paraId="0E2B55D7" w14:textId="2F88C371" w:rsidR="00154047" w:rsidRPr="008B0387" w:rsidRDefault="00154047" w:rsidP="00F7479B">
      <w:pPr>
        <w:pBdr>
          <w:top w:val="nil"/>
          <w:left w:val="nil"/>
          <w:bottom w:val="nil"/>
          <w:right w:val="nil"/>
          <w:between w:val="nil"/>
        </w:pBdr>
        <w:ind w:left="426" w:hanging="426"/>
        <w:jc w:val="both"/>
        <w:rPr>
          <w:rFonts w:ascii="Arial" w:eastAsia="Arial" w:hAnsi="Arial" w:cs="Arial"/>
        </w:rPr>
      </w:pPr>
    </w:p>
    <w:p w14:paraId="2CBE9194" w14:textId="25E3B834" w:rsidR="00154047" w:rsidRPr="008B0387" w:rsidRDefault="00154047" w:rsidP="00F7479B">
      <w:pPr>
        <w:pBdr>
          <w:top w:val="nil"/>
          <w:left w:val="nil"/>
          <w:bottom w:val="nil"/>
          <w:right w:val="nil"/>
          <w:between w:val="nil"/>
        </w:pBdr>
        <w:ind w:left="426" w:hanging="426"/>
        <w:jc w:val="both"/>
        <w:rPr>
          <w:rFonts w:ascii="Arial" w:eastAsia="Arial" w:hAnsi="Arial" w:cs="Arial"/>
        </w:rPr>
      </w:pPr>
    </w:p>
    <w:p w14:paraId="3645FF04" w14:textId="77777777" w:rsidR="00ED6F04" w:rsidRDefault="00ED6F04" w:rsidP="00F7479B">
      <w:pPr>
        <w:pBdr>
          <w:top w:val="nil"/>
          <w:left w:val="nil"/>
          <w:bottom w:val="nil"/>
          <w:right w:val="nil"/>
          <w:between w:val="nil"/>
        </w:pBdr>
        <w:ind w:left="426" w:hanging="426"/>
        <w:jc w:val="both"/>
        <w:rPr>
          <w:rFonts w:ascii="Arial" w:eastAsia="Arial" w:hAnsi="Arial" w:cs="Arial"/>
          <w:b/>
          <w:bCs/>
        </w:rPr>
        <w:sectPr w:rsidR="00ED6F04" w:rsidSect="00CF5AD7">
          <w:type w:val="continuous"/>
          <w:pgSz w:w="12240" w:h="15840"/>
          <w:pgMar w:top="1440" w:right="1440" w:bottom="1440" w:left="1440" w:header="720" w:footer="720" w:gutter="0"/>
          <w:cols w:num="2" w:space="720"/>
          <w:docGrid w:linePitch="272"/>
        </w:sectPr>
      </w:pPr>
    </w:p>
    <w:p w14:paraId="0F055161" w14:textId="77777777" w:rsidR="00181192" w:rsidRDefault="00181192" w:rsidP="00F7479B">
      <w:pPr>
        <w:pBdr>
          <w:top w:val="nil"/>
          <w:left w:val="nil"/>
          <w:bottom w:val="nil"/>
          <w:right w:val="nil"/>
          <w:between w:val="nil"/>
        </w:pBdr>
        <w:ind w:left="426" w:hanging="426"/>
        <w:jc w:val="both"/>
        <w:rPr>
          <w:rFonts w:ascii="Arial" w:eastAsia="Arial" w:hAnsi="Arial" w:cs="Arial"/>
          <w:b/>
          <w:bCs/>
        </w:rPr>
      </w:pPr>
    </w:p>
    <w:p w14:paraId="2C1E69C6" w14:textId="77D705C5" w:rsidR="00154047" w:rsidRPr="00181192" w:rsidRDefault="009B1512" w:rsidP="00F7479B">
      <w:pPr>
        <w:pBdr>
          <w:top w:val="nil"/>
          <w:left w:val="nil"/>
          <w:bottom w:val="nil"/>
          <w:right w:val="nil"/>
          <w:between w:val="nil"/>
        </w:pBdr>
        <w:ind w:left="426" w:hanging="426"/>
        <w:jc w:val="both"/>
        <w:rPr>
          <w:rFonts w:ascii="Arial" w:eastAsia="Arial" w:hAnsi="Arial" w:cs="Arial"/>
          <w:b/>
          <w:bCs/>
          <w:sz w:val="22"/>
          <w:szCs w:val="22"/>
        </w:rPr>
      </w:pPr>
      <w:r w:rsidRPr="00181192">
        <w:rPr>
          <w:rFonts w:ascii="Arial" w:eastAsia="Arial" w:hAnsi="Arial" w:cs="Arial"/>
          <w:b/>
          <w:bCs/>
          <w:sz w:val="22"/>
          <w:szCs w:val="22"/>
        </w:rPr>
        <w:t>APENDIX</w:t>
      </w:r>
    </w:p>
    <w:p w14:paraId="36C8E45C" w14:textId="2F070E79" w:rsidR="00154047" w:rsidRDefault="00154047" w:rsidP="00181192">
      <w:pPr>
        <w:pBdr>
          <w:top w:val="nil"/>
          <w:left w:val="nil"/>
          <w:bottom w:val="nil"/>
          <w:right w:val="nil"/>
          <w:between w:val="nil"/>
        </w:pBdr>
        <w:jc w:val="both"/>
        <w:rPr>
          <w:rFonts w:ascii="Arial" w:eastAsia="Arial" w:hAnsi="Arial" w:cs="Arial"/>
        </w:rPr>
      </w:pPr>
    </w:p>
    <w:tbl>
      <w:tblPr>
        <w:tblpPr w:leftFromText="180" w:rightFromText="180" w:vertAnchor="text" w:horzAnchor="margin"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1788"/>
        <w:gridCol w:w="2040"/>
        <w:gridCol w:w="1135"/>
        <w:gridCol w:w="2246"/>
      </w:tblGrid>
      <w:tr w:rsidR="009B1512" w:rsidRPr="008B0387" w14:paraId="0AF74C1F" w14:textId="77777777" w:rsidTr="00ED6F04">
        <w:trPr>
          <w:trHeight w:val="551"/>
        </w:trPr>
        <w:tc>
          <w:tcPr>
            <w:tcW w:w="0" w:type="auto"/>
            <w:tcBorders>
              <w:bottom w:val="single" w:sz="4" w:space="0" w:color="auto"/>
            </w:tcBorders>
            <w:vAlign w:val="center"/>
            <w:hideMark/>
          </w:tcPr>
          <w:p w14:paraId="230FEAF7" w14:textId="77777777" w:rsidR="00331700" w:rsidRPr="008B0387" w:rsidRDefault="00331700" w:rsidP="00836B03">
            <w:pPr>
              <w:pBdr>
                <w:top w:val="nil"/>
                <w:left w:val="nil"/>
                <w:bottom w:val="nil"/>
                <w:right w:val="nil"/>
                <w:between w:val="nil"/>
              </w:pBdr>
              <w:jc w:val="both"/>
              <w:rPr>
                <w:rFonts w:ascii="Arial" w:eastAsia="Arial" w:hAnsi="Arial" w:cs="Arial"/>
                <w:b/>
                <w:bCs/>
                <w:lang w:val="en-ID"/>
              </w:rPr>
            </w:pPr>
            <w:r w:rsidRPr="008B0387">
              <w:rPr>
                <w:rFonts w:ascii="Arial" w:eastAsia="Arial" w:hAnsi="Arial" w:cs="Arial"/>
                <w:b/>
                <w:bCs/>
                <w:lang w:val="en-ID"/>
              </w:rPr>
              <w:t> </w:t>
            </w:r>
          </w:p>
        </w:tc>
        <w:tc>
          <w:tcPr>
            <w:tcW w:w="0" w:type="auto"/>
            <w:tcBorders>
              <w:bottom w:val="single" w:sz="4" w:space="0" w:color="auto"/>
            </w:tcBorders>
            <w:vAlign w:val="center"/>
            <w:hideMark/>
          </w:tcPr>
          <w:p w14:paraId="34B5BF20" w14:textId="77777777" w:rsidR="00331700" w:rsidRPr="008B0387" w:rsidRDefault="00331700" w:rsidP="00836B03">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Innovation Capability</w:t>
            </w:r>
          </w:p>
        </w:tc>
        <w:tc>
          <w:tcPr>
            <w:tcW w:w="0" w:type="auto"/>
            <w:tcBorders>
              <w:bottom w:val="single" w:sz="4" w:space="0" w:color="auto"/>
            </w:tcBorders>
            <w:vAlign w:val="center"/>
            <w:hideMark/>
          </w:tcPr>
          <w:p w14:paraId="3B720DB6" w14:textId="77777777" w:rsidR="00331700" w:rsidRPr="008B0387" w:rsidRDefault="00331700" w:rsidP="00836B03">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Business Sustainability</w:t>
            </w:r>
          </w:p>
        </w:tc>
        <w:tc>
          <w:tcPr>
            <w:tcW w:w="0" w:type="auto"/>
            <w:tcBorders>
              <w:bottom w:val="single" w:sz="4" w:space="0" w:color="auto"/>
            </w:tcBorders>
            <w:vAlign w:val="center"/>
            <w:hideMark/>
          </w:tcPr>
          <w:p w14:paraId="2184C5DA" w14:textId="77777777" w:rsidR="00331700" w:rsidRPr="008B0387" w:rsidRDefault="00331700" w:rsidP="00836B03">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Digital Trust</w:t>
            </w:r>
          </w:p>
        </w:tc>
        <w:tc>
          <w:tcPr>
            <w:tcW w:w="0" w:type="auto"/>
            <w:tcBorders>
              <w:bottom w:val="single" w:sz="4" w:space="0" w:color="auto"/>
            </w:tcBorders>
            <w:vAlign w:val="center"/>
            <w:hideMark/>
          </w:tcPr>
          <w:p w14:paraId="7DA701A7" w14:textId="77777777" w:rsidR="00331700" w:rsidRPr="008B0387" w:rsidRDefault="00331700" w:rsidP="00836B03">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Artificial Intelligence Literacy</w:t>
            </w:r>
          </w:p>
        </w:tc>
      </w:tr>
      <w:tr w:rsidR="009B1512" w:rsidRPr="008B0387" w14:paraId="7E168DDF" w14:textId="77777777" w:rsidTr="00ED6F04">
        <w:trPr>
          <w:trHeight w:val="137"/>
        </w:trPr>
        <w:tc>
          <w:tcPr>
            <w:tcW w:w="0" w:type="auto"/>
            <w:tcBorders>
              <w:bottom w:val="nil"/>
              <w:right w:val="nil"/>
            </w:tcBorders>
            <w:vAlign w:val="center"/>
            <w:hideMark/>
          </w:tcPr>
          <w:p w14:paraId="4C2FFCD4" w14:textId="77777777" w:rsidR="00331700" w:rsidRPr="008B0387" w:rsidRDefault="00331700" w:rsidP="00836B03">
            <w:pPr>
              <w:pBdr>
                <w:top w:val="nil"/>
                <w:left w:val="nil"/>
                <w:bottom w:val="nil"/>
                <w:right w:val="nil"/>
                <w:between w:val="nil"/>
              </w:pBdr>
              <w:jc w:val="both"/>
              <w:rPr>
                <w:rFonts w:ascii="Arial" w:eastAsia="Arial" w:hAnsi="Arial" w:cs="Arial"/>
                <w:i/>
                <w:iCs/>
                <w:lang w:val="en-ID"/>
              </w:rPr>
            </w:pPr>
            <w:r w:rsidRPr="008B0387">
              <w:rPr>
                <w:rFonts w:ascii="Arial" w:eastAsia="Arial" w:hAnsi="Arial" w:cs="Arial"/>
                <w:i/>
                <w:iCs/>
                <w:lang w:val="en-ID"/>
              </w:rPr>
              <w:t>Innovation Capability</w:t>
            </w:r>
          </w:p>
        </w:tc>
        <w:tc>
          <w:tcPr>
            <w:tcW w:w="0" w:type="auto"/>
            <w:tcBorders>
              <w:left w:val="nil"/>
              <w:bottom w:val="nil"/>
              <w:right w:val="nil"/>
            </w:tcBorders>
            <w:vAlign w:val="center"/>
            <w:hideMark/>
          </w:tcPr>
          <w:p w14:paraId="68033A5D" w14:textId="77777777" w:rsidR="00331700" w:rsidRPr="008B0387" w:rsidRDefault="00331700" w:rsidP="00836B03">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0.884</w:t>
            </w:r>
          </w:p>
        </w:tc>
        <w:tc>
          <w:tcPr>
            <w:tcW w:w="0" w:type="auto"/>
            <w:tcBorders>
              <w:left w:val="nil"/>
              <w:bottom w:val="nil"/>
              <w:right w:val="nil"/>
            </w:tcBorders>
            <w:vAlign w:val="center"/>
            <w:hideMark/>
          </w:tcPr>
          <w:p w14:paraId="5EE2EA75" w14:textId="77777777" w:rsidR="00331700" w:rsidRPr="008B0387" w:rsidRDefault="00331700" w:rsidP="00836B03">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 </w:t>
            </w:r>
          </w:p>
        </w:tc>
        <w:tc>
          <w:tcPr>
            <w:tcW w:w="0" w:type="auto"/>
            <w:tcBorders>
              <w:left w:val="nil"/>
              <w:bottom w:val="nil"/>
              <w:right w:val="nil"/>
            </w:tcBorders>
            <w:vAlign w:val="center"/>
            <w:hideMark/>
          </w:tcPr>
          <w:p w14:paraId="42498131" w14:textId="77777777" w:rsidR="00331700" w:rsidRPr="008B0387" w:rsidRDefault="00331700" w:rsidP="00836B03">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 </w:t>
            </w:r>
          </w:p>
        </w:tc>
        <w:tc>
          <w:tcPr>
            <w:tcW w:w="0" w:type="auto"/>
            <w:tcBorders>
              <w:left w:val="nil"/>
              <w:bottom w:val="nil"/>
            </w:tcBorders>
            <w:vAlign w:val="center"/>
            <w:hideMark/>
          </w:tcPr>
          <w:p w14:paraId="18EE03DA" w14:textId="77777777" w:rsidR="00331700" w:rsidRPr="008B0387" w:rsidRDefault="00331700" w:rsidP="00836B03">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 </w:t>
            </w:r>
          </w:p>
        </w:tc>
      </w:tr>
      <w:tr w:rsidR="009B1512" w:rsidRPr="008B0387" w14:paraId="3FCB8F4D" w14:textId="77777777" w:rsidTr="00ED6F04">
        <w:trPr>
          <w:trHeight w:val="275"/>
        </w:trPr>
        <w:tc>
          <w:tcPr>
            <w:tcW w:w="0" w:type="auto"/>
            <w:tcBorders>
              <w:top w:val="nil"/>
              <w:bottom w:val="nil"/>
              <w:right w:val="nil"/>
            </w:tcBorders>
            <w:vAlign w:val="center"/>
            <w:hideMark/>
          </w:tcPr>
          <w:p w14:paraId="424D8F62" w14:textId="77777777" w:rsidR="00331700" w:rsidRPr="008B0387" w:rsidRDefault="00331700" w:rsidP="00836B03">
            <w:pPr>
              <w:pBdr>
                <w:top w:val="nil"/>
                <w:left w:val="nil"/>
                <w:bottom w:val="nil"/>
                <w:right w:val="nil"/>
                <w:between w:val="nil"/>
              </w:pBdr>
              <w:jc w:val="both"/>
              <w:rPr>
                <w:rFonts w:ascii="Arial" w:eastAsia="Arial" w:hAnsi="Arial" w:cs="Arial"/>
                <w:i/>
                <w:iCs/>
                <w:lang w:val="en-ID"/>
              </w:rPr>
            </w:pPr>
            <w:r w:rsidRPr="008B0387">
              <w:rPr>
                <w:rFonts w:ascii="Arial" w:eastAsia="Arial" w:hAnsi="Arial" w:cs="Arial"/>
                <w:i/>
                <w:iCs/>
                <w:lang w:val="en-ID"/>
              </w:rPr>
              <w:t>Business Sustainability</w:t>
            </w:r>
          </w:p>
        </w:tc>
        <w:tc>
          <w:tcPr>
            <w:tcW w:w="0" w:type="auto"/>
            <w:tcBorders>
              <w:top w:val="nil"/>
              <w:left w:val="nil"/>
              <w:bottom w:val="nil"/>
              <w:right w:val="nil"/>
            </w:tcBorders>
            <w:vAlign w:val="center"/>
            <w:hideMark/>
          </w:tcPr>
          <w:p w14:paraId="348287AE" w14:textId="77777777" w:rsidR="00331700" w:rsidRPr="008B0387" w:rsidRDefault="00331700" w:rsidP="00836B03">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0.889</w:t>
            </w:r>
          </w:p>
        </w:tc>
        <w:tc>
          <w:tcPr>
            <w:tcW w:w="0" w:type="auto"/>
            <w:tcBorders>
              <w:top w:val="nil"/>
              <w:left w:val="nil"/>
              <w:bottom w:val="nil"/>
              <w:right w:val="nil"/>
            </w:tcBorders>
            <w:vAlign w:val="center"/>
            <w:hideMark/>
          </w:tcPr>
          <w:p w14:paraId="0E9BF954" w14:textId="77777777" w:rsidR="00331700" w:rsidRPr="008B0387" w:rsidRDefault="00331700" w:rsidP="00836B03">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0.898</w:t>
            </w:r>
          </w:p>
        </w:tc>
        <w:tc>
          <w:tcPr>
            <w:tcW w:w="0" w:type="auto"/>
            <w:tcBorders>
              <w:top w:val="nil"/>
              <w:left w:val="nil"/>
              <w:bottom w:val="nil"/>
              <w:right w:val="nil"/>
            </w:tcBorders>
            <w:vAlign w:val="center"/>
            <w:hideMark/>
          </w:tcPr>
          <w:p w14:paraId="10B8BA33" w14:textId="77777777" w:rsidR="00331700" w:rsidRPr="008B0387" w:rsidRDefault="00331700" w:rsidP="00836B03">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 </w:t>
            </w:r>
          </w:p>
        </w:tc>
        <w:tc>
          <w:tcPr>
            <w:tcW w:w="0" w:type="auto"/>
            <w:tcBorders>
              <w:top w:val="nil"/>
              <w:left w:val="nil"/>
              <w:bottom w:val="nil"/>
            </w:tcBorders>
            <w:vAlign w:val="center"/>
            <w:hideMark/>
          </w:tcPr>
          <w:p w14:paraId="19CBF03A" w14:textId="77777777" w:rsidR="00331700" w:rsidRPr="008B0387" w:rsidRDefault="00331700" w:rsidP="00836B03">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 </w:t>
            </w:r>
          </w:p>
        </w:tc>
      </w:tr>
      <w:tr w:rsidR="009B1512" w:rsidRPr="008B0387" w14:paraId="67C20F4E" w14:textId="77777777" w:rsidTr="00ED6F04">
        <w:trPr>
          <w:trHeight w:val="137"/>
        </w:trPr>
        <w:tc>
          <w:tcPr>
            <w:tcW w:w="0" w:type="auto"/>
            <w:tcBorders>
              <w:top w:val="nil"/>
              <w:bottom w:val="nil"/>
              <w:right w:val="nil"/>
            </w:tcBorders>
            <w:vAlign w:val="center"/>
            <w:hideMark/>
          </w:tcPr>
          <w:p w14:paraId="7F455995" w14:textId="77777777" w:rsidR="00331700" w:rsidRPr="008B0387" w:rsidRDefault="00331700" w:rsidP="00836B03">
            <w:pPr>
              <w:pBdr>
                <w:top w:val="nil"/>
                <w:left w:val="nil"/>
                <w:bottom w:val="nil"/>
                <w:right w:val="nil"/>
                <w:between w:val="nil"/>
              </w:pBdr>
              <w:jc w:val="both"/>
              <w:rPr>
                <w:rFonts w:ascii="Arial" w:eastAsia="Arial" w:hAnsi="Arial" w:cs="Arial"/>
                <w:i/>
                <w:iCs/>
                <w:lang w:val="en-ID"/>
              </w:rPr>
            </w:pPr>
            <w:r w:rsidRPr="008B0387">
              <w:rPr>
                <w:rFonts w:ascii="Arial" w:eastAsia="Arial" w:hAnsi="Arial" w:cs="Arial"/>
                <w:i/>
                <w:iCs/>
                <w:lang w:val="en-ID"/>
              </w:rPr>
              <w:t>Digital Trust</w:t>
            </w:r>
          </w:p>
        </w:tc>
        <w:tc>
          <w:tcPr>
            <w:tcW w:w="0" w:type="auto"/>
            <w:tcBorders>
              <w:top w:val="nil"/>
              <w:left w:val="nil"/>
              <w:bottom w:val="nil"/>
              <w:right w:val="nil"/>
            </w:tcBorders>
            <w:vAlign w:val="center"/>
            <w:hideMark/>
          </w:tcPr>
          <w:p w14:paraId="228A9674" w14:textId="77777777" w:rsidR="00331700" w:rsidRPr="008B0387" w:rsidRDefault="00331700" w:rsidP="00836B03">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0.759</w:t>
            </w:r>
          </w:p>
        </w:tc>
        <w:tc>
          <w:tcPr>
            <w:tcW w:w="0" w:type="auto"/>
            <w:tcBorders>
              <w:top w:val="nil"/>
              <w:left w:val="nil"/>
              <w:bottom w:val="nil"/>
              <w:right w:val="nil"/>
            </w:tcBorders>
            <w:vAlign w:val="center"/>
            <w:hideMark/>
          </w:tcPr>
          <w:p w14:paraId="39BA9437" w14:textId="77777777" w:rsidR="00331700" w:rsidRPr="008B0387" w:rsidRDefault="00331700" w:rsidP="00836B03">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0.779</w:t>
            </w:r>
          </w:p>
        </w:tc>
        <w:tc>
          <w:tcPr>
            <w:tcW w:w="0" w:type="auto"/>
            <w:tcBorders>
              <w:top w:val="nil"/>
              <w:left w:val="nil"/>
              <w:bottom w:val="nil"/>
              <w:right w:val="nil"/>
            </w:tcBorders>
            <w:vAlign w:val="center"/>
            <w:hideMark/>
          </w:tcPr>
          <w:p w14:paraId="45D4E509" w14:textId="77777777" w:rsidR="00331700" w:rsidRPr="008B0387" w:rsidRDefault="00331700" w:rsidP="00836B03">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0.871</w:t>
            </w:r>
          </w:p>
        </w:tc>
        <w:tc>
          <w:tcPr>
            <w:tcW w:w="0" w:type="auto"/>
            <w:tcBorders>
              <w:top w:val="nil"/>
              <w:left w:val="nil"/>
              <w:bottom w:val="nil"/>
            </w:tcBorders>
            <w:vAlign w:val="center"/>
            <w:hideMark/>
          </w:tcPr>
          <w:p w14:paraId="1363690F" w14:textId="77777777" w:rsidR="00331700" w:rsidRPr="008B0387" w:rsidRDefault="00331700" w:rsidP="00836B03">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 </w:t>
            </w:r>
          </w:p>
        </w:tc>
      </w:tr>
      <w:tr w:rsidR="009B1512" w:rsidRPr="008B0387" w14:paraId="01069CA2" w14:textId="77777777" w:rsidTr="00ED6F04">
        <w:trPr>
          <w:trHeight w:val="275"/>
        </w:trPr>
        <w:tc>
          <w:tcPr>
            <w:tcW w:w="0" w:type="auto"/>
            <w:tcBorders>
              <w:top w:val="nil"/>
              <w:bottom w:val="single" w:sz="4" w:space="0" w:color="auto"/>
              <w:right w:val="nil"/>
            </w:tcBorders>
            <w:vAlign w:val="center"/>
            <w:hideMark/>
          </w:tcPr>
          <w:p w14:paraId="1AD21FA5" w14:textId="77777777" w:rsidR="00331700" w:rsidRPr="008B0387" w:rsidRDefault="00331700" w:rsidP="00836B03">
            <w:pPr>
              <w:pBdr>
                <w:top w:val="nil"/>
                <w:left w:val="nil"/>
                <w:bottom w:val="nil"/>
                <w:right w:val="nil"/>
                <w:between w:val="nil"/>
              </w:pBdr>
              <w:jc w:val="both"/>
              <w:rPr>
                <w:rFonts w:ascii="Arial" w:eastAsia="Arial" w:hAnsi="Arial" w:cs="Arial"/>
                <w:i/>
                <w:iCs/>
                <w:lang w:val="en-ID"/>
              </w:rPr>
            </w:pPr>
            <w:r w:rsidRPr="008B0387">
              <w:rPr>
                <w:rFonts w:ascii="Arial" w:eastAsia="Arial" w:hAnsi="Arial" w:cs="Arial"/>
                <w:i/>
                <w:iCs/>
                <w:lang w:val="en-ID"/>
              </w:rPr>
              <w:t>Artificial Intelligence Literacy</w:t>
            </w:r>
          </w:p>
        </w:tc>
        <w:tc>
          <w:tcPr>
            <w:tcW w:w="0" w:type="auto"/>
            <w:tcBorders>
              <w:top w:val="nil"/>
              <w:left w:val="nil"/>
              <w:bottom w:val="single" w:sz="4" w:space="0" w:color="auto"/>
              <w:right w:val="nil"/>
            </w:tcBorders>
            <w:vAlign w:val="center"/>
            <w:hideMark/>
          </w:tcPr>
          <w:p w14:paraId="0A14BD89" w14:textId="77777777" w:rsidR="00331700" w:rsidRPr="008B0387" w:rsidRDefault="00331700" w:rsidP="00836B03">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0.700</w:t>
            </w:r>
          </w:p>
        </w:tc>
        <w:tc>
          <w:tcPr>
            <w:tcW w:w="0" w:type="auto"/>
            <w:tcBorders>
              <w:top w:val="nil"/>
              <w:left w:val="nil"/>
              <w:bottom w:val="single" w:sz="4" w:space="0" w:color="auto"/>
              <w:right w:val="nil"/>
            </w:tcBorders>
            <w:vAlign w:val="center"/>
            <w:hideMark/>
          </w:tcPr>
          <w:p w14:paraId="58B7D3E9" w14:textId="77777777" w:rsidR="00331700" w:rsidRPr="008B0387" w:rsidRDefault="00331700" w:rsidP="00836B03">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0.636</w:t>
            </w:r>
          </w:p>
        </w:tc>
        <w:tc>
          <w:tcPr>
            <w:tcW w:w="0" w:type="auto"/>
            <w:tcBorders>
              <w:top w:val="nil"/>
              <w:left w:val="nil"/>
              <w:bottom w:val="single" w:sz="4" w:space="0" w:color="auto"/>
              <w:right w:val="nil"/>
            </w:tcBorders>
            <w:vAlign w:val="center"/>
            <w:hideMark/>
          </w:tcPr>
          <w:p w14:paraId="1F4972C1" w14:textId="77777777" w:rsidR="00331700" w:rsidRPr="008B0387" w:rsidRDefault="00331700" w:rsidP="00836B03">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0.381</w:t>
            </w:r>
          </w:p>
        </w:tc>
        <w:tc>
          <w:tcPr>
            <w:tcW w:w="0" w:type="auto"/>
            <w:tcBorders>
              <w:top w:val="nil"/>
              <w:left w:val="nil"/>
              <w:bottom w:val="single" w:sz="4" w:space="0" w:color="auto"/>
            </w:tcBorders>
            <w:vAlign w:val="center"/>
            <w:hideMark/>
          </w:tcPr>
          <w:p w14:paraId="5FC4192C" w14:textId="77777777" w:rsidR="00331700" w:rsidRPr="008B0387" w:rsidRDefault="00331700" w:rsidP="00836B03">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0.886</w:t>
            </w:r>
          </w:p>
        </w:tc>
      </w:tr>
    </w:tbl>
    <w:p w14:paraId="2C34615E" w14:textId="65416DF0" w:rsidR="00ED6F04" w:rsidRPr="008B0387" w:rsidRDefault="00ED6F04" w:rsidP="00ED6F04">
      <w:pPr>
        <w:pBdr>
          <w:top w:val="nil"/>
          <w:left w:val="nil"/>
          <w:bottom w:val="nil"/>
          <w:right w:val="nil"/>
          <w:between w:val="nil"/>
        </w:pBdr>
        <w:jc w:val="center"/>
        <w:rPr>
          <w:rFonts w:ascii="Arial" w:eastAsia="Arial" w:hAnsi="Arial" w:cs="Arial"/>
          <w:b/>
          <w:lang w:val="en-US"/>
        </w:rPr>
      </w:pPr>
      <w:r w:rsidRPr="008B0387">
        <w:rPr>
          <w:rFonts w:ascii="Arial" w:eastAsia="Arial" w:hAnsi="Arial" w:cs="Arial"/>
          <w:b/>
          <w:lang w:val="en-US"/>
        </w:rPr>
        <w:t xml:space="preserve">Table </w:t>
      </w:r>
      <w:r w:rsidR="00B35B23">
        <w:rPr>
          <w:rFonts w:ascii="Arial" w:eastAsia="Arial" w:hAnsi="Arial" w:cs="Arial"/>
          <w:b/>
          <w:lang w:val="en-US"/>
        </w:rPr>
        <w:t>A1</w:t>
      </w:r>
      <w:r w:rsidRPr="008B0387">
        <w:rPr>
          <w:rFonts w:ascii="Arial" w:eastAsia="Arial" w:hAnsi="Arial" w:cs="Arial"/>
          <w:b/>
          <w:lang w:val="en-US"/>
        </w:rPr>
        <w:t>. Fornell-Larcker Criteria</w:t>
      </w:r>
    </w:p>
    <w:p w14:paraId="3CC3152B" w14:textId="77777777" w:rsidR="00331700" w:rsidRPr="008B0387" w:rsidRDefault="00331700" w:rsidP="00C934C1">
      <w:pPr>
        <w:pBdr>
          <w:top w:val="nil"/>
          <w:left w:val="nil"/>
          <w:bottom w:val="nil"/>
          <w:right w:val="nil"/>
          <w:between w:val="nil"/>
        </w:pBdr>
        <w:jc w:val="both"/>
        <w:rPr>
          <w:rFonts w:ascii="Arial" w:eastAsia="Arial" w:hAnsi="Arial" w:cs="Arial"/>
        </w:rPr>
      </w:pPr>
    </w:p>
    <w:p w14:paraId="6DCA3F6D" w14:textId="3E8E77FD" w:rsidR="00154047" w:rsidRPr="008B0387" w:rsidRDefault="00B35B23" w:rsidP="00B35B23">
      <w:pPr>
        <w:pBdr>
          <w:top w:val="nil"/>
          <w:left w:val="nil"/>
          <w:bottom w:val="nil"/>
          <w:right w:val="nil"/>
          <w:between w:val="nil"/>
        </w:pBdr>
        <w:jc w:val="both"/>
        <w:rPr>
          <w:rFonts w:ascii="Arial" w:eastAsia="Arial" w:hAnsi="Arial" w:cs="Arial"/>
        </w:rPr>
      </w:pPr>
      <w:r w:rsidRPr="008B0387">
        <w:rPr>
          <w:rFonts w:ascii="Arial" w:eastAsia="Arial" w:hAnsi="Arial" w:cs="Arial"/>
          <w:bCs/>
          <w:sz w:val="18"/>
          <w:szCs w:val="18"/>
        </w:rPr>
        <w:t>Source: PLS 3 result data, processed (2025)</w:t>
      </w:r>
    </w:p>
    <w:p w14:paraId="5F8379E2" w14:textId="77777777" w:rsidR="00B35B23" w:rsidRDefault="00B35B23" w:rsidP="00C03BF6">
      <w:pPr>
        <w:pBdr>
          <w:top w:val="nil"/>
          <w:left w:val="nil"/>
          <w:bottom w:val="nil"/>
          <w:right w:val="nil"/>
          <w:between w:val="nil"/>
        </w:pBdr>
        <w:jc w:val="center"/>
        <w:rPr>
          <w:rFonts w:ascii="Arial" w:eastAsia="Arial" w:hAnsi="Arial" w:cs="Arial"/>
          <w:b/>
          <w:bCs/>
        </w:rPr>
      </w:pPr>
    </w:p>
    <w:p w14:paraId="0F5D78E6" w14:textId="49E489B3" w:rsidR="00C03BF6" w:rsidRPr="008B0387" w:rsidRDefault="00C03BF6" w:rsidP="00C03BF6">
      <w:pPr>
        <w:pBdr>
          <w:top w:val="nil"/>
          <w:left w:val="nil"/>
          <w:bottom w:val="nil"/>
          <w:right w:val="nil"/>
          <w:between w:val="nil"/>
        </w:pBdr>
        <w:jc w:val="center"/>
        <w:rPr>
          <w:rFonts w:ascii="Arial" w:eastAsia="Arial" w:hAnsi="Arial" w:cs="Arial"/>
          <w:b/>
          <w:bCs/>
          <w:lang w:val="id-ID"/>
        </w:rPr>
      </w:pPr>
      <w:r w:rsidRPr="008B0387">
        <w:rPr>
          <w:rFonts w:ascii="Arial" w:eastAsia="Arial" w:hAnsi="Arial" w:cs="Arial"/>
          <w:b/>
          <w:bCs/>
          <w:lang w:val="id-ID"/>
        </w:rPr>
        <w:t xml:space="preserve">Table </w:t>
      </w:r>
      <w:r w:rsidR="00B35B23">
        <w:rPr>
          <w:rFonts w:ascii="Arial" w:eastAsia="Arial" w:hAnsi="Arial" w:cs="Arial"/>
          <w:b/>
          <w:bCs/>
          <w:lang w:val="en-US"/>
        </w:rPr>
        <w:t>A2</w:t>
      </w:r>
      <w:r w:rsidRPr="008B0387">
        <w:rPr>
          <w:rFonts w:ascii="Arial" w:eastAsia="Arial" w:hAnsi="Arial" w:cs="Arial"/>
          <w:b/>
          <w:bCs/>
          <w:lang w:val="en-US"/>
        </w:rPr>
        <w:t>.</w:t>
      </w:r>
      <w:r w:rsidRPr="008B0387">
        <w:rPr>
          <w:rFonts w:ascii="Arial" w:eastAsia="Arial" w:hAnsi="Arial" w:cs="Arial"/>
          <w:b/>
          <w:bCs/>
          <w:lang w:val="id-ID"/>
        </w:rPr>
        <w:t xml:space="preserve"> Cross Loadings</w:t>
      </w:r>
    </w:p>
    <w:p w14:paraId="0FF3D9BD" w14:textId="77777777" w:rsidR="00C03BF6" w:rsidRPr="008B0387" w:rsidRDefault="00C03BF6" w:rsidP="00C03BF6">
      <w:pPr>
        <w:pBdr>
          <w:top w:val="nil"/>
          <w:left w:val="nil"/>
          <w:bottom w:val="nil"/>
          <w:right w:val="nil"/>
          <w:between w:val="nil"/>
        </w:pBdr>
        <w:jc w:val="both"/>
        <w:rPr>
          <w:rFonts w:ascii="Arial" w:eastAsia="Arial" w:hAnsi="Arial" w:cs="Arial"/>
          <w:i/>
          <w:iCs/>
          <w:lang w:val="id-ID"/>
        </w:rPr>
      </w:pPr>
    </w:p>
    <w:tbl>
      <w:tblPr>
        <w:tblStyle w:val="TableGrid"/>
        <w:tblW w:w="5000" w:type="pct"/>
        <w:tblLook w:val="04A0" w:firstRow="1" w:lastRow="0" w:firstColumn="1" w:lastColumn="0" w:noHBand="0" w:noVBand="1"/>
      </w:tblPr>
      <w:tblGrid>
        <w:gridCol w:w="728"/>
        <w:gridCol w:w="1766"/>
        <w:gridCol w:w="2830"/>
        <w:gridCol w:w="1681"/>
        <w:gridCol w:w="2345"/>
      </w:tblGrid>
      <w:tr w:rsidR="00C03BF6" w:rsidRPr="008B0387" w14:paraId="29CF02D4" w14:textId="77777777" w:rsidTr="00836B03">
        <w:trPr>
          <w:trHeight w:val="320"/>
        </w:trPr>
        <w:tc>
          <w:tcPr>
            <w:tcW w:w="379" w:type="pct"/>
            <w:tcBorders>
              <w:bottom w:val="single" w:sz="4" w:space="0" w:color="auto"/>
            </w:tcBorders>
            <w:noWrap/>
            <w:hideMark/>
          </w:tcPr>
          <w:p w14:paraId="18F4D465" w14:textId="77777777" w:rsidR="00C03BF6" w:rsidRPr="008B0387" w:rsidRDefault="00C03BF6" w:rsidP="00836B03">
            <w:pPr>
              <w:pBdr>
                <w:top w:val="nil"/>
                <w:left w:val="nil"/>
                <w:bottom w:val="nil"/>
                <w:right w:val="nil"/>
                <w:between w:val="nil"/>
              </w:pBdr>
              <w:jc w:val="both"/>
              <w:rPr>
                <w:rFonts w:ascii="Arial" w:eastAsia="Arial" w:hAnsi="Arial" w:cs="Arial"/>
                <w:b/>
                <w:bCs/>
                <w:lang w:val="id-ID"/>
              </w:rPr>
            </w:pPr>
            <w:r w:rsidRPr="008B0387">
              <w:rPr>
                <w:rFonts w:ascii="Arial" w:eastAsia="Arial" w:hAnsi="Arial" w:cs="Arial"/>
                <w:b/>
                <w:bCs/>
                <w:lang w:val="id-ID"/>
              </w:rPr>
              <w:t> </w:t>
            </w:r>
          </w:p>
        </w:tc>
        <w:tc>
          <w:tcPr>
            <w:tcW w:w="943" w:type="pct"/>
            <w:tcBorders>
              <w:bottom w:val="single" w:sz="4" w:space="0" w:color="auto"/>
            </w:tcBorders>
            <w:noWrap/>
            <w:hideMark/>
          </w:tcPr>
          <w:p w14:paraId="0384EB08" w14:textId="77777777" w:rsidR="00C03BF6" w:rsidRPr="008B0387" w:rsidRDefault="00C03BF6" w:rsidP="00836B03">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Innovation Capability</w:t>
            </w:r>
          </w:p>
        </w:tc>
        <w:tc>
          <w:tcPr>
            <w:tcW w:w="1522" w:type="pct"/>
            <w:tcBorders>
              <w:bottom w:val="single" w:sz="4" w:space="0" w:color="auto"/>
            </w:tcBorders>
            <w:noWrap/>
            <w:hideMark/>
          </w:tcPr>
          <w:p w14:paraId="1D393832" w14:textId="77777777" w:rsidR="00C03BF6" w:rsidRPr="008B0387" w:rsidRDefault="00C03BF6" w:rsidP="00836B03">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Business SustainabilityDigital Trust</w:t>
            </w:r>
          </w:p>
        </w:tc>
        <w:tc>
          <w:tcPr>
            <w:tcW w:w="897" w:type="pct"/>
            <w:tcBorders>
              <w:bottom w:val="single" w:sz="4" w:space="0" w:color="auto"/>
            </w:tcBorders>
            <w:noWrap/>
            <w:hideMark/>
          </w:tcPr>
          <w:p w14:paraId="372DA909" w14:textId="77777777" w:rsidR="00C03BF6" w:rsidRPr="008B0387" w:rsidRDefault="00C03BF6" w:rsidP="00836B03">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Kepercayaan Digital</w:t>
            </w:r>
          </w:p>
        </w:tc>
        <w:tc>
          <w:tcPr>
            <w:tcW w:w="1259" w:type="pct"/>
            <w:tcBorders>
              <w:bottom w:val="single" w:sz="4" w:space="0" w:color="auto"/>
            </w:tcBorders>
            <w:noWrap/>
            <w:hideMark/>
          </w:tcPr>
          <w:p w14:paraId="6DBA940F" w14:textId="77777777" w:rsidR="00C03BF6" w:rsidRPr="008B0387" w:rsidRDefault="00C03BF6" w:rsidP="00836B03">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Artificial Intelligence Literacy</w:t>
            </w:r>
          </w:p>
        </w:tc>
      </w:tr>
      <w:tr w:rsidR="00C03BF6" w:rsidRPr="008B0387" w14:paraId="23E0D1DB" w14:textId="77777777" w:rsidTr="00836B03">
        <w:trPr>
          <w:trHeight w:val="320"/>
        </w:trPr>
        <w:tc>
          <w:tcPr>
            <w:tcW w:w="379" w:type="pct"/>
            <w:tcBorders>
              <w:bottom w:val="nil"/>
              <w:right w:val="nil"/>
            </w:tcBorders>
            <w:noWrap/>
            <w:hideMark/>
          </w:tcPr>
          <w:p w14:paraId="05AC50C4"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KB1.1</w:t>
            </w:r>
          </w:p>
        </w:tc>
        <w:tc>
          <w:tcPr>
            <w:tcW w:w="943" w:type="pct"/>
            <w:tcBorders>
              <w:left w:val="nil"/>
              <w:bottom w:val="nil"/>
              <w:right w:val="nil"/>
            </w:tcBorders>
            <w:noWrap/>
            <w:hideMark/>
          </w:tcPr>
          <w:p w14:paraId="3EA32933"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0,848</w:t>
            </w:r>
          </w:p>
        </w:tc>
        <w:tc>
          <w:tcPr>
            <w:tcW w:w="1522" w:type="pct"/>
            <w:tcBorders>
              <w:left w:val="nil"/>
              <w:bottom w:val="nil"/>
              <w:right w:val="nil"/>
            </w:tcBorders>
            <w:noWrap/>
            <w:hideMark/>
          </w:tcPr>
          <w:p w14:paraId="147053A2"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0,933</w:t>
            </w:r>
          </w:p>
        </w:tc>
        <w:tc>
          <w:tcPr>
            <w:tcW w:w="897" w:type="pct"/>
            <w:tcBorders>
              <w:left w:val="nil"/>
              <w:bottom w:val="nil"/>
              <w:right w:val="nil"/>
            </w:tcBorders>
            <w:noWrap/>
            <w:hideMark/>
          </w:tcPr>
          <w:p w14:paraId="344539FB"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0,759</w:t>
            </w:r>
          </w:p>
        </w:tc>
        <w:tc>
          <w:tcPr>
            <w:tcW w:w="1259" w:type="pct"/>
            <w:tcBorders>
              <w:left w:val="nil"/>
              <w:bottom w:val="nil"/>
            </w:tcBorders>
            <w:noWrap/>
            <w:hideMark/>
          </w:tcPr>
          <w:p w14:paraId="5ECE1AA3"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0,607</w:t>
            </w:r>
          </w:p>
        </w:tc>
      </w:tr>
      <w:tr w:rsidR="00C03BF6" w:rsidRPr="008B0387" w14:paraId="71ABEA2B" w14:textId="77777777" w:rsidTr="00836B03">
        <w:trPr>
          <w:trHeight w:val="320"/>
        </w:trPr>
        <w:tc>
          <w:tcPr>
            <w:tcW w:w="379" w:type="pct"/>
            <w:tcBorders>
              <w:top w:val="nil"/>
              <w:bottom w:val="nil"/>
              <w:right w:val="nil"/>
            </w:tcBorders>
            <w:noWrap/>
            <w:hideMark/>
          </w:tcPr>
          <w:p w14:paraId="02DF94F4"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KB1.2</w:t>
            </w:r>
          </w:p>
        </w:tc>
        <w:tc>
          <w:tcPr>
            <w:tcW w:w="943" w:type="pct"/>
            <w:tcBorders>
              <w:top w:val="nil"/>
              <w:left w:val="nil"/>
              <w:bottom w:val="nil"/>
              <w:right w:val="nil"/>
            </w:tcBorders>
            <w:noWrap/>
            <w:hideMark/>
          </w:tcPr>
          <w:p w14:paraId="566218AD"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0,778</w:t>
            </w:r>
          </w:p>
        </w:tc>
        <w:tc>
          <w:tcPr>
            <w:tcW w:w="1522" w:type="pct"/>
            <w:tcBorders>
              <w:top w:val="nil"/>
              <w:left w:val="nil"/>
              <w:bottom w:val="nil"/>
              <w:right w:val="nil"/>
            </w:tcBorders>
            <w:noWrap/>
            <w:hideMark/>
          </w:tcPr>
          <w:p w14:paraId="0C597BFF"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0,888</w:t>
            </w:r>
          </w:p>
        </w:tc>
        <w:tc>
          <w:tcPr>
            <w:tcW w:w="897" w:type="pct"/>
            <w:tcBorders>
              <w:top w:val="nil"/>
              <w:left w:val="nil"/>
              <w:bottom w:val="nil"/>
              <w:right w:val="nil"/>
            </w:tcBorders>
            <w:noWrap/>
            <w:hideMark/>
          </w:tcPr>
          <w:p w14:paraId="5FF69344"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0,684</w:t>
            </w:r>
          </w:p>
        </w:tc>
        <w:tc>
          <w:tcPr>
            <w:tcW w:w="1259" w:type="pct"/>
            <w:tcBorders>
              <w:top w:val="nil"/>
              <w:left w:val="nil"/>
              <w:bottom w:val="nil"/>
            </w:tcBorders>
            <w:noWrap/>
            <w:hideMark/>
          </w:tcPr>
          <w:p w14:paraId="117C894C"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0,58</w:t>
            </w:r>
          </w:p>
        </w:tc>
      </w:tr>
      <w:tr w:rsidR="00C03BF6" w:rsidRPr="008B0387" w14:paraId="3BA68273" w14:textId="77777777" w:rsidTr="00836B03">
        <w:trPr>
          <w:trHeight w:val="320"/>
        </w:trPr>
        <w:tc>
          <w:tcPr>
            <w:tcW w:w="379" w:type="pct"/>
            <w:tcBorders>
              <w:top w:val="nil"/>
              <w:bottom w:val="nil"/>
              <w:right w:val="nil"/>
            </w:tcBorders>
            <w:noWrap/>
            <w:hideMark/>
          </w:tcPr>
          <w:p w14:paraId="6B437159"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KB1.3</w:t>
            </w:r>
          </w:p>
        </w:tc>
        <w:tc>
          <w:tcPr>
            <w:tcW w:w="943" w:type="pct"/>
            <w:tcBorders>
              <w:top w:val="nil"/>
              <w:left w:val="nil"/>
              <w:bottom w:val="nil"/>
              <w:right w:val="nil"/>
            </w:tcBorders>
            <w:noWrap/>
            <w:hideMark/>
          </w:tcPr>
          <w:p w14:paraId="15605BBF"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0,839</w:t>
            </w:r>
          </w:p>
        </w:tc>
        <w:tc>
          <w:tcPr>
            <w:tcW w:w="1522" w:type="pct"/>
            <w:tcBorders>
              <w:top w:val="nil"/>
              <w:left w:val="nil"/>
              <w:bottom w:val="nil"/>
              <w:right w:val="nil"/>
            </w:tcBorders>
            <w:noWrap/>
            <w:hideMark/>
          </w:tcPr>
          <w:p w14:paraId="2CAC5DF8"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0,936</w:t>
            </w:r>
          </w:p>
        </w:tc>
        <w:tc>
          <w:tcPr>
            <w:tcW w:w="897" w:type="pct"/>
            <w:tcBorders>
              <w:top w:val="nil"/>
              <w:left w:val="nil"/>
              <w:bottom w:val="nil"/>
              <w:right w:val="nil"/>
            </w:tcBorders>
            <w:noWrap/>
            <w:hideMark/>
          </w:tcPr>
          <w:p w14:paraId="6B9DB3AE"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0,743</w:t>
            </w:r>
          </w:p>
        </w:tc>
        <w:tc>
          <w:tcPr>
            <w:tcW w:w="1259" w:type="pct"/>
            <w:tcBorders>
              <w:top w:val="nil"/>
              <w:left w:val="nil"/>
              <w:bottom w:val="nil"/>
            </w:tcBorders>
            <w:noWrap/>
            <w:hideMark/>
          </w:tcPr>
          <w:p w14:paraId="1C030A15"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0,599</w:t>
            </w:r>
          </w:p>
        </w:tc>
      </w:tr>
      <w:tr w:rsidR="00C03BF6" w:rsidRPr="008B0387" w14:paraId="5D5FDD38" w14:textId="77777777" w:rsidTr="00836B03">
        <w:trPr>
          <w:trHeight w:val="320"/>
        </w:trPr>
        <w:tc>
          <w:tcPr>
            <w:tcW w:w="379" w:type="pct"/>
            <w:tcBorders>
              <w:top w:val="nil"/>
              <w:bottom w:val="nil"/>
              <w:right w:val="nil"/>
            </w:tcBorders>
            <w:noWrap/>
            <w:hideMark/>
          </w:tcPr>
          <w:p w14:paraId="7DE73FCE"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KB1.4</w:t>
            </w:r>
          </w:p>
        </w:tc>
        <w:tc>
          <w:tcPr>
            <w:tcW w:w="943" w:type="pct"/>
            <w:tcBorders>
              <w:top w:val="nil"/>
              <w:left w:val="nil"/>
              <w:bottom w:val="nil"/>
              <w:right w:val="nil"/>
            </w:tcBorders>
            <w:noWrap/>
            <w:hideMark/>
          </w:tcPr>
          <w:p w14:paraId="2B87AD5C"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0,777</w:t>
            </w:r>
          </w:p>
        </w:tc>
        <w:tc>
          <w:tcPr>
            <w:tcW w:w="1522" w:type="pct"/>
            <w:tcBorders>
              <w:top w:val="nil"/>
              <w:left w:val="nil"/>
              <w:bottom w:val="nil"/>
              <w:right w:val="nil"/>
            </w:tcBorders>
            <w:noWrap/>
            <w:hideMark/>
          </w:tcPr>
          <w:p w14:paraId="0F126F14"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0,887</w:t>
            </w:r>
          </w:p>
        </w:tc>
        <w:tc>
          <w:tcPr>
            <w:tcW w:w="897" w:type="pct"/>
            <w:tcBorders>
              <w:top w:val="nil"/>
              <w:left w:val="nil"/>
              <w:bottom w:val="nil"/>
              <w:right w:val="nil"/>
            </w:tcBorders>
            <w:noWrap/>
            <w:hideMark/>
          </w:tcPr>
          <w:p w14:paraId="513BFEC6"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0,682</w:t>
            </w:r>
          </w:p>
        </w:tc>
        <w:tc>
          <w:tcPr>
            <w:tcW w:w="1259" w:type="pct"/>
            <w:tcBorders>
              <w:top w:val="nil"/>
              <w:left w:val="nil"/>
              <w:bottom w:val="nil"/>
            </w:tcBorders>
            <w:noWrap/>
            <w:hideMark/>
          </w:tcPr>
          <w:p w14:paraId="05A9C7BA"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0,517</w:t>
            </w:r>
          </w:p>
        </w:tc>
      </w:tr>
      <w:tr w:rsidR="00C03BF6" w:rsidRPr="008B0387" w14:paraId="50F135B8" w14:textId="77777777" w:rsidTr="00836B03">
        <w:trPr>
          <w:trHeight w:val="320"/>
        </w:trPr>
        <w:tc>
          <w:tcPr>
            <w:tcW w:w="379" w:type="pct"/>
            <w:tcBorders>
              <w:top w:val="nil"/>
              <w:bottom w:val="nil"/>
              <w:right w:val="nil"/>
            </w:tcBorders>
            <w:noWrap/>
            <w:hideMark/>
          </w:tcPr>
          <w:p w14:paraId="41B6A574"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KB1.5</w:t>
            </w:r>
          </w:p>
        </w:tc>
        <w:tc>
          <w:tcPr>
            <w:tcW w:w="943" w:type="pct"/>
            <w:tcBorders>
              <w:top w:val="nil"/>
              <w:left w:val="nil"/>
              <w:bottom w:val="nil"/>
              <w:right w:val="nil"/>
            </w:tcBorders>
            <w:noWrap/>
            <w:hideMark/>
          </w:tcPr>
          <w:p w14:paraId="16F63380"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0,838</w:t>
            </w:r>
          </w:p>
        </w:tc>
        <w:tc>
          <w:tcPr>
            <w:tcW w:w="1522" w:type="pct"/>
            <w:tcBorders>
              <w:top w:val="nil"/>
              <w:left w:val="nil"/>
              <w:bottom w:val="nil"/>
              <w:right w:val="nil"/>
            </w:tcBorders>
            <w:noWrap/>
            <w:hideMark/>
          </w:tcPr>
          <w:p w14:paraId="7E227F9A"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0,912</w:t>
            </w:r>
          </w:p>
        </w:tc>
        <w:tc>
          <w:tcPr>
            <w:tcW w:w="897" w:type="pct"/>
            <w:tcBorders>
              <w:top w:val="nil"/>
              <w:left w:val="nil"/>
              <w:bottom w:val="nil"/>
              <w:right w:val="nil"/>
            </w:tcBorders>
            <w:noWrap/>
            <w:hideMark/>
          </w:tcPr>
          <w:p w14:paraId="0C862970"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0,76</w:t>
            </w:r>
          </w:p>
        </w:tc>
        <w:tc>
          <w:tcPr>
            <w:tcW w:w="1259" w:type="pct"/>
            <w:tcBorders>
              <w:top w:val="nil"/>
              <w:left w:val="nil"/>
              <w:bottom w:val="nil"/>
            </w:tcBorders>
            <w:noWrap/>
            <w:hideMark/>
          </w:tcPr>
          <w:p w14:paraId="11F07625"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0,576</w:t>
            </w:r>
          </w:p>
        </w:tc>
      </w:tr>
      <w:tr w:rsidR="00C03BF6" w:rsidRPr="008B0387" w14:paraId="68C93E51" w14:textId="77777777" w:rsidTr="00836B03">
        <w:trPr>
          <w:trHeight w:val="320"/>
        </w:trPr>
        <w:tc>
          <w:tcPr>
            <w:tcW w:w="379" w:type="pct"/>
            <w:tcBorders>
              <w:top w:val="nil"/>
              <w:bottom w:val="single" w:sz="4" w:space="0" w:color="auto"/>
              <w:right w:val="nil"/>
            </w:tcBorders>
            <w:noWrap/>
            <w:hideMark/>
          </w:tcPr>
          <w:p w14:paraId="50A6AA3C"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KB1.6</w:t>
            </w:r>
          </w:p>
        </w:tc>
        <w:tc>
          <w:tcPr>
            <w:tcW w:w="943" w:type="pct"/>
            <w:tcBorders>
              <w:top w:val="nil"/>
              <w:left w:val="nil"/>
              <w:bottom w:val="single" w:sz="4" w:space="0" w:color="auto"/>
              <w:right w:val="nil"/>
            </w:tcBorders>
            <w:noWrap/>
            <w:hideMark/>
          </w:tcPr>
          <w:p w14:paraId="24DDAA32"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0,755</w:t>
            </w:r>
          </w:p>
        </w:tc>
        <w:tc>
          <w:tcPr>
            <w:tcW w:w="1522" w:type="pct"/>
            <w:tcBorders>
              <w:top w:val="nil"/>
              <w:left w:val="nil"/>
              <w:bottom w:val="single" w:sz="4" w:space="0" w:color="auto"/>
              <w:right w:val="nil"/>
            </w:tcBorders>
            <w:noWrap/>
            <w:hideMark/>
          </w:tcPr>
          <w:p w14:paraId="66D7174E"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0,863</w:t>
            </w:r>
          </w:p>
        </w:tc>
        <w:tc>
          <w:tcPr>
            <w:tcW w:w="897" w:type="pct"/>
            <w:tcBorders>
              <w:top w:val="nil"/>
              <w:left w:val="nil"/>
              <w:bottom w:val="single" w:sz="4" w:space="0" w:color="auto"/>
              <w:right w:val="nil"/>
            </w:tcBorders>
            <w:noWrap/>
            <w:hideMark/>
          </w:tcPr>
          <w:p w14:paraId="64A5EEB0"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0,666</w:t>
            </w:r>
          </w:p>
        </w:tc>
        <w:tc>
          <w:tcPr>
            <w:tcW w:w="1259" w:type="pct"/>
            <w:tcBorders>
              <w:top w:val="nil"/>
              <w:left w:val="nil"/>
              <w:bottom w:val="single" w:sz="4" w:space="0" w:color="auto"/>
            </w:tcBorders>
            <w:noWrap/>
            <w:hideMark/>
          </w:tcPr>
          <w:p w14:paraId="4CC2D098"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0,478</w:t>
            </w:r>
          </w:p>
        </w:tc>
      </w:tr>
      <w:tr w:rsidR="00C03BF6" w:rsidRPr="008B0387" w14:paraId="6978DE0C" w14:textId="77777777" w:rsidTr="00836B03">
        <w:trPr>
          <w:trHeight w:val="320"/>
        </w:trPr>
        <w:tc>
          <w:tcPr>
            <w:tcW w:w="379" w:type="pct"/>
            <w:tcBorders>
              <w:top w:val="single" w:sz="4" w:space="0" w:color="auto"/>
              <w:bottom w:val="nil"/>
              <w:right w:val="nil"/>
            </w:tcBorders>
            <w:noWrap/>
            <w:hideMark/>
          </w:tcPr>
          <w:p w14:paraId="0B68A73C"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KB1.7</w:t>
            </w:r>
          </w:p>
        </w:tc>
        <w:tc>
          <w:tcPr>
            <w:tcW w:w="943" w:type="pct"/>
            <w:tcBorders>
              <w:top w:val="single" w:sz="4" w:space="0" w:color="auto"/>
              <w:left w:val="nil"/>
              <w:bottom w:val="nil"/>
              <w:right w:val="nil"/>
            </w:tcBorders>
            <w:noWrap/>
            <w:hideMark/>
          </w:tcPr>
          <w:p w14:paraId="48E45B4C"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0,752</w:t>
            </w:r>
          </w:p>
        </w:tc>
        <w:tc>
          <w:tcPr>
            <w:tcW w:w="1522" w:type="pct"/>
            <w:tcBorders>
              <w:top w:val="single" w:sz="4" w:space="0" w:color="auto"/>
              <w:left w:val="nil"/>
              <w:bottom w:val="nil"/>
              <w:right w:val="nil"/>
            </w:tcBorders>
            <w:noWrap/>
            <w:hideMark/>
          </w:tcPr>
          <w:p w14:paraId="7B8F5CC8"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0,874</w:t>
            </w:r>
          </w:p>
        </w:tc>
        <w:tc>
          <w:tcPr>
            <w:tcW w:w="897" w:type="pct"/>
            <w:tcBorders>
              <w:top w:val="single" w:sz="4" w:space="0" w:color="auto"/>
              <w:left w:val="nil"/>
              <w:bottom w:val="nil"/>
              <w:right w:val="nil"/>
            </w:tcBorders>
            <w:noWrap/>
            <w:hideMark/>
          </w:tcPr>
          <w:p w14:paraId="45E74D42"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0,657</w:t>
            </w:r>
          </w:p>
        </w:tc>
        <w:tc>
          <w:tcPr>
            <w:tcW w:w="1259" w:type="pct"/>
            <w:tcBorders>
              <w:top w:val="single" w:sz="4" w:space="0" w:color="auto"/>
              <w:left w:val="nil"/>
              <w:bottom w:val="nil"/>
            </w:tcBorders>
            <w:noWrap/>
            <w:hideMark/>
          </w:tcPr>
          <w:p w14:paraId="558BA655"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0,627</w:t>
            </w:r>
          </w:p>
        </w:tc>
      </w:tr>
      <w:tr w:rsidR="00C03BF6" w:rsidRPr="008B0387" w14:paraId="5BD81077" w14:textId="77777777" w:rsidTr="00836B03">
        <w:trPr>
          <w:trHeight w:val="320"/>
        </w:trPr>
        <w:tc>
          <w:tcPr>
            <w:tcW w:w="379" w:type="pct"/>
            <w:tcBorders>
              <w:top w:val="nil"/>
              <w:bottom w:val="nil"/>
              <w:right w:val="nil"/>
            </w:tcBorders>
            <w:noWrap/>
            <w:hideMark/>
          </w:tcPr>
          <w:p w14:paraId="5CEB6406"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KB1.8</w:t>
            </w:r>
          </w:p>
        </w:tc>
        <w:tc>
          <w:tcPr>
            <w:tcW w:w="943" w:type="pct"/>
            <w:tcBorders>
              <w:top w:val="nil"/>
              <w:left w:val="nil"/>
              <w:bottom w:val="nil"/>
              <w:right w:val="nil"/>
            </w:tcBorders>
            <w:noWrap/>
            <w:hideMark/>
          </w:tcPr>
          <w:p w14:paraId="4D692913"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0,777</w:t>
            </w:r>
          </w:p>
        </w:tc>
        <w:tc>
          <w:tcPr>
            <w:tcW w:w="1522" w:type="pct"/>
            <w:tcBorders>
              <w:top w:val="nil"/>
              <w:left w:val="nil"/>
              <w:bottom w:val="nil"/>
              <w:right w:val="nil"/>
            </w:tcBorders>
            <w:noWrap/>
            <w:hideMark/>
          </w:tcPr>
          <w:p w14:paraId="56599126"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0,895</w:t>
            </w:r>
          </w:p>
        </w:tc>
        <w:tc>
          <w:tcPr>
            <w:tcW w:w="897" w:type="pct"/>
            <w:tcBorders>
              <w:top w:val="nil"/>
              <w:left w:val="nil"/>
              <w:bottom w:val="nil"/>
              <w:right w:val="nil"/>
            </w:tcBorders>
            <w:noWrap/>
            <w:hideMark/>
          </w:tcPr>
          <w:p w14:paraId="45223113"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0,667</w:t>
            </w:r>
          </w:p>
        </w:tc>
        <w:tc>
          <w:tcPr>
            <w:tcW w:w="1259" w:type="pct"/>
            <w:tcBorders>
              <w:top w:val="nil"/>
              <w:left w:val="nil"/>
              <w:bottom w:val="nil"/>
            </w:tcBorders>
            <w:noWrap/>
            <w:hideMark/>
          </w:tcPr>
          <w:p w14:paraId="4BC190AD"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0,545</w:t>
            </w:r>
          </w:p>
        </w:tc>
      </w:tr>
      <w:tr w:rsidR="00C03BF6" w:rsidRPr="008B0387" w14:paraId="5811F29D" w14:textId="77777777" w:rsidTr="00836B03">
        <w:trPr>
          <w:trHeight w:val="320"/>
        </w:trPr>
        <w:tc>
          <w:tcPr>
            <w:tcW w:w="379" w:type="pct"/>
            <w:tcBorders>
              <w:top w:val="nil"/>
              <w:bottom w:val="nil"/>
              <w:right w:val="nil"/>
            </w:tcBorders>
            <w:noWrap/>
            <w:hideMark/>
          </w:tcPr>
          <w:p w14:paraId="0AFC9A59"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KB1.9</w:t>
            </w:r>
          </w:p>
        </w:tc>
        <w:tc>
          <w:tcPr>
            <w:tcW w:w="943" w:type="pct"/>
            <w:tcBorders>
              <w:top w:val="nil"/>
              <w:left w:val="nil"/>
              <w:bottom w:val="nil"/>
              <w:right w:val="nil"/>
            </w:tcBorders>
            <w:noWrap/>
            <w:hideMark/>
          </w:tcPr>
          <w:p w14:paraId="17B9F824"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0,812</w:t>
            </w:r>
          </w:p>
        </w:tc>
        <w:tc>
          <w:tcPr>
            <w:tcW w:w="1522" w:type="pct"/>
            <w:tcBorders>
              <w:top w:val="nil"/>
              <w:left w:val="nil"/>
              <w:bottom w:val="nil"/>
              <w:right w:val="nil"/>
            </w:tcBorders>
            <w:noWrap/>
            <w:hideMark/>
          </w:tcPr>
          <w:p w14:paraId="54712C35"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0,893</w:t>
            </w:r>
          </w:p>
        </w:tc>
        <w:tc>
          <w:tcPr>
            <w:tcW w:w="897" w:type="pct"/>
            <w:tcBorders>
              <w:top w:val="nil"/>
              <w:left w:val="nil"/>
              <w:bottom w:val="nil"/>
              <w:right w:val="nil"/>
            </w:tcBorders>
            <w:noWrap/>
            <w:hideMark/>
          </w:tcPr>
          <w:p w14:paraId="14B9D0C3"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0,672</w:t>
            </w:r>
          </w:p>
        </w:tc>
        <w:tc>
          <w:tcPr>
            <w:tcW w:w="1259" w:type="pct"/>
            <w:tcBorders>
              <w:top w:val="nil"/>
              <w:left w:val="nil"/>
              <w:bottom w:val="nil"/>
            </w:tcBorders>
            <w:noWrap/>
            <w:hideMark/>
          </w:tcPr>
          <w:p w14:paraId="378A84B5"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0,61</w:t>
            </w:r>
          </w:p>
        </w:tc>
      </w:tr>
      <w:tr w:rsidR="00C03BF6" w:rsidRPr="008B0387" w14:paraId="1D050671" w14:textId="77777777" w:rsidTr="00836B03">
        <w:trPr>
          <w:trHeight w:val="320"/>
        </w:trPr>
        <w:tc>
          <w:tcPr>
            <w:tcW w:w="379" w:type="pct"/>
            <w:tcBorders>
              <w:top w:val="nil"/>
              <w:bottom w:val="nil"/>
              <w:right w:val="nil"/>
            </w:tcBorders>
            <w:noWrap/>
            <w:hideMark/>
          </w:tcPr>
          <w:p w14:paraId="4395493A"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lastRenderedPageBreak/>
              <w:t>KD1.10</w:t>
            </w:r>
          </w:p>
        </w:tc>
        <w:tc>
          <w:tcPr>
            <w:tcW w:w="943" w:type="pct"/>
            <w:tcBorders>
              <w:top w:val="nil"/>
              <w:left w:val="nil"/>
              <w:bottom w:val="nil"/>
              <w:right w:val="nil"/>
            </w:tcBorders>
            <w:noWrap/>
            <w:hideMark/>
          </w:tcPr>
          <w:p w14:paraId="512707E4"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0,703</w:t>
            </w:r>
          </w:p>
        </w:tc>
        <w:tc>
          <w:tcPr>
            <w:tcW w:w="1522" w:type="pct"/>
            <w:tcBorders>
              <w:top w:val="nil"/>
              <w:left w:val="nil"/>
              <w:bottom w:val="nil"/>
              <w:right w:val="nil"/>
            </w:tcBorders>
            <w:noWrap/>
            <w:hideMark/>
          </w:tcPr>
          <w:p w14:paraId="61669D27"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0,718</w:t>
            </w:r>
          </w:p>
        </w:tc>
        <w:tc>
          <w:tcPr>
            <w:tcW w:w="897" w:type="pct"/>
            <w:tcBorders>
              <w:top w:val="nil"/>
              <w:left w:val="nil"/>
              <w:bottom w:val="nil"/>
              <w:right w:val="nil"/>
            </w:tcBorders>
            <w:noWrap/>
            <w:hideMark/>
          </w:tcPr>
          <w:p w14:paraId="38A7CD84"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0,93</w:t>
            </w:r>
          </w:p>
        </w:tc>
        <w:tc>
          <w:tcPr>
            <w:tcW w:w="1259" w:type="pct"/>
            <w:tcBorders>
              <w:top w:val="nil"/>
              <w:left w:val="nil"/>
              <w:bottom w:val="nil"/>
            </w:tcBorders>
            <w:noWrap/>
            <w:hideMark/>
          </w:tcPr>
          <w:p w14:paraId="18840D75"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0,314</w:t>
            </w:r>
          </w:p>
        </w:tc>
      </w:tr>
      <w:tr w:rsidR="00C03BF6" w:rsidRPr="008B0387" w14:paraId="58A4C8D2" w14:textId="77777777" w:rsidTr="00836B03">
        <w:trPr>
          <w:trHeight w:val="320"/>
        </w:trPr>
        <w:tc>
          <w:tcPr>
            <w:tcW w:w="379" w:type="pct"/>
            <w:tcBorders>
              <w:top w:val="nil"/>
              <w:bottom w:val="nil"/>
              <w:right w:val="nil"/>
            </w:tcBorders>
            <w:noWrap/>
            <w:hideMark/>
          </w:tcPr>
          <w:p w14:paraId="64D4D4B8"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KD1.11</w:t>
            </w:r>
          </w:p>
        </w:tc>
        <w:tc>
          <w:tcPr>
            <w:tcW w:w="943" w:type="pct"/>
            <w:tcBorders>
              <w:top w:val="nil"/>
              <w:left w:val="nil"/>
              <w:bottom w:val="nil"/>
              <w:right w:val="nil"/>
            </w:tcBorders>
            <w:noWrap/>
            <w:hideMark/>
          </w:tcPr>
          <w:p w14:paraId="53F19579"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0,589</w:t>
            </w:r>
          </w:p>
        </w:tc>
        <w:tc>
          <w:tcPr>
            <w:tcW w:w="1522" w:type="pct"/>
            <w:tcBorders>
              <w:top w:val="nil"/>
              <w:left w:val="nil"/>
              <w:bottom w:val="nil"/>
              <w:right w:val="nil"/>
            </w:tcBorders>
            <w:noWrap/>
            <w:hideMark/>
          </w:tcPr>
          <w:p w14:paraId="76001BBE"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0,624</w:t>
            </w:r>
          </w:p>
        </w:tc>
        <w:tc>
          <w:tcPr>
            <w:tcW w:w="897" w:type="pct"/>
            <w:tcBorders>
              <w:top w:val="nil"/>
              <w:left w:val="nil"/>
              <w:bottom w:val="nil"/>
              <w:right w:val="nil"/>
            </w:tcBorders>
            <w:noWrap/>
            <w:hideMark/>
          </w:tcPr>
          <w:p w14:paraId="7D355197"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0,849</w:t>
            </w:r>
          </w:p>
        </w:tc>
        <w:tc>
          <w:tcPr>
            <w:tcW w:w="1259" w:type="pct"/>
            <w:tcBorders>
              <w:top w:val="nil"/>
              <w:left w:val="nil"/>
              <w:bottom w:val="nil"/>
            </w:tcBorders>
            <w:noWrap/>
            <w:hideMark/>
          </w:tcPr>
          <w:p w14:paraId="0187FA95"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0,31</w:t>
            </w:r>
          </w:p>
        </w:tc>
      </w:tr>
      <w:tr w:rsidR="00C03BF6" w:rsidRPr="008B0387" w14:paraId="1A39CD51" w14:textId="77777777" w:rsidTr="00836B03">
        <w:trPr>
          <w:trHeight w:val="320"/>
        </w:trPr>
        <w:tc>
          <w:tcPr>
            <w:tcW w:w="379" w:type="pct"/>
            <w:tcBorders>
              <w:top w:val="nil"/>
              <w:bottom w:val="nil"/>
              <w:right w:val="nil"/>
            </w:tcBorders>
            <w:noWrap/>
            <w:hideMark/>
          </w:tcPr>
          <w:p w14:paraId="44B8FDF3"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KD1.2</w:t>
            </w:r>
          </w:p>
        </w:tc>
        <w:tc>
          <w:tcPr>
            <w:tcW w:w="943" w:type="pct"/>
            <w:tcBorders>
              <w:top w:val="nil"/>
              <w:left w:val="nil"/>
              <w:bottom w:val="nil"/>
              <w:right w:val="nil"/>
            </w:tcBorders>
            <w:noWrap/>
            <w:hideMark/>
          </w:tcPr>
          <w:p w14:paraId="07F33A88"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0,71</w:t>
            </w:r>
          </w:p>
        </w:tc>
        <w:tc>
          <w:tcPr>
            <w:tcW w:w="1522" w:type="pct"/>
            <w:tcBorders>
              <w:top w:val="nil"/>
              <w:left w:val="nil"/>
              <w:bottom w:val="nil"/>
              <w:right w:val="nil"/>
            </w:tcBorders>
            <w:noWrap/>
            <w:hideMark/>
          </w:tcPr>
          <w:p w14:paraId="1919326C"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0,729</w:t>
            </w:r>
          </w:p>
        </w:tc>
        <w:tc>
          <w:tcPr>
            <w:tcW w:w="897" w:type="pct"/>
            <w:tcBorders>
              <w:top w:val="nil"/>
              <w:left w:val="nil"/>
              <w:bottom w:val="nil"/>
              <w:right w:val="nil"/>
            </w:tcBorders>
            <w:noWrap/>
            <w:hideMark/>
          </w:tcPr>
          <w:p w14:paraId="76B029DB"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0,917</w:t>
            </w:r>
          </w:p>
        </w:tc>
        <w:tc>
          <w:tcPr>
            <w:tcW w:w="1259" w:type="pct"/>
            <w:tcBorders>
              <w:top w:val="nil"/>
              <w:left w:val="nil"/>
              <w:bottom w:val="nil"/>
            </w:tcBorders>
            <w:noWrap/>
            <w:hideMark/>
          </w:tcPr>
          <w:p w14:paraId="5F42A17B"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0,369</w:t>
            </w:r>
          </w:p>
        </w:tc>
      </w:tr>
      <w:tr w:rsidR="00C03BF6" w:rsidRPr="008B0387" w14:paraId="1300428C" w14:textId="77777777" w:rsidTr="00836B03">
        <w:trPr>
          <w:trHeight w:val="320"/>
        </w:trPr>
        <w:tc>
          <w:tcPr>
            <w:tcW w:w="379" w:type="pct"/>
            <w:tcBorders>
              <w:top w:val="nil"/>
              <w:bottom w:val="nil"/>
              <w:right w:val="nil"/>
            </w:tcBorders>
            <w:noWrap/>
            <w:hideMark/>
          </w:tcPr>
          <w:p w14:paraId="368669E7"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KD1.3</w:t>
            </w:r>
          </w:p>
        </w:tc>
        <w:tc>
          <w:tcPr>
            <w:tcW w:w="943" w:type="pct"/>
            <w:tcBorders>
              <w:top w:val="nil"/>
              <w:left w:val="nil"/>
              <w:bottom w:val="nil"/>
              <w:right w:val="nil"/>
            </w:tcBorders>
            <w:noWrap/>
            <w:hideMark/>
          </w:tcPr>
          <w:p w14:paraId="5D9995B6"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0,593</w:t>
            </w:r>
          </w:p>
        </w:tc>
        <w:tc>
          <w:tcPr>
            <w:tcW w:w="1522" w:type="pct"/>
            <w:tcBorders>
              <w:top w:val="nil"/>
              <w:left w:val="nil"/>
              <w:bottom w:val="nil"/>
              <w:right w:val="nil"/>
            </w:tcBorders>
            <w:noWrap/>
            <w:hideMark/>
          </w:tcPr>
          <w:p w14:paraId="68115C4E"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0,543</w:t>
            </w:r>
          </w:p>
        </w:tc>
        <w:tc>
          <w:tcPr>
            <w:tcW w:w="897" w:type="pct"/>
            <w:tcBorders>
              <w:top w:val="nil"/>
              <w:left w:val="nil"/>
              <w:bottom w:val="nil"/>
              <w:right w:val="nil"/>
            </w:tcBorders>
            <w:noWrap/>
            <w:hideMark/>
          </w:tcPr>
          <w:p w14:paraId="7D0EF978"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0,729</w:t>
            </w:r>
          </w:p>
        </w:tc>
        <w:tc>
          <w:tcPr>
            <w:tcW w:w="1259" w:type="pct"/>
            <w:tcBorders>
              <w:top w:val="nil"/>
              <w:left w:val="nil"/>
              <w:bottom w:val="nil"/>
            </w:tcBorders>
            <w:noWrap/>
            <w:hideMark/>
          </w:tcPr>
          <w:p w14:paraId="42856854"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0,327</w:t>
            </w:r>
          </w:p>
        </w:tc>
      </w:tr>
      <w:tr w:rsidR="00C03BF6" w:rsidRPr="008B0387" w14:paraId="62EF8E23" w14:textId="77777777" w:rsidTr="00836B03">
        <w:trPr>
          <w:trHeight w:val="320"/>
        </w:trPr>
        <w:tc>
          <w:tcPr>
            <w:tcW w:w="379" w:type="pct"/>
            <w:tcBorders>
              <w:top w:val="nil"/>
              <w:bottom w:val="nil"/>
              <w:right w:val="nil"/>
            </w:tcBorders>
            <w:noWrap/>
            <w:hideMark/>
          </w:tcPr>
          <w:p w14:paraId="0C05BB25"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KD1.4</w:t>
            </w:r>
          </w:p>
        </w:tc>
        <w:tc>
          <w:tcPr>
            <w:tcW w:w="943" w:type="pct"/>
            <w:tcBorders>
              <w:top w:val="nil"/>
              <w:left w:val="nil"/>
              <w:bottom w:val="nil"/>
              <w:right w:val="nil"/>
            </w:tcBorders>
            <w:noWrap/>
            <w:hideMark/>
          </w:tcPr>
          <w:p w14:paraId="52E93C74"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0,627</w:t>
            </w:r>
          </w:p>
        </w:tc>
        <w:tc>
          <w:tcPr>
            <w:tcW w:w="1522" w:type="pct"/>
            <w:tcBorders>
              <w:top w:val="nil"/>
              <w:left w:val="nil"/>
              <w:bottom w:val="nil"/>
              <w:right w:val="nil"/>
            </w:tcBorders>
            <w:noWrap/>
            <w:hideMark/>
          </w:tcPr>
          <w:p w14:paraId="58C108F4"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0,639</w:t>
            </w:r>
          </w:p>
        </w:tc>
        <w:tc>
          <w:tcPr>
            <w:tcW w:w="897" w:type="pct"/>
            <w:tcBorders>
              <w:top w:val="nil"/>
              <w:left w:val="nil"/>
              <w:bottom w:val="nil"/>
              <w:right w:val="nil"/>
            </w:tcBorders>
            <w:noWrap/>
            <w:hideMark/>
          </w:tcPr>
          <w:p w14:paraId="0081582E"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0,798</w:t>
            </w:r>
          </w:p>
        </w:tc>
        <w:tc>
          <w:tcPr>
            <w:tcW w:w="1259" w:type="pct"/>
            <w:tcBorders>
              <w:top w:val="nil"/>
              <w:left w:val="nil"/>
              <w:bottom w:val="nil"/>
            </w:tcBorders>
            <w:noWrap/>
            <w:hideMark/>
          </w:tcPr>
          <w:p w14:paraId="7D208086"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0,359</w:t>
            </w:r>
          </w:p>
        </w:tc>
      </w:tr>
      <w:tr w:rsidR="00C03BF6" w:rsidRPr="008B0387" w14:paraId="003926EB" w14:textId="77777777" w:rsidTr="00836B03">
        <w:trPr>
          <w:trHeight w:val="320"/>
        </w:trPr>
        <w:tc>
          <w:tcPr>
            <w:tcW w:w="379" w:type="pct"/>
            <w:tcBorders>
              <w:top w:val="nil"/>
              <w:bottom w:val="nil"/>
              <w:right w:val="nil"/>
            </w:tcBorders>
            <w:noWrap/>
            <w:hideMark/>
          </w:tcPr>
          <w:p w14:paraId="1B2CCB07"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KD1.5</w:t>
            </w:r>
          </w:p>
        </w:tc>
        <w:tc>
          <w:tcPr>
            <w:tcW w:w="943" w:type="pct"/>
            <w:tcBorders>
              <w:top w:val="nil"/>
              <w:left w:val="nil"/>
              <w:bottom w:val="nil"/>
              <w:right w:val="nil"/>
            </w:tcBorders>
            <w:noWrap/>
            <w:hideMark/>
          </w:tcPr>
          <w:p w14:paraId="20759E1E"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0,72</w:t>
            </w:r>
          </w:p>
        </w:tc>
        <w:tc>
          <w:tcPr>
            <w:tcW w:w="1522" w:type="pct"/>
            <w:tcBorders>
              <w:top w:val="nil"/>
              <w:left w:val="nil"/>
              <w:bottom w:val="nil"/>
              <w:right w:val="nil"/>
            </w:tcBorders>
            <w:noWrap/>
            <w:hideMark/>
          </w:tcPr>
          <w:p w14:paraId="5B3F9ED1"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0,723</w:t>
            </w:r>
          </w:p>
        </w:tc>
        <w:tc>
          <w:tcPr>
            <w:tcW w:w="897" w:type="pct"/>
            <w:tcBorders>
              <w:top w:val="nil"/>
              <w:left w:val="nil"/>
              <w:bottom w:val="nil"/>
              <w:right w:val="nil"/>
            </w:tcBorders>
            <w:noWrap/>
            <w:hideMark/>
          </w:tcPr>
          <w:p w14:paraId="32BCA16D"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0,914</w:t>
            </w:r>
          </w:p>
        </w:tc>
        <w:tc>
          <w:tcPr>
            <w:tcW w:w="1259" w:type="pct"/>
            <w:tcBorders>
              <w:top w:val="nil"/>
              <w:left w:val="nil"/>
              <w:bottom w:val="nil"/>
            </w:tcBorders>
            <w:noWrap/>
            <w:hideMark/>
          </w:tcPr>
          <w:p w14:paraId="0989A2D9"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0,394</w:t>
            </w:r>
          </w:p>
        </w:tc>
      </w:tr>
      <w:tr w:rsidR="00C03BF6" w:rsidRPr="008B0387" w14:paraId="37D7935E" w14:textId="77777777" w:rsidTr="00836B03">
        <w:trPr>
          <w:trHeight w:val="320"/>
        </w:trPr>
        <w:tc>
          <w:tcPr>
            <w:tcW w:w="379" w:type="pct"/>
            <w:tcBorders>
              <w:top w:val="nil"/>
              <w:bottom w:val="nil"/>
              <w:right w:val="nil"/>
            </w:tcBorders>
            <w:noWrap/>
            <w:hideMark/>
          </w:tcPr>
          <w:p w14:paraId="2B96AECF"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KD1.7</w:t>
            </w:r>
          </w:p>
        </w:tc>
        <w:tc>
          <w:tcPr>
            <w:tcW w:w="943" w:type="pct"/>
            <w:tcBorders>
              <w:top w:val="nil"/>
              <w:left w:val="nil"/>
              <w:bottom w:val="nil"/>
              <w:right w:val="nil"/>
            </w:tcBorders>
            <w:noWrap/>
            <w:hideMark/>
          </w:tcPr>
          <w:p w14:paraId="4EBCFFD6"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0,68</w:t>
            </w:r>
          </w:p>
        </w:tc>
        <w:tc>
          <w:tcPr>
            <w:tcW w:w="1522" w:type="pct"/>
            <w:tcBorders>
              <w:top w:val="nil"/>
              <w:left w:val="nil"/>
              <w:bottom w:val="nil"/>
              <w:right w:val="nil"/>
            </w:tcBorders>
            <w:noWrap/>
            <w:hideMark/>
          </w:tcPr>
          <w:p w14:paraId="43AF854A"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0,723</w:t>
            </w:r>
          </w:p>
        </w:tc>
        <w:tc>
          <w:tcPr>
            <w:tcW w:w="897" w:type="pct"/>
            <w:tcBorders>
              <w:top w:val="nil"/>
              <w:left w:val="nil"/>
              <w:bottom w:val="nil"/>
              <w:right w:val="nil"/>
            </w:tcBorders>
            <w:noWrap/>
            <w:hideMark/>
          </w:tcPr>
          <w:p w14:paraId="3F994BD6"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0,923</w:t>
            </w:r>
          </w:p>
        </w:tc>
        <w:tc>
          <w:tcPr>
            <w:tcW w:w="1259" w:type="pct"/>
            <w:tcBorders>
              <w:top w:val="nil"/>
              <w:left w:val="nil"/>
              <w:bottom w:val="nil"/>
            </w:tcBorders>
            <w:noWrap/>
            <w:hideMark/>
          </w:tcPr>
          <w:p w14:paraId="76FF366B"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0,339</w:t>
            </w:r>
          </w:p>
        </w:tc>
      </w:tr>
      <w:tr w:rsidR="00C03BF6" w:rsidRPr="008B0387" w14:paraId="562F607A" w14:textId="77777777" w:rsidTr="00836B03">
        <w:trPr>
          <w:trHeight w:val="320"/>
        </w:trPr>
        <w:tc>
          <w:tcPr>
            <w:tcW w:w="379" w:type="pct"/>
            <w:tcBorders>
              <w:top w:val="nil"/>
              <w:bottom w:val="nil"/>
              <w:right w:val="nil"/>
            </w:tcBorders>
            <w:noWrap/>
            <w:hideMark/>
          </w:tcPr>
          <w:p w14:paraId="643D5796"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KD1.8</w:t>
            </w:r>
          </w:p>
        </w:tc>
        <w:tc>
          <w:tcPr>
            <w:tcW w:w="943" w:type="pct"/>
            <w:tcBorders>
              <w:top w:val="nil"/>
              <w:left w:val="nil"/>
              <w:bottom w:val="nil"/>
              <w:right w:val="nil"/>
            </w:tcBorders>
            <w:noWrap/>
            <w:hideMark/>
          </w:tcPr>
          <w:p w14:paraId="2055F88D"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0,699</w:t>
            </w:r>
          </w:p>
        </w:tc>
        <w:tc>
          <w:tcPr>
            <w:tcW w:w="1522" w:type="pct"/>
            <w:tcBorders>
              <w:top w:val="nil"/>
              <w:left w:val="nil"/>
              <w:bottom w:val="nil"/>
              <w:right w:val="nil"/>
            </w:tcBorders>
            <w:noWrap/>
            <w:hideMark/>
          </w:tcPr>
          <w:p w14:paraId="1D2CF1A5"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0,719</w:t>
            </w:r>
          </w:p>
        </w:tc>
        <w:tc>
          <w:tcPr>
            <w:tcW w:w="897" w:type="pct"/>
            <w:tcBorders>
              <w:top w:val="nil"/>
              <w:left w:val="nil"/>
              <w:bottom w:val="nil"/>
              <w:right w:val="nil"/>
            </w:tcBorders>
            <w:noWrap/>
            <w:hideMark/>
          </w:tcPr>
          <w:p w14:paraId="603F1829"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0,961</w:t>
            </w:r>
          </w:p>
        </w:tc>
        <w:tc>
          <w:tcPr>
            <w:tcW w:w="1259" w:type="pct"/>
            <w:tcBorders>
              <w:top w:val="nil"/>
              <w:left w:val="nil"/>
              <w:bottom w:val="nil"/>
            </w:tcBorders>
            <w:noWrap/>
            <w:hideMark/>
          </w:tcPr>
          <w:p w14:paraId="6F8ED933"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0,291</w:t>
            </w:r>
          </w:p>
        </w:tc>
      </w:tr>
      <w:tr w:rsidR="00C03BF6" w:rsidRPr="008B0387" w14:paraId="7C990DAC" w14:textId="77777777" w:rsidTr="00836B03">
        <w:trPr>
          <w:trHeight w:val="320"/>
        </w:trPr>
        <w:tc>
          <w:tcPr>
            <w:tcW w:w="379" w:type="pct"/>
            <w:tcBorders>
              <w:top w:val="nil"/>
              <w:bottom w:val="nil"/>
              <w:right w:val="nil"/>
            </w:tcBorders>
            <w:noWrap/>
            <w:hideMark/>
          </w:tcPr>
          <w:p w14:paraId="72951856"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KD1.9</w:t>
            </w:r>
          </w:p>
        </w:tc>
        <w:tc>
          <w:tcPr>
            <w:tcW w:w="943" w:type="pct"/>
            <w:tcBorders>
              <w:top w:val="nil"/>
              <w:left w:val="nil"/>
              <w:bottom w:val="nil"/>
              <w:right w:val="nil"/>
            </w:tcBorders>
            <w:noWrap/>
            <w:hideMark/>
          </w:tcPr>
          <w:p w14:paraId="5CD38A49"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0,608</w:t>
            </w:r>
          </w:p>
        </w:tc>
        <w:tc>
          <w:tcPr>
            <w:tcW w:w="1522" w:type="pct"/>
            <w:tcBorders>
              <w:top w:val="nil"/>
              <w:left w:val="nil"/>
              <w:bottom w:val="nil"/>
              <w:right w:val="nil"/>
            </w:tcBorders>
            <w:noWrap/>
            <w:hideMark/>
          </w:tcPr>
          <w:p w14:paraId="3A6CF3DA"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0,663</w:t>
            </w:r>
          </w:p>
        </w:tc>
        <w:tc>
          <w:tcPr>
            <w:tcW w:w="897" w:type="pct"/>
            <w:tcBorders>
              <w:top w:val="nil"/>
              <w:left w:val="nil"/>
              <w:bottom w:val="nil"/>
              <w:right w:val="nil"/>
            </w:tcBorders>
            <w:noWrap/>
            <w:hideMark/>
          </w:tcPr>
          <w:p w14:paraId="00D3CA2A"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0,787</w:t>
            </w:r>
          </w:p>
        </w:tc>
        <w:tc>
          <w:tcPr>
            <w:tcW w:w="1259" w:type="pct"/>
            <w:tcBorders>
              <w:top w:val="nil"/>
              <w:left w:val="nil"/>
              <w:bottom w:val="nil"/>
            </w:tcBorders>
            <w:noWrap/>
            <w:hideMark/>
          </w:tcPr>
          <w:p w14:paraId="57FF6A2C"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0,305</w:t>
            </w:r>
          </w:p>
        </w:tc>
      </w:tr>
      <w:tr w:rsidR="00C03BF6" w:rsidRPr="008B0387" w14:paraId="119519C6" w14:textId="77777777" w:rsidTr="00836B03">
        <w:trPr>
          <w:trHeight w:val="320"/>
        </w:trPr>
        <w:tc>
          <w:tcPr>
            <w:tcW w:w="379" w:type="pct"/>
            <w:tcBorders>
              <w:top w:val="nil"/>
              <w:bottom w:val="nil"/>
              <w:right w:val="nil"/>
            </w:tcBorders>
            <w:noWrap/>
            <w:hideMark/>
          </w:tcPr>
          <w:p w14:paraId="16AE762C"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KI1.10</w:t>
            </w:r>
          </w:p>
        </w:tc>
        <w:tc>
          <w:tcPr>
            <w:tcW w:w="943" w:type="pct"/>
            <w:tcBorders>
              <w:top w:val="nil"/>
              <w:left w:val="nil"/>
              <w:bottom w:val="nil"/>
              <w:right w:val="nil"/>
            </w:tcBorders>
            <w:noWrap/>
            <w:hideMark/>
          </w:tcPr>
          <w:p w14:paraId="3DF84509"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0,946</w:t>
            </w:r>
          </w:p>
        </w:tc>
        <w:tc>
          <w:tcPr>
            <w:tcW w:w="1522" w:type="pct"/>
            <w:tcBorders>
              <w:top w:val="nil"/>
              <w:left w:val="nil"/>
              <w:bottom w:val="nil"/>
              <w:right w:val="nil"/>
            </w:tcBorders>
            <w:noWrap/>
            <w:hideMark/>
          </w:tcPr>
          <w:p w14:paraId="787D35F2"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0,876</w:t>
            </w:r>
          </w:p>
        </w:tc>
        <w:tc>
          <w:tcPr>
            <w:tcW w:w="897" w:type="pct"/>
            <w:tcBorders>
              <w:top w:val="nil"/>
              <w:left w:val="nil"/>
              <w:bottom w:val="nil"/>
              <w:right w:val="nil"/>
            </w:tcBorders>
            <w:noWrap/>
            <w:hideMark/>
          </w:tcPr>
          <w:p w14:paraId="768B7049"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0,741</w:t>
            </w:r>
          </w:p>
        </w:tc>
        <w:tc>
          <w:tcPr>
            <w:tcW w:w="1259" w:type="pct"/>
            <w:tcBorders>
              <w:top w:val="nil"/>
              <w:left w:val="nil"/>
              <w:bottom w:val="nil"/>
            </w:tcBorders>
            <w:noWrap/>
            <w:hideMark/>
          </w:tcPr>
          <w:p w14:paraId="5E5F8599"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0,677</w:t>
            </w:r>
          </w:p>
        </w:tc>
      </w:tr>
      <w:tr w:rsidR="00C03BF6" w:rsidRPr="008B0387" w14:paraId="6ECBAD92" w14:textId="77777777" w:rsidTr="00836B03">
        <w:trPr>
          <w:trHeight w:val="320"/>
        </w:trPr>
        <w:tc>
          <w:tcPr>
            <w:tcW w:w="379" w:type="pct"/>
            <w:tcBorders>
              <w:top w:val="nil"/>
              <w:bottom w:val="nil"/>
              <w:right w:val="nil"/>
            </w:tcBorders>
            <w:noWrap/>
            <w:hideMark/>
          </w:tcPr>
          <w:p w14:paraId="200A7695"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KI1.11</w:t>
            </w:r>
          </w:p>
        </w:tc>
        <w:tc>
          <w:tcPr>
            <w:tcW w:w="943" w:type="pct"/>
            <w:tcBorders>
              <w:top w:val="nil"/>
              <w:left w:val="nil"/>
              <w:bottom w:val="nil"/>
              <w:right w:val="nil"/>
            </w:tcBorders>
            <w:noWrap/>
            <w:hideMark/>
          </w:tcPr>
          <w:p w14:paraId="4C73E7B4"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0,846</w:t>
            </w:r>
          </w:p>
        </w:tc>
        <w:tc>
          <w:tcPr>
            <w:tcW w:w="1522" w:type="pct"/>
            <w:tcBorders>
              <w:top w:val="nil"/>
              <w:left w:val="nil"/>
              <w:bottom w:val="nil"/>
              <w:right w:val="nil"/>
            </w:tcBorders>
            <w:noWrap/>
            <w:hideMark/>
          </w:tcPr>
          <w:p w14:paraId="158CB95D"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0,737</w:t>
            </w:r>
          </w:p>
        </w:tc>
        <w:tc>
          <w:tcPr>
            <w:tcW w:w="897" w:type="pct"/>
            <w:tcBorders>
              <w:top w:val="nil"/>
              <w:left w:val="nil"/>
              <w:bottom w:val="nil"/>
              <w:right w:val="nil"/>
            </w:tcBorders>
            <w:noWrap/>
            <w:hideMark/>
          </w:tcPr>
          <w:p w14:paraId="52AFD783"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0,556</w:t>
            </w:r>
          </w:p>
        </w:tc>
        <w:tc>
          <w:tcPr>
            <w:tcW w:w="1259" w:type="pct"/>
            <w:tcBorders>
              <w:top w:val="nil"/>
              <w:left w:val="nil"/>
              <w:bottom w:val="nil"/>
            </w:tcBorders>
            <w:noWrap/>
            <w:hideMark/>
          </w:tcPr>
          <w:p w14:paraId="3EEB954E"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0,626</w:t>
            </w:r>
          </w:p>
        </w:tc>
      </w:tr>
      <w:tr w:rsidR="00C03BF6" w:rsidRPr="008B0387" w14:paraId="33060352" w14:textId="77777777" w:rsidTr="00836B03">
        <w:trPr>
          <w:trHeight w:val="320"/>
        </w:trPr>
        <w:tc>
          <w:tcPr>
            <w:tcW w:w="379" w:type="pct"/>
            <w:tcBorders>
              <w:top w:val="nil"/>
              <w:bottom w:val="nil"/>
              <w:right w:val="nil"/>
            </w:tcBorders>
            <w:noWrap/>
            <w:hideMark/>
          </w:tcPr>
          <w:p w14:paraId="16CEAAE2"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KI1.12</w:t>
            </w:r>
          </w:p>
        </w:tc>
        <w:tc>
          <w:tcPr>
            <w:tcW w:w="943" w:type="pct"/>
            <w:tcBorders>
              <w:top w:val="nil"/>
              <w:left w:val="nil"/>
              <w:bottom w:val="nil"/>
              <w:right w:val="nil"/>
            </w:tcBorders>
            <w:noWrap/>
            <w:hideMark/>
          </w:tcPr>
          <w:p w14:paraId="117E68DC"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0,913</w:t>
            </w:r>
          </w:p>
        </w:tc>
        <w:tc>
          <w:tcPr>
            <w:tcW w:w="1522" w:type="pct"/>
            <w:tcBorders>
              <w:top w:val="nil"/>
              <w:left w:val="nil"/>
              <w:bottom w:val="nil"/>
              <w:right w:val="nil"/>
            </w:tcBorders>
            <w:noWrap/>
            <w:hideMark/>
          </w:tcPr>
          <w:p w14:paraId="398981B6"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0,868</w:t>
            </w:r>
          </w:p>
        </w:tc>
        <w:tc>
          <w:tcPr>
            <w:tcW w:w="897" w:type="pct"/>
            <w:tcBorders>
              <w:top w:val="nil"/>
              <w:left w:val="nil"/>
              <w:bottom w:val="nil"/>
              <w:right w:val="nil"/>
            </w:tcBorders>
            <w:noWrap/>
            <w:hideMark/>
          </w:tcPr>
          <w:p w14:paraId="6B41E906"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0,727</w:t>
            </w:r>
          </w:p>
        </w:tc>
        <w:tc>
          <w:tcPr>
            <w:tcW w:w="1259" w:type="pct"/>
            <w:tcBorders>
              <w:top w:val="nil"/>
              <w:left w:val="nil"/>
              <w:bottom w:val="nil"/>
            </w:tcBorders>
            <w:noWrap/>
            <w:hideMark/>
          </w:tcPr>
          <w:p w14:paraId="5A957713"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0,652</w:t>
            </w:r>
          </w:p>
        </w:tc>
      </w:tr>
      <w:tr w:rsidR="00C03BF6" w:rsidRPr="008B0387" w14:paraId="5B9FCC48" w14:textId="77777777" w:rsidTr="00836B03">
        <w:trPr>
          <w:trHeight w:val="320"/>
        </w:trPr>
        <w:tc>
          <w:tcPr>
            <w:tcW w:w="379" w:type="pct"/>
            <w:tcBorders>
              <w:top w:val="nil"/>
              <w:bottom w:val="nil"/>
              <w:right w:val="nil"/>
            </w:tcBorders>
            <w:noWrap/>
            <w:hideMark/>
          </w:tcPr>
          <w:p w14:paraId="08BA3E74"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KI1.2</w:t>
            </w:r>
          </w:p>
        </w:tc>
        <w:tc>
          <w:tcPr>
            <w:tcW w:w="943" w:type="pct"/>
            <w:tcBorders>
              <w:top w:val="nil"/>
              <w:left w:val="nil"/>
              <w:bottom w:val="nil"/>
              <w:right w:val="nil"/>
            </w:tcBorders>
            <w:noWrap/>
            <w:hideMark/>
          </w:tcPr>
          <w:p w14:paraId="6BFA9D90"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0,951</w:t>
            </w:r>
          </w:p>
        </w:tc>
        <w:tc>
          <w:tcPr>
            <w:tcW w:w="1522" w:type="pct"/>
            <w:tcBorders>
              <w:top w:val="nil"/>
              <w:left w:val="nil"/>
              <w:bottom w:val="nil"/>
              <w:right w:val="nil"/>
            </w:tcBorders>
            <w:noWrap/>
            <w:hideMark/>
          </w:tcPr>
          <w:p w14:paraId="087B8AB6"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0,884</w:t>
            </w:r>
          </w:p>
        </w:tc>
        <w:tc>
          <w:tcPr>
            <w:tcW w:w="897" w:type="pct"/>
            <w:tcBorders>
              <w:top w:val="nil"/>
              <w:left w:val="nil"/>
              <w:bottom w:val="nil"/>
              <w:right w:val="nil"/>
            </w:tcBorders>
            <w:noWrap/>
            <w:hideMark/>
          </w:tcPr>
          <w:p w14:paraId="06852317"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0,748</w:t>
            </w:r>
          </w:p>
        </w:tc>
        <w:tc>
          <w:tcPr>
            <w:tcW w:w="1259" w:type="pct"/>
            <w:tcBorders>
              <w:top w:val="nil"/>
              <w:left w:val="nil"/>
              <w:bottom w:val="nil"/>
            </w:tcBorders>
            <w:noWrap/>
            <w:hideMark/>
          </w:tcPr>
          <w:p w14:paraId="3C9FDAF5"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0,671</w:t>
            </w:r>
          </w:p>
        </w:tc>
      </w:tr>
      <w:tr w:rsidR="00C03BF6" w:rsidRPr="008B0387" w14:paraId="5B2B22CD" w14:textId="77777777" w:rsidTr="00836B03">
        <w:trPr>
          <w:trHeight w:val="320"/>
        </w:trPr>
        <w:tc>
          <w:tcPr>
            <w:tcW w:w="379" w:type="pct"/>
            <w:tcBorders>
              <w:top w:val="nil"/>
              <w:bottom w:val="nil"/>
              <w:right w:val="nil"/>
            </w:tcBorders>
            <w:noWrap/>
            <w:hideMark/>
          </w:tcPr>
          <w:p w14:paraId="1C6CD9D9"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KI1.3</w:t>
            </w:r>
          </w:p>
        </w:tc>
        <w:tc>
          <w:tcPr>
            <w:tcW w:w="943" w:type="pct"/>
            <w:tcBorders>
              <w:top w:val="nil"/>
              <w:left w:val="nil"/>
              <w:bottom w:val="nil"/>
              <w:right w:val="nil"/>
            </w:tcBorders>
            <w:noWrap/>
            <w:hideMark/>
          </w:tcPr>
          <w:p w14:paraId="16EE1EB2"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0,886</w:t>
            </w:r>
          </w:p>
        </w:tc>
        <w:tc>
          <w:tcPr>
            <w:tcW w:w="1522" w:type="pct"/>
            <w:tcBorders>
              <w:top w:val="nil"/>
              <w:left w:val="nil"/>
              <w:bottom w:val="nil"/>
              <w:right w:val="nil"/>
            </w:tcBorders>
            <w:noWrap/>
            <w:hideMark/>
          </w:tcPr>
          <w:p w14:paraId="481C435E"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0,785</w:t>
            </w:r>
          </w:p>
        </w:tc>
        <w:tc>
          <w:tcPr>
            <w:tcW w:w="897" w:type="pct"/>
            <w:tcBorders>
              <w:top w:val="nil"/>
              <w:left w:val="nil"/>
              <w:bottom w:val="nil"/>
              <w:right w:val="nil"/>
            </w:tcBorders>
            <w:noWrap/>
            <w:hideMark/>
          </w:tcPr>
          <w:p w14:paraId="7F514988"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0,712</w:t>
            </w:r>
          </w:p>
        </w:tc>
        <w:tc>
          <w:tcPr>
            <w:tcW w:w="1259" w:type="pct"/>
            <w:tcBorders>
              <w:top w:val="nil"/>
              <w:left w:val="nil"/>
              <w:bottom w:val="nil"/>
            </w:tcBorders>
            <w:noWrap/>
            <w:hideMark/>
          </w:tcPr>
          <w:p w14:paraId="6C7EE52F"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0,646</w:t>
            </w:r>
          </w:p>
        </w:tc>
      </w:tr>
      <w:tr w:rsidR="00C03BF6" w:rsidRPr="008B0387" w14:paraId="69BFA9A5" w14:textId="77777777" w:rsidTr="00836B03">
        <w:trPr>
          <w:trHeight w:val="320"/>
        </w:trPr>
        <w:tc>
          <w:tcPr>
            <w:tcW w:w="379" w:type="pct"/>
            <w:tcBorders>
              <w:top w:val="nil"/>
              <w:bottom w:val="nil"/>
              <w:right w:val="nil"/>
            </w:tcBorders>
            <w:noWrap/>
            <w:hideMark/>
          </w:tcPr>
          <w:p w14:paraId="20E2ED83"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KI1.4</w:t>
            </w:r>
          </w:p>
        </w:tc>
        <w:tc>
          <w:tcPr>
            <w:tcW w:w="943" w:type="pct"/>
            <w:tcBorders>
              <w:top w:val="nil"/>
              <w:left w:val="nil"/>
              <w:bottom w:val="nil"/>
              <w:right w:val="nil"/>
            </w:tcBorders>
            <w:noWrap/>
            <w:hideMark/>
          </w:tcPr>
          <w:p w14:paraId="3CBE88AA"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0,711</w:t>
            </w:r>
          </w:p>
        </w:tc>
        <w:tc>
          <w:tcPr>
            <w:tcW w:w="1522" w:type="pct"/>
            <w:tcBorders>
              <w:top w:val="nil"/>
              <w:left w:val="nil"/>
              <w:bottom w:val="nil"/>
              <w:right w:val="nil"/>
            </w:tcBorders>
            <w:noWrap/>
            <w:hideMark/>
          </w:tcPr>
          <w:p w14:paraId="748DC5EF"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0,632</w:t>
            </w:r>
          </w:p>
        </w:tc>
        <w:tc>
          <w:tcPr>
            <w:tcW w:w="897" w:type="pct"/>
            <w:tcBorders>
              <w:top w:val="nil"/>
              <w:left w:val="nil"/>
              <w:bottom w:val="nil"/>
              <w:right w:val="nil"/>
            </w:tcBorders>
            <w:noWrap/>
            <w:hideMark/>
          </w:tcPr>
          <w:p w14:paraId="7DEF5C67"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0,621</w:t>
            </w:r>
          </w:p>
        </w:tc>
        <w:tc>
          <w:tcPr>
            <w:tcW w:w="1259" w:type="pct"/>
            <w:tcBorders>
              <w:top w:val="nil"/>
              <w:left w:val="nil"/>
              <w:bottom w:val="nil"/>
            </w:tcBorders>
            <w:noWrap/>
            <w:hideMark/>
          </w:tcPr>
          <w:p w14:paraId="62B8E1EA"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0,435</w:t>
            </w:r>
          </w:p>
        </w:tc>
      </w:tr>
      <w:tr w:rsidR="00C03BF6" w:rsidRPr="008B0387" w14:paraId="64E6106B" w14:textId="77777777" w:rsidTr="00836B03">
        <w:trPr>
          <w:trHeight w:val="320"/>
        </w:trPr>
        <w:tc>
          <w:tcPr>
            <w:tcW w:w="379" w:type="pct"/>
            <w:tcBorders>
              <w:top w:val="nil"/>
              <w:bottom w:val="nil"/>
              <w:right w:val="nil"/>
            </w:tcBorders>
            <w:noWrap/>
            <w:hideMark/>
          </w:tcPr>
          <w:p w14:paraId="78DBFE66"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KI1.5</w:t>
            </w:r>
          </w:p>
        </w:tc>
        <w:tc>
          <w:tcPr>
            <w:tcW w:w="943" w:type="pct"/>
            <w:tcBorders>
              <w:top w:val="nil"/>
              <w:left w:val="nil"/>
              <w:bottom w:val="nil"/>
              <w:right w:val="nil"/>
            </w:tcBorders>
            <w:noWrap/>
            <w:hideMark/>
          </w:tcPr>
          <w:p w14:paraId="2ABB78A1"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0,933</w:t>
            </w:r>
          </w:p>
        </w:tc>
        <w:tc>
          <w:tcPr>
            <w:tcW w:w="1522" w:type="pct"/>
            <w:tcBorders>
              <w:top w:val="nil"/>
              <w:left w:val="nil"/>
              <w:bottom w:val="nil"/>
              <w:right w:val="nil"/>
            </w:tcBorders>
            <w:noWrap/>
            <w:hideMark/>
          </w:tcPr>
          <w:p w14:paraId="750F8FC7"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0,876</w:t>
            </w:r>
          </w:p>
        </w:tc>
        <w:tc>
          <w:tcPr>
            <w:tcW w:w="897" w:type="pct"/>
            <w:tcBorders>
              <w:top w:val="nil"/>
              <w:left w:val="nil"/>
              <w:bottom w:val="nil"/>
              <w:right w:val="nil"/>
            </w:tcBorders>
            <w:noWrap/>
            <w:hideMark/>
          </w:tcPr>
          <w:p w14:paraId="710BB695"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0,737</w:t>
            </w:r>
          </w:p>
        </w:tc>
        <w:tc>
          <w:tcPr>
            <w:tcW w:w="1259" w:type="pct"/>
            <w:tcBorders>
              <w:top w:val="nil"/>
              <w:left w:val="nil"/>
              <w:bottom w:val="nil"/>
            </w:tcBorders>
            <w:noWrap/>
            <w:hideMark/>
          </w:tcPr>
          <w:p w14:paraId="6968648B"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0,683</w:t>
            </w:r>
          </w:p>
        </w:tc>
      </w:tr>
      <w:tr w:rsidR="00C03BF6" w:rsidRPr="008B0387" w14:paraId="0A1A3FD6" w14:textId="77777777" w:rsidTr="00836B03">
        <w:trPr>
          <w:trHeight w:val="320"/>
        </w:trPr>
        <w:tc>
          <w:tcPr>
            <w:tcW w:w="379" w:type="pct"/>
            <w:tcBorders>
              <w:top w:val="nil"/>
              <w:bottom w:val="nil"/>
              <w:right w:val="nil"/>
            </w:tcBorders>
            <w:noWrap/>
            <w:hideMark/>
          </w:tcPr>
          <w:p w14:paraId="6910D699"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KI1.6</w:t>
            </w:r>
          </w:p>
        </w:tc>
        <w:tc>
          <w:tcPr>
            <w:tcW w:w="943" w:type="pct"/>
            <w:tcBorders>
              <w:top w:val="nil"/>
              <w:left w:val="nil"/>
              <w:bottom w:val="nil"/>
              <w:right w:val="nil"/>
            </w:tcBorders>
            <w:noWrap/>
            <w:hideMark/>
          </w:tcPr>
          <w:p w14:paraId="4605A3D8"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0,908</w:t>
            </w:r>
          </w:p>
        </w:tc>
        <w:tc>
          <w:tcPr>
            <w:tcW w:w="1522" w:type="pct"/>
            <w:tcBorders>
              <w:top w:val="nil"/>
              <w:left w:val="nil"/>
              <w:bottom w:val="nil"/>
              <w:right w:val="nil"/>
            </w:tcBorders>
            <w:noWrap/>
            <w:hideMark/>
          </w:tcPr>
          <w:p w14:paraId="616B5D66"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0,793</w:t>
            </w:r>
          </w:p>
        </w:tc>
        <w:tc>
          <w:tcPr>
            <w:tcW w:w="897" w:type="pct"/>
            <w:tcBorders>
              <w:top w:val="nil"/>
              <w:left w:val="nil"/>
              <w:bottom w:val="nil"/>
              <w:right w:val="nil"/>
            </w:tcBorders>
            <w:noWrap/>
            <w:hideMark/>
          </w:tcPr>
          <w:p w14:paraId="6EEAFA47"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0,651</w:t>
            </w:r>
          </w:p>
        </w:tc>
        <w:tc>
          <w:tcPr>
            <w:tcW w:w="1259" w:type="pct"/>
            <w:tcBorders>
              <w:top w:val="nil"/>
              <w:left w:val="nil"/>
              <w:bottom w:val="nil"/>
            </w:tcBorders>
            <w:noWrap/>
            <w:hideMark/>
          </w:tcPr>
          <w:p w14:paraId="47906908"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0,688</w:t>
            </w:r>
          </w:p>
        </w:tc>
      </w:tr>
      <w:tr w:rsidR="00C03BF6" w:rsidRPr="008B0387" w14:paraId="604530EF" w14:textId="77777777" w:rsidTr="00836B03">
        <w:trPr>
          <w:trHeight w:val="320"/>
        </w:trPr>
        <w:tc>
          <w:tcPr>
            <w:tcW w:w="379" w:type="pct"/>
            <w:tcBorders>
              <w:top w:val="nil"/>
              <w:bottom w:val="nil"/>
              <w:right w:val="nil"/>
            </w:tcBorders>
            <w:noWrap/>
            <w:hideMark/>
          </w:tcPr>
          <w:p w14:paraId="2C0FA5BF"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KI1.7</w:t>
            </w:r>
          </w:p>
        </w:tc>
        <w:tc>
          <w:tcPr>
            <w:tcW w:w="943" w:type="pct"/>
            <w:tcBorders>
              <w:top w:val="nil"/>
              <w:left w:val="nil"/>
              <w:bottom w:val="nil"/>
              <w:right w:val="nil"/>
            </w:tcBorders>
            <w:noWrap/>
            <w:hideMark/>
          </w:tcPr>
          <w:p w14:paraId="6F566248"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0,854</w:t>
            </w:r>
          </w:p>
        </w:tc>
        <w:tc>
          <w:tcPr>
            <w:tcW w:w="1522" w:type="pct"/>
            <w:tcBorders>
              <w:top w:val="nil"/>
              <w:left w:val="nil"/>
              <w:bottom w:val="nil"/>
              <w:right w:val="nil"/>
            </w:tcBorders>
            <w:noWrap/>
            <w:hideMark/>
          </w:tcPr>
          <w:p w14:paraId="60055273"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0,678</w:t>
            </w:r>
          </w:p>
        </w:tc>
        <w:tc>
          <w:tcPr>
            <w:tcW w:w="897" w:type="pct"/>
            <w:tcBorders>
              <w:top w:val="nil"/>
              <w:left w:val="nil"/>
              <w:bottom w:val="nil"/>
              <w:right w:val="nil"/>
            </w:tcBorders>
            <w:noWrap/>
            <w:hideMark/>
          </w:tcPr>
          <w:p w14:paraId="4738EE01"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0,575</w:t>
            </w:r>
          </w:p>
        </w:tc>
        <w:tc>
          <w:tcPr>
            <w:tcW w:w="1259" w:type="pct"/>
            <w:tcBorders>
              <w:top w:val="nil"/>
              <w:left w:val="nil"/>
              <w:bottom w:val="nil"/>
            </w:tcBorders>
            <w:noWrap/>
            <w:hideMark/>
          </w:tcPr>
          <w:p w14:paraId="6E0F693D"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0,561</w:t>
            </w:r>
          </w:p>
        </w:tc>
      </w:tr>
      <w:tr w:rsidR="00C03BF6" w:rsidRPr="008B0387" w14:paraId="237D52E2" w14:textId="77777777" w:rsidTr="00836B03">
        <w:trPr>
          <w:trHeight w:val="320"/>
        </w:trPr>
        <w:tc>
          <w:tcPr>
            <w:tcW w:w="379" w:type="pct"/>
            <w:tcBorders>
              <w:top w:val="nil"/>
              <w:bottom w:val="nil"/>
              <w:right w:val="nil"/>
            </w:tcBorders>
            <w:noWrap/>
            <w:hideMark/>
          </w:tcPr>
          <w:p w14:paraId="597330B1"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KI1.8</w:t>
            </w:r>
          </w:p>
        </w:tc>
        <w:tc>
          <w:tcPr>
            <w:tcW w:w="943" w:type="pct"/>
            <w:tcBorders>
              <w:top w:val="nil"/>
              <w:left w:val="nil"/>
              <w:bottom w:val="nil"/>
              <w:right w:val="nil"/>
            </w:tcBorders>
            <w:noWrap/>
            <w:hideMark/>
          </w:tcPr>
          <w:p w14:paraId="331FD769"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0,844</w:t>
            </w:r>
          </w:p>
        </w:tc>
        <w:tc>
          <w:tcPr>
            <w:tcW w:w="1522" w:type="pct"/>
            <w:tcBorders>
              <w:top w:val="nil"/>
              <w:left w:val="nil"/>
              <w:bottom w:val="nil"/>
              <w:right w:val="nil"/>
            </w:tcBorders>
            <w:noWrap/>
            <w:hideMark/>
          </w:tcPr>
          <w:p w14:paraId="67979A34"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0,695</w:t>
            </w:r>
          </w:p>
        </w:tc>
        <w:tc>
          <w:tcPr>
            <w:tcW w:w="897" w:type="pct"/>
            <w:tcBorders>
              <w:top w:val="nil"/>
              <w:left w:val="nil"/>
              <w:bottom w:val="nil"/>
              <w:right w:val="nil"/>
            </w:tcBorders>
            <w:noWrap/>
            <w:hideMark/>
          </w:tcPr>
          <w:p w14:paraId="3E03AC89"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0,625</w:t>
            </w:r>
          </w:p>
        </w:tc>
        <w:tc>
          <w:tcPr>
            <w:tcW w:w="1259" w:type="pct"/>
            <w:tcBorders>
              <w:top w:val="nil"/>
              <w:left w:val="nil"/>
              <w:bottom w:val="nil"/>
            </w:tcBorders>
            <w:noWrap/>
            <w:hideMark/>
          </w:tcPr>
          <w:p w14:paraId="2DFECFF9"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0,536</w:t>
            </w:r>
          </w:p>
        </w:tc>
      </w:tr>
      <w:tr w:rsidR="00C03BF6" w:rsidRPr="008B0387" w14:paraId="215CF917" w14:textId="77777777" w:rsidTr="00836B03">
        <w:trPr>
          <w:trHeight w:val="320"/>
        </w:trPr>
        <w:tc>
          <w:tcPr>
            <w:tcW w:w="379" w:type="pct"/>
            <w:tcBorders>
              <w:top w:val="nil"/>
              <w:bottom w:val="nil"/>
              <w:right w:val="nil"/>
            </w:tcBorders>
            <w:noWrap/>
            <w:hideMark/>
          </w:tcPr>
          <w:p w14:paraId="19E17043"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KI1.9</w:t>
            </w:r>
          </w:p>
        </w:tc>
        <w:tc>
          <w:tcPr>
            <w:tcW w:w="943" w:type="pct"/>
            <w:tcBorders>
              <w:top w:val="nil"/>
              <w:left w:val="nil"/>
              <w:bottom w:val="nil"/>
              <w:right w:val="nil"/>
            </w:tcBorders>
            <w:noWrap/>
            <w:hideMark/>
          </w:tcPr>
          <w:p w14:paraId="789C6ABE"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0,91</w:t>
            </w:r>
          </w:p>
        </w:tc>
        <w:tc>
          <w:tcPr>
            <w:tcW w:w="1522" w:type="pct"/>
            <w:tcBorders>
              <w:top w:val="nil"/>
              <w:left w:val="nil"/>
              <w:bottom w:val="nil"/>
              <w:right w:val="nil"/>
            </w:tcBorders>
            <w:noWrap/>
            <w:hideMark/>
          </w:tcPr>
          <w:p w14:paraId="23B7E1E7"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0,76</w:t>
            </w:r>
          </w:p>
        </w:tc>
        <w:tc>
          <w:tcPr>
            <w:tcW w:w="897" w:type="pct"/>
            <w:tcBorders>
              <w:top w:val="nil"/>
              <w:left w:val="nil"/>
              <w:bottom w:val="nil"/>
              <w:right w:val="nil"/>
            </w:tcBorders>
            <w:noWrap/>
            <w:hideMark/>
          </w:tcPr>
          <w:p w14:paraId="60621D87"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0,656</w:t>
            </w:r>
          </w:p>
        </w:tc>
        <w:tc>
          <w:tcPr>
            <w:tcW w:w="1259" w:type="pct"/>
            <w:tcBorders>
              <w:top w:val="nil"/>
              <w:left w:val="nil"/>
              <w:bottom w:val="nil"/>
            </w:tcBorders>
            <w:noWrap/>
            <w:hideMark/>
          </w:tcPr>
          <w:p w14:paraId="2F13B03E"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0,587</w:t>
            </w:r>
          </w:p>
        </w:tc>
      </w:tr>
      <w:tr w:rsidR="00C03BF6" w:rsidRPr="008B0387" w14:paraId="3D455D1B" w14:textId="77777777" w:rsidTr="00836B03">
        <w:trPr>
          <w:trHeight w:val="320"/>
        </w:trPr>
        <w:tc>
          <w:tcPr>
            <w:tcW w:w="379" w:type="pct"/>
            <w:tcBorders>
              <w:top w:val="nil"/>
              <w:bottom w:val="nil"/>
              <w:right w:val="nil"/>
            </w:tcBorders>
            <w:noWrap/>
            <w:hideMark/>
          </w:tcPr>
          <w:p w14:paraId="06CCB489"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LA2.1</w:t>
            </w:r>
          </w:p>
        </w:tc>
        <w:tc>
          <w:tcPr>
            <w:tcW w:w="943" w:type="pct"/>
            <w:tcBorders>
              <w:top w:val="nil"/>
              <w:left w:val="nil"/>
              <w:bottom w:val="nil"/>
              <w:right w:val="nil"/>
            </w:tcBorders>
            <w:noWrap/>
            <w:hideMark/>
          </w:tcPr>
          <w:p w14:paraId="7636A2B0"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0,618</w:t>
            </w:r>
          </w:p>
        </w:tc>
        <w:tc>
          <w:tcPr>
            <w:tcW w:w="1522" w:type="pct"/>
            <w:tcBorders>
              <w:top w:val="nil"/>
              <w:left w:val="nil"/>
              <w:bottom w:val="nil"/>
              <w:right w:val="nil"/>
            </w:tcBorders>
            <w:noWrap/>
            <w:hideMark/>
          </w:tcPr>
          <w:p w14:paraId="290C3F9C"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0,607</w:t>
            </w:r>
          </w:p>
        </w:tc>
        <w:tc>
          <w:tcPr>
            <w:tcW w:w="897" w:type="pct"/>
            <w:tcBorders>
              <w:top w:val="nil"/>
              <w:left w:val="nil"/>
              <w:bottom w:val="nil"/>
              <w:right w:val="nil"/>
            </w:tcBorders>
            <w:noWrap/>
            <w:hideMark/>
          </w:tcPr>
          <w:p w14:paraId="55F11F4F"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0,463</w:t>
            </w:r>
          </w:p>
        </w:tc>
        <w:tc>
          <w:tcPr>
            <w:tcW w:w="1259" w:type="pct"/>
            <w:tcBorders>
              <w:top w:val="nil"/>
              <w:left w:val="nil"/>
              <w:bottom w:val="nil"/>
            </w:tcBorders>
            <w:noWrap/>
            <w:hideMark/>
          </w:tcPr>
          <w:p w14:paraId="1E4AF929"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0,736</w:t>
            </w:r>
          </w:p>
        </w:tc>
      </w:tr>
      <w:tr w:rsidR="00C03BF6" w:rsidRPr="008B0387" w14:paraId="53D566F5" w14:textId="77777777" w:rsidTr="00836B03">
        <w:trPr>
          <w:trHeight w:val="320"/>
        </w:trPr>
        <w:tc>
          <w:tcPr>
            <w:tcW w:w="379" w:type="pct"/>
            <w:tcBorders>
              <w:top w:val="nil"/>
              <w:bottom w:val="nil"/>
              <w:right w:val="nil"/>
            </w:tcBorders>
            <w:noWrap/>
            <w:hideMark/>
          </w:tcPr>
          <w:p w14:paraId="2911AC07"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LA2.2</w:t>
            </w:r>
          </w:p>
        </w:tc>
        <w:tc>
          <w:tcPr>
            <w:tcW w:w="943" w:type="pct"/>
            <w:tcBorders>
              <w:top w:val="nil"/>
              <w:left w:val="nil"/>
              <w:bottom w:val="nil"/>
              <w:right w:val="nil"/>
            </w:tcBorders>
            <w:noWrap/>
            <w:hideMark/>
          </w:tcPr>
          <w:p w14:paraId="26014C81"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0,578</w:t>
            </w:r>
          </w:p>
        </w:tc>
        <w:tc>
          <w:tcPr>
            <w:tcW w:w="1522" w:type="pct"/>
            <w:tcBorders>
              <w:top w:val="nil"/>
              <w:left w:val="nil"/>
              <w:bottom w:val="nil"/>
              <w:right w:val="nil"/>
            </w:tcBorders>
            <w:noWrap/>
            <w:hideMark/>
          </w:tcPr>
          <w:p w14:paraId="1AE0C10A"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0,548</w:t>
            </w:r>
          </w:p>
        </w:tc>
        <w:tc>
          <w:tcPr>
            <w:tcW w:w="897" w:type="pct"/>
            <w:tcBorders>
              <w:top w:val="nil"/>
              <w:left w:val="nil"/>
              <w:bottom w:val="nil"/>
              <w:right w:val="nil"/>
            </w:tcBorders>
            <w:noWrap/>
            <w:hideMark/>
          </w:tcPr>
          <w:p w14:paraId="3B5A5DBF"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0,318</w:t>
            </w:r>
          </w:p>
        </w:tc>
        <w:tc>
          <w:tcPr>
            <w:tcW w:w="1259" w:type="pct"/>
            <w:tcBorders>
              <w:top w:val="nil"/>
              <w:left w:val="nil"/>
              <w:bottom w:val="nil"/>
            </w:tcBorders>
            <w:noWrap/>
            <w:hideMark/>
          </w:tcPr>
          <w:p w14:paraId="14CB3C4F"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0,921</w:t>
            </w:r>
          </w:p>
        </w:tc>
      </w:tr>
      <w:tr w:rsidR="00C03BF6" w:rsidRPr="008B0387" w14:paraId="0536253E" w14:textId="77777777" w:rsidTr="00836B03">
        <w:trPr>
          <w:trHeight w:val="320"/>
        </w:trPr>
        <w:tc>
          <w:tcPr>
            <w:tcW w:w="379" w:type="pct"/>
            <w:tcBorders>
              <w:top w:val="nil"/>
              <w:bottom w:val="nil"/>
              <w:right w:val="nil"/>
            </w:tcBorders>
            <w:noWrap/>
            <w:hideMark/>
          </w:tcPr>
          <w:p w14:paraId="3CDBB10D"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LA2.3</w:t>
            </w:r>
          </w:p>
        </w:tc>
        <w:tc>
          <w:tcPr>
            <w:tcW w:w="943" w:type="pct"/>
            <w:tcBorders>
              <w:top w:val="nil"/>
              <w:left w:val="nil"/>
              <w:bottom w:val="nil"/>
              <w:right w:val="nil"/>
            </w:tcBorders>
            <w:noWrap/>
            <w:hideMark/>
          </w:tcPr>
          <w:p w14:paraId="532416B7"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0,648</w:t>
            </w:r>
          </w:p>
        </w:tc>
        <w:tc>
          <w:tcPr>
            <w:tcW w:w="1522" w:type="pct"/>
            <w:tcBorders>
              <w:top w:val="nil"/>
              <w:left w:val="nil"/>
              <w:bottom w:val="nil"/>
              <w:right w:val="nil"/>
            </w:tcBorders>
            <w:noWrap/>
            <w:hideMark/>
          </w:tcPr>
          <w:p w14:paraId="2A883FE6"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0,573</w:t>
            </w:r>
          </w:p>
        </w:tc>
        <w:tc>
          <w:tcPr>
            <w:tcW w:w="897" w:type="pct"/>
            <w:tcBorders>
              <w:top w:val="nil"/>
              <w:left w:val="nil"/>
              <w:bottom w:val="nil"/>
              <w:right w:val="nil"/>
            </w:tcBorders>
            <w:noWrap/>
            <w:hideMark/>
          </w:tcPr>
          <w:p w14:paraId="48083717"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0,343</w:t>
            </w:r>
          </w:p>
        </w:tc>
        <w:tc>
          <w:tcPr>
            <w:tcW w:w="1259" w:type="pct"/>
            <w:tcBorders>
              <w:top w:val="nil"/>
              <w:left w:val="nil"/>
              <w:bottom w:val="nil"/>
            </w:tcBorders>
            <w:noWrap/>
            <w:hideMark/>
          </w:tcPr>
          <w:p w14:paraId="7E3653B4"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0,93</w:t>
            </w:r>
          </w:p>
        </w:tc>
      </w:tr>
      <w:tr w:rsidR="00C03BF6" w:rsidRPr="008B0387" w14:paraId="4F024350" w14:textId="77777777" w:rsidTr="00836B03">
        <w:trPr>
          <w:trHeight w:val="320"/>
        </w:trPr>
        <w:tc>
          <w:tcPr>
            <w:tcW w:w="379" w:type="pct"/>
            <w:tcBorders>
              <w:top w:val="nil"/>
              <w:bottom w:val="nil"/>
              <w:right w:val="nil"/>
            </w:tcBorders>
            <w:noWrap/>
            <w:hideMark/>
          </w:tcPr>
          <w:p w14:paraId="093F70F3"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LA2.5</w:t>
            </w:r>
          </w:p>
        </w:tc>
        <w:tc>
          <w:tcPr>
            <w:tcW w:w="943" w:type="pct"/>
            <w:tcBorders>
              <w:top w:val="nil"/>
              <w:left w:val="nil"/>
              <w:bottom w:val="nil"/>
              <w:right w:val="nil"/>
            </w:tcBorders>
            <w:noWrap/>
            <w:hideMark/>
          </w:tcPr>
          <w:p w14:paraId="61DCE14F"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0,53</w:t>
            </w:r>
          </w:p>
        </w:tc>
        <w:tc>
          <w:tcPr>
            <w:tcW w:w="1522" w:type="pct"/>
            <w:tcBorders>
              <w:top w:val="nil"/>
              <w:left w:val="nil"/>
              <w:bottom w:val="nil"/>
              <w:right w:val="nil"/>
            </w:tcBorders>
            <w:noWrap/>
            <w:hideMark/>
          </w:tcPr>
          <w:p w14:paraId="71BC7507"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0,48</w:t>
            </w:r>
          </w:p>
        </w:tc>
        <w:tc>
          <w:tcPr>
            <w:tcW w:w="897" w:type="pct"/>
            <w:tcBorders>
              <w:top w:val="nil"/>
              <w:left w:val="nil"/>
              <w:bottom w:val="nil"/>
              <w:right w:val="nil"/>
            </w:tcBorders>
            <w:noWrap/>
            <w:hideMark/>
          </w:tcPr>
          <w:p w14:paraId="65E28BDF"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0,292</w:t>
            </w:r>
          </w:p>
        </w:tc>
        <w:tc>
          <w:tcPr>
            <w:tcW w:w="1259" w:type="pct"/>
            <w:tcBorders>
              <w:top w:val="nil"/>
              <w:left w:val="nil"/>
              <w:bottom w:val="nil"/>
            </w:tcBorders>
            <w:noWrap/>
            <w:hideMark/>
          </w:tcPr>
          <w:p w14:paraId="3F1CCD71"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0,788</w:t>
            </w:r>
          </w:p>
        </w:tc>
      </w:tr>
      <w:tr w:rsidR="00C03BF6" w:rsidRPr="008B0387" w14:paraId="4692FA72" w14:textId="77777777" w:rsidTr="00836B03">
        <w:trPr>
          <w:trHeight w:val="320"/>
        </w:trPr>
        <w:tc>
          <w:tcPr>
            <w:tcW w:w="379" w:type="pct"/>
            <w:tcBorders>
              <w:top w:val="nil"/>
              <w:bottom w:val="nil"/>
              <w:right w:val="nil"/>
            </w:tcBorders>
            <w:noWrap/>
            <w:hideMark/>
          </w:tcPr>
          <w:p w14:paraId="24DD370B"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LA2.6</w:t>
            </w:r>
          </w:p>
        </w:tc>
        <w:tc>
          <w:tcPr>
            <w:tcW w:w="943" w:type="pct"/>
            <w:tcBorders>
              <w:top w:val="nil"/>
              <w:left w:val="nil"/>
              <w:bottom w:val="nil"/>
              <w:right w:val="nil"/>
            </w:tcBorders>
            <w:noWrap/>
            <w:hideMark/>
          </w:tcPr>
          <w:p w14:paraId="559578D0"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0,66</w:t>
            </w:r>
          </w:p>
        </w:tc>
        <w:tc>
          <w:tcPr>
            <w:tcW w:w="1522" w:type="pct"/>
            <w:tcBorders>
              <w:top w:val="nil"/>
              <w:left w:val="nil"/>
              <w:bottom w:val="nil"/>
              <w:right w:val="nil"/>
            </w:tcBorders>
            <w:noWrap/>
            <w:hideMark/>
          </w:tcPr>
          <w:p w14:paraId="624898E7"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0,564</w:t>
            </w:r>
          </w:p>
        </w:tc>
        <w:tc>
          <w:tcPr>
            <w:tcW w:w="897" w:type="pct"/>
            <w:tcBorders>
              <w:top w:val="nil"/>
              <w:left w:val="nil"/>
              <w:bottom w:val="nil"/>
              <w:right w:val="nil"/>
            </w:tcBorders>
            <w:noWrap/>
            <w:hideMark/>
          </w:tcPr>
          <w:p w14:paraId="161ED1DA"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0,332</w:t>
            </w:r>
          </w:p>
        </w:tc>
        <w:tc>
          <w:tcPr>
            <w:tcW w:w="1259" w:type="pct"/>
            <w:tcBorders>
              <w:top w:val="nil"/>
              <w:left w:val="nil"/>
              <w:bottom w:val="nil"/>
            </w:tcBorders>
            <w:noWrap/>
            <w:hideMark/>
          </w:tcPr>
          <w:p w14:paraId="37655C4E"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0,922</w:t>
            </w:r>
          </w:p>
        </w:tc>
      </w:tr>
      <w:tr w:rsidR="00C03BF6" w:rsidRPr="008B0387" w14:paraId="21316B85" w14:textId="77777777" w:rsidTr="00836B03">
        <w:trPr>
          <w:trHeight w:val="320"/>
        </w:trPr>
        <w:tc>
          <w:tcPr>
            <w:tcW w:w="379" w:type="pct"/>
            <w:tcBorders>
              <w:top w:val="nil"/>
              <w:bottom w:val="nil"/>
              <w:right w:val="nil"/>
            </w:tcBorders>
            <w:noWrap/>
            <w:hideMark/>
          </w:tcPr>
          <w:p w14:paraId="0F9EC6A7"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LA2.8</w:t>
            </w:r>
          </w:p>
        </w:tc>
        <w:tc>
          <w:tcPr>
            <w:tcW w:w="943" w:type="pct"/>
            <w:tcBorders>
              <w:top w:val="nil"/>
              <w:left w:val="nil"/>
              <w:bottom w:val="nil"/>
              <w:right w:val="nil"/>
            </w:tcBorders>
            <w:noWrap/>
            <w:hideMark/>
          </w:tcPr>
          <w:p w14:paraId="5937A2F9"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0,62</w:t>
            </w:r>
          </w:p>
        </w:tc>
        <w:tc>
          <w:tcPr>
            <w:tcW w:w="1522" w:type="pct"/>
            <w:tcBorders>
              <w:top w:val="nil"/>
              <w:left w:val="nil"/>
              <w:bottom w:val="nil"/>
              <w:right w:val="nil"/>
            </w:tcBorders>
            <w:noWrap/>
            <w:hideMark/>
          </w:tcPr>
          <w:p w14:paraId="46740E09"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0,564</w:t>
            </w:r>
          </w:p>
        </w:tc>
        <w:tc>
          <w:tcPr>
            <w:tcW w:w="897" w:type="pct"/>
            <w:tcBorders>
              <w:top w:val="nil"/>
              <w:left w:val="nil"/>
              <w:bottom w:val="nil"/>
              <w:right w:val="nil"/>
            </w:tcBorders>
            <w:noWrap/>
            <w:hideMark/>
          </w:tcPr>
          <w:p w14:paraId="6D4B5877"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0,297</w:t>
            </w:r>
          </w:p>
        </w:tc>
        <w:tc>
          <w:tcPr>
            <w:tcW w:w="1259" w:type="pct"/>
            <w:tcBorders>
              <w:top w:val="nil"/>
              <w:left w:val="nil"/>
              <w:bottom w:val="nil"/>
            </w:tcBorders>
            <w:noWrap/>
            <w:hideMark/>
          </w:tcPr>
          <w:p w14:paraId="7E8DCE54"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0,942</w:t>
            </w:r>
          </w:p>
        </w:tc>
      </w:tr>
      <w:tr w:rsidR="00C03BF6" w:rsidRPr="008B0387" w14:paraId="4B47070E" w14:textId="77777777" w:rsidTr="00836B03">
        <w:trPr>
          <w:trHeight w:val="320"/>
        </w:trPr>
        <w:tc>
          <w:tcPr>
            <w:tcW w:w="379" w:type="pct"/>
            <w:tcBorders>
              <w:top w:val="nil"/>
              <w:bottom w:val="nil"/>
              <w:right w:val="nil"/>
            </w:tcBorders>
            <w:noWrap/>
            <w:hideMark/>
          </w:tcPr>
          <w:p w14:paraId="7FF6A2A8"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LA2.9</w:t>
            </w:r>
          </w:p>
        </w:tc>
        <w:tc>
          <w:tcPr>
            <w:tcW w:w="943" w:type="pct"/>
            <w:tcBorders>
              <w:top w:val="nil"/>
              <w:left w:val="nil"/>
              <w:bottom w:val="nil"/>
              <w:right w:val="nil"/>
            </w:tcBorders>
            <w:noWrap/>
            <w:hideMark/>
          </w:tcPr>
          <w:p w14:paraId="33CB02F7"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0,659</w:t>
            </w:r>
          </w:p>
        </w:tc>
        <w:tc>
          <w:tcPr>
            <w:tcW w:w="1522" w:type="pct"/>
            <w:tcBorders>
              <w:top w:val="nil"/>
              <w:left w:val="nil"/>
              <w:bottom w:val="nil"/>
              <w:right w:val="nil"/>
            </w:tcBorders>
            <w:noWrap/>
            <w:hideMark/>
          </w:tcPr>
          <w:p w14:paraId="0E3D81FE"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0,587</w:t>
            </w:r>
          </w:p>
        </w:tc>
        <w:tc>
          <w:tcPr>
            <w:tcW w:w="897" w:type="pct"/>
            <w:tcBorders>
              <w:top w:val="nil"/>
              <w:left w:val="nil"/>
              <w:bottom w:val="nil"/>
              <w:right w:val="nil"/>
            </w:tcBorders>
            <w:noWrap/>
            <w:hideMark/>
          </w:tcPr>
          <w:p w14:paraId="68B0B2F4"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0,304</w:t>
            </w:r>
          </w:p>
        </w:tc>
        <w:tc>
          <w:tcPr>
            <w:tcW w:w="1259" w:type="pct"/>
            <w:tcBorders>
              <w:top w:val="nil"/>
              <w:left w:val="nil"/>
              <w:bottom w:val="nil"/>
            </w:tcBorders>
            <w:noWrap/>
            <w:hideMark/>
          </w:tcPr>
          <w:p w14:paraId="5DCE37FF"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0,937</w:t>
            </w:r>
          </w:p>
        </w:tc>
      </w:tr>
      <w:tr w:rsidR="00C03BF6" w:rsidRPr="008B0387" w14:paraId="048F0859" w14:textId="77777777" w:rsidTr="00836B03">
        <w:trPr>
          <w:trHeight w:val="320"/>
        </w:trPr>
        <w:tc>
          <w:tcPr>
            <w:tcW w:w="379" w:type="pct"/>
            <w:tcBorders>
              <w:top w:val="nil"/>
              <w:right w:val="nil"/>
            </w:tcBorders>
            <w:noWrap/>
            <w:hideMark/>
          </w:tcPr>
          <w:p w14:paraId="7EE6809E"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Tahoma" w:eastAsia="Arial" w:hAnsi="Tahoma" w:cs="Tahoma"/>
                <w:lang w:val="id-ID"/>
              </w:rPr>
              <w:t>﻿</w:t>
            </w:r>
            <w:r w:rsidRPr="008B0387">
              <w:rPr>
                <w:rFonts w:ascii="Arial" w:eastAsia="Arial" w:hAnsi="Arial" w:cs="Arial"/>
                <w:lang w:val="id-ID"/>
              </w:rPr>
              <w:t>KD1.1</w:t>
            </w:r>
          </w:p>
        </w:tc>
        <w:tc>
          <w:tcPr>
            <w:tcW w:w="943" w:type="pct"/>
            <w:tcBorders>
              <w:top w:val="nil"/>
              <w:left w:val="nil"/>
              <w:right w:val="nil"/>
            </w:tcBorders>
            <w:noWrap/>
            <w:hideMark/>
          </w:tcPr>
          <w:p w14:paraId="6BE13A1D"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0,661</w:t>
            </w:r>
          </w:p>
        </w:tc>
        <w:tc>
          <w:tcPr>
            <w:tcW w:w="1522" w:type="pct"/>
            <w:tcBorders>
              <w:top w:val="nil"/>
              <w:left w:val="nil"/>
              <w:right w:val="nil"/>
            </w:tcBorders>
            <w:noWrap/>
            <w:hideMark/>
          </w:tcPr>
          <w:p w14:paraId="3A7F492C"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0,678</w:t>
            </w:r>
          </w:p>
        </w:tc>
        <w:tc>
          <w:tcPr>
            <w:tcW w:w="897" w:type="pct"/>
            <w:tcBorders>
              <w:top w:val="nil"/>
              <w:left w:val="nil"/>
              <w:right w:val="nil"/>
            </w:tcBorders>
            <w:noWrap/>
            <w:hideMark/>
          </w:tcPr>
          <w:p w14:paraId="4026E058"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0,871</w:t>
            </w:r>
          </w:p>
        </w:tc>
        <w:tc>
          <w:tcPr>
            <w:tcW w:w="1259" w:type="pct"/>
            <w:tcBorders>
              <w:top w:val="nil"/>
              <w:left w:val="nil"/>
            </w:tcBorders>
            <w:noWrap/>
            <w:hideMark/>
          </w:tcPr>
          <w:p w14:paraId="2E797520"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0,312</w:t>
            </w:r>
          </w:p>
        </w:tc>
      </w:tr>
    </w:tbl>
    <w:p w14:paraId="7E3FE8E3" w14:textId="77777777" w:rsidR="00C03BF6" w:rsidRPr="008B0387" w:rsidRDefault="00C03BF6" w:rsidP="00C03BF6">
      <w:pPr>
        <w:jc w:val="center"/>
        <w:rPr>
          <w:rFonts w:ascii="Arial" w:eastAsia="Arial" w:hAnsi="Arial" w:cs="Arial"/>
          <w:bCs/>
          <w:sz w:val="18"/>
          <w:szCs w:val="18"/>
        </w:rPr>
      </w:pPr>
      <w:r w:rsidRPr="008B0387">
        <w:rPr>
          <w:rFonts w:ascii="Arial" w:eastAsia="Arial" w:hAnsi="Arial" w:cs="Arial"/>
          <w:bCs/>
          <w:sz w:val="18"/>
          <w:szCs w:val="18"/>
        </w:rPr>
        <w:t>Source: PLS 3 result data, processed (2025)</w:t>
      </w:r>
    </w:p>
    <w:p w14:paraId="74D65342" w14:textId="77777777" w:rsidR="00C03BF6" w:rsidRPr="008B0387" w:rsidRDefault="00C03BF6" w:rsidP="00B35B23">
      <w:pPr>
        <w:pBdr>
          <w:top w:val="nil"/>
          <w:left w:val="nil"/>
          <w:bottom w:val="nil"/>
          <w:right w:val="nil"/>
          <w:between w:val="nil"/>
        </w:pBdr>
        <w:jc w:val="both"/>
        <w:rPr>
          <w:rFonts w:ascii="Arial" w:eastAsia="Arial" w:hAnsi="Arial" w:cs="Arial"/>
          <w:b/>
        </w:rPr>
      </w:pPr>
    </w:p>
    <w:p w14:paraId="54A8E341" w14:textId="6E230F93" w:rsidR="00154047" w:rsidRPr="008B0387" w:rsidRDefault="00154047" w:rsidP="00B35B23">
      <w:pPr>
        <w:pBdr>
          <w:top w:val="nil"/>
          <w:left w:val="nil"/>
          <w:bottom w:val="nil"/>
          <w:right w:val="nil"/>
          <w:between w:val="nil"/>
        </w:pBdr>
        <w:ind w:left="426" w:hanging="426"/>
        <w:jc w:val="both"/>
        <w:rPr>
          <w:rFonts w:ascii="Arial" w:eastAsia="Arial" w:hAnsi="Arial" w:cs="Arial"/>
        </w:rPr>
      </w:pPr>
    </w:p>
    <w:p w14:paraId="52197EE0" w14:textId="3725369C" w:rsidR="00154047" w:rsidRPr="008B0387" w:rsidRDefault="00154047" w:rsidP="00B35B23">
      <w:pPr>
        <w:pBdr>
          <w:top w:val="nil"/>
          <w:left w:val="nil"/>
          <w:bottom w:val="nil"/>
          <w:right w:val="nil"/>
          <w:between w:val="nil"/>
        </w:pBdr>
        <w:ind w:left="426" w:hanging="426"/>
        <w:jc w:val="both"/>
        <w:rPr>
          <w:rFonts w:ascii="Arial" w:eastAsia="Arial" w:hAnsi="Arial" w:cs="Arial"/>
        </w:rPr>
      </w:pPr>
    </w:p>
    <w:p w14:paraId="29ACD358" w14:textId="6634942F" w:rsidR="00154047" w:rsidRPr="0052175B" w:rsidRDefault="00154047" w:rsidP="00B35B23">
      <w:pPr>
        <w:pBdr>
          <w:top w:val="nil"/>
          <w:left w:val="nil"/>
          <w:bottom w:val="nil"/>
          <w:right w:val="nil"/>
          <w:between w:val="nil"/>
        </w:pBdr>
        <w:ind w:left="426" w:hanging="426"/>
        <w:jc w:val="both"/>
        <w:rPr>
          <w:rFonts w:ascii="Arial" w:eastAsia="Arial" w:hAnsi="Arial" w:cs="Arial"/>
          <w:lang w:val="en-US"/>
        </w:rPr>
      </w:pPr>
    </w:p>
    <w:p w14:paraId="0A25B847" w14:textId="641B302A" w:rsidR="00154047" w:rsidRPr="008B0387" w:rsidRDefault="00154047" w:rsidP="00B35B23">
      <w:pPr>
        <w:pBdr>
          <w:top w:val="nil"/>
          <w:left w:val="nil"/>
          <w:bottom w:val="nil"/>
          <w:right w:val="nil"/>
          <w:between w:val="nil"/>
        </w:pBdr>
        <w:ind w:left="426" w:hanging="426"/>
        <w:jc w:val="both"/>
        <w:rPr>
          <w:rFonts w:ascii="Arial" w:eastAsia="Arial" w:hAnsi="Arial" w:cs="Arial"/>
        </w:rPr>
      </w:pPr>
    </w:p>
    <w:p w14:paraId="0213BA31" w14:textId="49DA91BD" w:rsidR="00154047" w:rsidRPr="008B0387" w:rsidRDefault="00154047" w:rsidP="00B35B23">
      <w:pPr>
        <w:pBdr>
          <w:top w:val="nil"/>
          <w:left w:val="nil"/>
          <w:bottom w:val="nil"/>
          <w:right w:val="nil"/>
          <w:between w:val="nil"/>
        </w:pBdr>
        <w:ind w:left="426" w:hanging="426"/>
        <w:jc w:val="both"/>
        <w:rPr>
          <w:rFonts w:ascii="Arial" w:eastAsia="Arial" w:hAnsi="Arial" w:cs="Arial"/>
        </w:rPr>
      </w:pPr>
    </w:p>
    <w:p w14:paraId="6115D262" w14:textId="1D34D877" w:rsidR="00154047" w:rsidRPr="008B0387" w:rsidRDefault="00154047" w:rsidP="00B35B23">
      <w:pPr>
        <w:pBdr>
          <w:top w:val="nil"/>
          <w:left w:val="nil"/>
          <w:bottom w:val="nil"/>
          <w:right w:val="nil"/>
          <w:between w:val="nil"/>
        </w:pBdr>
        <w:ind w:left="426" w:hanging="426"/>
        <w:jc w:val="both"/>
        <w:rPr>
          <w:rFonts w:ascii="Arial" w:eastAsia="Arial" w:hAnsi="Arial" w:cs="Arial"/>
        </w:rPr>
      </w:pPr>
    </w:p>
    <w:p w14:paraId="0F60FF10" w14:textId="1725B446" w:rsidR="00154047" w:rsidRPr="008B0387" w:rsidRDefault="00154047" w:rsidP="00B35B23">
      <w:pPr>
        <w:pBdr>
          <w:top w:val="nil"/>
          <w:left w:val="nil"/>
          <w:bottom w:val="nil"/>
          <w:right w:val="nil"/>
          <w:between w:val="nil"/>
        </w:pBdr>
        <w:jc w:val="both"/>
        <w:rPr>
          <w:rFonts w:ascii="Arial" w:eastAsia="Arial" w:hAnsi="Arial" w:cs="Arial"/>
        </w:rPr>
      </w:pPr>
    </w:p>
    <w:p w14:paraId="1C81A265" w14:textId="343FC2AD" w:rsidR="00154047" w:rsidRPr="008B0387" w:rsidRDefault="00154047" w:rsidP="00B35B23">
      <w:pPr>
        <w:pBdr>
          <w:top w:val="nil"/>
          <w:left w:val="nil"/>
          <w:bottom w:val="nil"/>
          <w:right w:val="nil"/>
          <w:between w:val="nil"/>
        </w:pBdr>
        <w:jc w:val="both"/>
        <w:rPr>
          <w:rFonts w:ascii="Arial" w:eastAsia="Arial" w:hAnsi="Arial" w:cs="Arial"/>
        </w:rPr>
      </w:pPr>
    </w:p>
    <w:bookmarkEnd w:id="0"/>
    <w:p w14:paraId="56FE35CF" w14:textId="595B6A34" w:rsidR="00C0694C" w:rsidRPr="008B0387" w:rsidRDefault="00C0694C" w:rsidP="00B35B23">
      <w:pPr>
        <w:keepNext/>
        <w:pBdr>
          <w:top w:val="nil"/>
          <w:left w:val="nil"/>
          <w:bottom w:val="nil"/>
          <w:right w:val="nil"/>
          <w:between w:val="nil"/>
        </w:pBdr>
        <w:jc w:val="both"/>
        <w:rPr>
          <w:rFonts w:ascii="Arial" w:eastAsia="Arial" w:hAnsi="Arial" w:cs="Arial"/>
          <w:smallCaps/>
          <w:color w:val="000000"/>
          <w:sz w:val="22"/>
          <w:szCs w:val="22"/>
        </w:rPr>
      </w:pPr>
    </w:p>
    <w:sectPr w:rsidR="00C0694C" w:rsidRPr="008B0387" w:rsidSect="00ED6F04">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8D58C" w14:textId="77777777" w:rsidR="003053D2" w:rsidRDefault="003053D2">
      <w:r>
        <w:separator/>
      </w:r>
    </w:p>
  </w:endnote>
  <w:endnote w:type="continuationSeparator" w:id="0">
    <w:p w14:paraId="394BA774" w14:textId="77777777" w:rsidR="003053D2" w:rsidRDefault="00305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SimSu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020AE" w14:textId="77777777" w:rsidR="002D6F38" w:rsidRDefault="002D6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7267F" w14:textId="77777777" w:rsidR="00C0694C" w:rsidRDefault="00C0694C">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5B91C" w14:textId="77777777" w:rsidR="002D6F38" w:rsidRDefault="002D6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CFA7B" w14:textId="77777777" w:rsidR="003053D2" w:rsidRDefault="003053D2">
      <w:r>
        <w:separator/>
      </w:r>
    </w:p>
  </w:footnote>
  <w:footnote w:type="continuationSeparator" w:id="0">
    <w:p w14:paraId="41145657" w14:textId="77777777" w:rsidR="003053D2" w:rsidRDefault="00305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90FD7" w14:textId="313FA93C" w:rsidR="002D6F38" w:rsidRDefault="00F27FEF">
    <w:pPr>
      <w:pStyle w:val="Header"/>
    </w:pPr>
    <w:r>
      <w:rPr>
        <w:noProof/>
      </w:rPr>
      <w:pict w14:anchorId="37AE3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29313"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805A8" w14:textId="17078C76" w:rsidR="002D6F38" w:rsidRDefault="00F27FEF">
    <w:pPr>
      <w:pStyle w:val="Header"/>
    </w:pPr>
    <w:r>
      <w:rPr>
        <w:noProof/>
      </w:rPr>
      <w:pict w14:anchorId="0FF3C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29314"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65AAE" w14:textId="2C6748E5" w:rsidR="002D6F38" w:rsidRDefault="00F27FEF">
    <w:pPr>
      <w:pStyle w:val="Header"/>
    </w:pPr>
    <w:r>
      <w:rPr>
        <w:noProof/>
      </w:rPr>
      <w:pict w14:anchorId="2CF0C9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29312"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506C"/>
    <w:multiLevelType w:val="hybridMultilevel"/>
    <w:tmpl w:val="E5768F9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2E73EB"/>
    <w:multiLevelType w:val="multilevel"/>
    <w:tmpl w:val="990622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9AC4D6B"/>
    <w:multiLevelType w:val="multilevel"/>
    <w:tmpl w:val="6A1E64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A673F74"/>
    <w:multiLevelType w:val="hybridMultilevel"/>
    <w:tmpl w:val="F0F217F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ACA2073"/>
    <w:multiLevelType w:val="hybridMultilevel"/>
    <w:tmpl w:val="491064B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2282974"/>
    <w:multiLevelType w:val="hybridMultilevel"/>
    <w:tmpl w:val="FBAA7452"/>
    <w:lvl w:ilvl="0" w:tplc="EA5C599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2393886"/>
    <w:multiLevelType w:val="hybridMultilevel"/>
    <w:tmpl w:val="761EC666"/>
    <w:lvl w:ilvl="0" w:tplc="EA5C599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DD05A8C"/>
    <w:multiLevelType w:val="multilevel"/>
    <w:tmpl w:val="CA281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0F636E"/>
    <w:multiLevelType w:val="multilevel"/>
    <w:tmpl w:val="8D6E4E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2AC522D"/>
    <w:multiLevelType w:val="hybridMultilevel"/>
    <w:tmpl w:val="B8DEC9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33553A1"/>
    <w:multiLevelType w:val="hybridMultilevel"/>
    <w:tmpl w:val="FFE0EF3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4F759C4"/>
    <w:multiLevelType w:val="multilevel"/>
    <w:tmpl w:val="0C8CB9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AD44E23"/>
    <w:multiLevelType w:val="multilevel"/>
    <w:tmpl w:val="D8FAB1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5D7FB5"/>
    <w:multiLevelType w:val="hybridMultilevel"/>
    <w:tmpl w:val="2D08017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4833323"/>
    <w:multiLevelType w:val="hybridMultilevel"/>
    <w:tmpl w:val="F05220D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695325D"/>
    <w:multiLevelType w:val="multilevel"/>
    <w:tmpl w:val="A3AC68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9342F29"/>
    <w:multiLevelType w:val="hybridMultilevel"/>
    <w:tmpl w:val="0B88D7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AC97F6C"/>
    <w:multiLevelType w:val="multilevel"/>
    <w:tmpl w:val="718203F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 w15:restartNumberingAfterBreak="0">
    <w:nsid w:val="4CB02F50"/>
    <w:multiLevelType w:val="hybridMultilevel"/>
    <w:tmpl w:val="E9B8D00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8E50411"/>
    <w:multiLevelType w:val="multilevel"/>
    <w:tmpl w:val="7C1479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BF763BB"/>
    <w:multiLevelType w:val="multilevel"/>
    <w:tmpl w:val="77CEB1C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632B27DF"/>
    <w:multiLevelType w:val="hybridMultilevel"/>
    <w:tmpl w:val="961084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59D1646"/>
    <w:multiLevelType w:val="multilevel"/>
    <w:tmpl w:val="6FDE23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8CC35AA"/>
    <w:multiLevelType w:val="hybridMultilevel"/>
    <w:tmpl w:val="134CC74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ADC5872"/>
    <w:multiLevelType w:val="hybridMultilevel"/>
    <w:tmpl w:val="B0AC5D2A"/>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5" w15:restartNumberingAfterBreak="0">
    <w:nsid w:val="71D00003"/>
    <w:multiLevelType w:val="multilevel"/>
    <w:tmpl w:val="2AA6A54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72FF67ED"/>
    <w:multiLevelType w:val="multilevel"/>
    <w:tmpl w:val="61160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7CA50D4"/>
    <w:multiLevelType w:val="multilevel"/>
    <w:tmpl w:val="1638AC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BE2524A"/>
    <w:multiLevelType w:val="hybridMultilevel"/>
    <w:tmpl w:val="2DF45FC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0"/>
  </w:num>
  <w:num w:numId="2">
    <w:abstractNumId w:val="27"/>
  </w:num>
  <w:num w:numId="3">
    <w:abstractNumId w:val="25"/>
  </w:num>
  <w:num w:numId="4">
    <w:abstractNumId w:val="15"/>
  </w:num>
  <w:num w:numId="5">
    <w:abstractNumId w:val="17"/>
  </w:num>
  <w:num w:numId="6">
    <w:abstractNumId w:val="8"/>
  </w:num>
  <w:num w:numId="7">
    <w:abstractNumId w:val="12"/>
  </w:num>
  <w:num w:numId="8">
    <w:abstractNumId w:val="22"/>
  </w:num>
  <w:num w:numId="9">
    <w:abstractNumId w:val="2"/>
  </w:num>
  <w:num w:numId="10">
    <w:abstractNumId w:val="1"/>
  </w:num>
  <w:num w:numId="11">
    <w:abstractNumId w:val="7"/>
  </w:num>
  <w:num w:numId="12">
    <w:abstractNumId w:val="26"/>
  </w:num>
  <w:num w:numId="13">
    <w:abstractNumId w:val="11"/>
  </w:num>
  <w:num w:numId="14">
    <w:abstractNumId w:val="19"/>
  </w:num>
  <w:num w:numId="15">
    <w:abstractNumId w:val="13"/>
  </w:num>
  <w:num w:numId="16">
    <w:abstractNumId w:val="9"/>
  </w:num>
  <w:num w:numId="17">
    <w:abstractNumId w:val="24"/>
  </w:num>
  <w:num w:numId="18">
    <w:abstractNumId w:val="0"/>
  </w:num>
  <w:num w:numId="19">
    <w:abstractNumId w:val="23"/>
  </w:num>
  <w:num w:numId="20">
    <w:abstractNumId w:val="6"/>
  </w:num>
  <w:num w:numId="21">
    <w:abstractNumId w:val="5"/>
  </w:num>
  <w:num w:numId="22">
    <w:abstractNumId w:val="16"/>
  </w:num>
  <w:num w:numId="23">
    <w:abstractNumId w:val="18"/>
  </w:num>
  <w:num w:numId="24">
    <w:abstractNumId w:val="10"/>
  </w:num>
  <w:num w:numId="25">
    <w:abstractNumId w:val="14"/>
  </w:num>
  <w:num w:numId="26">
    <w:abstractNumId w:val="28"/>
  </w:num>
  <w:num w:numId="27">
    <w:abstractNumId w:val="21"/>
  </w:num>
  <w:num w:numId="28">
    <w:abstractNumId w:val="4"/>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94C"/>
    <w:rsid w:val="00012B54"/>
    <w:rsid w:val="000147FE"/>
    <w:rsid w:val="000220FB"/>
    <w:rsid w:val="00057807"/>
    <w:rsid w:val="000729F6"/>
    <w:rsid w:val="00081370"/>
    <w:rsid w:val="00081C1F"/>
    <w:rsid w:val="000B0839"/>
    <w:rsid w:val="000D13D6"/>
    <w:rsid w:val="000D26B3"/>
    <w:rsid w:val="001012D0"/>
    <w:rsid w:val="00110EB9"/>
    <w:rsid w:val="00133B9F"/>
    <w:rsid w:val="00154047"/>
    <w:rsid w:val="00166420"/>
    <w:rsid w:val="00181192"/>
    <w:rsid w:val="00183D39"/>
    <w:rsid w:val="001C125C"/>
    <w:rsid w:val="001C28FF"/>
    <w:rsid w:val="00206514"/>
    <w:rsid w:val="00256AD5"/>
    <w:rsid w:val="002A439D"/>
    <w:rsid w:val="002B6B9D"/>
    <w:rsid w:val="002C06D7"/>
    <w:rsid w:val="002C0FA3"/>
    <w:rsid w:val="002D6F38"/>
    <w:rsid w:val="002E3A8F"/>
    <w:rsid w:val="002E61CA"/>
    <w:rsid w:val="0030227A"/>
    <w:rsid w:val="003053D2"/>
    <w:rsid w:val="0031690C"/>
    <w:rsid w:val="00320DEF"/>
    <w:rsid w:val="00331700"/>
    <w:rsid w:val="00342A11"/>
    <w:rsid w:val="00367862"/>
    <w:rsid w:val="003A3275"/>
    <w:rsid w:val="003A7075"/>
    <w:rsid w:val="003C0564"/>
    <w:rsid w:val="003C2C22"/>
    <w:rsid w:val="003D16F0"/>
    <w:rsid w:val="00406023"/>
    <w:rsid w:val="00420A55"/>
    <w:rsid w:val="00434BCF"/>
    <w:rsid w:val="004534D1"/>
    <w:rsid w:val="0045458C"/>
    <w:rsid w:val="004572A6"/>
    <w:rsid w:val="00461865"/>
    <w:rsid w:val="0047566A"/>
    <w:rsid w:val="00492186"/>
    <w:rsid w:val="004A6B82"/>
    <w:rsid w:val="004F7508"/>
    <w:rsid w:val="0052175B"/>
    <w:rsid w:val="00536B2A"/>
    <w:rsid w:val="00590C28"/>
    <w:rsid w:val="00620335"/>
    <w:rsid w:val="006351E7"/>
    <w:rsid w:val="006405C6"/>
    <w:rsid w:val="0065486C"/>
    <w:rsid w:val="006901F9"/>
    <w:rsid w:val="006922EE"/>
    <w:rsid w:val="006C25C5"/>
    <w:rsid w:val="006D7CD4"/>
    <w:rsid w:val="00700E3C"/>
    <w:rsid w:val="00710074"/>
    <w:rsid w:val="0073309F"/>
    <w:rsid w:val="007720A3"/>
    <w:rsid w:val="007817F3"/>
    <w:rsid w:val="007B1180"/>
    <w:rsid w:val="007C7428"/>
    <w:rsid w:val="007D50A4"/>
    <w:rsid w:val="00803A1F"/>
    <w:rsid w:val="008318B9"/>
    <w:rsid w:val="0085087B"/>
    <w:rsid w:val="00863425"/>
    <w:rsid w:val="00871606"/>
    <w:rsid w:val="008806BA"/>
    <w:rsid w:val="00886C63"/>
    <w:rsid w:val="008901E1"/>
    <w:rsid w:val="008B00F0"/>
    <w:rsid w:val="008B0387"/>
    <w:rsid w:val="008B6B79"/>
    <w:rsid w:val="008C7379"/>
    <w:rsid w:val="008D7AC7"/>
    <w:rsid w:val="009130EE"/>
    <w:rsid w:val="00963A84"/>
    <w:rsid w:val="009646CF"/>
    <w:rsid w:val="0099160C"/>
    <w:rsid w:val="00995129"/>
    <w:rsid w:val="009B1512"/>
    <w:rsid w:val="00A43C38"/>
    <w:rsid w:val="00A57BFC"/>
    <w:rsid w:val="00A65C27"/>
    <w:rsid w:val="00A65D82"/>
    <w:rsid w:val="00A711B2"/>
    <w:rsid w:val="00A95721"/>
    <w:rsid w:val="00AD3FBB"/>
    <w:rsid w:val="00AD6CA3"/>
    <w:rsid w:val="00B058B6"/>
    <w:rsid w:val="00B35B23"/>
    <w:rsid w:val="00B768EF"/>
    <w:rsid w:val="00B9319A"/>
    <w:rsid w:val="00BA5951"/>
    <w:rsid w:val="00C03BF6"/>
    <w:rsid w:val="00C0694C"/>
    <w:rsid w:val="00C32260"/>
    <w:rsid w:val="00C365B8"/>
    <w:rsid w:val="00C37A0F"/>
    <w:rsid w:val="00C5024B"/>
    <w:rsid w:val="00C91DC3"/>
    <w:rsid w:val="00C934C1"/>
    <w:rsid w:val="00CC104A"/>
    <w:rsid w:val="00CC10BF"/>
    <w:rsid w:val="00CC1980"/>
    <w:rsid w:val="00CD60D2"/>
    <w:rsid w:val="00CE186E"/>
    <w:rsid w:val="00CF5AD7"/>
    <w:rsid w:val="00D0521E"/>
    <w:rsid w:val="00D30B1F"/>
    <w:rsid w:val="00D43F6D"/>
    <w:rsid w:val="00D468B5"/>
    <w:rsid w:val="00D77FF0"/>
    <w:rsid w:val="00DA3875"/>
    <w:rsid w:val="00DA579E"/>
    <w:rsid w:val="00DD1298"/>
    <w:rsid w:val="00DF7EDF"/>
    <w:rsid w:val="00E35A3B"/>
    <w:rsid w:val="00E71E80"/>
    <w:rsid w:val="00E84F21"/>
    <w:rsid w:val="00ED2CA7"/>
    <w:rsid w:val="00ED6974"/>
    <w:rsid w:val="00ED6F04"/>
    <w:rsid w:val="00F044DC"/>
    <w:rsid w:val="00F201B1"/>
    <w:rsid w:val="00F23DBE"/>
    <w:rsid w:val="00F43962"/>
    <w:rsid w:val="00F57597"/>
    <w:rsid w:val="00F6491C"/>
    <w:rsid w:val="00F7479B"/>
    <w:rsid w:val="00F844AA"/>
    <w:rsid w:val="00F963A1"/>
    <w:rsid w:val="00FB1BBB"/>
    <w:rsid w:val="00FC0039"/>
    <w:rsid w:val="00FC37C9"/>
    <w:rsid w:val="00FD7A3D"/>
    <w:rsid w:val="00FF67C1"/>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CFC0A"/>
  <w15:docId w15:val="{CE493B3B-CAD0-4D8E-8866-2DE412EF3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lang w:val="e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360"/>
      <w:jc w:val="right"/>
    </w:pPr>
    <w:rPr>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CellMar>
        <w:top w:w="0" w:type="dxa"/>
        <w:left w:w="115" w:type="dxa"/>
        <w:bottom w:w="0" w:type="dxa"/>
        <w:right w:w="115" w:type="dxa"/>
      </w:tblCellMar>
    </w:tblPr>
  </w:style>
  <w:style w:type="character" w:styleId="LineNumber">
    <w:name w:val="line number"/>
    <w:basedOn w:val="DefaultParagraphFont"/>
    <w:uiPriority w:val="99"/>
    <w:semiHidden/>
    <w:unhideWhenUsed/>
    <w:rsid w:val="00DD1298"/>
  </w:style>
  <w:style w:type="table" w:styleId="TableGrid">
    <w:name w:val="Table Grid"/>
    <w:basedOn w:val="TableNormal"/>
    <w:uiPriority w:val="39"/>
    <w:rsid w:val="00DD1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1298"/>
    <w:pPr>
      <w:ind w:left="720"/>
      <w:contextualSpacing/>
    </w:pPr>
  </w:style>
  <w:style w:type="paragraph" w:styleId="Bibliography">
    <w:name w:val="Bibliography"/>
    <w:basedOn w:val="Normal"/>
    <w:next w:val="Normal"/>
    <w:uiPriority w:val="37"/>
    <w:unhideWhenUsed/>
    <w:rsid w:val="00B058B6"/>
    <w:pPr>
      <w:spacing w:line="480" w:lineRule="auto"/>
      <w:ind w:left="720" w:hanging="720"/>
    </w:pPr>
  </w:style>
  <w:style w:type="paragraph" w:styleId="NoSpacing">
    <w:name w:val="No Spacing"/>
    <w:uiPriority w:val="1"/>
    <w:qFormat/>
    <w:rsid w:val="00803A1F"/>
  </w:style>
  <w:style w:type="character" w:styleId="Hyperlink">
    <w:name w:val="Hyperlink"/>
    <w:basedOn w:val="DefaultParagraphFont"/>
    <w:uiPriority w:val="99"/>
    <w:unhideWhenUsed/>
    <w:rsid w:val="00FB1BBB"/>
    <w:rPr>
      <w:color w:val="0000FF" w:themeColor="hyperlink"/>
      <w:u w:val="single"/>
    </w:rPr>
  </w:style>
  <w:style w:type="character" w:styleId="UnresolvedMention">
    <w:name w:val="Unresolved Mention"/>
    <w:basedOn w:val="DefaultParagraphFont"/>
    <w:uiPriority w:val="99"/>
    <w:semiHidden/>
    <w:unhideWhenUsed/>
    <w:rsid w:val="00FB1BBB"/>
    <w:rPr>
      <w:color w:val="605E5C"/>
      <w:shd w:val="clear" w:color="auto" w:fill="E1DFDD"/>
    </w:rPr>
  </w:style>
  <w:style w:type="paragraph" w:styleId="Footer">
    <w:name w:val="footer"/>
    <w:basedOn w:val="Normal"/>
    <w:link w:val="FooterChar"/>
    <w:uiPriority w:val="99"/>
    <w:unhideWhenUsed/>
    <w:rsid w:val="009130EE"/>
    <w:pPr>
      <w:tabs>
        <w:tab w:val="center" w:pos="4513"/>
        <w:tab w:val="right" w:pos="9026"/>
      </w:tabs>
    </w:pPr>
  </w:style>
  <w:style w:type="character" w:customStyle="1" w:styleId="FooterChar">
    <w:name w:val="Footer Char"/>
    <w:basedOn w:val="DefaultParagraphFont"/>
    <w:link w:val="Footer"/>
    <w:uiPriority w:val="99"/>
    <w:rsid w:val="009130EE"/>
  </w:style>
  <w:style w:type="paragraph" w:styleId="Header">
    <w:name w:val="header"/>
    <w:basedOn w:val="Normal"/>
    <w:link w:val="HeaderChar"/>
    <w:uiPriority w:val="99"/>
    <w:unhideWhenUsed/>
    <w:rsid w:val="002D6F38"/>
    <w:pPr>
      <w:tabs>
        <w:tab w:val="center" w:pos="4680"/>
        <w:tab w:val="right" w:pos="9360"/>
      </w:tabs>
    </w:pPr>
  </w:style>
  <w:style w:type="character" w:customStyle="1" w:styleId="HeaderChar">
    <w:name w:val="Header Char"/>
    <w:basedOn w:val="DefaultParagraphFont"/>
    <w:link w:val="Header"/>
    <w:uiPriority w:val="99"/>
    <w:rsid w:val="002D6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EA5C5-4959-4AE4-89E0-2A2425841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8197</Words>
  <Characters>268584</Characters>
  <Application>Microsoft Office Word</Application>
  <DocSecurity>4</DocSecurity>
  <Lines>2238</Lines>
  <Paragraphs>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Baiq Nana Dwi Herdiana</dc:creator>
  <cp:lastModifiedBy>Baiq Nana Dwi Herdiana</cp:lastModifiedBy>
  <cp:revision>2</cp:revision>
  <dcterms:created xsi:type="dcterms:W3CDTF">2025-10-09T12:59:00Z</dcterms:created>
  <dcterms:modified xsi:type="dcterms:W3CDTF">2025-10-09T12:59:00Z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668f2b22-9b4e-4442-a41f-d6b17348b861</vt:lpwstr>
  </property>
  <property fmtid="{D5CDD505-2E9C-101B-9397-08002B2CF9AE}" pid="3" name="ZOTERO_PREF_1">
    <vt:lpwstr>&lt;data data-version="3" zotero-version="6.0.36"&gt;&lt;session id="3sv376wt"/&gt;&lt;style id="http://www.zotero.org/styles/apa" locale="en-US" hasBibliography="1" bibliographyStyleHasBeenSet="1"/&gt;&lt;prefs&gt;&lt;pref name="fieldType" value="Field"/&gt;&lt;/prefs&gt;&lt;/data&gt;</vt:lpwstr>
  </property>
</Properties>
</file>