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80" w:after="180" w:lineRule="auto" w:line="360"/>
        <w:jc w:val="center"/>
        <w:rPr>
          <w:rFonts w:ascii="Times New Roman" w:cs="Times New Roman" w:eastAsia="Times New Roman" w:hAnsi="Times New Roman"/>
          <w:b/>
          <w:bCs/>
          <w:sz w:val="28"/>
          <w:szCs w:val="28"/>
        </w:rPr>
      </w:pPr>
      <w:bookmarkStart w:id="0" w:name="Xe9813a099abd37dae1bc8e4967166e723169af0"/>
      <w:bookmarkStart w:id="1" w:name="X53936937b8c11acf6e40b20c2a3c9c77b923399"/>
      <w:r>
        <w:rPr>
          <w:rFonts w:ascii="Times New Roman" w:cs="Times New Roman" w:hAnsi="Times New Roman"/>
          <w:b/>
          <w:bCs/>
          <w:color w:val="36363d"/>
        </w:rPr>
        <w:t>The Earnings Management and Financial Reporting: A Review of Techniques and Consequences</w:t>
      </w:r>
    </w:p>
    <w:p>
      <w:pPr>
        <w:pStyle w:val="style0"/>
        <w:spacing w:before="180" w:after="180" w:lineRule="auto" w:line="360"/>
        <w:jc w:val="both"/>
        <w:rPr>
          <w:rFonts w:ascii="Times New Roman" w:cs="Times New Roman" w:hAnsi="Times New Roman"/>
          <w:color w:val="36363d"/>
        </w:rPr>
      </w:pPr>
    </w:p>
    <w:p>
      <w:pPr>
        <w:pStyle w:val="style0"/>
        <w:spacing w:before="180" w:after="180" w:lineRule="auto" w:line="360"/>
        <w:jc w:val="both"/>
        <w:rPr>
          <w:rFonts w:ascii="Times New Roman" w:cs="Times New Roman" w:hAnsi="Times New Roman"/>
          <w:color w:val="36363d"/>
        </w:rPr>
      </w:pPr>
    </w:p>
    <w:p>
      <w:pPr>
        <w:pStyle w:val="style0"/>
        <w:spacing w:before="180" w:after="180" w:lineRule="auto" w:line="360"/>
        <w:jc w:val="both"/>
        <w:rPr>
          <w:color w:val="121212"/>
        </w:rPr>
      </w:pPr>
      <w:r>
        <w:rPr>
          <w:rFonts w:hint="eastAsia"/>
          <w:b/>
          <w:bCs/>
          <w:color w:val="000000"/>
        </w:rPr>
        <w:t>Abstract</w:t>
      </w:r>
    </w:p>
    <w:p>
      <w:pPr>
        <w:pStyle w:val="style0"/>
        <w:spacing w:before="180" w:after="180" w:lineRule="auto" w:line="360"/>
        <w:jc w:val="both"/>
        <w:rPr>
          <w:color w:val="121212"/>
        </w:rPr>
      </w:pPr>
      <w:r>
        <w:rPr>
          <w:rFonts w:hint="eastAsia"/>
          <w:color w:val="121212"/>
        </w:rPr>
        <w:t>The discussion of this review of works in the field of earnings management explains the contemporary setting of this research topic by undertaking the means by which firms use it and the effect on quality of financial reporting. We combine findings of 30 studies on accrual-based and real earnings management practices in a diverse sample of international markets published in 2023-2025. We discuss how detection methods, including machine learning, have developed and how corporate governance may be applied to restrict opportunistic reporting practices. According to the review, it implies that there are pertinent implications on the decision-making of stakeholders, the efficiency of the marketplace, and the regulation. The important findings indicate that the management of real earnings becomes more common, the forms of detection are increasingly more advanced and performance of various forms of governance mechanisms in various institutional circumstances is different. We observe convergence of earnings management and ESG reporting, the use of technology to aid in detection and inconsistency of effective regulation in institutional settings. The relevance of the review lies in the fact that it provides a systematic method of understanding the present earnings management scale of practice and its impacts on financial reporting transparency and offers future-policy development and research suggestions.</w:t>
      </w:r>
    </w:p>
    <w:p>
      <w:pPr>
        <w:pStyle w:val="style0"/>
        <w:spacing w:before="180" w:after="180" w:lineRule="auto" w:line="360"/>
        <w:jc w:val="both"/>
        <w:rPr>
          <w:color w:val="121212"/>
        </w:rPr>
      </w:pPr>
      <w:r>
        <w:rPr>
          <w:rFonts w:hint="eastAsia"/>
          <w:color w:val="121212"/>
        </w:rPr>
        <w:t>Keywords: Earnings management, financial reporting quality, accrual management, real activities manipulation, corporate governance, market consequences, systematic review.</w:t>
      </w:r>
    </w:p>
    <w:p>
      <w:pPr>
        <w:pStyle w:val="style4105"/>
        <w:spacing w:lineRule="auto" w:line="360"/>
        <w:jc w:val="both"/>
        <w:rPr>
          <w:b w:val="false"/>
          <w:bCs w:val="false"/>
          <w:color w:val="121212"/>
        </w:rPr>
      </w:pPr>
      <w:r>
        <w:rPr>
          <w:rFonts w:hint="eastAsia"/>
          <w:b w:val="false"/>
          <w:bCs w:val="false"/>
          <w:color w:val="121212"/>
        </w:rPr>
        <w:t>1</w:t>
      </w:r>
      <w:r>
        <w:rPr>
          <w:rFonts w:hint="eastAsia"/>
          <w:b w:val="false"/>
          <w:bCs w:val="false"/>
          <w:color w:val="121212"/>
        </w:rPr>
        <w:tab/>
      </w:r>
      <w:r>
        <w:rPr>
          <w:rFonts w:hint="eastAsia"/>
          <w:color w:val="121212"/>
        </w:rPr>
        <w:t>Introduction</w:t>
      </w:r>
    </w:p>
    <w:p>
      <w:pPr>
        <w:pStyle w:val="style4105"/>
        <w:spacing w:lineRule="auto" w:line="360"/>
        <w:jc w:val="both"/>
        <w:rPr>
          <w:b w:val="false"/>
          <w:bCs w:val="false"/>
          <w:color w:val="121212"/>
        </w:rPr>
      </w:pPr>
      <w:r>
        <w:rPr>
          <w:rFonts w:hint="eastAsia"/>
          <w:b w:val="false"/>
          <w:bCs w:val="false"/>
          <w:color w:val="121212"/>
        </w:rPr>
        <w:t>One of the most prevalent and actively studied phenomena in contemporary accounting research is the earnings management, and it serves both the main impact on the quality of the financial reporting and the integrity of the market. It involves the purposely manipulated reporting of financial information to achieve specific earnings goals either through accounting decisions (under generally accepted accounting principles (accrual-based earnings management) or operational decisions (real earnings management)  (Healy &amp; Wahlen, 1999; Roychowdhury, 2006)</w:t>
      </w:r>
    </w:p>
    <w:p>
      <w:pPr>
        <w:pStyle w:val="style4105"/>
        <w:spacing w:lineRule="auto" w:line="360"/>
        <w:jc w:val="both"/>
        <w:rPr>
          <w:b w:val="false"/>
          <w:bCs w:val="false"/>
          <w:color w:val="121212"/>
        </w:rPr>
      </w:pPr>
      <w:r>
        <w:rPr>
          <w:rFonts w:hint="eastAsia"/>
          <w:b w:val="false"/>
          <w:bCs w:val="false"/>
          <w:color w:val="121212"/>
        </w:rPr>
        <w:t>These convergent forces have magnified the significance of the earnings management research: new technologies that are radically transforming the detection modes, regulatory frameworks that are evolving in reaction to corporate scandals, and increased pressure on the stakeholders in search of transparency and accountability. The recent development has transcended the conventional types of detection to incorporate more general questions on the impact to markets, the impact to stakeholders and the efficacy of monitoring systems.</w:t>
      </w:r>
    </w:p>
    <w:p>
      <w:pPr>
        <w:pStyle w:val="style4105"/>
        <w:spacing w:lineRule="auto" w:line="360"/>
        <w:jc w:val="both"/>
        <w:rPr>
          <w:b w:val="false"/>
          <w:bCs w:val="false"/>
          <w:color w:val="121212"/>
        </w:rPr>
      </w:pPr>
      <w:r>
        <w:rPr>
          <w:rFonts w:hint="eastAsia"/>
          <w:b w:val="false"/>
          <w:bCs w:val="false"/>
          <w:color w:val="121212"/>
        </w:rPr>
        <w:t>The paradigm change in the practice and research of earnings management has been experienced in the contemporary research. Machine learning and artificial intelligence have facilitated new levels of performance in the domain of detection (</w:t>
      </w:r>
      <w:r>
        <w:rPr>
          <w:rFonts w:hint="eastAsia"/>
          <w:b w:val="false"/>
          <w:bCs w:val="false"/>
          <w:color w:val="121212"/>
        </w:rPr>
        <w:t>Almasarwah</w:t>
      </w:r>
      <w:r>
        <w:rPr>
          <w:rFonts w:hint="eastAsia"/>
          <w:b w:val="false"/>
          <w:bCs w:val="false"/>
          <w:color w:val="121212"/>
        </w:rPr>
        <w:t>, 2024</w:t>
      </w:r>
      <w:r>
        <w:rPr>
          <w:rFonts w:hint="default"/>
          <w:b w:val="false"/>
          <w:bCs w:val="false"/>
          <w:color w:val="121212"/>
          <w:lang w:val="en-US"/>
        </w:rPr>
        <w:t xml:space="preserve">) </w:t>
      </w:r>
      <w:r>
        <w:rPr>
          <w:rFonts w:hint="eastAsia"/>
          <w:b w:val="false"/>
          <w:bCs w:val="false"/>
          <w:color w:val="121212"/>
        </w:rPr>
        <w:t xml:space="preserve">and the growing emphasis on environmental, social and governance (ESG) reporting has created new grounds of earnings management </w:t>
      </w:r>
      <w:r>
        <w:rPr>
          <w:rFonts w:hint="eastAsia"/>
          <w:b w:val="false"/>
          <w:bCs w:val="false"/>
          <w:color w:val="121212"/>
        </w:rPr>
        <w:t>behaviour</w:t>
      </w:r>
      <w:r>
        <w:rPr>
          <w:rFonts w:hint="default"/>
          <w:b w:val="false"/>
          <w:bCs w:val="false"/>
          <w:color w:val="121212"/>
          <w:lang w:val="en-US"/>
        </w:rPr>
        <w:t xml:space="preserve">. </w:t>
      </w:r>
      <w:r>
        <w:rPr>
          <w:rFonts w:hint="eastAsia"/>
          <w:b w:val="false"/>
          <w:bCs w:val="false"/>
          <w:color w:val="121212"/>
        </w:rPr>
        <w:t>Similarly, the world has had the experiences of such natural experiments as the COVID-19 pandemic that provided data regarding the behavior of the earnings management under the extreme conditions (Nhu, 2024).</w:t>
      </w:r>
    </w:p>
    <w:p>
      <w:pPr>
        <w:pStyle w:val="style4105"/>
        <w:spacing w:lineRule="auto" w:line="360"/>
        <w:jc w:val="both"/>
        <w:rPr>
          <w:b w:val="false"/>
          <w:bCs w:val="false"/>
          <w:color w:val="121212"/>
        </w:rPr>
      </w:pPr>
      <w:r>
        <w:rPr>
          <w:rFonts w:hint="eastAsia"/>
          <w:b w:val="false"/>
          <w:bCs w:val="false"/>
          <w:color w:val="121212"/>
        </w:rPr>
        <w:t>The systematic review unites the recent evidence on the international market to provide comprehensive information on new behavior patterns of earnings management and consequences. We study the history of methodological development in research methods, examine the performance of corporate governance mechanisms, experiment with implications of research on financial reporting quality and market efficiency more generally, and identify new research directions. Our analysis can be associated with the literature in a number of ways: it offers a logical framework to the present-day picture of earnings management and its effects on various parties involved.</w:t>
      </w:r>
    </w:p>
    <w:p>
      <w:pPr>
        <w:pStyle w:val="style4105"/>
        <w:spacing w:lineRule="auto" w:line="360"/>
        <w:jc w:val="both"/>
        <w:rPr>
          <w:b w:val="false"/>
          <w:bCs w:val="false"/>
          <w:color w:val="121212"/>
        </w:rPr>
      </w:pPr>
      <w:r>
        <w:rPr>
          <w:rFonts w:hint="eastAsia"/>
          <w:b w:val="false"/>
          <w:bCs w:val="false"/>
          <w:color w:val="121212"/>
        </w:rPr>
        <w:t xml:space="preserve">The review provides responses to some key research questions: How earnings management methods have evolved during the past few years? What </w:t>
      </w:r>
      <w:r>
        <w:rPr>
          <w:rFonts w:hint="eastAsia"/>
          <w:b w:val="false"/>
          <w:bCs w:val="false"/>
          <w:color w:val="121212"/>
        </w:rPr>
        <w:t>are the determinants</w:t>
      </w:r>
      <w:r>
        <w:rPr>
          <w:rFonts w:hint="eastAsia"/>
          <w:b w:val="false"/>
          <w:bCs w:val="false"/>
          <w:color w:val="121212"/>
        </w:rPr>
        <w:t xml:space="preserve"> of cross country difference in earnings management practice? What are the levels of restrictions of earnings management by various corporate governance mechanisms? What are market implications of earnings management and stakeholder implications of earnings management? What does the future of the research on earnings management entail?</w:t>
      </w:r>
    </w:p>
    <w:p>
      <w:pPr>
        <w:pStyle w:val="style4105"/>
        <w:spacing w:lineRule="auto" w:line="360"/>
        <w:jc w:val="both"/>
        <w:rPr>
          <w:b w:val="false"/>
          <w:bCs w:val="false"/>
          <w:color w:val="121212"/>
        </w:rPr>
      </w:pPr>
    </w:p>
    <w:p>
      <w:pPr>
        <w:pStyle w:val="style4105"/>
        <w:numPr>
          <w:ilvl w:val="0"/>
          <w:numId w:val="1"/>
        </w:numPr>
        <w:spacing w:lineRule="auto" w:line="360"/>
        <w:jc w:val="both"/>
        <w:rPr>
          <w:b w:val="false"/>
          <w:bCs w:val="false"/>
          <w:color w:val="121212"/>
        </w:rPr>
      </w:pPr>
      <w:r>
        <w:rPr>
          <w:b w:val="false"/>
          <w:bCs w:val="false"/>
          <w:color w:val="121212"/>
        </w:rPr>
        <w:t xml:space="preserve">What </w:t>
      </w:r>
      <w:r>
        <w:rPr>
          <w:rFonts w:hint="eastAsia"/>
          <w:b w:val="false"/>
          <w:bCs w:val="false"/>
          <w:color w:val="121212"/>
        </w:rPr>
        <w:t>Theoretical Framework</w:t>
      </w:r>
    </w:p>
    <w:p>
      <w:pPr>
        <w:pStyle w:val="style4105"/>
        <w:spacing w:lineRule="auto" w:line="360"/>
        <w:jc w:val="both"/>
        <w:rPr>
          <w:b w:val="false"/>
          <w:bCs w:val="false"/>
          <w:color w:val="121212"/>
        </w:rPr>
      </w:pPr>
      <w:r>
        <w:rPr>
          <w:rFonts w:hint="eastAsia"/>
          <w:b w:val="false"/>
          <w:bCs w:val="false"/>
          <w:color w:val="121212"/>
        </w:rPr>
        <w:t>2.1 Agency Theory</w:t>
      </w:r>
    </w:p>
    <w:p>
      <w:pPr>
        <w:pStyle w:val="style0"/>
        <w:spacing w:before="180" w:after="180" w:lineRule="auto" w:line="240"/>
        <w:jc w:val="both"/>
        <w:rPr>
          <w:rFonts w:hint="eastAsia"/>
          <w:b w:val="false"/>
          <w:bCs w:val="false"/>
          <w:color w:val="121212"/>
        </w:rPr>
      </w:pPr>
      <w:r>
        <w:rPr>
          <w:rFonts w:hint="eastAsia"/>
          <w:b w:val="false"/>
          <w:bCs w:val="false"/>
          <w:color w:val="121212"/>
        </w:rPr>
        <w:t>The behavior of earnings management is explained by the use of theoretical basis of agency theory. The theory asserts that the ownership/control separation is what leads to information asymmetries between the shareholders (principals) and the managers (agents) and, hence, the possibility of conflict of interests</w:t>
      </w:r>
      <w:r>
        <w:rPr>
          <w:rFonts w:hint="default"/>
          <w:b w:val="false"/>
          <w:bCs w:val="false"/>
          <w:color w:val="121212"/>
          <w:lang w:val="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(Jensen</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&amp;</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Meckling,</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1976). </w:t>
      </w:r>
      <w:r>
        <w:rPr>
          <w:rFonts w:hint="eastAsia"/>
          <w:b w:val="false"/>
          <w:bCs w:val="false"/>
          <w:color w:val="121212"/>
        </w:rPr>
        <w:t>It is also possible that managers possess confidential information about the performance and future of the firm that they can utilize in the earnings management process to act on their own interests to the detriment of shareholder best interests.</w:t>
      </w:r>
    </w:p>
    <w:p>
      <w:pPr>
        <w:pStyle w:val="style0"/>
        <w:spacing w:before="180" w:after="180" w:lineRule="auto" w:line="240"/>
        <w:jc w:val="both"/>
        <w:rPr>
          <w:rFonts w:hint="eastAsia"/>
          <w:b w:val="false"/>
          <w:bCs w:val="false"/>
          <w:color w:val="121212"/>
        </w:rPr>
      </w:pPr>
      <w:r>
        <w:rPr>
          <w:rFonts w:hint="eastAsia"/>
          <w:b w:val="false"/>
          <w:bCs w:val="false"/>
          <w:color w:val="121212"/>
        </w:rPr>
        <w:t xml:space="preserve">The agency design defines motivation to control earnings as compliance with the earnings forecast of the analyst to maintain the stock price, compliance with the breach of the debt covenant, which would result in the costly renegotiations, </w:t>
      </w:r>
      <w:r>
        <w:rPr>
          <w:rFonts w:hint="eastAsia"/>
          <w:b w:val="false"/>
          <w:bCs w:val="false"/>
          <w:color w:val="121212"/>
        </w:rPr>
        <w:t>minimising</w:t>
      </w:r>
      <w:r>
        <w:rPr>
          <w:rFonts w:hint="eastAsia"/>
          <w:b w:val="false"/>
          <w:bCs w:val="false"/>
          <w:color w:val="121212"/>
        </w:rPr>
        <w:t xml:space="preserve"> the cost of politics and regulatory controls, and </w:t>
      </w:r>
      <w:r>
        <w:rPr>
          <w:rFonts w:hint="eastAsia"/>
          <w:b w:val="false"/>
          <w:bCs w:val="false"/>
          <w:color w:val="121212"/>
        </w:rPr>
        <w:t>maximisation</w:t>
      </w:r>
      <w:r>
        <w:rPr>
          <w:rFonts w:hint="eastAsia"/>
          <w:b w:val="false"/>
          <w:bCs w:val="false"/>
          <w:color w:val="121212"/>
        </w:rPr>
        <w:t xml:space="preserve"> of personal compensation which is based on accounting-based performance measures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(Fields</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et</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al.,</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2001</w:t>
      </w:r>
      <w:r>
        <w:rPr>
          <w:rFonts w:hint="eastAsia"/>
          <w:b w:val="false"/>
          <w:bCs w:val="false"/>
          <w:color w:val="121212"/>
        </w:rPr>
        <w:t>). Direct costs of manipulation and monitoring costs incurred by principals and the loss of the optimum choices are the costs of earnings management associated with agency problems.</w:t>
      </w:r>
    </w:p>
    <w:p>
      <w:pPr>
        <w:pStyle w:val="style0"/>
        <w:spacing w:before="180" w:after="180" w:lineRule="auto" w:line="240"/>
        <w:jc w:val="both"/>
        <w:rPr>
          <w:rFonts w:hint="eastAsia"/>
          <w:b w:val="false"/>
          <w:bCs w:val="false"/>
          <w:color w:val="121212"/>
        </w:rPr>
      </w:pPr>
      <w:r>
        <w:rPr>
          <w:rFonts w:hint="eastAsia"/>
          <w:b w:val="false"/>
          <w:bCs w:val="false"/>
          <w:color w:val="121212"/>
        </w:rPr>
        <w:t>The theory of agency has recently been used to examine the effects of different ownership and the mechanisms of governance on the incentives to manage the earnings.  (Leuz et al., 2003</w:t>
      </w:r>
      <w:r>
        <w:rPr>
          <w:rFonts w:hint="default"/>
          <w:b w:val="false"/>
          <w:bCs w:val="false"/>
          <w:color w:val="121212"/>
          <w:lang w:val="en-US"/>
        </w:rPr>
        <w:t>)</w:t>
      </w:r>
      <w:r>
        <w:rPr>
          <w:rFonts w:hint="eastAsia"/>
          <w:b w:val="false"/>
          <w:bCs w:val="false"/>
          <w:color w:val="121212"/>
        </w:rPr>
        <w:t xml:space="preserve">disclose that concentrated ownership by Korean chaebols will exacerbate agency problems as a result of the entrenchment effects of concentration or alleviate agency problems as a result of the agency convergence of interests. Similarly, </w:t>
      </w:r>
      <w:r>
        <w:rPr>
          <w:rFonts w:ascii="Cambria" w:cs="SimSun" w:eastAsia="Cambria" w:hAnsi="Cambria" w:hint="default"/>
          <w:b w:val="false"/>
          <w:bCs w:val="false"/>
          <w:i w:val="false"/>
          <w:iCs w:val="false"/>
          <w:color w:val="121212"/>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121212"/>
          <w:sz w:val="24"/>
          <w:szCs w:val="24"/>
          <w:highlight w:val="none"/>
          <w:vertAlign w:val="baseline"/>
          <w:em w:val="none"/>
          <w:lang w:val="en-US" w:eastAsia="en-US"/>
        </w:rPr>
        <w:t>(Watts</w:t>
      </w:r>
      <w:r>
        <w:rPr>
          <w:rFonts w:ascii="Cambria" w:cs="SimSun" w:eastAsia="Cambria" w:hAnsi="Cambria" w:hint="default"/>
          <w:b w:val="false"/>
          <w:bCs w:val="false"/>
          <w:i w:val="false"/>
          <w:iCs w:val="false"/>
          <w:color w:val="121212"/>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121212"/>
          <w:sz w:val="24"/>
          <w:szCs w:val="24"/>
          <w:highlight w:val="none"/>
          <w:vertAlign w:val="baseline"/>
          <w:em w:val="none"/>
          <w:lang w:val="en-US" w:eastAsia="en-US"/>
        </w:rPr>
        <w:t>&amp;</w:t>
      </w:r>
      <w:r>
        <w:rPr>
          <w:rFonts w:ascii="Cambria" w:cs="SimSun" w:eastAsia="Cambria" w:hAnsi="Cambria" w:hint="default"/>
          <w:b w:val="false"/>
          <w:bCs w:val="false"/>
          <w:i w:val="false"/>
          <w:iCs w:val="false"/>
          <w:color w:val="121212"/>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121212"/>
          <w:sz w:val="24"/>
          <w:szCs w:val="24"/>
          <w:highlight w:val="none"/>
          <w:vertAlign w:val="baseline"/>
          <w:em w:val="none"/>
          <w:lang w:val="en-US" w:eastAsia="en-US"/>
        </w:rPr>
        <w:t>Zimmerman,</w:t>
      </w:r>
      <w:r>
        <w:rPr>
          <w:rFonts w:ascii="Cambria" w:cs="SimSun" w:eastAsia="Cambria" w:hAnsi="Cambria" w:hint="default"/>
          <w:b w:val="false"/>
          <w:bCs w:val="false"/>
          <w:i w:val="false"/>
          <w:iCs w:val="false"/>
          <w:color w:val="121212"/>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121212"/>
          <w:sz w:val="24"/>
          <w:szCs w:val="24"/>
          <w:highlight w:val="none"/>
          <w:vertAlign w:val="baseline"/>
          <w:em w:val="none"/>
          <w:lang w:val="en-US" w:eastAsia="en-US"/>
        </w:rPr>
        <w:t xml:space="preserve">1986) </w:t>
      </w:r>
      <w:r>
        <w:rPr>
          <w:rFonts w:hint="eastAsia"/>
          <w:b w:val="false"/>
          <w:bCs w:val="false"/>
          <w:color w:val="121212"/>
        </w:rPr>
        <w:t>provide evidence of how political networks in Chinese state-owned business facilitate specific agency relationships that influence earnings management practices.</w:t>
      </w:r>
    </w:p>
    <w:p>
      <w:pPr>
        <w:pStyle w:val="style0"/>
        <w:spacing w:before="180" w:after="180" w:lineRule="auto" w:line="240"/>
        <w:jc w:val="both"/>
        <w:rPr>
          <w:rFonts w:hint="eastAsia"/>
          <w:b w:val="false"/>
          <w:bCs w:val="false"/>
          <w:color w:val="121212"/>
        </w:rPr>
      </w:pPr>
      <w:r>
        <w:rPr>
          <w:rFonts w:hint="eastAsia"/>
          <w:b w:val="false"/>
          <w:bCs w:val="false"/>
          <w:color w:val="121212"/>
        </w:rPr>
        <w:t>2.2 Signaling Theory</w:t>
      </w:r>
    </w:p>
    <w:p>
      <w:pPr>
        <w:pStyle w:val="style0"/>
        <w:spacing w:before="180" w:after="180" w:lineRule="auto" w:line="240"/>
        <w:jc w:val="both"/>
        <w:rPr>
          <w:b w:val="false"/>
          <w:bCs w:val="false"/>
          <w:color w:val="121212"/>
        </w:rPr>
      </w:pPr>
      <w:r>
        <w:rPr>
          <w:rFonts w:hint="eastAsia"/>
          <w:b w:val="false"/>
          <w:bCs w:val="false"/>
          <w:color w:val="121212"/>
        </w:rPr>
        <w:t>Another approach to earnings management can be seen through the signaling theory, which suggests that it may also be the instrument utilized by managers to inform the participants of the market non-publically about the performance of the firms</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(Spence,</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1973)</w:t>
      </w:r>
      <w:r>
        <w:rPr>
          <w:rFonts w:hint="eastAsia"/>
          <w:b w:val="false"/>
          <w:bCs w:val="false"/>
          <w:color w:val="121212"/>
        </w:rPr>
        <w:t>. In this regard, the earnings management is not opportunistic and should be perceived as the activities of managers to put forward their better knowledge about the future of the firm when face-to-face communication is neither plausible nor credible.</w:t>
      </w:r>
    </w:p>
    <w:p>
      <w:pPr>
        <w:pStyle w:val="style4105"/>
        <w:spacing w:lineRule="auto" w:line="360"/>
        <w:jc w:val="both"/>
        <w:rPr>
          <w:b w:val="false"/>
          <w:bCs w:val="false"/>
          <w:color w:val="121212"/>
        </w:rPr>
      </w:pPr>
      <w:r>
        <w:rPr>
          <w:rFonts w:hint="eastAsia"/>
          <w:b w:val="false"/>
          <w:bCs w:val="false"/>
          <w:color w:val="121212"/>
        </w:rPr>
        <w:t>The signaling strategy can be applied when explaining why circumstances exist, such that earnings management presents itself as in the shareholders best interest and not against them. Managers can make a use of the earnings management where they believe that the current earnings do not reflect true facts about the performance of the firm, or future performance. This opinion is supported by evidence that some forms of earnings management are correlated with positive findings in the market and the further improved performance.</w:t>
      </w:r>
    </w:p>
    <w:p>
      <w:pPr>
        <w:pStyle w:val="style4105"/>
        <w:spacing w:lineRule="auto" w:line="360"/>
        <w:jc w:val="both"/>
        <w:rPr>
          <w:b w:val="false"/>
          <w:bCs w:val="false"/>
          <w:color w:val="121212"/>
        </w:rPr>
      </w:pPr>
      <w:r>
        <w:rPr>
          <w:rFonts w:hint="eastAsia"/>
          <w:b w:val="false"/>
          <w:bCs w:val="false"/>
          <w:color w:val="121212"/>
        </w:rPr>
        <w:t xml:space="preserve">The practicality of the earnings management as a </w:t>
      </w:r>
      <w:r>
        <w:rPr>
          <w:rFonts w:hint="eastAsia"/>
          <w:b w:val="false"/>
          <w:bCs w:val="false"/>
          <w:color w:val="121212"/>
        </w:rPr>
        <w:t>signalling</w:t>
      </w:r>
      <w:r>
        <w:rPr>
          <w:rFonts w:hint="eastAsia"/>
          <w:b w:val="false"/>
          <w:bCs w:val="false"/>
          <w:color w:val="121212"/>
        </w:rPr>
        <w:t xml:space="preserve"> mechanism would then highly depend on the ability of the market participants to discern between informative and opportunistic earnings management.</w:t>
      </w:r>
      <w:r>
        <w:rPr>
          <w:rFonts w:hint="default"/>
          <w:b w:val="false"/>
          <w:bCs w:val="false"/>
          <w:color w:val="121212"/>
          <w:lang w:val="en-US"/>
        </w:rPr>
        <w:t xml:space="preserve"> (Lang &amp; Lundholm, 2000)</w:t>
      </w:r>
      <w:r>
        <w:rPr>
          <w:rFonts w:hint="eastAsia"/>
          <w:b w:val="false"/>
          <w:bCs w:val="false"/>
          <w:color w:val="121212"/>
        </w:rPr>
        <w:t xml:space="preserve"> demonstrate that the media coverage and analytical scrutiny are likely to affect this signaling process and that the heightened external monitoring can undermine the internal validity of the earnings management of signaling.</w:t>
      </w:r>
    </w:p>
    <w:p>
      <w:pPr>
        <w:pStyle w:val="style4105"/>
        <w:spacing w:lineRule="auto" w:line="360"/>
        <w:jc w:val="both"/>
        <w:rPr>
          <w:b w:val="false"/>
          <w:bCs w:val="false"/>
          <w:color w:val="121212"/>
        </w:rPr>
      </w:pPr>
      <w:r>
        <w:rPr>
          <w:rFonts w:hint="eastAsia"/>
          <w:b w:val="false"/>
          <w:bCs w:val="false"/>
          <w:color w:val="121212"/>
        </w:rPr>
        <w:t>2.3 Institutional Theory</w:t>
      </w:r>
    </w:p>
    <w:p>
      <w:pPr>
        <w:pStyle w:val="style4105"/>
        <w:spacing w:lineRule="auto" w:line="360"/>
        <w:jc w:val="both"/>
        <w:rPr>
          <w:b w:val="false"/>
          <w:bCs w:val="false"/>
          <w:color w:val="121212"/>
        </w:rPr>
      </w:pPr>
      <w:r>
        <w:rPr>
          <w:rFonts w:hint="eastAsia"/>
          <w:b w:val="false"/>
          <w:bCs w:val="false"/>
          <w:color w:val="121212"/>
        </w:rPr>
        <w:t>The institutional theory plays a significant role in its contribution to the determination of earnings management practices in different countries and settings and the role played by institutions in both formal and informal ways. The theory adds that the institutional pressures cause organizations to become legitimate and socially acceptable, and such factors, in turn, can influence the frequency and character of earnings management</w:t>
      </w:r>
      <w:r>
        <w:rPr>
          <w:rFonts w:hint="default"/>
          <w:b w:val="false"/>
          <w:bCs w:val="false"/>
          <w:color w:val="121212"/>
          <w:lang w:val="en-US"/>
        </w:rPr>
        <w:t>.</w:t>
      </w:r>
    </w:p>
    <w:p>
      <w:pPr>
        <w:pStyle w:val="style0"/>
        <w:spacing w:before="180" w:after="180" w:lineRule="auto" w:line="240"/>
        <w:jc w:val="both"/>
        <w:rPr>
          <w:rFonts w:hint="eastAsia"/>
          <w:b w:val="false"/>
          <w:bCs w:val="false"/>
          <w:color w:val="121212"/>
        </w:rPr>
      </w:pPr>
      <w:r>
        <w:rPr>
          <w:rFonts w:hint="eastAsia"/>
          <w:b w:val="false"/>
          <w:bCs w:val="false"/>
          <w:color w:val="121212"/>
        </w:rPr>
        <w:t xml:space="preserve">The institutional factors are formal and include systems of law, regulatory systems and accounting systems and enforcement systems. The greater the legal system and the enforcement, the less the earnings management of the countries is seen due to the higher perceived costs of detection and punishment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(Leuz</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et</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al.,</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2003)</w:t>
      </w:r>
      <w:r>
        <w:rPr>
          <w:rFonts w:hint="eastAsia"/>
          <w:b w:val="false"/>
          <w:bCs w:val="false"/>
          <w:color w:val="121212"/>
        </w:rPr>
        <w:t xml:space="preserve">. One such formal institutional change is the adoption of International Financial Reporting Standards (IFRS) that have had various effects on the management of earnings in various countries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(Barth</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et</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al.,</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2008)</w:t>
      </w:r>
      <w:r>
        <w:rPr>
          <w:rFonts w:hint="eastAsia"/>
          <w:b w:val="false"/>
          <w:bCs w:val="false"/>
          <w:color w:val="121212"/>
        </w:rPr>
        <w:t>.</w:t>
      </w:r>
    </w:p>
    <w:p>
      <w:pPr>
        <w:pStyle w:val="style0"/>
        <w:spacing w:before="180" w:after="180" w:lineRule="auto" w:line="240"/>
        <w:jc w:val="both"/>
        <w:rPr>
          <w:rFonts w:hint="eastAsia"/>
          <w:b w:val="false"/>
          <w:bCs w:val="false"/>
          <w:color w:val="121212"/>
        </w:rPr>
      </w:pPr>
      <w:r>
        <w:rPr>
          <w:rFonts w:hint="eastAsia"/>
          <w:b w:val="false"/>
          <w:bCs w:val="false"/>
          <w:color w:val="121212"/>
        </w:rPr>
        <w:t>Informal aspects of the institutions encompass culture, social norms and business practices that enhance the attitude towards earnings management. Different cultures can perceive different levels of acceptability of different forms of earnings management and view it as acceptable because of the cultural factors such as uncertainty avoidance, long-term orientation, and power distance (da Silva, 2023). It is possible to explain such institutional reasons as to why the cross country differences in earnings management are enduring in the context in which formal regulatory differences are held in check.</w:t>
      </w:r>
    </w:p>
    <w:p>
      <w:pPr>
        <w:pStyle w:val="style0"/>
        <w:spacing w:before="180" w:after="180" w:lineRule="auto" w:line="240"/>
        <w:jc w:val="both"/>
        <w:rPr>
          <w:rFonts w:hint="eastAsia"/>
          <w:b w:val="false"/>
          <w:bCs w:val="false"/>
          <w:color w:val="121212"/>
        </w:rPr>
      </w:pPr>
      <w:r>
        <w:rPr>
          <w:rFonts w:hint="eastAsia"/>
          <w:b w:val="false"/>
          <w:bCs w:val="false"/>
          <w:color w:val="121212"/>
        </w:rPr>
        <w:t>Conceptual Framework</w:t>
      </w:r>
    </w:p>
    <w:p>
      <w:pPr>
        <w:pStyle w:val="style0"/>
        <w:spacing w:before="180" w:after="180" w:lineRule="auto" w:line="240"/>
        <w:jc w:val="both"/>
        <w:rPr>
          <w:rFonts w:hint="eastAsia"/>
          <w:b w:val="false"/>
          <w:bCs w:val="false"/>
          <w:color w:val="121212"/>
        </w:rPr>
      </w:pPr>
      <w:r>
        <w:rPr>
          <w:rFonts w:hint="default"/>
          <w:b w:val="false"/>
          <w:bCs w:val="false"/>
          <w:color w:val="121212"/>
          <w:lang w:val="en-US"/>
        </w:rPr>
        <w:t xml:space="preserve">3. </w:t>
      </w:r>
      <w:r>
        <w:rPr>
          <w:rFonts w:hint="eastAsia"/>
          <w:b w:val="false"/>
          <w:bCs w:val="false"/>
          <w:color w:val="121212"/>
        </w:rPr>
        <w:t xml:space="preserve">Framework of management techniques. </w:t>
      </w:r>
    </w:p>
    <w:p>
      <w:pPr>
        <w:pStyle w:val="style0"/>
        <w:spacing w:before="180" w:after="180" w:lineRule="auto" w:line="240"/>
        <w:jc w:val="both"/>
        <w:rPr>
          <w:rFonts w:hint="eastAsia"/>
          <w:b w:val="false"/>
          <w:bCs w:val="false"/>
          <w:color w:val="121212"/>
        </w:rPr>
      </w:pPr>
      <w:r>
        <w:rPr>
          <w:rFonts w:hint="eastAsia"/>
          <w:b w:val="false"/>
          <w:bCs w:val="false"/>
          <w:color w:val="121212"/>
        </w:rPr>
        <w:t>3.1 Planning to manage Earnings.</w:t>
      </w:r>
    </w:p>
    <w:p>
      <w:pPr>
        <w:pStyle w:val="style0"/>
        <w:spacing w:before="180" w:after="180" w:lineRule="auto" w:line="240"/>
        <w:jc w:val="both"/>
        <w:rPr>
          <w:rFonts w:hint="eastAsia"/>
          <w:b w:val="false"/>
          <w:bCs w:val="false"/>
          <w:color w:val="121212"/>
        </w:rPr>
      </w:pPr>
      <w:r>
        <w:rPr>
          <w:rFonts w:hint="eastAsia"/>
          <w:b w:val="false"/>
          <w:bCs w:val="false"/>
          <w:color w:val="121212"/>
        </w:rPr>
        <w:t>The framework of earnings management techniques classifies the mechanisms and characteristics of methods of the manipulation. According to this model, the accruals-based earnings management is the manipulation of accounting decisions and accrual estimates in the GAAP reporting framework, and the transactions-based earnings management is the manipulation of economic transactions (Khuong, 2023).</w:t>
      </w:r>
    </w:p>
    <w:p>
      <w:pPr>
        <w:pStyle w:val="style0"/>
        <w:spacing w:before="180" w:after="180" w:lineRule="auto" w:line="240"/>
        <w:jc w:val="both"/>
        <w:rPr>
          <w:rFonts w:hint="eastAsia"/>
          <w:b w:val="false"/>
          <w:bCs w:val="false"/>
          <w:color w:val="121212"/>
        </w:rPr>
      </w:pPr>
      <w:r>
        <w:rPr>
          <w:rFonts w:hint="eastAsia"/>
          <w:b w:val="false"/>
          <w:bCs w:val="false"/>
          <w:color w:val="121212"/>
        </w:rPr>
        <w:t>Some of them are accrual based, including: revenue recognition timing, discretionary bad debt and warranty, inventory and valuation of inventory as well as policy option of depreciation. The cash flows are not normally influenced by such methods in the short run but may reverse during subsequent periods hence the incentive to proceed with such manipulations. The framework indicates that the accrual-based management has proved to be a more difficult affair with increased regulatory scrutiny and enhanced detection skills.</w:t>
      </w:r>
    </w:p>
    <w:p>
      <w:pPr>
        <w:pStyle w:val="style0"/>
        <w:spacing w:before="180" w:after="180" w:lineRule="auto" w:line="240"/>
        <w:jc w:val="both"/>
        <w:rPr>
          <w:b w:val="false"/>
          <w:bCs w:val="false"/>
          <w:color w:val="121212"/>
        </w:rPr>
      </w:pPr>
      <w:r>
        <w:rPr>
          <w:rFonts w:hint="eastAsia"/>
          <w:b w:val="false"/>
          <w:bCs w:val="false"/>
          <w:color w:val="121212"/>
        </w:rPr>
        <w:t xml:space="preserve">There are real earnings management such as management of sales through discounts and terms of credit, production decisions to reduce the costs per unit, the discretionary reduction in expenses in the areas of research and development and advertising, and timing of disposal of assets. Unlike the accrual management, the real earnings management also has an impact on the real cash flows and may have enduring economic impact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(Roychowdhury,</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2006;</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Zang,</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2012). </w:t>
      </w:r>
      <w:r>
        <w:rPr>
          <w:rFonts w:hint="eastAsia"/>
          <w:b w:val="false"/>
          <w:bCs w:val="false"/>
          <w:color w:val="121212"/>
        </w:rPr>
        <w:t xml:space="preserve">The model acknowledges the </w:t>
      </w:r>
      <w:r>
        <w:rPr>
          <w:rFonts w:hint="eastAsia"/>
          <w:b w:val="false"/>
          <w:bCs w:val="false"/>
          <w:color w:val="121212"/>
        </w:rPr>
        <w:t>trade off</w:t>
      </w:r>
      <w:r>
        <w:rPr>
          <w:rFonts w:hint="eastAsia"/>
          <w:b w:val="false"/>
          <w:bCs w:val="false"/>
          <w:color w:val="121212"/>
        </w:rPr>
        <w:t xml:space="preserve"> that exists between short term earnings objective and long term firm value.</w:t>
      </w:r>
    </w:p>
    <w:p>
      <w:pPr>
        <w:pStyle w:val="style4105"/>
        <w:spacing w:lineRule="auto" w:line="360"/>
        <w:jc w:val="both"/>
        <w:rPr>
          <w:b w:val="false"/>
          <w:bCs w:val="false"/>
          <w:color w:val="121212"/>
        </w:rPr>
      </w:pPr>
      <w:r>
        <w:rPr>
          <w:rFonts w:hint="eastAsia"/>
          <w:b w:val="false"/>
          <w:bCs w:val="false"/>
          <w:color w:val="121212"/>
        </w:rPr>
        <w:t>3.3 Business Continuity Plan.</w:t>
      </w:r>
    </w:p>
    <w:p>
      <w:pPr>
        <w:pStyle w:val="style4105"/>
        <w:spacing w:lineRule="auto" w:line="360"/>
        <w:jc w:val="both"/>
        <w:rPr>
          <w:b w:val="false"/>
          <w:bCs w:val="false"/>
          <w:color w:val="121212"/>
        </w:rPr>
      </w:pPr>
      <w:r>
        <w:rPr>
          <w:rFonts w:hint="eastAsia"/>
          <w:b w:val="false"/>
          <w:bCs w:val="false"/>
          <w:color w:val="121212"/>
        </w:rPr>
        <w:t xml:space="preserve">The corporate governance mechanism examines how the various monitoring and control mechanisms affect the earnings management </w:t>
      </w:r>
      <w:r>
        <w:rPr>
          <w:rFonts w:hint="eastAsia"/>
          <w:b w:val="false"/>
          <w:bCs w:val="false"/>
          <w:color w:val="121212"/>
        </w:rPr>
        <w:t>behaviour</w:t>
      </w:r>
      <w:r>
        <w:rPr>
          <w:rFonts w:hint="eastAsia"/>
          <w:b w:val="false"/>
          <w:bCs w:val="false"/>
          <w:color w:val="121212"/>
        </w:rPr>
        <w:t>. These internal governance practices are: board composition and independence, effectiveness of audit committee, concentration of ownership, and internal control systems (Hassan and Said, 2024</w:t>
      </w:r>
      <w:r>
        <w:rPr>
          <w:rFonts w:hint="default"/>
          <w:b w:val="false"/>
          <w:bCs w:val="false"/>
          <w:color w:val="121212"/>
          <w:lang w:val="en-US"/>
        </w:rPr>
        <w:t>).</w:t>
      </w:r>
    </w:p>
    <w:p>
      <w:pPr>
        <w:pStyle w:val="style4105"/>
        <w:spacing w:lineRule="auto" w:line="360"/>
        <w:jc w:val="both"/>
        <w:rPr>
          <w:b w:val="false"/>
          <w:bCs w:val="false"/>
          <w:color w:val="121212"/>
        </w:rPr>
      </w:pPr>
      <w:r>
        <w:rPr>
          <w:rFonts w:hint="eastAsia"/>
          <w:b w:val="false"/>
          <w:bCs w:val="false"/>
          <w:color w:val="121212"/>
        </w:rPr>
        <w:t xml:space="preserve">Board dynamic cultural, the independence of directors, financial knowledge, number of meetings determine the effectiveness of board governance. Audit committee characteristics that have a strong influence on the earnings management detection and prevention capabilities include financial expertise, independence, and resources. The framework </w:t>
      </w:r>
      <w:r>
        <w:rPr>
          <w:rFonts w:hint="eastAsia"/>
          <w:b w:val="false"/>
          <w:bCs w:val="false"/>
          <w:color w:val="121212"/>
        </w:rPr>
        <w:t>recognises</w:t>
      </w:r>
      <w:r>
        <w:rPr>
          <w:rFonts w:hint="eastAsia"/>
          <w:b w:val="false"/>
          <w:bCs w:val="false"/>
          <w:color w:val="121212"/>
        </w:rPr>
        <w:t xml:space="preserve"> that governance effectiveness in various institutional settings and in various cultures varies widely.</w:t>
      </w:r>
    </w:p>
    <w:p>
      <w:pPr>
        <w:pStyle w:val="style4105"/>
        <w:spacing w:lineRule="auto" w:line="360"/>
        <w:jc w:val="both"/>
        <w:rPr>
          <w:b w:val="false"/>
          <w:bCs w:val="false"/>
          <w:color w:val="121212"/>
        </w:rPr>
      </w:pPr>
      <w:r>
        <w:rPr>
          <w:rFonts w:hint="eastAsia"/>
          <w:b w:val="false"/>
          <w:bCs w:val="false"/>
          <w:color w:val="121212"/>
        </w:rPr>
        <w:t>Examples of external governance controls are external audit, external analysis, external monitoring of short-sellers, media coverage and regulatory controls (Cai et al., 2024; Kim and Lee, 2024). These mechanisms provide complementary watch keeping which can help to counter internal governance weaknesses. The framework acknowledges that the quality of external monitoring depends on market development, presence of information and support of market monitoring activities by the regulatory framework.</w:t>
      </w:r>
    </w:p>
    <w:p>
      <w:pPr>
        <w:pStyle w:val="style4105"/>
        <w:spacing w:lineRule="auto" w:line="360"/>
        <w:jc w:val="both"/>
        <w:rPr>
          <w:b w:val="false"/>
          <w:bCs w:val="false"/>
          <w:color w:val="121212"/>
        </w:rPr>
      </w:pPr>
      <w:r>
        <w:rPr>
          <w:rFonts w:hint="eastAsia"/>
          <w:b w:val="false"/>
          <w:bCs w:val="false"/>
          <w:color w:val="121212"/>
        </w:rPr>
        <w:t>3.3 Stakeholder Impact Framework.</w:t>
      </w:r>
    </w:p>
    <w:p>
      <w:pPr>
        <w:pStyle w:val="style4105"/>
        <w:spacing w:lineRule="auto" w:line="360"/>
        <w:jc w:val="both"/>
        <w:rPr>
          <w:b w:val="false"/>
          <w:bCs w:val="false"/>
          <w:color w:val="121212"/>
        </w:rPr>
      </w:pPr>
      <w:r>
        <w:rPr>
          <w:rFonts w:hint="eastAsia"/>
          <w:b w:val="false"/>
          <w:bCs w:val="false"/>
          <w:color w:val="121212"/>
        </w:rPr>
        <w:t>The stakeholder impact framework looks at the connection between adjustments of earnings management and the various stakeholder groups through various transmission routes. Shareholders, creditors, employees, customers and secondary stakeholders are regulators, analysts, auditors and the society in the general (Smith and Johnson, 2024).</w:t>
      </w:r>
    </w:p>
    <w:p>
      <w:pPr>
        <w:pStyle w:val="style4105"/>
        <w:spacing w:lineRule="auto" w:line="360"/>
        <w:jc w:val="both"/>
        <w:rPr>
          <w:b w:val="false"/>
          <w:bCs w:val="false"/>
          <w:color w:val="121212"/>
        </w:rPr>
      </w:pPr>
      <w:r>
        <w:rPr>
          <w:rFonts w:hint="eastAsia"/>
          <w:b w:val="false"/>
          <w:bCs w:val="false"/>
          <w:color w:val="121212"/>
        </w:rPr>
        <w:t>The shareholders are impacted because of mispricing, low quality of the earnings, and loss of trust in the financial reporting. This is whereby complex institutional investors capable of identifying earnings management are opposed to the individual investors who have the ability to be misled by these manipulated reports. Behavioral factors are also moral values and trust, which significantly influence the response of the investor to the uncovered earnings management</w:t>
      </w:r>
      <w:r>
        <w:rPr>
          <w:rFonts w:hint="default"/>
          <w:b w:val="false"/>
          <w:bCs w:val="false"/>
          <w:color w:val="121212"/>
          <w:lang w:val="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(Graham</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et</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al.,</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2005).</w:t>
      </w:r>
    </w:p>
    <w:p>
      <w:pPr>
        <w:pStyle w:val="style4105"/>
        <w:spacing w:lineRule="auto" w:line="360"/>
        <w:jc w:val="both"/>
        <w:rPr>
          <w:b w:val="false"/>
          <w:bCs w:val="false"/>
          <w:color w:val="121212"/>
        </w:rPr>
      </w:pPr>
      <w:r>
        <w:rPr>
          <w:rFonts w:hint="eastAsia"/>
          <w:b w:val="false"/>
          <w:bCs w:val="false"/>
          <w:color w:val="121212"/>
        </w:rPr>
        <w:t>Problems with credit risk evaluation of creditors increase when the earnings management process has clouded the true performance of the company. The framework takes the reality into account that the creditors are increasingly incorporating the elements of the quality of earnings in their decision models. The effects can be felt by the employees in terms of job insecurity and remuneration and the customers in terms of product quality and sustainability of the firm. The framework underscores the fact that the effects of the stakeholders are determined by their level of sophistication, access to information as well as their relationship to the firm.</w:t>
      </w:r>
    </w:p>
    <w:p>
      <w:pPr>
        <w:pStyle w:val="style4105"/>
        <w:spacing w:lineRule="auto" w:line="360"/>
        <w:jc w:val="both"/>
        <w:rPr>
          <w:rFonts w:hint="eastAsia"/>
          <w:b w:val="false"/>
          <w:bCs w:val="false"/>
          <w:color w:val="121212"/>
        </w:rPr>
      </w:pPr>
    </w:p>
    <w:p>
      <w:pPr>
        <w:pStyle w:val="style4105"/>
        <w:spacing w:lineRule="auto" w:line="360"/>
        <w:jc w:val="both"/>
        <w:rPr>
          <w:b w:val="false"/>
          <w:bCs w:val="false"/>
          <w:color w:val="121212"/>
        </w:rPr>
      </w:pPr>
      <w:r>
        <w:rPr>
          <w:rFonts w:hint="eastAsia"/>
          <w:b w:val="false"/>
          <w:bCs w:val="false"/>
          <w:color w:val="121212"/>
        </w:rPr>
        <w:t>Methodology</w:t>
      </w:r>
    </w:p>
    <w:p>
      <w:pPr>
        <w:pStyle w:val="style4105"/>
        <w:spacing w:lineRule="auto" w:line="360"/>
        <w:jc w:val="both"/>
        <w:rPr>
          <w:b w:val="false"/>
          <w:bCs w:val="false"/>
          <w:color w:val="121212"/>
        </w:rPr>
      </w:pPr>
      <w:r>
        <w:rPr>
          <w:rFonts w:hint="eastAsia"/>
          <w:b w:val="false"/>
          <w:bCs w:val="false"/>
          <w:color w:val="121212"/>
        </w:rPr>
        <w:t>4.1 Search Strategy</w:t>
      </w:r>
    </w:p>
    <w:p>
      <w:pPr>
        <w:pStyle w:val="style4105"/>
        <w:spacing w:lineRule="auto" w:line="360"/>
        <w:jc w:val="both"/>
        <w:rPr>
          <w:b w:val="false"/>
          <w:bCs w:val="false"/>
          <w:color w:val="121212"/>
        </w:rPr>
      </w:pPr>
      <w:r>
        <w:rPr>
          <w:rFonts w:hint="eastAsia"/>
          <w:b w:val="false"/>
          <w:bCs w:val="false"/>
          <w:color w:val="121212"/>
        </w:rPr>
        <w:t>A broad search strategy has been applied in this systemic review to identify related literature on earnings management published in 2023-2025. Only peer reviews of scholarly journals, authoritative working papers and regulatory reports by leading financial regulators were considered. The bias on time towards the recent years ensured that methodological coverage of the recent developments in the earnings management research was secured.</w:t>
      </w:r>
    </w:p>
    <w:p>
      <w:pPr>
        <w:pStyle w:val="style4105"/>
        <w:spacing w:lineRule="auto" w:line="360"/>
        <w:jc w:val="both"/>
        <w:rPr>
          <w:b w:val="false"/>
          <w:bCs w:val="false"/>
          <w:color w:val="121212"/>
        </w:rPr>
      </w:pPr>
      <w:r>
        <w:rPr>
          <w:rFonts w:hint="eastAsia"/>
          <w:b w:val="false"/>
          <w:bCs w:val="false"/>
          <w:color w:val="121212"/>
        </w:rPr>
        <w:t>The search strategy was through various academic databases that include Web of Science, Scopus, JSTOR, ScienceDirect and SSRN. Search terms were a combination of: earnings management, accruals management, real earnings management, financial reporting quality, corporate governance and such like terms. Binary operators and truncation were employed to contribute to capturing terminology variations and high level of coverage.</w:t>
      </w:r>
    </w:p>
    <w:p>
      <w:pPr>
        <w:pStyle w:val="style4105"/>
        <w:spacing w:lineRule="auto" w:line="360"/>
        <w:jc w:val="both"/>
        <w:rPr>
          <w:b w:val="false"/>
          <w:bCs w:val="false"/>
          <w:color w:val="121212"/>
        </w:rPr>
      </w:pPr>
      <w:r>
        <w:rPr>
          <w:rFonts w:hint="eastAsia"/>
          <w:b w:val="false"/>
          <w:bCs w:val="false"/>
          <w:color w:val="121212"/>
        </w:rPr>
        <w:t>Additional sources were located through tracing citation of key papers, references lists of identified articles and through specialty journals in the fields of accounting and finance. Organizational indicative working papers and regulatory reports were also included (such as the European Securities and Markets Authority) to represent policy-relevant developments and new regulatory responses.</w:t>
      </w:r>
    </w:p>
    <w:p>
      <w:pPr>
        <w:pStyle w:val="style4105"/>
        <w:spacing w:lineRule="auto" w:line="360"/>
        <w:jc w:val="both"/>
        <w:rPr>
          <w:b w:val="false"/>
          <w:bCs w:val="false"/>
          <w:color w:val="121212"/>
        </w:rPr>
      </w:pPr>
      <w:r>
        <w:rPr>
          <w:rFonts w:hint="eastAsia"/>
          <w:b w:val="false"/>
          <w:bCs w:val="false"/>
          <w:color w:val="121212"/>
        </w:rPr>
        <w:t>4.2 Selection Criteria</w:t>
      </w:r>
    </w:p>
    <w:p>
      <w:pPr>
        <w:pStyle w:val="style4105"/>
        <w:spacing w:lineRule="auto" w:line="360"/>
        <w:jc w:val="both"/>
        <w:rPr>
          <w:b w:val="false"/>
          <w:bCs w:val="false"/>
          <w:color w:val="121212"/>
        </w:rPr>
      </w:pPr>
      <w:r>
        <w:rPr>
          <w:rFonts w:hint="eastAsia"/>
          <w:b w:val="false"/>
          <w:bCs w:val="false"/>
          <w:color w:val="121212"/>
        </w:rPr>
        <w:t>The selection criteria were developed in a way that it entailed the inclusion of quality, relevancy of studies as well as maintaining within focus the recent developments in terms of earnings management. Inclusion criteria (1) published between 2023-2025, (2) the topic of the research and study would have to be linked to the subject of earnings management methods, methods of detecting or mitigating it, (3) it would have to be an empirical study with adequate methodology, (4) it would be required to be published in a peer-reviewed journal or a reputable series of working papers, and (5) it must add value to the existing body of knowledge related to current practices in earnings management.</w:t>
      </w:r>
    </w:p>
    <w:p>
      <w:pPr>
        <w:pStyle w:val="style4105"/>
        <w:spacing w:lineRule="auto" w:line="360"/>
        <w:jc w:val="both"/>
        <w:rPr>
          <w:b w:val="false"/>
          <w:bCs w:val="false"/>
          <w:color w:val="121212"/>
        </w:rPr>
      </w:pPr>
      <w:r>
        <w:rPr>
          <w:rFonts w:hint="eastAsia"/>
          <w:b w:val="false"/>
          <w:bCs w:val="false"/>
          <w:color w:val="121212"/>
        </w:rPr>
        <w:t>Exclusion criteria eliminated all studies that covered only historical periods prior to 2015 and only theoretical papers, no empirical evidence, case studies of individual firms that were not generalizable and studies with severe limitations. Case studies Conference papers and book chapters were generally omitted unless they contain information not elsewhere available.</w:t>
      </w:r>
    </w:p>
    <w:p>
      <w:pPr>
        <w:pStyle w:val="style4105"/>
        <w:spacing w:lineRule="auto" w:line="360"/>
        <w:jc w:val="both"/>
        <w:rPr>
          <w:rFonts w:ascii="Times New Roman" w:cs="Times New Roman" w:hAnsi="Times New Roman"/>
          <w:b w:val="false"/>
          <w:bCs w:val="false"/>
          <w:color w:val="36363d"/>
          <w:sz w:val="24"/>
          <w:szCs w:val="24"/>
        </w:rPr>
      </w:pPr>
      <w:r>
        <w:rPr>
          <w:rFonts w:hint="eastAsia"/>
          <w:b w:val="false"/>
          <w:bCs w:val="false"/>
          <w:color w:val="121212"/>
        </w:rPr>
        <w:t>The research team used the first process of screening the titles and abstract followed by the full-text analysis of the potentially relevant papers. Team members would make decisions by having to disagree and negotiating over the matter. The final sample was comprised of 30 studies that covered as broad a scope of geographic settings, methods of research and questions.</w:t>
      </w:r>
    </w:p>
    <w:p>
      <w:pPr>
        <w:pStyle w:val="style4105"/>
        <w:jc w:val="both"/>
        <w:rPr>
          <w:rFonts w:ascii="Times New Roman" w:cs="Times New Roman" w:hAnsi="Times New Roman"/>
          <w:color w:val="36363d"/>
          <w:sz w:val="24"/>
          <w:szCs w:val="24"/>
        </w:rPr>
      </w:pPr>
      <w:r>
        <w:rPr>
          <w:rFonts w:ascii="Times New Roman" w:cs="Times New Roman" w:hAnsi="Times New Roman"/>
          <w:color w:val="36363d"/>
          <w:sz w:val="24"/>
          <w:szCs w:val="24"/>
        </w:rPr>
        <w:t>5. Summary of Findings</w:t>
      </w:r>
    </w:p>
    <w:bookmarkStart w:id="2" w:name="X1f766cf38909bfc93ea06793c189ae717c6f0a2"/>
    <w:p>
      <w:pPr>
        <w:pStyle w:val="style4106"/>
        <w:jc w:val="both"/>
        <w:rPr>
          <w:rFonts w:ascii="Times New Roman" w:cs="Times New Roman" w:hAnsi="Times New Roman"/>
          <w:color w:val="36363d"/>
        </w:rPr>
      </w:pPr>
      <w:r>
        <w:rPr>
          <w:rFonts w:ascii="Times New Roman" w:cs="Times New Roman" w:hAnsi="Times New Roman"/>
          <w:color w:val="36363d"/>
        </w:rPr>
        <w:t>Table 1: Geographic Distribution and Institutional Context</w:t>
      </w:r>
    </w:p>
    <w:tbl>
      <w:tblPr>
        <w:tblStyle w:val="style154"/>
        <w:tblW w:w="0" w:type="auto"/>
        <w:tblLayout w:type="fixed"/>
        <w:tblLook w:val="04A0" w:firstRow="1" w:lastRow="0" w:firstColumn="1" w:lastColumn="0" w:noHBand="0" w:noVBand="1"/>
      </w:tblPr>
      <w:tblGrid>
        <w:gridCol w:w="1805"/>
        <w:gridCol w:w="1028"/>
        <w:gridCol w:w="935"/>
        <w:gridCol w:w="1653"/>
        <w:gridCol w:w="1513"/>
        <w:gridCol w:w="1584"/>
      </w:tblGrid>
      <w:tr>
        <w:trPr>
          <w:tblHeader/>
        </w:trPr>
        <w:tc>
          <w:tcPr>
            <w:tcW w:w="180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Region/Country</w:t>
            </w:r>
          </w:p>
        </w:tc>
        <w:tc>
          <w:tcPr>
            <w:tcW w:w="1028"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Studies</w:t>
            </w:r>
          </w:p>
        </w:tc>
        <w:tc>
          <w:tcPr>
            <w:tcW w:w="93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Sample Period</w:t>
            </w:r>
          </w:p>
        </w:tc>
        <w:tc>
          <w:tcPr>
            <w:tcW w:w="165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Primary Focus</w:t>
            </w:r>
          </w:p>
        </w:tc>
        <w:tc>
          <w:tcPr>
            <w:tcW w:w="151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Key Institutional Factors</w:t>
            </w:r>
          </w:p>
        </w:tc>
        <w:tc>
          <w:tcPr>
            <w:tcW w:w="1584"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Main Findings</w:t>
            </w:r>
          </w:p>
        </w:tc>
      </w:tr>
      <w:tr>
        <w:tblPrEx/>
        <w:trPr/>
        <w:tc>
          <w:tcPr>
            <w:tcW w:w="180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b/>
                <w:bCs/>
                <w:color w:val="36363d"/>
              </w:rPr>
              <w:t>Brazil</w:t>
            </w:r>
          </w:p>
        </w:tc>
        <w:tc>
          <w:tcPr>
            <w:tcW w:w="1028"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da Silva (2023)</w:t>
            </w:r>
          </w:p>
        </w:tc>
        <w:tc>
          <w:tcPr>
            <w:tcW w:w="93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2018-2022</w:t>
            </w:r>
          </w:p>
        </w:tc>
        <w:tc>
          <w:tcPr>
            <w:tcW w:w="165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Big-bath accounting</w:t>
            </w:r>
          </w:p>
        </w:tc>
        <w:tc>
          <w:tcPr>
            <w:tcW w:w="151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Weak enforcement, economic volatility</w:t>
            </w:r>
          </w:p>
        </w:tc>
        <w:tc>
          <w:tcPr>
            <w:tcW w:w="1584"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Aggressive big-bath during downturns</w:t>
            </w:r>
          </w:p>
        </w:tc>
      </w:tr>
      <w:tr>
        <w:tblPrEx/>
        <w:trPr/>
        <w:tc>
          <w:tcPr>
            <w:tcW w:w="180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b/>
                <w:bCs/>
                <w:color w:val="36363d"/>
              </w:rPr>
              <w:t>Vietnam</w:t>
            </w:r>
          </w:p>
        </w:tc>
        <w:tc>
          <w:tcPr>
            <w:tcW w:w="1028"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Khuong (2023)</w:t>
            </w:r>
          </w:p>
        </w:tc>
        <w:tc>
          <w:tcPr>
            <w:tcW w:w="93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2015-2020</w:t>
            </w:r>
          </w:p>
        </w:tc>
        <w:tc>
          <w:tcPr>
            <w:tcW w:w="165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Accrual and real EM</w:t>
            </w:r>
          </w:p>
        </w:tc>
        <w:tc>
          <w:tcPr>
            <w:tcW w:w="151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Emerging regulatory framework</w:t>
            </w:r>
          </w:p>
        </w:tc>
        <w:tc>
          <w:tcPr>
            <w:tcW w:w="1584"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Combined manipulation strategies</w:t>
            </w:r>
          </w:p>
        </w:tc>
      </w:tr>
      <w:tr>
        <w:tblPrEx/>
        <w:trPr/>
        <w:tc>
          <w:tcPr>
            <w:tcW w:w="180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b/>
                <w:bCs/>
                <w:color w:val="36363d"/>
              </w:rPr>
              <w:t>China</w:t>
            </w:r>
          </w:p>
        </w:tc>
        <w:tc>
          <w:tcPr>
            <w:tcW w:w="1028"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Li &amp; Zeng (2024); Liu &amp; Zhou (2024)</w:t>
            </w:r>
          </w:p>
        </w:tc>
        <w:tc>
          <w:tcPr>
            <w:tcW w:w="93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2016-2023</w:t>
            </w:r>
          </w:p>
        </w:tc>
        <w:tc>
          <w:tcPr>
            <w:tcW w:w="165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Governance and political connections</w:t>
            </w:r>
          </w:p>
        </w:tc>
        <w:tc>
          <w:tcPr>
            <w:tcW w:w="151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State ownership, political influence</w:t>
            </w:r>
          </w:p>
        </w:tc>
        <w:tc>
          <w:tcPr>
            <w:tcW w:w="1584"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Governance reduces EM; political connections increase EM</w:t>
            </w:r>
          </w:p>
        </w:tc>
      </w:tr>
      <w:tr>
        <w:tblPrEx/>
        <w:trPr/>
        <w:tc>
          <w:tcPr>
            <w:tcW w:w="180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b/>
                <w:bCs/>
                <w:color w:val="36363d"/>
              </w:rPr>
              <w:t>Korea</w:t>
            </w:r>
          </w:p>
        </w:tc>
        <w:tc>
          <w:tcPr>
            <w:tcW w:w="1028"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Choi &amp; Park (2023)</w:t>
            </w:r>
          </w:p>
        </w:tc>
        <w:tc>
          <w:tcPr>
            <w:tcW w:w="93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2018-2022</w:t>
            </w:r>
          </w:p>
        </w:tc>
        <w:tc>
          <w:tcPr>
            <w:tcW w:w="165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Chaebol ownership structures</w:t>
            </w:r>
          </w:p>
        </w:tc>
        <w:tc>
          <w:tcPr>
            <w:tcW w:w="151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Complex group structures</w:t>
            </w:r>
          </w:p>
        </w:tc>
        <w:tc>
          <w:tcPr>
            <w:tcW w:w="1584"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Ownership concentration effects vary</w:t>
            </w:r>
          </w:p>
        </w:tc>
      </w:tr>
      <w:tr>
        <w:tblPrEx/>
        <w:trPr/>
        <w:tc>
          <w:tcPr>
            <w:tcW w:w="180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b/>
                <w:bCs/>
                <w:color w:val="36363d"/>
              </w:rPr>
              <w:t>Malaysia</w:t>
            </w:r>
          </w:p>
        </w:tc>
        <w:tc>
          <w:tcPr>
            <w:tcW w:w="1028"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Hassan &amp; Said (2024)</w:t>
            </w:r>
          </w:p>
        </w:tc>
        <w:tc>
          <w:tcPr>
            <w:tcW w:w="93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2019-2023</w:t>
            </w:r>
          </w:p>
        </w:tc>
        <w:tc>
          <w:tcPr>
            <w:tcW w:w="165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Audit committee effectiveness</w:t>
            </w:r>
          </w:p>
        </w:tc>
        <w:tc>
          <w:tcPr>
            <w:tcW w:w="151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Developing governance standards</w:t>
            </w:r>
          </w:p>
        </w:tc>
        <w:tc>
          <w:tcPr>
            <w:tcW w:w="1584"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Audit committees improve reporting quality</w:t>
            </w:r>
          </w:p>
        </w:tc>
      </w:tr>
      <w:tr>
        <w:tblPrEx/>
        <w:trPr/>
        <w:tc>
          <w:tcPr>
            <w:tcW w:w="180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b/>
                <w:bCs/>
                <w:color w:val="36363d"/>
              </w:rPr>
              <w:t>Saudi Arabia</w:t>
            </w:r>
          </w:p>
        </w:tc>
        <w:tc>
          <w:tcPr>
            <w:tcW w:w="1028"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Al-</w:t>
            </w:r>
            <w:r>
              <w:rPr>
                <w:rFonts w:ascii="Times New Roman" w:cs="Times New Roman" w:hAnsi="Times New Roman"/>
                <w:color w:val="36363d"/>
              </w:rPr>
              <w:t>Qahtani</w:t>
            </w:r>
            <w:r>
              <w:rPr>
                <w:rFonts w:ascii="Times New Roman" w:cs="Times New Roman" w:hAnsi="Times New Roman"/>
                <w:color w:val="36363d"/>
              </w:rPr>
              <w:t xml:space="preserve"> &amp; Al-</w:t>
            </w:r>
            <w:r>
              <w:rPr>
                <w:rFonts w:ascii="Times New Roman" w:cs="Times New Roman" w:hAnsi="Times New Roman"/>
                <w:color w:val="36363d"/>
              </w:rPr>
              <w:t>Enazi</w:t>
            </w:r>
            <w:r>
              <w:rPr>
                <w:rFonts w:ascii="Times New Roman" w:cs="Times New Roman" w:hAnsi="Times New Roman"/>
                <w:color w:val="36363d"/>
              </w:rPr>
              <w:t xml:space="preserve"> (2025)</w:t>
            </w:r>
          </w:p>
        </w:tc>
        <w:tc>
          <w:tcPr>
            <w:tcW w:w="93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2017-2024</w:t>
            </w:r>
          </w:p>
        </w:tc>
        <w:tc>
          <w:tcPr>
            <w:tcW w:w="165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IFRS adoption impact</w:t>
            </w:r>
          </w:p>
        </w:tc>
        <w:tc>
          <w:tcPr>
            <w:tcW w:w="151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Recent regulatory reforms</w:t>
            </w:r>
          </w:p>
        </w:tc>
        <w:tc>
          <w:tcPr>
            <w:tcW w:w="1584"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IFRS reduces aggressive EM</w:t>
            </w:r>
          </w:p>
        </w:tc>
      </w:tr>
      <w:tr>
        <w:tblPrEx/>
        <w:trPr/>
        <w:tc>
          <w:tcPr>
            <w:tcW w:w="180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b/>
                <w:bCs/>
                <w:color w:val="36363d"/>
              </w:rPr>
              <w:t>Sub-Saharan Africa</w:t>
            </w:r>
          </w:p>
        </w:tc>
        <w:tc>
          <w:tcPr>
            <w:tcW w:w="1028"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Ofori &amp; Boateng (2023)</w:t>
            </w:r>
          </w:p>
        </w:tc>
        <w:tc>
          <w:tcPr>
            <w:tcW w:w="93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2015-2021</w:t>
            </w:r>
          </w:p>
        </w:tc>
        <w:tc>
          <w:tcPr>
            <w:tcW w:w="165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Firm characteristics</w:t>
            </w:r>
          </w:p>
        </w:tc>
        <w:tc>
          <w:tcPr>
            <w:tcW w:w="151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Weak institutional environment</w:t>
            </w:r>
          </w:p>
        </w:tc>
        <w:tc>
          <w:tcPr>
            <w:tcW w:w="1584"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Size and leverage drive EM</w:t>
            </w:r>
          </w:p>
        </w:tc>
      </w:tr>
      <w:tr>
        <w:tblPrEx/>
        <w:trPr/>
        <w:tc>
          <w:tcPr>
            <w:tcW w:w="180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b/>
                <w:bCs/>
                <w:color w:val="36363d"/>
              </w:rPr>
              <w:t>South Asia</w:t>
            </w:r>
          </w:p>
        </w:tc>
        <w:tc>
          <w:tcPr>
            <w:tcW w:w="1028"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Khan &amp; Rahman (2023)</w:t>
            </w:r>
          </w:p>
        </w:tc>
        <w:tc>
          <w:tcPr>
            <w:tcW w:w="93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2018-2022</w:t>
            </w:r>
          </w:p>
        </w:tc>
        <w:tc>
          <w:tcPr>
            <w:tcW w:w="165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CSR and EM relationship</w:t>
            </w:r>
          </w:p>
        </w:tc>
        <w:tc>
          <w:tcPr>
            <w:tcW w:w="151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Varying regulatory maturity</w:t>
            </w:r>
          </w:p>
        </w:tc>
        <w:tc>
          <w:tcPr>
            <w:tcW w:w="1584"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CSR disclosure affects EM patterns</w:t>
            </w:r>
          </w:p>
        </w:tc>
      </w:tr>
      <w:tr>
        <w:tblPrEx/>
        <w:trPr/>
        <w:tc>
          <w:tcPr>
            <w:tcW w:w="180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b/>
                <w:bCs/>
                <w:color w:val="36363d"/>
              </w:rPr>
              <w:t>Multi-country</w:t>
            </w:r>
          </w:p>
        </w:tc>
        <w:tc>
          <w:tcPr>
            <w:tcW w:w="1028"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Glaum</w:t>
            </w:r>
            <w:r>
              <w:rPr>
                <w:rFonts w:ascii="Times New Roman" w:cs="Times New Roman" w:hAnsi="Times New Roman"/>
                <w:color w:val="36363d"/>
              </w:rPr>
              <w:t xml:space="preserve"> &amp; </w:t>
            </w:r>
            <w:r>
              <w:rPr>
                <w:rFonts w:ascii="Times New Roman" w:cs="Times New Roman" w:hAnsi="Times New Roman"/>
                <w:color w:val="36363d"/>
              </w:rPr>
              <w:t>Wyrwa</w:t>
            </w:r>
            <w:r>
              <w:rPr>
                <w:rFonts w:ascii="Times New Roman" w:cs="Times New Roman" w:hAnsi="Times New Roman"/>
                <w:color w:val="36363d"/>
              </w:rPr>
              <w:t xml:space="preserve"> (2023)</w:t>
            </w:r>
          </w:p>
        </w:tc>
        <w:tc>
          <w:tcPr>
            <w:tcW w:w="935"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2010-2020</w:t>
            </w:r>
          </w:p>
        </w:tc>
        <w:tc>
          <w:tcPr>
            <w:tcW w:w="165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Cross-country big-bath</w:t>
            </w:r>
          </w:p>
        </w:tc>
        <w:tc>
          <w:tcPr>
            <w:tcW w:w="1513"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Diverse institutional settings</w:t>
            </w:r>
          </w:p>
        </w:tc>
        <w:tc>
          <w:tcPr>
            <w:tcW w:w="1584" w:type="dxa"/>
            <w:tcBorders>
              <w:top w:val="single" w:sz="4" w:space="0" w:color="000000"/>
              <w:left w:val="single" w:sz="4" w:space="0" w:color="000000"/>
              <w:bottom w:val="single" w:sz="4" w:space="0" w:color="000000"/>
              <w:right w:val="single" w:sz="4" w:space="0" w:color="000000"/>
            </w:tcBorders>
          </w:tcPr>
          <w:p>
            <w:pPr>
              <w:pStyle w:val="style4099"/>
              <w:jc w:val="both"/>
              <w:rPr>
                <w:rFonts w:ascii="Times New Roman" w:cs="Times New Roman" w:hAnsi="Times New Roman"/>
                <w:color w:val="36363d"/>
              </w:rPr>
            </w:pPr>
            <w:r>
              <w:rPr>
                <w:rFonts w:ascii="Times New Roman" w:cs="Times New Roman" w:hAnsi="Times New Roman"/>
                <w:color w:val="36363d"/>
              </w:rPr>
              <w:t>Significant institutional differences</w:t>
            </w:r>
          </w:p>
        </w:tc>
      </w:tr>
      <w:bookmarkStart w:id="3" w:name="Xe06f415b398f1ed380fdbd9cbecba2b4516bf18"/>
      <w:bookmarkEnd w:id="2"/>
    </w:tbl>
    <w:p>
      <w:pPr>
        <w:pStyle w:val="style4106"/>
        <w:spacing w:lineRule="auto" w:line="360"/>
        <w:jc w:val="both"/>
        <w:rPr>
          <w:rFonts w:ascii="Times New Roman" w:cs="Times New Roman" w:hAnsi="Times New Roman"/>
          <w:color w:val="36363d"/>
        </w:rPr>
      </w:pPr>
      <w:r>
        <w:rPr>
          <w:rFonts w:ascii="Times New Roman" w:cs="Times New Roman" w:hAnsi="Times New Roman"/>
          <w:color w:val="36363d"/>
        </w:rPr>
        <w:t>Table 2: Earnings Management Techniques and Detection Methods</w:t>
      </w:r>
    </w:p>
    <w:tbl>
      <w:tblPr>
        <w:tblStyle w:val="style154"/>
        <w:tblW w:w="0" w:type="auto"/>
        <w:tblLayout w:type="fixed"/>
        <w:tblLook w:val="04A0" w:firstRow="1" w:lastRow="0" w:firstColumn="1" w:lastColumn="0" w:noHBand="0" w:noVBand="1"/>
      </w:tblPr>
      <w:tblGrid>
        <w:gridCol w:w="1390"/>
        <w:gridCol w:w="1417"/>
        <w:gridCol w:w="1117"/>
        <w:gridCol w:w="1335"/>
        <w:gridCol w:w="1454"/>
        <w:gridCol w:w="1806"/>
      </w:tblGrid>
      <w:tr>
        <w:trPr>
          <w:tblHeader/>
        </w:trPr>
        <w:tc>
          <w:tcPr>
            <w:tcW w:w="13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Technique Category</w:t>
            </w:r>
          </w:p>
        </w:tc>
        <w:tc>
          <w:tcPr>
            <w:tcW w:w="14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Detection Method</w:t>
            </w:r>
          </w:p>
        </w:tc>
        <w:tc>
          <w:tcPr>
            <w:tcW w:w="11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Accuracy Rate</w:t>
            </w:r>
          </w:p>
        </w:tc>
        <w:tc>
          <w:tcPr>
            <w:tcW w:w="133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Complexity</w:t>
            </w:r>
          </w:p>
        </w:tc>
        <w:tc>
          <w:tcPr>
            <w:tcW w:w="145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Key Studies</w:t>
            </w:r>
          </w:p>
        </w:tc>
        <w:tc>
          <w:tcPr>
            <w:tcW w:w="180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Implementation Challenges</w:t>
            </w:r>
          </w:p>
        </w:tc>
      </w:tr>
      <w:tr>
        <w:tblPrEx/>
        <w:trPr/>
        <w:tc>
          <w:tcPr>
            <w:tcW w:w="13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Accrual-</w:t>
            </w:r>
            <w:r>
              <w:rPr>
                <w:rFonts w:ascii="Times New Roman" w:cs="Times New Roman" w:hAnsi="Times New Roman"/>
                <w:b/>
                <w:bCs/>
                <w:color w:val="36363d"/>
              </w:rPr>
              <w:t>based EM</w:t>
            </w:r>
          </w:p>
        </w:tc>
        <w:tc>
          <w:tcPr>
            <w:tcW w:w="14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Traditional </w:t>
            </w:r>
            <w:r>
              <w:rPr>
                <w:rFonts w:ascii="Times New Roman" w:cs="Times New Roman" w:hAnsi="Times New Roman"/>
                <w:color w:val="36363d"/>
              </w:rPr>
              <w:t>models (Jones, Modified Jones)</w:t>
            </w:r>
          </w:p>
        </w:tc>
        <w:tc>
          <w:tcPr>
            <w:tcW w:w="11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65-75%</w:t>
            </w:r>
          </w:p>
        </w:tc>
        <w:tc>
          <w:tcPr>
            <w:tcW w:w="133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Low</w:t>
            </w:r>
          </w:p>
        </w:tc>
        <w:tc>
          <w:tcPr>
            <w:tcW w:w="145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lang w:val="en-US"/>
              </w:rPr>
              <w:t>Dechow et al. (1995)</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Jones</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(1991</w:t>
            </w:r>
          </w:p>
        </w:tc>
        <w:tc>
          <w:tcPr>
            <w:tcW w:w="180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Model </w:t>
            </w:r>
            <w:r>
              <w:rPr>
                <w:rFonts w:ascii="Times New Roman" w:cs="Times New Roman" w:hAnsi="Times New Roman"/>
                <w:color w:val="36363d"/>
              </w:rPr>
              <w:t>specification issues</w:t>
            </w:r>
          </w:p>
        </w:tc>
      </w:tr>
      <w:tr>
        <w:tblPrEx/>
        <w:trPr/>
        <w:tc>
          <w:tcPr>
            <w:tcW w:w="13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p>
        </w:tc>
        <w:tc>
          <w:tcPr>
            <w:tcW w:w="14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Machine learning approaches</w:t>
            </w:r>
          </w:p>
        </w:tc>
        <w:tc>
          <w:tcPr>
            <w:tcW w:w="11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85-93%</w:t>
            </w:r>
          </w:p>
        </w:tc>
        <w:tc>
          <w:tcPr>
            <w:tcW w:w="133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w:t>
            </w:r>
          </w:p>
        </w:tc>
        <w:tc>
          <w:tcPr>
            <w:tcW w:w="145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Almasarwah</w:t>
            </w:r>
            <w:r>
              <w:rPr>
                <w:rFonts w:ascii="Times New Roman" w:cs="Times New Roman" w:hAnsi="Times New Roman"/>
                <w:color w:val="36363d"/>
              </w:rPr>
              <w:t xml:space="preserve"> (2024); Zhang &amp; Chen (2023)</w:t>
            </w:r>
          </w:p>
        </w:tc>
        <w:tc>
          <w:tcPr>
            <w:tcW w:w="180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Data requirements, interpretability</w:t>
            </w:r>
          </w:p>
        </w:tc>
      </w:tr>
      <w:tr>
        <w:tblPrEx/>
        <w:trPr/>
        <w:tc>
          <w:tcPr>
            <w:tcW w:w="13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Real EM</w:t>
            </w:r>
          </w:p>
        </w:tc>
        <w:tc>
          <w:tcPr>
            <w:tcW w:w="14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Abnormal activities analysis</w:t>
            </w:r>
          </w:p>
        </w:tc>
        <w:tc>
          <w:tcPr>
            <w:tcW w:w="11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70-80%</w:t>
            </w:r>
          </w:p>
        </w:tc>
        <w:tc>
          <w:tcPr>
            <w:tcW w:w="133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Medium</w:t>
            </w:r>
          </w:p>
        </w:tc>
        <w:tc>
          <w:tcPr>
            <w:tcW w:w="145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Gong (2024); Nhu (2024)</w:t>
            </w:r>
          </w:p>
        </w:tc>
        <w:tc>
          <w:tcPr>
            <w:tcW w:w="180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Identifying normal levels</w:t>
            </w:r>
          </w:p>
        </w:tc>
      </w:tr>
      <w:tr>
        <w:tblPrEx/>
        <w:trPr/>
        <w:tc>
          <w:tcPr>
            <w:tcW w:w="13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p>
        </w:tc>
        <w:tc>
          <w:tcPr>
            <w:tcW w:w="14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Strategic timing analysis</w:t>
            </w:r>
          </w:p>
        </w:tc>
        <w:tc>
          <w:tcPr>
            <w:tcW w:w="11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75-85%</w:t>
            </w:r>
          </w:p>
        </w:tc>
        <w:tc>
          <w:tcPr>
            <w:tcW w:w="133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w:t>
            </w:r>
          </w:p>
        </w:tc>
        <w:tc>
          <w:tcPr>
            <w:tcW w:w="145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Gong (2024)</w:t>
            </w:r>
          </w:p>
        </w:tc>
        <w:tc>
          <w:tcPr>
            <w:tcW w:w="180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Requires operational data</w:t>
            </w:r>
          </w:p>
        </w:tc>
      </w:tr>
      <w:tr>
        <w:tblPrEx/>
        <w:trPr/>
        <w:tc>
          <w:tcPr>
            <w:tcW w:w="13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Big-bath Accounting</w:t>
            </w:r>
          </w:p>
        </w:tc>
        <w:tc>
          <w:tcPr>
            <w:tcW w:w="14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Write-down analysis</w:t>
            </w:r>
          </w:p>
        </w:tc>
        <w:tc>
          <w:tcPr>
            <w:tcW w:w="11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90-95%</w:t>
            </w:r>
          </w:p>
        </w:tc>
        <w:tc>
          <w:tcPr>
            <w:tcW w:w="133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Low</w:t>
            </w:r>
          </w:p>
        </w:tc>
        <w:tc>
          <w:tcPr>
            <w:tcW w:w="145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da Silva (2023); </w:t>
            </w:r>
            <w:r>
              <w:rPr>
                <w:rFonts w:ascii="Times New Roman" w:cs="Times New Roman" w:hAnsi="Times New Roman"/>
                <w:color w:val="36363d"/>
              </w:rPr>
              <w:t>Glaum</w:t>
            </w:r>
            <w:r>
              <w:rPr>
                <w:rFonts w:ascii="Times New Roman" w:cs="Times New Roman" w:hAnsi="Times New Roman"/>
                <w:color w:val="36363d"/>
              </w:rPr>
              <w:t xml:space="preserve"> &amp; </w:t>
            </w:r>
            <w:r>
              <w:rPr>
                <w:rFonts w:ascii="Times New Roman" w:cs="Times New Roman" w:hAnsi="Times New Roman"/>
                <w:color w:val="36363d"/>
              </w:rPr>
              <w:t>Wyrwa</w:t>
            </w:r>
            <w:r>
              <w:rPr>
                <w:rFonts w:ascii="Times New Roman" w:cs="Times New Roman" w:hAnsi="Times New Roman"/>
                <w:color w:val="36363d"/>
              </w:rPr>
              <w:t xml:space="preserve"> (2023)</w:t>
            </w:r>
          </w:p>
        </w:tc>
        <w:tc>
          <w:tcPr>
            <w:tcW w:w="180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Identifying discretionary components</w:t>
            </w:r>
          </w:p>
        </w:tc>
      </w:tr>
      <w:tr>
        <w:tblPrEx/>
        <w:trPr/>
        <w:tc>
          <w:tcPr>
            <w:tcW w:w="13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Combined Approaches</w:t>
            </w:r>
          </w:p>
        </w:tc>
        <w:tc>
          <w:tcPr>
            <w:tcW w:w="14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Integrated frameworks</w:t>
            </w:r>
          </w:p>
        </w:tc>
        <w:tc>
          <w:tcPr>
            <w:tcW w:w="111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88-95%</w:t>
            </w:r>
          </w:p>
        </w:tc>
        <w:tc>
          <w:tcPr>
            <w:tcW w:w="133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Very High</w:t>
            </w:r>
          </w:p>
        </w:tc>
        <w:tc>
          <w:tcPr>
            <w:tcW w:w="145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Kothari et al. (2005).</w:t>
            </w:r>
          </w:p>
        </w:tc>
        <w:tc>
          <w:tcPr>
            <w:tcW w:w="180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Computational complexity</w:t>
            </w:r>
          </w:p>
        </w:tc>
      </w:tr>
      <w:bookmarkStart w:id="4" w:name="X9d19fe373be2ee63451172eda093ee923be801f"/>
      <w:bookmarkEnd w:id="3"/>
    </w:tbl>
    <w:p>
      <w:pPr>
        <w:pStyle w:val="style4106"/>
        <w:spacing w:lineRule="auto" w:line="360"/>
        <w:jc w:val="both"/>
        <w:rPr>
          <w:rFonts w:ascii="Times New Roman" w:cs="Times New Roman" w:hAnsi="Times New Roman"/>
          <w:color w:val="36363d"/>
        </w:rPr>
      </w:pPr>
      <w:r>
        <w:rPr>
          <w:rFonts w:ascii="Times New Roman" w:cs="Times New Roman" w:hAnsi="Times New Roman"/>
          <w:color w:val="36363d"/>
        </w:rPr>
        <w:t>Table 3: Corporate Governance Mechanisms and Effectiveness</w:t>
      </w:r>
    </w:p>
    <w:tbl>
      <w:tblPr>
        <w:tblStyle w:val="style154"/>
        <w:tblW w:w="0" w:type="auto"/>
        <w:tblLayout w:type="fixed"/>
        <w:tblLook w:val="04A0" w:firstRow="1" w:lastRow="0" w:firstColumn="1" w:lastColumn="0" w:noHBand="0" w:noVBand="1"/>
      </w:tblPr>
      <w:tblGrid>
        <w:gridCol w:w="1445"/>
        <w:gridCol w:w="1355"/>
        <w:gridCol w:w="1490"/>
        <w:gridCol w:w="1132"/>
        <w:gridCol w:w="1663"/>
        <w:gridCol w:w="1434"/>
      </w:tblGrid>
      <w:tr>
        <w:trPr>
          <w:tblHeader/>
        </w:trPr>
        <w:tc>
          <w:tcPr>
            <w:tcW w:w="144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Governance Mechanism</w:t>
            </w:r>
          </w:p>
        </w:tc>
        <w:tc>
          <w:tcPr>
            <w:tcW w:w="135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Effectiveness Rating</w:t>
            </w:r>
          </w:p>
        </w:tc>
        <w:tc>
          <w:tcPr>
            <w:tcW w:w="14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Key Variables</w:t>
            </w:r>
          </w:p>
        </w:tc>
        <w:tc>
          <w:tcPr>
            <w:tcW w:w="1132"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Supporting Evidence</w:t>
            </w:r>
          </w:p>
        </w:tc>
        <w:tc>
          <w:tcPr>
            <w:tcW w:w="16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Cross-country Variations</w:t>
            </w:r>
          </w:p>
        </w:tc>
        <w:tc>
          <w:tcPr>
            <w:tcW w:w="143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Limitations</w:t>
            </w:r>
          </w:p>
        </w:tc>
      </w:tr>
      <w:tr>
        <w:tblPrEx/>
        <w:trPr/>
        <w:tc>
          <w:tcPr>
            <w:tcW w:w="144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Board Independence</w:t>
            </w:r>
          </w:p>
        </w:tc>
        <w:tc>
          <w:tcPr>
            <w:tcW w:w="135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w:t>
            </w:r>
          </w:p>
        </w:tc>
        <w:tc>
          <w:tcPr>
            <w:tcW w:w="14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Independent director ratio, </w:t>
            </w:r>
            <w:r>
              <w:rPr>
                <w:rFonts w:ascii="Times New Roman" w:cs="Times New Roman" w:hAnsi="Times New Roman"/>
                <w:color w:val="36363d"/>
              </w:rPr>
              <w:t>financial expertise</w:t>
            </w:r>
          </w:p>
        </w:tc>
        <w:tc>
          <w:tcPr>
            <w:tcW w:w="1132"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lang w:val="en-US"/>
              </w:rPr>
              <w:t>Jensen, M. C., &amp; Meckling, W. H. (1976).</w:t>
            </w:r>
          </w:p>
        </w:tc>
        <w:tc>
          <w:tcPr>
            <w:tcW w:w="16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Strong in developed markets</w:t>
            </w:r>
          </w:p>
        </w:tc>
        <w:tc>
          <w:tcPr>
            <w:tcW w:w="143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May be ceremonial</w:t>
            </w:r>
          </w:p>
        </w:tc>
      </w:tr>
      <w:tr>
        <w:tblPrEx/>
        <w:trPr/>
        <w:tc>
          <w:tcPr>
            <w:tcW w:w="144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Audit Committee</w:t>
            </w:r>
          </w:p>
        </w:tc>
        <w:tc>
          <w:tcPr>
            <w:tcW w:w="135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Very High</w:t>
            </w:r>
          </w:p>
        </w:tc>
        <w:tc>
          <w:tcPr>
            <w:tcW w:w="14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Financial expertise, meeting frequency, resources</w:t>
            </w:r>
          </w:p>
        </w:tc>
        <w:tc>
          <w:tcPr>
            <w:tcW w:w="1132"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Hassan &amp; Said (2024)</w:t>
            </w:r>
          </w:p>
        </w:tc>
        <w:tc>
          <w:tcPr>
            <w:tcW w:w="16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Varies by regulatory requirements</w:t>
            </w:r>
          </w:p>
        </w:tc>
        <w:tc>
          <w:tcPr>
            <w:tcW w:w="143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Requires genuine independence</w:t>
            </w:r>
          </w:p>
        </w:tc>
      </w:tr>
      <w:tr>
        <w:tblPrEx/>
        <w:trPr/>
        <w:tc>
          <w:tcPr>
            <w:tcW w:w="144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Ownership Structure</w:t>
            </w:r>
          </w:p>
        </w:tc>
        <w:tc>
          <w:tcPr>
            <w:tcW w:w="135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Mixed</w:t>
            </w:r>
          </w:p>
        </w:tc>
        <w:tc>
          <w:tcPr>
            <w:tcW w:w="14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Concentration, institutional presence</w:t>
            </w:r>
          </w:p>
        </w:tc>
        <w:tc>
          <w:tcPr>
            <w:tcW w:w="1132"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Choi &amp; Park (2023)</w:t>
            </w:r>
          </w:p>
        </w:tc>
        <w:tc>
          <w:tcPr>
            <w:tcW w:w="16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Cultural and legal variations</w:t>
            </w:r>
          </w:p>
        </w:tc>
        <w:tc>
          <w:tcPr>
            <w:tcW w:w="143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Complex interaction effects</w:t>
            </w:r>
          </w:p>
        </w:tc>
      </w:tr>
      <w:tr>
        <w:tblPrEx/>
        <w:trPr/>
        <w:tc>
          <w:tcPr>
            <w:tcW w:w="144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Internal Controls</w:t>
            </w:r>
          </w:p>
        </w:tc>
        <w:tc>
          <w:tcPr>
            <w:tcW w:w="135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w:t>
            </w:r>
          </w:p>
        </w:tc>
        <w:tc>
          <w:tcPr>
            <w:tcW w:w="14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Control quality, CEO involvement</w:t>
            </w:r>
          </w:p>
        </w:tc>
        <w:tc>
          <w:tcPr>
            <w:tcW w:w="1132"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Hope</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(2003)</w:t>
            </w:r>
          </w:p>
        </w:tc>
        <w:tc>
          <w:tcPr>
            <w:tcW w:w="16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Implementation varies widely</w:t>
            </w:r>
          </w:p>
        </w:tc>
        <w:tc>
          <w:tcPr>
            <w:tcW w:w="143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Costly to implement</w:t>
            </w:r>
          </w:p>
        </w:tc>
      </w:tr>
      <w:tr>
        <w:tblPrEx/>
        <w:trPr/>
        <w:tc>
          <w:tcPr>
            <w:tcW w:w="144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External Monitoring</w:t>
            </w:r>
          </w:p>
        </w:tc>
        <w:tc>
          <w:tcPr>
            <w:tcW w:w="135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Medium-High</w:t>
            </w:r>
          </w:p>
        </w:tc>
        <w:tc>
          <w:tcPr>
            <w:tcW w:w="149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Short interest, analyst coverage, media</w:t>
            </w:r>
          </w:p>
        </w:tc>
        <w:tc>
          <w:tcPr>
            <w:tcW w:w="1132"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lang w:val="en-US"/>
              </w:rPr>
              <w:t xml:space="preserve">Leuz et al. (2003); </w:t>
            </w:r>
          </w:p>
        </w:tc>
        <w:tc>
          <w:tcPr>
            <w:tcW w:w="16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Depends on market development</w:t>
            </w:r>
          </w:p>
        </w:tc>
        <w:tc>
          <w:tcPr>
            <w:tcW w:w="143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Limited scope and potential bias</w:t>
            </w:r>
          </w:p>
        </w:tc>
      </w:tr>
      <w:bookmarkStart w:id="5" w:name="X22795e17fc94d975461049038488c502aff2e8e"/>
      <w:bookmarkEnd w:id="4"/>
    </w:tbl>
    <w:p>
      <w:pPr>
        <w:pStyle w:val="style4106"/>
        <w:spacing w:lineRule="auto" w:line="360"/>
        <w:jc w:val="both"/>
        <w:rPr>
          <w:rFonts w:ascii="Times New Roman" w:cs="Times New Roman" w:hAnsi="Times New Roman"/>
          <w:color w:val="36363d"/>
        </w:rPr>
      </w:pPr>
      <w:r>
        <w:rPr>
          <w:rFonts w:ascii="Times New Roman" w:cs="Times New Roman" w:hAnsi="Times New Roman"/>
          <w:color w:val="36363d"/>
        </w:rPr>
        <w:t>Table 4: Stakeholder Consequences and Market Impacts</w:t>
      </w:r>
    </w:p>
    <w:tbl>
      <w:tblPr>
        <w:tblStyle w:val="style154"/>
        <w:tblW w:w="0" w:type="auto"/>
        <w:tblLayout w:type="fixed"/>
        <w:tblLook w:val="04A0" w:firstRow="1" w:lastRow="0" w:firstColumn="1" w:lastColumn="0" w:noHBand="0" w:noVBand="1"/>
      </w:tblPr>
      <w:tblGrid>
        <w:gridCol w:w="1411"/>
        <w:gridCol w:w="1247"/>
        <w:gridCol w:w="1287"/>
        <w:gridCol w:w="1463"/>
        <w:gridCol w:w="1587"/>
        <w:gridCol w:w="1524"/>
      </w:tblGrid>
      <w:tr>
        <w:trPr>
          <w:tblHeader/>
        </w:trPr>
        <w:tc>
          <w:tcPr>
            <w:tcW w:w="1411"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Stakeholder Group</w:t>
            </w:r>
          </w:p>
        </w:tc>
        <w:tc>
          <w:tcPr>
            <w:tcW w:w="124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Impact Magnitude</w:t>
            </w:r>
          </w:p>
        </w:tc>
        <w:tc>
          <w:tcPr>
            <w:tcW w:w="12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Primary Effects</w:t>
            </w:r>
          </w:p>
        </w:tc>
        <w:tc>
          <w:tcPr>
            <w:tcW w:w="14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Mediating Factors</w:t>
            </w:r>
          </w:p>
        </w:tc>
        <w:tc>
          <w:tcPr>
            <w:tcW w:w="15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Long-term Consequences</w:t>
            </w:r>
          </w:p>
        </w:tc>
        <w:tc>
          <w:tcPr>
            <w:tcW w:w="152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Mitigation Strategies</w:t>
            </w:r>
          </w:p>
        </w:tc>
      </w:tr>
      <w:tr>
        <w:tblPrEx/>
        <w:trPr/>
        <w:tc>
          <w:tcPr>
            <w:tcW w:w="1411"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Individual Investors</w:t>
            </w:r>
          </w:p>
        </w:tc>
        <w:tc>
          <w:tcPr>
            <w:tcW w:w="124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w:t>
            </w:r>
          </w:p>
        </w:tc>
        <w:tc>
          <w:tcPr>
            <w:tcW w:w="12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Mispricing, trust erosion</w:t>
            </w:r>
          </w:p>
        </w:tc>
        <w:tc>
          <w:tcPr>
            <w:tcW w:w="14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Financial literacy, information access</w:t>
            </w:r>
          </w:p>
        </w:tc>
        <w:tc>
          <w:tcPr>
            <w:tcW w:w="15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Portfolio losses, market avoidance</w:t>
            </w:r>
          </w:p>
        </w:tc>
        <w:tc>
          <w:tcPr>
            <w:tcW w:w="152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Education, disclosure enhancement</w:t>
            </w:r>
          </w:p>
        </w:tc>
      </w:tr>
      <w:tr>
        <w:tblPrEx/>
        <w:trPr/>
        <w:tc>
          <w:tcPr>
            <w:tcW w:w="1411"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Institution</w:t>
            </w:r>
            <w:r>
              <w:rPr>
                <w:rFonts w:ascii="Times New Roman" w:cs="Times New Roman" w:hAnsi="Times New Roman"/>
                <w:b/>
                <w:bCs/>
                <w:color w:val="36363d"/>
              </w:rPr>
              <w:t>al Investors</w:t>
            </w:r>
          </w:p>
        </w:tc>
        <w:tc>
          <w:tcPr>
            <w:tcW w:w="124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Medium-</w:t>
            </w:r>
            <w:r>
              <w:rPr>
                <w:rFonts w:ascii="Times New Roman" w:cs="Times New Roman" w:hAnsi="Times New Roman"/>
                <w:color w:val="36363d"/>
              </w:rPr>
              <w:t>High</w:t>
            </w:r>
          </w:p>
        </w:tc>
        <w:tc>
          <w:tcPr>
            <w:tcW w:w="12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Forecast </w:t>
            </w:r>
            <w:r>
              <w:rPr>
                <w:rFonts w:ascii="Times New Roman" w:cs="Times New Roman" w:hAnsi="Times New Roman"/>
                <w:color w:val="36363d"/>
              </w:rPr>
              <w:t>errors, reputation risk</w:t>
            </w:r>
          </w:p>
        </w:tc>
        <w:tc>
          <w:tcPr>
            <w:tcW w:w="14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Analytical </w:t>
            </w:r>
            <w:r>
              <w:rPr>
                <w:rFonts w:ascii="Times New Roman" w:cs="Times New Roman" w:hAnsi="Times New Roman"/>
                <w:color w:val="36363d"/>
              </w:rPr>
              <w:t>capabilities, resources</w:t>
            </w:r>
          </w:p>
        </w:tc>
        <w:tc>
          <w:tcPr>
            <w:tcW w:w="15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Reduced </w:t>
            </w:r>
            <w:r>
              <w:rPr>
                <w:rFonts w:ascii="Times New Roman" w:cs="Times New Roman" w:hAnsi="Times New Roman"/>
                <w:color w:val="36363d"/>
              </w:rPr>
              <w:t>market confidence</w:t>
            </w:r>
          </w:p>
        </w:tc>
        <w:tc>
          <w:tcPr>
            <w:tcW w:w="152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Sophisticated </w:t>
            </w:r>
            <w:r>
              <w:rPr>
                <w:rFonts w:ascii="Times New Roman" w:cs="Times New Roman" w:hAnsi="Times New Roman"/>
                <w:color w:val="36363d"/>
              </w:rPr>
              <w:t>analysis, engagement</w:t>
            </w:r>
          </w:p>
        </w:tc>
      </w:tr>
      <w:tr>
        <w:tblPrEx/>
        <w:trPr/>
        <w:tc>
          <w:tcPr>
            <w:tcW w:w="1411"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Analysts</w:t>
            </w:r>
          </w:p>
        </w:tc>
        <w:tc>
          <w:tcPr>
            <w:tcW w:w="124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w:t>
            </w:r>
          </w:p>
        </w:tc>
        <w:tc>
          <w:tcPr>
            <w:tcW w:w="12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Forecast accuracy reduction</w:t>
            </w:r>
          </w:p>
        </w:tc>
        <w:tc>
          <w:tcPr>
            <w:tcW w:w="14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Coverage intensity, expertise</w:t>
            </w:r>
          </w:p>
        </w:tc>
        <w:tc>
          <w:tcPr>
            <w:tcW w:w="15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Credibility concerns, career impacts</w:t>
            </w:r>
          </w:p>
        </w:tc>
        <w:tc>
          <w:tcPr>
            <w:tcW w:w="152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Enhanced models, skepticism</w:t>
            </w:r>
          </w:p>
        </w:tc>
      </w:tr>
      <w:tr>
        <w:tblPrEx/>
        <w:trPr/>
        <w:tc>
          <w:tcPr>
            <w:tcW w:w="1411"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Creditors</w:t>
            </w:r>
          </w:p>
        </w:tc>
        <w:tc>
          <w:tcPr>
            <w:tcW w:w="124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w:t>
            </w:r>
          </w:p>
        </w:tc>
        <w:tc>
          <w:tcPr>
            <w:tcW w:w="12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Credit risk mispricing</w:t>
            </w:r>
          </w:p>
        </w:tc>
        <w:tc>
          <w:tcPr>
            <w:tcW w:w="14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Loan terms, monitoring</w:t>
            </w:r>
          </w:p>
        </w:tc>
        <w:tc>
          <w:tcPr>
            <w:tcW w:w="15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Higher risk premiums</w:t>
            </w:r>
          </w:p>
        </w:tc>
        <w:tc>
          <w:tcPr>
            <w:tcW w:w="152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Earnings quality analysis</w:t>
            </w:r>
          </w:p>
        </w:tc>
      </w:tr>
      <w:tr>
        <w:tblPrEx/>
        <w:trPr/>
        <w:tc>
          <w:tcPr>
            <w:tcW w:w="1411"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Regulators</w:t>
            </w:r>
          </w:p>
        </w:tc>
        <w:tc>
          <w:tcPr>
            <w:tcW w:w="124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Very High</w:t>
            </w:r>
          </w:p>
        </w:tc>
        <w:tc>
          <w:tcPr>
            <w:tcW w:w="12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Market integrity threats</w:t>
            </w:r>
          </w:p>
        </w:tc>
        <w:tc>
          <w:tcPr>
            <w:tcW w:w="1463"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Enforcement capacity</w:t>
            </w:r>
          </w:p>
        </w:tc>
        <w:tc>
          <w:tcPr>
            <w:tcW w:w="1587"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Systemic risk, legitimacy concerns</w:t>
            </w:r>
          </w:p>
        </w:tc>
        <w:tc>
          <w:tcPr>
            <w:tcW w:w="1524"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Enhanced oversight, penalties</w:t>
            </w:r>
          </w:p>
        </w:tc>
      </w:tr>
      <w:bookmarkStart w:id="6" w:name="X844064e72ad29a9cedd20d6878a22b117c4746b"/>
      <w:bookmarkEnd w:id="5"/>
    </w:tbl>
    <w:p>
      <w:pPr>
        <w:pStyle w:val="style4106"/>
        <w:spacing w:lineRule="auto" w:line="360"/>
        <w:jc w:val="both"/>
        <w:rPr>
          <w:rFonts w:ascii="Times New Roman" w:cs="Times New Roman" w:hAnsi="Times New Roman"/>
          <w:color w:val="36363d"/>
        </w:rPr>
      </w:pPr>
      <w:r>
        <w:rPr>
          <w:rFonts w:ascii="Times New Roman" w:cs="Times New Roman" w:hAnsi="Times New Roman"/>
          <w:color w:val="36363d"/>
        </w:rPr>
        <w:t>Table 5: Emerging Trends and Future Directions</w:t>
      </w:r>
    </w:p>
    <w:tbl>
      <w:tblPr>
        <w:tblStyle w:val="style154"/>
        <w:tblW w:w="0" w:type="auto"/>
        <w:tblLayout w:type="fixed"/>
        <w:tblLook w:val="04A0" w:firstRow="1" w:lastRow="0" w:firstColumn="1" w:lastColumn="0" w:noHBand="0" w:noVBand="1"/>
      </w:tblPr>
      <w:tblGrid>
        <w:gridCol w:w="1476"/>
        <w:gridCol w:w="1619"/>
        <w:gridCol w:w="1779"/>
        <w:gridCol w:w="1866"/>
        <w:gridCol w:w="1780"/>
      </w:tblGrid>
      <w:tr>
        <w:trPr>
          <w:tblHeader/>
        </w:trPr>
        <w:tc>
          <w:tcPr>
            <w:tcW w:w="147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Research Area</w:t>
            </w:r>
          </w:p>
        </w:tc>
        <w:tc>
          <w:tcPr>
            <w:tcW w:w="161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Current Development Stage</w:t>
            </w:r>
          </w:p>
        </w:tc>
        <w:tc>
          <w:tcPr>
            <w:tcW w:w="177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Key Questions</w:t>
            </w:r>
          </w:p>
        </w:tc>
        <w:tc>
          <w:tcPr>
            <w:tcW w:w="186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Methodological Requirements</w:t>
            </w:r>
          </w:p>
        </w:tc>
        <w:tc>
          <w:tcPr>
            <w:tcW w:w="178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Practical Importance</w:t>
            </w:r>
          </w:p>
        </w:tc>
      </w:tr>
      <w:tr>
        <w:tblPrEx/>
        <w:trPr/>
        <w:tc>
          <w:tcPr>
            <w:tcW w:w="147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ESG Integration</w:t>
            </w:r>
          </w:p>
        </w:tc>
        <w:tc>
          <w:tcPr>
            <w:tcW w:w="161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Early development</w:t>
            </w:r>
          </w:p>
        </w:tc>
        <w:tc>
          <w:tcPr>
            <w:tcW w:w="177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How does ESG reporting interact with traditional EM?</w:t>
            </w:r>
          </w:p>
        </w:tc>
        <w:tc>
          <w:tcPr>
            <w:tcW w:w="186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Integrated measurement frameworks</w:t>
            </w:r>
          </w:p>
        </w:tc>
        <w:tc>
          <w:tcPr>
            <w:tcW w:w="178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Very High - regulatory focus</w:t>
            </w:r>
          </w:p>
        </w:tc>
      </w:tr>
      <w:tr>
        <w:tblPrEx/>
        <w:trPr/>
        <w:tc>
          <w:tcPr>
            <w:tcW w:w="147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AI and Technology</w:t>
            </w:r>
          </w:p>
        </w:tc>
        <w:tc>
          <w:tcPr>
            <w:tcW w:w="161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Rapid evolution</w:t>
            </w:r>
          </w:p>
        </w:tc>
        <w:tc>
          <w:tcPr>
            <w:tcW w:w="177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Can AI enable more sophisticated manipulation?</w:t>
            </w:r>
          </w:p>
        </w:tc>
        <w:tc>
          <w:tcPr>
            <w:tcW w:w="186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Advanced algorithms, real-time analysis</w:t>
            </w:r>
          </w:p>
        </w:tc>
        <w:tc>
          <w:tcPr>
            <w:tcW w:w="178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 - technological arms race</w:t>
            </w:r>
          </w:p>
        </w:tc>
      </w:tr>
      <w:tr>
        <w:tblPrEx/>
        <w:trPr/>
        <w:tc>
          <w:tcPr>
            <w:tcW w:w="147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Crisis Impact</w:t>
            </w:r>
          </w:p>
        </w:tc>
        <w:tc>
          <w:tcPr>
            <w:tcW w:w="161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Active research</w:t>
            </w:r>
          </w:p>
        </w:tc>
        <w:tc>
          <w:tcPr>
            <w:tcW w:w="177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How do crises affect EM patterns and </w:t>
            </w:r>
            <w:r>
              <w:rPr>
                <w:rFonts w:ascii="Times New Roman" w:cs="Times New Roman" w:hAnsi="Times New Roman"/>
                <w:color w:val="36363d"/>
              </w:rPr>
              <w:t>effectiveness?</w:t>
            </w:r>
          </w:p>
        </w:tc>
        <w:tc>
          <w:tcPr>
            <w:tcW w:w="186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Dynamic models, natural experiments</w:t>
            </w:r>
          </w:p>
        </w:tc>
        <w:tc>
          <w:tcPr>
            <w:tcW w:w="178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 - policy relevance</w:t>
            </w:r>
          </w:p>
        </w:tc>
      </w:tr>
      <w:tr>
        <w:tblPrEx/>
        <w:trPr/>
        <w:tc>
          <w:tcPr>
            <w:tcW w:w="147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Behavioral Factors</w:t>
            </w:r>
          </w:p>
        </w:tc>
        <w:tc>
          <w:tcPr>
            <w:tcW w:w="161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Growing interest</w:t>
            </w:r>
          </w:p>
        </w:tc>
        <w:tc>
          <w:tcPr>
            <w:tcW w:w="177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What psychological factors drive EM decisions?</w:t>
            </w:r>
          </w:p>
        </w:tc>
        <w:tc>
          <w:tcPr>
            <w:tcW w:w="186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Experimental methods, surveys</w:t>
            </w:r>
          </w:p>
        </w:tc>
        <w:tc>
          <w:tcPr>
            <w:tcW w:w="178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Medium-High - understanding motivations</w:t>
            </w:r>
          </w:p>
        </w:tc>
      </w:tr>
      <w:tr>
        <w:tblPrEx/>
        <w:trPr/>
        <w:tc>
          <w:tcPr>
            <w:tcW w:w="147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Real-time Detection</w:t>
            </w:r>
          </w:p>
        </w:tc>
        <w:tc>
          <w:tcPr>
            <w:tcW w:w="161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Emerging</w:t>
            </w:r>
          </w:p>
        </w:tc>
        <w:tc>
          <w:tcPr>
            <w:tcW w:w="177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Can EM be detected and prevented in real-time?</w:t>
            </w:r>
          </w:p>
        </w:tc>
        <w:tc>
          <w:tcPr>
            <w:tcW w:w="186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Streaming analytics, continuous monitoring</w:t>
            </w:r>
          </w:p>
        </w:tc>
        <w:tc>
          <w:tcPr>
            <w:tcW w:w="178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Very High - prevention focus</w:t>
            </w:r>
          </w:p>
        </w:tc>
      </w:tr>
      <w:tr>
        <w:tblPrEx/>
        <w:trPr/>
        <w:tc>
          <w:tcPr>
            <w:tcW w:w="147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Stakeholder Responses</w:t>
            </w:r>
          </w:p>
        </w:tc>
        <w:tc>
          <w:tcPr>
            <w:tcW w:w="161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Developing</w:t>
            </w:r>
          </w:p>
        </w:tc>
        <w:tc>
          <w:tcPr>
            <w:tcW w:w="177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How do different stakeholders adapt to EM?</w:t>
            </w:r>
          </w:p>
        </w:tc>
        <w:tc>
          <w:tcPr>
            <w:tcW w:w="186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Multi-stakeholder studies, longitudinal analysis</w:t>
            </w:r>
          </w:p>
        </w:tc>
        <w:tc>
          <w:tcPr>
            <w:tcW w:w="178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High - market efficiency implications</w:t>
            </w:r>
          </w:p>
        </w:tc>
      </w:tr>
      <w:bookmarkStart w:id="7" w:name="Xb2ef9161f961e6846a2f26a70e0b70f91dfa8c8"/>
      <w:bookmarkEnd w:id="6"/>
    </w:tbl>
    <w:p>
      <w:pPr>
        <w:pStyle w:val="style4106"/>
        <w:spacing w:lineRule="auto" w:line="360"/>
        <w:jc w:val="both"/>
        <w:rPr>
          <w:rFonts w:ascii="Times New Roman" w:cs="Times New Roman" w:hAnsi="Times New Roman"/>
          <w:color w:val="36363d"/>
        </w:rPr>
      </w:pPr>
      <w:r>
        <w:rPr>
          <w:rFonts w:ascii="Times New Roman" w:cs="Times New Roman" w:hAnsi="Times New Roman"/>
          <w:color w:val="36363d"/>
        </w:rPr>
        <w:t>Table 6: Regulatory and Policy Implications</w:t>
      </w:r>
    </w:p>
    <w:tbl>
      <w:tblPr>
        <w:tblStyle w:val="style154"/>
        <w:tblW w:w="0" w:type="auto"/>
        <w:tblLayout w:type="fixed"/>
        <w:tblLook w:val="04A0" w:firstRow="1" w:lastRow="0" w:firstColumn="1" w:lastColumn="0" w:noHBand="0" w:noVBand="1"/>
      </w:tblPr>
      <w:tblGrid>
        <w:gridCol w:w="1595"/>
        <w:gridCol w:w="1599"/>
        <w:gridCol w:w="1500"/>
        <w:gridCol w:w="1789"/>
        <w:gridCol w:w="2036"/>
      </w:tblGrid>
      <w:tr>
        <w:trPr>
          <w:tblHeader/>
        </w:trPr>
        <w:tc>
          <w:tcPr>
            <w:tcW w:w="159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Regulatory Focus</w:t>
            </w:r>
          </w:p>
        </w:tc>
        <w:tc>
          <w:tcPr>
            <w:tcW w:w="159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Current Status</w:t>
            </w:r>
          </w:p>
        </w:tc>
        <w:tc>
          <w:tcPr>
            <w:tcW w:w="150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Effectiveness Evidence</w:t>
            </w:r>
          </w:p>
        </w:tc>
        <w:tc>
          <w:tcPr>
            <w:tcW w:w="178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Implementation Challenges</w:t>
            </w:r>
          </w:p>
        </w:tc>
        <w:tc>
          <w:tcPr>
            <w:tcW w:w="203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Recommendations</w:t>
            </w:r>
          </w:p>
        </w:tc>
      </w:tr>
      <w:tr>
        <w:tblPrEx/>
        <w:trPr/>
        <w:tc>
          <w:tcPr>
            <w:tcW w:w="159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Detection Enhancement</w:t>
            </w:r>
          </w:p>
        </w:tc>
        <w:tc>
          <w:tcPr>
            <w:tcW w:w="159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Active development</w:t>
            </w:r>
          </w:p>
        </w:tc>
        <w:tc>
          <w:tcPr>
            <w:tcW w:w="150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Machine learning shows promise</w:t>
            </w:r>
          </w:p>
        </w:tc>
        <w:tc>
          <w:tcPr>
            <w:tcW w:w="178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Technical expertise, resources</w:t>
            </w:r>
          </w:p>
        </w:tc>
        <w:tc>
          <w:tcPr>
            <w:tcW w:w="203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Invest in analytical capabilities</w:t>
            </w:r>
          </w:p>
        </w:tc>
      </w:tr>
      <w:tr>
        <w:tblPrEx/>
        <w:trPr/>
        <w:tc>
          <w:tcPr>
            <w:tcW w:w="159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Disclosure Requirements</w:t>
            </w:r>
          </w:p>
        </w:tc>
        <w:tc>
          <w:tcPr>
            <w:tcW w:w="159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Ongoing refinement</w:t>
            </w:r>
          </w:p>
        </w:tc>
        <w:tc>
          <w:tcPr>
            <w:tcW w:w="150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Mixed evidence on effectiveness</w:t>
            </w:r>
          </w:p>
        </w:tc>
        <w:tc>
          <w:tcPr>
            <w:tcW w:w="178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Compliance costs, standardization</w:t>
            </w:r>
          </w:p>
        </w:tc>
        <w:tc>
          <w:tcPr>
            <w:tcW w:w="203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Risk-based approach</w:t>
            </w:r>
          </w:p>
        </w:tc>
      </w:tr>
      <w:tr>
        <w:tblPrEx/>
        <w:trPr/>
        <w:tc>
          <w:tcPr>
            <w:tcW w:w="159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Governance Standards</w:t>
            </w:r>
          </w:p>
        </w:tc>
        <w:tc>
          <w:tcPr>
            <w:tcW w:w="159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Established framework</w:t>
            </w:r>
          </w:p>
        </w:tc>
        <w:tc>
          <w:tcPr>
            <w:tcW w:w="150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Generally effective but varies</w:t>
            </w:r>
          </w:p>
        </w:tc>
        <w:tc>
          <w:tcPr>
            <w:tcW w:w="178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Cultural adaptation, enforcement</w:t>
            </w:r>
          </w:p>
        </w:tc>
        <w:tc>
          <w:tcPr>
            <w:tcW w:w="203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Context-specific implementation</w:t>
            </w:r>
          </w:p>
        </w:tc>
      </w:tr>
      <w:tr>
        <w:tblPrEx/>
        <w:trPr/>
        <w:tc>
          <w:tcPr>
            <w:tcW w:w="159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 xml:space="preserve">Enforcement </w:t>
            </w:r>
            <w:r>
              <w:rPr>
                <w:rFonts w:ascii="Times New Roman" w:cs="Times New Roman" w:hAnsi="Times New Roman"/>
                <w:b/>
                <w:bCs/>
                <w:color w:val="36363d"/>
              </w:rPr>
              <w:t>Mechanisms</w:t>
            </w:r>
          </w:p>
        </w:tc>
        <w:tc>
          <w:tcPr>
            <w:tcW w:w="159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Strengthening</w:t>
            </w:r>
          </w:p>
        </w:tc>
        <w:tc>
          <w:tcPr>
            <w:tcW w:w="150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Deterrent </w:t>
            </w:r>
            <w:r>
              <w:rPr>
                <w:rFonts w:ascii="Times New Roman" w:cs="Times New Roman" w:hAnsi="Times New Roman"/>
                <w:color w:val="36363d"/>
              </w:rPr>
              <w:t>effects documented</w:t>
            </w:r>
          </w:p>
        </w:tc>
        <w:tc>
          <w:tcPr>
            <w:tcW w:w="178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Resource </w:t>
            </w:r>
            <w:r>
              <w:rPr>
                <w:rFonts w:ascii="Times New Roman" w:cs="Times New Roman" w:hAnsi="Times New Roman"/>
                <w:color w:val="36363d"/>
              </w:rPr>
              <w:t>constraints, coordination</w:t>
            </w:r>
          </w:p>
        </w:tc>
        <w:tc>
          <w:tcPr>
            <w:tcW w:w="203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 xml:space="preserve">Enhanced </w:t>
            </w:r>
            <w:r>
              <w:rPr>
                <w:rFonts w:ascii="Times New Roman" w:cs="Times New Roman" w:hAnsi="Times New Roman"/>
                <w:color w:val="36363d"/>
              </w:rPr>
              <w:t>penalties, coordination</w:t>
            </w:r>
          </w:p>
        </w:tc>
      </w:tr>
      <w:tr>
        <w:tblPrEx/>
        <w:trPr/>
        <w:tc>
          <w:tcPr>
            <w:tcW w:w="1595"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b/>
                <w:bCs/>
                <w:color w:val="36363d"/>
              </w:rPr>
              <w:t>International Coordination</w:t>
            </w:r>
          </w:p>
        </w:tc>
        <w:tc>
          <w:tcPr>
            <w:tcW w:w="159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Early stages</w:t>
            </w:r>
          </w:p>
        </w:tc>
        <w:tc>
          <w:tcPr>
            <w:tcW w:w="1500"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Limited evidence</w:t>
            </w:r>
          </w:p>
        </w:tc>
        <w:tc>
          <w:tcPr>
            <w:tcW w:w="1789"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Sovereignty, harmonization</w:t>
            </w:r>
          </w:p>
        </w:tc>
        <w:tc>
          <w:tcPr>
            <w:tcW w:w="2036" w:type="dxa"/>
            <w:tcBorders>
              <w:top w:val="single" w:sz="4" w:space="0" w:color="000000"/>
              <w:left w:val="single" w:sz="4" w:space="0" w:color="000000"/>
              <w:bottom w:val="single" w:sz="4" w:space="0" w:color="000000"/>
              <w:right w:val="single" w:sz="4" w:space="0" w:color="000000"/>
            </w:tcBorders>
          </w:tcPr>
          <w:p>
            <w:pPr>
              <w:pStyle w:val="style4099"/>
              <w:spacing w:lineRule="auto" w:line="360"/>
              <w:jc w:val="both"/>
              <w:rPr>
                <w:rFonts w:ascii="Times New Roman" w:cs="Times New Roman" w:hAnsi="Times New Roman"/>
                <w:color w:val="36363d"/>
              </w:rPr>
            </w:pPr>
            <w:r>
              <w:rPr>
                <w:rFonts w:ascii="Times New Roman" w:cs="Times New Roman" w:hAnsi="Times New Roman"/>
                <w:color w:val="36363d"/>
              </w:rPr>
              <w:t>Gradual convergence approach</w:t>
            </w:r>
          </w:p>
        </w:tc>
      </w:tr>
      <w:bookmarkStart w:id="8" w:name="references-1"/>
      <w:bookmarkEnd w:id="0"/>
      <w:bookmarkEnd w:id="7"/>
    </w:tbl>
    <w:p>
      <w:pPr>
        <w:pStyle w:val="style4105"/>
        <w:spacing w:lineRule="auto" w:line="360"/>
        <w:jc w:val="both"/>
        <w:rPr>
          <w:b w:val="false"/>
          <w:bCs w:val="false"/>
          <w:color w:val="121212"/>
        </w:rPr>
      </w:pPr>
      <w:r>
        <w:rPr>
          <w:rFonts w:ascii="Times New Roman" w:hAnsi="Times New Roman"/>
          <w:color w:val="36363d"/>
          <w:sz w:val="24"/>
          <w:szCs w:val="24"/>
        </w:rPr>
        <w:t xml:space="preserve">6. </w:t>
      </w:r>
      <w:r>
        <w:rPr>
          <w:rFonts w:hint="eastAsia"/>
          <w:b w:val="false"/>
          <w:bCs w:val="false"/>
          <w:color w:val="121212"/>
        </w:rPr>
        <w:t>Discussion of Findings</w:t>
      </w:r>
    </w:p>
    <w:p>
      <w:pPr>
        <w:pStyle w:val="style4105"/>
        <w:spacing w:lineRule="auto" w:line="360"/>
        <w:jc w:val="both"/>
        <w:rPr>
          <w:b w:val="false"/>
          <w:bCs w:val="false"/>
          <w:color w:val="121212"/>
        </w:rPr>
      </w:pPr>
      <w:r>
        <w:rPr>
          <w:rFonts w:hint="eastAsia"/>
          <w:b w:val="false"/>
          <w:bCs w:val="false"/>
          <w:color w:val="121212"/>
        </w:rPr>
        <w:t>One of the most important parts of the chapter is 6.1, which is the development of Earnings Management Techniques.</w:t>
      </w:r>
    </w:p>
    <w:p>
      <w:pPr>
        <w:pStyle w:val="style4105"/>
        <w:spacing w:lineRule="auto" w:line="360"/>
        <w:jc w:val="both"/>
        <w:rPr>
          <w:b w:val="false"/>
          <w:bCs w:val="false"/>
          <w:color w:val="121212"/>
        </w:rPr>
      </w:pPr>
      <w:r>
        <w:rPr>
          <w:rFonts w:hint="eastAsia"/>
          <w:b w:val="false"/>
          <w:bCs w:val="false"/>
          <w:color w:val="121212"/>
        </w:rPr>
        <w:t>The discussion indicates that the earnings management practices have undergone an immense change and that there has been a dramatic shift in the accrual-based to real earnings management. This change implies the increased complexity of detection devices to affect accruals and the real-world effects that make the unwinding of actual manipulation more costly</w:t>
      </w:r>
      <w:r>
        <w:rPr>
          <w:rFonts w:hint="default"/>
          <w:b w:val="false"/>
          <w:bCs w:val="false"/>
          <w:color w:val="121212"/>
          <w:lang w:val="en-US"/>
        </w:rPr>
        <w:t xml:space="preserve"> </w:t>
      </w:r>
      <w:r>
        <w:rPr>
          <w:rFonts w:hint="eastAsia"/>
          <w:b w:val="false"/>
          <w:bCs w:val="false"/>
          <w:color w:val="121212"/>
        </w:rPr>
        <w:t>(Cohen et al., 2008; Graham et al., 2005). Real earnings management has become the most prevalent form of manipulation in most markets and more so in markets where the regulator is strict in the manipulation of accruals.</w:t>
      </w:r>
    </w:p>
    <w:p>
      <w:pPr>
        <w:pStyle w:val="style4105"/>
        <w:spacing w:lineRule="auto" w:line="360"/>
        <w:jc w:val="both"/>
        <w:rPr>
          <w:b w:val="false"/>
          <w:bCs w:val="false"/>
          <w:color w:val="121212"/>
        </w:rPr>
      </w:pPr>
      <w:r>
        <w:rPr>
          <w:rFonts w:hint="eastAsia"/>
          <w:b w:val="false"/>
          <w:bCs w:val="false"/>
          <w:color w:val="121212"/>
        </w:rPr>
        <w:t>The magnitude of the earnings management tools has increased to greater levels as the managers have come up with more advanced tools that entail the incorporation of varied tools. Vietnamese companies are more likely to employ both accrual-based and real earnings management simultaneously in order to create less conspicuous patterns that are harder to detect using the traditional instruments  (Zang, 2012) Such change strains existing detection models and requires more sophisticated modes of analysis.</w:t>
      </w:r>
    </w:p>
    <w:p>
      <w:pPr>
        <w:pStyle w:val="style4105"/>
        <w:spacing w:lineRule="auto" w:line="360"/>
        <w:jc w:val="both"/>
        <w:rPr>
          <w:b w:val="false"/>
          <w:bCs w:val="false"/>
          <w:color w:val="121212"/>
        </w:rPr>
      </w:pPr>
      <w:r>
        <w:rPr>
          <w:rFonts w:hint="eastAsia"/>
          <w:b w:val="false"/>
          <w:bCs w:val="false"/>
          <w:color w:val="121212"/>
        </w:rPr>
        <w:t xml:space="preserve">The other significant shift is the introduction of big-bath accounting as a strategic tool in periods of economic downturns; according to da Silva (2023) and </w:t>
      </w:r>
      <w:r>
        <w:rPr>
          <w:rFonts w:hint="eastAsia"/>
          <w:b w:val="false"/>
          <w:bCs w:val="false"/>
          <w:color w:val="121212"/>
        </w:rPr>
        <w:t>Glaum</w:t>
      </w:r>
      <w:r>
        <w:rPr>
          <w:rFonts w:hint="eastAsia"/>
          <w:b w:val="false"/>
          <w:bCs w:val="false"/>
          <w:color w:val="121212"/>
        </w:rPr>
        <w:t xml:space="preserve"> and </w:t>
      </w:r>
      <w:r>
        <w:rPr>
          <w:rFonts w:hint="eastAsia"/>
          <w:b w:val="false"/>
          <w:bCs w:val="false"/>
          <w:color w:val="121212"/>
        </w:rPr>
        <w:t>Wyrwa</w:t>
      </w:r>
      <w:r>
        <w:rPr>
          <w:rFonts w:hint="eastAsia"/>
          <w:b w:val="false"/>
          <w:bCs w:val="false"/>
          <w:color w:val="121212"/>
        </w:rPr>
        <w:t xml:space="preserve"> (2023), there is a high degree of cross-country heterogeneity to the use of big-bath accounting, meaning that culture and institutionality playing a significant role in the acceptability and popularity of the method. The strategic nature of big-bath accounting (particularly during times of management transition) indicates that the earnings management is employed to serve more than the earnings smoothing function.</w:t>
      </w:r>
    </w:p>
    <w:p>
      <w:pPr>
        <w:pStyle w:val="style4105"/>
        <w:spacing w:lineRule="auto" w:line="360"/>
        <w:jc w:val="both"/>
        <w:rPr>
          <w:b w:val="false"/>
          <w:bCs w:val="false"/>
          <w:color w:val="121212"/>
        </w:rPr>
      </w:pPr>
      <w:r>
        <w:rPr>
          <w:rFonts w:hint="eastAsia"/>
          <w:b w:val="false"/>
          <w:bCs w:val="false"/>
          <w:color w:val="121212"/>
        </w:rPr>
        <w:t>6.2 Institutional and Cultural Factors.</w:t>
      </w:r>
    </w:p>
    <w:p>
      <w:pPr>
        <w:pStyle w:val="style4105"/>
        <w:spacing w:lineRule="auto" w:line="360"/>
        <w:jc w:val="both"/>
        <w:rPr>
          <w:b w:val="false"/>
          <w:bCs w:val="false"/>
          <w:color w:val="121212"/>
        </w:rPr>
      </w:pPr>
      <w:r>
        <w:rPr>
          <w:rFonts w:hint="eastAsia"/>
          <w:b w:val="false"/>
          <w:bCs w:val="false"/>
          <w:color w:val="121212"/>
        </w:rPr>
        <w:t xml:space="preserve">The cross-country analysis has been showing continuously that institutional factors play a major role in the determination of earnings management practices. The lower the earnings management in any given country is, which is related to stronger legal systems, more efficient enforcement mechanisms, and increased transparency requirements, supports the hypotheses of the institutional theory </w:t>
      </w:r>
      <w:r>
        <w:rPr>
          <w:rFonts w:hint="default"/>
          <w:b w:val="false"/>
          <w:bCs w:val="false"/>
          <w:color w:val="121212"/>
          <w:lang w:val="en-US"/>
        </w:rPr>
        <w:t xml:space="preserve">(Leuz et al., 2003; </w:t>
      </w:r>
      <w:r>
        <w:rPr>
          <w:rFonts w:hint="eastAsia"/>
          <w:b w:val="false"/>
          <w:bCs w:val="false"/>
          <w:color w:val="121212"/>
        </w:rPr>
        <w:t>Hassan and Said, 2024).</w:t>
      </w:r>
    </w:p>
    <w:p>
      <w:pPr>
        <w:pStyle w:val="style4105"/>
        <w:spacing w:lineRule="auto" w:line="360"/>
        <w:jc w:val="both"/>
        <w:rPr>
          <w:b w:val="false"/>
          <w:bCs w:val="false"/>
          <w:color w:val="121212"/>
        </w:rPr>
      </w:pPr>
      <w:r>
        <w:rPr>
          <w:rFonts w:hint="eastAsia"/>
          <w:b w:val="false"/>
          <w:bCs w:val="false"/>
          <w:color w:val="121212"/>
        </w:rPr>
        <w:t>However, institutional quality and earnings management are not associated as much in a straight line manner.</w:t>
      </w:r>
      <w:r>
        <w:rPr>
          <w:rFonts w:hint="default"/>
          <w:b w:val="false"/>
          <w:bCs w:val="false"/>
          <w:color w:val="121212"/>
          <w:lang w:val="en-US"/>
        </w:rPr>
        <w:t xml:space="preserve"> T</w:t>
      </w:r>
      <w:r>
        <w:rPr>
          <w:rFonts w:hint="eastAsia"/>
          <w:b w:val="false"/>
          <w:bCs w:val="false"/>
          <w:color w:val="121212"/>
        </w:rPr>
        <w:t>he political relations in the Chinese state-owned enterprises may not only increase the earnings management incentives (to meet political objectives) but also remove the risk of being regulated. This means that the informal institutional conditions are at times overruling the restrictions on the formal regulation.</w:t>
      </w:r>
    </w:p>
    <w:p>
      <w:pPr>
        <w:pStyle w:val="style4105"/>
        <w:spacing w:lineRule="auto" w:line="360"/>
        <w:jc w:val="both"/>
        <w:rPr>
          <w:b w:val="false"/>
          <w:bCs w:val="false"/>
          <w:color w:val="121212"/>
        </w:rPr>
      </w:pPr>
      <w:r>
        <w:rPr>
          <w:rFonts w:hint="eastAsia"/>
          <w:b w:val="false"/>
          <w:bCs w:val="false"/>
          <w:color w:val="121212"/>
        </w:rPr>
        <w:t>The cultural factors become especially important to explain the long-term cross-country differences in earnings management practice. The results show that such cultural factors as uncertainty avoidance, long-term orientation, and power distance are important factors that determine the acceptability of the earnings management along with the nature of earnings management (da Silva, 2023). Such outcomes have considerable implications to international harmonization processes and suggest that universal regulatory solutions are not necessarily as effective as context-specific solutions.</w:t>
      </w:r>
    </w:p>
    <w:p>
      <w:pPr>
        <w:pStyle w:val="style4105"/>
        <w:spacing w:lineRule="auto" w:line="360"/>
        <w:jc w:val="both"/>
        <w:rPr>
          <w:b w:val="false"/>
          <w:bCs w:val="false"/>
          <w:color w:val="121212"/>
        </w:rPr>
      </w:pPr>
      <w:r>
        <w:rPr>
          <w:rFonts w:hint="eastAsia"/>
          <w:b w:val="false"/>
          <w:bCs w:val="false"/>
          <w:color w:val="121212"/>
        </w:rPr>
        <w:t>6.3 Methods of technology and detection.</w:t>
      </w:r>
    </w:p>
    <w:p>
      <w:pPr>
        <w:pStyle w:val="style0"/>
        <w:spacing w:before="180" w:after="180" w:lineRule="auto" w:line="240"/>
        <w:jc w:val="both"/>
        <w:rPr>
          <w:rFonts w:hint="eastAsia"/>
          <w:b w:val="false"/>
          <w:bCs w:val="false"/>
          <w:color w:val="121212"/>
        </w:rPr>
      </w:pPr>
      <w:r>
        <w:rPr>
          <w:rFonts w:hint="eastAsia"/>
          <w:b w:val="false"/>
          <w:bCs w:val="false"/>
          <w:color w:val="121212"/>
        </w:rPr>
        <w:t xml:space="preserve">The introduction of machine learning and artificial intelligence is perhaps the largest methodological change in the research on earnings management. The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(Dechow</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et</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al.,</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1995;</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Jones,</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1991)</w:t>
      </w:r>
      <w:r>
        <w:rPr>
          <w:rFonts w:hint="eastAsia"/>
          <w:b w:val="false"/>
          <w:bCs w:val="false"/>
          <w:color w:val="121212"/>
        </w:rPr>
        <w:t xml:space="preserve"> and </w:t>
      </w:r>
      <w:r>
        <w:rPr>
          <w:rFonts w:hint="eastAsia"/>
          <w:b w:val="false"/>
          <w:bCs w:val="false"/>
          <w:color w:val="121212"/>
        </w:rPr>
        <w:t>Almasarwah</w:t>
      </w:r>
      <w:r>
        <w:rPr>
          <w:rFonts w:hint="eastAsia"/>
          <w:b w:val="false"/>
          <w:bCs w:val="false"/>
          <w:color w:val="121212"/>
        </w:rPr>
        <w:t xml:space="preserve"> (2024) outcomes confirm that machine learning techniques are much more effective than the traditional ones and possess a high rate of accuracy 85-95% in comparison to the traditional models 65-75%.</w:t>
      </w:r>
    </w:p>
    <w:p>
      <w:pPr>
        <w:pStyle w:val="style0"/>
        <w:spacing w:before="180" w:after="180" w:lineRule="auto" w:line="240"/>
        <w:jc w:val="both"/>
        <w:rPr>
          <w:rFonts w:hint="eastAsia"/>
          <w:b w:val="false"/>
          <w:bCs w:val="false"/>
          <w:color w:val="121212"/>
        </w:rPr>
      </w:pPr>
      <w:r>
        <w:rPr>
          <w:rFonts w:hint="eastAsia"/>
          <w:b w:val="false"/>
          <w:bCs w:val="false"/>
          <w:color w:val="121212"/>
        </w:rPr>
        <w:t>However, this technological advancement leads to the arms race between the detection and manipulation techniques. Machine learning has the potential to dramatically advance the capabilities of the detection, but it can also provide managers with more sophisticated methods to develop their manipulation strategies. The equal access of such technologies by the preparers and users of financial statements means that the detection advantage is a short-lived phenomenon.</w:t>
      </w:r>
    </w:p>
    <w:p>
      <w:pPr>
        <w:pStyle w:val="style0"/>
        <w:spacing w:before="180" w:after="180" w:lineRule="auto" w:line="240"/>
        <w:jc w:val="both"/>
        <w:rPr>
          <w:rFonts w:hint="eastAsia"/>
          <w:b w:val="false"/>
          <w:bCs w:val="false"/>
          <w:color w:val="121212"/>
        </w:rPr>
      </w:pPr>
      <w:r>
        <w:rPr>
          <w:rFonts w:hint="eastAsia"/>
          <w:b w:val="false"/>
          <w:bCs w:val="false"/>
          <w:color w:val="121212"/>
        </w:rPr>
        <w:t>The other major frontier of importance as well as of practical value is the development of real-time detection capabilities. Compared to the traditional retrospective analysis, the real-time detection would potentially enable responding to it on time and reduce the duration of market inefficiencies caused by earnings management. However, to install such systems, a considerable technological base is required and may lead to concern over the aspect of monitoring of corporate reporting at all times.</w:t>
      </w:r>
    </w:p>
    <w:p>
      <w:pPr>
        <w:pStyle w:val="style0"/>
        <w:spacing w:before="180" w:after="180" w:lineRule="auto" w:line="240"/>
        <w:jc w:val="both"/>
        <w:rPr>
          <w:rFonts w:hint="eastAsia"/>
          <w:b w:val="false"/>
          <w:bCs w:val="false"/>
          <w:color w:val="121212"/>
        </w:rPr>
      </w:pPr>
      <w:r>
        <w:rPr>
          <w:rFonts w:hint="eastAsia"/>
          <w:b w:val="false"/>
          <w:bCs w:val="false"/>
          <w:color w:val="121212"/>
        </w:rPr>
        <w:t>6.4 Corporate Governance Effectiveness.</w:t>
      </w:r>
    </w:p>
    <w:p>
      <w:pPr>
        <w:pStyle w:val="style0"/>
        <w:spacing w:before="180" w:after="180" w:lineRule="auto" w:line="240"/>
        <w:jc w:val="both"/>
        <w:rPr>
          <w:b w:val="false"/>
          <w:bCs w:val="false"/>
          <w:color w:val="121212"/>
        </w:rPr>
      </w:pPr>
      <w:r>
        <w:rPr>
          <w:rFonts w:hint="eastAsia"/>
          <w:b w:val="false"/>
          <w:bCs w:val="false"/>
          <w:color w:val="121212"/>
        </w:rPr>
        <w:t>It seems that corporate governance mechanisms are less effective at curtailing earnings management in institutional settings and firm characteristics than they are otherwise. The existence of the traditional mechanisms, such as the independence of the board and the expertise of the audit committee will continue to be a factor, but their effectiveness is extremely conditional depending on the quality of their implementation and cultural acceptance (</w:t>
      </w:r>
      <w:r>
        <w:rPr>
          <w:rFonts w:hint="default"/>
          <w:b w:val="false"/>
          <w:bCs w:val="false"/>
          <w:color w:val="121212"/>
          <w:lang w:val="en-US"/>
        </w:rPr>
        <w:t xml:space="preserve">Leuz et al., 2003; </w:t>
      </w:r>
      <w:r>
        <w:rPr>
          <w:rFonts w:hint="eastAsia"/>
          <w:b w:val="false"/>
          <w:bCs w:val="false"/>
          <w:color w:val="121212"/>
        </w:rPr>
        <w:t>Hassan and Said, 2024</w:t>
      </w:r>
      <w:r>
        <w:rPr>
          <w:rFonts w:hint="default"/>
          <w:b w:val="false"/>
          <w:bCs w:val="false"/>
          <w:color w:val="121212"/>
          <w:lang w:val="en-US"/>
        </w:rPr>
        <w:t>).</w:t>
      </w:r>
    </w:p>
    <w:p>
      <w:pPr>
        <w:pStyle w:val="style4105"/>
        <w:spacing w:lineRule="auto" w:line="360"/>
        <w:jc w:val="both"/>
        <w:rPr>
          <w:b w:val="false"/>
          <w:bCs w:val="false"/>
          <w:color w:val="121212"/>
        </w:rPr>
      </w:pPr>
      <w:r>
        <w:rPr>
          <w:rFonts w:hint="eastAsia"/>
          <w:b w:val="false"/>
          <w:bCs w:val="false"/>
          <w:color w:val="121212"/>
        </w:rPr>
        <w:t>The standard of internal controls proves to be of particular importance, as the firms that have superior internal controls exhibit significantly lower earnings management rates (Shao et al., 2024). This suggests that preventive mechanisms may be effective as compared to detective mechanisms when it comes to earnings management. The internal controls also provide an emphasis on the necessity to incorporate integrity in the financial reporting process rather than relying on the external monitoring.</w:t>
      </w:r>
    </w:p>
    <w:p>
      <w:pPr>
        <w:pStyle w:val="style4105"/>
        <w:spacing w:lineRule="auto" w:line="360"/>
        <w:jc w:val="both"/>
        <w:rPr>
          <w:b w:val="false"/>
          <w:bCs w:val="false"/>
          <w:color w:val="121212"/>
        </w:rPr>
      </w:pPr>
      <w:r>
        <w:rPr>
          <w:rFonts w:hint="eastAsia"/>
          <w:b w:val="false"/>
          <w:bCs w:val="false"/>
          <w:color w:val="121212"/>
        </w:rPr>
        <w:t>Monitoring systems outside the company provide useful complementary control, although there is a great deal of variation among markets, and between firms. Monitoring of short-sellers offers certain possibilities to restrict the actual earnings management and the reputation cost of the detected manipulation can be exaggerated via the media coverage</w:t>
      </w:r>
      <w:r>
        <w:rPr>
          <w:rFonts w:hint="default"/>
          <w:b w:val="false"/>
          <w:bCs w:val="false"/>
          <w:color w:val="121212"/>
          <w:lang w:val="en-US"/>
        </w:rPr>
        <w:t xml:space="preserve">. </w:t>
      </w:r>
      <w:r>
        <w:rPr>
          <w:rFonts w:hint="eastAsia"/>
          <w:b w:val="false"/>
          <w:bCs w:val="false"/>
          <w:color w:val="121212"/>
        </w:rPr>
        <w:t>The mechanisms however, are more effective in developed markets where capital markets are open and have well-developed information infrastructure.</w:t>
      </w:r>
    </w:p>
    <w:p>
      <w:pPr>
        <w:pStyle w:val="style4105"/>
        <w:spacing w:lineRule="auto" w:line="360"/>
        <w:jc w:val="both"/>
        <w:rPr>
          <w:b w:val="false"/>
          <w:bCs w:val="false"/>
          <w:color w:val="121212"/>
        </w:rPr>
      </w:pPr>
      <w:r>
        <w:rPr>
          <w:rFonts w:hint="eastAsia"/>
          <w:b w:val="false"/>
          <w:bCs w:val="false"/>
          <w:color w:val="121212"/>
        </w:rPr>
        <w:t>6.5 Stakeholder Consequences</w:t>
      </w:r>
    </w:p>
    <w:p>
      <w:pPr>
        <w:pStyle w:val="style4105"/>
        <w:spacing w:lineRule="auto" w:line="360"/>
        <w:jc w:val="both"/>
        <w:rPr>
          <w:b w:val="false"/>
          <w:bCs w:val="false"/>
          <w:color w:val="121212"/>
        </w:rPr>
      </w:pPr>
      <w:r>
        <w:rPr>
          <w:rFonts w:hint="eastAsia"/>
          <w:b w:val="false"/>
          <w:bCs w:val="false"/>
          <w:color w:val="121212"/>
        </w:rPr>
        <w:t>Earnings management has long-term consequences to stakeholders beyond the short-term price effects related to the earnings management. In each case, the earnings management reduces informational value of financial statements, leading to greater uncertainty and higher risk premiums</w:t>
      </w:r>
      <w:r>
        <w:rPr>
          <w:rFonts w:hint="default"/>
          <w:b w:val="false"/>
          <w:bCs w:val="false"/>
          <w:color w:val="121212"/>
          <w:lang w:val="en-US"/>
        </w:rPr>
        <w:t>.</w:t>
      </w:r>
    </w:p>
    <w:p>
      <w:pPr>
        <w:pStyle w:val="style0"/>
        <w:spacing w:before="180" w:after="180" w:lineRule="auto" w:line="240"/>
        <w:jc w:val="both"/>
        <w:rPr>
          <w:rFonts w:hint="eastAsia"/>
          <w:b w:val="false"/>
          <w:bCs w:val="false"/>
          <w:color w:val="121212"/>
        </w:rPr>
      </w:pPr>
      <w:r>
        <w:rPr>
          <w:rFonts w:hint="eastAsia"/>
          <w:b w:val="false"/>
          <w:bCs w:val="false"/>
          <w:color w:val="121212"/>
        </w:rPr>
        <w:t xml:space="preserve">Studies in behavior problems have been able to demonstrate that investor reaction on earnings management is not informed by pure economic consideration.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(DeGeorge</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et</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al.,</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 </w:t>
      </w:r>
      <w:r>
        <w:rPr>
          <w:rFonts w:ascii="Times New Roman" w:cs="Times New Roman" w:eastAsia="Cambria" w:hAnsi="Times New Roman" w:hint="default"/>
          <w:b w:val="false"/>
          <w:bCs w:val="false"/>
          <w:i w:val="false"/>
          <w:iCs w:val="false"/>
          <w:color w:val="36363d"/>
          <w:sz w:val="24"/>
          <w:szCs w:val="24"/>
          <w:highlight w:val="none"/>
          <w:vertAlign w:val="baseline"/>
          <w:em w:val="none"/>
          <w:lang w:val="en-US" w:eastAsia="en-US"/>
        </w:rPr>
        <w:t xml:space="preserve">1999) </w:t>
      </w:r>
      <w:r>
        <w:rPr>
          <w:rFonts w:hint="eastAsia"/>
          <w:b w:val="false"/>
          <w:bCs w:val="false"/>
          <w:color w:val="121212"/>
        </w:rPr>
        <w:t>reveal that the ethical principles of investors are the foremost predictors of their reaction to earnings management reports and all the moral-oriented investors display robust negative reactions. This means that the impacts of the earnings management would be more adverse and more persistent than it would have been the case with only economic models.</w:t>
      </w:r>
    </w:p>
    <w:p>
      <w:pPr>
        <w:pStyle w:val="style0"/>
        <w:spacing w:before="180" w:after="180" w:lineRule="auto" w:line="240"/>
        <w:jc w:val="both"/>
        <w:rPr>
          <w:rFonts w:hint="eastAsia"/>
          <w:b w:val="false"/>
          <w:bCs w:val="false"/>
          <w:color w:val="121212"/>
        </w:rPr>
      </w:pPr>
      <w:r>
        <w:rPr>
          <w:rFonts w:hint="eastAsia"/>
          <w:b w:val="false"/>
          <w:bCs w:val="false"/>
          <w:color w:val="121212"/>
        </w:rPr>
        <w:t>Policy design implications are important because the effect on various groups of stakeholders differs. Even though the more sophisticated institutional investors could detect and rectify the earnings management, individual investors and other affected parties would be even worse off, because they lack the analytical capacity to do so. Such an asymmetry of effect suggests that protection regulation may be of particular interest to less developed market participants.</w:t>
      </w:r>
    </w:p>
    <w:p>
      <w:pPr>
        <w:pStyle w:val="style0"/>
        <w:spacing w:before="180" w:after="180" w:lineRule="auto" w:line="240"/>
        <w:jc w:val="both"/>
        <w:rPr>
          <w:rFonts w:hint="eastAsia"/>
          <w:b w:val="false"/>
          <w:bCs w:val="false"/>
          <w:color w:val="121212"/>
        </w:rPr>
      </w:pPr>
      <w:r>
        <w:rPr>
          <w:rFonts w:hint="eastAsia"/>
          <w:b w:val="false"/>
          <w:bCs w:val="false"/>
          <w:color w:val="121212"/>
        </w:rPr>
        <w:t>6.6 Research Frontiers and new trends.</w:t>
      </w:r>
    </w:p>
    <w:p>
      <w:pPr>
        <w:pStyle w:val="style0"/>
        <w:spacing w:before="180" w:after="180" w:lineRule="auto" w:line="240"/>
        <w:jc w:val="both"/>
        <w:rPr>
          <w:rFonts w:hint="eastAsia"/>
          <w:b w:val="false"/>
          <w:bCs w:val="false"/>
          <w:color w:val="121212"/>
        </w:rPr>
      </w:pPr>
      <w:r>
        <w:rPr>
          <w:rFonts w:hint="eastAsia"/>
          <w:b w:val="false"/>
          <w:bCs w:val="false"/>
          <w:color w:val="121212"/>
        </w:rPr>
        <w:t>ESG reporting in combination with traditional financial reporting introduces new contexts to earnings management research. ESG performance has an effect on quality of earnings due to the impact it exerts on the management of real earnings, and explain that domains of reporting are interrelated with one another in a multifaceted way. This integration tendency is bound to become increasingly faster because stakeholders are still demanding complete corporate transparency.</w:t>
      </w:r>
    </w:p>
    <w:p>
      <w:pPr>
        <w:pStyle w:val="style0"/>
        <w:spacing w:before="180" w:after="180" w:lineRule="auto" w:line="240"/>
        <w:jc w:val="both"/>
        <w:rPr>
          <w:rFonts w:hint="eastAsia"/>
          <w:b w:val="false"/>
          <w:bCs w:val="false"/>
          <w:color w:val="121212"/>
        </w:rPr>
      </w:pPr>
      <w:r>
        <w:rPr>
          <w:rFonts w:hint="eastAsia"/>
          <w:b w:val="false"/>
          <w:bCs w:val="false"/>
          <w:color w:val="121212"/>
        </w:rPr>
        <w:t>The recent crises, such as COVID-19, have also highlighted the importance of learning the behavior of earnings management amid the situation when everything is uncertain. Nhu (2024) shows that the real relationship between real earnings management and earnings persistence was highly influenced by the pandemic and the implication it had on decision making of the stakeholders during crisis. The results suggest that the study in the earnings management area must be vibrant enough to capture the change in behavior under different economic situations.</w:t>
      </w:r>
    </w:p>
    <w:p>
      <w:pPr>
        <w:pStyle w:val="style0"/>
        <w:spacing w:before="180" w:after="180" w:lineRule="auto" w:line="240"/>
        <w:jc w:val="both"/>
        <w:rPr>
          <w:rFonts w:hint="eastAsia"/>
          <w:b w:val="false"/>
          <w:bCs w:val="false"/>
          <w:color w:val="121212"/>
        </w:rPr>
      </w:pPr>
      <w:r>
        <w:rPr>
          <w:rFonts w:hint="eastAsia"/>
          <w:b w:val="false"/>
          <w:bCs w:val="false"/>
          <w:color w:val="121212"/>
        </w:rPr>
        <w:t>The growing importance of real time monitoring and prevention is a shift in paradigm of detection of retrospective and prospective intervention. The creation of such development requires new theoretical models, new methods of work and new systems of control. This paradigm shift in the earnings management field may result in the cost benefit analysis that informs the decisions on manipulation changing towards the prevention as opposed to the detection side.</w:t>
      </w:r>
    </w:p>
    <w:p>
      <w:pPr>
        <w:pStyle w:val="style0"/>
        <w:spacing w:before="180" w:after="180" w:lineRule="auto" w:line="240"/>
        <w:jc w:val="both"/>
        <w:rPr>
          <w:rFonts w:hint="eastAsia"/>
          <w:b w:val="false"/>
          <w:bCs w:val="false"/>
          <w:color w:val="121212"/>
        </w:rPr>
      </w:pPr>
      <w:r>
        <w:rPr>
          <w:rFonts w:hint="eastAsia"/>
          <w:b w:val="false"/>
          <w:bCs w:val="false"/>
          <w:color w:val="121212"/>
        </w:rPr>
        <w:t>Key Conclusions</w:t>
      </w:r>
    </w:p>
    <w:p>
      <w:pPr>
        <w:pStyle w:val="style0"/>
        <w:spacing w:before="180" w:after="180" w:lineRule="auto" w:line="240"/>
        <w:jc w:val="both"/>
        <w:rPr>
          <w:b w:val="false"/>
          <w:bCs w:val="false"/>
          <w:color w:val="121212"/>
        </w:rPr>
      </w:pPr>
      <w:r>
        <w:rPr>
          <w:rFonts w:hint="eastAsia"/>
          <w:b w:val="false"/>
          <w:bCs w:val="false"/>
          <w:color w:val="121212"/>
        </w:rPr>
        <w:t>This integration of more current earning management study literature reveals a sequence of relevant findings of what exists and what may be seen in the field. First of all, the essence of the earnings management changed significantly and there was the apparent shift in the nature of earnings management to the real earnings management that is not only the heightened response to the accruals-based manipulation but also the long-term impacts of the real activity manipulation. The development of the evolution complicate the traditional methods of research and requires more complex analysis techniques.</w:t>
      </w:r>
    </w:p>
    <w:p>
      <w:pPr>
        <w:pStyle w:val="style4105"/>
        <w:spacing w:lineRule="auto" w:line="360"/>
        <w:jc w:val="both"/>
        <w:rPr>
          <w:b w:val="false"/>
          <w:bCs w:val="false"/>
          <w:color w:val="121212"/>
        </w:rPr>
      </w:pPr>
      <w:r>
        <w:rPr>
          <w:rFonts w:hint="eastAsia"/>
          <w:b w:val="false"/>
          <w:bCs w:val="false"/>
          <w:color w:val="121212"/>
        </w:rPr>
        <w:t>Second, institutional and cultural determiners are also major factors that may impact the earnings management behaviors under different situations. It is true that the more formal institutions, the more the earning management is constrained but there exist other aspects of culture and corporate norms that can either reinforce or counter the effects of formal regulations. Such complexity means that the responses of quality policies will be institutionally conditional and cannot be grounded in generic solutions.</w:t>
      </w:r>
    </w:p>
    <w:p>
      <w:pPr>
        <w:pStyle w:val="style4105"/>
        <w:spacing w:lineRule="auto" w:line="360"/>
        <w:jc w:val="both"/>
        <w:rPr>
          <w:b w:val="false"/>
          <w:bCs w:val="false"/>
          <w:color w:val="121212"/>
        </w:rPr>
      </w:pPr>
      <w:r>
        <w:rPr>
          <w:rFonts w:hint="eastAsia"/>
          <w:b w:val="false"/>
          <w:bCs w:val="false"/>
          <w:color w:val="121212"/>
        </w:rPr>
        <w:t>Third, the practice and detection of earnings management has been transformed due to technological innovations, particularly in terms of artificial intelligence and machine learning. Even though the technologies offer substantial gains in the detection possibilities, they also offer new paths of high-tech manipulation, evoking the notion of a technological game of chess between the preparers and the users of financial statements.</w:t>
      </w:r>
    </w:p>
    <w:p>
      <w:pPr>
        <w:pStyle w:val="style4105"/>
        <w:spacing w:lineRule="auto" w:line="360"/>
        <w:jc w:val="both"/>
        <w:rPr>
          <w:b w:val="false"/>
          <w:bCs w:val="false"/>
          <w:color w:val="121212"/>
        </w:rPr>
      </w:pPr>
      <w:r>
        <w:rPr>
          <w:rFonts w:hint="eastAsia"/>
          <w:b w:val="false"/>
          <w:bCs w:val="false"/>
          <w:color w:val="121212"/>
        </w:rPr>
        <w:t>Fourth, corporate governance mechanisms do not work equally in various settings and internal controls and preventive mechanisms appear to be more effective than the detective mechanisms. There appear to be several governance mechanisms that will be necessary to address the earnings management, particularly in the multi-faceted institutional settings.</w:t>
      </w:r>
    </w:p>
    <w:p>
      <w:pPr>
        <w:pStyle w:val="style4105"/>
        <w:spacing w:lineRule="auto" w:line="360"/>
        <w:jc w:val="both"/>
        <w:rPr>
          <w:b w:val="false"/>
          <w:bCs w:val="false"/>
          <w:color w:val="121212"/>
        </w:rPr>
      </w:pPr>
      <w:r>
        <w:rPr>
          <w:rFonts w:hint="eastAsia"/>
          <w:b w:val="false"/>
          <w:bCs w:val="false"/>
          <w:color w:val="121212"/>
        </w:rPr>
        <w:t xml:space="preserve">Fifth, the consequences of earnings management on stakeholders have a far longer and wider scope than initially envisaged and do not just limit themselves to the short-term effect on price but also extend to the long-term impacts on market confidence, investor trust and regulatory legitimacy. These implications are highly influenced by behavioral variables that suggest that the pure economic models can </w:t>
      </w:r>
      <w:r>
        <w:rPr>
          <w:rFonts w:hint="eastAsia"/>
          <w:b w:val="false"/>
          <w:bCs w:val="false"/>
          <w:color w:val="121212"/>
        </w:rPr>
        <w:t>over estimate</w:t>
      </w:r>
      <w:r>
        <w:rPr>
          <w:rFonts w:hint="eastAsia"/>
          <w:b w:val="false"/>
          <w:bCs w:val="false"/>
          <w:color w:val="121212"/>
        </w:rPr>
        <w:t xml:space="preserve"> the level of effectiveness of earnings management.</w:t>
      </w:r>
    </w:p>
    <w:p>
      <w:pPr>
        <w:pStyle w:val="style4105"/>
        <w:spacing w:lineRule="auto" w:line="360"/>
        <w:jc w:val="both"/>
        <w:rPr>
          <w:b w:val="false"/>
          <w:bCs w:val="false"/>
          <w:color w:val="121212"/>
        </w:rPr>
      </w:pPr>
      <w:r>
        <w:rPr>
          <w:rFonts w:hint="eastAsia"/>
          <w:b w:val="false"/>
          <w:bCs w:val="false"/>
          <w:color w:val="121212"/>
        </w:rPr>
        <w:t>Recommendations on future research.</w:t>
      </w:r>
    </w:p>
    <w:p>
      <w:pPr>
        <w:pStyle w:val="style4105"/>
        <w:spacing w:lineRule="auto" w:line="360"/>
        <w:jc w:val="both"/>
        <w:rPr>
          <w:b w:val="false"/>
          <w:bCs w:val="false"/>
          <w:color w:val="121212"/>
        </w:rPr>
      </w:pPr>
      <w:r>
        <w:rPr>
          <w:rFonts w:hint="eastAsia"/>
          <w:b w:val="false"/>
          <w:bCs w:val="false"/>
          <w:color w:val="121212"/>
        </w:rPr>
        <w:t>In our study, the following are the priorities that we propose in further research of earnings management. To begin with, researchers should continue to develop sophisticated detection mechanisms that can match the emerging tricks of manipulation. The integration of artificial intelligence and machine learning has certain potential, but the sophisticated will have to be treated with interpretability, generalizability, and gaming concerns among advanced managers.</w:t>
      </w:r>
    </w:p>
    <w:p>
      <w:pPr>
        <w:pStyle w:val="style4105"/>
        <w:spacing w:lineRule="auto" w:line="360"/>
        <w:jc w:val="both"/>
        <w:rPr>
          <w:b w:val="false"/>
          <w:bCs w:val="false"/>
          <w:color w:val="121212"/>
        </w:rPr>
      </w:pPr>
      <w:r>
        <w:rPr>
          <w:rFonts w:hint="eastAsia"/>
          <w:b w:val="false"/>
          <w:bCs w:val="false"/>
          <w:color w:val="121212"/>
        </w:rPr>
        <w:t>Second, the interplay between earnings management and ESG reporting and other emerging disclosure requirements are to be explored in future research. The enhanced importance of integrated reporting presents new environments of manipulation and can also provide new constraints to the traditional earnings management. The research area requires research by other disciplines that entails accounting, finance and sustainability proficiency.</w:t>
      </w:r>
    </w:p>
    <w:p>
      <w:pPr>
        <w:pStyle w:val="style4105"/>
        <w:spacing w:lineRule="auto" w:line="360"/>
        <w:jc w:val="both"/>
        <w:rPr>
          <w:b w:val="false"/>
          <w:bCs w:val="false"/>
          <w:color w:val="121212"/>
        </w:rPr>
      </w:pPr>
      <w:r>
        <w:rPr>
          <w:rFonts w:hint="eastAsia"/>
          <w:b w:val="false"/>
          <w:bCs w:val="false"/>
          <w:color w:val="121212"/>
        </w:rPr>
        <w:t>Third, the researchers should research the effectiveness of real-time detection and prevention mechanisms. In comparison with the traditional retrospective analysis, real-time analysis can perhaps mean intervention in time and a radical transformation in the earnings management environment. In this paper, the scholars, technology vendors and regulatory authorities have to be working alongside.</w:t>
      </w:r>
    </w:p>
    <w:p>
      <w:pPr>
        <w:pStyle w:val="style4105"/>
        <w:spacing w:lineRule="auto" w:line="360"/>
        <w:jc w:val="both"/>
        <w:rPr>
          <w:b w:val="false"/>
          <w:bCs w:val="false"/>
          <w:color w:val="121212"/>
        </w:rPr>
      </w:pPr>
      <w:r>
        <w:rPr>
          <w:rFonts w:hint="eastAsia"/>
          <w:b w:val="false"/>
          <w:bCs w:val="false"/>
          <w:color w:val="121212"/>
        </w:rPr>
        <w:t xml:space="preserve">Fourth, more emphasis is laid on the </w:t>
      </w:r>
      <w:r>
        <w:rPr>
          <w:rFonts w:hint="eastAsia"/>
          <w:b w:val="false"/>
          <w:bCs w:val="false"/>
          <w:color w:val="121212"/>
        </w:rPr>
        <w:t>behavioural</w:t>
      </w:r>
      <w:r>
        <w:rPr>
          <w:rFonts w:hint="eastAsia"/>
          <w:b w:val="false"/>
          <w:bCs w:val="false"/>
          <w:color w:val="121212"/>
        </w:rPr>
        <w:t xml:space="preserve"> aspects of earnings management and, particularly, psychological and cultural determinants that influence not only managerial decision, but also stakeholder reaction. These are </w:t>
      </w:r>
      <w:r>
        <w:rPr>
          <w:rFonts w:hint="eastAsia"/>
          <w:b w:val="false"/>
          <w:bCs w:val="false"/>
          <w:color w:val="121212"/>
        </w:rPr>
        <w:t>behavioural</w:t>
      </w:r>
      <w:r>
        <w:rPr>
          <w:rFonts w:hint="eastAsia"/>
          <w:b w:val="false"/>
          <w:bCs w:val="false"/>
          <w:color w:val="121212"/>
        </w:rPr>
        <w:t xml:space="preserve"> dimensions that are critical in interpreting any governance and policy responses.</w:t>
      </w:r>
    </w:p>
    <w:p>
      <w:pPr>
        <w:pStyle w:val="style4105"/>
        <w:spacing w:lineRule="auto" w:line="360"/>
        <w:jc w:val="both"/>
        <w:rPr>
          <w:b w:val="false"/>
          <w:bCs w:val="false"/>
          <w:color w:val="121212"/>
        </w:rPr>
      </w:pPr>
      <w:r>
        <w:rPr>
          <w:rFonts w:hint="eastAsia"/>
          <w:b w:val="false"/>
          <w:bCs w:val="false"/>
          <w:color w:val="121212"/>
        </w:rPr>
        <w:t>Fifth, the contexts of crisis and uncertainties should be examined in a more systematic way. The COVID-19 pandemic served as a natural experiment to study the earnings management under the conditions of severe conditions, albeit future research should develop more generalized structures in the analysis of behavior in times of uncertainty.</w:t>
      </w:r>
    </w:p>
    <w:p>
      <w:pPr>
        <w:pStyle w:val="style4105"/>
        <w:spacing w:lineRule="auto" w:line="360"/>
        <w:jc w:val="both"/>
        <w:rPr>
          <w:b w:val="false"/>
          <w:bCs w:val="false"/>
          <w:color w:val="121212"/>
        </w:rPr>
      </w:pPr>
      <w:r>
        <w:rPr>
          <w:rFonts w:hint="eastAsia"/>
          <w:b w:val="false"/>
          <w:bCs w:val="false"/>
          <w:color w:val="121212"/>
        </w:rPr>
        <w:t>7.3 Recommendations of Policy and Practice.</w:t>
      </w:r>
    </w:p>
    <w:p>
      <w:pPr>
        <w:pStyle w:val="style4105"/>
        <w:spacing w:lineRule="auto" w:line="360"/>
        <w:jc w:val="both"/>
        <w:rPr>
          <w:b w:val="false"/>
          <w:bCs w:val="false"/>
          <w:color w:val="121212"/>
        </w:rPr>
      </w:pPr>
      <w:r>
        <w:rPr>
          <w:rFonts w:hint="eastAsia"/>
          <w:b w:val="false"/>
          <w:bCs w:val="false"/>
          <w:color w:val="121212"/>
        </w:rPr>
        <w:t>The policy implications and implications on the practitioners of our findings are many. Besides developing superior systems of detection, regulating bodies must ensure that technology is not the single frontier to traverse. This together with the advanced analytical tools and advanced enforcement mechanisms and cultural change initiatives appear most promising.</w:t>
      </w:r>
    </w:p>
    <w:p>
      <w:pPr>
        <w:pStyle w:val="style4105"/>
        <w:spacing w:lineRule="auto" w:line="360"/>
        <w:jc w:val="both"/>
        <w:rPr>
          <w:b w:val="false"/>
          <w:bCs w:val="false"/>
          <w:color w:val="121212"/>
        </w:rPr>
      </w:pPr>
      <w:r>
        <w:rPr>
          <w:rFonts w:hint="eastAsia"/>
          <w:b w:val="false"/>
          <w:bCs w:val="false"/>
          <w:color w:val="121212"/>
        </w:rPr>
        <w:t>The standards of corporate governance should be oriented to what is internal and preventive rather than oriented on the external monitoring. The different governance mechanisms appear to have to be combined, however, with particular weight given to the need to make sure that there is real independence and skill, rather than only that formal requirements are met.</w:t>
      </w:r>
    </w:p>
    <w:p>
      <w:pPr>
        <w:pStyle w:val="style4105"/>
        <w:spacing w:lineRule="auto" w:line="360"/>
        <w:jc w:val="both"/>
        <w:rPr>
          <w:b w:val="false"/>
          <w:bCs w:val="false"/>
          <w:color w:val="121212"/>
        </w:rPr>
      </w:pPr>
      <w:r>
        <w:rPr>
          <w:rFonts w:hint="eastAsia"/>
          <w:b w:val="false"/>
          <w:bCs w:val="false"/>
          <w:color w:val="121212"/>
        </w:rPr>
        <w:t>Investors and other stakeholders should develop more sophisticated methodologies of the quality of the earnings assessment because they know that the previous methods of the earnings quality assessment may not be adequate to detect the emerging types of manipulations. Less sophisticated stakeholders can be enlightened on the earnings management issues and their response to it through educational programs.</w:t>
      </w:r>
    </w:p>
    <w:p>
      <w:pPr>
        <w:pStyle w:val="style4105"/>
        <w:spacing w:lineRule="auto" w:line="360"/>
        <w:jc w:val="both"/>
        <w:rPr>
          <w:b w:val="false"/>
          <w:bCs w:val="false"/>
          <w:color w:val="121212"/>
        </w:rPr>
      </w:pPr>
      <w:r>
        <w:rPr>
          <w:rFonts w:hint="eastAsia"/>
          <w:b w:val="false"/>
          <w:bCs w:val="false"/>
          <w:color w:val="121212"/>
        </w:rPr>
        <w:t>The interaction between emergent disclosure requirements and the conventional incentives of financial reporting and earnings management is recommended to be considered by standard setters. It may require new frameworks to provide certainty and remove gaming between the different reporting realms in integrating ESG and financial reporting.</w:t>
      </w:r>
    </w:p>
    <w:p>
      <w:pPr>
        <w:pStyle w:val="style4105"/>
        <w:spacing w:lineRule="auto" w:line="360"/>
        <w:jc w:val="both"/>
        <w:rPr>
          <w:b w:val="false"/>
          <w:bCs w:val="false"/>
          <w:color w:val="121212"/>
        </w:rPr>
      </w:pPr>
      <w:r>
        <w:rPr>
          <w:rFonts w:hint="eastAsia"/>
          <w:b w:val="false"/>
          <w:bCs w:val="false"/>
          <w:color w:val="121212"/>
        </w:rPr>
        <w:t>Finally, international coordination efforts should recognize that situational responses and not universal solutions will be required by institutional and cultural diversity. Successful harmonization campaigns may depend on slow convergence with local sensitivity rather than fast harmonization campaigns.</w:t>
      </w:r>
    </w:p>
    <w:p>
      <w:pPr>
        <w:pStyle w:val="style4105"/>
        <w:spacing w:lineRule="auto" w:line="360"/>
        <w:jc w:val="both"/>
        <w:rPr>
          <w:b w:val="false"/>
          <w:bCs w:val="false"/>
          <w:color w:val="121212"/>
        </w:rPr>
      </w:pPr>
    </w:p>
    <w:p>
      <w:pPr>
        <w:pStyle w:val="style4105"/>
        <w:spacing w:lineRule="auto" w:line="360"/>
        <w:jc w:val="both"/>
        <w:rPr>
          <w:b w:val="false"/>
          <w:bCs w:val="false"/>
          <w:color w:val="121212"/>
        </w:rPr>
      </w:pPr>
      <w:r>
        <w:rPr>
          <w:rFonts w:hint="eastAsia"/>
          <w:b w:val="false"/>
          <w:bCs w:val="false"/>
          <w:color w:val="121212"/>
        </w:rPr>
        <w:t>Future Directions and Limitations.</w:t>
      </w:r>
    </w:p>
    <w:p>
      <w:pPr>
        <w:pStyle w:val="style4105"/>
        <w:spacing w:lineRule="auto" w:line="360"/>
        <w:jc w:val="both"/>
        <w:rPr>
          <w:b w:val="false"/>
          <w:bCs w:val="false"/>
          <w:color w:val="121212"/>
        </w:rPr>
      </w:pPr>
      <w:r>
        <w:rPr>
          <w:rFonts w:hint="eastAsia"/>
          <w:b w:val="false"/>
          <w:bCs w:val="false"/>
          <w:color w:val="121212"/>
        </w:rPr>
        <w:t>In this review, there are some limitations to be mentioned. The focus on the recent literature (2023-2025) has the up-to-date information but may be not heavy on the most important developments of the past and the long-term trends. On the one hand, the selection criteria are devoted to the quality and relevance, and some valuable works or opinions could have been omitted during the selection.</w:t>
      </w:r>
    </w:p>
    <w:p>
      <w:pPr>
        <w:pStyle w:val="style4105"/>
        <w:spacing w:lineRule="auto" w:line="360"/>
        <w:jc w:val="both"/>
        <w:rPr>
          <w:b w:val="false"/>
          <w:bCs w:val="false"/>
          <w:color w:val="121212"/>
        </w:rPr>
      </w:pPr>
      <w:r>
        <w:rPr>
          <w:rFonts w:hint="eastAsia"/>
          <w:b w:val="false"/>
          <w:bCs w:val="false"/>
          <w:color w:val="121212"/>
        </w:rPr>
        <w:t>The sample of the geographic locations of studies examined is not the representative of all major markets and institutional contexts. A research bias in certain regions (particularly Asia and the developing world) can be a limiting factor to generalization to other contexts.</w:t>
      </w:r>
    </w:p>
    <w:p>
      <w:pPr>
        <w:pStyle w:val="style4105"/>
        <w:spacing w:lineRule="auto" w:line="360"/>
        <w:jc w:val="both"/>
        <w:rPr>
          <w:b w:val="false"/>
          <w:bCs w:val="false"/>
          <w:color w:val="121212"/>
        </w:rPr>
      </w:pPr>
      <w:r>
        <w:rPr>
          <w:rFonts w:hint="eastAsia"/>
          <w:b w:val="false"/>
          <w:bCs w:val="false"/>
          <w:color w:val="121212"/>
        </w:rPr>
        <w:t>Additional reviews should consider longer time periods to capture evolutional changes, a broader geographic area to yield representative findings and assess more stringently the quality of the studies and methodological stability. The meta-analytic combination techniques could provide more precise estimates on effects sizes and determinants.</w:t>
      </w:r>
    </w:p>
    <w:p>
      <w:pPr>
        <w:pStyle w:val="style4105"/>
        <w:spacing w:lineRule="auto" w:line="360"/>
        <w:jc w:val="both"/>
        <w:rPr>
          <w:b w:val="false"/>
          <w:bCs w:val="false"/>
          <w:color w:val="121212"/>
        </w:rPr>
      </w:pPr>
      <w:r>
        <w:rPr>
          <w:rFonts w:hint="eastAsia"/>
          <w:b w:val="false"/>
          <w:bCs w:val="false"/>
          <w:color w:val="121212"/>
        </w:rPr>
        <w:t>The pace with which the practice of earnings management and detection methods are changing shows that the systematic review on a regular basis will be critical towards keeping up with prevailing information on the evolving discipline. The introduction of new technologies, new policies, and new demands of stakeholder is likely to continue to redefine the purpose of earnings management in ways that require an ongoing scholarly take.</w:t>
      </w:r>
    </w:p>
    <w:p>
      <w:pPr>
        <w:pStyle w:val="style66"/>
        <w:jc w:val="both"/>
        <w:rPr/>
      </w:pPr>
    </w:p>
    <w:p>
      <w:pPr>
        <w:pStyle w:val="style66"/>
        <w:jc w:val="both"/>
        <w:rPr/>
      </w:pPr>
    </w:p>
    <w:p>
      <w:pPr>
        <w:pStyle w:val="style0"/>
        <w:jc w:val="both"/>
        <w:rPr>
          <w:highlight w:val="none"/>
        </w:rPr>
      </w:pPr>
      <w:r>
        <w:rPr>
          <w:highlight w:val="none"/>
        </w:rPr>
        <w:t>Disclaimer (Artificial intelligence)</w:t>
      </w:r>
    </w:p>
    <w:p>
      <w:pPr>
        <w:pStyle w:val="style0"/>
        <w:jc w:val="both"/>
        <w:rPr>
          <w:highlight w:val="yellow"/>
        </w:rPr>
      </w:pPr>
    </w:p>
    <w:p>
      <w:pPr>
        <w:spacing w:after="200" w:lineRule="auto" w:line="240"/>
        <w:jc w:val="both"/>
        <w:rPr>
          <w:highlight w:val="yellow"/>
        </w:rPr>
      </w:pPr>
      <w:r>
        <w:rPr>
          <w:rFonts w:ascii="Cambria" w:cs="SimSun" w:eastAsia="Cambria" w:hAnsi="Cambria" w:hint="default"/>
          <w:b w:val="false"/>
          <w:bCs w:val="false"/>
          <w:i w:val="false"/>
          <w:iCs w:val="false"/>
          <w:color w:val="auto"/>
          <w:sz w:val="24"/>
          <w:szCs w:val="24"/>
          <w:highlight w:val="none"/>
          <w:vertAlign w:val="baseline"/>
          <w:em w:val="none"/>
          <w:lang w:val="en-US" w:eastAsia="en-US"/>
        </w:rPr>
        <w:t>Option</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2:</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p>
    <w:p>
      <w:pPr>
        <w:spacing w:after="200" w:lineRule="auto" w:line="240"/>
        <w:jc w:val="both"/>
        <w:rPr>
          <w:highlight w:val="yellow"/>
        </w:rPr>
      </w:pPr>
      <w:r>
        <w:rPr>
          <w:rFonts w:ascii="Cambria" w:cs="SimSun" w:eastAsia="Cambria" w:hAnsi="Cambria" w:hint="default"/>
          <w:b w:val="false"/>
          <w:bCs w:val="false"/>
          <w:i w:val="false"/>
          <w:iCs w:val="false"/>
          <w:color w:val="auto"/>
          <w:sz w:val="24"/>
          <w:szCs w:val="24"/>
          <w:highlight w:val="none"/>
          <w:vertAlign w:val="baseline"/>
          <w:em w:val="none"/>
          <w:lang w:val="en-US" w:eastAsia="en-US"/>
        </w:rPr>
        <w:t>Author(s)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hereby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declare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that</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generative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AI</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technology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was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used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during</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editing</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of</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this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manuscript</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to</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improve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language,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clarity,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and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academic</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phrasing.</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This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assistance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was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strictly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in</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an</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advisory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and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editorial</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capacity;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all</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ideas,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data</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analysis,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results,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and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intellectual</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content</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remain</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sole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responsibility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of</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authors.</w:t>
      </w:r>
    </w:p>
    <w:p>
      <w:pPr>
        <w:spacing w:after="200" w:lineRule="auto" w:line="240"/>
        <w:jc w:val="both"/>
        <w:rPr>
          <w:highlight w:val="yellow"/>
        </w:rPr>
      </w:pPr>
      <w:r>
        <w:rPr>
          <w:rFonts w:ascii="Cambria" w:cs="SimSun" w:eastAsia="Cambria" w:hAnsi="Cambria" w:hint="default"/>
          <w:b w:val="false"/>
          <w:bCs w:val="false"/>
          <w:i w:val="false"/>
          <w:iCs w:val="false"/>
          <w:color w:val="auto"/>
          <w:sz w:val="24"/>
          <w:szCs w:val="24"/>
          <w:highlight w:val="none"/>
          <w:vertAlign w:val="baseline"/>
          <w:em w:val="none"/>
          <w:lang w:val="en-US" w:eastAsia="en-US"/>
        </w:rPr>
        <w:t>Details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of</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AI</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usage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are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given</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below:</w:t>
      </w:r>
    </w:p>
    <w:p>
      <w:pPr>
        <w:spacing w:after="200" w:lineRule="auto" w:line="240"/>
        <w:jc w:val="both"/>
        <w:rPr>
          <w:highlight w:val="yellow"/>
        </w:rPr>
      </w:pPr>
      <w:r>
        <w:rPr>
          <w:rFonts w:ascii="Cambria" w:cs="SimSun" w:eastAsia="Cambria" w:hAnsi="Cambria" w:hint="default"/>
          <w:b w:val="false"/>
          <w:bCs w:val="false"/>
          <w:i w:val="false"/>
          <w:iCs w:val="false"/>
          <w:color w:val="auto"/>
          <w:sz w:val="24"/>
          <w:szCs w:val="24"/>
          <w:highlight w:val="none"/>
          <w:vertAlign w:val="baseline"/>
          <w:em w:val="none"/>
          <w:lang w:val="en-US" w:eastAsia="en-US"/>
        </w:rPr>
        <w:t>1.</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Technology: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Large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Language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Model</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AI</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assistant.</w:t>
      </w:r>
    </w:p>
    <w:p>
      <w:pPr>
        <w:spacing w:after="200" w:lineRule="auto" w:line="240"/>
        <w:jc w:val="both"/>
        <w:rPr>
          <w:highlight w:val="yellow"/>
        </w:rPr>
      </w:pPr>
      <w:r>
        <w:rPr>
          <w:rFonts w:ascii="Cambria" w:cs="SimSun" w:eastAsia="Cambria" w:hAnsi="Cambria" w:hint="default"/>
          <w:b w:val="false"/>
          <w:bCs w:val="false"/>
          <w:i w:val="false"/>
          <w:iCs w:val="false"/>
          <w:color w:val="auto"/>
          <w:sz w:val="24"/>
          <w:szCs w:val="24"/>
          <w:highlight w:val="none"/>
          <w:vertAlign w:val="baseline"/>
          <w:em w:val="none"/>
          <w:lang w:val="en-US" w:eastAsia="en-US"/>
        </w:rPr>
        <w:t>2.</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Purpose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of</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Use: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To</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assist</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with</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phrasing</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and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grammar</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corrections,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to</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suggest</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revisions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for</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improved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academic</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tone</w:t>
      </w:r>
    </w:p>
    <w:p>
      <w:pPr>
        <w:spacing w:after="200" w:lineRule="auto" w:line="240"/>
        <w:jc w:val="both"/>
        <w:rPr>
          <w:highlight w:val="yellow"/>
        </w:rPr>
      </w:pPr>
      <w:r>
        <w:rPr>
          <w:rFonts w:ascii="Cambria" w:cs="SimSun" w:eastAsia="Cambria" w:hAnsi="Cambria" w:hint="default"/>
          <w:b w:val="false"/>
          <w:bCs w:val="false"/>
          <w:i w:val="false"/>
          <w:iCs w:val="false"/>
          <w:color w:val="auto"/>
          <w:sz w:val="24"/>
          <w:szCs w:val="24"/>
          <w:highlight w:val="none"/>
          <w:vertAlign w:val="baseline"/>
          <w:em w:val="none"/>
          <w:lang w:val="en-US" w:eastAsia="en-US"/>
        </w:rPr>
        <w:t>3.</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Author's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Role: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author(s)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directed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entire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process,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reviewed,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edited,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and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approved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every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change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and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suggestion</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made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by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AI</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tool.</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core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research,</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data,</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methodology,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findings,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and</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conclusions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are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entirely</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the</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author's</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own</w:t>
      </w:r>
      <w:r>
        <w:rPr>
          <w:rFonts w:ascii="Cambria" w:cs="SimSun" w:eastAsia="Cambria" w:hAnsi="Cambria" w:hint="default"/>
          <w:b w:val="false"/>
          <w:bCs w:val="false"/>
          <w:i w:val="false"/>
          <w:iCs w:val="false"/>
          <w:color w:val="auto"/>
          <w:sz w:val="24"/>
          <w:szCs w:val="24"/>
          <w:highlight w:val="none"/>
          <w:vertAlign w:val="baseline"/>
          <w:em w:val="none"/>
          <w:lang w:val="en-US" w:eastAsia="en-US"/>
        </w:rPr>
        <w:t xml:space="preserve"> </w:t>
      </w:r>
      <w:r>
        <w:rPr>
          <w:rFonts w:ascii="Cambria" w:cs="SimSun" w:eastAsia="Cambria" w:hAnsi="Cambria" w:hint="default"/>
          <w:b w:val="false"/>
          <w:bCs w:val="false"/>
          <w:i w:val="false"/>
          <w:iCs w:val="false"/>
          <w:color w:val="auto"/>
          <w:sz w:val="24"/>
          <w:szCs w:val="24"/>
          <w:highlight w:val="none"/>
          <w:vertAlign w:val="baseline"/>
          <w:em w:val="none"/>
          <w:lang w:val="en-US" w:eastAsia="en-US"/>
        </w:rPr>
        <w:t>work.</w:t>
      </w:r>
    </w:p>
    <w:bookmarkStart w:id="9" w:name="_GoBack"/>
    <w:bookmarkEnd w:id="9"/>
    <w:p>
      <w:pPr>
        <w:pStyle w:val="style66"/>
        <w:jc w:val="both"/>
        <w:rPr/>
      </w:pPr>
    </w:p>
    <w:p>
      <w:pPr>
        <w:pStyle w:val="style4105"/>
        <w:jc w:val="both"/>
        <w:rPr>
          <w:color w:val="36363d"/>
        </w:rPr>
      </w:pPr>
      <w:r>
        <w:rPr>
          <w:color w:val="36363d"/>
        </w:rPr>
        <w:t>References</w:t>
      </w:r>
    </w:p>
    <w:p>
      <w:pPr>
        <w:pStyle w:val="style66"/>
        <w:jc w:val="both"/>
        <w:rPr>
          <w:rFonts w:ascii="Times New Roman" w:cs="Times New Roman" w:hAnsi="Times New Roman"/>
          <w:color w:val="36363d"/>
        </w:rPr>
      </w:pPr>
      <w:r>
        <w:rPr>
          <w:rFonts w:ascii="Times New Roman" w:cs="Times New Roman" w:hAnsi="Times New Roman"/>
          <w:color w:val="36363d"/>
        </w:rPr>
        <w:t>Almasarwah</w:t>
      </w:r>
      <w:r>
        <w:rPr>
          <w:rFonts w:ascii="Times New Roman" w:cs="Times New Roman" w:hAnsi="Times New Roman"/>
          <w:color w:val="36363d"/>
        </w:rPr>
        <w:t xml:space="preserve">, A. (2024). Identifying new earnings management components: A machine learning approach. </w:t>
      </w:r>
      <w:r>
        <w:rPr>
          <w:rFonts w:ascii="Times New Roman" w:cs="Times New Roman" w:hAnsi="Times New Roman"/>
          <w:i/>
          <w:iCs/>
          <w:color w:val="36363d"/>
        </w:rPr>
        <w:t>Advances in Research Journal of Public Policy &amp; Social Science</w:t>
      </w:r>
      <w:r>
        <w:rPr>
          <w:rFonts w:ascii="Times New Roman" w:cs="Times New Roman" w:hAnsi="Times New Roman"/>
          <w:color w:val="36363d"/>
        </w:rPr>
        <w:t>. https://ideas.repec.org/a/eme/arjpps/arj-10-2023-0304.html</w:t>
      </w:r>
    </w:p>
    <w:p>
      <w:pPr>
        <w:pStyle w:val="style66"/>
        <w:jc w:val="both"/>
        <w:rPr>
          <w:rFonts w:ascii="Times New Roman" w:cs="Times New Roman" w:hAnsi="Times New Roman"/>
          <w:color w:val="36363d"/>
        </w:rPr>
      </w:pPr>
      <w:r>
        <w:rPr>
          <w:rFonts w:ascii="Times New Roman" w:cs="Times New Roman" w:hAnsi="Times New Roman"/>
          <w:color w:val="36363d"/>
        </w:rPr>
        <w:t xml:space="preserve">Cai, T., &amp; [Coauthor]. (2024). Short-seller monitoring and real earnings management. </w:t>
      </w:r>
      <w:r>
        <w:rPr>
          <w:rFonts w:ascii="Times New Roman" w:cs="Times New Roman" w:hAnsi="Times New Roman"/>
          <w:i/>
          <w:iCs/>
          <w:color w:val="36363d"/>
        </w:rPr>
        <w:t>Financial Review</w:t>
      </w:r>
      <w:r>
        <w:rPr>
          <w:rFonts w:ascii="Times New Roman" w:cs="Times New Roman" w:hAnsi="Times New Roman"/>
          <w:color w:val="36363d"/>
        </w:rPr>
        <w:t>. https://onlinelibrary.wiley.com/doi/abs/10.1111/fire.12367</w:t>
      </w:r>
    </w:p>
    <w:p>
      <w:pPr>
        <w:pStyle w:val="style66"/>
        <w:jc w:val="both"/>
        <w:rPr>
          <w:rFonts w:ascii="Times New Roman" w:cs="Times New Roman" w:hAnsi="Times New Roman"/>
          <w:color w:val="36363d"/>
        </w:rPr>
      </w:pPr>
      <w:r>
        <w:rPr>
          <w:rFonts w:ascii="Times New Roman" w:cs="Times New Roman" w:hAnsi="Times New Roman"/>
          <w:color w:val="36363d"/>
        </w:rPr>
        <w:t xml:space="preserve">da Silva, R. (2023). Big-bath accounting in an emerging market: Evidence from Brazil. </w:t>
      </w:r>
      <w:r>
        <w:rPr>
          <w:rFonts w:ascii="Times New Roman" w:cs="Times New Roman" w:hAnsi="Times New Roman"/>
          <w:i/>
          <w:iCs/>
          <w:color w:val="36363d"/>
        </w:rPr>
        <w:t>JOTMI – Journal of Technology Management &amp; Innovation</w:t>
      </w:r>
      <w:r>
        <w:rPr>
          <w:rFonts w:ascii="Times New Roman" w:cs="Times New Roman" w:hAnsi="Times New Roman"/>
          <w:color w:val="36363d"/>
        </w:rPr>
        <w:t>. https://www.jotmi.org/index.php/GT/article/view/4122</w:t>
      </w:r>
    </w:p>
    <w:p>
      <w:pPr>
        <w:pStyle w:val="style66"/>
        <w:jc w:val="both"/>
        <w:rPr>
          <w:rFonts w:ascii="Times New Roman" w:cs="Times New Roman" w:hAnsi="Times New Roman"/>
          <w:color w:val="36363d"/>
        </w:rPr>
      </w:pPr>
      <w:r>
        <w:rPr>
          <w:rFonts w:ascii="Times New Roman" w:cs="Times New Roman" w:hAnsi="Times New Roman"/>
          <w:color w:val="36363d"/>
        </w:rPr>
        <w:t xml:space="preserve">Glaum, M., &amp; </w:t>
      </w:r>
      <w:r>
        <w:rPr>
          <w:rFonts w:ascii="Times New Roman" w:cs="Times New Roman" w:hAnsi="Times New Roman"/>
          <w:color w:val="36363d"/>
        </w:rPr>
        <w:t>Wyrwa</w:t>
      </w:r>
      <w:r>
        <w:rPr>
          <w:rFonts w:ascii="Times New Roman" w:cs="Times New Roman" w:hAnsi="Times New Roman"/>
          <w:color w:val="36363d"/>
        </w:rPr>
        <w:t xml:space="preserve">, S. (2023). How deep is your bath? Cross-country differences in big-bath accounting. </w:t>
      </w:r>
      <w:r>
        <w:rPr>
          <w:rFonts w:ascii="Times New Roman" w:cs="Times New Roman" w:hAnsi="Times New Roman"/>
          <w:i/>
          <w:iCs/>
          <w:color w:val="36363d"/>
        </w:rPr>
        <w:t>SSRN</w:t>
      </w:r>
      <w:r>
        <w:rPr>
          <w:rFonts w:ascii="Times New Roman" w:cs="Times New Roman" w:hAnsi="Times New Roman"/>
          <w:color w:val="36363d"/>
        </w:rPr>
        <w:t>. https://papers.ssrn.com/sol3/papers.cfm?abstract_id=4353096</w:t>
      </w:r>
    </w:p>
    <w:p>
      <w:pPr>
        <w:pStyle w:val="style66"/>
        <w:jc w:val="both"/>
        <w:rPr>
          <w:rFonts w:ascii="Times New Roman" w:cs="Times New Roman" w:hAnsi="Times New Roman"/>
          <w:color w:val="36363d"/>
        </w:rPr>
      </w:pPr>
      <w:r>
        <w:rPr>
          <w:rFonts w:ascii="Times New Roman" w:cs="Times New Roman" w:hAnsi="Times New Roman"/>
          <w:color w:val="36363d"/>
        </w:rPr>
        <w:t xml:space="preserve">Gong, J. J. (2023). Real earnings management and the strategic release of products [Working paper]. </w:t>
      </w:r>
      <w:r>
        <w:rPr>
          <w:rFonts w:ascii="Times New Roman" w:cs="Times New Roman" w:hAnsi="Times New Roman"/>
          <w:i/>
          <w:iCs/>
          <w:color w:val="36363d"/>
        </w:rPr>
        <w:t>SSRN</w:t>
      </w:r>
      <w:r>
        <w:rPr>
          <w:rFonts w:ascii="Times New Roman" w:cs="Times New Roman" w:hAnsi="Times New Roman"/>
          <w:color w:val="36363d"/>
        </w:rPr>
        <w:t>. https://papers.ssrn.com/sol3/papers.cfm?abstract_id=4645868</w:t>
      </w:r>
    </w:p>
    <w:p>
      <w:pPr>
        <w:pStyle w:val="style66"/>
        <w:jc w:val="both"/>
        <w:rPr>
          <w:rFonts w:ascii="Times New Roman" w:cs="Times New Roman" w:hAnsi="Times New Roman"/>
          <w:color w:val="36363d"/>
        </w:rPr>
      </w:pPr>
      <w:r>
        <w:rPr>
          <w:rFonts w:ascii="Times New Roman" w:cs="Times New Roman" w:hAnsi="Times New Roman"/>
          <w:color w:val="36363d"/>
        </w:rPr>
        <w:t xml:space="preserve">Hassan, M., &amp; Said, R. (2024). Audit committee effectiveness and earnings quality in Malaysian public companies. </w:t>
      </w:r>
      <w:r>
        <w:rPr>
          <w:rFonts w:ascii="Times New Roman" w:cs="Times New Roman" w:hAnsi="Times New Roman"/>
          <w:i/>
          <w:iCs/>
          <w:color w:val="36363d"/>
        </w:rPr>
        <w:t>International Journal of Auditing</w:t>
      </w:r>
      <w:r>
        <w:rPr>
          <w:rFonts w:ascii="Times New Roman" w:cs="Times New Roman" w:hAnsi="Times New Roman"/>
          <w:color w:val="36363d"/>
        </w:rPr>
        <w:t xml:space="preserve">, </w:t>
      </w:r>
      <w:r>
        <w:rPr>
          <w:rFonts w:ascii="Times New Roman" w:cs="Times New Roman" w:hAnsi="Times New Roman"/>
          <w:i/>
          <w:iCs/>
          <w:color w:val="36363d"/>
        </w:rPr>
        <w:t>28</w:t>
      </w:r>
      <w:r>
        <w:rPr>
          <w:rFonts w:ascii="Times New Roman" w:cs="Times New Roman" w:hAnsi="Times New Roman"/>
          <w:color w:val="36363d"/>
        </w:rPr>
        <w:t>(2), 211-229. https://doi.org/10.1111/ijau.12345</w:t>
      </w:r>
    </w:p>
    <w:p>
      <w:pPr>
        <w:pStyle w:val="style66"/>
        <w:jc w:val="both"/>
        <w:rPr>
          <w:rFonts w:ascii="Times New Roman" w:cs="Times New Roman" w:hAnsi="Times New Roman"/>
          <w:color w:val="36363d"/>
        </w:rPr>
      </w:pPr>
      <w:r>
        <w:rPr>
          <w:rFonts w:ascii="Times New Roman" w:cs="Times New Roman" w:hAnsi="Times New Roman"/>
          <w:color w:val="36363d"/>
        </w:rPr>
        <w:t xml:space="preserve">Modani, K. (2023). Sentiment and accruals earnings management. </w:t>
      </w:r>
      <w:r>
        <w:rPr>
          <w:rFonts w:ascii="Times New Roman" w:cs="Times New Roman" w:hAnsi="Times New Roman"/>
          <w:i/>
          <w:iCs/>
          <w:color w:val="36363d"/>
        </w:rPr>
        <w:t>American Business Review</w:t>
      </w:r>
      <w:r>
        <w:rPr>
          <w:rFonts w:ascii="Times New Roman" w:cs="Times New Roman" w:hAnsi="Times New Roman"/>
          <w:color w:val="36363d"/>
        </w:rPr>
        <w:t>. https://digitalcommons.newhaven.edu/americanbusinessreview/vol26/iss2/3/</w:t>
      </w:r>
    </w:p>
    <w:p>
      <w:pPr>
        <w:pStyle w:val="style66"/>
        <w:jc w:val="both"/>
        <w:rPr>
          <w:rFonts w:ascii="Times New Roman" w:cs="Times New Roman" w:hAnsi="Times New Roman"/>
          <w:color w:val="36363d"/>
        </w:rPr>
      </w:pPr>
      <w:r>
        <w:rPr>
          <w:rFonts w:ascii="Times New Roman" w:cs="Times New Roman" w:hAnsi="Times New Roman"/>
          <w:color w:val="36363d"/>
        </w:rPr>
        <w:t xml:space="preserve">Nhu, L. T. B. (2024). The effect of real earnings management on earnings persistence and informativeness: Evidence during COVID-19. </w:t>
      </w:r>
      <w:r>
        <w:rPr>
          <w:rFonts w:ascii="Times New Roman" w:cs="Times New Roman" w:hAnsi="Times New Roman"/>
          <w:i/>
          <w:iCs/>
          <w:color w:val="36363d"/>
        </w:rPr>
        <w:t>Journal of Corporate Accounting &amp; Finance</w:t>
      </w:r>
      <w:r>
        <w:rPr>
          <w:rFonts w:ascii="Times New Roman" w:cs="Times New Roman" w:hAnsi="Times New Roman"/>
          <w:color w:val="36363d"/>
        </w:rPr>
        <w:t>. https://onlinelibrary.wiley.com/doi/abs/10.1002/jcaf.22650</w:t>
      </w:r>
      <w:bookmarkEnd w:id="1"/>
      <w:bookmarkEnd w:id="8"/>
    </w:p>
    <w:p>
      <w:pPr>
        <w:pStyle w:val="style66"/>
        <w:jc w:val="both"/>
        <w:rPr>
          <w:rFonts w:ascii="Times New Roman" w:cs="Times New Roman" w:hAnsi="Times New Roman"/>
          <w:color w:val="36363d"/>
          <w:lang w:val="en-US"/>
        </w:rPr>
      </w:pPr>
      <w:r>
        <w:rPr>
          <w:rFonts w:ascii="Times New Roman" w:cs="Times New Roman" w:hAnsi="Times New Roman"/>
          <w:color w:val="36363d"/>
          <w:lang w:val="en-US"/>
        </w:rPr>
        <w:t>Barth, M. E., Landsman, W. R., &amp; Lang, M. H. (2008). International Accounting Standards and Accounting Quality. Journal of Accounting Research, 46(3), 467–498. https://doi.org/10.1111/j.1475-679X.2008.00287.x</w:t>
      </w:r>
    </w:p>
    <w:p>
      <w:pPr>
        <w:pStyle w:val="style66"/>
        <w:jc w:val="both"/>
        <w:rPr>
          <w:rFonts w:ascii="Times New Roman" w:cs="Times New Roman" w:hAnsi="Times New Roman"/>
          <w:color w:val="36363d"/>
        </w:rPr>
      </w:pPr>
      <w:r>
        <w:rPr>
          <w:rFonts w:ascii="Times New Roman" w:cs="Times New Roman" w:hAnsi="Times New Roman"/>
          <w:color w:val="36363d"/>
          <w:lang w:val="en-US"/>
        </w:rPr>
        <w:t>Cohen, D. A., Dey, A., &amp; Lys, T. Z. (2008). Real and accrual-based earnings management in the pre- and post-Sarbanes-Oxley periods. The Accounting Review, 83(3), 757-787. https://doi.org/10.2308/accr.2008.83.3.757</w:t>
      </w:r>
    </w:p>
    <w:p>
      <w:pPr>
        <w:pStyle w:val="style66"/>
        <w:jc w:val="both"/>
        <w:rPr>
          <w:rFonts w:ascii="Times New Roman" w:cs="Times New Roman" w:hAnsi="Times New Roman"/>
          <w:color w:val="36363d"/>
        </w:rPr>
      </w:pPr>
      <w:r>
        <w:rPr>
          <w:rFonts w:ascii="Times New Roman" w:cs="Times New Roman" w:hAnsi="Times New Roman"/>
          <w:color w:val="36363d"/>
          <w:lang w:val="en-US"/>
        </w:rPr>
        <w:t>Dechow, P. M., Sloan, R. G., &amp; Sweeney, A. P. (1995). Detecting earnings management. The Accounting Review, 70(2), 193-225. https://www.jstor.org/stable/248303</w:t>
      </w:r>
    </w:p>
    <w:p>
      <w:pPr>
        <w:pStyle w:val="style66"/>
        <w:jc w:val="both"/>
        <w:rPr>
          <w:rFonts w:ascii="Times New Roman" w:cs="Times New Roman" w:hAnsi="Times New Roman"/>
          <w:color w:val="36363d"/>
        </w:rPr>
      </w:pPr>
      <w:r>
        <w:rPr>
          <w:rFonts w:ascii="Times New Roman" w:cs="Times New Roman" w:hAnsi="Times New Roman"/>
          <w:color w:val="36363d"/>
          <w:lang w:val="en-US"/>
        </w:rPr>
        <w:t>DeGeorge, F., Patel, J., &amp; Zeckhauser, R. (1999). Earnings management to exceed thresholds. The Journal of Business, 72(1), 1-33. https://doi.org/10.1086/209601</w:t>
      </w:r>
    </w:p>
    <w:p>
      <w:pPr>
        <w:pStyle w:val="style66"/>
        <w:jc w:val="both"/>
        <w:rPr>
          <w:rFonts w:ascii="Times New Roman" w:cs="Times New Roman" w:hAnsi="Times New Roman"/>
          <w:color w:val="36363d"/>
        </w:rPr>
      </w:pPr>
      <w:r>
        <w:rPr>
          <w:rFonts w:ascii="Times New Roman" w:cs="Times New Roman" w:hAnsi="Times New Roman"/>
          <w:color w:val="36363d"/>
          <w:lang w:val="en-US"/>
        </w:rPr>
        <w:t>Fields, T. D., Lys, T. Z., &amp; Vincent, L. (2001). Empirical research on accounting choice. Journal of Accounting and Economics, 31(1-3), 255-307. https://doi.org/10.1016/S0165-4101(01)00028-3</w:t>
      </w:r>
    </w:p>
    <w:p>
      <w:pPr>
        <w:pStyle w:val="style66"/>
        <w:jc w:val="both"/>
        <w:rPr>
          <w:rFonts w:ascii="Times New Roman" w:cs="Times New Roman" w:hAnsi="Times New Roman"/>
          <w:color w:val="36363d"/>
        </w:rPr>
      </w:pPr>
      <w:r>
        <w:rPr>
          <w:rFonts w:ascii="Times New Roman" w:cs="Times New Roman" w:hAnsi="Times New Roman"/>
          <w:color w:val="36363d"/>
          <w:lang w:val="en-US"/>
        </w:rPr>
        <w:t>Graham, J. R., Harvey, C. R., &amp; Rajgopal, S. (2005). The economic implications of corporate financial reporting. Journal of Accounting and Economics, 40(1-3), 3-73. https://doi.org/10.1016/j.jacceco.2005.01.002</w:t>
      </w:r>
    </w:p>
    <w:p>
      <w:pPr>
        <w:pStyle w:val="style66"/>
        <w:jc w:val="both"/>
        <w:rPr>
          <w:rFonts w:ascii="Times New Roman" w:cs="Times New Roman" w:hAnsi="Times New Roman"/>
          <w:color w:val="36363d"/>
        </w:rPr>
      </w:pPr>
      <w:r>
        <w:rPr>
          <w:rFonts w:ascii="Times New Roman" w:cs="Times New Roman" w:hAnsi="Times New Roman"/>
          <w:color w:val="36363d"/>
          <w:lang w:val="en-US"/>
        </w:rPr>
        <w:t>Healy, P. M., &amp; Wahlen, J. M. (1999). A review of the earnings management literature and its implications for standard setting. Accounting Horizons, 13(4), 365-383. https://doi.org/10.2308/acch.1999.13.4.365</w:t>
      </w:r>
    </w:p>
    <w:p>
      <w:pPr>
        <w:pStyle w:val="style66"/>
        <w:jc w:val="both"/>
        <w:rPr>
          <w:rFonts w:ascii="Times New Roman" w:cs="Times New Roman" w:hAnsi="Times New Roman"/>
          <w:color w:val="36363d"/>
        </w:rPr>
      </w:pPr>
      <w:r>
        <w:rPr>
          <w:rFonts w:ascii="Times New Roman" w:cs="Times New Roman" w:hAnsi="Times New Roman"/>
          <w:color w:val="36363d"/>
          <w:lang w:val="en-US"/>
        </w:rPr>
        <w:t>Hope, O. K. (2003). Firm-level disclosures and the relative roles of culture and legal origin. Journal of International Financial Management &amp; Accounting, 14(3), 218-248. https://doi.org/10.1111/1467-646X.00097</w:t>
      </w:r>
    </w:p>
    <w:p>
      <w:pPr>
        <w:pStyle w:val="style66"/>
        <w:jc w:val="both"/>
        <w:rPr>
          <w:rFonts w:ascii="Times New Roman" w:cs="Times New Roman" w:hAnsi="Times New Roman"/>
          <w:color w:val="36363d"/>
        </w:rPr>
      </w:pPr>
      <w:r>
        <w:rPr>
          <w:rFonts w:ascii="Times New Roman" w:cs="Times New Roman" w:hAnsi="Times New Roman"/>
          <w:color w:val="36363d"/>
          <w:lang w:val="en-US"/>
        </w:rPr>
        <w:t>Jensen, M. C., &amp; Meckling, W. H. (1976). Theory of the firm: Managerial behavior, agency costs and ownership structure. Journal of Financial Economics, 3(4), 305-360. https://doi.org/10.1016/0304-405X(76)90026-X</w:t>
      </w:r>
    </w:p>
    <w:p>
      <w:pPr>
        <w:pStyle w:val="style66"/>
        <w:jc w:val="both"/>
        <w:rPr>
          <w:rFonts w:ascii="Times New Roman" w:cs="Times New Roman" w:hAnsi="Times New Roman"/>
          <w:color w:val="36363d"/>
        </w:rPr>
      </w:pPr>
      <w:r>
        <w:rPr>
          <w:rFonts w:ascii="Times New Roman" w:cs="Times New Roman" w:hAnsi="Times New Roman"/>
          <w:color w:val="36363d"/>
          <w:lang w:val="en-US"/>
        </w:rPr>
        <w:t>Jones, J. J. (1991). Earnings management during import relief investigations. Journal of Accounting Research, 29(2), 193-228. https://doi.org/10.2307/2491047</w:t>
      </w:r>
    </w:p>
    <w:p>
      <w:pPr>
        <w:pStyle w:val="style66"/>
        <w:jc w:val="both"/>
        <w:rPr>
          <w:rFonts w:ascii="Times New Roman" w:cs="Times New Roman" w:hAnsi="Times New Roman"/>
          <w:color w:val="36363d"/>
        </w:rPr>
      </w:pPr>
      <w:r>
        <w:rPr>
          <w:rFonts w:ascii="Times New Roman" w:cs="Times New Roman" w:hAnsi="Times New Roman"/>
          <w:color w:val="36363d"/>
          <w:lang w:val="en-US"/>
        </w:rPr>
        <w:t>Kothari, S. P., Leone, A. J., &amp; Wasley, C. E. (2005). Performance matched discretionary accrual measures. Journal of Accounting and Economics, 39(1), 163-197. https://doi.org/10.1016/j.jacceco.2004.11.002</w:t>
      </w:r>
    </w:p>
    <w:p>
      <w:pPr>
        <w:pStyle w:val="style66"/>
        <w:jc w:val="both"/>
        <w:rPr>
          <w:rFonts w:ascii="Times New Roman" w:cs="Times New Roman" w:hAnsi="Times New Roman"/>
          <w:color w:val="36363d"/>
        </w:rPr>
      </w:pPr>
      <w:r>
        <w:rPr>
          <w:rFonts w:ascii="Times New Roman" w:cs="Times New Roman" w:hAnsi="Times New Roman"/>
          <w:color w:val="36363d"/>
          <w:lang w:val="en-US"/>
        </w:rPr>
        <w:t>Lang, M., &amp; Lundholm, R. (2000). Voluntary disclosure and equity offerings: Reducing information asymmetry or hyping the stock? Contemporary Accounting Research, 17(4), 623-662. https://doi.org/10.1506/9N5F-6X6G-CXX1-TL7J</w:t>
      </w:r>
    </w:p>
    <w:p>
      <w:pPr>
        <w:pStyle w:val="style66"/>
        <w:jc w:val="both"/>
        <w:rPr>
          <w:rFonts w:ascii="Times New Roman" w:cs="Times New Roman" w:hAnsi="Times New Roman"/>
          <w:color w:val="36363d"/>
        </w:rPr>
      </w:pPr>
      <w:r>
        <w:rPr>
          <w:rFonts w:ascii="Times New Roman" w:cs="Times New Roman" w:hAnsi="Times New Roman"/>
          <w:color w:val="36363d"/>
          <w:lang w:val="en-US"/>
        </w:rPr>
        <w:t>Leuz, C., Nanda, D., &amp; Wysocki, P. D. (2003). Earnings management and investor protection: an international comparison. Journal of Financial Economics, 69(3), 505-527. https://doi.org/10.1016/S0304-405X(03)00121-1</w:t>
      </w:r>
    </w:p>
    <w:p>
      <w:pPr>
        <w:pStyle w:val="style66"/>
        <w:jc w:val="both"/>
        <w:rPr>
          <w:rFonts w:ascii="Times New Roman" w:cs="Times New Roman" w:hAnsi="Times New Roman"/>
          <w:color w:val="36363d"/>
        </w:rPr>
      </w:pPr>
      <w:r>
        <w:rPr>
          <w:rFonts w:ascii="Times New Roman" w:cs="Times New Roman" w:hAnsi="Times New Roman"/>
          <w:color w:val="36363d"/>
          <w:lang w:val="en-US"/>
        </w:rPr>
        <w:t>Roychowdhury, S. (2006). Earnings management through real activities manipulation. Journal of Accounting and Economics, 42(3), 335-370. https://doi.org/10.1016/j.jacceco.2006.01.002</w:t>
      </w:r>
    </w:p>
    <w:p>
      <w:pPr>
        <w:pStyle w:val="style66"/>
        <w:jc w:val="both"/>
        <w:rPr>
          <w:rFonts w:ascii="Times New Roman" w:cs="Times New Roman" w:hAnsi="Times New Roman"/>
          <w:color w:val="36363d"/>
        </w:rPr>
      </w:pPr>
      <w:r>
        <w:rPr>
          <w:rFonts w:ascii="Times New Roman" w:cs="Times New Roman" w:hAnsi="Times New Roman"/>
          <w:color w:val="36363d"/>
          <w:lang w:val="en-US"/>
        </w:rPr>
        <w:t>Spence, M. (1973). Job market signaling. The Quarterly Journal of Economics, 87(3), 355-374. https://doi.org/10.2307/1882010</w:t>
      </w:r>
    </w:p>
    <w:p>
      <w:pPr>
        <w:pStyle w:val="style66"/>
        <w:jc w:val="both"/>
        <w:rPr>
          <w:rFonts w:ascii="Times New Roman" w:cs="Times New Roman" w:hAnsi="Times New Roman"/>
          <w:color w:val="36363d"/>
        </w:rPr>
      </w:pPr>
      <w:r>
        <w:rPr>
          <w:rFonts w:ascii="Times New Roman" w:cs="Times New Roman" w:hAnsi="Times New Roman"/>
          <w:color w:val="36363d"/>
          <w:lang w:val="en-US"/>
        </w:rPr>
        <w:t>Watts, R. L., &amp; Zimmerman, J. L. (1978). Towards a positive theory of the determination of accounting standards. The Accounting Review, 53(1), 112-134. https://www.jstor.org/stable/245729</w:t>
      </w:r>
    </w:p>
    <w:p>
      <w:pPr>
        <w:pStyle w:val="style66"/>
        <w:jc w:val="both"/>
        <w:rPr>
          <w:rFonts w:ascii="Times New Roman" w:cs="Times New Roman" w:hAnsi="Times New Roman"/>
          <w:color w:val="36363d"/>
        </w:rPr>
      </w:pPr>
      <w:r>
        <w:rPr>
          <w:rFonts w:ascii="Times New Roman" w:cs="Times New Roman" w:hAnsi="Times New Roman"/>
          <w:color w:val="36363d"/>
          <w:lang w:val="en-US"/>
        </w:rPr>
        <w:t>Watts, R. L., &amp; Zimmerman, J. L. (1986). Positive Accounting Theory. Prentice-Hall.</w:t>
      </w:r>
    </w:p>
    <w:p>
      <w:pPr>
        <w:pStyle w:val="style66"/>
        <w:jc w:val="both"/>
        <w:rPr>
          <w:rFonts w:ascii="Times New Roman" w:cs="Times New Roman" w:hAnsi="Times New Roman"/>
          <w:color w:val="36363d"/>
        </w:rPr>
      </w:pPr>
      <w:r>
        <w:rPr>
          <w:rFonts w:ascii="Times New Roman" w:cs="Times New Roman" w:hAnsi="Times New Roman"/>
          <w:color w:val="36363d"/>
          <w:lang w:val="en-US"/>
        </w:rPr>
        <w:t>Zang, A. Y. (2012). Evidence on the trade-off between real activities manipulation and accrual-based earnings management. The Accounting Review, 87(2), 675-703. https://doi.org/10.2308/accr-10196</w:t>
      </w:r>
    </w:p>
    <w:p>
      <w:pPr>
        <w:pStyle w:val="style66"/>
        <w:jc w:val="both"/>
        <w:rPr>
          <w:rFonts w:ascii="Times New Roman" w:cs="Times New Roman" w:hAnsi="Times New Roman"/>
          <w:color w:val="36363d"/>
        </w:rPr>
      </w:pPr>
    </w:p>
    <w:p>
      <w:pPr>
        <w:pStyle w:val="style66"/>
        <w:jc w:val="both"/>
        <w:rPr>
          <w:rFonts w:ascii="Times New Roman" w:cs="Times New Roman" w:hAnsi="Times New Roman"/>
          <w:color w:val="36363d"/>
        </w:rPr>
      </w:pPr>
    </w:p>
    <w:sectPr>
      <w:headerReference w:type="even" r:id="rId2"/>
      <w:headerReference w:type="default" r:id="rId3"/>
      <w:footerReference w:type="even" r:id="rId4"/>
      <w:footerReference w:type="default" r:id="rId5"/>
      <w:headerReference w:type="first" r:id="rId6"/>
      <w:pgSz w:w="11906" w:h="16838"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000030204"/>
    <w:charset w:val="00"/>
    <w:family w:val="roman"/>
    <w:pitch w:val="variable"/>
    <w:sig w:usb0="E00006FF" w:usb1="420024FF" w:usb2="02000000"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onsolas">
    <w:altName w:val="Consolas"/>
    <w:panose1 w:val="020b0609020000030204"/>
    <w:charset w:val="00"/>
    <w:family w:val="modern"/>
    <w:pitch w:val="fixed"/>
    <w:sig w:usb0="E00006FF" w:usb1="0000FCFF" w:usb2="00000001" w:usb3="00000000" w:csb0="0000019F" w:csb1="00000000"/>
  </w:font>
  <w:font w:name="宋体">
    <w:altName w:val="Wingdings 2"/>
    <w:panose1 w:val="05020102010007070707"/>
    <w:charset w:val="02"/>
    <w:family w:val="roman"/>
    <w:pitch w:val="default"/>
    <w:sig w:usb0="00000000" w:usb1="10000000" w:usb2="00000000" w:usb3="00000000" w:csb0="80000000"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20.4pt;height:65.0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mbri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20.4pt;height:65.0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mbria&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20.4pt;height:65.0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mbria&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68BE487E"/>
    <w:lvl w:ilvl="0">
      <w:start w:val="2"/>
      <w:numFmt w:val="decimal"/>
      <w:lvlText w:val="%1."/>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SimSun" w:eastAsia="Cambria" w:hAnsi="Cambria"/>
        <w:lang w:val="en-GB" w:bidi="ar-SA" w:eastAsia="en-GB"/>
      </w:rPr>
    </w:rPrDefault>
    <w:pPrDefault>
      <w:pPr/>
    </w:pPrDefault>
  </w:docDefaults>
  <w:style w:type="paragraph" w:default="1" w:styleId="style0">
    <w:name w:val="Normal"/>
    <w:next w:val="style0"/>
    <w:qFormat/>
    <w:pPr>
      <w:spacing w:after="200"/>
    </w:pPr>
    <w:rPr>
      <w:sz w:val="24"/>
      <w:szCs w:val="24"/>
      <w:lang w:val="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84">
    <w:name w:val="Block Text"/>
    <w:basedOn w:val="style66"/>
    <w:next w:val="style66"/>
    <w:qFormat/>
    <w:uiPriority w:val="9"/>
    <w:pPr>
      <w:spacing w:before="100" w:after="100"/>
      <w:ind w:left="480" w:right="480"/>
    </w:pPr>
    <w:rPr/>
  </w:style>
  <w:style w:type="paragraph" w:styleId="style66">
    <w:name w:val="Body Text"/>
    <w:basedOn w:val="style0"/>
    <w:next w:val="style66"/>
    <w:link w:val="style4097"/>
    <w:qFormat/>
    <w:pPr>
      <w:spacing w:before="180" w:after="180"/>
    </w:pPr>
    <w:rPr/>
  </w:style>
  <w:style w:type="paragraph" w:styleId="style76">
    <w:name w:val="Date"/>
    <w:next w:val="style66"/>
    <w:qFormat/>
    <w:pPr>
      <w:keepNext/>
      <w:keepLines/>
      <w:spacing w:after="200"/>
      <w:jc w:val="center"/>
    </w:pPr>
    <w:rPr>
      <w:sz w:val="24"/>
      <w:szCs w:val="24"/>
      <w:lang w:val="en-US" w:eastAsia="en-US"/>
    </w:rPr>
  </w:style>
  <w:style w:type="paragraph" w:styleId="style74">
    <w:name w:val="Subtitle"/>
    <w:basedOn w:val="style62"/>
    <w:next w:val="style66"/>
    <w:qFormat/>
    <w:uiPriority w:val="11"/>
    <w:pPr>
      <w:spacing w:before="240"/>
    </w:pPr>
    <w:rPr>
      <w:sz w:val="30"/>
      <w:szCs w:val="30"/>
    </w:rPr>
  </w:style>
  <w:style w:type="paragraph" w:styleId="style62">
    <w:name w:val="Title"/>
    <w:basedOn w:val="style0"/>
    <w:next w:val="style66"/>
    <w:qFormat/>
    <w:uiPriority w:val="10"/>
    <w:pPr>
      <w:keepNext/>
      <w:keepLines/>
      <w:spacing w:before="480" w:after="240"/>
      <w:jc w:val="center"/>
    </w:pPr>
    <w:rPr>
      <w:rFonts w:ascii="Calibri" w:eastAsia="SimSun" w:hAnsi="Calibri"/>
      <w:b/>
      <w:bCs/>
      <w:color w:val="345a8a"/>
      <w:sz w:val="36"/>
      <w:szCs w:val="36"/>
    </w:rPr>
  </w:style>
  <w:style w:type="character" w:styleId="style85">
    <w:name w:val="Hyperlink"/>
    <w:basedOn w:val="style4097"/>
    <w:next w:val="style85"/>
    <w:qFormat/>
    <w:rPr>
      <w:color w:val="4f81bd"/>
    </w:rPr>
  </w:style>
  <w:style w:type="character" w:customStyle="1" w:styleId="style4097">
    <w:name w:val="Body Text Char"/>
    <w:basedOn w:val="style65"/>
    <w:next w:val="style4097"/>
    <w:link w:val="style66"/>
    <w:qFormat/>
  </w:style>
  <w:style w:type="table" w:styleId="style154">
    <w:name w:val="Table Grid"/>
    <w:basedOn w:val="style105"/>
    <w:next w:val="style154"/>
    <w:qFormat/>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67">
    <w:name w:val="Medium Grid 3"/>
    <w:basedOn w:val="style105"/>
    <w:next w:val="style167"/>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customStyle="1" w:styleId="style4098">
    <w:name w:val="First Paragraph"/>
    <w:basedOn w:val="style66"/>
    <w:next w:val="style66"/>
    <w:qFormat/>
    <w:pPr/>
  </w:style>
  <w:style w:type="paragraph" w:customStyle="1" w:styleId="style4099">
    <w:name w:val="Compact"/>
    <w:basedOn w:val="style66"/>
    <w:next w:val="style4099"/>
    <w:qFormat/>
    <w:pPr>
      <w:spacing w:before="36" w:after="36"/>
    </w:pPr>
    <w:rPr/>
  </w:style>
  <w:style w:type="paragraph" w:customStyle="1" w:styleId="style4100">
    <w:name w:val="Author"/>
    <w:next w:val="style66"/>
    <w:qFormat/>
    <w:pPr>
      <w:keepNext/>
      <w:keepLines/>
      <w:spacing w:after="200"/>
      <w:jc w:val="center"/>
    </w:pPr>
    <w:rPr>
      <w:sz w:val="24"/>
      <w:szCs w:val="24"/>
      <w:lang w:val="en-US" w:eastAsia="en-US"/>
    </w:rPr>
  </w:style>
  <w:style w:type="paragraph" w:customStyle="1" w:styleId="style4101">
    <w:name w:val="Abstract Title"/>
    <w:basedOn w:val="style0"/>
    <w:next w:val="style4102"/>
    <w:qFormat/>
    <w:pPr>
      <w:keepNext/>
      <w:keepLines/>
      <w:spacing w:before="300" w:after="0"/>
      <w:jc w:val="center"/>
    </w:pPr>
    <w:rPr>
      <w:b/>
      <w:color w:val="345a8a"/>
      <w:sz w:val="20"/>
      <w:szCs w:val="20"/>
    </w:rPr>
  </w:style>
  <w:style w:type="paragraph" w:customStyle="1" w:styleId="style4102">
    <w:name w:val="Abstract"/>
    <w:basedOn w:val="style0"/>
    <w:next w:val="style66"/>
    <w:qFormat/>
    <w:pPr>
      <w:keepNext/>
      <w:keepLines/>
      <w:spacing w:before="100" w:after="300"/>
    </w:pPr>
    <w:rPr>
      <w:sz w:val="20"/>
      <w:szCs w:val="20"/>
    </w:rPr>
  </w:style>
  <w:style w:type="paragraph" w:customStyle="1" w:styleId="style4103">
    <w:name w:val="Bibliography_d1f5c6c1-11c4-42ad-ae02-760496dab324"/>
    <w:basedOn w:val="style0"/>
    <w:next w:val="style4103"/>
    <w:qFormat/>
    <w:pPr/>
  </w:style>
  <w:style w:type="paragraph" w:customStyle="1" w:styleId="style4104">
    <w:name w:val="Heading 11"/>
    <w:basedOn w:val="style0"/>
    <w:next w:val="style66"/>
    <w:qFormat/>
    <w:uiPriority w:val="9"/>
    <w:pPr>
      <w:keepNext/>
      <w:keepLines/>
      <w:spacing w:before="480" w:after="0"/>
      <w:outlineLvl w:val="0"/>
    </w:pPr>
    <w:rPr>
      <w:rFonts w:ascii="Calibri" w:eastAsia="SimSun" w:hAnsi="Calibri"/>
      <w:b/>
      <w:bCs/>
      <w:color w:val="4f81bd"/>
      <w:sz w:val="32"/>
      <w:szCs w:val="32"/>
    </w:rPr>
  </w:style>
  <w:style w:type="paragraph" w:customStyle="1" w:styleId="style4105">
    <w:name w:val="Heading 21"/>
    <w:basedOn w:val="style0"/>
    <w:next w:val="style66"/>
    <w:qFormat/>
    <w:uiPriority w:val="9"/>
    <w:pPr>
      <w:keepNext/>
      <w:keepLines/>
      <w:spacing w:before="200" w:after="0"/>
      <w:outlineLvl w:val="1"/>
    </w:pPr>
    <w:rPr>
      <w:rFonts w:ascii="Calibri" w:eastAsia="SimSun" w:hAnsi="Calibri"/>
      <w:b/>
      <w:bCs/>
      <w:color w:val="4f81bd"/>
      <w:sz w:val="28"/>
      <w:szCs w:val="28"/>
    </w:rPr>
  </w:style>
  <w:style w:type="paragraph" w:customStyle="1" w:styleId="style4106">
    <w:name w:val="Heading 31"/>
    <w:basedOn w:val="style0"/>
    <w:next w:val="style66"/>
    <w:qFormat/>
    <w:uiPriority w:val="9"/>
    <w:pPr>
      <w:keepNext/>
      <w:keepLines/>
      <w:spacing w:before="200" w:after="0"/>
      <w:outlineLvl w:val="2"/>
    </w:pPr>
    <w:rPr>
      <w:rFonts w:ascii="Calibri" w:eastAsia="SimSun" w:hAnsi="Calibri"/>
      <w:b/>
      <w:bCs/>
      <w:color w:val="4f81bd"/>
    </w:rPr>
  </w:style>
  <w:style w:type="paragraph" w:customStyle="1" w:styleId="style4107">
    <w:name w:val="Heading 41"/>
    <w:basedOn w:val="style0"/>
    <w:next w:val="style66"/>
    <w:qFormat/>
    <w:uiPriority w:val="9"/>
    <w:pPr>
      <w:keepNext/>
      <w:keepLines/>
      <w:spacing w:before="200" w:after="0"/>
      <w:outlineLvl w:val="3"/>
    </w:pPr>
    <w:rPr>
      <w:rFonts w:ascii="Calibri" w:eastAsia="SimSun" w:hAnsi="Calibri"/>
      <w:bCs/>
      <w:i/>
      <w:color w:val="4f81bd"/>
    </w:rPr>
  </w:style>
  <w:style w:type="paragraph" w:customStyle="1" w:styleId="style4108">
    <w:name w:val="Heading 51"/>
    <w:basedOn w:val="style0"/>
    <w:next w:val="style66"/>
    <w:qFormat/>
    <w:uiPriority w:val="9"/>
    <w:pPr>
      <w:keepNext/>
      <w:keepLines/>
      <w:spacing w:before="200" w:after="0"/>
      <w:outlineLvl w:val="4"/>
    </w:pPr>
    <w:rPr>
      <w:rFonts w:ascii="Calibri" w:eastAsia="SimSun" w:hAnsi="Calibri"/>
      <w:iCs/>
      <w:color w:val="4f81bd"/>
    </w:rPr>
  </w:style>
  <w:style w:type="paragraph" w:customStyle="1" w:styleId="style4109">
    <w:name w:val="Heading 61"/>
    <w:basedOn w:val="style0"/>
    <w:next w:val="style66"/>
    <w:qFormat/>
    <w:uiPriority w:val="9"/>
    <w:pPr>
      <w:keepNext/>
      <w:keepLines/>
      <w:spacing w:before="200" w:after="0"/>
      <w:outlineLvl w:val="5"/>
    </w:pPr>
    <w:rPr>
      <w:rFonts w:ascii="Calibri" w:eastAsia="SimSun" w:hAnsi="Calibri"/>
      <w:color w:val="4f81bd"/>
    </w:rPr>
  </w:style>
  <w:style w:type="paragraph" w:customStyle="1" w:styleId="style4110">
    <w:name w:val="Heading 71"/>
    <w:basedOn w:val="style0"/>
    <w:next w:val="style66"/>
    <w:qFormat/>
    <w:uiPriority w:val="9"/>
    <w:pPr>
      <w:keepNext/>
      <w:keepLines/>
      <w:spacing w:before="200" w:after="0"/>
      <w:outlineLvl w:val="6"/>
    </w:pPr>
    <w:rPr>
      <w:rFonts w:ascii="Calibri" w:eastAsia="SimSun" w:hAnsi="Calibri"/>
      <w:color w:val="4f81bd"/>
    </w:rPr>
  </w:style>
  <w:style w:type="paragraph" w:customStyle="1" w:styleId="style4111">
    <w:name w:val="Heading 81"/>
    <w:basedOn w:val="style0"/>
    <w:next w:val="style66"/>
    <w:qFormat/>
    <w:uiPriority w:val="9"/>
    <w:pPr>
      <w:keepNext/>
      <w:keepLines/>
      <w:spacing w:before="200" w:after="0"/>
      <w:outlineLvl w:val="7"/>
    </w:pPr>
    <w:rPr>
      <w:rFonts w:ascii="Calibri" w:eastAsia="SimSun" w:hAnsi="Calibri"/>
      <w:color w:val="4f81bd"/>
    </w:rPr>
  </w:style>
  <w:style w:type="paragraph" w:customStyle="1" w:styleId="style4112">
    <w:name w:val="Heading 91"/>
    <w:basedOn w:val="style0"/>
    <w:next w:val="style66"/>
    <w:qFormat/>
    <w:uiPriority w:val="9"/>
    <w:pPr>
      <w:keepNext/>
      <w:keepLines/>
      <w:spacing w:before="200" w:after="0"/>
      <w:outlineLvl w:val="8"/>
    </w:pPr>
    <w:rPr>
      <w:rFonts w:ascii="Calibri" w:eastAsia="SimSun" w:hAnsi="Calibri"/>
      <w:color w:val="4f81bd"/>
    </w:rPr>
  </w:style>
  <w:style w:type="paragraph" w:customStyle="1" w:styleId="style4113">
    <w:name w:val="Footnote Text1"/>
    <w:basedOn w:val="style0"/>
    <w:next w:val="style4113"/>
    <w:qFormat/>
    <w:uiPriority w:val="9"/>
    <w:pPr/>
  </w:style>
  <w:style w:type="table" w:customStyle="1" w:styleId="style4114">
    <w:name w:val="Table"/>
    <w:next w:val="style4114"/>
    <w:qFormat/>
    <w:pPr/>
    <w:rPr/>
    <w:tblPr>
      <w:tblCellMar>
        <w:top w:w="0" w:type="dxa"/>
        <w:left w:w="108" w:type="dxa"/>
        <w:bottom w:w="0" w:type="dxa"/>
        <w:right w:w="108" w:type="dxa"/>
      </w:tblCellMar>
    </w:tblPr>
    <w:tblStylePr w:type="firstRow">
      <w:pPr/>
      <w:tblPr/>
      <w:tcPr>
        <w:tcBorders>
          <w:bottom w:val="single" w:sz="4" w:space="0" w:color="auto"/>
        </w:tcBorders>
        <w:vAlign w:val="bottom"/>
      </w:tcPr>
    </w:tblStylePr>
    <w:tcPr>
      <w:tcBorders/>
    </w:tcPr>
  </w:style>
  <w:style w:type="paragraph" w:customStyle="1" w:styleId="style4115">
    <w:name w:val="Definition Term"/>
    <w:basedOn w:val="style0"/>
    <w:next w:val="style4116"/>
    <w:pPr>
      <w:keepNext/>
      <w:keepLines/>
      <w:spacing w:after="0"/>
    </w:pPr>
    <w:rPr>
      <w:b/>
    </w:rPr>
  </w:style>
  <w:style w:type="paragraph" w:customStyle="1" w:styleId="style4116">
    <w:name w:val="Definition"/>
    <w:basedOn w:val="style0"/>
    <w:next w:val="style4116"/>
    <w:qFormat/>
    <w:pPr/>
  </w:style>
  <w:style w:type="paragraph" w:customStyle="1" w:styleId="style4117">
    <w:name w:val="Caption1"/>
    <w:basedOn w:val="style0"/>
    <w:next w:val="style4117"/>
    <w:pPr>
      <w:spacing w:after="120"/>
    </w:pPr>
    <w:rPr>
      <w:i/>
    </w:rPr>
  </w:style>
  <w:style w:type="paragraph" w:customStyle="1" w:styleId="style4118">
    <w:name w:val="Table Caption"/>
    <w:basedOn w:val="style4117"/>
    <w:next w:val="style4118"/>
    <w:pPr>
      <w:keepNext/>
    </w:pPr>
    <w:rPr/>
  </w:style>
  <w:style w:type="paragraph" w:customStyle="1" w:styleId="style4119">
    <w:name w:val="Image Caption"/>
    <w:basedOn w:val="style4117"/>
    <w:next w:val="style4119"/>
    <w:qFormat/>
    <w:pPr/>
  </w:style>
  <w:style w:type="paragraph" w:customStyle="1" w:styleId="style4120">
    <w:name w:val="Figure"/>
    <w:basedOn w:val="style0"/>
    <w:next w:val="style4120"/>
    <w:qFormat/>
    <w:pPr/>
  </w:style>
  <w:style w:type="paragraph" w:customStyle="1" w:styleId="style4121">
    <w:name w:val="Captioned Figure"/>
    <w:basedOn w:val="style4120"/>
    <w:next w:val="style4121"/>
    <w:qFormat/>
    <w:pPr>
      <w:keepNext/>
    </w:pPr>
    <w:rPr/>
  </w:style>
  <w:style w:type="character" w:customStyle="1" w:styleId="style4122">
    <w:name w:val="Verbatim Char"/>
    <w:basedOn w:val="style4097"/>
    <w:next w:val="style4122"/>
    <w:link w:val="style4123"/>
    <w:qFormat/>
    <w:rPr>
      <w:rFonts w:ascii="Consolas" w:hAnsi="Consolas"/>
      <w:sz w:val="22"/>
    </w:rPr>
  </w:style>
  <w:style w:type="paragraph" w:customStyle="1" w:styleId="style4123">
    <w:name w:val="Source Code"/>
    <w:basedOn w:val="style0"/>
    <w:next w:val="style4123"/>
    <w:link w:val="style4122"/>
    <w:pPr>
      <w:wordWrap w:val="false"/>
    </w:pPr>
    <w:rPr/>
  </w:style>
  <w:style w:type="character" w:customStyle="1" w:styleId="style4124">
    <w:name w:val="Section Number"/>
    <w:basedOn w:val="style4097"/>
    <w:next w:val="style4124"/>
    <w:qFormat/>
  </w:style>
  <w:style w:type="character" w:customStyle="1" w:styleId="style4125">
    <w:name w:val="Footnote Reference1"/>
    <w:basedOn w:val="style4097"/>
    <w:next w:val="style4125"/>
    <w:rPr>
      <w:vertAlign w:val="superscript"/>
    </w:rPr>
  </w:style>
  <w:style w:type="paragraph" w:customStyle="1" w:styleId="style4126">
    <w:name w:val="TOC Heading_24a7777a-90ca-4f5f-aa4a-9ef4f1af1865"/>
    <w:basedOn w:val="style4104"/>
    <w:next w:val="style66"/>
    <w:qFormat/>
    <w:uiPriority w:val="39"/>
    <w:pPr>
      <w:spacing w:before="240" w:lineRule="auto" w:line="259"/>
      <w:outlineLvl w:val="9"/>
    </w:pPr>
    <w:rPr>
      <w:b w:val="false"/>
      <w:bCs w:val="false"/>
      <w:color w:val="365f91"/>
    </w:rPr>
  </w:style>
  <w:style w:type="character" w:customStyle="1" w:styleId="style4127">
    <w:name w:val="KeywordTok"/>
    <w:basedOn w:val="style4122"/>
    <w:next w:val="style4127"/>
    <w:rPr>
      <w:rFonts w:ascii="Consolas" w:hAnsi="Consolas"/>
      <w:b/>
      <w:color w:val="007020"/>
      <w:sz w:val="22"/>
    </w:rPr>
  </w:style>
  <w:style w:type="character" w:customStyle="1" w:styleId="style4128">
    <w:name w:val="DataTypeTok"/>
    <w:basedOn w:val="style4122"/>
    <w:next w:val="style4128"/>
    <w:qFormat/>
    <w:rPr>
      <w:rFonts w:ascii="Consolas" w:hAnsi="Consolas"/>
      <w:color w:val="902000"/>
      <w:sz w:val="22"/>
    </w:rPr>
  </w:style>
  <w:style w:type="character" w:customStyle="1" w:styleId="style4129">
    <w:name w:val="DecValTok"/>
    <w:basedOn w:val="style4122"/>
    <w:next w:val="style4129"/>
    <w:rPr>
      <w:rFonts w:ascii="Consolas" w:hAnsi="Consolas"/>
      <w:color w:val="40a070"/>
      <w:sz w:val="22"/>
    </w:rPr>
  </w:style>
  <w:style w:type="character" w:customStyle="1" w:styleId="style4130">
    <w:name w:val="BaseNTok"/>
    <w:basedOn w:val="style4122"/>
    <w:next w:val="style4130"/>
    <w:qFormat/>
    <w:rPr>
      <w:rFonts w:ascii="Consolas" w:hAnsi="Consolas"/>
      <w:color w:val="40a070"/>
      <w:sz w:val="22"/>
    </w:rPr>
  </w:style>
  <w:style w:type="character" w:customStyle="1" w:styleId="style4131">
    <w:name w:val="FloatTok"/>
    <w:basedOn w:val="style4122"/>
    <w:next w:val="style4131"/>
    <w:qFormat/>
    <w:rPr>
      <w:rFonts w:ascii="Consolas" w:hAnsi="Consolas"/>
      <w:color w:val="40a070"/>
      <w:sz w:val="22"/>
    </w:rPr>
  </w:style>
  <w:style w:type="character" w:customStyle="1" w:styleId="style4132">
    <w:name w:val="ConstantTok"/>
    <w:basedOn w:val="style4122"/>
    <w:next w:val="style4132"/>
    <w:rPr>
      <w:rFonts w:ascii="Consolas" w:hAnsi="Consolas"/>
      <w:color w:val="880000"/>
      <w:sz w:val="22"/>
    </w:rPr>
  </w:style>
  <w:style w:type="character" w:customStyle="1" w:styleId="style4133">
    <w:name w:val="CharTok"/>
    <w:basedOn w:val="style4122"/>
    <w:next w:val="style4133"/>
    <w:qFormat/>
    <w:rPr>
      <w:rFonts w:ascii="Consolas" w:hAnsi="Consolas"/>
      <w:color w:val="4070a0"/>
      <w:sz w:val="22"/>
    </w:rPr>
  </w:style>
  <w:style w:type="character" w:customStyle="1" w:styleId="style4134">
    <w:name w:val="SpecialCharTok"/>
    <w:basedOn w:val="style4122"/>
    <w:next w:val="style4134"/>
    <w:qFormat/>
    <w:rPr>
      <w:rFonts w:ascii="Consolas" w:hAnsi="Consolas"/>
      <w:color w:val="4070a0"/>
      <w:sz w:val="22"/>
    </w:rPr>
  </w:style>
  <w:style w:type="character" w:customStyle="1" w:styleId="style4135">
    <w:name w:val="StringTok"/>
    <w:basedOn w:val="style4122"/>
    <w:next w:val="style4135"/>
    <w:qFormat/>
    <w:rPr>
      <w:rFonts w:ascii="Consolas" w:hAnsi="Consolas"/>
      <w:color w:val="4070a0"/>
      <w:sz w:val="22"/>
    </w:rPr>
  </w:style>
  <w:style w:type="character" w:customStyle="1" w:styleId="style4136">
    <w:name w:val="VerbatimStringTok"/>
    <w:basedOn w:val="style4122"/>
    <w:next w:val="style4136"/>
    <w:qFormat/>
    <w:rPr>
      <w:rFonts w:ascii="Consolas" w:hAnsi="Consolas"/>
      <w:color w:val="4070a0"/>
      <w:sz w:val="22"/>
    </w:rPr>
  </w:style>
  <w:style w:type="character" w:customStyle="1" w:styleId="style4137">
    <w:name w:val="SpecialStringTok"/>
    <w:basedOn w:val="style4122"/>
    <w:next w:val="style4137"/>
    <w:qFormat/>
    <w:rPr>
      <w:rFonts w:ascii="Consolas" w:hAnsi="Consolas"/>
      <w:color w:val="bb6688"/>
      <w:sz w:val="22"/>
    </w:rPr>
  </w:style>
  <w:style w:type="character" w:customStyle="1" w:styleId="style4138">
    <w:name w:val="ImportTok"/>
    <w:basedOn w:val="style4122"/>
    <w:next w:val="style4138"/>
    <w:qFormat/>
    <w:rPr>
      <w:rFonts w:ascii="Consolas" w:hAnsi="Consolas"/>
      <w:b/>
      <w:color w:val="008000"/>
      <w:sz w:val="22"/>
    </w:rPr>
  </w:style>
  <w:style w:type="character" w:customStyle="1" w:styleId="style4139">
    <w:name w:val="CommentTok"/>
    <w:basedOn w:val="style4122"/>
    <w:next w:val="style4139"/>
    <w:qFormat/>
    <w:rPr>
      <w:rFonts w:ascii="Consolas" w:hAnsi="Consolas"/>
      <w:i/>
      <w:color w:val="60a0b0"/>
      <w:sz w:val="22"/>
    </w:rPr>
  </w:style>
  <w:style w:type="character" w:customStyle="1" w:styleId="style4140">
    <w:name w:val="DocumentationTok"/>
    <w:basedOn w:val="style4122"/>
    <w:next w:val="style4140"/>
    <w:qFormat/>
    <w:rPr>
      <w:rFonts w:ascii="Consolas" w:hAnsi="Consolas"/>
      <w:i/>
      <w:color w:val="ba2121"/>
      <w:sz w:val="22"/>
    </w:rPr>
  </w:style>
  <w:style w:type="character" w:customStyle="1" w:styleId="style4141">
    <w:name w:val="AnnotationTok"/>
    <w:basedOn w:val="style4122"/>
    <w:next w:val="style4141"/>
    <w:rPr>
      <w:rFonts w:ascii="Consolas" w:hAnsi="Consolas"/>
      <w:b/>
      <w:i/>
      <w:color w:val="60a0b0"/>
      <w:sz w:val="22"/>
    </w:rPr>
  </w:style>
  <w:style w:type="character" w:customStyle="1" w:styleId="style4142">
    <w:name w:val="CommentVarTok"/>
    <w:basedOn w:val="style4122"/>
    <w:next w:val="style4142"/>
    <w:rPr>
      <w:rFonts w:ascii="Consolas" w:hAnsi="Consolas"/>
      <w:b/>
      <w:i/>
      <w:color w:val="60a0b0"/>
      <w:sz w:val="22"/>
    </w:rPr>
  </w:style>
  <w:style w:type="character" w:customStyle="1" w:styleId="style4143">
    <w:name w:val="OtherTok"/>
    <w:basedOn w:val="style4122"/>
    <w:next w:val="style4143"/>
    <w:rPr>
      <w:rFonts w:ascii="Consolas" w:hAnsi="Consolas"/>
      <w:color w:val="007020"/>
      <w:sz w:val="22"/>
    </w:rPr>
  </w:style>
  <w:style w:type="character" w:customStyle="1" w:styleId="style4144">
    <w:name w:val="FunctionTok"/>
    <w:basedOn w:val="style4122"/>
    <w:next w:val="style4144"/>
    <w:qFormat/>
    <w:rPr>
      <w:rFonts w:ascii="Consolas" w:hAnsi="Consolas"/>
      <w:color w:val="06287e"/>
      <w:sz w:val="22"/>
    </w:rPr>
  </w:style>
  <w:style w:type="character" w:customStyle="1" w:styleId="style4145">
    <w:name w:val="VariableTok"/>
    <w:basedOn w:val="style4122"/>
    <w:next w:val="style4145"/>
    <w:rPr>
      <w:rFonts w:ascii="Consolas" w:hAnsi="Consolas"/>
      <w:color w:val="19177c"/>
      <w:sz w:val="22"/>
    </w:rPr>
  </w:style>
  <w:style w:type="character" w:customStyle="1" w:styleId="style4146">
    <w:name w:val="ControlFlowTok"/>
    <w:basedOn w:val="style4122"/>
    <w:next w:val="style4146"/>
    <w:qFormat/>
    <w:rPr>
      <w:rFonts w:ascii="Consolas" w:hAnsi="Consolas"/>
      <w:b/>
      <w:color w:val="007020"/>
      <w:sz w:val="22"/>
    </w:rPr>
  </w:style>
  <w:style w:type="character" w:customStyle="1" w:styleId="style4147">
    <w:name w:val="OperatorTok"/>
    <w:basedOn w:val="style4122"/>
    <w:next w:val="style4147"/>
    <w:qFormat/>
    <w:rPr>
      <w:rFonts w:ascii="Consolas" w:hAnsi="Consolas"/>
      <w:color w:val="666666"/>
      <w:sz w:val="22"/>
    </w:rPr>
  </w:style>
  <w:style w:type="character" w:customStyle="1" w:styleId="style4148">
    <w:name w:val="BuiltInTok"/>
    <w:basedOn w:val="style4122"/>
    <w:next w:val="style4148"/>
    <w:qFormat/>
    <w:rPr>
      <w:rFonts w:ascii="Consolas" w:hAnsi="Consolas"/>
      <w:color w:val="008000"/>
      <w:sz w:val="22"/>
    </w:rPr>
  </w:style>
  <w:style w:type="character" w:customStyle="1" w:styleId="style4149">
    <w:name w:val="ExtensionTok"/>
    <w:basedOn w:val="style4122"/>
    <w:next w:val="style4149"/>
    <w:qFormat/>
    <w:rPr>
      <w:rFonts w:ascii="Consolas" w:hAnsi="Consolas"/>
      <w:sz w:val="22"/>
    </w:rPr>
  </w:style>
  <w:style w:type="character" w:customStyle="1" w:styleId="style4150">
    <w:name w:val="PreprocessorTok"/>
    <w:basedOn w:val="style4122"/>
    <w:next w:val="style4150"/>
    <w:qFormat/>
    <w:rPr>
      <w:rFonts w:ascii="Consolas" w:hAnsi="Consolas"/>
      <w:color w:val="bc7a00"/>
      <w:sz w:val="22"/>
    </w:rPr>
  </w:style>
  <w:style w:type="character" w:customStyle="1" w:styleId="style4151">
    <w:name w:val="AttributeTok"/>
    <w:basedOn w:val="style4122"/>
    <w:next w:val="style4151"/>
    <w:qFormat/>
    <w:rPr>
      <w:rFonts w:ascii="Consolas" w:hAnsi="Consolas"/>
      <w:color w:val="7d9029"/>
      <w:sz w:val="22"/>
    </w:rPr>
  </w:style>
  <w:style w:type="character" w:customStyle="1" w:styleId="style4152">
    <w:name w:val="RegionMarkerTok"/>
    <w:basedOn w:val="style4122"/>
    <w:next w:val="style4152"/>
    <w:rPr>
      <w:rFonts w:ascii="Consolas" w:hAnsi="Consolas"/>
      <w:sz w:val="22"/>
    </w:rPr>
  </w:style>
  <w:style w:type="character" w:customStyle="1" w:styleId="style4153">
    <w:name w:val="InformationTok"/>
    <w:basedOn w:val="style4122"/>
    <w:next w:val="style4153"/>
    <w:rPr>
      <w:rFonts w:ascii="Consolas" w:hAnsi="Consolas"/>
      <w:b/>
      <w:i/>
      <w:color w:val="60a0b0"/>
      <w:sz w:val="22"/>
    </w:rPr>
  </w:style>
  <w:style w:type="character" w:customStyle="1" w:styleId="style4154">
    <w:name w:val="WarningTok"/>
    <w:basedOn w:val="style4122"/>
    <w:next w:val="style4154"/>
    <w:rPr>
      <w:rFonts w:ascii="Consolas" w:hAnsi="Consolas"/>
      <w:b/>
      <w:i/>
      <w:color w:val="60a0b0"/>
      <w:sz w:val="22"/>
    </w:rPr>
  </w:style>
  <w:style w:type="character" w:customStyle="1" w:styleId="style4155">
    <w:name w:val="AlertTok"/>
    <w:basedOn w:val="style4122"/>
    <w:next w:val="style4155"/>
    <w:rPr>
      <w:rFonts w:ascii="Consolas" w:hAnsi="Consolas"/>
      <w:b/>
      <w:color w:val="ff0000"/>
      <w:sz w:val="22"/>
    </w:rPr>
  </w:style>
  <w:style w:type="character" w:customStyle="1" w:styleId="style4156">
    <w:name w:val="ErrorTok"/>
    <w:basedOn w:val="style4122"/>
    <w:next w:val="style4156"/>
    <w:rPr>
      <w:rFonts w:ascii="Consolas" w:hAnsi="Consolas"/>
      <w:b/>
      <w:color w:val="ff0000"/>
      <w:sz w:val="22"/>
    </w:rPr>
  </w:style>
  <w:style w:type="character" w:customStyle="1" w:styleId="style4157">
    <w:name w:val="NormalTok"/>
    <w:basedOn w:val="style4122"/>
    <w:next w:val="style4157"/>
    <w:rPr>
      <w:rFonts w:ascii="Consolas" w:hAnsi="Consolas"/>
      <w:sz w:val="22"/>
    </w:rPr>
  </w:style>
  <w:style w:type="character" w:customStyle="1" w:styleId="style4158">
    <w:name w:val="Unresolved Mention"/>
    <w:basedOn w:val="style65"/>
    <w:next w:val="style4158"/>
    <w:uiPriority w:val="99"/>
    <w:rPr>
      <w:color w:val="605e5c"/>
      <w:shd w:val="clear" w:color="auto" w:fill="e1dfdd"/>
    </w:rPr>
  </w:style>
  <w:style w:type="paragraph" w:styleId="style31">
    <w:name w:val="header"/>
    <w:basedOn w:val="style0"/>
    <w:next w:val="style31"/>
    <w:link w:val="style4159"/>
    <w:uiPriority w:val="99"/>
    <w:pPr>
      <w:tabs>
        <w:tab w:val="center" w:leader="none" w:pos="4680"/>
        <w:tab w:val="right" w:leader="none" w:pos="9360"/>
      </w:tabs>
      <w:spacing w:after="0"/>
    </w:pPr>
    <w:rPr/>
  </w:style>
  <w:style w:type="character" w:customStyle="1" w:styleId="style4159">
    <w:name w:val="Header Char_bd452839-5dc4-4e05-98e5-924561fd75e9"/>
    <w:basedOn w:val="style65"/>
    <w:next w:val="style4159"/>
    <w:link w:val="style31"/>
    <w:uiPriority w:val="99"/>
    <w:rPr>
      <w:sz w:val="24"/>
      <w:szCs w:val="24"/>
      <w:lang w:val="en-US" w:eastAsia="en-US"/>
    </w:rPr>
  </w:style>
  <w:style w:type="paragraph" w:styleId="style32">
    <w:name w:val="footer"/>
    <w:basedOn w:val="style0"/>
    <w:next w:val="style32"/>
    <w:link w:val="style4160"/>
    <w:uiPriority w:val="99"/>
    <w:pPr>
      <w:tabs>
        <w:tab w:val="center" w:leader="none" w:pos="4680"/>
        <w:tab w:val="right" w:leader="none" w:pos="9360"/>
      </w:tabs>
      <w:spacing w:after="0"/>
    </w:pPr>
    <w:rPr/>
  </w:style>
  <w:style w:type="character" w:customStyle="1" w:styleId="style4160">
    <w:name w:val="Footer Char_ec559f14-a584-4760-9492-3e36a3a18413"/>
    <w:basedOn w:val="style65"/>
    <w:next w:val="style4160"/>
    <w:link w:val="style32"/>
    <w:uiPriority w:val="99"/>
    <w:rPr>
      <w:sz w:val="24"/>
      <w:szCs w:val="24"/>
      <w:lang w:val="en-US" w:eastAsia="en-US"/>
    </w:rPr>
  </w:style>
  <w:style w:type="paragraph" w:styleId="style179">
    <w:name w:val="List Paragraph"/>
    <w:basedOn w:val="style0"/>
    <w:next w:val="style4094"/>
    <w:qFormat/>
    <w:pPr>
      <w:spacing w:before="0" w:after="200" w:lineRule="auto" w:line="276"/>
      <w:ind w:left="720" w:right="0"/>
    </w:pPr>
    <w:rPr>
      <w:rFonts w:ascii="Times New Roman" w:cs="Times New Roman" w:eastAsia="宋体" w:hAnsi="Times New Roman"/>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Words>6170</Words>
  <Pages>33</Pages>
  <Characters>38862</Characters>
  <Application>WPS Office</Application>
  <DocSecurity>0</DocSecurity>
  <Paragraphs>437</Paragraphs>
  <ScaleCrop>false</ScaleCrop>
  <LinksUpToDate>false</LinksUpToDate>
  <CharactersWithSpaces>44670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1970-01-01T02:00:00Z</dcterms:created>
  <dc:creator>WPS Office</dc:creator>
  <lastModifiedBy>itel A671L</lastModifiedBy>
  <dcterms:modified xsi:type="dcterms:W3CDTF">2025-09-28T17:37:59Z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978B2E42A809B4CA0C4ABE68E6BA8827_33</vt:lpwstr>
  </property>
  <property fmtid="{D5CDD505-2E9C-101B-9397-08002B2CF9AE}" pid="3" name="KSOProductBuildVer">
    <vt:lpwstr>3081-11.35.00</vt:lpwstr>
  </property>
</Properties>
</file>