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012B" w14:textId="77777777" w:rsidR="00591568" w:rsidRDefault="00591568" w:rsidP="006A5B13">
      <w:pPr>
        <w:spacing w:line="240" w:lineRule="auto"/>
        <w:jc w:val="right"/>
        <w:rPr>
          <w:rFonts w:ascii="Arial" w:hAnsi="Arial" w:cs="Arial"/>
          <w:b/>
          <w:sz w:val="36"/>
          <w:szCs w:val="36"/>
        </w:rPr>
      </w:pPr>
      <w:r w:rsidRPr="00591568">
        <w:rPr>
          <w:rFonts w:ascii="Arial" w:hAnsi="Arial" w:cs="Arial"/>
          <w:b/>
          <w:sz w:val="36"/>
          <w:szCs w:val="36"/>
        </w:rPr>
        <w:t xml:space="preserve">Original Research Article </w:t>
      </w:r>
    </w:p>
    <w:p w14:paraId="1C4B3FB1" w14:textId="77777777" w:rsidR="00992815" w:rsidRPr="00244BEE" w:rsidRDefault="00992815" w:rsidP="00992815">
      <w:pPr>
        <w:spacing w:line="240" w:lineRule="auto"/>
        <w:jc w:val="right"/>
        <w:rPr>
          <w:rFonts w:ascii="Arial" w:hAnsi="Arial" w:cs="Arial"/>
          <w:b/>
          <w:sz w:val="36"/>
          <w:szCs w:val="36"/>
        </w:rPr>
      </w:pPr>
      <w:r w:rsidRPr="00244BEE">
        <w:rPr>
          <w:rFonts w:ascii="Arial" w:hAnsi="Arial" w:cs="Arial"/>
          <w:b/>
          <w:sz w:val="36"/>
          <w:szCs w:val="36"/>
        </w:rPr>
        <w:t>From Investment to Reciprocity: Role of Training and Professional Development on Faculty Commitment in Bangla</w:t>
      </w:r>
      <w:bookmarkStart w:id="0" w:name="_GoBack"/>
      <w:bookmarkEnd w:id="0"/>
      <w:r w:rsidRPr="00244BEE">
        <w:rPr>
          <w:rFonts w:ascii="Arial" w:hAnsi="Arial" w:cs="Arial"/>
          <w:b/>
          <w:sz w:val="36"/>
          <w:szCs w:val="36"/>
        </w:rPr>
        <w:t>deshi Private University</w:t>
      </w:r>
    </w:p>
    <w:p w14:paraId="0DD7203A" w14:textId="77777777" w:rsidR="00992815" w:rsidRPr="00244BEE" w:rsidRDefault="00992815" w:rsidP="00992815">
      <w:pPr>
        <w:pStyle w:val="Author"/>
        <w:spacing w:line="240" w:lineRule="auto"/>
        <w:rPr>
          <w:rFonts w:ascii="Arial" w:hAnsi="Arial" w:cs="Arial"/>
        </w:rPr>
      </w:pPr>
    </w:p>
    <w:p w14:paraId="3F45C2EF" w14:textId="77777777" w:rsidR="00992815" w:rsidRPr="00244BEE" w:rsidRDefault="00992815" w:rsidP="00992815">
      <w:pPr>
        <w:spacing w:line="240" w:lineRule="auto"/>
        <w:jc w:val="right"/>
        <w:rPr>
          <w:rFonts w:ascii="Arial" w:hAnsi="Arial" w:cs="Arial"/>
          <w:b/>
          <w:i/>
          <w:sz w:val="20"/>
          <w:szCs w:val="20"/>
        </w:rPr>
      </w:pPr>
    </w:p>
    <w:p w14:paraId="1D7C1047" w14:textId="77777777" w:rsidR="00992815" w:rsidRPr="00244BEE" w:rsidRDefault="00992815" w:rsidP="00D02695">
      <w:pPr>
        <w:spacing w:line="240" w:lineRule="auto"/>
        <w:jc w:val="center"/>
        <w:rPr>
          <w:rFonts w:ascii="Arial" w:hAnsi="Arial" w:cs="Arial"/>
          <w:i/>
          <w:sz w:val="20"/>
          <w:szCs w:val="20"/>
        </w:rPr>
      </w:pPr>
      <w:r w:rsidRPr="00244BEE">
        <w:rPr>
          <w:rFonts w:ascii="Arial" w:hAnsi="Arial" w:cs="Arial"/>
          <w:noProof/>
        </w:rPr>
        <mc:AlternateContent>
          <mc:Choice Requires="wps">
            <w:drawing>
              <wp:inline distT="0" distB="0" distL="0" distR="0" wp14:anchorId="5645615E" wp14:editId="3EB543EA">
                <wp:extent cx="6036945" cy="0"/>
                <wp:effectExtent l="0" t="0" r="20955" b="19050"/>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96E087" id="_x0000_t32" coordsize="21600,21600" o:spt="32" o:oned="t" path="m,l21600,21600e" filled="f">
                <v:path arrowok="t" fillok="f" o:connecttype="none"/>
                <o:lock v:ext="edit" shapetype="t"/>
              </v:shapetype>
              <v:shape id="Straight Arrow Connector 9" o:spid="_x0000_s1026" type="#_x0000_t32" style="width:475.3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KJgIAAEsEAAAOAAAAZHJzL2Uyb0RvYy54bWysVMFu2zAMvQ/YPwi6p7ZTN0uMOEVhJ7t0&#10;a4B2H6BIcizMFgVJjRMM+/dRSmK022UY5oNMmeLjI/nk5f2x78hBWqdAlzS7SSmRmoNQel/Sby+b&#10;yZwS55kWrAMtS3qSjt6vPn5YDqaQU2ihE9ISBNGuGExJW+9NkSSOt7Jn7gaM1OhswPbM49buE2HZ&#10;gOh9l0zTdJYMYIWxwKVz+LU+O+kq4jeN5P6paZz0pCspcvNxtXHdhTVZLVmxt8y0il9osH9g0TOl&#10;MekIVTPPyKtVf0D1iltw0PgbDn0CTaO4jDVgNVn6WzXPLTMy1oLNcWZsk/t/sPzrYWuJEiVdUKJZ&#10;jyN69papfevJg7UwkAq0xjaCJYvQrcG4AoMqvbWhXn7Uz+YR+HdHNFQt03sZWb+cDEJlISJ5FxI2&#10;zmDO3fAFBJ5hrx5i646N7QMkNoUc44RO44Tk0ROOH2fp7WyR31HCr76EFddAY53/LKEnwSipu9Qx&#10;FpDFNOzw6HygxYprQMiqYaO6Lsqh02RA7ov0Lo0RDjolgjecc3a/qzpLDiwoKj6xSPS8PWbhVYuI&#10;1kom1hfbM9Wdbcze6YCHlSGfi3WWzI9FuljP1/N8kk9n60me1vXkYVPlk9km+3RX39ZVVWc/A7Us&#10;L1olhNSB3VW+Wf538rhcpLPwRgGPfUjeo8eGIdnrO5KOow3TPOtiB+K0tdeRo2Lj4cvtClfi7R7t&#10;t/+A1S8AAAD//wMAUEsDBBQABgAIAAAAIQB3AmNO1gAAAAIBAAAPAAAAZHJzL2Rvd25yZXYueG1s&#10;TI/BSsRAEETvgv8wtOBF3ImCa4yZLCJ48mDc9QM6mTYJZnpCZrIZ/95eL3opKKqpel3ukhvVkeYw&#10;eDZws8lAEbfeDtwZ+Di8XOegQkS2OHomA98UYFedn5VYWL/yOx33sVNSwqFAA32MU6F1aHtyGDZ+&#10;Ipbs088Oo9i503bGVcrdqG+zbKsdDiwLPU703FP7tV+cgfS25ZjqPDUrL68hv6oTutqYy4v09Agq&#10;Uop/x3DCF3SohKnxC9ugRgPySPxVyR7usntQzcnqqtT/0asfAAAA//8DAFBLAQItABQABgAIAAAA&#10;IQC2gziS/gAAAOEBAAATAAAAAAAAAAAAAAAAAAAAAABbQ29udGVudF9UeXBlc10ueG1sUEsBAi0A&#10;FAAGAAgAAAAhADj9If/WAAAAlAEAAAsAAAAAAAAAAAAAAAAALwEAAF9yZWxzLy5yZWxzUEsBAi0A&#10;FAAGAAgAAAAhAN2pj4omAgAASwQAAA4AAAAAAAAAAAAAAAAALgIAAGRycy9lMm9Eb2MueG1sUEsB&#10;Ai0AFAAGAAgAAAAhAHcCY07WAAAAAgEAAA8AAAAAAAAAAAAAAAAAgAQAAGRycy9kb3ducmV2Lnht&#10;bFBLBQYAAAAABAAEAPMAAACDBQAAAAA=&#10;" strokeweight="1.5pt">
                <w10:anchorlock/>
              </v:shape>
            </w:pict>
          </mc:Fallback>
        </mc:AlternateContent>
      </w:r>
    </w:p>
    <w:p w14:paraId="3B8947B7" w14:textId="77777777" w:rsidR="00992815" w:rsidRPr="00244BEE" w:rsidRDefault="00992815" w:rsidP="00992815">
      <w:pPr>
        <w:spacing w:line="240" w:lineRule="auto"/>
        <w:rPr>
          <w:rFonts w:ascii="Arial" w:hAnsi="Arial" w:cs="Arial"/>
          <w:b/>
          <w:i/>
          <w:sz w:val="20"/>
          <w:szCs w:val="20"/>
        </w:rPr>
      </w:pPr>
      <w:r w:rsidRPr="00244BEE">
        <w:rPr>
          <w:rFonts w:ascii="Arial" w:hAnsi="Arial" w:cs="Arial"/>
          <w:b/>
        </w:rPr>
        <w:t>ABSTRACT</w:t>
      </w:r>
      <w:r w:rsidRPr="00244BEE">
        <w:rPr>
          <w:rFonts w:ascii="Arial" w:hAnsi="Arial" w:cs="Arial"/>
          <w:b/>
          <w:i/>
          <w:sz w:val="20"/>
          <w:szCs w:val="20"/>
        </w:rPr>
        <w:t xml:space="preserve"> </w:t>
      </w:r>
    </w:p>
    <w:tbl>
      <w:tblPr>
        <w:tblStyle w:val="TableGrid"/>
        <w:tblW w:w="9591" w:type="dxa"/>
        <w:tblLook w:val="04A0" w:firstRow="1" w:lastRow="0" w:firstColumn="1" w:lastColumn="0" w:noHBand="0" w:noVBand="1"/>
      </w:tblPr>
      <w:tblGrid>
        <w:gridCol w:w="9591"/>
      </w:tblGrid>
      <w:tr w:rsidR="00992815" w:rsidRPr="00244BEE" w14:paraId="547B8FBF" w14:textId="77777777" w:rsidTr="006E6CE9">
        <w:trPr>
          <w:trHeight w:val="4040"/>
        </w:trPr>
        <w:tc>
          <w:tcPr>
            <w:tcW w:w="9591" w:type="dxa"/>
          </w:tcPr>
          <w:p w14:paraId="1C90FBBE" w14:textId="77777777" w:rsidR="00992815" w:rsidRPr="00244BEE" w:rsidRDefault="00992815" w:rsidP="006E6CE9">
            <w:pPr>
              <w:rPr>
                <w:rFonts w:ascii="Arial" w:hAnsi="Arial" w:cs="Arial"/>
                <w:b/>
                <w:i/>
                <w:sz w:val="20"/>
                <w:szCs w:val="20"/>
              </w:rPr>
            </w:pPr>
          </w:p>
          <w:p w14:paraId="01166DB6"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 xml:space="preserve">This research explores the connection between training, professional development, and organizational commitment within faculties of private universities in Bangladesh, using Social Exchange Theory (SET) as the guiding framework. The study specifically examines how institutional support for faculty development influences three key dimensions of commitment: affective, continuance, and normative by using SET which is not done previously. Data were gathered through a structured questionnaire administered to 284 academic staff members from nine private universities in Dhaka. The responses were analyzed using SPSS and Smart PLS 4.0 software. Reliability and validity checks indicated strong internal consistency, with Cronbach’s alpha ranging from 0.710 to 0.817, composite reliability between 0.785 and 0.878, and average variance extracted (AVE) values from 0.550 to 0.652. Results from the structural model revealed that training and development had a significant and positive impact on affective commitment, continuance commitment and normative. These outcomes suggest that when institutions actively invest in faculty development, employees respond with increased emotional engagement, a stronger sense of loyalty, and reduced intentions to leave, reflecting the reciprocal nature of SET. From a practical perspective, the findings emphasize the importance for educational policymakers and university administrators to view faculty development not just as a cost, but as a long-term strategic investment. On a theoretical level, the study expands the scope of Social Exchange Theory by demonstrating that professional development serves both practical and symbolic roles in fostering commitment, improving teaching quality, and ensuring institutional sustainability. </w:t>
            </w:r>
          </w:p>
        </w:tc>
      </w:tr>
    </w:tbl>
    <w:p w14:paraId="234667CF" w14:textId="77777777" w:rsidR="00992815" w:rsidRPr="00244BEE" w:rsidRDefault="00992815" w:rsidP="00992815">
      <w:pPr>
        <w:spacing w:before="100" w:beforeAutospacing="1" w:after="100" w:afterAutospacing="1" w:line="240" w:lineRule="auto"/>
        <w:rPr>
          <w:rFonts w:ascii="Arial" w:eastAsia="Times New Roman" w:hAnsi="Arial" w:cs="Arial"/>
          <w:bCs/>
          <w:i/>
          <w:sz w:val="20"/>
          <w:szCs w:val="20"/>
        </w:rPr>
      </w:pPr>
      <w:r w:rsidRPr="00244BEE">
        <w:rPr>
          <w:rFonts w:ascii="Arial" w:eastAsia="Times New Roman" w:hAnsi="Arial" w:cs="Arial"/>
          <w:bCs/>
          <w:i/>
          <w:sz w:val="20"/>
          <w:szCs w:val="20"/>
        </w:rPr>
        <w:t>Keywords: Training &amp; Development, Commitment, Private University faculty, Social exchange Theory, Satisfaction</w:t>
      </w:r>
    </w:p>
    <w:p w14:paraId="5F0931D6" w14:textId="77777777" w:rsidR="00992815" w:rsidRPr="00244BEE" w:rsidRDefault="00992815" w:rsidP="00992815">
      <w:pPr>
        <w:spacing w:before="100" w:beforeAutospacing="1" w:after="100" w:afterAutospacing="1" w:line="240" w:lineRule="auto"/>
        <w:rPr>
          <w:rFonts w:ascii="Arial" w:eastAsia="Times New Roman" w:hAnsi="Arial" w:cs="Arial"/>
        </w:rPr>
      </w:pPr>
      <w:r w:rsidRPr="00244BEE">
        <w:rPr>
          <w:rFonts w:ascii="Arial" w:eastAsia="Times New Roman" w:hAnsi="Arial" w:cs="Arial"/>
          <w:b/>
          <w:bCs/>
        </w:rPr>
        <w:t>1. INTRODUCTION</w:t>
      </w:r>
    </w:p>
    <w:p w14:paraId="1C67760B" w14:textId="4549CE3F"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 xml:space="preserve">In the dynamic landscape of higher education, human capital plays a pivotal role in determining institutional performance and competitiveness. Private universities in Bangladesh face increasing pressures to attract, retain, and develop qualified faculty and staff to maintain academic excellence and organizational sustainability. Among the various human resource practices, </w:t>
      </w:r>
      <w:r w:rsidRPr="00244BEE">
        <w:rPr>
          <w:rFonts w:ascii="Arial" w:eastAsia="Times New Roman" w:hAnsi="Arial" w:cs="Arial"/>
          <w:bCs/>
          <w:sz w:val="20"/>
          <w:szCs w:val="20"/>
        </w:rPr>
        <w:t>training and development</w:t>
      </w:r>
      <w:r w:rsidRPr="00244BEE">
        <w:rPr>
          <w:rFonts w:ascii="Arial" w:eastAsia="Times New Roman" w:hAnsi="Arial" w:cs="Arial"/>
          <w:sz w:val="20"/>
          <w:szCs w:val="20"/>
        </w:rPr>
        <w:t xml:space="preserve"> have emerged as key mechanisms for enhancing employee competencies, motivation, and long-term engagement. To meet the current job demand, organization should provide training session for the employees, on the other hand development initiatives prepare them for future roles (</w:t>
      </w:r>
      <w:proofErr w:type="spellStart"/>
      <w:r w:rsidRPr="00244BEE">
        <w:rPr>
          <w:rFonts w:ascii="Arial" w:eastAsia="Times New Roman" w:hAnsi="Arial" w:cs="Arial"/>
          <w:sz w:val="20"/>
          <w:szCs w:val="20"/>
        </w:rPr>
        <w:t>Aguinis</w:t>
      </w:r>
      <w:proofErr w:type="spellEnd"/>
      <w:r w:rsidRPr="00244BEE">
        <w:rPr>
          <w:rFonts w:ascii="Arial" w:eastAsia="Times New Roman" w:hAnsi="Arial" w:cs="Arial"/>
          <w:sz w:val="20"/>
          <w:szCs w:val="20"/>
        </w:rPr>
        <w:t xml:space="preserve"> &amp; </w:t>
      </w:r>
      <w:proofErr w:type="spellStart"/>
      <w:r w:rsidRPr="00244BEE">
        <w:rPr>
          <w:rFonts w:ascii="Arial" w:eastAsia="Times New Roman" w:hAnsi="Arial" w:cs="Arial"/>
          <w:sz w:val="20"/>
          <w:szCs w:val="20"/>
        </w:rPr>
        <w:t>Kraiger</w:t>
      </w:r>
      <w:proofErr w:type="spellEnd"/>
      <w:r w:rsidRPr="00244BEE">
        <w:rPr>
          <w:rFonts w:ascii="Arial" w:eastAsia="Times New Roman" w:hAnsi="Arial" w:cs="Arial"/>
          <w:sz w:val="20"/>
          <w:szCs w:val="20"/>
        </w:rPr>
        <w:t xml:space="preserve">, 2009; Armstrong, 2020). The critical dimension of an organizational success is employee commitment. According to Meyer &amp; Allen (1991), Employee commitment contains affective, continuance, and normative dimensions committed employees are mostly engaged to show in discretionary behaviors, contribute to knowledge sharing, and remain loyal to their institutions, thereby organization can reduce turnover and improve institutional performance (Cesario &amp; </w:t>
      </w:r>
      <w:proofErr w:type="spellStart"/>
      <w:r w:rsidRPr="00244BEE">
        <w:rPr>
          <w:rFonts w:ascii="Arial" w:eastAsia="Times New Roman" w:hAnsi="Arial" w:cs="Arial"/>
          <w:sz w:val="20"/>
          <w:szCs w:val="20"/>
        </w:rPr>
        <w:t>Chambel</w:t>
      </w:r>
      <w:proofErr w:type="spellEnd"/>
      <w:r w:rsidRPr="00244BEE">
        <w:rPr>
          <w:rFonts w:ascii="Arial" w:eastAsia="Times New Roman" w:hAnsi="Arial" w:cs="Arial"/>
          <w:sz w:val="20"/>
          <w:szCs w:val="20"/>
        </w:rPr>
        <w:t xml:space="preserve">, 2017). In 2025 a study by </w:t>
      </w:r>
      <w:r w:rsidRPr="00992815">
        <w:rPr>
          <w:rFonts w:ascii="Arial" w:eastAsia="Times New Roman" w:hAnsi="Arial" w:cs="Arial"/>
          <w:sz w:val="20"/>
          <w:szCs w:val="20"/>
        </w:rPr>
        <w:t>Wu, Li, &amp; Zhang,</w:t>
      </w:r>
      <w:r w:rsidRPr="00992815">
        <w:rPr>
          <w:rFonts w:ascii="Arial" w:eastAsia="Times New Roman" w:hAnsi="Arial" w:cs="Arial"/>
          <w:b/>
          <w:bCs/>
          <w:sz w:val="20"/>
          <w:szCs w:val="20"/>
        </w:rPr>
        <w:t xml:space="preserve"> </w:t>
      </w:r>
      <w:r w:rsidRPr="00992815">
        <w:rPr>
          <w:rFonts w:ascii="Arial" w:eastAsia="Times New Roman" w:hAnsi="Arial" w:cs="Arial"/>
          <w:sz w:val="20"/>
          <w:szCs w:val="20"/>
        </w:rPr>
        <w:t>emphasized</w:t>
      </w:r>
      <w:r w:rsidRPr="00244BEE">
        <w:rPr>
          <w:rFonts w:ascii="Arial" w:eastAsia="Times New Roman" w:hAnsi="Arial" w:cs="Arial"/>
          <w:sz w:val="20"/>
          <w:szCs w:val="20"/>
        </w:rPr>
        <w:t xml:space="preserve"> that training initiatives aimed at innovation and career growth strengthened normative commitment by enhancing employees’ perception of long-term organizational investment. Besides, </w:t>
      </w:r>
      <w:r w:rsidRPr="00244BEE">
        <w:rPr>
          <w:rFonts w:ascii="Arial" w:eastAsia="Times New Roman" w:hAnsi="Arial" w:cs="Arial"/>
          <w:vanish/>
          <w:sz w:val="20"/>
          <w:szCs w:val="20"/>
        </w:rPr>
        <w:t>Top of FormBottom of Form</w:t>
      </w:r>
      <w:r w:rsidRPr="00244BEE">
        <w:rPr>
          <w:rFonts w:ascii="Arial" w:hAnsi="Arial" w:cs="Arial"/>
          <w:sz w:val="20"/>
          <w:szCs w:val="20"/>
        </w:rPr>
        <w:t xml:space="preserve"> </w:t>
      </w:r>
      <w:proofErr w:type="spellStart"/>
      <w:r w:rsidRPr="00244BEE">
        <w:rPr>
          <w:rFonts w:ascii="Arial" w:hAnsi="Arial" w:cs="Arial"/>
          <w:sz w:val="20"/>
          <w:szCs w:val="20"/>
        </w:rPr>
        <w:t>Muleya</w:t>
      </w:r>
      <w:proofErr w:type="spellEnd"/>
      <w:r w:rsidRPr="00244BEE">
        <w:rPr>
          <w:rFonts w:ascii="Arial" w:hAnsi="Arial" w:cs="Arial"/>
          <w:sz w:val="20"/>
          <w:szCs w:val="20"/>
        </w:rPr>
        <w:t xml:space="preserve">, </w:t>
      </w:r>
      <w:proofErr w:type="spellStart"/>
      <w:r w:rsidRPr="00244BEE">
        <w:rPr>
          <w:rFonts w:ascii="Arial" w:hAnsi="Arial" w:cs="Arial"/>
          <w:sz w:val="20"/>
          <w:szCs w:val="20"/>
        </w:rPr>
        <w:t>Ngirande</w:t>
      </w:r>
      <w:proofErr w:type="spellEnd"/>
      <w:r w:rsidRPr="00244BEE">
        <w:rPr>
          <w:rFonts w:ascii="Arial" w:hAnsi="Arial" w:cs="Arial"/>
          <w:sz w:val="20"/>
          <w:szCs w:val="20"/>
        </w:rPr>
        <w:t xml:space="preserve">, &amp; </w:t>
      </w:r>
      <w:proofErr w:type="spellStart"/>
      <w:r w:rsidRPr="00244BEE">
        <w:rPr>
          <w:rFonts w:ascii="Arial" w:hAnsi="Arial" w:cs="Arial"/>
          <w:sz w:val="20"/>
          <w:szCs w:val="20"/>
        </w:rPr>
        <w:t>Terera</w:t>
      </w:r>
      <w:proofErr w:type="spellEnd"/>
      <w:r w:rsidRPr="00244BEE">
        <w:rPr>
          <w:rFonts w:ascii="Arial" w:hAnsi="Arial" w:cs="Arial"/>
          <w:sz w:val="20"/>
          <w:szCs w:val="20"/>
        </w:rPr>
        <w:t>, (2022)</w:t>
      </w:r>
      <w:r w:rsidRPr="00244BEE">
        <w:rPr>
          <w:rFonts w:ascii="Arial" w:eastAsia="Times New Roman" w:hAnsi="Arial" w:cs="Arial"/>
          <w:sz w:val="20"/>
          <w:szCs w:val="20"/>
        </w:rPr>
        <w:t xml:space="preserve"> found that relevant and well-structured training significantly enhances </w:t>
      </w:r>
      <w:r w:rsidRPr="00244BEE">
        <w:rPr>
          <w:rFonts w:ascii="Arial" w:eastAsia="Times New Roman" w:hAnsi="Arial" w:cs="Arial"/>
          <w:sz w:val="20"/>
          <w:szCs w:val="20"/>
        </w:rPr>
        <w:lastRenderedPageBreak/>
        <w:t xml:space="preserve">normative commitment among university faculty in Pakistan by fostering a stronger sense of obligation to their institution. Normative commitment among the Bangladeshi private universities increased when faculty perceived fairness, including pay equity and opportunity of career development. Additionally, </w:t>
      </w:r>
      <w:r w:rsidRPr="00244BEE">
        <w:rPr>
          <w:rFonts w:ascii="Arial" w:hAnsi="Arial" w:cs="Arial"/>
          <w:sz w:val="20"/>
          <w:szCs w:val="20"/>
        </w:rPr>
        <w:t xml:space="preserve">Hosen, et al., (2023) </w:t>
      </w:r>
      <w:r w:rsidRPr="00244BEE">
        <w:rPr>
          <w:rFonts w:ascii="Arial" w:eastAsia="Times New Roman" w:hAnsi="Arial" w:cs="Arial"/>
          <w:sz w:val="20"/>
          <w:szCs w:val="20"/>
        </w:rPr>
        <w:t>described that training and career development programs boost all three commitment components by signaling organizational support, motivating employees to reciprocate with greater loyalty and engagement. Internal branding practices, which include training and development, significantly strengthen normative commitment in higher education institutions in Pakistan. These findings align with SET’s core idea that employees reciprocate organizational investments with positive commitment and workplace behaviors. As private universities in Bangladesh seek sustainable competitive advantage, investing strategically in training and development emerges as a vital approach to cultivating a committed and motivated workforce.</w:t>
      </w:r>
    </w:p>
    <w:p w14:paraId="4D040AAD" w14:textId="3B7A328F"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 xml:space="preserve">Social Exchange Theory (SET) provides a strong framework to understand the reciprocal relationship towards the organizational investment in employees and employees’ commitment to the organization. According to SET, when employee perceives that their growth and well-being are being valued by their organization, they feel obligated to reciprocate through positive attitudes and behaviors, including enhanced commitment (Eisenberger et al., 1986). Previously most of the researchers focused on training, development and employee commitment separately, or in corporate areas, overlooking the challenges and cultural difficulties of private universities in Bangladesh, specifically aligning the framework of SET. Identifying this gap, the main objectives of this study is to investigate the impact of training and professional development on employee commitment (affective, continuance and normative commitment) through the lens of Social Exchange Theory. </w:t>
      </w:r>
    </w:p>
    <w:p w14:paraId="2F1A6D7C" w14:textId="77777777" w:rsidR="00992815" w:rsidRPr="00244BEE" w:rsidRDefault="00992815" w:rsidP="00992815">
      <w:pPr>
        <w:spacing w:line="240" w:lineRule="auto"/>
        <w:rPr>
          <w:rFonts w:ascii="Arial" w:hAnsi="Arial" w:cs="Arial"/>
          <w:b/>
        </w:rPr>
      </w:pPr>
      <w:r w:rsidRPr="00244BEE">
        <w:rPr>
          <w:rFonts w:ascii="Arial" w:hAnsi="Arial" w:cs="Arial"/>
          <w:b/>
        </w:rPr>
        <w:t>2. LITERATURE REVIEW</w:t>
      </w:r>
    </w:p>
    <w:p w14:paraId="23E6F156" w14:textId="77777777" w:rsidR="00992815" w:rsidRPr="00244BEE" w:rsidRDefault="00992815" w:rsidP="00992815">
      <w:pPr>
        <w:spacing w:line="240" w:lineRule="auto"/>
        <w:rPr>
          <w:rFonts w:ascii="Arial" w:hAnsi="Arial" w:cs="Arial"/>
          <w:b/>
        </w:rPr>
      </w:pPr>
      <w:r w:rsidRPr="00244BEE">
        <w:rPr>
          <w:rFonts w:ascii="Arial" w:hAnsi="Arial" w:cs="Arial"/>
          <w:b/>
        </w:rPr>
        <w:t>2.1. Training and Development</w:t>
      </w:r>
    </w:p>
    <w:p w14:paraId="6DC52810" w14:textId="77777777" w:rsidR="00992815" w:rsidRPr="00244BEE" w:rsidRDefault="00992815" w:rsidP="00992815">
      <w:pPr>
        <w:spacing w:line="240" w:lineRule="auto"/>
        <w:jc w:val="both"/>
        <w:rPr>
          <w:rFonts w:ascii="Arial" w:hAnsi="Arial" w:cs="Arial"/>
          <w:sz w:val="20"/>
          <w:szCs w:val="20"/>
        </w:rPr>
      </w:pPr>
      <w:r w:rsidRPr="00244BEE">
        <w:rPr>
          <w:rFonts w:ascii="Arial" w:hAnsi="Arial" w:cs="Arial"/>
          <w:sz w:val="20"/>
          <w:szCs w:val="20"/>
        </w:rPr>
        <w:t xml:space="preserve">In the field of Human Resource Management, the most crucial element, which offers the benefits for both individuals and organizations, is investment in training and development. According to Leger &amp; </w:t>
      </w:r>
      <w:proofErr w:type="spellStart"/>
      <w:r w:rsidRPr="00244BEE">
        <w:rPr>
          <w:rFonts w:ascii="Arial" w:hAnsi="Arial" w:cs="Arial"/>
          <w:sz w:val="20"/>
          <w:szCs w:val="20"/>
        </w:rPr>
        <w:t>Sirichand</w:t>
      </w:r>
      <w:proofErr w:type="spellEnd"/>
      <w:r w:rsidRPr="00244BEE">
        <w:rPr>
          <w:rFonts w:ascii="Arial" w:hAnsi="Arial" w:cs="Arial"/>
          <w:sz w:val="20"/>
          <w:szCs w:val="20"/>
        </w:rPr>
        <w:t xml:space="preserve"> (2015), training enhances the skills including analysis, synthesis and ultimately increasing the outcome of the organization. Beside this, effective training strengthens team dynamics and organizational success at every level within an organization</w:t>
      </w:r>
      <w:r w:rsidRPr="00244BEE">
        <w:rPr>
          <w:rStyle w:val="fadeinm1hgl8"/>
          <w:rFonts w:ascii="Arial" w:hAnsi="Arial" w:cs="Arial"/>
          <w:sz w:val="20"/>
          <w:szCs w:val="20"/>
        </w:rPr>
        <w:t xml:space="preserve"> (McCarty &amp; </w:t>
      </w:r>
      <w:proofErr w:type="spellStart"/>
      <w:r w:rsidRPr="00244BEE">
        <w:rPr>
          <w:rStyle w:val="fadeinm1hgl8"/>
          <w:rFonts w:ascii="Arial" w:hAnsi="Arial" w:cs="Arial"/>
          <w:sz w:val="20"/>
          <w:szCs w:val="20"/>
        </w:rPr>
        <w:t>Skibniewski</w:t>
      </w:r>
      <w:proofErr w:type="spellEnd"/>
      <w:r w:rsidRPr="00244BEE">
        <w:rPr>
          <w:rStyle w:val="fadeinm1hgl8"/>
          <w:rFonts w:ascii="Arial" w:hAnsi="Arial" w:cs="Arial"/>
          <w:sz w:val="20"/>
          <w:szCs w:val="20"/>
        </w:rPr>
        <w:t>, 2015). To achieve a positive competitive environment, stimulate innovation, and increase the performance, organization need to invest towards the training and development programs for the employees (</w:t>
      </w:r>
      <w:proofErr w:type="spellStart"/>
      <w:r w:rsidRPr="00244BEE">
        <w:rPr>
          <w:rStyle w:val="fadeinm1hgl8"/>
          <w:rFonts w:ascii="Arial" w:hAnsi="Arial" w:cs="Arial"/>
          <w:sz w:val="20"/>
          <w:szCs w:val="20"/>
        </w:rPr>
        <w:t>Beydoun</w:t>
      </w:r>
      <w:proofErr w:type="spellEnd"/>
      <w:r w:rsidRPr="00244BEE">
        <w:rPr>
          <w:rStyle w:val="fadeinm1hgl8"/>
          <w:rFonts w:ascii="Arial" w:hAnsi="Arial" w:cs="Arial"/>
          <w:sz w:val="20"/>
          <w:szCs w:val="20"/>
        </w:rPr>
        <w:t xml:space="preserve"> &amp; Saleh, 2023). </w:t>
      </w:r>
    </w:p>
    <w:p w14:paraId="3F9ED404" w14:textId="77777777" w:rsidR="00992815" w:rsidRPr="00244BEE" w:rsidRDefault="00992815" w:rsidP="00992815">
      <w:pPr>
        <w:spacing w:line="240" w:lineRule="auto"/>
        <w:jc w:val="both"/>
        <w:rPr>
          <w:rFonts w:ascii="Arial" w:hAnsi="Arial" w:cs="Arial"/>
          <w:sz w:val="20"/>
          <w:szCs w:val="20"/>
        </w:rPr>
      </w:pPr>
      <w:r w:rsidRPr="00244BEE">
        <w:rPr>
          <w:rFonts w:ascii="Arial" w:hAnsi="Arial" w:cs="Arial"/>
          <w:sz w:val="20"/>
          <w:szCs w:val="20"/>
        </w:rPr>
        <w:t xml:space="preserve">In a 2009 study, </w:t>
      </w:r>
      <w:proofErr w:type="spellStart"/>
      <w:r w:rsidRPr="00244BEE">
        <w:rPr>
          <w:rFonts w:ascii="Arial" w:hAnsi="Arial" w:cs="Arial"/>
          <w:sz w:val="20"/>
          <w:szCs w:val="20"/>
        </w:rPr>
        <w:t>Aguinis</w:t>
      </w:r>
      <w:proofErr w:type="spellEnd"/>
      <w:r w:rsidRPr="00244BEE">
        <w:rPr>
          <w:rFonts w:ascii="Arial" w:hAnsi="Arial" w:cs="Arial"/>
          <w:sz w:val="20"/>
          <w:szCs w:val="20"/>
        </w:rPr>
        <w:t xml:space="preserve"> and </w:t>
      </w:r>
      <w:proofErr w:type="spellStart"/>
      <w:r w:rsidRPr="00244BEE">
        <w:rPr>
          <w:rFonts w:ascii="Arial" w:hAnsi="Arial" w:cs="Arial"/>
          <w:sz w:val="20"/>
          <w:szCs w:val="20"/>
        </w:rPr>
        <w:t>Kraiger</w:t>
      </w:r>
      <w:proofErr w:type="spellEnd"/>
      <w:r w:rsidRPr="00244BEE">
        <w:rPr>
          <w:rFonts w:ascii="Arial" w:hAnsi="Arial" w:cs="Arial"/>
          <w:sz w:val="20"/>
          <w:szCs w:val="20"/>
        </w:rPr>
        <w:t xml:space="preserve"> highlighted the widespread benefits of training and development, extending from individual employees to organization at large. At personal level, training helped individuals become more innovative, adaptable, and effective in their roles. For organizations, these programs directed to lower employee turnover, higher productivity, and better overall financial performance. </w:t>
      </w:r>
    </w:p>
    <w:p w14:paraId="4B386E00" w14:textId="77777777" w:rsidR="00992815" w:rsidRPr="00244BEE" w:rsidRDefault="00992815" w:rsidP="00992815">
      <w:pPr>
        <w:spacing w:line="240" w:lineRule="auto"/>
        <w:jc w:val="both"/>
        <w:rPr>
          <w:rFonts w:ascii="Arial" w:hAnsi="Arial" w:cs="Arial"/>
          <w:b/>
          <w:sz w:val="24"/>
          <w:szCs w:val="24"/>
          <w:u w:val="single"/>
        </w:rPr>
      </w:pPr>
      <w:r w:rsidRPr="00244BEE">
        <w:rPr>
          <w:rFonts w:ascii="Arial" w:hAnsi="Arial" w:cs="Arial"/>
          <w:b/>
          <w:sz w:val="24"/>
          <w:szCs w:val="24"/>
          <w:u w:val="single"/>
        </w:rPr>
        <w:t>2.1.1. Training</w:t>
      </w:r>
    </w:p>
    <w:p w14:paraId="4EE0D9F4" w14:textId="77777777" w:rsidR="00992815" w:rsidRPr="00244BEE" w:rsidRDefault="00992815" w:rsidP="00992815">
      <w:pPr>
        <w:spacing w:before="100" w:beforeAutospacing="1" w:after="100" w:afterAutospacing="1" w:line="240" w:lineRule="auto"/>
        <w:jc w:val="both"/>
        <w:rPr>
          <w:rFonts w:ascii="Arial" w:hAnsi="Arial" w:cs="Arial"/>
          <w:sz w:val="20"/>
          <w:szCs w:val="20"/>
        </w:rPr>
      </w:pPr>
      <w:r w:rsidRPr="00244BEE">
        <w:rPr>
          <w:rFonts w:ascii="Arial" w:eastAsia="Times New Roman" w:hAnsi="Arial" w:cs="Arial"/>
          <w:sz w:val="20"/>
          <w:szCs w:val="20"/>
        </w:rPr>
        <w:t xml:space="preserve">Training is typically defined as a </w:t>
      </w:r>
      <w:r w:rsidRPr="00244BEE">
        <w:rPr>
          <w:rFonts w:ascii="Arial" w:eastAsia="Times New Roman" w:hAnsi="Arial" w:cs="Arial"/>
          <w:bCs/>
          <w:sz w:val="20"/>
          <w:szCs w:val="20"/>
        </w:rPr>
        <w:t>planned effort provided to employees by an organization for facilitating their expertise in job-related KSBs (Knowledge, Skills, and Behaviors)</w:t>
      </w:r>
      <w:r w:rsidRPr="00244BEE">
        <w:rPr>
          <w:rFonts w:ascii="Arial" w:eastAsia="Times New Roman" w:hAnsi="Arial" w:cs="Arial"/>
          <w:sz w:val="20"/>
          <w:szCs w:val="20"/>
        </w:rPr>
        <w:t xml:space="preserve"> (Noe, 2017). It is focused on current tasks and immediate performance improvements. According to Goldstein and Ford (2002), training involves enhancing skills, aimed at improving performance for doing current role efficiently. </w:t>
      </w:r>
      <w:proofErr w:type="spellStart"/>
      <w:r w:rsidRPr="00244BEE">
        <w:rPr>
          <w:rFonts w:ascii="Arial" w:eastAsia="Times New Roman" w:hAnsi="Arial" w:cs="Arial"/>
          <w:sz w:val="20"/>
          <w:szCs w:val="20"/>
        </w:rPr>
        <w:t>Dessler</w:t>
      </w:r>
      <w:proofErr w:type="spellEnd"/>
      <w:r w:rsidRPr="00244BEE">
        <w:rPr>
          <w:rFonts w:ascii="Arial" w:eastAsia="Times New Roman" w:hAnsi="Arial" w:cs="Arial"/>
          <w:sz w:val="20"/>
          <w:szCs w:val="20"/>
        </w:rPr>
        <w:t xml:space="preserve"> (2020) also highlights that training is task-oriented and short-term in nature, aims to reduce the gap between current employee capabilities and the demands for the job. </w:t>
      </w:r>
      <w:r w:rsidRPr="00244BEE">
        <w:rPr>
          <w:rFonts w:ascii="Arial" w:hAnsi="Arial" w:cs="Arial"/>
          <w:sz w:val="20"/>
          <w:szCs w:val="20"/>
        </w:rPr>
        <w:t>Multiple studies affirm that effective training improves employee knowledge, skills, and abilities (KSAs), leading to improved job performance (</w:t>
      </w:r>
      <w:proofErr w:type="spellStart"/>
      <w:r w:rsidRPr="00244BEE">
        <w:rPr>
          <w:rFonts w:ascii="Arial" w:hAnsi="Arial" w:cs="Arial"/>
          <w:sz w:val="20"/>
          <w:szCs w:val="20"/>
        </w:rPr>
        <w:t>Aguinis</w:t>
      </w:r>
      <w:proofErr w:type="spellEnd"/>
      <w:r w:rsidRPr="00244BEE">
        <w:rPr>
          <w:rFonts w:ascii="Arial" w:hAnsi="Arial" w:cs="Arial"/>
          <w:sz w:val="20"/>
          <w:szCs w:val="20"/>
        </w:rPr>
        <w:t xml:space="preserve"> &amp; </w:t>
      </w:r>
      <w:proofErr w:type="spellStart"/>
      <w:r w:rsidRPr="00244BEE">
        <w:rPr>
          <w:rFonts w:ascii="Arial" w:hAnsi="Arial" w:cs="Arial"/>
          <w:sz w:val="20"/>
          <w:szCs w:val="20"/>
        </w:rPr>
        <w:t>Kraiger</w:t>
      </w:r>
      <w:proofErr w:type="spellEnd"/>
      <w:r w:rsidRPr="00244BEE">
        <w:rPr>
          <w:rFonts w:ascii="Arial" w:hAnsi="Arial" w:cs="Arial"/>
          <w:sz w:val="20"/>
          <w:szCs w:val="20"/>
        </w:rPr>
        <w:t>, 2009). Moreover, Training can help to reduce error, increase efficiency, and improve customer satisfaction both service and academic sectors.</w:t>
      </w:r>
      <w:r w:rsidRPr="00244BEE">
        <w:rPr>
          <w:rFonts w:ascii="Arial" w:eastAsia="Times New Roman" w:hAnsi="Arial" w:cs="Arial"/>
          <w:sz w:val="20"/>
          <w:szCs w:val="20"/>
        </w:rPr>
        <w:t xml:space="preserve"> </w:t>
      </w:r>
      <w:r w:rsidRPr="00244BEE">
        <w:rPr>
          <w:rFonts w:ascii="Arial" w:hAnsi="Arial" w:cs="Arial"/>
          <w:sz w:val="20"/>
          <w:szCs w:val="20"/>
        </w:rPr>
        <w:t xml:space="preserve">Employees who perceive training as a form of organizational investment often feel more motivated and valued. According to Rowden and </w:t>
      </w:r>
      <w:proofErr w:type="spellStart"/>
      <w:r w:rsidRPr="00244BEE">
        <w:rPr>
          <w:rFonts w:ascii="Arial" w:hAnsi="Arial" w:cs="Arial"/>
          <w:sz w:val="20"/>
          <w:szCs w:val="20"/>
        </w:rPr>
        <w:t>Conine</w:t>
      </w:r>
      <w:proofErr w:type="spellEnd"/>
      <w:r w:rsidRPr="00244BEE">
        <w:rPr>
          <w:rFonts w:ascii="Arial" w:hAnsi="Arial" w:cs="Arial"/>
          <w:sz w:val="20"/>
          <w:szCs w:val="20"/>
        </w:rPr>
        <w:t xml:space="preserve"> (2005), training enhances job satisfaction by aligning employee expectations with organizational goals. This perceived value encourages greater engagement. Beside these, training act as adaptive and continuous process that </w:t>
      </w:r>
      <w:r w:rsidRPr="00244BEE">
        <w:rPr>
          <w:rFonts w:ascii="Arial" w:eastAsia="Times New Roman" w:hAnsi="Arial" w:cs="Arial"/>
          <w:sz w:val="20"/>
          <w:szCs w:val="20"/>
        </w:rPr>
        <w:t xml:space="preserve">prepare employees for both current and evolving job requirements. (Salas et al., 2020; </w:t>
      </w:r>
      <w:r w:rsidRPr="00244BEE">
        <w:rPr>
          <w:rFonts w:ascii="Arial" w:hAnsi="Arial" w:cs="Arial"/>
          <w:sz w:val="20"/>
          <w:szCs w:val="20"/>
        </w:rPr>
        <w:t xml:space="preserve">Noe, Clarke, &amp; Klein, </w:t>
      </w:r>
      <w:r w:rsidRPr="00244BEE">
        <w:rPr>
          <w:rFonts w:ascii="Arial" w:eastAsia="Times New Roman" w:hAnsi="Arial" w:cs="Arial"/>
          <w:sz w:val="20"/>
          <w:szCs w:val="20"/>
        </w:rPr>
        <w:t>2023).</w:t>
      </w:r>
    </w:p>
    <w:p w14:paraId="23164B52" w14:textId="77777777" w:rsidR="00992815" w:rsidRPr="00244BEE" w:rsidRDefault="00992815" w:rsidP="00992815">
      <w:pPr>
        <w:spacing w:before="100" w:beforeAutospacing="1" w:after="100" w:afterAutospacing="1" w:line="240" w:lineRule="auto"/>
        <w:jc w:val="both"/>
        <w:rPr>
          <w:rFonts w:ascii="Arial" w:hAnsi="Arial" w:cs="Arial"/>
          <w:b/>
          <w:u w:val="single"/>
        </w:rPr>
      </w:pPr>
      <w:r w:rsidRPr="00244BEE">
        <w:rPr>
          <w:rFonts w:ascii="Arial" w:hAnsi="Arial" w:cs="Arial"/>
          <w:b/>
          <w:u w:val="single"/>
        </w:rPr>
        <w:lastRenderedPageBreak/>
        <w:t>2.1.2 Development</w:t>
      </w:r>
    </w:p>
    <w:p w14:paraId="29544EEC" w14:textId="77777777" w:rsidR="00992815" w:rsidRPr="00244BEE" w:rsidRDefault="00992815" w:rsidP="00992815">
      <w:pPr>
        <w:spacing w:before="100" w:beforeAutospacing="1" w:after="100" w:afterAutospacing="1" w:line="240" w:lineRule="auto"/>
        <w:jc w:val="both"/>
        <w:rPr>
          <w:rFonts w:ascii="Arial" w:hAnsi="Arial" w:cs="Arial"/>
          <w:sz w:val="20"/>
          <w:szCs w:val="20"/>
        </w:rPr>
      </w:pPr>
      <w:r w:rsidRPr="00244BEE">
        <w:rPr>
          <w:rFonts w:ascii="Arial" w:eastAsia="Times New Roman" w:hAnsi="Arial" w:cs="Arial"/>
          <w:sz w:val="20"/>
          <w:szCs w:val="20"/>
        </w:rPr>
        <w:t xml:space="preserve">In contrast, development refers to </w:t>
      </w:r>
      <w:r w:rsidRPr="00244BEE">
        <w:rPr>
          <w:rFonts w:ascii="Arial" w:eastAsia="Times New Roman" w:hAnsi="Arial" w:cs="Arial"/>
          <w:bCs/>
          <w:sz w:val="20"/>
          <w:szCs w:val="20"/>
        </w:rPr>
        <w:t>activities that prepare individuals for future roles and responsibilities</w:t>
      </w:r>
      <w:r w:rsidRPr="00244BEE">
        <w:rPr>
          <w:rFonts w:ascii="Arial" w:eastAsia="Times New Roman" w:hAnsi="Arial" w:cs="Arial"/>
          <w:sz w:val="20"/>
          <w:szCs w:val="20"/>
        </w:rPr>
        <w:t xml:space="preserve">, enhancing their potential for long-term career growth (Armstrong, 2020). It is broader in scope and may not be directly linked to an individual’s current job but rather supports overall personal and professional growth. As per Gilley and </w:t>
      </w:r>
      <w:proofErr w:type="spellStart"/>
      <w:r w:rsidRPr="00244BEE">
        <w:rPr>
          <w:rFonts w:ascii="Arial" w:eastAsia="Times New Roman" w:hAnsi="Arial" w:cs="Arial"/>
          <w:sz w:val="20"/>
          <w:szCs w:val="20"/>
        </w:rPr>
        <w:t>Eggland</w:t>
      </w:r>
      <w:proofErr w:type="spellEnd"/>
      <w:r w:rsidRPr="00244BEE">
        <w:rPr>
          <w:rFonts w:ascii="Arial" w:eastAsia="Times New Roman" w:hAnsi="Arial" w:cs="Arial"/>
          <w:sz w:val="20"/>
          <w:szCs w:val="20"/>
        </w:rPr>
        <w:t xml:space="preserve"> (2002), development emphasizes on improving individuals ability to manage crucial responsibilities in </w:t>
      </w:r>
      <w:proofErr w:type="gramStart"/>
      <w:r w:rsidRPr="00244BEE">
        <w:rPr>
          <w:rFonts w:ascii="Arial" w:eastAsia="Times New Roman" w:hAnsi="Arial" w:cs="Arial"/>
          <w:sz w:val="20"/>
          <w:szCs w:val="20"/>
        </w:rPr>
        <w:t>future..</w:t>
      </w:r>
      <w:proofErr w:type="gramEnd"/>
      <w:r w:rsidRPr="00244BEE">
        <w:rPr>
          <w:rFonts w:ascii="Arial" w:eastAsia="Times New Roman" w:hAnsi="Arial" w:cs="Arial"/>
          <w:sz w:val="20"/>
          <w:szCs w:val="20"/>
        </w:rPr>
        <w:t xml:space="preserve"> Together, training and development form a comprehensive strategy for enhancing individual and organizational effectiveness. Moreover, to meet the evolving job demand, development can play a crucial role. Development remains employable in dynamic, changing environments of business (</w:t>
      </w:r>
      <w:proofErr w:type="spellStart"/>
      <w:r w:rsidRPr="00244BEE">
        <w:rPr>
          <w:rFonts w:ascii="Arial" w:eastAsia="Times New Roman" w:hAnsi="Arial" w:cs="Arial"/>
          <w:sz w:val="20"/>
          <w:szCs w:val="20"/>
        </w:rPr>
        <w:t>Obazuaye</w:t>
      </w:r>
      <w:proofErr w:type="spellEnd"/>
      <w:r w:rsidRPr="00244BEE">
        <w:rPr>
          <w:rFonts w:ascii="Arial" w:eastAsia="Times New Roman" w:hAnsi="Arial" w:cs="Arial"/>
          <w:sz w:val="20"/>
          <w:szCs w:val="20"/>
        </w:rPr>
        <w:t xml:space="preserve">, 2024; Yoon, </w:t>
      </w:r>
      <w:proofErr w:type="spellStart"/>
      <w:r w:rsidRPr="00244BEE">
        <w:rPr>
          <w:rFonts w:ascii="Arial" w:eastAsia="Times New Roman" w:hAnsi="Arial" w:cs="Arial"/>
          <w:sz w:val="20"/>
          <w:szCs w:val="20"/>
        </w:rPr>
        <w:t>Chae</w:t>
      </w:r>
      <w:proofErr w:type="spellEnd"/>
      <w:r w:rsidRPr="00244BEE">
        <w:rPr>
          <w:rFonts w:ascii="Arial" w:eastAsia="Times New Roman" w:hAnsi="Arial" w:cs="Arial"/>
          <w:sz w:val="20"/>
          <w:szCs w:val="20"/>
        </w:rPr>
        <w:t xml:space="preserve"> &amp; Feng, 2025).</w:t>
      </w:r>
    </w:p>
    <w:p w14:paraId="22648E2D" w14:textId="77777777" w:rsidR="00992815" w:rsidRPr="00244BEE" w:rsidRDefault="00992815" w:rsidP="00992815">
      <w:pPr>
        <w:spacing w:line="240" w:lineRule="auto"/>
        <w:rPr>
          <w:rFonts w:ascii="Arial" w:hAnsi="Arial" w:cs="Arial"/>
          <w:b/>
        </w:rPr>
      </w:pPr>
      <w:r w:rsidRPr="00244BEE">
        <w:rPr>
          <w:rFonts w:ascii="Arial" w:hAnsi="Arial" w:cs="Arial"/>
          <w:b/>
        </w:rPr>
        <w:t>2.2 Employee Commitment</w:t>
      </w:r>
    </w:p>
    <w:p w14:paraId="3F4A5918" w14:textId="0EBC851E" w:rsidR="00992815" w:rsidRPr="00244BEE" w:rsidRDefault="00992815" w:rsidP="00293C94">
      <w:pPr>
        <w:spacing w:line="240" w:lineRule="auto"/>
        <w:jc w:val="both"/>
        <w:rPr>
          <w:rFonts w:ascii="Arial" w:hAnsi="Arial" w:cs="Arial"/>
          <w:sz w:val="20"/>
          <w:szCs w:val="20"/>
        </w:rPr>
      </w:pPr>
      <w:r w:rsidRPr="00244BEE">
        <w:rPr>
          <w:rFonts w:ascii="Arial" w:hAnsi="Arial" w:cs="Arial"/>
          <w:sz w:val="20"/>
          <w:szCs w:val="20"/>
        </w:rPr>
        <w:t>Commitment can be defined as a reciprocal agreement for doing something willingly towards another individual, group or even in an organization. Moreover, commitment is a kind of force that impasses individual towards a course of action (</w:t>
      </w:r>
      <w:proofErr w:type="spellStart"/>
      <w:r w:rsidRPr="00244BEE">
        <w:rPr>
          <w:rFonts w:ascii="Arial" w:hAnsi="Arial" w:cs="Arial"/>
          <w:sz w:val="20"/>
          <w:szCs w:val="20"/>
        </w:rPr>
        <w:t>Kreitner</w:t>
      </w:r>
      <w:proofErr w:type="spellEnd"/>
      <w:r w:rsidRPr="00244BEE">
        <w:rPr>
          <w:rFonts w:ascii="Arial" w:hAnsi="Arial" w:cs="Arial"/>
          <w:sz w:val="20"/>
          <w:szCs w:val="20"/>
        </w:rPr>
        <w:t>, &amp; Kinicki, 2007). Commitment is broadly recognized in the literature as a voluntary agreement of an individual with the other individual, group, or with an organization. It is the psychological force that binds an individual to a particular course of action relevant to one or more targets. This perspective emphasizes that commitment is not only behavioral but also multi-targeted activities by an individual who can simultaneously be committed towards job, family, organization, and career.</w:t>
      </w:r>
      <w:r w:rsidR="00293C94">
        <w:rPr>
          <w:rFonts w:ascii="Arial" w:hAnsi="Arial" w:cs="Arial"/>
          <w:sz w:val="20"/>
          <w:szCs w:val="20"/>
        </w:rPr>
        <w:t xml:space="preserve"> </w:t>
      </w:r>
      <w:r w:rsidRPr="00244BEE">
        <w:rPr>
          <w:rFonts w:ascii="Arial" w:hAnsi="Arial" w:cs="Arial"/>
          <w:sz w:val="20"/>
          <w:szCs w:val="20"/>
        </w:rPr>
        <w:t xml:space="preserve">Highly committed employees demonstrate enthusiasm, involvement, and a deep understanding of the organizational environment. They are even more likely to cooperate with the management and contribute actively towards the organizational success. For human resource professionals, distinguishing between engagement with one’s work and commitment to the organization is crucial, as both dimensions influence performance and overall effectiveness (Cesario &amp; </w:t>
      </w:r>
      <w:proofErr w:type="spellStart"/>
      <w:r w:rsidRPr="00244BEE">
        <w:rPr>
          <w:rFonts w:ascii="Arial" w:hAnsi="Arial" w:cs="Arial"/>
          <w:sz w:val="20"/>
          <w:szCs w:val="20"/>
        </w:rPr>
        <w:t>Chambel</w:t>
      </w:r>
      <w:proofErr w:type="spellEnd"/>
      <w:r w:rsidRPr="00244BEE">
        <w:rPr>
          <w:rFonts w:ascii="Arial" w:hAnsi="Arial" w:cs="Arial"/>
          <w:sz w:val="20"/>
          <w:szCs w:val="20"/>
        </w:rPr>
        <w:t xml:space="preserve">, 2017). Meyer and Allen's (1991) identified the Three Component Model (TCM) which categorized commitment into three types of dimensions, such as- affective commitment, continuance commitment, and normative commitment. </w:t>
      </w:r>
      <w:r w:rsidR="006C16B7">
        <w:rPr>
          <w:rFonts w:ascii="Arial" w:hAnsi="Arial" w:cs="Arial"/>
          <w:sz w:val="20"/>
          <w:szCs w:val="20"/>
        </w:rPr>
        <w:t xml:space="preserve"> </w:t>
      </w:r>
      <w:r w:rsidRPr="00244BEE">
        <w:rPr>
          <w:rFonts w:ascii="Arial" w:hAnsi="Arial" w:cs="Arial"/>
          <w:sz w:val="20"/>
          <w:szCs w:val="20"/>
        </w:rPr>
        <w:t xml:space="preserve">Affective commitment refers to the emotional attachment of an employee who feels committed toward their organization. When employees have high affective commitment, they stay with the organization because they </w:t>
      </w:r>
      <w:r w:rsidRPr="00244BEE">
        <w:rPr>
          <w:rStyle w:val="Emphasis"/>
          <w:rFonts w:ascii="Arial" w:hAnsi="Arial" w:cs="Arial"/>
          <w:i w:val="0"/>
          <w:sz w:val="20"/>
          <w:szCs w:val="20"/>
        </w:rPr>
        <w:t>want to</w:t>
      </w:r>
      <w:r w:rsidRPr="00244BEE">
        <w:rPr>
          <w:rFonts w:ascii="Arial" w:hAnsi="Arial" w:cs="Arial"/>
          <w:sz w:val="20"/>
          <w:szCs w:val="20"/>
        </w:rPr>
        <w:t xml:space="preserve"> stay with the organization, not because they have to stay (</w:t>
      </w:r>
      <w:proofErr w:type="spellStart"/>
      <w:r w:rsidRPr="00244BEE">
        <w:rPr>
          <w:rStyle w:val="Strong"/>
          <w:rFonts w:ascii="Arial" w:hAnsi="Arial" w:cs="Arial"/>
          <w:b w:val="0"/>
          <w:sz w:val="20"/>
          <w:szCs w:val="20"/>
        </w:rPr>
        <w:t>Mercurio</w:t>
      </w:r>
      <w:proofErr w:type="spellEnd"/>
      <w:r w:rsidRPr="00244BEE">
        <w:rPr>
          <w:rStyle w:val="Strong"/>
          <w:rFonts w:ascii="Arial" w:hAnsi="Arial" w:cs="Arial"/>
          <w:sz w:val="20"/>
          <w:szCs w:val="20"/>
        </w:rPr>
        <w:t xml:space="preserve">, </w:t>
      </w:r>
      <w:r w:rsidRPr="00244BEE">
        <w:rPr>
          <w:rFonts w:ascii="Arial" w:hAnsi="Arial" w:cs="Arial"/>
          <w:sz w:val="20"/>
          <w:szCs w:val="20"/>
        </w:rPr>
        <w:t xml:space="preserve">2015). </w:t>
      </w:r>
      <w:r w:rsidRPr="00244BEE">
        <w:rPr>
          <w:rStyle w:val="Strong"/>
          <w:rFonts w:ascii="Arial" w:hAnsi="Arial" w:cs="Arial"/>
          <w:b w:val="0"/>
          <w:sz w:val="20"/>
          <w:szCs w:val="20"/>
        </w:rPr>
        <w:t>Continuance Commitment</w:t>
      </w:r>
      <w:r w:rsidRPr="00244BEE">
        <w:rPr>
          <w:rStyle w:val="Strong"/>
          <w:rFonts w:ascii="Arial" w:hAnsi="Arial" w:cs="Arial"/>
          <w:sz w:val="20"/>
          <w:szCs w:val="20"/>
        </w:rPr>
        <w:t xml:space="preserve"> </w:t>
      </w:r>
      <w:r w:rsidRPr="00244BEE">
        <w:rPr>
          <w:rFonts w:ascii="Arial" w:hAnsi="Arial" w:cs="Arial"/>
          <w:sz w:val="20"/>
          <w:szCs w:val="20"/>
        </w:rPr>
        <w:t xml:space="preserve">refers the awareness of an employee who posits the costs associated with leaving an organization. When employees they perceive the disadvantages of leaving the organization, it creates the high Continuance Commitment (Meyer and Allen,1991). Finally, </w:t>
      </w:r>
      <w:r w:rsidRPr="00244BEE">
        <w:rPr>
          <w:rStyle w:val="Strong"/>
          <w:rFonts w:ascii="Arial" w:hAnsi="Arial" w:cs="Arial"/>
          <w:b w:val="0"/>
          <w:sz w:val="20"/>
          <w:szCs w:val="20"/>
        </w:rPr>
        <w:t>Normative Commitment</w:t>
      </w:r>
      <w:r w:rsidRPr="00244BEE">
        <w:rPr>
          <w:rFonts w:ascii="Arial" w:hAnsi="Arial" w:cs="Arial"/>
          <w:sz w:val="20"/>
          <w:szCs w:val="20"/>
        </w:rPr>
        <w:t xml:space="preserve"> refers to the employee's sense of obligation to remain with the organization (Meyer and Allen,1991). Moreover, commitment can be shaped by psychological perceptions of an employee (</w:t>
      </w:r>
      <w:proofErr w:type="spellStart"/>
      <w:r w:rsidRPr="00244BEE">
        <w:rPr>
          <w:rFonts w:ascii="Arial" w:hAnsi="Arial" w:cs="Arial"/>
          <w:sz w:val="20"/>
          <w:szCs w:val="20"/>
        </w:rPr>
        <w:t>Jehanzeb</w:t>
      </w:r>
      <w:proofErr w:type="spellEnd"/>
      <w:r w:rsidRPr="00244BEE">
        <w:rPr>
          <w:rFonts w:ascii="Arial" w:hAnsi="Arial" w:cs="Arial"/>
          <w:sz w:val="20"/>
          <w:szCs w:val="20"/>
        </w:rPr>
        <w:t xml:space="preserve"> &amp; Bashir, 2025).</w:t>
      </w:r>
    </w:p>
    <w:p w14:paraId="2248C3AA" w14:textId="77777777" w:rsidR="00992815" w:rsidRPr="00244BEE" w:rsidRDefault="00992815" w:rsidP="00992815">
      <w:pPr>
        <w:pStyle w:val="NormalWeb"/>
        <w:jc w:val="both"/>
        <w:rPr>
          <w:rFonts w:ascii="Arial" w:hAnsi="Arial" w:cs="Arial"/>
          <w:b/>
          <w:sz w:val="22"/>
          <w:szCs w:val="22"/>
        </w:rPr>
      </w:pPr>
      <w:r w:rsidRPr="00244BEE">
        <w:rPr>
          <w:rFonts w:ascii="Arial" w:hAnsi="Arial" w:cs="Arial"/>
          <w:b/>
          <w:sz w:val="22"/>
          <w:szCs w:val="22"/>
        </w:rPr>
        <w:t>2.3. Relationship of Training and Development programs on Affective Commitment</w:t>
      </w:r>
    </w:p>
    <w:p w14:paraId="44B14CD6" w14:textId="21DAAEBA" w:rsidR="00992815" w:rsidRPr="00244BEE" w:rsidRDefault="00992815" w:rsidP="00992815">
      <w:pPr>
        <w:spacing w:line="240" w:lineRule="auto"/>
        <w:jc w:val="both"/>
        <w:rPr>
          <w:rFonts w:ascii="Arial" w:hAnsi="Arial" w:cs="Arial"/>
          <w:sz w:val="20"/>
          <w:szCs w:val="20"/>
        </w:rPr>
      </w:pPr>
      <w:r w:rsidRPr="00244BEE">
        <w:rPr>
          <w:rFonts w:ascii="Arial" w:hAnsi="Arial" w:cs="Arial"/>
          <w:sz w:val="20"/>
          <w:szCs w:val="20"/>
        </w:rPr>
        <w:t>To enhance employee commitment and improve overall workplace productivity, training and development play a crucial role. These programs not only help individuals strengthen their skills but also contribute to greater job satisfaction and a stronger sense of loyalty to the organization (</w:t>
      </w:r>
      <w:proofErr w:type="spellStart"/>
      <w:r w:rsidRPr="00244BEE">
        <w:rPr>
          <w:rFonts w:ascii="Arial" w:hAnsi="Arial" w:cs="Arial"/>
          <w:sz w:val="20"/>
          <w:szCs w:val="20"/>
        </w:rPr>
        <w:t>Elagaili</w:t>
      </w:r>
      <w:proofErr w:type="spellEnd"/>
      <w:r w:rsidRPr="00244BEE">
        <w:rPr>
          <w:rFonts w:ascii="Arial" w:hAnsi="Arial" w:cs="Arial"/>
          <w:sz w:val="20"/>
          <w:szCs w:val="20"/>
        </w:rPr>
        <w:t xml:space="preserve"> et al., 2024). Effective training program offers both short-term and long-term advantages by preparing employees to adapt to technological changes and organizational needs (</w:t>
      </w:r>
      <w:proofErr w:type="spellStart"/>
      <w:r w:rsidRPr="00244BEE">
        <w:rPr>
          <w:rFonts w:ascii="Arial" w:hAnsi="Arial" w:cs="Arial"/>
          <w:sz w:val="20"/>
          <w:szCs w:val="20"/>
        </w:rPr>
        <w:t>Nda</w:t>
      </w:r>
      <w:proofErr w:type="spellEnd"/>
      <w:r w:rsidRPr="00244BEE">
        <w:rPr>
          <w:rFonts w:ascii="Arial" w:hAnsi="Arial" w:cs="Arial"/>
          <w:sz w:val="20"/>
          <w:szCs w:val="20"/>
        </w:rPr>
        <w:t xml:space="preserve"> &amp; </w:t>
      </w:r>
      <w:proofErr w:type="spellStart"/>
      <w:r w:rsidRPr="00244BEE">
        <w:rPr>
          <w:rFonts w:ascii="Arial" w:hAnsi="Arial" w:cs="Arial"/>
          <w:sz w:val="20"/>
          <w:szCs w:val="20"/>
        </w:rPr>
        <w:t>Fard</w:t>
      </w:r>
      <w:proofErr w:type="spellEnd"/>
      <w:r w:rsidRPr="00244BEE">
        <w:rPr>
          <w:rFonts w:ascii="Arial" w:hAnsi="Arial" w:cs="Arial"/>
          <w:sz w:val="20"/>
          <w:szCs w:val="20"/>
        </w:rPr>
        <w:t xml:space="preserve">, 2013). Employees who hold positive views about training are often more committed to their organizations and tend to take greater involvement towards their work (Mathew &amp; Zacharias, 2016). In addition, Bashir and </w:t>
      </w:r>
      <w:proofErr w:type="spellStart"/>
      <w:r w:rsidRPr="00244BEE">
        <w:rPr>
          <w:rFonts w:ascii="Arial" w:hAnsi="Arial" w:cs="Arial"/>
          <w:sz w:val="20"/>
          <w:szCs w:val="20"/>
        </w:rPr>
        <w:t>Santhi</w:t>
      </w:r>
      <w:proofErr w:type="spellEnd"/>
      <w:r w:rsidRPr="00244BEE">
        <w:rPr>
          <w:rFonts w:ascii="Arial" w:hAnsi="Arial" w:cs="Arial"/>
          <w:sz w:val="20"/>
          <w:szCs w:val="20"/>
        </w:rPr>
        <w:t xml:space="preserve"> (2021) found that offering training and career development opportunities can significantly boost affective commitment. Their research highlighted the importance of integrating HR practices like career planning and skills development to strengthen employees' emotional connection to their workplace.</w:t>
      </w:r>
      <w:bookmarkStart w:id="1" w:name="_Hlk209735059"/>
      <w:r w:rsidR="006C16B7">
        <w:rPr>
          <w:rFonts w:ascii="Arial" w:hAnsi="Arial" w:cs="Arial"/>
          <w:sz w:val="20"/>
          <w:szCs w:val="20"/>
        </w:rPr>
        <w:t xml:space="preserve"> </w:t>
      </w:r>
      <w:r w:rsidRPr="00244BEE">
        <w:rPr>
          <w:rFonts w:ascii="Arial" w:hAnsi="Arial" w:cs="Arial"/>
          <w:sz w:val="20"/>
          <w:szCs w:val="20"/>
        </w:rPr>
        <w:t xml:space="preserve">Furthermore, </w:t>
      </w:r>
      <w:r w:rsidRPr="00244BEE">
        <w:rPr>
          <w:rFonts w:ascii="Arial" w:eastAsia="Times New Roman" w:hAnsi="Arial" w:cs="Arial"/>
          <w:sz w:val="20"/>
          <w:szCs w:val="20"/>
        </w:rPr>
        <w:t>Hanif</w:t>
      </w:r>
      <w:r w:rsidRPr="00244BEE">
        <w:rPr>
          <w:rFonts w:ascii="Arial" w:hAnsi="Arial" w:cs="Arial"/>
          <w:sz w:val="20"/>
          <w:szCs w:val="20"/>
        </w:rPr>
        <w:t xml:space="preserve"> et al., (2024) disclosed that investment in training and development creates a positive sign towards the employee’s view. Employees tend to feel this as a sign of the company’s support for their well-being and ultimately impacts on employee’s affective commitment. Similarly, </w:t>
      </w:r>
      <w:r w:rsidRPr="00244BEE">
        <w:rPr>
          <w:rFonts w:ascii="Arial" w:eastAsia="Times New Roman" w:hAnsi="Arial" w:cs="Arial"/>
          <w:sz w:val="20"/>
          <w:szCs w:val="20"/>
        </w:rPr>
        <w:t>Jia-Jun, &amp; Hua-Ming, (2022)</w:t>
      </w:r>
      <w:r w:rsidRPr="00244BEE">
        <w:rPr>
          <w:rFonts w:ascii="Arial" w:hAnsi="Arial" w:cs="Arial"/>
          <w:sz w:val="20"/>
          <w:szCs w:val="20"/>
        </w:rPr>
        <w:t xml:space="preserve"> argued that training and development increased affective commitment through perceived organizational support. </w:t>
      </w:r>
      <w:bookmarkEnd w:id="1"/>
      <w:r w:rsidRPr="00244BEE">
        <w:rPr>
          <w:rFonts w:ascii="Arial" w:hAnsi="Arial" w:cs="Arial"/>
          <w:sz w:val="20"/>
          <w:szCs w:val="20"/>
          <w:shd w:val="clear" w:color="auto" w:fill="FFFFFF"/>
        </w:rPr>
        <w:t>Hence, this study proposes the 1</w:t>
      </w:r>
      <w:r w:rsidRPr="00244BEE">
        <w:rPr>
          <w:rFonts w:ascii="Arial" w:hAnsi="Arial" w:cs="Arial"/>
          <w:sz w:val="20"/>
          <w:szCs w:val="20"/>
          <w:shd w:val="clear" w:color="auto" w:fill="FFFFFF"/>
          <w:vertAlign w:val="superscript"/>
        </w:rPr>
        <w:t>st</w:t>
      </w:r>
      <w:r w:rsidRPr="00244BEE">
        <w:rPr>
          <w:rFonts w:ascii="Arial" w:hAnsi="Arial" w:cs="Arial"/>
          <w:sz w:val="20"/>
          <w:szCs w:val="20"/>
          <w:shd w:val="clear" w:color="auto" w:fill="FFFFFF"/>
        </w:rPr>
        <w:t xml:space="preserve"> hypothesis as-</w:t>
      </w:r>
    </w:p>
    <w:p w14:paraId="60DD8ED9" w14:textId="77777777" w:rsidR="00992815" w:rsidRPr="00244BEE" w:rsidRDefault="00992815" w:rsidP="00992815">
      <w:pPr>
        <w:pStyle w:val="NormalWeb"/>
        <w:jc w:val="both"/>
        <w:rPr>
          <w:rFonts w:ascii="Arial" w:hAnsi="Arial" w:cs="Arial"/>
          <w:i/>
          <w:sz w:val="20"/>
          <w:szCs w:val="20"/>
        </w:rPr>
      </w:pPr>
      <w:r w:rsidRPr="00244BEE">
        <w:rPr>
          <w:rFonts w:ascii="Arial" w:hAnsi="Arial" w:cs="Arial"/>
          <w:i/>
          <w:sz w:val="20"/>
          <w:szCs w:val="20"/>
        </w:rPr>
        <w:lastRenderedPageBreak/>
        <w:t xml:space="preserve">H1: Training and Development has a significant positive impact on affective commitment. </w:t>
      </w:r>
    </w:p>
    <w:p w14:paraId="2EBE0442" w14:textId="77777777" w:rsidR="00992815" w:rsidRPr="00244BEE" w:rsidRDefault="00992815" w:rsidP="00992815">
      <w:pPr>
        <w:pStyle w:val="NormalWeb"/>
        <w:jc w:val="both"/>
        <w:rPr>
          <w:rFonts w:ascii="Arial" w:hAnsi="Arial" w:cs="Arial"/>
          <w:b/>
          <w:sz w:val="22"/>
          <w:szCs w:val="22"/>
        </w:rPr>
      </w:pPr>
      <w:r w:rsidRPr="00244BEE">
        <w:rPr>
          <w:rFonts w:ascii="Arial" w:hAnsi="Arial" w:cs="Arial"/>
          <w:b/>
          <w:sz w:val="22"/>
          <w:szCs w:val="22"/>
        </w:rPr>
        <w:t>2.4 Relationship of Training and Development programs on Continuance Commitment</w:t>
      </w:r>
    </w:p>
    <w:p w14:paraId="4AB62142" w14:textId="6787A3A3" w:rsidR="00992815" w:rsidRPr="00244BEE" w:rsidRDefault="00992815" w:rsidP="00992815">
      <w:pPr>
        <w:pStyle w:val="NormalWeb"/>
        <w:jc w:val="both"/>
        <w:rPr>
          <w:rFonts w:ascii="Arial" w:hAnsi="Arial" w:cs="Arial"/>
          <w:sz w:val="20"/>
          <w:szCs w:val="20"/>
        </w:rPr>
      </w:pPr>
      <w:r w:rsidRPr="00244BEE">
        <w:rPr>
          <w:rFonts w:ascii="Arial" w:hAnsi="Arial" w:cs="Arial"/>
          <w:sz w:val="20"/>
          <w:szCs w:val="20"/>
        </w:rPr>
        <w:t>To optimize outcomes, organizations should implement tailored training initiatives that address specific employee needs while aligning with strategic objectives (</w:t>
      </w:r>
      <w:proofErr w:type="spellStart"/>
      <w:r w:rsidRPr="00244BEE">
        <w:rPr>
          <w:rFonts w:ascii="Arial" w:hAnsi="Arial" w:cs="Arial"/>
          <w:sz w:val="20"/>
          <w:szCs w:val="20"/>
        </w:rPr>
        <w:t>Elagaili</w:t>
      </w:r>
      <w:proofErr w:type="spellEnd"/>
      <w:r w:rsidRPr="00244BEE">
        <w:rPr>
          <w:rFonts w:ascii="Arial" w:hAnsi="Arial" w:cs="Arial"/>
          <w:sz w:val="20"/>
          <w:szCs w:val="20"/>
        </w:rPr>
        <w:t xml:space="preserve"> et al., 2024). Through strategic investment in training and development, companies can cultivate a more dedicated workforce and enhance overall organizational performance.</w:t>
      </w:r>
      <w:r w:rsidRPr="00244BEE">
        <w:rPr>
          <w:rStyle w:val="Strong"/>
          <w:rFonts w:ascii="Arial" w:hAnsi="Arial" w:cs="Arial"/>
          <w:b w:val="0"/>
          <w:sz w:val="20"/>
          <w:szCs w:val="20"/>
        </w:rPr>
        <w:t xml:space="preserve"> Bartlett &amp; Kang (2001)</w:t>
      </w:r>
      <w:r w:rsidRPr="00244BEE">
        <w:rPr>
          <w:rStyle w:val="relative"/>
          <w:rFonts w:ascii="Arial" w:hAnsi="Arial" w:cs="Arial"/>
          <w:sz w:val="20"/>
          <w:szCs w:val="20"/>
        </w:rPr>
        <w:t xml:space="preserve"> found that Normative commitment increased when employee perceived the advantages of getting training, training frequency, motivation, training benefits, and supervisory support.</w:t>
      </w:r>
      <w:r w:rsidRPr="00244BEE">
        <w:rPr>
          <w:rStyle w:val="Strong"/>
          <w:rFonts w:ascii="Arial" w:hAnsi="Arial" w:cs="Arial"/>
          <w:b w:val="0"/>
          <w:sz w:val="20"/>
          <w:szCs w:val="20"/>
        </w:rPr>
        <w:t xml:space="preserve"> When employee satisfied, it increased continuance commitment</w:t>
      </w:r>
      <w:r w:rsidRPr="00244BEE">
        <w:rPr>
          <w:rFonts w:ascii="Arial" w:hAnsi="Arial" w:cs="Arial"/>
          <w:b/>
          <w:sz w:val="20"/>
          <w:szCs w:val="20"/>
        </w:rPr>
        <w:t xml:space="preserve">, </w:t>
      </w:r>
      <w:r w:rsidRPr="00244BEE">
        <w:rPr>
          <w:rFonts w:ascii="Arial" w:hAnsi="Arial" w:cs="Arial"/>
          <w:sz w:val="20"/>
          <w:szCs w:val="20"/>
        </w:rPr>
        <w:t>which in turn</w:t>
      </w:r>
      <w:r w:rsidRPr="00244BEE">
        <w:rPr>
          <w:rFonts w:ascii="Arial" w:hAnsi="Arial" w:cs="Arial"/>
          <w:b/>
          <w:sz w:val="20"/>
          <w:szCs w:val="20"/>
        </w:rPr>
        <w:t xml:space="preserve"> </w:t>
      </w:r>
      <w:r w:rsidRPr="00244BEE">
        <w:rPr>
          <w:rStyle w:val="Strong"/>
          <w:rFonts w:ascii="Arial" w:hAnsi="Arial" w:cs="Arial"/>
          <w:b w:val="0"/>
          <w:sz w:val="20"/>
          <w:szCs w:val="20"/>
        </w:rPr>
        <w:t>mediated a reduction in turnover intentions (Isom 2023)</w:t>
      </w:r>
      <w:r w:rsidRPr="00244BEE">
        <w:rPr>
          <w:rFonts w:ascii="Arial" w:hAnsi="Arial" w:cs="Arial"/>
          <w:sz w:val="20"/>
          <w:szCs w:val="20"/>
        </w:rPr>
        <w:t xml:space="preserve">. </w:t>
      </w:r>
      <w:bookmarkStart w:id="2" w:name="_Hlk209735080"/>
      <w:r w:rsidRPr="00244BEE">
        <w:rPr>
          <w:rFonts w:ascii="Arial" w:hAnsi="Arial" w:cs="Arial"/>
          <w:sz w:val="20"/>
          <w:szCs w:val="20"/>
        </w:rPr>
        <w:t>Similarly, Khan et al. (2021) investigated on public sector hospitals in Pakistan and found that all the three components of organizational commitment have been positively impacted by training and development programs. They emphasized on continuance commitment particularly, when nurses perceived that training programs met their professional development needs, their continuance commitment also increased.</w:t>
      </w:r>
      <w:r w:rsidRPr="00244BEE">
        <w:rPr>
          <w:rFonts w:ascii="Arial" w:hAnsi="Arial" w:cs="Arial"/>
        </w:rPr>
        <w:t xml:space="preserve"> </w:t>
      </w:r>
      <w:bookmarkEnd w:id="2"/>
      <w:r w:rsidRPr="00244BEE">
        <w:rPr>
          <w:rFonts w:ascii="Arial" w:hAnsi="Arial" w:cs="Arial"/>
          <w:sz w:val="20"/>
          <w:szCs w:val="20"/>
        </w:rPr>
        <w:t>Therefore</w:t>
      </w:r>
      <w:r w:rsidR="00275EC1">
        <w:rPr>
          <w:rFonts w:ascii="Arial" w:hAnsi="Arial" w:cs="Arial"/>
          <w:sz w:val="20"/>
          <w:szCs w:val="20"/>
        </w:rPr>
        <w:t>,</w:t>
      </w:r>
      <w:r w:rsidRPr="00244BEE">
        <w:rPr>
          <w:rFonts w:ascii="Arial" w:hAnsi="Arial" w:cs="Arial"/>
          <w:sz w:val="20"/>
          <w:szCs w:val="20"/>
        </w:rPr>
        <w:t xml:space="preserve"> the 2</w:t>
      </w:r>
      <w:proofErr w:type="gramStart"/>
      <w:r w:rsidRPr="00244BEE">
        <w:rPr>
          <w:rFonts w:ascii="Arial" w:hAnsi="Arial" w:cs="Arial"/>
          <w:sz w:val="20"/>
          <w:szCs w:val="20"/>
          <w:vertAlign w:val="superscript"/>
        </w:rPr>
        <w:t>nd</w:t>
      </w:r>
      <w:r w:rsidRPr="00244BEE">
        <w:rPr>
          <w:rFonts w:ascii="Arial" w:hAnsi="Arial" w:cs="Arial"/>
          <w:sz w:val="20"/>
          <w:szCs w:val="20"/>
        </w:rPr>
        <w:t xml:space="preserve"> </w:t>
      </w:r>
      <w:r w:rsidR="00293C94">
        <w:rPr>
          <w:rFonts w:ascii="Arial" w:hAnsi="Arial" w:cs="Arial"/>
          <w:sz w:val="20"/>
          <w:szCs w:val="20"/>
        </w:rPr>
        <w:t xml:space="preserve"> h</w:t>
      </w:r>
      <w:r w:rsidRPr="00244BEE">
        <w:rPr>
          <w:rFonts w:ascii="Arial" w:hAnsi="Arial" w:cs="Arial"/>
          <w:sz w:val="20"/>
          <w:szCs w:val="20"/>
        </w:rPr>
        <w:t>ypothesis</w:t>
      </w:r>
      <w:proofErr w:type="gramEnd"/>
      <w:r w:rsidRPr="00244BEE">
        <w:rPr>
          <w:rFonts w:ascii="Arial" w:hAnsi="Arial" w:cs="Arial"/>
          <w:sz w:val="20"/>
          <w:szCs w:val="20"/>
        </w:rPr>
        <w:t xml:space="preserve"> of this study would be-</w:t>
      </w:r>
    </w:p>
    <w:p w14:paraId="4826AD2E" w14:textId="77777777" w:rsidR="00992815" w:rsidRPr="00244BEE" w:rsidRDefault="00992815" w:rsidP="00992815">
      <w:pPr>
        <w:pStyle w:val="NormalWeb"/>
        <w:jc w:val="both"/>
        <w:rPr>
          <w:rFonts w:ascii="Arial" w:hAnsi="Arial" w:cs="Arial"/>
          <w:i/>
          <w:sz w:val="20"/>
          <w:szCs w:val="20"/>
        </w:rPr>
      </w:pPr>
      <w:r w:rsidRPr="00244BEE">
        <w:rPr>
          <w:rFonts w:ascii="Arial" w:hAnsi="Arial" w:cs="Arial"/>
          <w:i/>
          <w:sz w:val="20"/>
          <w:szCs w:val="20"/>
        </w:rPr>
        <w:t>H2: Training and Development has a significant positive impact on continuance commitment.</w:t>
      </w:r>
    </w:p>
    <w:p w14:paraId="0ECE8D23" w14:textId="77777777" w:rsidR="00992815" w:rsidRPr="00244BEE" w:rsidRDefault="00992815" w:rsidP="00992815">
      <w:pPr>
        <w:pStyle w:val="NormalWeb"/>
        <w:jc w:val="both"/>
        <w:rPr>
          <w:rFonts w:ascii="Arial" w:hAnsi="Arial" w:cs="Arial"/>
          <w:b/>
          <w:sz w:val="22"/>
          <w:szCs w:val="22"/>
        </w:rPr>
      </w:pPr>
      <w:r w:rsidRPr="00244BEE">
        <w:rPr>
          <w:rFonts w:ascii="Arial" w:hAnsi="Arial" w:cs="Arial"/>
          <w:b/>
          <w:sz w:val="22"/>
          <w:szCs w:val="22"/>
        </w:rPr>
        <w:t>2.5 Relationship of Training and Development programs on Normative Commitment</w:t>
      </w:r>
    </w:p>
    <w:p w14:paraId="25093FDF" w14:textId="5A743697" w:rsidR="00992815" w:rsidRPr="00244BEE" w:rsidRDefault="00992815" w:rsidP="00992815">
      <w:pPr>
        <w:pStyle w:val="NormalWeb"/>
        <w:jc w:val="both"/>
        <w:rPr>
          <w:rStyle w:val="relative"/>
          <w:rFonts w:ascii="Arial" w:hAnsi="Arial" w:cs="Arial"/>
          <w:sz w:val="20"/>
          <w:szCs w:val="20"/>
        </w:rPr>
      </w:pPr>
      <w:r w:rsidRPr="00244BEE">
        <w:rPr>
          <w:rFonts w:ascii="Arial" w:hAnsi="Arial" w:cs="Arial"/>
          <w:sz w:val="20"/>
          <w:szCs w:val="20"/>
        </w:rPr>
        <w:t xml:space="preserve">Ben Mansour, </w:t>
      </w:r>
      <w:proofErr w:type="spellStart"/>
      <w:r w:rsidRPr="00244BEE">
        <w:rPr>
          <w:rFonts w:ascii="Arial" w:hAnsi="Arial" w:cs="Arial"/>
          <w:sz w:val="20"/>
          <w:szCs w:val="20"/>
        </w:rPr>
        <w:t>Naji</w:t>
      </w:r>
      <w:proofErr w:type="spellEnd"/>
      <w:r w:rsidRPr="00244BEE">
        <w:rPr>
          <w:rFonts w:ascii="Arial" w:hAnsi="Arial" w:cs="Arial"/>
          <w:sz w:val="20"/>
          <w:szCs w:val="20"/>
        </w:rPr>
        <w:t>, &amp; Leclerc (2017)</w:t>
      </w:r>
      <w:r w:rsidRPr="00244BEE">
        <w:rPr>
          <w:rStyle w:val="relative"/>
          <w:rFonts w:ascii="Arial" w:hAnsi="Arial" w:cs="Arial"/>
          <w:sz w:val="20"/>
          <w:szCs w:val="20"/>
        </w:rPr>
        <w:t xml:space="preserve"> found that when employee apparent satisfaction with their training, they feel a stronger sense of obligation to stay at the organization.</w:t>
      </w:r>
      <w:r w:rsidRPr="00244BEE">
        <w:rPr>
          <w:rFonts w:ascii="Arial" w:hAnsi="Arial" w:cs="Arial"/>
          <w:sz w:val="20"/>
          <w:szCs w:val="20"/>
        </w:rPr>
        <w:t xml:space="preserve"> </w:t>
      </w:r>
      <w:r w:rsidRPr="00244BEE">
        <w:rPr>
          <w:rStyle w:val="relative"/>
          <w:rFonts w:ascii="Arial" w:hAnsi="Arial" w:cs="Arial"/>
          <w:sz w:val="20"/>
          <w:szCs w:val="20"/>
        </w:rPr>
        <w:t xml:space="preserve">This sense of obligation, known as </w:t>
      </w:r>
      <w:r w:rsidRPr="00244BEE">
        <w:rPr>
          <w:rStyle w:val="Strong"/>
          <w:rFonts w:ascii="Arial" w:hAnsi="Arial" w:cs="Arial"/>
          <w:b w:val="0"/>
          <w:sz w:val="20"/>
          <w:szCs w:val="20"/>
        </w:rPr>
        <w:t>normative commitment</w:t>
      </w:r>
      <w:r w:rsidRPr="00244BEE">
        <w:rPr>
          <w:rStyle w:val="relative"/>
          <w:rFonts w:ascii="Arial" w:hAnsi="Arial" w:cs="Arial"/>
          <w:sz w:val="20"/>
          <w:szCs w:val="20"/>
        </w:rPr>
        <w:t xml:space="preserve">, then motivates them to apply what they've learned in their jobs. </w:t>
      </w:r>
      <w:bookmarkStart w:id="3" w:name="_Hlk209735105"/>
      <w:r w:rsidRPr="00244BEE">
        <w:rPr>
          <w:rFonts w:ascii="Arial" w:hAnsi="Arial" w:cs="Arial"/>
          <w:sz w:val="20"/>
          <w:szCs w:val="20"/>
        </w:rPr>
        <w:t xml:space="preserve">Mokhtar et al., (2021) noted in Malaysia’s oil and gas industry that employee engagement, often facilitated by robust training systems, was positively associated with normative commitment. Similarly, </w:t>
      </w:r>
      <w:proofErr w:type="spellStart"/>
      <w:r w:rsidRPr="00244BEE">
        <w:rPr>
          <w:rFonts w:ascii="Arial" w:hAnsi="Arial" w:cs="Arial"/>
          <w:sz w:val="20"/>
          <w:szCs w:val="20"/>
        </w:rPr>
        <w:t>Muleya</w:t>
      </w:r>
      <w:proofErr w:type="spellEnd"/>
      <w:r w:rsidRPr="00244BEE">
        <w:rPr>
          <w:rFonts w:ascii="Arial" w:hAnsi="Arial" w:cs="Arial"/>
          <w:sz w:val="20"/>
          <w:szCs w:val="20"/>
        </w:rPr>
        <w:t xml:space="preserve">, </w:t>
      </w:r>
      <w:proofErr w:type="spellStart"/>
      <w:r w:rsidRPr="00244BEE">
        <w:rPr>
          <w:rFonts w:ascii="Arial" w:hAnsi="Arial" w:cs="Arial"/>
          <w:sz w:val="20"/>
          <w:szCs w:val="20"/>
        </w:rPr>
        <w:t>Ngirande</w:t>
      </w:r>
      <w:proofErr w:type="spellEnd"/>
      <w:r w:rsidRPr="00244BEE">
        <w:rPr>
          <w:rFonts w:ascii="Arial" w:hAnsi="Arial" w:cs="Arial"/>
          <w:sz w:val="20"/>
          <w:szCs w:val="20"/>
        </w:rPr>
        <w:t xml:space="preserve">, &amp; </w:t>
      </w:r>
      <w:proofErr w:type="spellStart"/>
      <w:r w:rsidRPr="00244BEE">
        <w:rPr>
          <w:rFonts w:ascii="Arial" w:hAnsi="Arial" w:cs="Arial"/>
          <w:sz w:val="20"/>
          <w:szCs w:val="20"/>
        </w:rPr>
        <w:t>Terera</w:t>
      </w:r>
      <w:proofErr w:type="spellEnd"/>
      <w:r w:rsidRPr="00244BEE">
        <w:rPr>
          <w:rFonts w:ascii="Arial" w:hAnsi="Arial" w:cs="Arial"/>
          <w:sz w:val="20"/>
          <w:szCs w:val="20"/>
        </w:rPr>
        <w:t xml:space="preserve">, (2022) found that faculty in university level perceived adequate and task related training significantly increased their normative commitment. </w:t>
      </w:r>
      <w:bookmarkEnd w:id="3"/>
      <w:r w:rsidRPr="00244BEE">
        <w:rPr>
          <w:rStyle w:val="relative"/>
          <w:rFonts w:ascii="Arial" w:hAnsi="Arial" w:cs="Arial"/>
          <w:sz w:val="20"/>
          <w:szCs w:val="20"/>
        </w:rPr>
        <w:t>Thus, the 3</w:t>
      </w:r>
      <w:r w:rsidRPr="00244BEE">
        <w:rPr>
          <w:rStyle w:val="relative"/>
          <w:rFonts w:ascii="Arial" w:hAnsi="Arial" w:cs="Arial"/>
          <w:sz w:val="20"/>
          <w:szCs w:val="20"/>
          <w:vertAlign w:val="superscript"/>
        </w:rPr>
        <w:t>rd</w:t>
      </w:r>
      <w:r w:rsidR="00275EC1">
        <w:rPr>
          <w:rStyle w:val="relative"/>
          <w:rFonts w:ascii="Arial" w:hAnsi="Arial" w:cs="Arial"/>
          <w:sz w:val="20"/>
          <w:szCs w:val="20"/>
        </w:rPr>
        <w:t xml:space="preserve"> h</w:t>
      </w:r>
      <w:r w:rsidRPr="00244BEE">
        <w:rPr>
          <w:rStyle w:val="relative"/>
          <w:rFonts w:ascii="Arial" w:hAnsi="Arial" w:cs="Arial"/>
          <w:sz w:val="20"/>
          <w:szCs w:val="20"/>
        </w:rPr>
        <w:t>ypothesis would be-</w:t>
      </w:r>
    </w:p>
    <w:p w14:paraId="6EE424C7" w14:textId="77777777" w:rsidR="00992815" w:rsidRPr="00244BEE" w:rsidRDefault="00992815" w:rsidP="00992815">
      <w:pPr>
        <w:pStyle w:val="NormalWeb"/>
        <w:jc w:val="both"/>
        <w:rPr>
          <w:rFonts w:ascii="Arial" w:hAnsi="Arial" w:cs="Arial"/>
          <w:i/>
          <w:sz w:val="20"/>
          <w:szCs w:val="20"/>
        </w:rPr>
      </w:pPr>
      <w:r w:rsidRPr="00244BEE">
        <w:rPr>
          <w:rStyle w:val="relative"/>
          <w:rFonts w:ascii="Arial" w:hAnsi="Arial" w:cs="Arial"/>
          <w:i/>
          <w:sz w:val="20"/>
          <w:szCs w:val="20"/>
        </w:rPr>
        <w:t xml:space="preserve">H3: </w:t>
      </w:r>
      <w:r w:rsidRPr="00244BEE">
        <w:rPr>
          <w:rFonts w:ascii="Arial" w:hAnsi="Arial" w:cs="Arial"/>
          <w:i/>
          <w:sz w:val="20"/>
          <w:szCs w:val="20"/>
        </w:rPr>
        <w:t>Training and Development has a significant positive impact on normative commitment.</w:t>
      </w:r>
    </w:p>
    <w:p w14:paraId="4163CD2B" w14:textId="77777777" w:rsidR="00992815" w:rsidRPr="00244BEE" w:rsidRDefault="00992815" w:rsidP="00992815">
      <w:pPr>
        <w:spacing w:before="100" w:beforeAutospacing="1" w:after="100" w:afterAutospacing="1" w:line="240" w:lineRule="auto"/>
        <w:outlineLvl w:val="1"/>
        <w:rPr>
          <w:rFonts w:ascii="Arial" w:eastAsia="Times New Roman" w:hAnsi="Arial" w:cs="Arial"/>
          <w:b/>
          <w:bCs/>
        </w:rPr>
      </w:pPr>
      <w:r w:rsidRPr="00244BEE">
        <w:rPr>
          <w:rFonts w:ascii="Arial" w:eastAsia="Times New Roman" w:hAnsi="Arial" w:cs="Arial"/>
          <w:b/>
          <w:bCs/>
        </w:rPr>
        <w:t>2.6 Theoretical Foundation: Social Exchange Theory (SET)</w:t>
      </w:r>
    </w:p>
    <w:p w14:paraId="493C5A6A" w14:textId="23DB3FB3" w:rsidR="00992815" w:rsidRPr="00244BEE" w:rsidRDefault="00992815" w:rsidP="00992815">
      <w:pPr>
        <w:spacing w:before="240" w:after="0" w:line="240" w:lineRule="auto"/>
        <w:jc w:val="both"/>
        <w:rPr>
          <w:rFonts w:ascii="Arial" w:hAnsi="Arial" w:cs="Arial"/>
          <w:sz w:val="20"/>
          <w:szCs w:val="20"/>
        </w:rPr>
      </w:pPr>
      <w:r w:rsidRPr="00244BEE">
        <w:rPr>
          <w:rFonts w:ascii="Arial" w:hAnsi="Arial" w:cs="Arial"/>
          <w:sz w:val="20"/>
          <w:szCs w:val="20"/>
        </w:rPr>
        <w:t xml:space="preserve">One of the most influential frameworks for understanding behavior and relationships in the workplace is Social Exchange Theory (SET). Introduced by Homans (1958) and later expanded by </w:t>
      </w:r>
      <w:proofErr w:type="spellStart"/>
      <w:r w:rsidRPr="00244BEE">
        <w:rPr>
          <w:rFonts w:ascii="Arial" w:hAnsi="Arial" w:cs="Arial"/>
          <w:sz w:val="20"/>
          <w:szCs w:val="20"/>
        </w:rPr>
        <w:t>Blau</w:t>
      </w:r>
      <w:proofErr w:type="spellEnd"/>
      <w:r w:rsidRPr="00244BEE">
        <w:rPr>
          <w:rFonts w:ascii="Arial" w:hAnsi="Arial" w:cs="Arial"/>
          <w:sz w:val="20"/>
          <w:szCs w:val="20"/>
        </w:rPr>
        <w:t xml:space="preserve"> (1964), SET centers on the idea that social interactions are built upon reciprocal exchanges. Individuals assess these exchanges by considering the balance of what they give and receive. At its heart, the theory suggests that when people experience positive treatment or receive valued resources, they feel a sense of obligation to respond in kind, leading to the development of mutual trust and lasting social bonds (</w:t>
      </w:r>
      <w:proofErr w:type="spellStart"/>
      <w:r w:rsidRPr="00244BEE">
        <w:rPr>
          <w:rFonts w:ascii="Arial" w:hAnsi="Arial" w:cs="Arial"/>
          <w:sz w:val="20"/>
          <w:szCs w:val="20"/>
        </w:rPr>
        <w:t>Cropanzano</w:t>
      </w:r>
      <w:proofErr w:type="spellEnd"/>
      <w:r w:rsidRPr="00244BEE">
        <w:rPr>
          <w:rFonts w:ascii="Arial" w:hAnsi="Arial" w:cs="Arial"/>
          <w:sz w:val="20"/>
          <w:szCs w:val="20"/>
        </w:rPr>
        <w:t xml:space="preserve"> &amp; Mitchell, 2005). </w:t>
      </w:r>
      <w:proofErr w:type="spellStart"/>
      <w:r w:rsidRPr="00244BEE">
        <w:rPr>
          <w:rFonts w:ascii="Arial" w:hAnsi="Arial" w:cs="Arial"/>
          <w:sz w:val="20"/>
          <w:szCs w:val="20"/>
        </w:rPr>
        <w:t>Blau</w:t>
      </w:r>
      <w:proofErr w:type="spellEnd"/>
      <w:r w:rsidRPr="00244BEE">
        <w:rPr>
          <w:rFonts w:ascii="Arial" w:hAnsi="Arial" w:cs="Arial"/>
          <w:sz w:val="20"/>
          <w:szCs w:val="20"/>
        </w:rPr>
        <w:t xml:space="preserve"> (1964) distinguished social exchange from economic exchange by emphasizing that </w:t>
      </w:r>
      <w:r w:rsidRPr="00244BEE">
        <w:rPr>
          <w:rFonts w:ascii="Arial" w:eastAsia="Times New Roman" w:hAnsi="Arial" w:cs="Arial"/>
          <w:sz w:val="20"/>
          <w:szCs w:val="20"/>
        </w:rPr>
        <w:t xml:space="preserve">it involves unspecified obligations and the expectation of reciprocity over time. </w:t>
      </w:r>
      <w:r w:rsidRPr="00244BEE">
        <w:rPr>
          <w:rFonts w:ascii="Arial" w:hAnsi="Arial" w:cs="Arial"/>
          <w:sz w:val="20"/>
          <w:szCs w:val="20"/>
        </w:rPr>
        <w:t xml:space="preserve">These exchanges rely on trust, respect, and long-term reciprocity (Emerson, 1976). Within organizations, when employees perceive fairness, recognition, or support from their employer, they often respond with increased job satisfaction, commitment, and voluntary efforts that go beyond their formal duties (Eisenberger et al., 1986). According to Shore et al. (2009), SET provides a valuable lens through which to view the employee–organization relationship, particularly as it relates to practices such as training, support, and fair treatment. Employees tend to interpret these actions as organizational investment in their well-being, which they reciprocate through loyalty, improved performance, and reduced intention to leave. </w:t>
      </w:r>
      <w:proofErr w:type="spellStart"/>
      <w:r w:rsidRPr="00244BEE">
        <w:rPr>
          <w:rFonts w:ascii="Arial" w:hAnsi="Arial" w:cs="Arial"/>
          <w:sz w:val="20"/>
          <w:szCs w:val="20"/>
        </w:rPr>
        <w:t>Cropanzano</w:t>
      </w:r>
      <w:proofErr w:type="spellEnd"/>
      <w:r w:rsidRPr="00244BEE">
        <w:rPr>
          <w:rFonts w:ascii="Arial" w:hAnsi="Arial" w:cs="Arial"/>
          <w:sz w:val="20"/>
          <w:szCs w:val="20"/>
        </w:rPr>
        <w:t xml:space="preserve"> and Mitchell (2005) also noted that these exchanges often involve intangible elements—like trust, respect, and psychological safety—which are essential for nurturing durable and meaningful workplace relationships. In the context of private universities in Bangladesh, training and development initiatives have become a vital tool for enhancing faculty capabilities. When institutions invest in the professional growth of their staff, employees often interpret this as a sign of genuine organizational concern (</w:t>
      </w:r>
      <w:proofErr w:type="spellStart"/>
      <w:r w:rsidRPr="00244BEE">
        <w:rPr>
          <w:rFonts w:ascii="Arial" w:hAnsi="Arial" w:cs="Arial"/>
          <w:sz w:val="20"/>
          <w:szCs w:val="20"/>
        </w:rPr>
        <w:t>Joarder</w:t>
      </w:r>
      <w:proofErr w:type="spellEnd"/>
      <w:r w:rsidRPr="00244BEE">
        <w:rPr>
          <w:rFonts w:ascii="Arial" w:hAnsi="Arial" w:cs="Arial"/>
          <w:sz w:val="20"/>
          <w:szCs w:val="20"/>
        </w:rPr>
        <w:t xml:space="preserve">, Sharif, &amp; </w:t>
      </w:r>
      <w:proofErr w:type="spellStart"/>
      <w:r w:rsidRPr="00244BEE">
        <w:rPr>
          <w:rFonts w:ascii="Arial" w:hAnsi="Arial" w:cs="Arial"/>
          <w:sz w:val="20"/>
          <w:szCs w:val="20"/>
        </w:rPr>
        <w:t>Ahmmed</w:t>
      </w:r>
      <w:proofErr w:type="spellEnd"/>
      <w:r w:rsidRPr="00244BEE">
        <w:rPr>
          <w:rFonts w:ascii="Arial" w:hAnsi="Arial" w:cs="Arial"/>
          <w:sz w:val="20"/>
          <w:szCs w:val="20"/>
        </w:rPr>
        <w:t xml:space="preserve">, 2011). This aligns closely with the core ideas of SET, </w:t>
      </w:r>
      <w:r w:rsidRPr="00244BEE">
        <w:rPr>
          <w:rFonts w:ascii="Arial" w:hAnsi="Arial" w:cs="Arial"/>
          <w:sz w:val="20"/>
          <w:szCs w:val="20"/>
        </w:rPr>
        <w:lastRenderedPageBreak/>
        <w:t xml:space="preserve">as such gestures from the employer are frequently met with heightened affective commitment, where employees feel emotionally connected to their institution, and normative commitment, where they feel a moral obligation to stay. Moreover, opportunities for career advancement contribute to continuance commitment by encouraging employees to evaluate the personal and professional benefits of remaining with the institution (Meyer &amp; Allen, 1991; </w:t>
      </w:r>
      <w:proofErr w:type="spellStart"/>
      <w:r w:rsidRPr="00244BEE">
        <w:rPr>
          <w:rFonts w:ascii="Arial" w:hAnsi="Arial" w:cs="Arial"/>
          <w:sz w:val="20"/>
          <w:szCs w:val="20"/>
        </w:rPr>
        <w:t>Alfes</w:t>
      </w:r>
      <w:proofErr w:type="spellEnd"/>
      <w:r w:rsidRPr="00244BEE">
        <w:rPr>
          <w:rFonts w:ascii="Arial" w:hAnsi="Arial" w:cs="Arial"/>
          <w:sz w:val="20"/>
          <w:szCs w:val="20"/>
        </w:rPr>
        <w:t xml:space="preserve"> et al., 2013).</w:t>
      </w:r>
      <w:bookmarkStart w:id="4" w:name="_Hlk209735127"/>
      <w:r w:rsidR="00F56294">
        <w:rPr>
          <w:rFonts w:ascii="Arial" w:hAnsi="Arial" w:cs="Arial"/>
          <w:sz w:val="20"/>
          <w:szCs w:val="20"/>
        </w:rPr>
        <w:t xml:space="preserve"> </w:t>
      </w:r>
      <w:r w:rsidRPr="00244BEE">
        <w:rPr>
          <w:rFonts w:ascii="Arial" w:hAnsi="Arial" w:cs="Arial"/>
          <w:sz w:val="20"/>
          <w:szCs w:val="20"/>
        </w:rPr>
        <w:t xml:space="preserve">Several recent studies also found that training and development increased the organizational commitment. Bashar et al., (2024) investigated the relationship of training and development with organizational commitment among private bank employees, and found positive results. Similarly, Hosen, et al., (2023) showed how training and development positively influence organizational commitment, which also mediates the work performance in the hospitality sector of Bangladesh. Rahman et al. (2023) particularly investigated at the higher education in Bangladesh and highlighted that Human Resources practices such as pay equity significantly influence affective, continuance, and normative commitment. These findings reflect SET’s central proposition that employees reciprocate organizational investment with higher commitment. </w:t>
      </w:r>
      <w:bookmarkEnd w:id="4"/>
    </w:p>
    <w:p w14:paraId="2B657970" w14:textId="77777777" w:rsidR="00992815" w:rsidRPr="00244BEE" w:rsidRDefault="00992815" w:rsidP="00992815">
      <w:pPr>
        <w:spacing w:before="100" w:beforeAutospacing="1" w:after="100" w:afterAutospacing="1" w:line="240" w:lineRule="auto"/>
        <w:jc w:val="both"/>
        <w:rPr>
          <w:rFonts w:ascii="Arial" w:eastAsia="Times New Roman" w:hAnsi="Arial" w:cs="Arial"/>
          <w:b/>
        </w:rPr>
      </w:pPr>
      <w:r w:rsidRPr="00244BEE">
        <w:rPr>
          <w:rFonts w:ascii="Arial" w:eastAsia="Times New Roman" w:hAnsi="Arial" w:cs="Arial"/>
          <w:b/>
        </w:rPr>
        <w:t>2.7 Conceptual Framework</w:t>
      </w:r>
    </w:p>
    <w:p w14:paraId="698331A0" w14:textId="77777777" w:rsidR="00F56294" w:rsidRDefault="00992815" w:rsidP="00992815">
      <w:pPr>
        <w:spacing w:before="100" w:beforeAutospacing="1" w:after="100" w:afterAutospacing="1" w:line="240" w:lineRule="auto"/>
        <w:jc w:val="both"/>
        <w:rPr>
          <w:rStyle w:val="Strong"/>
          <w:rFonts w:ascii="Arial" w:hAnsi="Arial" w:cs="Arial"/>
          <w:b w:val="0"/>
          <w:sz w:val="20"/>
          <w:szCs w:val="20"/>
        </w:rPr>
      </w:pPr>
      <w:r w:rsidRPr="00244BEE">
        <w:rPr>
          <w:rFonts w:ascii="Arial" w:hAnsi="Arial" w:cs="Arial"/>
          <w:sz w:val="20"/>
          <w:szCs w:val="20"/>
        </w:rPr>
        <w:t>Here's the conceptual framework of this study illustrating the impact of Training</w:t>
      </w:r>
      <w:r w:rsidRPr="00244BEE">
        <w:rPr>
          <w:rStyle w:val="Strong"/>
          <w:rFonts w:ascii="Arial" w:hAnsi="Arial" w:cs="Arial"/>
          <w:b w:val="0"/>
          <w:sz w:val="20"/>
          <w:szCs w:val="20"/>
        </w:rPr>
        <w:t xml:space="preserve"> &amp; Professional Development </w:t>
      </w:r>
      <w:r w:rsidRPr="00244BEE">
        <w:rPr>
          <w:rFonts w:ascii="Arial" w:hAnsi="Arial" w:cs="Arial"/>
          <w:sz w:val="20"/>
          <w:szCs w:val="20"/>
        </w:rPr>
        <w:t xml:space="preserve">programs on </w:t>
      </w:r>
      <w:r w:rsidRPr="00244BEE">
        <w:rPr>
          <w:rStyle w:val="Strong"/>
          <w:rFonts w:ascii="Arial" w:hAnsi="Arial" w:cs="Arial"/>
          <w:b w:val="0"/>
          <w:sz w:val="20"/>
          <w:szCs w:val="20"/>
        </w:rPr>
        <w:t>Employee Commitment</w:t>
      </w:r>
      <w:r w:rsidRPr="00244BEE">
        <w:rPr>
          <w:rFonts w:ascii="Arial" w:hAnsi="Arial" w:cs="Arial"/>
          <w:sz w:val="20"/>
          <w:szCs w:val="20"/>
        </w:rPr>
        <w:t xml:space="preserve">, specifically focusing on Affective Commitment, Continuous Commitment and </w:t>
      </w:r>
      <w:r w:rsidR="00F56294">
        <w:rPr>
          <w:rStyle w:val="Strong"/>
          <w:rFonts w:ascii="Arial" w:hAnsi="Arial" w:cs="Arial"/>
          <w:b w:val="0"/>
          <w:sz w:val="20"/>
          <w:szCs w:val="20"/>
        </w:rPr>
        <w:t>Normative Commitment</w:t>
      </w:r>
    </w:p>
    <w:p w14:paraId="1D0C1D93" w14:textId="6913BBB6" w:rsidR="00992815" w:rsidRPr="00244BEE" w:rsidRDefault="00992815" w:rsidP="00992815">
      <w:pPr>
        <w:spacing w:before="100" w:beforeAutospacing="1" w:after="100" w:afterAutospacing="1" w:line="240" w:lineRule="auto"/>
        <w:jc w:val="both"/>
        <w:rPr>
          <w:rStyle w:val="Strong"/>
          <w:rFonts w:ascii="Arial" w:hAnsi="Arial" w:cs="Arial"/>
          <w:b w:val="0"/>
          <w:sz w:val="20"/>
          <w:szCs w:val="20"/>
        </w:rPr>
      </w:pPr>
      <w:r w:rsidRPr="00244BEE">
        <w:rPr>
          <w:rFonts w:ascii="Arial" w:hAnsi="Arial" w:cs="Arial"/>
          <w:bCs/>
          <w:noProof/>
          <w:sz w:val="24"/>
          <w:szCs w:val="24"/>
        </w:rPr>
        <mc:AlternateContent>
          <mc:Choice Requires="wpg">
            <w:drawing>
              <wp:anchor distT="0" distB="0" distL="114300" distR="114300" simplePos="0" relativeHeight="251659264" behindDoc="0" locked="0" layoutInCell="1" allowOverlap="1" wp14:anchorId="4AFB5002" wp14:editId="3E8E1CC5">
                <wp:simplePos x="0" y="0"/>
                <wp:positionH relativeFrom="column">
                  <wp:posOffset>619125</wp:posOffset>
                </wp:positionH>
                <wp:positionV relativeFrom="paragraph">
                  <wp:posOffset>81280</wp:posOffset>
                </wp:positionV>
                <wp:extent cx="4905375" cy="3338830"/>
                <wp:effectExtent l="0" t="0" r="28575" b="13970"/>
                <wp:wrapNone/>
                <wp:docPr id="15" name="Group 15"/>
                <wp:cNvGraphicFramePr/>
                <a:graphic xmlns:a="http://schemas.openxmlformats.org/drawingml/2006/main">
                  <a:graphicData uri="http://schemas.microsoft.com/office/word/2010/wordprocessingGroup">
                    <wpg:wgp>
                      <wpg:cNvGrpSpPr/>
                      <wpg:grpSpPr>
                        <a:xfrm>
                          <a:off x="0" y="0"/>
                          <a:ext cx="4905375" cy="3338830"/>
                          <a:chOff x="0" y="0"/>
                          <a:chExt cx="4905375" cy="3339435"/>
                        </a:xfrm>
                      </wpg:grpSpPr>
                      <wps:wsp>
                        <wps:cNvPr id="1" name="Rectangle 1"/>
                        <wps:cNvSpPr/>
                        <wps:spPr>
                          <a:xfrm>
                            <a:off x="0" y="457200"/>
                            <a:ext cx="1419225" cy="876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32721"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Training and Professional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705225" y="0"/>
                            <a:ext cx="113347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0D676"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Affective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667125" y="647700"/>
                            <a:ext cx="1190625" cy="523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702C8F"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Continuous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686175" y="1352550"/>
                            <a:ext cx="1219200" cy="609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A2C90" w14:textId="77777777" w:rsidR="00992815" w:rsidRPr="00613863" w:rsidRDefault="00992815" w:rsidP="00992815">
                              <w:pPr>
                                <w:jc w:val="center"/>
                                <w:rPr>
                                  <w:rFonts w:ascii="Arial" w:hAnsi="Arial" w:cs="Arial"/>
                                  <w:b/>
                                  <w:sz w:val="20"/>
                                  <w:szCs w:val="20"/>
                                </w:rPr>
                              </w:pPr>
                              <w:r w:rsidRPr="00613863">
                                <w:rPr>
                                  <w:rFonts w:ascii="Arial" w:hAnsi="Arial" w:cs="Arial"/>
                                  <w:b/>
                                  <w:color w:val="000000" w:themeColor="text1"/>
                                  <w:sz w:val="20"/>
                                  <w:szCs w:val="20"/>
                                </w:rPr>
                                <w:t>Normative</w:t>
                              </w:r>
                              <w:r w:rsidRPr="00613863">
                                <w:rPr>
                                  <w:rFonts w:ascii="Arial" w:hAnsi="Arial" w:cs="Arial"/>
                                  <w:b/>
                                  <w:sz w:val="20"/>
                                  <w:szCs w:val="20"/>
                                </w:rPr>
                                <w:t xml:space="preserve"> </w:t>
                              </w:r>
                              <w:r w:rsidRPr="00613863">
                                <w:rPr>
                                  <w:rFonts w:ascii="Arial" w:hAnsi="Arial" w:cs="Arial"/>
                                  <w:b/>
                                  <w:color w:val="000000" w:themeColor="text1"/>
                                  <w:sz w:val="20"/>
                                  <w:szCs w:val="20"/>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Arrow Connector 6"/>
                        <wps:cNvCnPr/>
                        <wps:spPr>
                          <a:xfrm flipV="1">
                            <a:off x="1419225" y="161925"/>
                            <a:ext cx="220980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1409700" y="866775"/>
                            <a:ext cx="225742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419225" y="933450"/>
                            <a:ext cx="2276475"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Left Brace 11"/>
                        <wps:cNvSpPr/>
                        <wps:spPr>
                          <a:xfrm rot="16200000">
                            <a:off x="2228850" y="1085850"/>
                            <a:ext cx="560705" cy="2488565"/>
                          </a:xfrm>
                          <a:prstGeom prst="leftBrace">
                            <a:avLst>
                              <a:gd name="adj1" fmla="val 8333"/>
                              <a:gd name="adj2" fmla="val 533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457325" y="2562196"/>
                            <a:ext cx="2355214" cy="777239"/>
                          </a:xfrm>
                          <a:prstGeom prst="rect">
                            <a:avLst/>
                          </a:prstGeom>
                          <a:solidFill>
                            <a:srgbClr val="FFFFFF"/>
                          </a:solidFill>
                          <a:ln w="9525">
                            <a:solidFill>
                              <a:srgbClr val="000000"/>
                            </a:solidFill>
                            <a:miter lim="800000"/>
                            <a:headEnd/>
                            <a:tailEnd/>
                          </a:ln>
                        </wps:spPr>
                        <wps:txbx>
                          <w:txbxContent>
                            <w:p w14:paraId="3A3C5625" w14:textId="77777777" w:rsidR="00992815" w:rsidRPr="00613863" w:rsidRDefault="00992815" w:rsidP="00992815">
                              <w:pPr>
                                <w:jc w:val="center"/>
                                <w:rPr>
                                  <w:rFonts w:ascii="Times New Roman" w:hAnsi="Times New Roman" w:cs="Times New Roman"/>
                                  <w:b/>
                                  <w:sz w:val="20"/>
                                  <w:szCs w:val="20"/>
                                </w:rPr>
                              </w:pPr>
                              <w:r w:rsidRPr="00613863">
                                <w:rPr>
                                  <w:rFonts w:ascii="Times New Roman" w:hAnsi="Times New Roman" w:cs="Times New Roman"/>
                                  <w:b/>
                                  <w:sz w:val="20"/>
                                  <w:szCs w:val="20"/>
                                </w:rPr>
                                <w:t>Social Exchange Theory</w:t>
                              </w:r>
                            </w:p>
                            <w:p w14:paraId="37C1AE5F" w14:textId="77777777" w:rsidR="00992815" w:rsidRPr="00613863" w:rsidRDefault="00992815" w:rsidP="00992815">
                              <w:pPr>
                                <w:jc w:val="center"/>
                                <w:rPr>
                                  <w:rFonts w:ascii="Times New Roman" w:hAnsi="Times New Roman" w:cs="Times New Roman"/>
                                  <w:sz w:val="20"/>
                                  <w:szCs w:val="20"/>
                                </w:rPr>
                              </w:pPr>
                              <w:r w:rsidRPr="00613863">
                                <w:rPr>
                                  <w:rFonts w:ascii="Times New Roman" w:hAnsi="Times New Roman" w:cs="Times New Roman"/>
                                  <w:sz w:val="20"/>
                                  <w:szCs w:val="20"/>
                                </w:rPr>
                                <w:t>(Trust, Cost-Benefits, Sense of Obligation)</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4AFB5002" id="Group 15" o:spid="_x0000_s1026" style="position:absolute;left:0;text-align:left;margin-left:48.75pt;margin-top:6.4pt;width:386.25pt;height:262.9pt;z-index:251659264;mso-height-relative:margin" coordsize="49053,3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gz9wUAAGYhAAAOAAAAZHJzL2Uyb0RvYy54bWzsWtty2zYQfe9M/wHD90a8iBdpImccJ850&#10;xk0ycdo8wyQosSEBFoQtuV/fA4CgrrZjt+lMPPIDTZCLBbBcHOye1ctXq6YmN0x2leAzL3jhe4Tx&#10;XBQVn8+83z+f/5J5pFOUF7QWnM28W9Z5r05+/unlsp2yUCxEXTBJoIR302U78xZKtdPRqMsXrKHd&#10;C9EyjpelkA1VaMr5qJB0Ce1NPQp9PxkthSxaKXLWdXj6xr70Toz+smS5+lCWHVOknnmYmzJXaa5X&#10;+jo6eUmnc0nbRZX306BPmEVDK45BB1VvqKLkWlZ7qpoql6ITpXqRi2YkyrLKmVkDVhP4O6t5J8V1&#10;a9Yyny7n7WAmmHbHTk9Wm7+/+ShJVeDbxR7htME3MsMStGGcZTufQuadbC/bj7J/MLctvd5VKRv9&#10;HyshK2PW28GsbKVIjofjiR9HKdTneBdFUZZFveHzBb7OXr988faOnpNxZGY1cgOP9PyG6SxbOFG3&#10;tlP37+x0uaAtM+bvtA2cnZyZPsG5KJ/XjATWUkZqMFM37WCxO200jlP4r/U/Z6hgHEzCsDdUliaR&#10;FRhWS6et7NQ7Jhqib2aexBSM29Gbi07h60DUieiRuTiv6tr4eM31g07UVaGfmYbeZOysluSGYnuo&#10;lVkHVGxIoaV7ws5uPeZO3dZMq6j5J1bCffCVQzMRs3HXOmmeM64C+2pBC2aHin386bXrwdwsTMso&#10;1JpLTHLQ3StwklaJ023V9PK6KzP7fujs3zcx23noYUYWXA2dm4oLeUhBjVX1I1t5ZyRrGm0ltbpa&#10;QUTfXoniFv4jhQWgrs3PK3zBC9qpj1QCcYBNQFH1AZeyFsuZJ/o7jyyE/PvQcy0PB8dbjyyBYDOv&#10;++uaSuaR+lcO158E47GGPNMw7uYRufnmavMNv27OBLwgAF63ublFZ6lqd1tK0XwB2J7qUfGK8hxj&#10;z7xcSdc4UxZZAdc5Oz01YoC5lqoLftnmWrk2sPbQz6svVLa9GytsgPfCbTc63fFmK6t7cnF6rURZ&#10;GVdf27U3Pba+tfZ3x4BwHwPCR2FAlPqx2en7aBkEUTR2aDlOkhSAYB3NYa3b4UcQmHk/BAjY89U5&#10;yBELnhUWRPtYELlPjajh4Xggwh4P9KkPLEjGaboXFQQTP3FRQRxGGcDhCAiIOH7cqMAAwnBiHAHh&#10;WQHCeB8Qxo8EhCwJdAQAQAiiOIzj3TwhRJ4AmDAJVeJPkiGYPoYIiBKHjOIHyhMMIgznxhERnhUi&#10;JA4RLpWk1XyhyKmUYknOBOfI4IUkyQZAnPGeaHEZtyU7SFlX7R/u1Ov5loEx0FCRABVMaIAUuCdQ&#10;wtCfZA4p0jCaPIQUXT/DYWr2kN3JyDQFofMxSyooWtVveUHUbQv2SMnKsCJ9jPKN7MHBs7z46nLs&#10;w7TAwcx+3emRlMC64xPogDV5Ut5FB9hNrSM3nbn+f8lq+qD3pU/2Pn+iw1V9UGWIYm1guul9cTp2&#10;kSsYiGDSO8Udx9TR+cCHPS/nA/1vSeU7oS972Pk01BwAvAmIkt3QKAxT5FA9hZpksQa/e5Olo889&#10;O58LwGFap7tgpSKvJc3B0X8DSW/52SBBbK356Q23C8Mwy+BrJiT34Va7fhcnPig9G5GHY8gmDyTp&#10;NaZmZmaGMeerHm9e9FOnxZ9YRtnUIIdBz5MMhRPtydsiICLXInEU+SaQwBftFeLOsYW663cvAhw8&#10;xrc5ukcc5dsdH3mcb3f+nqh6pPWfC60fDLHSZx1BvxYrMrA0PZdH1AqPXRjetRci/9oRLs4WiHqZ&#10;iesXjBaov9jYVcd6fVdbnNBVQXK1/E0UCJYpyhnGeC4iGo65OI16TjCME+T7ZmNvhFZRHIcBqAZd&#10;U01THdrff849VCrcqPkhg5bzq6EueG7+eu1bYjUnqFRNwFCYNWy921Jh8NQdxFtiTaVQ/6+rBhGk&#10;RV2DcdqESCnMfZ9e2FP8QDqhy2wmfR5Ylp30+b8tlLm6l9qpeml87Vpdnzq/rz5lKtYo5ptqZ//D&#10;A/1rgc22SRHWP484+QcAAP//AwBQSwMEFAAGAAgAAAAhAOwbk0rgAAAACQEAAA8AAABkcnMvZG93&#10;bnJldi54bWxMj0FLw0AQhe+C/2EZwZvdpCVtjNmUUtRTEWwF8bbNTpPQ7GzIbpP03zue7HHee7x5&#10;X76ebCsG7H3jSEE8i0Aglc40VCn4Orw9pSB80GR06wgVXNHDuri/y3Vm3EifOOxDJbiEfKYV1CF0&#10;mZS+rNFqP3MdEnsn11sd+OwraXo9crlt5TyKltLqhvhDrTvc1lie9xer4H3U42YRvw6782l7/Tkk&#10;H9+7GJV6fJg2LyACTuE/DH/zeToUvOnoLmS8aBU8rxJOsj5nAvbTVcRsRwXJIl2CLHJ5S1D8AgAA&#10;//8DAFBLAQItABQABgAIAAAAIQC2gziS/gAAAOEBAAATAAAAAAAAAAAAAAAAAAAAAABbQ29udGVu&#10;dF9UeXBlc10ueG1sUEsBAi0AFAAGAAgAAAAhADj9If/WAAAAlAEAAAsAAAAAAAAAAAAAAAAALwEA&#10;AF9yZWxzLy5yZWxzUEsBAi0AFAAGAAgAAAAhABXI+DP3BQAAZiEAAA4AAAAAAAAAAAAAAAAALgIA&#10;AGRycy9lMm9Eb2MueG1sUEsBAi0AFAAGAAgAAAAhAOwbk0rgAAAACQEAAA8AAAAAAAAAAAAAAAAA&#10;UQgAAGRycy9kb3ducmV2LnhtbFBLBQYAAAAABAAEAPMAAABeCQAAAAA=&#10;">
                <v:rect id="Rectangle 1" o:spid="_x0000_s1027" style="position:absolute;top:4572;width:14192;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0B432721"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Training and Professional Development</w:t>
                        </w:r>
                      </w:p>
                    </w:txbxContent>
                  </v:textbox>
                </v:rect>
                <v:rect id="Rectangle 2" o:spid="_x0000_s1028" style="position:absolute;left:37052;width:11335;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2A40D676"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Affective Commitment</w:t>
                        </w:r>
                      </w:p>
                    </w:txbxContent>
                  </v:textbox>
                </v:rect>
                <v:rect id="Rectangle 3" o:spid="_x0000_s1029" style="position:absolute;left:36671;top:6477;width:11906;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4702C8F" w14:textId="77777777" w:rsidR="00992815" w:rsidRPr="00613863" w:rsidRDefault="00992815" w:rsidP="00992815">
                        <w:pPr>
                          <w:jc w:val="center"/>
                          <w:rPr>
                            <w:rFonts w:ascii="Arial" w:hAnsi="Arial" w:cs="Arial"/>
                            <w:b/>
                            <w:color w:val="000000" w:themeColor="text1"/>
                            <w:sz w:val="20"/>
                            <w:szCs w:val="20"/>
                          </w:rPr>
                        </w:pPr>
                        <w:r w:rsidRPr="00613863">
                          <w:rPr>
                            <w:rFonts w:ascii="Arial" w:hAnsi="Arial" w:cs="Arial"/>
                            <w:b/>
                            <w:color w:val="000000" w:themeColor="text1"/>
                            <w:sz w:val="20"/>
                            <w:szCs w:val="20"/>
                          </w:rPr>
                          <w:t>Continuous Commitment</w:t>
                        </w:r>
                      </w:p>
                    </w:txbxContent>
                  </v:textbox>
                </v:rect>
                <v:rect id="Rectangle 4" o:spid="_x0000_s1030" style="position:absolute;left:36861;top:13525;width:1219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E6A2C90" w14:textId="77777777" w:rsidR="00992815" w:rsidRPr="00613863" w:rsidRDefault="00992815" w:rsidP="00992815">
                        <w:pPr>
                          <w:jc w:val="center"/>
                          <w:rPr>
                            <w:rFonts w:ascii="Arial" w:hAnsi="Arial" w:cs="Arial"/>
                            <w:b/>
                            <w:sz w:val="20"/>
                            <w:szCs w:val="20"/>
                          </w:rPr>
                        </w:pPr>
                        <w:r w:rsidRPr="00613863">
                          <w:rPr>
                            <w:rFonts w:ascii="Arial" w:hAnsi="Arial" w:cs="Arial"/>
                            <w:b/>
                            <w:color w:val="000000" w:themeColor="text1"/>
                            <w:sz w:val="20"/>
                            <w:szCs w:val="20"/>
                          </w:rPr>
                          <w:t>Normative</w:t>
                        </w:r>
                        <w:r w:rsidRPr="00613863">
                          <w:rPr>
                            <w:rFonts w:ascii="Arial" w:hAnsi="Arial" w:cs="Arial"/>
                            <w:b/>
                            <w:sz w:val="20"/>
                            <w:szCs w:val="20"/>
                          </w:rPr>
                          <w:t xml:space="preserve"> </w:t>
                        </w:r>
                        <w:r w:rsidRPr="00613863">
                          <w:rPr>
                            <w:rFonts w:ascii="Arial" w:hAnsi="Arial" w:cs="Arial"/>
                            <w:b/>
                            <w:color w:val="000000" w:themeColor="text1"/>
                            <w:sz w:val="20"/>
                            <w:szCs w:val="20"/>
                          </w:rPr>
                          <w:t>Commitment</w:t>
                        </w:r>
                      </w:p>
                    </w:txbxContent>
                  </v:textbox>
                </v:rect>
                <v:shape id="Straight Arrow Connector 6" o:spid="_x0000_s1031" type="#_x0000_t32" style="position:absolute;left:14192;top:1619;width:22098;height:7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shape id="Straight Arrow Connector 7" o:spid="_x0000_s1032" type="#_x0000_t32" style="position:absolute;left:14097;top:8667;width:22574;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shape id="Straight Arrow Connector 8" o:spid="_x0000_s1033" type="#_x0000_t32" style="position:absolute;left:14192;top:9334;width:22765;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 o:spid="_x0000_s1034" type="#_x0000_t87" style="position:absolute;left:22288;top:10858;width:5607;height:248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wwAAANsAAAAPAAAAZHJzL2Rvd25yZXYueG1sRE9La8JA&#10;EL4X+h+WEbwU3ZhDkegqahV6am0UQm9Ddpqkzc6G7ObRf98VhN7m43vOejuaWvTUusqygsU8AkGc&#10;W11xoeB6Oc2WIJxH1lhbJgW/5GC7eXxYY6LtwB/Up74QIYRdggpK75tESpeXZNDNbUMcuC/bGvQB&#10;toXULQ4h3NQyjqJnabDi0FBiQ4eS8p+0MwrS4zHbPX2/d4f6U+/jt5csH8+s1HQy7lYgPI3+X3x3&#10;v+owfwG3X8IBcvMHAAD//wMAUEsBAi0AFAAGAAgAAAAhANvh9svuAAAAhQEAABMAAAAAAAAAAAAA&#10;AAAAAAAAAFtDb250ZW50X1R5cGVzXS54bWxQSwECLQAUAAYACAAAACEAWvQsW78AAAAVAQAACwAA&#10;AAAAAAAAAAAAAAAfAQAAX3JlbHMvLnJlbHNQSwECLQAUAAYACAAAACEAf0Bv7cMAAADbAAAADwAA&#10;AAAAAAAAAAAAAAAHAgAAZHJzL2Rvd25yZXYueG1sUEsFBgAAAAADAAMAtwAAAPcCAAAAAA==&#10;" adj="406,11514" strokecolor="black [3213]" strokeweight=".5pt">
                  <v:stroke joinstyle="miter"/>
                </v:shape>
                <v:shapetype id="_x0000_t202" coordsize="21600,21600" o:spt="202" path="m,l,21600r21600,l21600,xe">
                  <v:stroke joinstyle="miter"/>
                  <v:path gradientshapeok="t" o:connecttype="rect"/>
                </v:shapetype>
                <v:shape id="Text Box 2" o:spid="_x0000_s1035" type="#_x0000_t202" style="position:absolute;left:14573;top:25621;width:23552;height:7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3A3C5625" w14:textId="77777777" w:rsidR="00992815" w:rsidRPr="00613863" w:rsidRDefault="00992815" w:rsidP="00992815">
                        <w:pPr>
                          <w:jc w:val="center"/>
                          <w:rPr>
                            <w:rFonts w:ascii="Times New Roman" w:hAnsi="Times New Roman" w:cs="Times New Roman"/>
                            <w:b/>
                            <w:sz w:val="20"/>
                            <w:szCs w:val="20"/>
                          </w:rPr>
                        </w:pPr>
                        <w:r w:rsidRPr="00613863">
                          <w:rPr>
                            <w:rFonts w:ascii="Times New Roman" w:hAnsi="Times New Roman" w:cs="Times New Roman"/>
                            <w:b/>
                            <w:sz w:val="20"/>
                            <w:szCs w:val="20"/>
                          </w:rPr>
                          <w:t>Social Exchange Theory</w:t>
                        </w:r>
                      </w:p>
                      <w:p w14:paraId="37C1AE5F" w14:textId="77777777" w:rsidR="00992815" w:rsidRPr="00613863" w:rsidRDefault="00992815" w:rsidP="00992815">
                        <w:pPr>
                          <w:jc w:val="center"/>
                          <w:rPr>
                            <w:rFonts w:ascii="Times New Roman" w:hAnsi="Times New Roman" w:cs="Times New Roman"/>
                            <w:sz w:val="20"/>
                            <w:szCs w:val="20"/>
                          </w:rPr>
                        </w:pPr>
                        <w:r w:rsidRPr="00613863">
                          <w:rPr>
                            <w:rFonts w:ascii="Times New Roman" w:hAnsi="Times New Roman" w:cs="Times New Roman"/>
                            <w:sz w:val="20"/>
                            <w:szCs w:val="20"/>
                          </w:rPr>
                          <w:t>(Trust, Cost-Benefits, Sense of Obligation)</w:t>
                        </w:r>
                      </w:p>
                    </w:txbxContent>
                  </v:textbox>
                </v:shape>
              </v:group>
            </w:pict>
          </mc:Fallback>
        </mc:AlternateContent>
      </w:r>
    </w:p>
    <w:p w14:paraId="74D7496B" w14:textId="77777777" w:rsidR="00992815" w:rsidRPr="00244BEE" w:rsidRDefault="00992815" w:rsidP="00992815">
      <w:pPr>
        <w:spacing w:before="100" w:beforeAutospacing="1" w:after="100" w:afterAutospacing="1" w:line="240" w:lineRule="auto"/>
        <w:jc w:val="both"/>
        <w:rPr>
          <w:rStyle w:val="Strong"/>
          <w:rFonts w:ascii="Arial" w:hAnsi="Arial" w:cs="Arial"/>
          <w:b w:val="0"/>
          <w:sz w:val="24"/>
          <w:szCs w:val="24"/>
        </w:rPr>
      </w:pPr>
    </w:p>
    <w:p w14:paraId="022896D8" w14:textId="77777777" w:rsidR="00992815" w:rsidRPr="00244BEE" w:rsidRDefault="00992815" w:rsidP="00992815">
      <w:pPr>
        <w:spacing w:before="100" w:beforeAutospacing="1" w:after="100" w:afterAutospacing="1" w:line="240" w:lineRule="auto"/>
        <w:jc w:val="both"/>
        <w:rPr>
          <w:rFonts w:ascii="Arial" w:hAnsi="Arial" w:cs="Arial"/>
          <w:sz w:val="24"/>
          <w:szCs w:val="24"/>
          <w:shd w:val="clear" w:color="auto" w:fill="FFFFFF"/>
        </w:rPr>
      </w:pPr>
    </w:p>
    <w:p w14:paraId="6A2F9171"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3DEB8601"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0F8098B3"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536ED7AE"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5E550115"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7E17586B"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60A8003F" w14:textId="77777777" w:rsidR="00992815" w:rsidRPr="00244BEE" w:rsidRDefault="00992815" w:rsidP="00992815">
      <w:pPr>
        <w:spacing w:after="0" w:line="240" w:lineRule="auto"/>
        <w:rPr>
          <w:rFonts w:ascii="Arial" w:hAnsi="Arial" w:cs="Arial"/>
          <w:b/>
          <w:color w:val="000000" w:themeColor="text1"/>
          <w:spacing w:val="-2"/>
          <w:sz w:val="24"/>
          <w:szCs w:val="24"/>
        </w:rPr>
      </w:pPr>
      <w:r w:rsidRPr="00244BEE">
        <w:rPr>
          <w:rFonts w:ascii="Arial" w:hAnsi="Arial" w:cs="Arial"/>
          <w:b/>
          <w:noProof/>
          <w:color w:val="000000" w:themeColor="text1"/>
          <w:spacing w:val="-2"/>
          <w:sz w:val="24"/>
          <w:szCs w:val="24"/>
        </w:rPr>
        <mc:AlternateContent>
          <mc:Choice Requires="wps">
            <w:drawing>
              <wp:anchor distT="0" distB="0" distL="114300" distR="114300" simplePos="0" relativeHeight="251660288" behindDoc="0" locked="0" layoutInCell="1" allowOverlap="1" wp14:anchorId="7C9BA296" wp14:editId="79B94328">
                <wp:simplePos x="0" y="0"/>
                <wp:positionH relativeFrom="column">
                  <wp:posOffset>57150</wp:posOffset>
                </wp:positionH>
                <wp:positionV relativeFrom="paragraph">
                  <wp:posOffset>145415</wp:posOffset>
                </wp:positionV>
                <wp:extent cx="752475" cy="257175"/>
                <wp:effectExtent l="0" t="0" r="0" b="0"/>
                <wp:wrapNone/>
                <wp:docPr id="14" name="Rectangle 14"/>
                <wp:cNvGraphicFramePr/>
                <a:graphic xmlns:a="http://schemas.openxmlformats.org/drawingml/2006/main">
                  <a:graphicData uri="http://schemas.microsoft.com/office/word/2010/wordprocessingShape">
                    <wps:wsp>
                      <wps:cNvSpPr/>
                      <wps:spPr>
                        <a:xfrm>
                          <a:off x="0" y="0"/>
                          <a:ext cx="75247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0CE5B" id="Rectangle 14" o:spid="_x0000_s1026" style="position:absolute;margin-left:4.5pt;margin-top:11.45pt;width:59.2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QqNggIAAF0FAAAOAAAAZHJzL2Uyb0RvYy54bWysVEtPGzEQvlfqf7B8L5tESdOu2KAIRFUJ&#10;AQIqzsZrZ1eyPe7YySb99R17NwsF1EPVHJzxPL557Dc+Pdtbw3YKQwuu4tOTCWfKSahbt6n4j4fL&#10;T184C1G4WhhwquIHFfjZ6uOH086XagYNmFohIxAXys5XvInRl0URZKOsCCfglSOjBrQi0hU3RY2i&#10;I3Rritlk8rnoAGuPIFUIpL3ojXyV8bVWMt5oHVRkpuJUW8wn5vMpncXqVJQbFL5p5VCG+IcqrGgd&#10;JR2hLkQUbIvtGyjbSoQAOp5IsAVo3UqVe6BuppNX3dw3wqvcCw0n+HFM4f/ByuvdLbK2pm8358wJ&#10;S9/ojqYm3MYoRjoaUOdDSX73/haHWyAxdbvXaNM/9cH2eaiHcahqH5kk5XIxmy8XnEkyzRbLKcmE&#10;UjwHewzxmwLLklBxpOx5lGJ3FWLvenRJuRxctsaQXpTG/aEgzKQpUr19hVmKB6N67zulqVWqaZYT&#10;ZJKpc4NsJ4geQkrl4rQ3NaJWvXoxod9Q8hiRGzCOABOypoJG7AEgEfgtdt/O4J9CVeboGDz5W2F9&#10;8BiRM4OLY7BtHeB7AIa6GjL3/sch9aNJU3qC+kBEQOg3JHh52dLnuBIh3gqklaDloTWPN3RoA13F&#10;YZA4awB/vadP/sRUsnLW0YpVPPzcClScme+OOPx1Op+nncyX+WI5owu+tDy9tLitPQf6TFN6ULzM&#10;YvKP5ihqBPtIr8E6ZSWTcJJyV1xGPF7OY7/69J5ItV5nN9pDL+KVu/cygaepJro97B8F+oGTkch8&#10;Dcd1FOUrava+KdLBehtBt5m3z3Md5k07nIkzvDfpkXh5z17Pr+LqNwAAAP//AwBQSwMEFAAGAAgA&#10;AAAhAJKFA6ncAAAABwEAAA8AAABkcnMvZG93bnJldi54bWxMj81OwzAQhO9IvIO1SNyoQ4DShmwq&#10;QEII9YAo7d1xtklEvI5s56dvj3uC42hGM9/km9l0YiTnW8sIt4sEBLG2Vcs1wv777WYFwgfFleos&#10;E8KJPGyKy4tcZZWd+IvGXahFLGGfKYQmhD6T0uuGjPIL2xNH72idUSFKV8vKqSmWm06mSbKURrUc&#10;FxrV02tD+mc3GISDPb5MRpf8MZ4+2+F967RebRGvr+bnJxCB5vAXhjN+RIciMpV24MqLDmEdnwSE&#10;NF2DONvp4wOIEmF5dw+yyOV//uIXAAD//wMAUEsBAi0AFAAGAAgAAAAhALaDOJL+AAAA4QEAABMA&#10;AAAAAAAAAAAAAAAAAAAAAFtDb250ZW50X1R5cGVzXS54bWxQSwECLQAUAAYACAAAACEAOP0h/9YA&#10;AACUAQAACwAAAAAAAAAAAAAAAAAvAQAAX3JlbHMvLnJlbHNQSwECLQAUAAYACAAAACEAdOkKjYIC&#10;AABdBQAADgAAAAAAAAAAAAAAAAAuAgAAZHJzL2Uyb0RvYy54bWxQSwECLQAUAAYACAAAACEAkoUD&#10;qdwAAAAHAQAADwAAAAAAAAAAAAAAAADcBAAAZHJzL2Rvd25yZXYueG1sUEsFBgAAAAAEAAQA8wAA&#10;AOUFAAAAAA==&#10;" filled="f" stroked="f" strokeweight="1pt"/>
            </w:pict>
          </mc:Fallback>
        </mc:AlternateContent>
      </w:r>
    </w:p>
    <w:p w14:paraId="281E6900"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31AEDEFF"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1CADA6BE"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1938999A" w14:textId="77777777" w:rsidR="00992815" w:rsidRPr="00244BEE" w:rsidRDefault="00992815" w:rsidP="00F56294">
      <w:pPr>
        <w:spacing w:after="0" w:line="240" w:lineRule="auto"/>
        <w:rPr>
          <w:rFonts w:ascii="Arial" w:hAnsi="Arial" w:cs="Arial"/>
          <w:i/>
          <w:color w:val="000000" w:themeColor="text1"/>
          <w:spacing w:val="-2"/>
          <w:sz w:val="24"/>
          <w:szCs w:val="24"/>
        </w:rPr>
      </w:pPr>
    </w:p>
    <w:p w14:paraId="2B6959BA" w14:textId="77777777" w:rsidR="00992815" w:rsidRPr="00244BEE" w:rsidRDefault="00992815" w:rsidP="00992815">
      <w:pPr>
        <w:spacing w:after="0" w:line="240" w:lineRule="auto"/>
        <w:jc w:val="center"/>
        <w:rPr>
          <w:rFonts w:ascii="Arial" w:hAnsi="Arial" w:cs="Arial"/>
          <w:i/>
          <w:color w:val="000000" w:themeColor="text1"/>
          <w:spacing w:val="-2"/>
          <w:sz w:val="24"/>
          <w:szCs w:val="24"/>
        </w:rPr>
      </w:pPr>
    </w:p>
    <w:p w14:paraId="3515273C" w14:textId="77777777" w:rsidR="00F56294" w:rsidRDefault="00F56294" w:rsidP="00992815">
      <w:pPr>
        <w:spacing w:after="0" w:line="240" w:lineRule="auto"/>
        <w:jc w:val="center"/>
        <w:rPr>
          <w:rFonts w:ascii="Arial" w:hAnsi="Arial" w:cs="Arial"/>
          <w:b/>
          <w:color w:val="000000" w:themeColor="text1"/>
          <w:spacing w:val="-2"/>
          <w:sz w:val="20"/>
          <w:szCs w:val="20"/>
        </w:rPr>
      </w:pPr>
    </w:p>
    <w:p w14:paraId="078EF4C7" w14:textId="77777777" w:rsidR="00F56294" w:rsidRDefault="00F56294" w:rsidP="00992815">
      <w:pPr>
        <w:spacing w:after="0" w:line="240" w:lineRule="auto"/>
        <w:jc w:val="center"/>
        <w:rPr>
          <w:rFonts w:ascii="Arial" w:hAnsi="Arial" w:cs="Arial"/>
          <w:b/>
          <w:color w:val="000000" w:themeColor="text1"/>
          <w:spacing w:val="-2"/>
          <w:sz w:val="20"/>
          <w:szCs w:val="20"/>
        </w:rPr>
      </w:pPr>
    </w:p>
    <w:p w14:paraId="5D6DE179" w14:textId="77777777" w:rsidR="006C16B7" w:rsidRDefault="006C16B7" w:rsidP="00992815">
      <w:pPr>
        <w:spacing w:after="0" w:line="240" w:lineRule="auto"/>
        <w:jc w:val="center"/>
        <w:rPr>
          <w:rFonts w:ascii="Arial" w:hAnsi="Arial" w:cs="Arial"/>
          <w:b/>
          <w:color w:val="000000" w:themeColor="text1"/>
          <w:spacing w:val="-2"/>
          <w:sz w:val="20"/>
          <w:szCs w:val="20"/>
        </w:rPr>
      </w:pPr>
    </w:p>
    <w:p w14:paraId="03A3F191" w14:textId="77777777" w:rsidR="00992815" w:rsidRPr="00244BEE" w:rsidRDefault="00992815" w:rsidP="00992815">
      <w:pPr>
        <w:spacing w:after="0" w:line="240" w:lineRule="auto"/>
        <w:jc w:val="center"/>
        <w:rPr>
          <w:rFonts w:ascii="Arial" w:hAnsi="Arial" w:cs="Arial"/>
          <w:b/>
          <w:color w:val="000000" w:themeColor="text1"/>
          <w:spacing w:val="-2"/>
          <w:sz w:val="20"/>
          <w:szCs w:val="20"/>
        </w:rPr>
      </w:pPr>
      <w:r w:rsidRPr="00244BEE">
        <w:rPr>
          <w:rFonts w:ascii="Arial" w:hAnsi="Arial" w:cs="Arial"/>
          <w:b/>
          <w:color w:val="000000" w:themeColor="text1"/>
          <w:spacing w:val="-2"/>
          <w:sz w:val="20"/>
          <w:szCs w:val="20"/>
        </w:rPr>
        <w:t>Figure 1: Relationship of T&amp;D with Organizational Commitment through SET</w:t>
      </w:r>
    </w:p>
    <w:p w14:paraId="4376F59B"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45B92269" w14:textId="77777777" w:rsidR="00992815" w:rsidRPr="00244BEE" w:rsidRDefault="00992815" w:rsidP="00992815">
      <w:pPr>
        <w:spacing w:after="0" w:line="240" w:lineRule="auto"/>
        <w:rPr>
          <w:rFonts w:ascii="Arial" w:hAnsi="Arial" w:cs="Arial"/>
          <w:b/>
          <w:color w:val="000000" w:themeColor="text1"/>
          <w:spacing w:val="-2"/>
          <w:sz w:val="24"/>
          <w:szCs w:val="24"/>
        </w:rPr>
      </w:pPr>
      <w:r w:rsidRPr="00244BEE">
        <w:rPr>
          <w:rFonts w:ascii="Arial" w:hAnsi="Arial" w:cs="Arial"/>
          <w:b/>
          <w:color w:val="000000" w:themeColor="text1"/>
          <w:spacing w:val="-2"/>
          <w:sz w:val="24"/>
          <w:szCs w:val="24"/>
        </w:rPr>
        <w:t>3. METHODOLOGY</w:t>
      </w:r>
    </w:p>
    <w:p w14:paraId="6A69ED95" w14:textId="77777777" w:rsidR="00992815" w:rsidRPr="00244BEE" w:rsidRDefault="00992815" w:rsidP="00992815">
      <w:pPr>
        <w:spacing w:after="0" w:line="240" w:lineRule="auto"/>
        <w:rPr>
          <w:rFonts w:ascii="Arial" w:hAnsi="Arial" w:cs="Arial"/>
          <w:b/>
          <w:color w:val="000000" w:themeColor="text1"/>
          <w:spacing w:val="-2"/>
          <w:sz w:val="24"/>
          <w:szCs w:val="24"/>
        </w:rPr>
      </w:pPr>
    </w:p>
    <w:p w14:paraId="7CCC6C5B" w14:textId="77777777" w:rsidR="00992815" w:rsidRPr="00244BEE" w:rsidRDefault="00992815" w:rsidP="00992815">
      <w:pPr>
        <w:spacing w:after="0" w:line="240" w:lineRule="auto"/>
        <w:jc w:val="both"/>
        <w:rPr>
          <w:rFonts w:ascii="Arial" w:hAnsi="Arial" w:cs="Arial"/>
          <w:color w:val="000000" w:themeColor="text1"/>
          <w:sz w:val="20"/>
          <w:szCs w:val="20"/>
        </w:rPr>
      </w:pPr>
      <w:r w:rsidRPr="00244BEE">
        <w:rPr>
          <w:rFonts w:ascii="Arial" w:hAnsi="Arial" w:cs="Arial"/>
          <w:color w:val="000000" w:themeColor="text1"/>
          <w:sz w:val="20"/>
          <w:szCs w:val="20"/>
        </w:rPr>
        <w:t xml:space="preserve">For the purpose of this quantitative research, a structured closed end questionnaire was used to collect data from different private university teachers. There were 2 sections in the questionnaire. First section is about demographic information of the respondent containing 5 questions and the next section contains 19 items under 1 independent and 3dependent variables. Statements were adopted from Allen Meyers commitment questionnaire. Statements were ranked from strongly disagree (1) to strongly agree (5). Researchers used google form and hard copies for the convenience and high response rate.   Google </w:t>
      </w:r>
      <w:r w:rsidRPr="00244BEE">
        <w:rPr>
          <w:rFonts w:ascii="Arial" w:hAnsi="Arial" w:cs="Arial"/>
          <w:color w:val="000000" w:themeColor="text1"/>
          <w:sz w:val="20"/>
          <w:szCs w:val="20"/>
        </w:rPr>
        <w:lastRenderedPageBreak/>
        <w:t xml:space="preserve">forms were shared by using personal contact while hard copies were distributed to collect data as some respondents prefer to fill up in papers.  The questionnaire survey was intended to collect primary data intended to find out relationship between T&amp;D and employee commitment. A total of 284 responses from the faculty members of Southeast University, Independent University Bangladesh, Sonargaon University, Green University of Bangladesh, German University Bangladesh, Prime Asia University, Notre Dame University Bangladesh, Northern University Bangladesh, and International Standard University as these universities were convenient to gather data. Participation of the respondents was completely voluntary and no monetary benefit was given to them. </w:t>
      </w:r>
    </w:p>
    <w:p w14:paraId="4965C93B" w14:textId="77777777" w:rsidR="00992815" w:rsidRPr="00244BEE" w:rsidRDefault="00992815" w:rsidP="00992815">
      <w:pPr>
        <w:spacing w:after="0" w:line="240" w:lineRule="auto"/>
        <w:jc w:val="both"/>
        <w:rPr>
          <w:rFonts w:ascii="Arial" w:hAnsi="Arial" w:cs="Arial"/>
          <w:color w:val="000000" w:themeColor="text1"/>
          <w:sz w:val="20"/>
          <w:szCs w:val="20"/>
        </w:rPr>
      </w:pPr>
    </w:p>
    <w:p w14:paraId="60E5C51B" w14:textId="77777777" w:rsidR="00992815" w:rsidRPr="00244BEE" w:rsidRDefault="00992815" w:rsidP="00992815">
      <w:pPr>
        <w:spacing w:after="0" w:line="240" w:lineRule="auto"/>
        <w:jc w:val="both"/>
        <w:rPr>
          <w:rFonts w:ascii="Arial" w:hAnsi="Arial" w:cs="Arial"/>
          <w:b/>
          <w:color w:val="000000" w:themeColor="text1"/>
        </w:rPr>
      </w:pPr>
      <w:r w:rsidRPr="00244BEE">
        <w:rPr>
          <w:rFonts w:ascii="Arial" w:hAnsi="Arial" w:cs="Arial"/>
          <w:b/>
          <w:color w:val="000000" w:themeColor="text1"/>
        </w:rPr>
        <w:t>3.1 Data Analysis</w:t>
      </w:r>
    </w:p>
    <w:p w14:paraId="69C7937E" w14:textId="77777777" w:rsidR="00992815" w:rsidRPr="00244BEE" w:rsidRDefault="00992815" w:rsidP="00992815">
      <w:pPr>
        <w:spacing w:after="0" w:line="240" w:lineRule="auto"/>
        <w:jc w:val="both"/>
        <w:rPr>
          <w:rFonts w:ascii="Arial" w:hAnsi="Arial" w:cs="Arial"/>
          <w:color w:val="000000" w:themeColor="text1"/>
          <w:sz w:val="20"/>
          <w:szCs w:val="20"/>
        </w:rPr>
      </w:pPr>
    </w:p>
    <w:p w14:paraId="6C8CDB48" w14:textId="61DFF635" w:rsidR="00992815" w:rsidRPr="006B3D02" w:rsidRDefault="00992815" w:rsidP="00992815">
      <w:pPr>
        <w:spacing w:after="0" w:line="240" w:lineRule="auto"/>
        <w:jc w:val="both"/>
        <w:rPr>
          <w:rFonts w:ascii="Arial" w:hAnsi="Arial" w:cs="Arial"/>
          <w:color w:val="000000" w:themeColor="text1"/>
          <w:sz w:val="20"/>
          <w:szCs w:val="20"/>
        </w:rPr>
      </w:pPr>
      <w:r w:rsidRPr="00244BEE">
        <w:rPr>
          <w:rFonts w:ascii="Arial" w:hAnsi="Arial" w:cs="Arial"/>
          <w:color w:val="000000" w:themeColor="text1"/>
          <w:sz w:val="20"/>
          <w:szCs w:val="20"/>
        </w:rPr>
        <w:t>Data has been examined by SPSS Statistical Analysis version 20 and SMART PLS 4.0. The SPSS has been utilized for the purpose of data input and descriptive analysis SPSS has been used and Smart</w:t>
      </w:r>
      <w:r w:rsidR="006B3D02">
        <w:rPr>
          <w:rFonts w:ascii="Arial" w:hAnsi="Arial" w:cs="Arial"/>
          <w:color w:val="000000" w:themeColor="text1"/>
          <w:sz w:val="20"/>
          <w:szCs w:val="20"/>
        </w:rPr>
        <w:t xml:space="preserve"> </w:t>
      </w:r>
      <w:r w:rsidRPr="00244BEE">
        <w:rPr>
          <w:rFonts w:ascii="Arial" w:hAnsi="Arial" w:cs="Arial"/>
          <w:color w:val="000000" w:themeColor="text1"/>
          <w:sz w:val="20"/>
          <w:szCs w:val="20"/>
        </w:rPr>
        <w:t xml:space="preserve">PLS 4.0 was utilized to create and evaluate the model. </w:t>
      </w:r>
    </w:p>
    <w:p w14:paraId="72C553A9" w14:textId="77777777" w:rsidR="00992815" w:rsidRPr="00244BEE" w:rsidRDefault="00992815" w:rsidP="00992815">
      <w:pPr>
        <w:pBdr>
          <w:bottom w:val="single" w:sz="4" w:space="1" w:color="auto"/>
        </w:pBdr>
        <w:spacing w:before="110" w:after="0" w:line="240" w:lineRule="auto"/>
        <w:rPr>
          <w:rFonts w:ascii="Arial" w:hAnsi="Arial" w:cs="Arial"/>
          <w:b/>
          <w:color w:val="000000" w:themeColor="text1"/>
          <w:sz w:val="20"/>
          <w:szCs w:val="20"/>
        </w:rPr>
      </w:pPr>
      <w:r w:rsidRPr="00244BEE">
        <w:rPr>
          <w:rFonts w:ascii="Arial" w:hAnsi="Arial" w:cs="Arial"/>
          <w:b/>
          <w:color w:val="000000" w:themeColor="text1"/>
          <w:sz w:val="20"/>
          <w:szCs w:val="20"/>
        </w:rPr>
        <w:t xml:space="preserve">Table 1: Survey Instrument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28"/>
        <w:gridCol w:w="1350"/>
        <w:gridCol w:w="5314"/>
      </w:tblGrid>
      <w:tr w:rsidR="00992815" w:rsidRPr="00244BEE" w14:paraId="2DB910DC" w14:textId="77777777" w:rsidTr="006E6CE9">
        <w:tc>
          <w:tcPr>
            <w:tcW w:w="2628" w:type="dxa"/>
            <w:tcBorders>
              <w:top w:val="single" w:sz="4" w:space="0" w:color="auto"/>
              <w:bottom w:val="single" w:sz="4" w:space="0" w:color="auto"/>
            </w:tcBorders>
          </w:tcPr>
          <w:p w14:paraId="17277A00" w14:textId="77777777" w:rsidR="00992815" w:rsidRPr="00244BEE" w:rsidRDefault="00992815" w:rsidP="006E6CE9">
            <w:pPr>
              <w:rPr>
                <w:rFonts w:ascii="Arial" w:hAnsi="Arial" w:cs="Arial"/>
                <w:b/>
                <w:color w:val="000000" w:themeColor="text1"/>
                <w:sz w:val="20"/>
                <w:szCs w:val="20"/>
              </w:rPr>
            </w:pPr>
            <w:r w:rsidRPr="00244BEE">
              <w:rPr>
                <w:rFonts w:ascii="Arial" w:hAnsi="Arial" w:cs="Arial"/>
                <w:b/>
                <w:color w:val="000000" w:themeColor="text1"/>
                <w:spacing w:val="-2"/>
                <w:sz w:val="20"/>
                <w:szCs w:val="20"/>
              </w:rPr>
              <w:t>Constructs</w:t>
            </w:r>
            <w:r w:rsidRPr="00244BEE">
              <w:rPr>
                <w:rFonts w:ascii="Arial" w:hAnsi="Arial" w:cs="Arial"/>
                <w:b/>
                <w:color w:val="000000" w:themeColor="text1"/>
                <w:sz w:val="20"/>
                <w:szCs w:val="20"/>
              </w:rPr>
              <w:tab/>
            </w:r>
          </w:p>
        </w:tc>
        <w:tc>
          <w:tcPr>
            <w:tcW w:w="1350" w:type="dxa"/>
            <w:tcBorders>
              <w:top w:val="single" w:sz="4" w:space="0" w:color="auto"/>
              <w:bottom w:val="single" w:sz="4" w:space="0" w:color="auto"/>
            </w:tcBorders>
          </w:tcPr>
          <w:p w14:paraId="6080125D" w14:textId="77777777" w:rsidR="00992815" w:rsidRPr="00244BEE" w:rsidRDefault="00992815" w:rsidP="006E6CE9">
            <w:pPr>
              <w:rPr>
                <w:rFonts w:ascii="Arial" w:hAnsi="Arial" w:cs="Arial"/>
                <w:b/>
                <w:color w:val="000000" w:themeColor="text1"/>
                <w:sz w:val="20"/>
                <w:szCs w:val="20"/>
              </w:rPr>
            </w:pPr>
            <w:r w:rsidRPr="00244BEE">
              <w:rPr>
                <w:rFonts w:ascii="Arial" w:hAnsi="Arial" w:cs="Arial"/>
                <w:b/>
                <w:color w:val="000000" w:themeColor="text1"/>
                <w:sz w:val="20"/>
                <w:szCs w:val="20"/>
              </w:rPr>
              <w:t>Item Name</w:t>
            </w:r>
          </w:p>
        </w:tc>
        <w:tc>
          <w:tcPr>
            <w:tcW w:w="5314" w:type="dxa"/>
            <w:tcBorders>
              <w:top w:val="single" w:sz="4" w:space="0" w:color="auto"/>
              <w:bottom w:val="single" w:sz="4" w:space="0" w:color="auto"/>
            </w:tcBorders>
          </w:tcPr>
          <w:p w14:paraId="2C4D54C0" w14:textId="77777777" w:rsidR="00992815" w:rsidRPr="00244BEE" w:rsidRDefault="00992815" w:rsidP="006E6CE9">
            <w:pPr>
              <w:rPr>
                <w:rFonts w:ascii="Arial" w:hAnsi="Arial" w:cs="Arial"/>
                <w:b/>
                <w:color w:val="000000" w:themeColor="text1"/>
                <w:sz w:val="20"/>
                <w:szCs w:val="20"/>
              </w:rPr>
            </w:pPr>
            <w:r w:rsidRPr="00244BEE">
              <w:rPr>
                <w:rFonts w:ascii="Arial" w:hAnsi="Arial" w:cs="Arial"/>
                <w:b/>
                <w:color w:val="000000" w:themeColor="text1"/>
                <w:spacing w:val="-2"/>
                <w:sz w:val="20"/>
                <w:szCs w:val="20"/>
              </w:rPr>
              <w:t xml:space="preserve">Item Statement </w:t>
            </w:r>
          </w:p>
        </w:tc>
      </w:tr>
      <w:tr w:rsidR="00992815" w:rsidRPr="00244BEE" w14:paraId="5F19CBBA" w14:textId="77777777" w:rsidTr="006E6CE9">
        <w:tc>
          <w:tcPr>
            <w:tcW w:w="2628" w:type="dxa"/>
            <w:vMerge w:val="restart"/>
            <w:tcBorders>
              <w:top w:val="single" w:sz="4" w:space="0" w:color="auto"/>
            </w:tcBorders>
          </w:tcPr>
          <w:p w14:paraId="2FC889DC" w14:textId="77777777" w:rsidR="00992815" w:rsidRPr="00244BEE" w:rsidRDefault="00992815" w:rsidP="006E6CE9">
            <w:pPr>
              <w:jc w:val="both"/>
              <w:rPr>
                <w:rFonts w:ascii="Arial" w:hAnsi="Arial" w:cs="Arial"/>
                <w:color w:val="000000" w:themeColor="text1"/>
                <w:sz w:val="20"/>
                <w:szCs w:val="20"/>
              </w:rPr>
            </w:pPr>
            <w:r w:rsidRPr="00244BEE">
              <w:rPr>
                <w:rFonts w:ascii="Arial" w:hAnsi="Arial" w:cs="Arial"/>
                <w:bCs/>
                <w:color w:val="000000" w:themeColor="text1"/>
                <w:sz w:val="20"/>
                <w:szCs w:val="20"/>
              </w:rPr>
              <w:t>Affective Commitment</w:t>
            </w:r>
          </w:p>
        </w:tc>
        <w:tc>
          <w:tcPr>
            <w:tcW w:w="1350" w:type="dxa"/>
            <w:tcBorders>
              <w:top w:val="single" w:sz="4" w:space="0" w:color="auto"/>
            </w:tcBorders>
            <w:vAlign w:val="center"/>
          </w:tcPr>
          <w:p w14:paraId="3B5D90C4"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bCs/>
                <w:color w:val="000000" w:themeColor="text1"/>
                <w:sz w:val="20"/>
                <w:szCs w:val="20"/>
              </w:rPr>
              <w:t>AC1</w:t>
            </w:r>
          </w:p>
        </w:tc>
        <w:tc>
          <w:tcPr>
            <w:tcW w:w="5314" w:type="dxa"/>
            <w:tcBorders>
              <w:top w:val="single" w:sz="4" w:space="0" w:color="auto"/>
            </w:tcBorders>
          </w:tcPr>
          <w:p w14:paraId="0F8792DC"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After receiving perfect training from my university, I am emotionally attached to my university</w:t>
            </w:r>
          </w:p>
        </w:tc>
      </w:tr>
      <w:tr w:rsidR="00992815" w:rsidRPr="00244BEE" w14:paraId="434B04CE" w14:textId="77777777" w:rsidTr="006E6CE9">
        <w:tc>
          <w:tcPr>
            <w:tcW w:w="2628" w:type="dxa"/>
            <w:vMerge/>
          </w:tcPr>
          <w:p w14:paraId="7BA9752F" w14:textId="77777777" w:rsidR="00992815" w:rsidRPr="00244BEE" w:rsidRDefault="00992815" w:rsidP="006E6CE9">
            <w:pPr>
              <w:jc w:val="both"/>
              <w:rPr>
                <w:rFonts w:ascii="Arial" w:hAnsi="Arial" w:cs="Arial"/>
                <w:color w:val="000000" w:themeColor="text1"/>
                <w:sz w:val="20"/>
                <w:szCs w:val="20"/>
              </w:rPr>
            </w:pPr>
          </w:p>
        </w:tc>
        <w:tc>
          <w:tcPr>
            <w:tcW w:w="1350" w:type="dxa"/>
            <w:vAlign w:val="center"/>
          </w:tcPr>
          <w:p w14:paraId="2F018B61"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bCs/>
                <w:color w:val="000000" w:themeColor="text1"/>
                <w:sz w:val="20"/>
                <w:szCs w:val="20"/>
              </w:rPr>
              <w:t>AC2</w:t>
            </w:r>
          </w:p>
        </w:tc>
        <w:tc>
          <w:tcPr>
            <w:tcW w:w="5314" w:type="dxa"/>
          </w:tcPr>
          <w:p w14:paraId="694CD317"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I have a strong sense of belonging towards my university if I have got valuable Training &amp; Development opportunities here</w:t>
            </w:r>
          </w:p>
        </w:tc>
      </w:tr>
      <w:tr w:rsidR="00992815" w:rsidRPr="00244BEE" w14:paraId="7D43AC3B" w14:textId="77777777" w:rsidTr="006E6CE9">
        <w:tc>
          <w:tcPr>
            <w:tcW w:w="2628" w:type="dxa"/>
            <w:vMerge/>
          </w:tcPr>
          <w:p w14:paraId="30041872" w14:textId="77777777" w:rsidR="00992815" w:rsidRPr="00244BEE" w:rsidRDefault="00992815" w:rsidP="006E6CE9">
            <w:pPr>
              <w:jc w:val="both"/>
              <w:rPr>
                <w:rFonts w:ascii="Arial" w:hAnsi="Arial" w:cs="Arial"/>
                <w:color w:val="000000" w:themeColor="text1"/>
                <w:sz w:val="20"/>
                <w:szCs w:val="20"/>
              </w:rPr>
            </w:pPr>
          </w:p>
        </w:tc>
        <w:tc>
          <w:tcPr>
            <w:tcW w:w="1350" w:type="dxa"/>
            <w:vAlign w:val="center"/>
          </w:tcPr>
          <w:p w14:paraId="282A9D70"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bCs/>
                <w:color w:val="000000" w:themeColor="text1"/>
                <w:sz w:val="20"/>
                <w:szCs w:val="20"/>
              </w:rPr>
              <w:t>AC3</w:t>
            </w:r>
          </w:p>
        </w:tc>
        <w:tc>
          <w:tcPr>
            <w:tcW w:w="5314" w:type="dxa"/>
          </w:tcPr>
          <w:p w14:paraId="05E6AB3B"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I would be happy to stay with this university if it helps me to develop my skills through T&amp;D</w:t>
            </w:r>
          </w:p>
        </w:tc>
      </w:tr>
      <w:tr w:rsidR="00992815" w:rsidRPr="00244BEE" w14:paraId="634F4340" w14:textId="77777777" w:rsidTr="006E6CE9">
        <w:tc>
          <w:tcPr>
            <w:tcW w:w="2628" w:type="dxa"/>
            <w:vMerge/>
          </w:tcPr>
          <w:p w14:paraId="28333D4F" w14:textId="77777777" w:rsidR="00992815" w:rsidRPr="00244BEE" w:rsidRDefault="00992815" w:rsidP="006E6CE9">
            <w:pPr>
              <w:jc w:val="both"/>
              <w:rPr>
                <w:rFonts w:ascii="Arial" w:hAnsi="Arial" w:cs="Arial"/>
                <w:color w:val="000000" w:themeColor="text1"/>
                <w:sz w:val="20"/>
                <w:szCs w:val="20"/>
              </w:rPr>
            </w:pPr>
          </w:p>
        </w:tc>
        <w:tc>
          <w:tcPr>
            <w:tcW w:w="1350" w:type="dxa"/>
            <w:vAlign w:val="center"/>
          </w:tcPr>
          <w:p w14:paraId="50C3CC80"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bCs/>
                <w:color w:val="000000" w:themeColor="text1"/>
                <w:sz w:val="20"/>
                <w:szCs w:val="20"/>
              </w:rPr>
              <w:t>AC4</w:t>
            </w:r>
          </w:p>
        </w:tc>
        <w:tc>
          <w:tcPr>
            <w:tcW w:w="5314" w:type="dxa"/>
          </w:tcPr>
          <w:p w14:paraId="02892B50"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I feel a family member of my university </w:t>
            </w:r>
          </w:p>
        </w:tc>
      </w:tr>
      <w:tr w:rsidR="00992815" w:rsidRPr="00244BEE" w14:paraId="42BBC848" w14:textId="77777777" w:rsidTr="006E6CE9">
        <w:tc>
          <w:tcPr>
            <w:tcW w:w="2628" w:type="dxa"/>
            <w:vMerge/>
          </w:tcPr>
          <w:p w14:paraId="72D3C803" w14:textId="77777777" w:rsidR="00992815" w:rsidRPr="00244BEE" w:rsidRDefault="00992815" w:rsidP="006E6CE9">
            <w:pPr>
              <w:jc w:val="both"/>
              <w:rPr>
                <w:rFonts w:ascii="Arial" w:hAnsi="Arial" w:cs="Arial"/>
                <w:color w:val="000000" w:themeColor="text1"/>
                <w:sz w:val="20"/>
                <w:szCs w:val="20"/>
              </w:rPr>
            </w:pPr>
          </w:p>
        </w:tc>
        <w:tc>
          <w:tcPr>
            <w:tcW w:w="1350" w:type="dxa"/>
          </w:tcPr>
          <w:p w14:paraId="41AD2329"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AC5</w:t>
            </w:r>
          </w:p>
        </w:tc>
        <w:tc>
          <w:tcPr>
            <w:tcW w:w="5314" w:type="dxa"/>
          </w:tcPr>
          <w:p w14:paraId="2A2AB057" w14:textId="77777777" w:rsidR="00992815" w:rsidRPr="00244BEE" w:rsidRDefault="00992815" w:rsidP="006E6CE9">
            <w:pPr>
              <w:pStyle w:val="NormalWeb"/>
              <w:rPr>
                <w:rFonts w:ascii="Arial" w:hAnsi="Arial" w:cs="Arial"/>
                <w:color w:val="000000" w:themeColor="text1"/>
                <w:sz w:val="20"/>
                <w:szCs w:val="20"/>
              </w:rPr>
            </w:pPr>
            <w:r w:rsidRPr="00244BEE">
              <w:rPr>
                <w:rFonts w:ascii="Arial" w:hAnsi="Arial" w:cs="Arial"/>
                <w:bCs/>
                <w:color w:val="000000" w:themeColor="text1"/>
                <w:sz w:val="20"/>
                <w:szCs w:val="20"/>
              </w:rPr>
              <w:t xml:space="preserve">I could effortlessly accord to other university </w:t>
            </w:r>
          </w:p>
        </w:tc>
      </w:tr>
      <w:tr w:rsidR="00992815" w:rsidRPr="00244BEE" w14:paraId="296172CA" w14:textId="77777777" w:rsidTr="006E6CE9">
        <w:tc>
          <w:tcPr>
            <w:tcW w:w="2628" w:type="dxa"/>
            <w:vMerge/>
          </w:tcPr>
          <w:p w14:paraId="38FF415B" w14:textId="77777777" w:rsidR="00992815" w:rsidRPr="00244BEE" w:rsidRDefault="00992815" w:rsidP="006E6CE9">
            <w:pPr>
              <w:jc w:val="both"/>
              <w:rPr>
                <w:rFonts w:ascii="Arial" w:hAnsi="Arial" w:cs="Arial"/>
                <w:color w:val="000000" w:themeColor="text1"/>
                <w:sz w:val="20"/>
                <w:szCs w:val="20"/>
              </w:rPr>
            </w:pPr>
          </w:p>
        </w:tc>
        <w:tc>
          <w:tcPr>
            <w:tcW w:w="1350" w:type="dxa"/>
          </w:tcPr>
          <w:p w14:paraId="337B19AD"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AC6</w:t>
            </w:r>
          </w:p>
        </w:tc>
        <w:tc>
          <w:tcPr>
            <w:tcW w:w="5314" w:type="dxa"/>
          </w:tcPr>
          <w:p w14:paraId="1494BE9E" w14:textId="77777777" w:rsidR="00992815" w:rsidRPr="00244BEE" w:rsidRDefault="00992815" w:rsidP="006E6CE9">
            <w:pPr>
              <w:pStyle w:val="NormalWeb"/>
              <w:rPr>
                <w:rFonts w:ascii="Arial" w:hAnsi="Arial" w:cs="Arial"/>
                <w:color w:val="000000" w:themeColor="text1"/>
                <w:sz w:val="20"/>
                <w:szCs w:val="20"/>
              </w:rPr>
            </w:pPr>
            <w:r w:rsidRPr="00244BEE">
              <w:rPr>
                <w:rFonts w:ascii="Arial" w:hAnsi="Arial" w:cs="Arial"/>
                <w:bCs/>
                <w:color w:val="000000" w:themeColor="text1"/>
                <w:sz w:val="20"/>
                <w:szCs w:val="20"/>
              </w:rPr>
              <w:t xml:space="preserve">I have a strong sense of belonging to my university because of the improvement of my skills due to the training </w:t>
            </w:r>
          </w:p>
        </w:tc>
      </w:tr>
      <w:tr w:rsidR="00992815" w:rsidRPr="00244BEE" w14:paraId="03232F3F" w14:textId="77777777" w:rsidTr="006E6CE9">
        <w:tc>
          <w:tcPr>
            <w:tcW w:w="2628" w:type="dxa"/>
            <w:vMerge w:val="restart"/>
          </w:tcPr>
          <w:p w14:paraId="1A7D7C7D" w14:textId="77777777" w:rsidR="00992815" w:rsidRPr="00244BEE" w:rsidRDefault="00992815" w:rsidP="006E6CE9">
            <w:pPr>
              <w:jc w:val="both"/>
              <w:rPr>
                <w:rFonts w:ascii="Arial" w:hAnsi="Arial" w:cs="Arial"/>
                <w:color w:val="000000" w:themeColor="text1"/>
                <w:sz w:val="20"/>
                <w:szCs w:val="20"/>
              </w:rPr>
            </w:pPr>
            <w:r w:rsidRPr="00244BEE">
              <w:rPr>
                <w:rFonts w:ascii="Arial" w:hAnsi="Arial" w:cs="Arial"/>
                <w:bCs/>
                <w:color w:val="000000" w:themeColor="text1"/>
                <w:sz w:val="20"/>
                <w:szCs w:val="20"/>
              </w:rPr>
              <w:t>Continuance Commitment</w:t>
            </w:r>
          </w:p>
        </w:tc>
        <w:tc>
          <w:tcPr>
            <w:tcW w:w="1350" w:type="dxa"/>
          </w:tcPr>
          <w:p w14:paraId="5B1D775D"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CC1</w:t>
            </w:r>
          </w:p>
        </w:tc>
        <w:tc>
          <w:tcPr>
            <w:tcW w:w="5314" w:type="dxa"/>
          </w:tcPr>
          <w:p w14:paraId="14790E38"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Being trained, it would be very tough for me to leave my existing university immediately, even if I get the opportunity </w:t>
            </w:r>
          </w:p>
        </w:tc>
      </w:tr>
      <w:tr w:rsidR="00992815" w:rsidRPr="00244BEE" w14:paraId="2C1BC995" w14:textId="77777777" w:rsidTr="006E6CE9">
        <w:tc>
          <w:tcPr>
            <w:tcW w:w="2628" w:type="dxa"/>
            <w:vMerge/>
          </w:tcPr>
          <w:p w14:paraId="77D84080" w14:textId="77777777" w:rsidR="00992815" w:rsidRPr="00244BEE" w:rsidRDefault="00992815" w:rsidP="006E6CE9">
            <w:pPr>
              <w:jc w:val="both"/>
              <w:rPr>
                <w:rFonts w:ascii="Arial" w:hAnsi="Arial" w:cs="Arial"/>
                <w:color w:val="000000" w:themeColor="text1"/>
                <w:sz w:val="20"/>
                <w:szCs w:val="20"/>
              </w:rPr>
            </w:pPr>
          </w:p>
        </w:tc>
        <w:tc>
          <w:tcPr>
            <w:tcW w:w="1350" w:type="dxa"/>
          </w:tcPr>
          <w:p w14:paraId="3E2F6CAF"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CC2</w:t>
            </w:r>
          </w:p>
        </w:tc>
        <w:tc>
          <w:tcPr>
            <w:tcW w:w="5314" w:type="dxa"/>
          </w:tcPr>
          <w:p w14:paraId="3C693B7C"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I will be in trouble if I leave my university now</w:t>
            </w:r>
          </w:p>
        </w:tc>
      </w:tr>
      <w:tr w:rsidR="00992815" w:rsidRPr="00244BEE" w14:paraId="4AF6CD06" w14:textId="77777777" w:rsidTr="006E6CE9">
        <w:tc>
          <w:tcPr>
            <w:tcW w:w="2628" w:type="dxa"/>
            <w:vMerge/>
          </w:tcPr>
          <w:p w14:paraId="4111222F" w14:textId="77777777" w:rsidR="00992815" w:rsidRPr="00244BEE" w:rsidRDefault="00992815" w:rsidP="006E6CE9">
            <w:pPr>
              <w:jc w:val="both"/>
              <w:rPr>
                <w:rFonts w:ascii="Arial" w:hAnsi="Arial" w:cs="Arial"/>
                <w:color w:val="000000" w:themeColor="text1"/>
                <w:sz w:val="20"/>
                <w:szCs w:val="20"/>
              </w:rPr>
            </w:pPr>
          </w:p>
        </w:tc>
        <w:tc>
          <w:tcPr>
            <w:tcW w:w="1350" w:type="dxa"/>
          </w:tcPr>
          <w:p w14:paraId="495942BC"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CC3</w:t>
            </w:r>
          </w:p>
        </w:tc>
        <w:tc>
          <w:tcPr>
            <w:tcW w:w="5314" w:type="dxa"/>
          </w:tcPr>
          <w:p w14:paraId="00620217"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I have very limited options to join because of the scarcity of skill-based training  </w:t>
            </w:r>
          </w:p>
        </w:tc>
      </w:tr>
      <w:tr w:rsidR="00992815" w:rsidRPr="00244BEE" w14:paraId="3A2C000F" w14:textId="77777777" w:rsidTr="006E6CE9">
        <w:tc>
          <w:tcPr>
            <w:tcW w:w="2628" w:type="dxa"/>
            <w:vMerge/>
          </w:tcPr>
          <w:p w14:paraId="79244083" w14:textId="77777777" w:rsidR="00992815" w:rsidRPr="00244BEE" w:rsidRDefault="00992815" w:rsidP="006E6CE9">
            <w:pPr>
              <w:jc w:val="both"/>
              <w:rPr>
                <w:rFonts w:ascii="Arial" w:hAnsi="Arial" w:cs="Arial"/>
                <w:color w:val="000000" w:themeColor="text1"/>
                <w:sz w:val="20"/>
                <w:szCs w:val="20"/>
              </w:rPr>
            </w:pPr>
          </w:p>
        </w:tc>
        <w:tc>
          <w:tcPr>
            <w:tcW w:w="1350" w:type="dxa"/>
          </w:tcPr>
          <w:p w14:paraId="7ECBC7F0"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CC4</w:t>
            </w:r>
          </w:p>
        </w:tc>
        <w:tc>
          <w:tcPr>
            <w:tcW w:w="5314" w:type="dxa"/>
          </w:tcPr>
          <w:p w14:paraId="6AC24708"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color w:val="000000" w:themeColor="text1"/>
                <w:sz w:val="20"/>
                <w:szCs w:val="20"/>
              </w:rPr>
              <w:t>It wouldn't be too expensive for me to quit my job instantly.</w:t>
            </w:r>
          </w:p>
        </w:tc>
      </w:tr>
      <w:tr w:rsidR="00992815" w:rsidRPr="00244BEE" w14:paraId="6F51E726" w14:textId="77777777" w:rsidTr="006E6CE9">
        <w:tc>
          <w:tcPr>
            <w:tcW w:w="2628" w:type="dxa"/>
            <w:vMerge/>
          </w:tcPr>
          <w:p w14:paraId="450B067B" w14:textId="77777777" w:rsidR="00992815" w:rsidRPr="00244BEE" w:rsidRDefault="00992815" w:rsidP="006E6CE9">
            <w:pPr>
              <w:jc w:val="both"/>
              <w:rPr>
                <w:rFonts w:ascii="Arial" w:hAnsi="Arial" w:cs="Arial"/>
                <w:color w:val="000000" w:themeColor="text1"/>
                <w:sz w:val="20"/>
                <w:szCs w:val="20"/>
              </w:rPr>
            </w:pPr>
          </w:p>
        </w:tc>
        <w:tc>
          <w:tcPr>
            <w:tcW w:w="1350" w:type="dxa"/>
          </w:tcPr>
          <w:p w14:paraId="53047E04"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CC5</w:t>
            </w:r>
          </w:p>
        </w:tc>
        <w:tc>
          <w:tcPr>
            <w:tcW w:w="5314" w:type="dxa"/>
          </w:tcPr>
          <w:p w14:paraId="6E63376B"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Resigning from my existing university lead to significant personal sacrifice </w:t>
            </w:r>
          </w:p>
        </w:tc>
      </w:tr>
      <w:tr w:rsidR="00992815" w:rsidRPr="00244BEE" w14:paraId="48DB44DF" w14:textId="77777777" w:rsidTr="006E6CE9">
        <w:tc>
          <w:tcPr>
            <w:tcW w:w="2628" w:type="dxa"/>
            <w:vMerge w:val="restart"/>
          </w:tcPr>
          <w:p w14:paraId="341D9092" w14:textId="77777777" w:rsidR="00992815" w:rsidRPr="00244BEE" w:rsidRDefault="00992815" w:rsidP="006E6CE9">
            <w:pPr>
              <w:jc w:val="both"/>
              <w:rPr>
                <w:rFonts w:ascii="Arial" w:hAnsi="Arial" w:cs="Arial"/>
                <w:color w:val="000000" w:themeColor="text1"/>
                <w:sz w:val="20"/>
                <w:szCs w:val="20"/>
              </w:rPr>
            </w:pPr>
            <w:r w:rsidRPr="00244BEE">
              <w:rPr>
                <w:rFonts w:ascii="Arial" w:hAnsi="Arial" w:cs="Arial"/>
                <w:bCs/>
                <w:color w:val="000000" w:themeColor="text1"/>
                <w:sz w:val="20"/>
                <w:szCs w:val="20"/>
              </w:rPr>
              <w:t>Normative Commitment</w:t>
            </w:r>
          </w:p>
        </w:tc>
        <w:tc>
          <w:tcPr>
            <w:tcW w:w="1350" w:type="dxa"/>
          </w:tcPr>
          <w:p w14:paraId="6D3FFCF0"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NC1</w:t>
            </w:r>
          </w:p>
        </w:tc>
        <w:tc>
          <w:tcPr>
            <w:tcW w:w="5314" w:type="dxa"/>
          </w:tcPr>
          <w:p w14:paraId="4AD78377"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Due to having sufficient skill-based training, I have a compulsion to stay with my existing university </w:t>
            </w:r>
          </w:p>
        </w:tc>
      </w:tr>
      <w:tr w:rsidR="00992815" w:rsidRPr="00244BEE" w14:paraId="65BC4B7D" w14:textId="77777777" w:rsidTr="006E6CE9">
        <w:tc>
          <w:tcPr>
            <w:tcW w:w="2628" w:type="dxa"/>
            <w:vMerge/>
          </w:tcPr>
          <w:p w14:paraId="1EEDF448" w14:textId="77777777" w:rsidR="00992815" w:rsidRPr="00244BEE" w:rsidRDefault="00992815" w:rsidP="006E6CE9">
            <w:pPr>
              <w:jc w:val="both"/>
              <w:rPr>
                <w:rFonts w:ascii="Arial" w:hAnsi="Arial" w:cs="Arial"/>
                <w:color w:val="000000" w:themeColor="text1"/>
                <w:sz w:val="20"/>
                <w:szCs w:val="20"/>
              </w:rPr>
            </w:pPr>
          </w:p>
        </w:tc>
        <w:tc>
          <w:tcPr>
            <w:tcW w:w="1350" w:type="dxa"/>
          </w:tcPr>
          <w:p w14:paraId="29C13CC2"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NC2</w:t>
            </w:r>
          </w:p>
        </w:tc>
        <w:tc>
          <w:tcPr>
            <w:tcW w:w="5314" w:type="dxa"/>
          </w:tcPr>
          <w:p w14:paraId="7544A6B4"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I would feel bad if I quit my university instantly</w:t>
            </w:r>
          </w:p>
        </w:tc>
      </w:tr>
      <w:tr w:rsidR="00992815" w:rsidRPr="00244BEE" w14:paraId="4AD0F92F" w14:textId="77777777" w:rsidTr="006E6CE9">
        <w:tc>
          <w:tcPr>
            <w:tcW w:w="2628" w:type="dxa"/>
            <w:vMerge/>
          </w:tcPr>
          <w:p w14:paraId="03A8DD3F" w14:textId="77777777" w:rsidR="00992815" w:rsidRPr="00244BEE" w:rsidRDefault="00992815" w:rsidP="006E6CE9">
            <w:pPr>
              <w:jc w:val="both"/>
              <w:rPr>
                <w:rFonts w:ascii="Arial" w:hAnsi="Arial" w:cs="Arial"/>
                <w:color w:val="000000" w:themeColor="text1"/>
                <w:sz w:val="20"/>
                <w:szCs w:val="20"/>
              </w:rPr>
            </w:pPr>
          </w:p>
        </w:tc>
        <w:tc>
          <w:tcPr>
            <w:tcW w:w="1350" w:type="dxa"/>
          </w:tcPr>
          <w:p w14:paraId="003C5D68"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NC3</w:t>
            </w:r>
          </w:p>
        </w:tc>
        <w:tc>
          <w:tcPr>
            <w:tcW w:w="5314" w:type="dxa"/>
          </w:tcPr>
          <w:p w14:paraId="26D81601"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I am indebted to my employer as have got the support </w:t>
            </w:r>
          </w:p>
        </w:tc>
      </w:tr>
      <w:tr w:rsidR="00992815" w:rsidRPr="00244BEE" w14:paraId="48DE8C5C" w14:textId="77777777" w:rsidTr="006E6CE9">
        <w:tc>
          <w:tcPr>
            <w:tcW w:w="2628" w:type="dxa"/>
            <w:vMerge/>
          </w:tcPr>
          <w:p w14:paraId="4DF4599D" w14:textId="77777777" w:rsidR="00992815" w:rsidRPr="00244BEE" w:rsidRDefault="00992815" w:rsidP="006E6CE9">
            <w:pPr>
              <w:jc w:val="both"/>
              <w:rPr>
                <w:rFonts w:ascii="Arial" w:hAnsi="Arial" w:cs="Arial"/>
                <w:color w:val="000000" w:themeColor="text1"/>
                <w:sz w:val="20"/>
                <w:szCs w:val="20"/>
              </w:rPr>
            </w:pPr>
          </w:p>
        </w:tc>
        <w:tc>
          <w:tcPr>
            <w:tcW w:w="1350" w:type="dxa"/>
          </w:tcPr>
          <w:p w14:paraId="321EB833"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NC4</w:t>
            </w:r>
          </w:p>
        </w:tc>
        <w:tc>
          <w:tcPr>
            <w:tcW w:w="5314" w:type="dxa"/>
          </w:tcPr>
          <w:p w14:paraId="5F8D4009"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 xml:space="preserve">I would not join another university though I have better opportunity </w:t>
            </w:r>
          </w:p>
        </w:tc>
      </w:tr>
      <w:tr w:rsidR="00992815" w:rsidRPr="00244BEE" w14:paraId="697C0FE8" w14:textId="77777777" w:rsidTr="006E6CE9">
        <w:tc>
          <w:tcPr>
            <w:tcW w:w="2628" w:type="dxa"/>
            <w:vMerge w:val="restart"/>
          </w:tcPr>
          <w:p w14:paraId="1CBB7F43" w14:textId="77777777" w:rsidR="00992815" w:rsidRPr="00244BEE" w:rsidRDefault="00992815" w:rsidP="006E6CE9">
            <w:pPr>
              <w:jc w:val="both"/>
              <w:rPr>
                <w:rFonts w:ascii="Arial" w:hAnsi="Arial" w:cs="Arial"/>
                <w:color w:val="000000" w:themeColor="text1"/>
                <w:sz w:val="20"/>
                <w:szCs w:val="20"/>
              </w:rPr>
            </w:pPr>
            <w:r w:rsidRPr="00244BEE">
              <w:rPr>
                <w:rFonts w:ascii="Arial" w:hAnsi="Arial" w:cs="Arial"/>
                <w:color w:val="000000" w:themeColor="text1"/>
                <w:sz w:val="20"/>
                <w:szCs w:val="20"/>
              </w:rPr>
              <w:t>Training &amp; Development</w:t>
            </w:r>
          </w:p>
        </w:tc>
        <w:tc>
          <w:tcPr>
            <w:tcW w:w="1350" w:type="dxa"/>
          </w:tcPr>
          <w:p w14:paraId="600DFF03"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T&amp;D1</w:t>
            </w:r>
          </w:p>
        </w:tc>
        <w:tc>
          <w:tcPr>
            <w:tcW w:w="5314" w:type="dxa"/>
          </w:tcPr>
          <w:p w14:paraId="13FCEF7B"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I am pleased for valuable in my university</w:t>
            </w:r>
          </w:p>
        </w:tc>
      </w:tr>
      <w:tr w:rsidR="00992815" w:rsidRPr="00244BEE" w14:paraId="6E174AE6" w14:textId="77777777" w:rsidTr="006E6CE9">
        <w:tc>
          <w:tcPr>
            <w:tcW w:w="2628" w:type="dxa"/>
            <w:vMerge/>
          </w:tcPr>
          <w:p w14:paraId="577B2965" w14:textId="77777777" w:rsidR="00992815" w:rsidRPr="00244BEE" w:rsidRDefault="00992815" w:rsidP="006E6CE9">
            <w:pPr>
              <w:rPr>
                <w:rFonts w:ascii="Arial" w:hAnsi="Arial" w:cs="Arial"/>
                <w:color w:val="000000" w:themeColor="text1"/>
                <w:sz w:val="20"/>
                <w:szCs w:val="20"/>
              </w:rPr>
            </w:pPr>
          </w:p>
        </w:tc>
        <w:tc>
          <w:tcPr>
            <w:tcW w:w="1350" w:type="dxa"/>
          </w:tcPr>
          <w:p w14:paraId="2AEFFA09"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T&amp;D2</w:t>
            </w:r>
          </w:p>
        </w:tc>
        <w:tc>
          <w:tcPr>
            <w:tcW w:w="5314" w:type="dxa"/>
          </w:tcPr>
          <w:p w14:paraId="5357E5CA"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The offered training programs have boosted my skills</w:t>
            </w:r>
          </w:p>
        </w:tc>
      </w:tr>
      <w:tr w:rsidR="00992815" w:rsidRPr="00244BEE" w14:paraId="75EE6AEC" w14:textId="77777777" w:rsidTr="006E6CE9">
        <w:tc>
          <w:tcPr>
            <w:tcW w:w="2628" w:type="dxa"/>
            <w:vMerge/>
          </w:tcPr>
          <w:p w14:paraId="0EA15590" w14:textId="77777777" w:rsidR="00992815" w:rsidRPr="00244BEE" w:rsidRDefault="00992815" w:rsidP="006E6CE9">
            <w:pPr>
              <w:rPr>
                <w:rFonts w:ascii="Arial" w:hAnsi="Arial" w:cs="Arial"/>
                <w:color w:val="000000" w:themeColor="text1"/>
                <w:sz w:val="20"/>
                <w:szCs w:val="20"/>
              </w:rPr>
            </w:pPr>
          </w:p>
        </w:tc>
        <w:tc>
          <w:tcPr>
            <w:tcW w:w="1350" w:type="dxa"/>
          </w:tcPr>
          <w:p w14:paraId="5E5C4077"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T&amp;D3</w:t>
            </w:r>
          </w:p>
        </w:tc>
        <w:tc>
          <w:tcPr>
            <w:tcW w:w="5314" w:type="dxa"/>
          </w:tcPr>
          <w:p w14:paraId="1421F631" w14:textId="77777777" w:rsidR="00992815" w:rsidRPr="00244BEE" w:rsidRDefault="00992815" w:rsidP="006E6CE9">
            <w:pPr>
              <w:rPr>
                <w:rFonts w:ascii="Arial" w:hAnsi="Arial" w:cs="Arial"/>
                <w:color w:val="000000" w:themeColor="text1"/>
                <w:sz w:val="20"/>
                <w:szCs w:val="20"/>
              </w:rPr>
            </w:pPr>
            <w:r w:rsidRPr="00244BEE">
              <w:rPr>
                <w:rFonts w:ascii="Arial" w:hAnsi="Arial" w:cs="Arial"/>
                <w:bCs/>
                <w:color w:val="000000" w:themeColor="text1"/>
                <w:sz w:val="20"/>
                <w:szCs w:val="20"/>
              </w:rPr>
              <w:t>The training programs offered in my university are well designed to my professional objectives.</w:t>
            </w:r>
          </w:p>
        </w:tc>
      </w:tr>
      <w:tr w:rsidR="00992815" w:rsidRPr="00244BEE" w14:paraId="5A8654C7" w14:textId="77777777" w:rsidTr="006E6CE9">
        <w:tc>
          <w:tcPr>
            <w:tcW w:w="2628" w:type="dxa"/>
            <w:vMerge/>
          </w:tcPr>
          <w:p w14:paraId="5688D79E" w14:textId="77777777" w:rsidR="00992815" w:rsidRPr="00244BEE" w:rsidRDefault="00992815" w:rsidP="006E6CE9">
            <w:pPr>
              <w:rPr>
                <w:rFonts w:ascii="Arial" w:hAnsi="Arial" w:cs="Arial"/>
                <w:color w:val="000000" w:themeColor="text1"/>
                <w:sz w:val="20"/>
                <w:szCs w:val="20"/>
              </w:rPr>
            </w:pPr>
          </w:p>
        </w:tc>
        <w:tc>
          <w:tcPr>
            <w:tcW w:w="1350" w:type="dxa"/>
          </w:tcPr>
          <w:p w14:paraId="5AC4BA37"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T&amp;D4</w:t>
            </w:r>
          </w:p>
        </w:tc>
        <w:tc>
          <w:tcPr>
            <w:tcW w:w="5314" w:type="dxa"/>
          </w:tcPr>
          <w:p w14:paraId="4828A673" w14:textId="77777777" w:rsidR="00992815" w:rsidRPr="00244BEE" w:rsidRDefault="00992815" w:rsidP="006E6CE9">
            <w:pPr>
              <w:rPr>
                <w:rFonts w:ascii="Arial" w:hAnsi="Arial" w:cs="Arial"/>
                <w:bCs/>
                <w:color w:val="000000" w:themeColor="text1"/>
                <w:sz w:val="20"/>
                <w:szCs w:val="20"/>
              </w:rPr>
            </w:pPr>
            <w:r w:rsidRPr="00244BEE">
              <w:rPr>
                <w:rFonts w:ascii="Arial" w:hAnsi="Arial" w:cs="Arial"/>
                <w:bCs/>
                <w:color w:val="000000" w:themeColor="text1"/>
                <w:sz w:val="20"/>
                <w:szCs w:val="20"/>
              </w:rPr>
              <w:t xml:space="preserve">The training programs have boosted my intention to stay with my university. </w:t>
            </w:r>
          </w:p>
        </w:tc>
      </w:tr>
    </w:tbl>
    <w:p w14:paraId="6E6F4FAD" w14:textId="77777777" w:rsidR="00992815" w:rsidRPr="00244BEE" w:rsidRDefault="00992815" w:rsidP="00992815">
      <w:pPr>
        <w:spacing w:line="240" w:lineRule="auto"/>
        <w:rPr>
          <w:rFonts w:ascii="Arial" w:hAnsi="Arial" w:cs="Arial"/>
          <w:color w:val="000000" w:themeColor="text1"/>
          <w:sz w:val="20"/>
          <w:szCs w:val="20"/>
        </w:rPr>
      </w:pPr>
    </w:p>
    <w:p w14:paraId="3F508394" w14:textId="77777777" w:rsidR="00992815" w:rsidRPr="00244BEE" w:rsidRDefault="00992815" w:rsidP="00992815">
      <w:pPr>
        <w:pStyle w:val="BodyText"/>
        <w:spacing w:before="164" w:after="240"/>
        <w:rPr>
          <w:rFonts w:ascii="Arial" w:hAnsi="Arial" w:cs="Arial"/>
          <w:b/>
          <w:color w:val="000000" w:themeColor="text1"/>
          <w:sz w:val="22"/>
          <w:szCs w:val="22"/>
        </w:rPr>
      </w:pPr>
      <w:r w:rsidRPr="00244BEE">
        <w:rPr>
          <w:rFonts w:ascii="Arial" w:hAnsi="Arial" w:cs="Arial"/>
          <w:b/>
          <w:color w:val="000000" w:themeColor="text1"/>
          <w:sz w:val="22"/>
          <w:szCs w:val="22"/>
        </w:rPr>
        <w:t xml:space="preserve">4. RESULTS AND DISCUSSION </w:t>
      </w:r>
    </w:p>
    <w:p w14:paraId="0ED4959E" w14:textId="77777777" w:rsidR="00992815" w:rsidRPr="00244BEE" w:rsidRDefault="00992815" w:rsidP="00992815">
      <w:pPr>
        <w:spacing w:after="240" w:line="240" w:lineRule="auto"/>
        <w:rPr>
          <w:rFonts w:ascii="Arial" w:hAnsi="Arial" w:cs="Arial"/>
          <w:b/>
          <w:color w:val="000000" w:themeColor="text1"/>
        </w:rPr>
      </w:pPr>
      <w:r w:rsidRPr="00244BEE">
        <w:rPr>
          <w:rFonts w:ascii="Arial" w:hAnsi="Arial" w:cs="Arial"/>
          <w:b/>
          <w:color w:val="000000" w:themeColor="text1"/>
        </w:rPr>
        <w:t xml:space="preserve">4.1 Demographic Profile </w:t>
      </w:r>
    </w:p>
    <w:p w14:paraId="0C7C8181" w14:textId="77777777" w:rsidR="00992815" w:rsidRPr="00244BEE" w:rsidRDefault="00992815" w:rsidP="00992815">
      <w:pPr>
        <w:pStyle w:val="BodyText"/>
        <w:spacing w:before="166"/>
        <w:ind w:left="23" w:right="18"/>
        <w:jc w:val="both"/>
        <w:rPr>
          <w:rFonts w:ascii="Arial" w:hAnsi="Arial" w:cs="Arial"/>
          <w:color w:val="000000" w:themeColor="text1"/>
        </w:rPr>
      </w:pPr>
      <w:r w:rsidRPr="00244BEE">
        <w:rPr>
          <w:rFonts w:ascii="Arial" w:hAnsi="Arial" w:cs="Arial"/>
          <w:color w:val="000000" w:themeColor="text1"/>
        </w:rPr>
        <w:lastRenderedPageBreak/>
        <w:t xml:space="preserve">Table 2: Respondents’ Profile of the Survey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08"/>
        <w:gridCol w:w="4320"/>
        <w:gridCol w:w="1440"/>
        <w:gridCol w:w="1620"/>
      </w:tblGrid>
      <w:tr w:rsidR="00992815" w:rsidRPr="00244BEE" w14:paraId="184162DA" w14:textId="77777777" w:rsidTr="001242A2">
        <w:tc>
          <w:tcPr>
            <w:tcW w:w="1908" w:type="dxa"/>
            <w:tcBorders>
              <w:top w:val="single" w:sz="4" w:space="0" w:color="auto"/>
              <w:bottom w:val="single" w:sz="4" w:space="0" w:color="auto"/>
            </w:tcBorders>
          </w:tcPr>
          <w:p w14:paraId="1F80E0B2"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Demographics</w:t>
            </w:r>
          </w:p>
        </w:tc>
        <w:tc>
          <w:tcPr>
            <w:tcW w:w="4320" w:type="dxa"/>
            <w:tcBorders>
              <w:top w:val="single" w:sz="4" w:space="0" w:color="auto"/>
              <w:bottom w:val="single" w:sz="4" w:space="0" w:color="auto"/>
            </w:tcBorders>
          </w:tcPr>
          <w:p w14:paraId="2E38D44C"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Categories</w:t>
            </w:r>
          </w:p>
        </w:tc>
        <w:tc>
          <w:tcPr>
            <w:tcW w:w="1440" w:type="dxa"/>
            <w:tcBorders>
              <w:top w:val="single" w:sz="4" w:space="0" w:color="auto"/>
              <w:bottom w:val="single" w:sz="4" w:space="0" w:color="auto"/>
            </w:tcBorders>
          </w:tcPr>
          <w:p w14:paraId="553533F6"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Frequency</w:t>
            </w:r>
          </w:p>
        </w:tc>
        <w:tc>
          <w:tcPr>
            <w:tcW w:w="1620" w:type="dxa"/>
            <w:tcBorders>
              <w:top w:val="single" w:sz="4" w:space="0" w:color="auto"/>
              <w:bottom w:val="single" w:sz="4" w:space="0" w:color="auto"/>
            </w:tcBorders>
          </w:tcPr>
          <w:p w14:paraId="751741BA"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Percentage</w:t>
            </w:r>
          </w:p>
        </w:tc>
      </w:tr>
      <w:tr w:rsidR="00992815" w:rsidRPr="00244BEE" w14:paraId="2A9C4A0D" w14:textId="77777777" w:rsidTr="001242A2">
        <w:tc>
          <w:tcPr>
            <w:tcW w:w="1908" w:type="dxa"/>
            <w:vMerge w:val="restart"/>
            <w:tcBorders>
              <w:top w:val="single" w:sz="4" w:space="0" w:color="auto"/>
            </w:tcBorders>
          </w:tcPr>
          <w:p w14:paraId="1F79F66D"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University</w:t>
            </w:r>
          </w:p>
        </w:tc>
        <w:tc>
          <w:tcPr>
            <w:tcW w:w="4320" w:type="dxa"/>
            <w:tcBorders>
              <w:top w:val="single" w:sz="4" w:space="0" w:color="auto"/>
            </w:tcBorders>
          </w:tcPr>
          <w:p w14:paraId="24EF740A" w14:textId="77777777" w:rsidR="00992815" w:rsidRPr="00244BEE" w:rsidRDefault="00992815" w:rsidP="006E6CE9">
            <w:pPr>
              <w:rPr>
                <w:rFonts w:ascii="Arial" w:hAnsi="Arial" w:cs="Arial"/>
                <w:b/>
                <w:color w:val="000000" w:themeColor="text1"/>
                <w:sz w:val="20"/>
                <w:szCs w:val="20"/>
              </w:rPr>
            </w:pPr>
            <w:r w:rsidRPr="00244BEE">
              <w:rPr>
                <w:rFonts w:ascii="Arial" w:hAnsi="Arial" w:cs="Arial"/>
                <w:color w:val="000000" w:themeColor="text1"/>
                <w:sz w:val="20"/>
                <w:szCs w:val="20"/>
              </w:rPr>
              <w:t>Southeast University</w:t>
            </w:r>
          </w:p>
        </w:tc>
        <w:tc>
          <w:tcPr>
            <w:tcW w:w="1440" w:type="dxa"/>
            <w:tcBorders>
              <w:top w:val="single" w:sz="4" w:space="0" w:color="auto"/>
            </w:tcBorders>
            <w:vAlign w:val="center"/>
          </w:tcPr>
          <w:p w14:paraId="11435F34"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104</w:t>
            </w:r>
          </w:p>
        </w:tc>
        <w:tc>
          <w:tcPr>
            <w:tcW w:w="1620" w:type="dxa"/>
            <w:tcBorders>
              <w:top w:val="single" w:sz="4" w:space="0" w:color="auto"/>
            </w:tcBorders>
            <w:vAlign w:val="center"/>
          </w:tcPr>
          <w:p w14:paraId="60A810E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36.6</w:t>
            </w:r>
          </w:p>
        </w:tc>
      </w:tr>
      <w:tr w:rsidR="00992815" w:rsidRPr="00244BEE" w14:paraId="40F4EA66" w14:textId="77777777" w:rsidTr="001242A2">
        <w:trPr>
          <w:trHeight w:val="331"/>
        </w:trPr>
        <w:tc>
          <w:tcPr>
            <w:tcW w:w="1908" w:type="dxa"/>
            <w:vMerge/>
          </w:tcPr>
          <w:p w14:paraId="48D1A50C" w14:textId="77777777" w:rsidR="00992815" w:rsidRPr="00244BEE" w:rsidRDefault="00992815" w:rsidP="006E6CE9">
            <w:pPr>
              <w:rPr>
                <w:rFonts w:ascii="Arial" w:hAnsi="Arial" w:cs="Arial"/>
                <w:color w:val="000000" w:themeColor="text1"/>
                <w:sz w:val="20"/>
                <w:szCs w:val="20"/>
              </w:rPr>
            </w:pPr>
          </w:p>
        </w:tc>
        <w:tc>
          <w:tcPr>
            <w:tcW w:w="4320" w:type="dxa"/>
          </w:tcPr>
          <w:p w14:paraId="2DB58C69" w14:textId="77777777" w:rsidR="00992815" w:rsidRPr="00244BEE" w:rsidRDefault="00992815" w:rsidP="006E6CE9">
            <w:pPr>
              <w:rPr>
                <w:rFonts w:ascii="Arial" w:hAnsi="Arial" w:cs="Arial"/>
                <w:b/>
                <w:color w:val="000000" w:themeColor="text1"/>
                <w:sz w:val="20"/>
                <w:szCs w:val="20"/>
              </w:rPr>
            </w:pPr>
            <w:r w:rsidRPr="00244BEE">
              <w:rPr>
                <w:rFonts w:ascii="Arial" w:hAnsi="Arial" w:cs="Arial"/>
                <w:color w:val="000000" w:themeColor="text1"/>
                <w:sz w:val="20"/>
                <w:szCs w:val="20"/>
              </w:rPr>
              <w:t>Independent University Bangladesh</w:t>
            </w:r>
          </w:p>
        </w:tc>
        <w:tc>
          <w:tcPr>
            <w:tcW w:w="1440" w:type="dxa"/>
            <w:vAlign w:val="center"/>
          </w:tcPr>
          <w:p w14:paraId="28D863D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24</w:t>
            </w:r>
          </w:p>
        </w:tc>
        <w:tc>
          <w:tcPr>
            <w:tcW w:w="1620" w:type="dxa"/>
            <w:vAlign w:val="center"/>
          </w:tcPr>
          <w:p w14:paraId="107A5AA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8.5</w:t>
            </w:r>
          </w:p>
        </w:tc>
      </w:tr>
      <w:tr w:rsidR="00992815" w:rsidRPr="00244BEE" w14:paraId="6E4BA09C" w14:textId="77777777" w:rsidTr="001242A2">
        <w:tc>
          <w:tcPr>
            <w:tcW w:w="1908" w:type="dxa"/>
            <w:vMerge/>
          </w:tcPr>
          <w:p w14:paraId="0ED11F34" w14:textId="77777777" w:rsidR="00992815" w:rsidRPr="00244BEE" w:rsidRDefault="00992815" w:rsidP="006E6CE9">
            <w:pPr>
              <w:rPr>
                <w:rFonts w:ascii="Arial" w:hAnsi="Arial" w:cs="Arial"/>
                <w:color w:val="000000" w:themeColor="text1"/>
                <w:sz w:val="20"/>
                <w:szCs w:val="20"/>
              </w:rPr>
            </w:pPr>
          </w:p>
        </w:tc>
        <w:tc>
          <w:tcPr>
            <w:tcW w:w="4320" w:type="dxa"/>
          </w:tcPr>
          <w:p w14:paraId="07A6C0B2"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Sonargaon University</w:t>
            </w:r>
          </w:p>
        </w:tc>
        <w:tc>
          <w:tcPr>
            <w:tcW w:w="1440" w:type="dxa"/>
            <w:vAlign w:val="center"/>
          </w:tcPr>
          <w:p w14:paraId="233B25F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35</w:t>
            </w:r>
          </w:p>
        </w:tc>
        <w:tc>
          <w:tcPr>
            <w:tcW w:w="1620" w:type="dxa"/>
            <w:vAlign w:val="center"/>
          </w:tcPr>
          <w:p w14:paraId="2F2D0CA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12.3</w:t>
            </w:r>
          </w:p>
        </w:tc>
      </w:tr>
      <w:tr w:rsidR="00992815" w:rsidRPr="00244BEE" w14:paraId="317B9C70" w14:textId="77777777" w:rsidTr="001242A2">
        <w:tc>
          <w:tcPr>
            <w:tcW w:w="1908" w:type="dxa"/>
            <w:vMerge/>
          </w:tcPr>
          <w:p w14:paraId="665D6C1E" w14:textId="77777777" w:rsidR="00992815" w:rsidRPr="00244BEE" w:rsidRDefault="00992815" w:rsidP="006E6CE9">
            <w:pPr>
              <w:rPr>
                <w:rFonts w:ascii="Arial" w:hAnsi="Arial" w:cs="Arial"/>
                <w:color w:val="000000" w:themeColor="text1"/>
                <w:sz w:val="20"/>
                <w:szCs w:val="20"/>
              </w:rPr>
            </w:pPr>
          </w:p>
        </w:tc>
        <w:tc>
          <w:tcPr>
            <w:tcW w:w="4320" w:type="dxa"/>
          </w:tcPr>
          <w:p w14:paraId="2909A6DF"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Green University of Bangladesh</w:t>
            </w:r>
          </w:p>
        </w:tc>
        <w:tc>
          <w:tcPr>
            <w:tcW w:w="1440" w:type="dxa"/>
            <w:vAlign w:val="center"/>
          </w:tcPr>
          <w:p w14:paraId="72538908"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16</w:t>
            </w:r>
          </w:p>
        </w:tc>
        <w:tc>
          <w:tcPr>
            <w:tcW w:w="1620" w:type="dxa"/>
            <w:vAlign w:val="center"/>
          </w:tcPr>
          <w:p w14:paraId="09BCF7D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5.6</w:t>
            </w:r>
          </w:p>
        </w:tc>
      </w:tr>
      <w:tr w:rsidR="00992815" w:rsidRPr="00244BEE" w14:paraId="29C3AF29" w14:textId="77777777" w:rsidTr="001242A2">
        <w:tc>
          <w:tcPr>
            <w:tcW w:w="1908" w:type="dxa"/>
            <w:vMerge/>
          </w:tcPr>
          <w:p w14:paraId="6E2D3F2A" w14:textId="77777777" w:rsidR="00992815" w:rsidRPr="00244BEE" w:rsidRDefault="00992815" w:rsidP="006E6CE9">
            <w:pPr>
              <w:rPr>
                <w:rFonts w:ascii="Arial" w:hAnsi="Arial" w:cs="Arial"/>
                <w:color w:val="000000" w:themeColor="text1"/>
                <w:sz w:val="20"/>
                <w:szCs w:val="20"/>
              </w:rPr>
            </w:pPr>
          </w:p>
        </w:tc>
        <w:tc>
          <w:tcPr>
            <w:tcW w:w="4320" w:type="dxa"/>
          </w:tcPr>
          <w:p w14:paraId="58DD1D3A"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German University Bangladesh</w:t>
            </w:r>
          </w:p>
        </w:tc>
        <w:tc>
          <w:tcPr>
            <w:tcW w:w="1440" w:type="dxa"/>
            <w:vAlign w:val="center"/>
          </w:tcPr>
          <w:p w14:paraId="35B7145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w:t>
            </w:r>
          </w:p>
        </w:tc>
        <w:tc>
          <w:tcPr>
            <w:tcW w:w="1620" w:type="dxa"/>
            <w:vAlign w:val="center"/>
          </w:tcPr>
          <w:p w14:paraId="4B94E28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9.9</w:t>
            </w:r>
          </w:p>
        </w:tc>
      </w:tr>
      <w:tr w:rsidR="00992815" w:rsidRPr="00244BEE" w14:paraId="48F7C422" w14:textId="77777777" w:rsidTr="001242A2">
        <w:tc>
          <w:tcPr>
            <w:tcW w:w="1908" w:type="dxa"/>
            <w:vMerge/>
          </w:tcPr>
          <w:p w14:paraId="5323885E" w14:textId="77777777" w:rsidR="00992815" w:rsidRPr="00244BEE" w:rsidRDefault="00992815" w:rsidP="006E6CE9">
            <w:pPr>
              <w:rPr>
                <w:rFonts w:ascii="Arial" w:hAnsi="Arial" w:cs="Arial"/>
                <w:color w:val="000000" w:themeColor="text1"/>
                <w:sz w:val="20"/>
                <w:szCs w:val="20"/>
              </w:rPr>
            </w:pPr>
          </w:p>
        </w:tc>
        <w:tc>
          <w:tcPr>
            <w:tcW w:w="4320" w:type="dxa"/>
          </w:tcPr>
          <w:p w14:paraId="15335B23"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Notre Dame University Bangladesh</w:t>
            </w:r>
          </w:p>
        </w:tc>
        <w:tc>
          <w:tcPr>
            <w:tcW w:w="1440" w:type="dxa"/>
            <w:vAlign w:val="center"/>
          </w:tcPr>
          <w:p w14:paraId="6E3C1126"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21</w:t>
            </w:r>
          </w:p>
        </w:tc>
        <w:tc>
          <w:tcPr>
            <w:tcW w:w="1620" w:type="dxa"/>
            <w:vAlign w:val="center"/>
          </w:tcPr>
          <w:p w14:paraId="116ACAEE"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7.4</w:t>
            </w:r>
          </w:p>
        </w:tc>
      </w:tr>
      <w:tr w:rsidR="00992815" w:rsidRPr="00244BEE" w14:paraId="172B8908" w14:textId="77777777" w:rsidTr="001242A2">
        <w:tc>
          <w:tcPr>
            <w:tcW w:w="1908" w:type="dxa"/>
            <w:vMerge/>
          </w:tcPr>
          <w:p w14:paraId="642C249D" w14:textId="77777777" w:rsidR="00992815" w:rsidRPr="00244BEE" w:rsidRDefault="00992815" w:rsidP="006E6CE9">
            <w:pPr>
              <w:rPr>
                <w:rFonts w:ascii="Arial" w:hAnsi="Arial" w:cs="Arial"/>
                <w:color w:val="000000" w:themeColor="text1"/>
                <w:sz w:val="20"/>
                <w:szCs w:val="20"/>
              </w:rPr>
            </w:pPr>
          </w:p>
        </w:tc>
        <w:tc>
          <w:tcPr>
            <w:tcW w:w="4320" w:type="dxa"/>
          </w:tcPr>
          <w:p w14:paraId="0C859A31"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Northern University Bangladesh</w:t>
            </w:r>
          </w:p>
        </w:tc>
        <w:tc>
          <w:tcPr>
            <w:tcW w:w="1440" w:type="dxa"/>
            <w:vAlign w:val="center"/>
          </w:tcPr>
          <w:p w14:paraId="7C7906A4"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19</w:t>
            </w:r>
          </w:p>
        </w:tc>
        <w:tc>
          <w:tcPr>
            <w:tcW w:w="1620" w:type="dxa"/>
            <w:vAlign w:val="center"/>
          </w:tcPr>
          <w:p w14:paraId="4A00AE4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6.7</w:t>
            </w:r>
          </w:p>
        </w:tc>
      </w:tr>
      <w:tr w:rsidR="00992815" w:rsidRPr="00244BEE" w14:paraId="45D9F96A" w14:textId="77777777" w:rsidTr="001242A2">
        <w:tc>
          <w:tcPr>
            <w:tcW w:w="1908" w:type="dxa"/>
            <w:vMerge/>
          </w:tcPr>
          <w:p w14:paraId="7C34AF33" w14:textId="77777777" w:rsidR="00992815" w:rsidRPr="00244BEE" w:rsidRDefault="00992815" w:rsidP="006E6CE9">
            <w:pPr>
              <w:rPr>
                <w:rFonts w:ascii="Arial" w:hAnsi="Arial" w:cs="Arial"/>
                <w:color w:val="000000" w:themeColor="text1"/>
                <w:sz w:val="20"/>
                <w:szCs w:val="20"/>
              </w:rPr>
            </w:pPr>
          </w:p>
        </w:tc>
        <w:tc>
          <w:tcPr>
            <w:tcW w:w="4320" w:type="dxa"/>
          </w:tcPr>
          <w:p w14:paraId="0C3239AE"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Prime Asia University</w:t>
            </w:r>
          </w:p>
        </w:tc>
        <w:tc>
          <w:tcPr>
            <w:tcW w:w="1440" w:type="dxa"/>
            <w:vAlign w:val="center"/>
          </w:tcPr>
          <w:p w14:paraId="7DDB8F5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24</w:t>
            </w:r>
          </w:p>
        </w:tc>
        <w:tc>
          <w:tcPr>
            <w:tcW w:w="1620" w:type="dxa"/>
            <w:vAlign w:val="center"/>
          </w:tcPr>
          <w:p w14:paraId="6B15FEB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8.5</w:t>
            </w:r>
          </w:p>
        </w:tc>
      </w:tr>
      <w:tr w:rsidR="00992815" w:rsidRPr="00244BEE" w14:paraId="48C87411" w14:textId="77777777" w:rsidTr="001242A2">
        <w:tc>
          <w:tcPr>
            <w:tcW w:w="1908" w:type="dxa"/>
            <w:vMerge/>
          </w:tcPr>
          <w:p w14:paraId="56423B3D" w14:textId="77777777" w:rsidR="00992815" w:rsidRPr="00244BEE" w:rsidRDefault="00992815" w:rsidP="006E6CE9">
            <w:pPr>
              <w:rPr>
                <w:rFonts w:ascii="Arial" w:hAnsi="Arial" w:cs="Arial"/>
                <w:color w:val="000000" w:themeColor="text1"/>
                <w:sz w:val="20"/>
                <w:szCs w:val="20"/>
              </w:rPr>
            </w:pPr>
          </w:p>
        </w:tc>
        <w:tc>
          <w:tcPr>
            <w:tcW w:w="4320" w:type="dxa"/>
          </w:tcPr>
          <w:p w14:paraId="45E763EF"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International Standard University</w:t>
            </w:r>
          </w:p>
        </w:tc>
        <w:tc>
          <w:tcPr>
            <w:tcW w:w="1440" w:type="dxa"/>
            <w:vAlign w:val="center"/>
          </w:tcPr>
          <w:p w14:paraId="58F19A52"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13</w:t>
            </w:r>
          </w:p>
        </w:tc>
        <w:tc>
          <w:tcPr>
            <w:tcW w:w="1620" w:type="dxa"/>
            <w:vAlign w:val="center"/>
          </w:tcPr>
          <w:p w14:paraId="47BA151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4.6</w:t>
            </w:r>
          </w:p>
        </w:tc>
      </w:tr>
      <w:tr w:rsidR="00992815" w:rsidRPr="00244BEE" w14:paraId="09A5B3F7" w14:textId="77777777" w:rsidTr="001242A2">
        <w:tc>
          <w:tcPr>
            <w:tcW w:w="1908" w:type="dxa"/>
            <w:vMerge/>
          </w:tcPr>
          <w:p w14:paraId="4D19800D" w14:textId="77777777" w:rsidR="00992815" w:rsidRPr="00244BEE" w:rsidRDefault="00992815" w:rsidP="006E6CE9">
            <w:pPr>
              <w:rPr>
                <w:rFonts w:ascii="Arial" w:hAnsi="Arial" w:cs="Arial"/>
                <w:color w:val="000000" w:themeColor="text1"/>
                <w:sz w:val="20"/>
                <w:szCs w:val="20"/>
              </w:rPr>
            </w:pPr>
          </w:p>
        </w:tc>
        <w:tc>
          <w:tcPr>
            <w:tcW w:w="4320" w:type="dxa"/>
          </w:tcPr>
          <w:p w14:paraId="66523E53"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Total</w:t>
            </w:r>
          </w:p>
        </w:tc>
        <w:tc>
          <w:tcPr>
            <w:tcW w:w="1440" w:type="dxa"/>
          </w:tcPr>
          <w:p w14:paraId="7C2DDA8E" w14:textId="77777777" w:rsidR="00992815" w:rsidRPr="00244BEE" w:rsidRDefault="00992815" w:rsidP="006E6CE9">
            <w:pPr>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tcPr>
          <w:p w14:paraId="062662B7" w14:textId="77777777" w:rsidR="00992815" w:rsidRPr="00244BEE" w:rsidRDefault="00992815" w:rsidP="006E6CE9">
            <w:pPr>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70D89F09" w14:textId="77777777" w:rsidTr="001242A2">
        <w:tc>
          <w:tcPr>
            <w:tcW w:w="1908" w:type="dxa"/>
            <w:vMerge w:val="restart"/>
          </w:tcPr>
          <w:p w14:paraId="34F5C806" w14:textId="77777777" w:rsidR="00992815" w:rsidRPr="00244BEE" w:rsidRDefault="00992815" w:rsidP="006E6CE9">
            <w:pPr>
              <w:rPr>
                <w:rFonts w:ascii="Arial" w:hAnsi="Arial" w:cs="Arial"/>
                <w:color w:val="000000" w:themeColor="text1"/>
                <w:sz w:val="20"/>
                <w:szCs w:val="20"/>
              </w:rPr>
            </w:pPr>
          </w:p>
          <w:p w14:paraId="540757FC"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Gender </w:t>
            </w:r>
          </w:p>
          <w:p w14:paraId="38C7352A"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79EA204D" w14:textId="77777777" w:rsidR="00992815" w:rsidRPr="00244BEE" w:rsidRDefault="00992815" w:rsidP="00302434">
            <w:pPr>
              <w:autoSpaceDE w:val="0"/>
              <w:autoSpaceDN w:val="0"/>
              <w:adjustRightInd w:val="0"/>
              <w:ind w:right="60"/>
              <w:rPr>
                <w:rFonts w:ascii="Arial" w:hAnsi="Arial" w:cs="Arial"/>
                <w:color w:val="000000" w:themeColor="text1"/>
                <w:sz w:val="20"/>
                <w:szCs w:val="20"/>
              </w:rPr>
            </w:pPr>
            <w:r w:rsidRPr="00244BEE">
              <w:rPr>
                <w:rFonts w:ascii="Arial" w:hAnsi="Arial" w:cs="Arial"/>
                <w:color w:val="000000" w:themeColor="text1"/>
                <w:sz w:val="20"/>
                <w:szCs w:val="20"/>
              </w:rPr>
              <w:t xml:space="preserve">Male </w:t>
            </w:r>
          </w:p>
        </w:tc>
        <w:tc>
          <w:tcPr>
            <w:tcW w:w="1440" w:type="dxa"/>
            <w:vAlign w:val="center"/>
          </w:tcPr>
          <w:p w14:paraId="0B84FFBC" w14:textId="77777777" w:rsidR="00992815" w:rsidRPr="00244BEE" w:rsidRDefault="00992815" w:rsidP="00302434">
            <w:pPr>
              <w:autoSpaceDE w:val="0"/>
              <w:autoSpaceDN w:val="0"/>
              <w:adjustRightInd w:val="0"/>
              <w:ind w:right="60"/>
              <w:jc w:val="center"/>
              <w:rPr>
                <w:rFonts w:ascii="Arial" w:hAnsi="Arial" w:cs="Arial"/>
                <w:color w:val="000000" w:themeColor="text1"/>
                <w:sz w:val="20"/>
                <w:szCs w:val="20"/>
              </w:rPr>
            </w:pPr>
            <w:r w:rsidRPr="00244BEE">
              <w:rPr>
                <w:rFonts w:ascii="Arial" w:hAnsi="Arial" w:cs="Arial"/>
                <w:color w:val="000000" w:themeColor="text1"/>
                <w:sz w:val="20"/>
                <w:szCs w:val="20"/>
              </w:rPr>
              <w:t>156</w:t>
            </w:r>
          </w:p>
        </w:tc>
        <w:tc>
          <w:tcPr>
            <w:tcW w:w="1620" w:type="dxa"/>
            <w:vAlign w:val="center"/>
          </w:tcPr>
          <w:p w14:paraId="06511D2B" w14:textId="77777777" w:rsidR="00992815" w:rsidRPr="00244BEE" w:rsidRDefault="00992815" w:rsidP="00302434">
            <w:pPr>
              <w:autoSpaceDE w:val="0"/>
              <w:autoSpaceDN w:val="0"/>
              <w:adjustRightInd w:val="0"/>
              <w:ind w:right="60"/>
              <w:jc w:val="center"/>
              <w:rPr>
                <w:rFonts w:ascii="Arial" w:hAnsi="Arial" w:cs="Arial"/>
                <w:color w:val="000000" w:themeColor="text1"/>
                <w:sz w:val="20"/>
                <w:szCs w:val="20"/>
              </w:rPr>
            </w:pPr>
            <w:r w:rsidRPr="00244BEE">
              <w:rPr>
                <w:rFonts w:ascii="Arial" w:hAnsi="Arial" w:cs="Arial"/>
                <w:color w:val="000000" w:themeColor="text1"/>
                <w:sz w:val="20"/>
                <w:szCs w:val="20"/>
              </w:rPr>
              <w:t>54.9</w:t>
            </w:r>
          </w:p>
        </w:tc>
      </w:tr>
      <w:tr w:rsidR="00992815" w:rsidRPr="00244BEE" w14:paraId="4ECF4628" w14:textId="77777777" w:rsidTr="001242A2">
        <w:tc>
          <w:tcPr>
            <w:tcW w:w="1908" w:type="dxa"/>
            <w:vMerge/>
          </w:tcPr>
          <w:p w14:paraId="415A00C0" w14:textId="77777777" w:rsidR="00992815" w:rsidRPr="00244BEE" w:rsidRDefault="00992815" w:rsidP="006E6CE9">
            <w:pPr>
              <w:rPr>
                <w:rFonts w:ascii="Arial" w:hAnsi="Arial" w:cs="Arial"/>
                <w:b/>
                <w:color w:val="000000" w:themeColor="text1"/>
                <w:sz w:val="20"/>
                <w:szCs w:val="20"/>
              </w:rPr>
            </w:pPr>
          </w:p>
        </w:tc>
        <w:tc>
          <w:tcPr>
            <w:tcW w:w="4320" w:type="dxa"/>
            <w:vAlign w:val="center"/>
          </w:tcPr>
          <w:p w14:paraId="34DB8F8E"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Female </w:t>
            </w:r>
          </w:p>
        </w:tc>
        <w:tc>
          <w:tcPr>
            <w:tcW w:w="1440" w:type="dxa"/>
            <w:vAlign w:val="center"/>
          </w:tcPr>
          <w:p w14:paraId="661F113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128</w:t>
            </w:r>
          </w:p>
        </w:tc>
        <w:tc>
          <w:tcPr>
            <w:tcW w:w="1620" w:type="dxa"/>
            <w:vAlign w:val="center"/>
          </w:tcPr>
          <w:p w14:paraId="50E3D0D4"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45.1</w:t>
            </w:r>
          </w:p>
        </w:tc>
      </w:tr>
      <w:tr w:rsidR="00992815" w:rsidRPr="00244BEE" w14:paraId="63603DDD" w14:textId="77777777" w:rsidTr="001242A2">
        <w:tc>
          <w:tcPr>
            <w:tcW w:w="1908" w:type="dxa"/>
            <w:vMerge/>
          </w:tcPr>
          <w:p w14:paraId="00C35104" w14:textId="77777777" w:rsidR="00992815" w:rsidRPr="00244BEE" w:rsidRDefault="00992815" w:rsidP="006E6CE9">
            <w:pPr>
              <w:rPr>
                <w:rFonts w:ascii="Arial" w:hAnsi="Arial" w:cs="Arial"/>
                <w:b/>
                <w:color w:val="000000" w:themeColor="text1"/>
                <w:sz w:val="20"/>
                <w:szCs w:val="20"/>
              </w:rPr>
            </w:pPr>
          </w:p>
        </w:tc>
        <w:tc>
          <w:tcPr>
            <w:tcW w:w="4320" w:type="dxa"/>
            <w:vAlign w:val="center"/>
          </w:tcPr>
          <w:p w14:paraId="6007A9D1"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Total</w:t>
            </w:r>
          </w:p>
        </w:tc>
        <w:tc>
          <w:tcPr>
            <w:tcW w:w="1440" w:type="dxa"/>
            <w:vAlign w:val="center"/>
          </w:tcPr>
          <w:p w14:paraId="210AACF1"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31995BB7"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66E75C33" w14:textId="77777777" w:rsidTr="001242A2">
        <w:tc>
          <w:tcPr>
            <w:tcW w:w="1908" w:type="dxa"/>
            <w:vMerge w:val="restart"/>
          </w:tcPr>
          <w:p w14:paraId="7E3244F0"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Age </w:t>
            </w:r>
          </w:p>
        </w:tc>
        <w:tc>
          <w:tcPr>
            <w:tcW w:w="4320" w:type="dxa"/>
            <w:vAlign w:val="center"/>
          </w:tcPr>
          <w:p w14:paraId="698B9C7A"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Below 25</w:t>
            </w:r>
          </w:p>
        </w:tc>
        <w:tc>
          <w:tcPr>
            <w:tcW w:w="1440" w:type="dxa"/>
            <w:vAlign w:val="center"/>
          </w:tcPr>
          <w:p w14:paraId="2BFEE6BD"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w:t>
            </w:r>
          </w:p>
        </w:tc>
        <w:tc>
          <w:tcPr>
            <w:tcW w:w="1620" w:type="dxa"/>
            <w:vAlign w:val="center"/>
          </w:tcPr>
          <w:p w14:paraId="6CE6A225"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1.8</w:t>
            </w:r>
          </w:p>
        </w:tc>
      </w:tr>
      <w:tr w:rsidR="00992815" w:rsidRPr="00244BEE" w14:paraId="6FAC23EA" w14:textId="77777777" w:rsidTr="001242A2">
        <w:tc>
          <w:tcPr>
            <w:tcW w:w="1908" w:type="dxa"/>
            <w:vMerge/>
          </w:tcPr>
          <w:p w14:paraId="54C90CFB"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4003EE12"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25-35</w:t>
            </w:r>
          </w:p>
        </w:tc>
        <w:tc>
          <w:tcPr>
            <w:tcW w:w="1440" w:type="dxa"/>
            <w:vAlign w:val="center"/>
          </w:tcPr>
          <w:p w14:paraId="71D1102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195</w:t>
            </w:r>
          </w:p>
        </w:tc>
        <w:tc>
          <w:tcPr>
            <w:tcW w:w="1620" w:type="dxa"/>
            <w:vAlign w:val="center"/>
          </w:tcPr>
          <w:p w14:paraId="7C65FD1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68.7</w:t>
            </w:r>
          </w:p>
        </w:tc>
      </w:tr>
      <w:tr w:rsidR="00992815" w:rsidRPr="00244BEE" w14:paraId="6682BFDC" w14:textId="77777777" w:rsidTr="001242A2">
        <w:tc>
          <w:tcPr>
            <w:tcW w:w="1908" w:type="dxa"/>
            <w:vMerge/>
          </w:tcPr>
          <w:p w14:paraId="39EAB4E1"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7C29F2BA"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36-45</w:t>
            </w:r>
          </w:p>
        </w:tc>
        <w:tc>
          <w:tcPr>
            <w:tcW w:w="1440" w:type="dxa"/>
            <w:vAlign w:val="center"/>
          </w:tcPr>
          <w:p w14:paraId="7051C55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76</w:t>
            </w:r>
          </w:p>
        </w:tc>
        <w:tc>
          <w:tcPr>
            <w:tcW w:w="1620" w:type="dxa"/>
            <w:vAlign w:val="center"/>
          </w:tcPr>
          <w:p w14:paraId="0C0CEA3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26.8</w:t>
            </w:r>
          </w:p>
        </w:tc>
      </w:tr>
      <w:tr w:rsidR="00992815" w:rsidRPr="00244BEE" w14:paraId="62B33D17" w14:textId="77777777" w:rsidTr="001242A2">
        <w:tc>
          <w:tcPr>
            <w:tcW w:w="1908" w:type="dxa"/>
            <w:vMerge/>
          </w:tcPr>
          <w:p w14:paraId="41074060"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4E3D7A77" w14:textId="7815A06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6-55</w:t>
            </w:r>
          </w:p>
        </w:tc>
        <w:tc>
          <w:tcPr>
            <w:tcW w:w="1440" w:type="dxa"/>
            <w:vAlign w:val="center"/>
          </w:tcPr>
          <w:p w14:paraId="27900E0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8</w:t>
            </w:r>
          </w:p>
        </w:tc>
        <w:tc>
          <w:tcPr>
            <w:tcW w:w="1620" w:type="dxa"/>
            <w:vAlign w:val="center"/>
          </w:tcPr>
          <w:p w14:paraId="5C772AD6"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w:t>
            </w:r>
          </w:p>
        </w:tc>
      </w:tr>
      <w:tr w:rsidR="00992815" w:rsidRPr="00244BEE" w14:paraId="2DACAD95" w14:textId="77777777" w:rsidTr="001242A2">
        <w:tc>
          <w:tcPr>
            <w:tcW w:w="1908" w:type="dxa"/>
            <w:vMerge/>
          </w:tcPr>
          <w:p w14:paraId="113B8409"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3344F73B"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Total</w:t>
            </w:r>
          </w:p>
        </w:tc>
        <w:tc>
          <w:tcPr>
            <w:tcW w:w="1440" w:type="dxa"/>
            <w:vAlign w:val="center"/>
          </w:tcPr>
          <w:p w14:paraId="77CD617B"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1D219DB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32626439" w14:textId="77777777" w:rsidTr="001242A2">
        <w:tc>
          <w:tcPr>
            <w:tcW w:w="1908" w:type="dxa"/>
            <w:vMerge w:val="restart"/>
          </w:tcPr>
          <w:p w14:paraId="548BEBC5"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Designation </w:t>
            </w:r>
          </w:p>
        </w:tc>
        <w:tc>
          <w:tcPr>
            <w:tcW w:w="4320" w:type="dxa"/>
            <w:vAlign w:val="center"/>
          </w:tcPr>
          <w:p w14:paraId="16E0B8B7"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Lecturer </w:t>
            </w:r>
          </w:p>
        </w:tc>
        <w:tc>
          <w:tcPr>
            <w:tcW w:w="1440" w:type="dxa"/>
            <w:vAlign w:val="center"/>
          </w:tcPr>
          <w:p w14:paraId="461AF748"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190</w:t>
            </w:r>
          </w:p>
        </w:tc>
        <w:tc>
          <w:tcPr>
            <w:tcW w:w="1620" w:type="dxa"/>
            <w:vAlign w:val="center"/>
          </w:tcPr>
          <w:p w14:paraId="138D64D8"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66.9</w:t>
            </w:r>
          </w:p>
        </w:tc>
      </w:tr>
      <w:tr w:rsidR="00992815" w:rsidRPr="00244BEE" w14:paraId="00A0EB12" w14:textId="77777777" w:rsidTr="001242A2">
        <w:tc>
          <w:tcPr>
            <w:tcW w:w="1908" w:type="dxa"/>
            <w:vMerge/>
          </w:tcPr>
          <w:p w14:paraId="03ABA990"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6B94BE65"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Senior lecturer </w:t>
            </w:r>
          </w:p>
        </w:tc>
        <w:tc>
          <w:tcPr>
            <w:tcW w:w="1440" w:type="dxa"/>
            <w:vAlign w:val="center"/>
          </w:tcPr>
          <w:p w14:paraId="445914A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w:t>
            </w:r>
          </w:p>
        </w:tc>
        <w:tc>
          <w:tcPr>
            <w:tcW w:w="1620" w:type="dxa"/>
            <w:vAlign w:val="center"/>
          </w:tcPr>
          <w:p w14:paraId="287A8DD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3.5</w:t>
            </w:r>
          </w:p>
        </w:tc>
      </w:tr>
      <w:tr w:rsidR="00992815" w:rsidRPr="00244BEE" w14:paraId="5100DB61" w14:textId="77777777" w:rsidTr="001242A2">
        <w:tc>
          <w:tcPr>
            <w:tcW w:w="1908" w:type="dxa"/>
            <w:vMerge/>
          </w:tcPr>
          <w:p w14:paraId="3866C338"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595BFF3B"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Assistant professor</w:t>
            </w:r>
          </w:p>
        </w:tc>
        <w:tc>
          <w:tcPr>
            <w:tcW w:w="1440" w:type="dxa"/>
            <w:vAlign w:val="center"/>
          </w:tcPr>
          <w:p w14:paraId="395B4F1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63</w:t>
            </w:r>
          </w:p>
        </w:tc>
        <w:tc>
          <w:tcPr>
            <w:tcW w:w="1620" w:type="dxa"/>
            <w:vAlign w:val="center"/>
          </w:tcPr>
          <w:p w14:paraId="7EF67C06"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22.2</w:t>
            </w:r>
          </w:p>
        </w:tc>
      </w:tr>
      <w:tr w:rsidR="00992815" w:rsidRPr="00244BEE" w14:paraId="5B361574" w14:textId="77777777" w:rsidTr="001242A2">
        <w:tc>
          <w:tcPr>
            <w:tcW w:w="1908" w:type="dxa"/>
            <w:vMerge/>
          </w:tcPr>
          <w:p w14:paraId="28ECF2FA"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25323963"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Associate professor </w:t>
            </w:r>
          </w:p>
        </w:tc>
        <w:tc>
          <w:tcPr>
            <w:tcW w:w="1440" w:type="dxa"/>
            <w:vAlign w:val="center"/>
          </w:tcPr>
          <w:p w14:paraId="12D05945"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21</w:t>
            </w:r>
          </w:p>
        </w:tc>
        <w:tc>
          <w:tcPr>
            <w:tcW w:w="1620" w:type="dxa"/>
            <w:vAlign w:val="center"/>
          </w:tcPr>
          <w:p w14:paraId="5DFD586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7.4</w:t>
            </w:r>
          </w:p>
        </w:tc>
      </w:tr>
      <w:tr w:rsidR="00992815" w:rsidRPr="00244BEE" w14:paraId="71B5FE25" w14:textId="77777777" w:rsidTr="001242A2">
        <w:trPr>
          <w:trHeight w:val="70"/>
        </w:trPr>
        <w:tc>
          <w:tcPr>
            <w:tcW w:w="1908" w:type="dxa"/>
            <w:vMerge/>
          </w:tcPr>
          <w:p w14:paraId="44E1E466"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2903EE0E"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Total </w:t>
            </w:r>
          </w:p>
        </w:tc>
        <w:tc>
          <w:tcPr>
            <w:tcW w:w="1440" w:type="dxa"/>
            <w:vAlign w:val="center"/>
          </w:tcPr>
          <w:p w14:paraId="16D0502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509EA89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59381064" w14:textId="77777777" w:rsidTr="001242A2">
        <w:trPr>
          <w:trHeight w:val="70"/>
        </w:trPr>
        <w:tc>
          <w:tcPr>
            <w:tcW w:w="1908" w:type="dxa"/>
            <w:vMerge w:val="restart"/>
          </w:tcPr>
          <w:p w14:paraId="6DE3BD1C"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Experience </w:t>
            </w:r>
          </w:p>
        </w:tc>
        <w:tc>
          <w:tcPr>
            <w:tcW w:w="4320" w:type="dxa"/>
            <w:vAlign w:val="center"/>
          </w:tcPr>
          <w:p w14:paraId="54DADC1F"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1-3 years</w:t>
            </w:r>
          </w:p>
        </w:tc>
        <w:tc>
          <w:tcPr>
            <w:tcW w:w="1440" w:type="dxa"/>
            <w:vAlign w:val="center"/>
          </w:tcPr>
          <w:p w14:paraId="6B3B8254"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167</w:t>
            </w:r>
          </w:p>
        </w:tc>
        <w:tc>
          <w:tcPr>
            <w:tcW w:w="1620" w:type="dxa"/>
            <w:vAlign w:val="center"/>
          </w:tcPr>
          <w:p w14:paraId="6503AE06"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58.8</w:t>
            </w:r>
          </w:p>
        </w:tc>
      </w:tr>
      <w:tr w:rsidR="00992815" w:rsidRPr="00244BEE" w14:paraId="17D862B4" w14:textId="77777777" w:rsidTr="001242A2">
        <w:trPr>
          <w:trHeight w:val="70"/>
        </w:trPr>
        <w:tc>
          <w:tcPr>
            <w:tcW w:w="1908" w:type="dxa"/>
            <w:vMerge/>
          </w:tcPr>
          <w:p w14:paraId="56D9C1F7"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7AF3014F"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3-6 years</w:t>
            </w:r>
          </w:p>
        </w:tc>
        <w:tc>
          <w:tcPr>
            <w:tcW w:w="1440" w:type="dxa"/>
            <w:vAlign w:val="center"/>
          </w:tcPr>
          <w:p w14:paraId="57863912"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43</w:t>
            </w:r>
          </w:p>
        </w:tc>
        <w:tc>
          <w:tcPr>
            <w:tcW w:w="1620" w:type="dxa"/>
            <w:vAlign w:val="center"/>
          </w:tcPr>
          <w:p w14:paraId="53484DA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15.1</w:t>
            </w:r>
          </w:p>
        </w:tc>
      </w:tr>
      <w:tr w:rsidR="00992815" w:rsidRPr="00244BEE" w14:paraId="1FB333EC" w14:textId="77777777" w:rsidTr="001242A2">
        <w:trPr>
          <w:trHeight w:val="70"/>
        </w:trPr>
        <w:tc>
          <w:tcPr>
            <w:tcW w:w="1908" w:type="dxa"/>
            <w:vMerge/>
          </w:tcPr>
          <w:p w14:paraId="634F551A"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7580ABBF"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7-10 years</w:t>
            </w:r>
          </w:p>
        </w:tc>
        <w:tc>
          <w:tcPr>
            <w:tcW w:w="1440" w:type="dxa"/>
            <w:vAlign w:val="center"/>
          </w:tcPr>
          <w:p w14:paraId="6449AE67"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30</w:t>
            </w:r>
          </w:p>
        </w:tc>
        <w:tc>
          <w:tcPr>
            <w:tcW w:w="1620" w:type="dxa"/>
            <w:vAlign w:val="center"/>
          </w:tcPr>
          <w:p w14:paraId="79B4948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14.1</w:t>
            </w:r>
          </w:p>
        </w:tc>
      </w:tr>
      <w:tr w:rsidR="00992815" w:rsidRPr="00244BEE" w14:paraId="7628418E" w14:textId="77777777" w:rsidTr="001242A2">
        <w:trPr>
          <w:trHeight w:val="70"/>
        </w:trPr>
        <w:tc>
          <w:tcPr>
            <w:tcW w:w="1908" w:type="dxa"/>
            <w:vMerge/>
          </w:tcPr>
          <w:p w14:paraId="38DBAAA5"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5E2E4179"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More than 10 years</w:t>
            </w:r>
          </w:p>
        </w:tc>
        <w:tc>
          <w:tcPr>
            <w:tcW w:w="1440" w:type="dxa"/>
            <w:vAlign w:val="center"/>
          </w:tcPr>
          <w:p w14:paraId="2F92AE6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34</w:t>
            </w:r>
          </w:p>
        </w:tc>
        <w:tc>
          <w:tcPr>
            <w:tcW w:w="1620" w:type="dxa"/>
            <w:vAlign w:val="center"/>
          </w:tcPr>
          <w:p w14:paraId="2938768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12</w:t>
            </w:r>
          </w:p>
        </w:tc>
      </w:tr>
      <w:tr w:rsidR="00992815" w:rsidRPr="00244BEE" w14:paraId="03797025" w14:textId="77777777" w:rsidTr="001242A2">
        <w:trPr>
          <w:trHeight w:val="70"/>
        </w:trPr>
        <w:tc>
          <w:tcPr>
            <w:tcW w:w="1908" w:type="dxa"/>
            <w:vMerge/>
          </w:tcPr>
          <w:p w14:paraId="0167D1FC"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06EF6B85"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Total </w:t>
            </w:r>
          </w:p>
        </w:tc>
        <w:tc>
          <w:tcPr>
            <w:tcW w:w="1440" w:type="dxa"/>
            <w:vAlign w:val="center"/>
          </w:tcPr>
          <w:p w14:paraId="29FC7EEC"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569DEC27"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1B9F2360" w14:textId="77777777" w:rsidTr="001242A2">
        <w:trPr>
          <w:trHeight w:val="70"/>
        </w:trPr>
        <w:tc>
          <w:tcPr>
            <w:tcW w:w="1908" w:type="dxa"/>
            <w:vMerge w:val="restart"/>
          </w:tcPr>
          <w:p w14:paraId="64D000C0"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No. of Training Received  </w:t>
            </w:r>
          </w:p>
        </w:tc>
        <w:tc>
          <w:tcPr>
            <w:tcW w:w="4320" w:type="dxa"/>
            <w:vAlign w:val="center"/>
          </w:tcPr>
          <w:p w14:paraId="1AB9A044"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0</w:t>
            </w:r>
          </w:p>
        </w:tc>
        <w:tc>
          <w:tcPr>
            <w:tcW w:w="1440" w:type="dxa"/>
            <w:vAlign w:val="center"/>
          </w:tcPr>
          <w:p w14:paraId="5E46145D"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16</w:t>
            </w:r>
          </w:p>
        </w:tc>
        <w:tc>
          <w:tcPr>
            <w:tcW w:w="1620" w:type="dxa"/>
            <w:vAlign w:val="center"/>
          </w:tcPr>
          <w:p w14:paraId="41880E7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5.6</w:t>
            </w:r>
          </w:p>
        </w:tc>
      </w:tr>
      <w:tr w:rsidR="00992815" w:rsidRPr="00244BEE" w14:paraId="7B329E91" w14:textId="77777777" w:rsidTr="001242A2">
        <w:trPr>
          <w:trHeight w:val="70"/>
        </w:trPr>
        <w:tc>
          <w:tcPr>
            <w:tcW w:w="1908" w:type="dxa"/>
            <w:vMerge/>
          </w:tcPr>
          <w:p w14:paraId="431CEC4C"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47A1F1F5"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1-2</w:t>
            </w:r>
          </w:p>
        </w:tc>
        <w:tc>
          <w:tcPr>
            <w:tcW w:w="1440" w:type="dxa"/>
            <w:vAlign w:val="center"/>
          </w:tcPr>
          <w:p w14:paraId="2ACC0F62"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155</w:t>
            </w:r>
          </w:p>
        </w:tc>
        <w:tc>
          <w:tcPr>
            <w:tcW w:w="1620" w:type="dxa"/>
            <w:vAlign w:val="center"/>
          </w:tcPr>
          <w:p w14:paraId="7176F219"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54.6</w:t>
            </w:r>
          </w:p>
        </w:tc>
      </w:tr>
      <w:tr w:rsidR="00992815" w:rsidRPr="00244BEE" w14:paraId="4A5F3A3E" w14:textId="77777777" w:rsidTr="001242A2">
        <w:trPr>
          <w:trHeight w:val="70"/>
        </w:trPr>
        <w:tc>
          <w:tcPr>
            <w:tcW w:w="1908" w:type="dxa"/>
            <w:vMerge/>
          </w:tcPr>
          <w:p w14:paraId="5FFA19AF"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18B835E7"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3-4</w:t>
            </w:r>
          </w:p>
        </w:tc>
        <w:tc>
          <w:tcPr>
            <w:tcW w:w="1440" w:type="dxa"/>
            <w:vAlign w:val="center"/>
          </w:tcPr>
          <w:p w14:paraId="6DF8A4E6"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50</w:t>
            </w:r>
          </w:p>
        </w:tc>
        <w:tc>
          <w:tcPr>
            <w:tcW w:w="1620" w:type="dxa"/>
            <w:vAlign w:val="center"/>
          </w:tcPr>
          <w:p w14:paraId="76DAFE6B"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17.6</w:t>
            </w:r>
          </w:p>
        </w:tc>
      </w:tr>
      <w:tr w:rsidR="00992815" w:rsidRPr="00244BEE" w14:paraId="2F284CF9" w14:textId="77777777" w:rsidTr="001242A2">
        <w:trPr>
          <w:trHeight w:val="70"/>
        </w:trPr>
        <w:tc>
          <w:tcPr>
            <w:tcW w:w="1908" w:type="dxa"/>
            <w:vMerge/>
          </w:tcPr>
          <w:p w14:paraId="424A419A"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35C38C0F"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5+</w:t>
            </w:r>
          </w:p>
        </w:tc>
        <w:tc>
          <w:tcPr>
            <w:tcW w:w="1440" w:type="dxa"/>
            <w:vAlign w:val="center"/>
          </w:tcPr>
          <w:p w14:paraId="29E0F07F"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63</w:t>
            </w:r>
          </w:p>
        </w:tc>
        <w:tc>
          <w:tcPr>
            <w:tcW w:w="1620" w:type="dxa"/>
            <w:vAlign w:val="center"/>
          </w:tcPr>
          <w:p w14:paraId="3576F1D5"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22.2</w:t>
            </w:r>
          </w:p>
        </w:tc>
      </w:tr>
      <w:tr w:rsidR="00992815" w:rsidRPr="00244BEE" w14:paraId="702AE765" w14:textId="77777777" w:rsidTr="001242A2">
        <w:trPr>
          <w:trHeight w:val="70"/>
        </w:trPr>
        <w:tc>
          <w:tcPr>
            <w:tcW w:w="1908" w:type="dxa"/>
            <w:vMerge/>
          </w:tcPr>
          <w:p w14:paraId="381DC912" w14:textId="77777777" w:rsidR="00992815" w:rsidRPr="00244BEE" w:rsidRDefault="00992815" w:rsidP="006E6CE9">
            <w:pPr>
              <w:rPr>
                <w:rFonts w:ascii="Arial" w:hAnsi="Arial" w:cs="Arial"/>
                <w:color w:val="000000" w:themeColor="text1"/>
                <w:sz w:val="20"/>
                <w:szCs w:val="20"/>
              </w:rPr>
            </w:pPr>
          </w:p>
        </w:tc>
        <w:tc>
          <w:tcPr>
            <w:tcW w:w="4320" w:type="dxa"/>
            <w:vAlign w:val="center"/>
          </w:tcPr>
          <w:p w14:paraId="69B77E7E"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Total </w:t>
            </w:r>
          </w:p>
        </w:tc>
        <w:tc>
          <w:tcPr>
            <w:tcW w:w="1440" w:type="dxa"/>
            <w:vAlign w:val="center"/>
          </w:tcPr>
          <w:p w14:paraId="3F7CA88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2C591297"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r w:rsidR="00992815" w:rsidRPr="00244BEE" w14:paraId="1EBA2595" w14:textId="77777777" w:rsidTr="001242A2">
        <w:trPr>
          <w:trHeight w:val="70"/>
        </w:trPr>
        <w:tc>
          <w:tcPr>
            <w:tcW w:w="1908" w:type="dxa"/>
            <w:vMerge w:val="restart"/>
          </w:tcPr>
          <w:p w14:paraId="38FC04E7"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School </w:t>
            </w:r>
          </w:p>
        </w:tc>
        <w:tc>
          <w:tcPr>
            <w:tcW w:w="4320" w:type="dxa"/>
            <w:vAlign w:val="center"/>
          </w:tcPr>
          <w:p w14:paraId="3754EB75"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Science</w:t>
            </w:r>
          </w:p>
        </w:tc>
        <w:tc>
          <w:tcPr>
            <w:tcW w:w="1440" w:type="dxa"/>
            <w:vAlign w:val="center"/>
          </w:tcPr>
          <w:p w14:paraId="4FD9C3AA"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22.5</w:t>
            </w:r>
          </w:p>
        </w:tc>
        <w:tc>
          <w:tcPr>
            <w:tcW w:w="1620" w:type="dxa"/>
            <w:vAlign w:val="center"/>
          </w:tcPr>
          <w:p w14:paraId="70343AA1"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22.5</w:t>
            </w:r>
          </w:p>
        </w:tc>
      </w:tr>
      <w:tr w:rsidR="00992815" w:rsidRPr="00244BEE" w14:paraId="745D223D" w14:textId="77777777" w:rsidTr="001242A2">
        <w:trPr>
          <w:trHeight w:val="70"/>
        </w:trPr>
        <w:tc>
          <w:tcPr>
            <w:tcW w:w="1908" w:type="dxa"/>
            <w:vMerge/>
          </w:tcPr>
          <w:p w14:paraId="6640789A" w14:textId="77777777" w:rsidR="00992815" w:rsidRPr="00244BEE" w:rsidRDefault="00992815" w:rsidP="006E6CE9">
            <w:pPr>
              <w:rPr>
                <w:rFonts w:ascii="Arial" w:hAnsi="Arial" w:cs="Arial"/>
                <w:b/>
                <w:color w:val="000000" w:themeColor="text1"/>
                <w:sz w:val="20"/>
                <w:szCs w:val="20"/>
              </w:rPr>
            </w:pPr>
          </w:p>
        </w:tc>
        <w:tc>
          <w:tcPr>
            <w:tcW w:w="4320" w:type="dxa"/>
            <w:vAlign w:val="center"/>
          </w:tcPr>
          <w:p w14:paraId="525FA3FB"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Arts &amp; Social Science</w:t>
            </w:r>
          </w:p>
        </w:tc>
        <w:tc>
          <w:tcPr>
            <w:tcW w:w="1440" w:type="dxa"/>
            <w:vAlign w:val="center"/>
          </w:tcPr>
          <w:p w14:paraId="3A22AD9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71</w:t>
            </w:r>
          </w:p>
        </w:tc>
        <w:tc>
          <w:tcPr>
            <w:tcW w:w="1620" w:type="dxa"/>
            <w:vAlign w:val="center"/>
          </w:tcPr>
          <w:p w14:paraId="5F69AEA0"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25.0</w:t>
            </w:r>
          </w:p>
        </w:tc>
      </w:tr>
      <w:tr w:rsidR="00992815" w:rsidRPr="00244BEE" w14:paraId="091E405D" w14:textId="77777777" w:rsidTr="001242A2">
        <w:trPr>
          <w:trHeight w:val="70"/>
        </w:trPr>
        <w:tc>
          <w:tcPr>
            <w:tcW w:w="1908" w:type="dxa"/>
            <w:vMerge/>
          </w:tcPr>
          <w:p w14:paraId="33F77080" w14:textId="77777777" w:rsidR="00992815" w:rsidRPr="00244BEE" w:rsidRDefault="00992815" w:rsidP="006E6CE9">
            <w:pPr>
              <w:rPr>
                <w:rFonts w:ascii="Arial" w:hAnsi="Arial" w:cs="Arial"/>
                <w:b/>
                <w:color w:val="000000" w:themeColor="text1"/>
                <w:sz w:val="20"/>
                <w:szCs w:val="20"/>
              </w:rPr>
            </w:pPr>
          </w:p>
        </w:tc>
        <w:tc>
          <w:tcPr>
            <w:tcW w:w="4320" w:type="dxa"/>
            <w:vAlign w:val="center"/>
          </w:tcPr>
          <w:p w14:paraId="36A3BF62"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Business</w:t>
            </w:r>
          </w:p>
        </w:tc>
        <w:tc>
          <w:tcPr>
            <w:tcW w:w="1440" w:type="dxa"/>
            <w:vAlign w:val="center"/>
          </w:tcPr>
          <w:p w14:paraId="42F1E71F"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149</w:t>
            </w:r>
          </w:p>
        </w:tc>
        <w:tc>
          <w:tcPr>
            <w:tcW w:w="1620" w:type="dxa"/>
            <w:vAlign w:val="center"/>
          </w:tcPr>
          <w:p w14:paraId="553C65E7"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52.5</w:t>
            </w:r>
          </w:p>
        </w:tc>
      </w:tr>
      <w:tr w:rsidR="00992815" w:rsidRPr="00244BEE" w14:paraId="7FE67C22" w14:textId="77777777" w:rsidTr="001242A2">
        <w:trPr>
          <w:trHeight w:val="70"/>
        </w:trPr>
        <w:tc>
          <w:tcPr>
            <w:tcW w:w="1908" w:type="dxa"/>
            <w:vMerge/>
          </w:tcPr>
          <w:p w14:paraId="6897E369" w14:textId="77777777" w:rsidR="00992815" w:rsidRPr="00244BEE" w:rsidRDefault="00992815" w:rsidP="006E6CE9">
            <w:pPr>
              <w:rPr>
                <w:rFonts w:ascii="Arial" w:hAnsi="Arial" w:cs="Arial"/>
                <w:b/>
                <w:color w:val="000000" w:themeColor="text1"/>
                <w:sz w:val="20"/>
                <w:szCs w:val="20"/>
              </w:rPr>
            </w:pPr>
          </w:p>
        </w:tc>
        <w:tc>
          <w:tcPr>
            <w:tcW w:w="4320" w:type="dxa"/>
            <w:vAlign w:val="center"/>
          </w:tcPr>
          <w:p w14:paraId="25FC12C1" w14:textId="77777777" w:rsidR="00992815" w:rsidRPr="00244BEE" w:rsidRDefault="00992815" w:rsidP="001242A2">
            <w:pPr>
              <w:autoSpaceDE w:val="0"/>
              <w:autoSpaceDN w:val="0"/>
              <w:adjustRightInd w:val="0"/>
              <w:ind w:right="60"/>
              <w:jc w:val="both"/>
              <w:rPr>
                <w:rFonts w:ascii="Arial" w:hAnsi="Arial" w:cs="Arial"/>
                <w:color w:val="000000" w:themeColor="text1"/>
                <w:sz w:val="20"/>
                <w:szCs w:val="20"/>
              </w:rPr>
            </w:pPr>
            <w:r w:rsidRPr="00244BEE">
              <w:rPr>
                <w:rFonts w:ascii="Arial" w:hAnsi="Arial" w:cs="Arial"/>
                <w:color w:val="000000" w:themeColor="text1"/>
                <w:sz w:val="20"/>
                <w:szCs w:val="20"/>
              </w:rPr>
              <w:t xml:space="preserve">Total </w:t>
            </w:r>
          </w:p>
        </w:tc>
        <w:tc>
          <w:tcPr>
            <w:tcW w:w="1440" w:type="dxa"/>
            <w:vAlign w:val="center"/>
          </w:tcPr>
          <w:p w14:paraId="52684743"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284</w:t>
            </w:r>
          </w:p>
        </w:tc>
        <w:tc>
          <w:tcPr>
            <w:tcW w:w="1620" w:type="dxa"/>
            <w:vAlign w:val="center"/>
          </w:tcPr>
          <w:p w14:paraId="0582A451" w14:textId="77777777" w:rsidR="00992815" w:rsidRPr="00244BEE" w:rsidRDefault="00992815" w:rsidP="006E6CE9">
            <w:pPr>
              <w:autoSpaceDE w:val="0"/>
              <w:autoSpaceDN w:val="0"/>
              <w:adjustRightInd w:val="0"/>
              <w:ind w:left="60" w:right="60"/>
              <w:jc w:val="center"/>
              <w:rPr>
                <w:rFonts w:ascii="Arial" w:hAnsi="Arial" w:cs="Arial"/>
                <w:color w:val="000000" w:themeColor="text1"/>
                <w:sz w:val="20"/>
                <w:szCs w:val="20"/>
              </w:rPr>
            </w:pPr>
            <w:r w:rsidRPr="00244BEE">
              <w:rPr>
                <w:rFonts w:ascii="Arial" w:hAnsi="Arial" w:cs="Arial"/>
                <w:color w:val="000000" w:themeColor="text1"/>
                <w:sz w:val="20"/>
                <w:szCs w:val="20"/>
              </w:rPr>
              <w:t>100</w:t>
            </w:r>
          </w:p>
        </w:tc>
      </w:tr>
    </w:tbl>
    <w:p w14:paraId="483513D8" w14:textId="77777777" w:rsidR="00992815" w:rsidRDefault="00992815" w:rsidP="00992815">
      <w:pPr>
        <w:pStyle w:val="BodyText"/>
        <w:spacing w:before="166"/>
        <w:ind w:left="23" w:right="18"/>
        <w:jc w:val="both"/>
        <w:rPr>
          <w:rFonts w:ascii="Arial" w:hAnsi="Arial" w:cs="Arial"/>
          <w:color w:val="000000" w:themeColor="text1"/>
        </w:rPr>
      </w:pPr>
      <w:r w:rsidRPr="00244BEE">
        <w:rPr>
          <w:rFonts w:ascii="Arial" w:hAnsi="Arial" w:cs="Arial"/>
          <w:color w:val="000000" w:themeColor="text1"/>
        </w:rPr>
        <w:t>Source: Output from Survey Results</w:t>
      </w:r>
    </w:p>
    <w:p w14:paraId="0DCB4157" w14:textId="77777777" w:rsidR="00486ADE" w:rsidRDefault="00486ADE" w:rsidP="00992815">
      <w:pPr>
        <w:pStyle w:val="BodyText"/>
        <w:spacing w:before="166"/>
        <w:ind w:left="23" w:right="18"/>
        <w:jc w:val="both"/>
        <w:rPr>
          <w:rFonts w:ascii="Arial" w:hAnsi="Arial" w:cs="Arial"/>
          <w:color w:val="000000" w:themeColor="text1"/>
        </w:rPr>
      </w:pPr>
    </w:p>
    <w:p w14:paraId="49966339" w14:textId="77777777" w:rsidR="00486ADE" w:rsidRPr="00244BEE" w:rsidRDefault="00486ADE" w:rsidP="00992815">
      <w:pPr>
        <w:pStyle w:val="BodyText"/>
        <w:spacing w:before="166"/>
        <w:ind w:left="23" w:right="18"/>
        <w:jc w:val="both"/>
        <w:rPr>
          <w:rFonts w:ascii="Arial" w:hAnsi="Arial" w:cs="Arial"/>
          <w:color w:val="000000" w:themeColor="text1"/>
        </w:rPr>
      </w:pPr>
    </w:p>
    <w:p w14:paraId="37472A19" w14:textId="77777777" w:rsidR="00992815" w:rsidRPr="00244BEE" w:rsidRDefault="00992815" w:rsidP="00992815">
      <w:pPr>
        <w:pStyle w:val="BodyText"/>
        <w:jc w:val="both"/>
        <w:rPr>
          <w:rFonts w:ascii="Arial" w:hAnsi="Arial" w:cs="Arial"/>
          <w:b/>
          <w:color w:val="000000" w:themeColor="text1"/>
        </w:rPr>
      </w:pPr>
    </w:p>
    <w:p w14:paraId="2D560528" w14:textId="29695986" w:rsidR="00992815" w:rsidRPr="00244BEE" w:rsidRDefault="00992815" w:rsidP="00992815">
      <w:pPr>
        <w:pStyle w:val="BodyText"/>
        <w:jc w:val="both"/>
        <w:rPr>
          <w:rFonts w:ascii="Arial" w:hAnsi="Arial" w:cs="Arial"/>
          <w:color w:val="000000" w:themeColor="text1"/>
          <w:sz w:val="22"/>
          <w:szCs w:val="22"/>
        </w:rPr>
      </w:pPr>
      <w:r w:rsidRPr="00244BEE">
        <w:rPr>
          <w:rFonts w:ascii="Arial" w:hAnsi="Arial" w:cs="Arial"/>
          <w:b/>
          <w:color w:val="000000" w:themeColor="text1"/>
          <w:sz w:val="22"/>
          <w:szCs w:val="22"/>
        </w:rPr>
        <w:t xml:space="preserve">4.2 </w:t>
      </w:r>
      <w:r w:rsidRPr="0060158B">
        <w:rPr>
          <w:rFonts w:ascii="Arial" w:hAnsi="Arial" w:cs="Arial"/>
          <w:b/>
          <w:color w:val="000000" w:themeColor="text1"/>
          <w:sz w:val="22"/>
          <w:szCs w:val="22"/>
        </w:rPr>
        <w:t>Reliability and Convergent Validity Analysis</w:t>
      </w:r>
      <w:r w:rsidRPr="00244BEE">
        <w:rPr>
          <w:rFonts w:ascii="Arial" w:hAnsi="Arial" w:cs="Arial"/>
          <w:color w:val="000000" w:themeColor="text1"/>
          <w:sz w:val="22"/>
          <w:szCs w:val="22"/>
        </w:rPr>
        <w:t xml:space="preserve"> </w:t>
      </w:r>
    </w:p>
    <w:p w14:paraId="5810AD57" w14:textId="77777777" w:rsidR="00992815" w:rsidRPr="00244BEE" w:rsidRDefault="00992815" w:rsidP="00992815">
      <w:pPr>
        <w:pStyle w:val="BodyText"/>
        <w:spacing w:before="26"/>
        <w:ind w:left="23" w:right="20"/>
        <w:jc w:val="both"/>
        <w:rPr>
          <w:rFonts w:ascii="Arial" w:hAnsi="Arial" w:cs="Arial"/>
          <w:color w:val="000000" w:themeColor="text1"/>
          <w:spacing w:val="-5"/>
        </w:rPr>
      </w:pPr>
      <w:r w:rsidRPr="00244BEE">
        <w:rPr>
          <w:rFonts w:ascii="Arial" w:hAnsi="Arial" w:cs="Arial"/>
          <w:color w:val="000000" w:themeColor="text1"/>
          <w:spacing w:val="-4"/>
        </w:rPr>
        <w:t xml:space="preserve">The </w:t>
      </w:r>
      <w:r w:rsidRPr="00244BEE">
        <w:rPr>
          <w:rFonts w:ascii="Arial" w:hAnsi="Arial" w:cs="Arial"/>
          <w:color w:val="000000" w:themeColor="text1"/>
          <w:spacing w:val="-5"/>
        </w:rPr>
        <w:t xml:space="preserve">validity </w:t>
      </w:r>
      <w:r w:rsidRPr="00244BEE">
        <w:rPr>
          <w:rFonts w:ascii="Arial" w:hAnsi="Arial" w:cs="Arial"/>
          <w:color w:val="000000" w:themeColor="text1"/>
          <w:spacing w:val="-4"/>
        </w:rPr>
        <w:t>and</w:t>
      </w:r>
      <w:r w:rsidRPr="00244BEE">
        <w:rPr>
          <w:rFonts w:ascii="Arial" w:hAnsi="Arial" w:cs="Arial"/>
          <w:color w:val="000000" w:themeColor="text1"/>
          <w:spacing w:val="-5"/>
        </w:rPr>
        <w:t xml:space="preserve"> </w:t>
      </w:r>
      <w:r w:rsidRPr="00244BEE">
        <w:rPr>
          <w:rFonts w:ascii="Arial" w:hAnsi="Arial" w:cs="Arial"/>
          <w:color w:val="000000" w:themeColor="text1"/>
          <w:spacing w:val="-4"/>
        </w:rPr>
        <w:t>reliability</w:t>
      </w:r>
      <w:r w:rsidRPr="00244BEE">
        <w:rPr>
          <w:rFonts w:ascii="Arial" w:hAnsi="Arial" w:cs="Arial"/>
          <w:color w:val="000000" w:themeColor="text1"/>
          <w:spacing w:val="-5"/>
        </w:rPr>
        <w:t xml:space="preserve"> of the measurements items is determined by </w:t>
      </w:r>
      <w:r w:rsidRPr="00244BEE">
        <w:rPr>
          <w:rFonts w:ascii="Arial" w:hAnsi="Arial" w:cs="Arial"/>
          <w:color w:val="000000" w:themeColor="text1"/>
          <w:spacing w:val="-4"/>
        </w:rPr>
        <w:t>measurement</w:t>
      </w:r>
      <w:r w:rsidRPr="00244BEE">
        <w:rPr>
          <w:rFonts w:ascii="Arial" w:hAnsi="Arial" w:cs="Arial"/>
          <w:color w:val="000000" w:themeColor="text1"/>
          <w:spacing w:val="-5"/>
        </w:rPr>
        <w:t xml:space="preserve"> </w:t>
      </w:r>
      <w:r w:rsidRPr="00244BEE">
        <w:rPr>
          <w:rFonts w:ascii="Arial" w:hAnsi="Arial" w:cs="Arial"/>
          <w:color w:val="000000" w:themeColor="text1"/>
          <w:spacing w:val="-4"/>
        </w:rPr>
        <w:t>model</w:t>
      </w:r>
      <w:r w:rsidRPr="00244BEE">
        <w:rPr>
          <w:rFonts w:ascii="Arial" w:hAnsi="Arial" w:cs="Arial"/>
          <w:color w:val="000000" w:themeColor="text1"/>
          <w:spacing w:val="-5"/>
        </w:rPr>
        <w:t xml:space="preserve">. According to </w:t>
      </w:r>
      <w:proofErr w:type="spellStart"/>
      <w:r w:rsidRPr="00244BEE">
        <w:rPr>
          <w:rFonts w:ascii="Arial" w:hAnsi="Arial" w:cs="Arial"/>
          <w:color w:val="000000" w:themeColor="text1"/>
          <w:spacing w:val="-4"/>
        </w:rPr>
        <w:t>Bagozzi</w:t>
      </w:r>
      <w:proofErr w:type="spellEnd"/>
      <w:r w:rsidRPr="00244BEE">
        <w:rPr>
          <w:rFonts w:ascii="Arial" w:hAnsi="Arial" w:cs="Arial"/>
          <w:color w:val="000000" w:themeColor="text1"/>
          <w:spacing w:val="-10"/>
        </w:rPr>
        <w:t xml:space="preserve"> </w:t>
      </w:r>
      <w:r w:rsidRPr="00244BEE">
        <w:rPr>
          <w:rFonts w:ascii="Arial" w:hAnsi="Arial" w:cs="Arial"/>
          <w:color w:val="000000" w:themeColor="text1"/>
          <w:spacing w:val="-4"/>
        </w:rPr>
        <w:t>and</w:t>
      </w:r>
      <w:r w:rsidRPr="00244BEE">
        <w:rPr>
          <w:rFonts w:ascii="Arial" w:hAnsi="Arial" w:cs="Arial"/>
          <w:color w:val="000000" w:themeColor="text1"/>
          <w:spacing w:val="-12"/>
        </w:rPr>
        <w:t xml:space="preserve"> </w:t>
      </w:r>
      <w:r w:rsidRPr="00244BEE">
        <w:rPr>
          <w:rFonts w:ascii="Arial" w:hAnsi="Arial" w:cs="Arial"/>
          <w:color w:val="000000" w:themeColor="text1"/>
          <w:spacing w:val="-4"/>
        </w:rPr>
        <w:t>Yi</w:t>
      </w:r>
      <w:r w:rsidRPr="00244BEE">
        <w:rPr>
          <w:rFonts w:ascii="Arial" w:hAnsi="Arial" w:cs="Arial"/>
          <w:color w:val="000000" w:themeColor="text1"/>
          <w:spacing w:val="-9"/>
        </w:rPr>
        <w:t xml:space="preserve"> </w:t>
      </w:r>
      <w:r w:rsidRPr="00244BEE">
        <w:rPr>
          <w:rFonts w:ascii="Arial" w:hAnsi="Arial" w:cs="Arial"/>
          <w:color w:val="000000" w:themeColor="text1"/>
          <w:spacing w:val="-4"/>
        </w:rPr>
        <w:t>(</w:t>
      </w:r>
      <w:hyperlink w:anchor="_bookmark121" w:history="1">
        <w:r w:rsidRPr="00244BEE">
          <w:rPr>
            <w:rFonts w:ascii="Arial" w:hAnsi="Arial" w:cs="Arial"/>
            <w:color w:val="000000" w:themeColor="text1"/>
            <w:spacing w:val="-4"/>
          </w:rPr>
          <w:t>1988</w:t>
        </w:r>
      </w:hyperlink>
      <w:r w:rsidRPr="00244BEE">
        <w:rPr>
          <w:rFonts w:ascii="Arial" w:hAnsi="Arial" w:cs="Arial"/>
          <w:color w:val="000000" w:themeColor="text1"/>
          <w:spacing w:val="-4"/>
        </w:rPr>
        <w:t>)</w:t>
      </w:r>
      <w:r w:rsidRPr="00244BEE">
        <w:rPr>
          <w:rFonts w:ascii="Arial" w:hAnsi="Arial" w:cs="Arial"/>
          <w:color w:val="000000" w:themeColor="text1"/>
          <w:spacing w:val="-10"/>
        </w:rPr>
        <w:t xml:space="preserve"> and </w:t>
      </w:r>
      <w:r w:rsidRPr="00244BEE">
        <w:rPr>
          <w:rFonts w:ascii="Arial" w:hAnsi="Arial" w:cs="Arial"/>
          <w:color w:val="000000" w:themeColor="text1"/>
          <w:spacing w:val="-4"/>
        </w:rPr>
        <w:t>Hair</w:t>
      </w:r>
      <w:r w:rsidRPr="00244BEE">
        <w:rPr>
          <w:rFonts w:ascii="Arial" w:hAnsi="Arial" w:cs="Arial"/>
          <w:color w:val="000000" w:themeColor="text1"/>
          <w:spacing w:val="-10"/>
        </w:rPr>
        <w:t xml:space="preserve"> </w:t>
      </w:r>
      <w:r w:rsidRPr="00244BEE">
        <w:rPr>
          <w:rFonts w:ascii="Arial" w:hAnsi="Arial" w:cs="Arial"/>
          <w:color w:val="000000" w:themeColor="text1"/>
          <w:spacing w:val="-4"/>
        </w:rPr>
        <w:t>et</w:t>
      </w:r>
      <w:r w:rsidRPr="00244BEE">
        <w:rPr>
          <w:rFonts w:ascii="Arial" w:hAnsi="Arial" w:cs="Arial"/>
          <w:color w:val="000000" w:themeColor="text1"/>
          <w:spacing w:val="-10"/>
        </w:rPr>
        <w:t xml:space="preserve"> </w:t>
      </w:r>
      <w:r w:rsidRPr="00244BEE">
        <w:rPr>
          <w:rFonts w:ascii="Arial" w:hAnsi="Arial" w:cs="Arial"/>
          <w:color w:val="000000" w:themeColor="text1"/>
          <w:spacing w:val="-4"/>
        </w:rPr>
        <w:t>al.</w:t>
      </w:r>
      <w:r w:rsidRPr="00244BEE">
        <w:rPr>
          <w:rFonts w:ascii="Arial" w:hAnsi="Arial" w:cs="Arial"/>
          <w:color w:val="000000" w:themeColor="text1"/>
          <w:spacing w:val="-10"/>
        </w:rPr>
        <w:t xml:space="preserve"> </w:t>
      </w:r>
      <w:r w:rsidRPr="00244BEE">
        <w:rPr>
          <w:rFonts w:ascii="Arial" w:hAnsi="Arial" w:cs="Arial"/>
          <w:color w:val="000000" w:themeColor="text1"/>
          <w:spacing w:val="-4"/>
        </w:rPr>
        <w:t>(</w:t>
      </w:r>
      <w:hyperlink w:anchor="_bookmark136" w:history="1">
        <w:r w:rsidRPr="00244BEE">
          <w:rPr>
            <w:rFonts w:ascii="Arial" w:hAnsi="Arial" w:cs="Arial"/>
            <w:color w:val="000000" w:themeColor="text1"/>
            <w:spacing w:val="-4"/>
          </w:rPr>
          <w:t>2011</w:t>
        </w:r>
      </w:hyperlink>
      <w:r w:rsidRPr="00244BEE">
        <w:rPr>
          <w:rFonts w:ascii="Arial" w:hAnsi="Arial" w:cs="Arial"/>
          <w:color w:val="000000" w:themeColor="text1"/>
          <w:spacing w:val="-4"/>
        </w:rPr>
        <w:t xml:space="preserve">),  </w:t>
      </w:r>
      <w:r w:rsidRPr="00244BEE">
        <w:rPr>
          <w:rFonts w:ascii="Arial" w:hAnsi="Arial" w:cs="Arial"/>
          <w:color w:val="000000" w:themeColor="text1"/>
          <w:spacing w:val="-10"/>
        </w:rPr>
        <w:t xml:space="preserve"> </w:t>
      </w:r>
      <w:r w:rsidRPr="00244BEE">
        <w:rPr>
          <w:rFonts w:ascii="Arial" w:hAnsi="Arial" w:cs="Arial"/>
          <w:color w:val="000000" w:themeColor="text1"/>
          <w:spacing w:val="-4"/>
        </w:rPr>
        <w:t>the</w:t>
      </w:r>
      <w:r w:rsidRPr="00244BEE">
        <w:rPr>
          <w:rFonts w:ascii="Arial" w:hAnsi="Arial" w:cs="Arial"/>
          <w:color w:val="000000" w:themeColor="text1"/>
          <w:spacing w:val="-10"/>
        </w:rPr>
        <w:t xml:space="preserve"> threshold for the </w:t>
      </w:r>
      <w:r w:rsidRPr="00244BEE">
        <w:rPr>
          <w:rFonts w:ascii="Arial" w:hAnsi="Arial" w:cs="Arial"/>
          <w:color w:val="000000" w:themeColor="text1"/>
          <w:spacing w:val="-4"/>
        </w:rPr>
        <w:t>Cronbach</w:t>
      </w:r>
      <w:r w:rsidRPr="00244BEE">
        <w:rPr>
          <w:rFonts w:ascii="Arial" w:hAnsi="Arial" w:cs="Arial"/>
          <w:color w:val="000000" w:themeColor="text1"/>
          <w:spacing w:val="-10"/>
        </w:rPr>
        <w:t xml:space="preserve"> </w:t>
      </w:r>
      <w:r w:rsidRPr="00244BEE">
        <w:rPr>
          <w:rFonts w:ascii="Arial" w:hAnsi="Arial" w:cs="Arial"/>
          <w:color w:val="000000" w:themeColor="text1"/>
          <w:spacing w:val="-4"/>
        </w:rPr>
        <w:t>alpha</w:t>
      </w:r>
      <w:r w:rsidRPr="00244BEE">
        <w:rPr>
          <w:rFonts w:ascii="Arial" w:hAnsi="Arial" w:cs="Arial"/>
          <w:color w:val="000000" w:themeColor="text1"/>
          <w:spacing w:val="-10"/>
        </w:rPr>
        <w:t xml:space="preserve"> </w:t>
      </w:r>
      <w:r w:rsidRPr="00244BEE">
        <w:rPr>
          <w:rFonts w:ascii="Arial" w:hAnsi="Arial" w:cs="Arial"/>
          <w:color w:val="000000" w:themeColor="text1"/>
          <w:spacing w:val="-4"/>
        </w:rPr>
        <w:t>and</w:t>
      </w:r>
      <w:r w:rsidRPr="00244BEE">
        <w:rPr>
          <w:rFonts w:ascii="Arial" w:hAnsi="Arial" w:cs="Arial"/>
          <w:color w:val="000000" w:themeColor="text1"/>
          <w:spacing w:val="-10"/>
        </w:rPr>
        <w:t xml:space="preserve"> </w:t>
      </w:r>
      <w:r w:rsidRPr="00244BEE">
        <w:rPr>
          <w:rFonts w:ascii="Arial" w:hAnsi="Arial" w:cs="Arial"/>
          <w:color w:val="000000" w:themeColor="text1"/>
          <w:spacing w:val="-4"/>
        </w:rPr>
        <w:t>compos</w:t>
      </w:r>
      <w:r w:rsidRPr="00244BEE">
        <w:rPr>
          <w:rFonts w:ascii="Arial" w:hAnsi="Arial" w:cs="Arial"/>
          <w:color w:val="000000" w:themeColor="text1"/>
          <w:spacing w:val="-6"/>
        </w:rPr>
        <w:t>ite</w:t>
      </w:r>
      <w:r w:rsidRPr="00244BEE">
        <w:rPr>
          <w:rFonts w:ascii="Arial" w:hAnsi="Arial" w:cs="Arial"/>
          <w:color w:val="000000" w:themeColor="text1"/>
          <w:spacing w:val="-10"/>
        </w:rPr>
        <w:t xml:space="preserve"> </w:t>
      </w:r>
      <w:r w:rsidRPr="00244BEE">
        <w:rPr>
          <w:rFonts w:ascii="Arial" w:hAnsi="Arial" w:cs="Arial"/>
          <w:color w:val="000000" w:themeColor="text1"/>
          <w:spacing w:val="-6"/>
        </w:rPr>
        <w:t>reliability</w:t>
      </w:r>
      <w:r w:rsidRPr="00244BEE">
        <w:rPr>
          <w:rFonts w:ascii="Arial" w:hAnsi="Arial" w:cs="Arial"/>
          <w:color w:val="000000" w:themeColor="text1"/>
          <w:spacing w:val="-9"/>
        </w:rPr>
        <w:t xml:space="preserve"> </w:t>
      </w:r>
      <w:r w:rsidRPr="00244BEE">
        <w:rPr>
          <w:rFonts w:ascii="Arial" w:hAnsi="Arial" w:cs="Arial"/>
          <w:color w:val="000000" w:themeColor="text1"/>
          <w:spacing w:val="-6"/>
        </w:rPr>
        <w:t xml:space="preserve">co-efficient is </w:t>
      </w:r>
      <w:r w:rsidRPr="00244BEE">
        <w:rPr>
          <w:rFonts w:ascii="Arial" w:hAnsi="Arial" w:cs="Arial"/>
          <w:color w:val="000000" w:themeColor="text1"/>
          <w:spacing w:val="-9"/>
        </w:rPr>
        <w:t>0.7</w:t>
      </w:r>
      <w:r w:rsidRPr="00244BEE">
        <w:rPr>
          <w:rFonts w:ascii="Arial" w:hAnsi="Arial" w:cs="Arial"/>
          <w:color w:val="000000" w:themeColor="text1"/>
          <w:spacing w:val="-6"/>
        </w:rPr>
        <w:t xml:space="preserve">. Table 3 depicts that </w:t>
      </w:r>
      <w:r w:rsidRPr="00244BEE">
        <w:rPr>
          <w:rFonts w:ascii="Arial" w:hAnsi="Arial" w:cs="Arial"/>
          <w:bCs/>
          <w:color w:val="000000" w:themeColor="text1"/>
        </w:rPr>
        <w:t>Cronbach's alpha value ranges from 0.710 to 8.17 which are greater than 0.7. The values of Composite reliability have found from 0</w:t>
      </w:r>
      <w:r w:rsidRPr="00244BEE">
        <w:rPr>
          <w:rFonts w:ascii="Arial" w:hAnsi="Arial" w:cs="Arial"/>
          <w:color w:val="000000" w:themeColor="text1"/>
          <w:spacing w:val="-4"/>
        </w:rPr>
        <w:t>.785 to 0.878 for this model.  According to Hair et al. (2019), a construct has convergent validity when the Average Variance Extended (AVE) is 0.50 or more. The result illustrates that AVE ranges from 0.550 to 0.652. Hair et al. (2010) proposed that the outer loadings generally should be greater than 0.5 which is further modified as 0.708 (Hair et al., 2019</w:t>
      </w:r>
      <w:r w:rsidRPr="00244BEE">
        <w:rPr>
          <w:rFonts w:ascii="Arial" w:hAnsi="Arial" w:cs="Arial"/>
          <w:color w:val="000000" w:themeColor="text1"/>
          <w:spacing w:val="-5"/>
        </w:rPr>
        <w:t xml:space="preserve">). By following this rule the result to table 2 confirms that the construct is in good position as all items are in the range from 0.710 to 0.817. Due to poor loadings some items have been removed from the model. </w:t>
      </w:r>
    </w:p>
    <w:p w14:paraId="12D6CC55" w14:textId="77777777" w:rsidR="00992815" w:rsidRPr="00244BEE" w:rsidRDefault="00992815" w:rsidP="00992815">
      <w:pPr>
        <w:pStyle w:val="BodyText"/>
        <w:spacing w:before="26"/>
        <w:ind w:left="23" w:right="20"/>
        <w:jc w:val="both"/>
        <w:rPr>
          <w:rFonts w:ascii="Arial" w:hAnsi="Arial" w:cs="Arial"/>
          <w:color w:val="000000" w:themeColor="text1"/>
          <w:spacing w:val="-5"/>
        </w:rPr>
      </w:pPr>
    </w:p>
    <w:p w14:paraId="556997AB" w14:textId="77777777" w:rsidR="00992815" w:rsidRPr="00895485" w:rsidRDefault="00992815" w:rsidP="00992815">
      <w:pPr>
        <w:pStyle w:val="BodyText"/>
        <w:jc w:val="both"/>
        <w:rPr>
          <w:rFonts w:ascii="Arial" w:hAnsi="Arial" w:cs="Arial"/>
          <w:b/>
          <w:color w:val="000000" w:themeColor="text1"/>
        </w:rPr>
      </w:pPr>
      <w:r w:rsidRPr="00895485">
        <w:rPr>
          <w:rFonts w:ascii="Arial" w:hAnsi="Arial" w:cs="Arial"/>
          <w:b/>
          <w:color w:val="000000" w:themeColor="text1"/>
          <w:spacing w:val="-6"/>
        </w:rPr>
        <w:t>Table 3:</w:t>
      </w:r>
      <w:r w:rsidRPr="00895485">
        <w:rPr>
          <w:rFonts w:ascii="Arial" w:hAnsi="Arial" w:cs="Arial"/>
          <w:b/>
          <w:color w:val="000000" w:themeColor="text1"/>
          <w:w w:val="85"/>
          <w:u w:val="single" w:color="10147E"/>
        </w:rPr>
        <w:t xml:space="preserve"> </w:t>
      </w:r>
      <w:r w:rsidRPr="00895485">
        <w:rPr>
          <w:rFonts w:ascii="Arial" w:hAnsi="Arial" w:cs="Arial"/>
          <w:b/>
          <w:color w:val="000000" w:themeColor="text1"/>
        </w:rPr>
        <w:t xml:space="preserve">Reliability and Convergent validity </w:t>
      </w:r>
    </w:p>
    <w:tbl>
      <w:tblPr>
        <w:tblW w:w="4828"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70"/>
        <w:gridCol w:w="1489"/>
        <w:gridCol w:w="1216"/>
        <w:gridCol w:w="2140"/>
        <w:gridCol w:w="1556"/>
        <w:gridCol w:w="1099"/>
      </w:tblGrid>
      <w:tr w:rsidR="00992815" w:rsidRPr="00244BEE" w14:paraId="74AAA521" w14:textId="77777777" w:rsidTr="006E6CE9">
        <w:trPr>
          <w:trHeight w:val="297"/>
        </w:trPr>
        <w:tc>
          <w:tcPr>
            <w:tcW w:w="955" w:type="pct"/>
            <w:tcBorders>
              <w:top w:val="single" w:sz="4" w:space="0" w:color="auto"/>
              <w:bottom w:val="single" w:sz="4" w:space="0" w:color="auto"/>
            </w:tcBorders>
            <w:tcMar>
              <w:top w:w="0" w:type="dxa"/>
              <w:left w:w="120" w:type="dxa"/>
              <w:bottom w:w="0" w:type="dxa"/>
              <w:right w:w="120" w:type="dxa"/>
            </w:tcMar>
            <w:vAlign w:val="center"/>
          </w:tcPr>
          <w:p w14:paraId="4EEC5D34" w14:textId="77777777" w:rsidR="00992815" w:rsidRPr="00244BEE" w:rsidRDefault="00992815" w:rsidP="006E6CE9">
            <w:pPr>
              <w:spacing w:after="0" w:line="240" w:lineRule="auto"/>
              <w:jc w:val="center"/>
              <w:rPr>
                <w:rFonts w:ascii="Arial" w:hAnsi="Arial" w:cs="Arial"/>
                <w:b/>
                <w:bCs/>
                <w:color w:val="000000" w:themeColor="text1"/>
                <w:sz w:val="20"/>
                <w:szCs w:val="20"/>
              </w:rPr>
            </w:pPr>
            <w:r w:rsidRPr="00244BEE">
              <w:rPr>
                <w:rFonts w:ascii="Arial" w:hAnsi="Arial" w:cs="Arial"/>
                <w:b/>
                <w:bCs/>
                <w:color w:val="000000" w:themeColor="text1"/>
                <w:sz w:val="20"/>
                <w:szCs w:val="20"/>
              </w:rPr>
              <w:t>Construct</w:t>
            </w:r>
          </w:p>
        </w:tc>
        <w:tc>
          <w:tcPr>
            <w:tcW w:w="803" w:type="pct"/>
            <w:tcBorders>
              <w:top w:val="single" w:sz="4" w:space="0" w:color="auto"/>
              <w:bottom w:val="single" w:sz="4" w:space="0" w:color="auto"/>
            </w:tcBorders>
            <w:vAlign w:val="center"/>
          </w:tcPr>
          <w:p w14:paraId="5CC064D0" w14:textId="77777777" w:rsidR="00992815" w:rsidRPr="00244BEE" w:rsidRDefault="00992815" w:rsidP="006E6CE9">
            <w:pPr>
              <w:spacing w:after="0" w:line="240" w:lineRule="auto"/>
              <w:jc w:val="center"/>
              <w:rPr>
                <w:rFonts w:ascii="Arial" w:hAnsi="Arial" w:cs="Arial"/>
                <w:b/>
                <w:bCs/>
                <w:color w:val="000000" w:themeColor="text1"/>
                <w:sz w:val="20"/>
                <w:szCs w:val="20"/>
              </w:rPr>
            </w:pPr>
            <w:r w:rsidRPr="00244BEE">
              <w:rPr>
                <w:rFonts w:ascii="Arial" w:hAnsi="Arial" w:cs="Arial"/>
                <w:b/>
                <w:bCs/>
                <w:color w:val="000000" w:themeColor="text1"/>
                <w:sz w:val="20"/>
                <w:szCs w:val="20"/>
              </w:rPr>
              <w:t>Item</w:t>
            </w:r>
          </w:p>
        </w:tc>
        <w:tc>
          <w:tcPr>
            <w:tcW w:w="656" w:type="pct"/>
            <w:tcBorders>
              <w:top w:val="single" w:sz="4" w:space="0" w:color="auto"/>
              <w:bottom w:val="single" w:sz="4" w:space="0" w:color="auto"/>
            </w:tcBorders>
            <w:vAlign w:val="center"/>
          </w:tcPr>
          <w:p w14:paraId="5BE85FFE" w14:textId="77777777" w:rsidR="00992815" w:rsidRPr="00244BEE" w:rsidRDefault="00992815" w:rsidP="006E6CE9">
            <w:pPr>
              <w:spacing w:after="0" w:line="240" w:lineRule="auto"/>
              <w:jc w:val="center"/>
              <w:rPr>
                <w:rFonts w:ascii="Arial" w:hAnsi="Arial" w:cs="Arial"/>
                <w:b/>
                <w:color w:val="000000" w:themeColor="text1"/>
                <w:sz w:val="20"/>
                <w:szCs w:val="20"/>
              </w:rPr>
            </w:pPr>
            <w:r w:rsidRPr="00244BEE">
              <w:rPr>
                <w:rFonts w:ascii="Arial" w:hAnsi="Arial" w:cs="Arial"/>
                <w:b/>
                <w:color w:val="000000" w:themeColor="text1"/>
                <w:sz w:val="20"/>
                <w:szCs w:val="20"/>
              </w:rPr>
              <w:t>Loadings</w:t>
            </w:r>
          </w:p>
        </w:tc>
        <w:tc>
          <w:tcPr>
            <w:tcW w:w="1154" w:type="pct"/>
            <w:tcBorders>
              <w:top w:val="single" w:sz="4" w:space="0" w:color="auto"/>
              <w:bottom w:val="single" w:sz="4" w:space="0" w:color="auto"/>
            </w:tcBorders>
            <w:tcMar>
              <w:top w:w="0" w:type="dxa"/>
              <w:left w:w="120" w:type="dxa"/>
              <w:bottom w:w="0" w:type="dxa"/>
              <w:right w:w="120" w:type="dxa"/>
            </w:tcMar>
            <w:vAlign w:val="center"/>
          </w:tcPr>
          <w:p w14:paraId="7CB78AB5" w14:textId="77777777" w:rsidR="00992815" w:rsidRPr="00244BEE" w:rsidRDefault="00992815" w:rsidP="006E6CE9">
            <w:pPr>
              <w:spacing w:after="0" w:line="240" w:lineRule="auto"/>
              <w:jc w:val="center"/>
              <w:rPr>
                <w:rFonts w:ascii="Arial" w:hAnsi="Arial" w:cs="Arial"/>
                <w:b/>
                <w:color w:val="000000" w:themeColor="text1"/>
                <w:sz w:val="20"/>
                <w:szCs w:val="20"/>
              </w:rPr>
            </w:pPr>
            <w:r w:rsidRPr="00244BEE">
              <w:rPr>
                <w:rFonts w:ascii="Arial" w:hAnsi="Arial" w:cs="Arial"/>
                <w:b/>
                <w:color w:val="000000" w:themeColor="text1"/>
                <w:sz w:val="20"/>
                <w:szCs w:val="20"/>
              </w:rPr>
              <w:t>Cronbach’s Alpha</w:t>
            </w:r>
          </w:p>
        </w:tc>
        <w:tc>
          <w:tcPr>
            <w:tcW w:w="839" w:type="pct"/>
            <w:tcBorders>
              <w:top w:val="single" w:sz="4" w:space="0" w:color="auto"/>
              <w:bottom w:val="single" w:sz="4" w:space="0" w:color="auto"/>
            </w:tcBorders>
            <w:tcMar>
              <w:top w:w="0" w:type="dxa"/>
              <w:left w:w="120" w:type="dxa"/>
              <w:bottom w:w="0" w:type="dxa"/>
              <w:right w:w="120" w:type="dxa"/>
            </w:tcMar>
            <w:vAlign w:val="center"/>
          </w:tcPr>
          <w:p w14:paraId="28513020" w14:textId="77777777" w:rsidR="00992815" w:rsidRPr="00244BEE" w:rsidRDefault="00992815" w:rsidP="006E6CE9">
            <w:pPr>
              <w:spacing w:after="0" w:line="240" w:lineRule="auto"/>
              <w:jc w:val="center"/>
              <w:rPr>
                <w:rFonts w:ascii="Arial" w:hAnsi="Arial" w:cs="Arial"/>
                <w:b/>
                <w:color w:val="000000" w:themeColor="text1"/>
                <w:sz w:val="20"/>
                <w:szCs w:val="20"/>
              </w:rPr>
            </w:pPr>
            <w:r w:rsidRPr="00244BEE">
              <w:rPr>
                <w:rFonts w:ascii="Arial" w:hAnsi="Arial" w:cs="Arial"/>
                <w:b/>
                <w:color w:val="000000" w:themeColor="text1"/>
                <w:sz w:val="20"/>
                <w:szCs w:val="20"/>
              </w:rPr>
              <w:t>Composite Reliability</w:t>
            </w:r>
          </w:p>
        </w:tc>
        <w:tc>
          <w:tcPr>
            <w:tcW w:w="593" w:type="pct"/>
            <w:tcBorders>
              <w:top w:val="single" w:sz="4" w:space="0" w:color="auto"/>
              <w:bottom w:val="single" w:sz="4" w:space="0" w:color="auto"/>
            </w:tcBorders>
            <w:tcMar>
              <w:top w:w="0" w:type="dxa"/>
              <w:left w:w="120" w:type="dxa"/>
              <w:bottom w:w="0" w:type="dxa"/>
              <w:right w:w="120" w:type="dxa"/>
            </w:tcMar>
            <w:vAlign w:val="center"/>
          </w:tcPr>
          <w:p w14:paraId="4DB00488" w14:textId="77777777" w:rsidR="00992815" w:rsidRPr="00244BEE" w:rsidRDefault="00992815" w:rsidP="006E6CE9">
            <w:pPr>
              <w:spacing w:after="0" w:line="240" w:lineRule="auto"/>
              <w:jc w:val="center"/>
              <w:rPr>
                <w:rFonts w:ascii="Arial" w:hAnsi="Arial" w:cs="Arial"/>
                <w:b/>
                <w:color w:val="000000" w:themeColor="text1"/>
                <w:sz w:val="20"/>
                <w:szCs w:val="20"/>
              </w:rPr>
            </w:pPr>
            <w:r w:rsidRPr="00244BEE">
              <w:rPr>
                <w:rFonts w:ascii="Arial" w:hAnsi="Arial" w:cs="Arial"/>
                <w:b/>
                <w:color w:val="000000" w:themeColor="text1"/>
                <w:sz w:val="20"/>
                <w:szCs w:val="20"/>
              </w:rPr>
              <w:t>AVE</w:t>
            </w:r>
          </w:p>
        </w:tc>
      </w:tr>
      <w:tr w:rsidR="00992815" w:rsidRPr="00244BEE" w14:paraId="01A710DE" w14:textId="77777777" w:rsidTr="006E6CE9">
        <w:trPr>
          <w:trHeight w:val="297"/>
        </w:trPr>
        <w:tc>
          <w:tcPr>
            <w:tcW w:w="955" w:type="pct"/>
            <w:vMerge w:val="restart"/>
            <w:tcBorders>
              <w:top w:val="single" w:sz="4" w:space="0" w:color="auto"/>
            </w:tcBorders>
            <w:tcMar>
              <w:top w:w="0" w:type="dxa"/>
              <w:left w:w="120" w:type="dxa"/>
              <w:bottom w:w="0" w:type="dxa"/>
              <w:right w:w="120" w:type="dxa"/>
            </w:tcMar>
            <w:vAlign w:val="center"/>
          </w:tcPr>
          <w:p w14:paraId="518DC704" w14:textId="77777777" w:rsidR="00992815" w:rsidRPr="00244BEE" w:rsidRDefault="00992815" w:rsidP="006E6CE9">
            <w:pPr>
              <w:spacing w:after="0" w:line="240" w:lineRule="auto"/>
              <w:rPr>
                <w:rFonts w:ascii="Arial" w:hAnsi="Arial" w:cs="Arial"/>
                <w:bCs/>
                <w:color w:val="000000" w:themeColor="text1"/>
                <w:sz w:val="20"/>
                <w:szCs w:val="20"/>
              </w:rPr>
            </w:pPr>
            <w:r w:rsidRPr="00244BEE">
              <w:rPr>
                <w:rFonts w:ascii="Arial" w:hAnsi="Arial" w:cs="Arial"/>
                <w:bCs/>
                <w:color w:val="000000" w:themeColor="text1"/>
                <w:sz w:val="20"/>
                <w:szCs w:val="20"/>
              </w:rPr>
              <w:t xml:space="preserve">Affective Commitment </w:t>
            </w:r>
          </w:p>
        </w:tc>
        <w:tc>
          <w:tcPr>
            <w:tcW w:w="803" w:type="pct"/>
            <w:tcBorders>
              <w:top w:val="single" w:sz="4" w:space="0" w:color="auto"/>
            </w:tcBorders>
            <w:vAlign w:val="center"/>
          </w:tcPr>
          <w:p w14:paraId="4718D12D" w14:textId="77777777" w:rsidR="00992815" w:rsidRPr="00244BEE" w:rsidRDefault="00992815" w:rsidP="006E6CE9">
            <w:pPr>
              <w:spacing w:after="0" w:line="240" w:lineRule="auto"/>
              <w:jc w:val="center"/>
              <w:rPr>
                <w:rFonts w:ascii="Arial" w:hAnsi="Arial" w:cs="Arial"/>
                <w:bCs/>
                <w:color w:val="000000" w:themeColor="text1"/>
                <w:sz w:val="20"/>
                <w:szCs w:val="20"/>
              </w:rPr>
            </w:pPr>
            <w:r w:rsidRPr="00244BEE">
              <w:rPr>
                <w:rFonts w:ascii="Arial" w:eastAsia="Arial" w:hAnsi="Arial" w:cs="Arial"/>
                <w:bCs/>
                <w:color w:val="000000" w:themeColor="text1"/>
                <w:sz w:val="20"/>
                <w:szCs w:val="20"/>
              </w:rPr>
              <w:t>AC1</w:t>
            </w:r>
          </w:p>
        </w:tc>
        <w:tc>
          <w:tcPr>
            <w:tcW w:w="656" w:type="pct"/>
            <w:tcBorders>
              <w:top w:val="single" w:sz="4" w:space="0" w:color="auto"/>
            </w:tcBorders>
            <w:vAlign w:val="center"/>
          </w:tcPr>
          <w:p w14:paraId="1E1D7455"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0.846</w:t>
            </w:r>
          </w:p>
        </w:tc>
        <w:tc>
          <w:tcPr>
            <w:tcW w:w="1154" w:type="pct"/>
            <w:vMerge w:val="restart"/>
            <w:tcBorders>
              <w:top w:val="single" w:sz="4" w:space="0" w:color="auto"/>
            </w:tcBorders>
            <w:tcMar>
              <w:top w:w="0" w:type="dxa"/>
              <w:left w:w="120" w:type="dxa"/>
              <w:bottom w:w="0" w:type="dxa"/>
              <w:right w:w="120" w:type="dxa"/>
            </w:tcMar>
            <w:vAlign w:val="center"/>
          </w:tcPr>
          <w:p w14:paraId="6B049135"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0.791</w:t>
            </w:r>
          </w:p>
        </w:tc>
        <w:tc>
          <w:tcPr>
            <w:tcW w:w="839" w:type="pct"/>
            <w:vMerge w:val="restart"/>
            <w:tcBorders>
              <w:top w:val="single" w:sz="4" w:space="0" w:color="auto"/>
            </w:tcBorders>
            <w:tcMar>
              <w:top w:w="0" w:type="dxa"/>
              <w:left w:w="120" w:type="dxa"/>
              <w:bottom w:w="0" w:type="dxa"/>
              <w:right w:w="120" w:type="dxa"/>
            </w:tcMar>
            <w:vAlign w:val="center"/>
          </w:tcPr>
          <w:p w14:paraId="29437E2A"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0.863</w:t>
            </w:r>
          </w:p>
        </w:tc>
        <w:tc>
          <w:tcPr>
            <w:tcW w:w="593" w:type="pct"/>
            <w:vMerge w:val="restart"/>
            <w:tcBorders>
              <w:top w:val="single" w:sz="4" w:space="0" w:color="auto"/>
            </w:tcBorders>
            <w:tcMar>
              <w:top w:w="0" w:type="dxa"/>
              <w:left w:w="120" w:type="dxa"/>
              <w:bottom w:w="0" w:type="dxa"/>
              <w:right w:w="120" w:type="dxa"/>
            </w:tcMar>
            <w:vAlign w:val="center"/>
          </w:tcPr>
          <w:p w14:paraId="1D4BD7EB"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0.614</w:t>
            </w:r>
          </w:p>
        </w:tc>
      </w:tr>
      <w:tr w:rsidR="00992815" w:rsidRPr="00244BEE" w14:paraId="158507E6" w14:textId="77777777" w:rsidTr="006E6CE9">
        <w:trPr>
          <w:trHeight w:val="142"/>
        </w:trPr>
        <w:tc>
          <w:tcPr>
            <w:tcW w:w="955" w:type="pct"/>
            <w:vMerge/>
            <w:tcMar>
              <w:top w:w="0" w:type="dxa"/>
              <w:left w:w="120" w:type="dxa"/>
              <w:bottom w:w="0" w:type="dxa"/>
              <w:right w:w="120" w:type="dxa"/>
            </w:tcMar>
            <w:vAlign w:val="center"/>
          </w:tcPr>
          <w:p w14:paraId="013EB47F"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D9F272E" w14:textId="77777777" w:rsidR="00992815" w:rsidRPr="00244BEE" w:rsidRDefault="00992815" w:rsidP="006E6CE9">
            <w:pPr>
              <w:spacing w:after="0" w:line="240" w:lineRule="auto"/>
              <w:jc w:val="center"/>
              <w:rPr>
                <w:rFonts w:ascii="Arial" w:hAnsi="Arial" w:cs="Arial"/>
                <w:bCs/>
                <w:color w:val="000000" w:themeColor="text1"/>
                <w:sz w:val="20"/>
                <w:szCs w:val="20"/>
              </w:rPr>
            </w:pPr>
            <w:r w:rsidRPr="00244BEE">
              <w:rPr>
                <w:rFonts w:ascii="Arial" w:eastAsia="Arial" w:hAnsi="Arial" w:cs="Arial"/>
                <w:bCs/>
                <w:color w:val="000000" w:themeColor="text1"/>
                <w:sz w:val="20"/>
                <w:szCs w:val="20"/>
              </w:rPr>
              <w:t>AC2</w:t>
            </w:r>
          </w:p>
        </w:tc>
        <w:tc>
          <w:tcPr>
            <w:tcW w:w="656" w:type="pct"/>
            <w:vAlign w:val="center"/>
          </w:tcPr>
          <w:p w14:paraId="3DAEFA25"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0.669</w:t>
            </w:r>
          </w:p>
        </w:tc>
        <w:tc>
          <w:tcPr>
            <w:tcW w:w="1154" w:type="pct"/>
            <w:vMerge/>
            <w:tcMar>
              <w:top w:w="0" w:type="dxa"/>
              <w:left w:w="120" w:type="dxa"/>
              <w:bottom w:w="0" w:type="dxa"/>
              <w:right w:w="120" w:type="dxa"/>
            </w:tcMar>
            <w:vAlign w:val="center"/>
          </w:tcPr>
          <w:p w14:paraId="7CBF3448"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4E459C00"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5F7E90C7"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33446720" w14:textId="77777777" w:rsidTr="006E6CE9">
        <w:trPr>
          <w:trHeight w:val="142"/>
        </w:trPr>
        <w:tc>
          <w:tcPr>
            <w:tcW w:w="955" w:type="pct"/>
            <w:vMerge/>
            <w:tcMar>
              <w:top w:w="0" w:type="dxa"/>
              <w:left w:w="120" w:type="dxa"/>
              <w:bottom w:w="0" w:type="dxa"/>
              <w:right w:w="120" w:type="dxa"/>
            </w:tcMar>
            <w:vAlign w:val="center"/>
          </w:tcPr>
          <w:p w14:paraId="2B8CC1B9"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1F08E67" w14:textId="77777777" w:rsidR="00992815" w:rsidRPr="00244BEE" w:rsidRDefault="00992815" w:rsidP="006E6CE9">
            <w:pPr>
              <w:spacing w:after="0" w:line="240" w:lineRule="auto"/>
              <w:jc w:val="center"/>
              <w:rPr>
                <w:rFonts w:ascii="Arial" w:hAnsi="Arial" w:cs="Arial"/>
                <w:bCs/>
                <w:color w:val="000000" w:themeColor="text1"/>
                <w:sz w:val="20"/>
                <w:szCs w:val="20"/>
              </w:rPr>
            </w:pPr>
            <w:r w:rsidRPr="00244BEE">
              <w:rPr>
                <w:rFonts w:ascii="Arial" w:eastAsia="Arial" w:hAnsi="Arial" w:cs="Arial"/>
                <w:bCs/>
                <w:color w:val="000000" w:themeColor="text1"/>
                <w:sz w:val="20"/>
                <w:szCs w:val="20"/>
              </w:rPr>
              <w:t>AC4</w:t>
            </w:r>
          </w:p>
        </w:tc>
        <w:tc>
          <w:tcPr>
            <w:tcW w:w="656" w:type="pct"/>
            <w:vAlign w:val="center"/>
          </w:tcPr>
          <w:p w14:paraId="1493E81A"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0.740</w:t>
            </w:r>
          </w:p>
        </w:tc>
        <w:tc>
          <w:tcPr>
            <w:tcW w:w="1154" w:type="pct"/>
            <w:vMerge/>
            <w:tcMar>
              <w:top w:w="0" w:type="dxa"/>
              <w:left w:w="120" w:type="dxa"/>
              <w:bottom w:w="0" w:type="dxa"/>
              <w:right w:w="120" w:type="dxa"/>
            </w:tcMar>
            <w:vAlign w:val="center"/>
          </w:tcPr>
          <w:p w14:paraId="093BE964"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5A7560CB"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640F1FD0"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78C62316" w14:textId="77777777" w:rsidTr="006E6CE9">
        <w:trPr>
          <w:trHeight w:val="142"/>
        </w:trPr>
        <w:tc>
          <w:tcPr>
            <w:tcW w:w="955" w:type="pct"/>
            <w:vMerge/>
            <w:tcMar>
              <w:top w:w="0" w:type="dxa"/>
              <w:left w:w="120" w:type="dxa"/>
              <w:bottom w:w="0" w:type="dxa"/>
              <w:right w:w="120" w:type="dxa"/>
            </w:tcMar>
            <w:vAlign w:val="center"/>
          </w:tcPr>
          <w:p w14:paraId="6234F410"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248407EB" w14:textId="77777777" w:rsidR="00992815" w:rsidRPr="00244BEE" w:rsidRDefault="00992815" w:rsidP="006E6CE9">
            <w:pPr>
              <w:spacing w:after="0" w:line="240" w:lineRule="auto"/>
              <w:jc w:val="center"/>
              <w:rPr>
                <w:rFonts w:ascii="Arial" w:hAnsi="Arial" w:cs="Arial"/>
                <w:bCs/>
                <w:color w:val="000000" w:themeColor="text1"/>
                <w:sz w:val="20"/>
                <w:szCs w:val="20"/>
              </w:rPr>
            </w:pPr>
            <w:r w:rsidRPr="00244BEE">
              <w:rPr>
                <w:rFonts w:ascii="Arial" w:eastAsia="Arial" w:hAnsi="Arial" w:cs="Arial"/>
                <w:bCs/>
                <w:color w:val="000000" w:themeColor="text1"/>
                <w:sz w:val="20"/>
                <w:szCs w:val="20"/>
              </w:rPr>
              <w:t>AC6</w:t>
            </w:r>
          </w:p>
        </w:tc>
        <w:tc>
          <w:tcPr>
            <w:tcW w:w="656" w:type="pct"/>
            <w:vAlign w:val="center"/>
          </w:tcPr>
          <w:p w14:paraId="783090BE"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0.863</w:t>
            </w:r>
          </w:p>
        </w:tc>
        <w:tc>
          <w:tcPr>
            <w:tcW w:w="1154" w:type="pct"/>
            <w:vMerge/>
            <w:tcMar>
              <w:top w:w="0" w:type="dxa"/>
              <w:left w:w="120" w:type="dxa"/>
              <w:bottom w:w="0" w:type="dxa"/>
              <w:right w:w="120" w:type="dxa"/>
            </w:tcMar>
            <w:vAlign w:val="center"/>
          </w:tcPr>
          <w:p w14:paraId="7A2DC913"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4987C813"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79136993"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161524DF" w14:textId="77777777" w:rsidTr="006E6CE9">
        <w:trPr>
          <w:trHeight w:val="285"/>
        </w:trPr>
        <w:tc>
          <w:tcPr>
            <w:tcW w:w="955" w:type="pct"/>
            <w:vMerge w:val="restart"/>
            <w:tcMar>
              <w:top w:w="0" w:type="dxa"/>
              <w:left w:w="120" w:type="dxa"/>
              <w:bottom w:w="0" w:type="dxa"/>
              <w:right w:w="120" w:type="dxa"/>
            </w:tcMar>
            <w:vAlign w:val="center"/>
          </w:tcPr>
          <w:p w14:paraId="643CF867" w14:textId="77777777" w:rsidR="00992815" w:rsidRPr="00244BEE" w:rsidRDefault="00992815" w:rsidP="006E6CE9">
            <w:pPr>
              <w:spacing w:after="0" w:line="240" w:lineRule="auto"/>
              <w:rPr>
                <w:rFonts w:ascii="Arial" w:hAnsi="Arial" w:cs="Arial"/>
                <w:bCs/>
                <w:color w:val="000000" w:themeColor="text1"/>
                <w:sz w:val="20"/>
                <w:szCs w:val="20"/>
              </w:rPr>
            </w:pPr>
            <w:r w:rsidRPr="00244BEE">
              <w:rPr>
                <w:rFonts w:ascii="Arial" w:hAnsi="Arial" w:cs="Arial"/>
                <w:bCs/>
                <w:color w:val="000000" w:themeColor="text1"/>
                <w:sz w:val="20"/>
                <w:szCs w:val="20"/>
              </w:rPr>
              <w:t xml:space="preserve">Continuance Commitment </w:t>
            </w:r>
          </w:p>
        </w:tc>
        <w:tc>
          <w:tcPr>
            <w:tcW w:w="803" w:type="pct"/>
            <w:vAlign w:val="center"/>
          </w:tcPr>
          <w:p w14:paraId="12127989"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CC1</w:t>
            </w:r>
          </w:p>
        </w:tc>
        <w:tc>
          <w:tcPr>
            <w:tcW w:w="656" w:type="pct"/>
            <w:vAlign w:val="center"/>
          </w:tcPr>
          <w:p w14:paraId="69CD48BF"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0.710</w:t>
            </w:r>
          </w:p>
        </w:tc>
        <w:tc>
          <w:tcPr>
            <w:tcW w:w="1154" w:type="pct"/>
            <w:vMerge w:val="restart"/>
            <w:tcMar>
              <w:top w:w="0" w:type="dxa"/>
              <w:left w:w="120" w:type="dxa"/>
              <w:bottom w:w="0" w:type="dxa"/>
              <w:right w:w="120" w:type="dxa"/>
            </w:tcMar>
            <w:vAlign w:val="center"/>
          </w:tcPr>
          <w:p w14:paraId="036CA846"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0.710</w:t>
            </w:r>
          </w:p>
        </w:tc>
        <w:tc>
          <w:tcPr>
            <w:tcW w:w="839" w:type="pct"/>
            <w:vMerge w:val="restart"/>
            <w:tcMar>
              <w:top w:w="0" w:type="dxa"/>
              <w:left w:w="120" w:type="dxa"/>
              <w:bottom w:w="0" w:type="dxa"/>
              <w:right w:w="120" w:type="dxa"/>
            </w:tcMar>
            <w:vAlign w:val="center"/>
          </w:tcPr>
          <w:p w14:paraId="7A803395"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0.785</w:t>
            </w:r>
          </w:p>
        </w:tc>
        <w:tc>
          <w:tcPr>
            <w:tcW w:w="593" w:type="pct"/>
            <w:vMerge w:val="restart"/>
            <w:tcMar>
              <w:top w:w="0" w:type="dxa"/>
              <w:left w:w="120" w:type="dxa"/>
              <w:bottom w:w="0" w:type="dxa"/>
              <w:right w:w="120" w:type="dxa"/>
            </w:tcMar>
            <w:vAlign w:val="center"/>
          </w:tcPr>
          <w:p w14:paraId="2347D723"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0.550</w:t>
            </w:r>
          </w:p>
        </w:tc>
      </w:tr>
      <w:tr w:rsidR="00992815" w:rsidRPr="00244BEE" w14:paraId="2FDC3F05" w14:textId="77777777" w:rsidTr="006E6CE9">
        <w:trPr>
          <w:trHeight w:val="142"/>
        </w:trPr>
        <w:tc>
          <w:tcPr>
            <w:tcW w:w="955" w:type="pct"/>
            <w:vMerge/>
            <w:tcMar>
              <w:top w:w="0" w:type="dxa"/>
              <w:left w:w="120" w:type="dxa"/>
              <w:bottom w:w="0" w:type="dxa"/>
              <w:right w:w="120" w:type="dxa"/>
            </w:tcMar>
            <w:vAlign w:val="center"/>
          </w:tcPr>
          <w:p w14:paraId="4434399B"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2292CACC"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CC2</w:t>
            </w:r>
          </w:p>
        </w:tc>
        <w:tc>
          <w:tcPr>
            <w:tcW w:w="656" w:type="pct"/>
            <w:vAlign w:val="center"/>
          </w:tcPr>
          <w:p w14:paraId="747AC5A1"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0.825</w:t>
            </w:r>
          </w:p>
        </w:tc>
        <w:tc>
          <w:tcPr>
            <w:tcW w:w="1154" w:type="pct"/>
            <w:vMerge/>
            <w:tcMar>
              <w:top w:w="0" w:type="dxa"/>
              <w:left w:w="120" w:type="dxa"/>
              <w:bottom w:w="0" w:type="dxa"/>
              <w:right w:w="120" w:type="dxa"/>
            </w:tcMar>
            <w:vAlign w:val="center"/>
          </w:tcPr>
          <w:p w14:paraId="24FCA34E"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0B11BDE2"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42AE32B6"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18AAA4A0" w14:textId="77777777" w:rsidTr="006E6CE9">
        <w:trPr>
          <w:trHeight w:val="142"/>
        </w:trPr>
        <w:tc>
          <w:tcPr>
            <w:tcW w:w="955" w:type="pct"/>
            <w:vMerge/>
            <w:tcMar>
              <w:top w:w="0" w:type="dxa"/>
              <w:left w:w="120" w:type="dxa"/>
              <w:bottom w:w="0" w:type="dxa"/>
              <w:right w:w="120" w:type="dxa"/>
            </w:tcMar>
            <w:vAlign w:val="center"/>
          </w:tcPr>
          <w:p w14:paraId="2F6A608F"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1F071B34"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CC3</w:t>
            </w:r>
          </w:p>
        </w:tc>
        <w:tc>
          <w:tcPr>
            <w:tcW w:w="656" w:type="pct"/>
            <w:vAlign w:val="center"/>
          </w:tcPr>
          <w:p w14:paraId="6EAB57C7"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0.682</w:t>
            </w:r>
          </w:p>
        </w:tc>
        <w:tc>
          <w:tcPr>
            <w:tcW w:w="1154" w:type="pct"/>
            <w:vMerge/>
            <w:tcMar>
              <w:top w:w="0" w:type="dxa"/>
              <w:left w:w="120" w:type="dxa"/>
              <w:bottom w:w="0" w:type="dxa"/>
              <w:right w:w="120" w:type="dxa"/>
            </w:tcMar>
            <w:vAlign w:val="center"/>
          </w:tcPr>
          <w:p w14:paraId="3E536ED8"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21D0308F"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4AE39A7E"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4FAACF96" w14:textId="77777777" w:rsidTr="006E6CE9">
        <w:trPr>
          <w:trHeight w:val="285"/>
        </w:trPr>
        <w:tc>
          <w:tcPr>
            <w:tcW w:w="955" w:type="pct"/>
            <w:vMerge w:val="restart"/>
            <w:tcMar>
              <w:top w:w="0" w:type="dxa"/>
              <w:left w:w="120" w:type="dxa"/>
              <w:bottom w:w="0" w:type="dxa"/>
              <w:right w:w="120" w:type="dxa"/>
            </w:tcMar>
            <w:vAlign w:val="center"/>
          </w:tcPr>
          <w:p w14:paraId="657A4139" w14:textId="77777777" w:rsidR="00992815" w:rsidRPr="00244BEE" w:rsidRDefault="00992815" w:rsidP="006E6CE9">
            <w:pPr>
              <w:spacing w:after="0" w:line="240" w:lineRule="auto"/>
              <w:rPr>
                <w:rFonts w:ascii="Arial" w:hAnsi="Arial" w:cs="Arial"/>
                <w:bCs/>
                <w:color w:val="000000" w:themeColor="text1"/>
                <w:sz w:val="20"/>
                <w:szCs w:val="20"/>
              </w:rPr>
            </w:pPr>
            <w:r w:rsidRPr="00244BEE">
              <w:rPr>
                <w:rFonts w:ascii="Arial" w:hAnsi="Arial" w:cs="Arial"/>
                <w:bCs/>
                <w:color w:val="000000" w:themeColor="text1"/>
                <w:sz w:val="20"/>
                <w:szCs w:val="20"/>
              </w:rPr>
              <w:t xml:space="preserve">Normative Commitment </w:t>
            </w:r>
          </w:p>
        </w:tc>
        <w:tc>
          <w:tcPr>
            <w:tcW w:w="803" w:type="pct"/>
            <w:vAlign w:val="center"/>
          </w:tcPr>
          <w:p w14:paraId="1E252344"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NC2</w:t>
            </w:r>
          </w:p>
        </w:tc>
        <w:tc>
          <w:tcPr>
            <w:tcW w:w="656" w:type="pct"/>
            <w:vAlign w:val="center"/>
          </w:tcPr>
          <w:p w14:paraId="11C6AF56"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0.774</w:t>
            </w:r>
          </w:p>
        </w:tc>
        <w:tc>
          <w:tcPr>
            <w:tcW w:w="1154" w:type="pct"/>
            <w:vMerge w:val="restart"/>
            <w:tcMar>
              <w:top w:w="0" w:type="dxa"/>
              <w:left w:w="120" w:type="dxa"/>
              <w:bottom w:w="0" w:type="dxa"/>
              <w:right w:w="120" w:type="dxa"/>
            </w:tcMar>
            <w:vAlign w:val="center"/>
          </w:tcPr>
          <w:p w14:paraId="0E414299"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0.736</w:t>
            </w:r>
          </w:p>
        </w:tc>
        <w:tc>
          <w:tcPr>
            <w:tcW w:w="839" w:type="pct"/>
            <w:vMerge w:val="restart"/>
            <w:tcMar>
              <w:top w:w="0" w:type="dxa"/>
              <w:left w:w="120" w:type="dxa"/>
              <w:bottom w:w="0" w:type="dxa"/>
              <w:right w:w="120" w:type="dxa"/>
            </w:tcMar>
            <w:vAlign w:val="center"/>
          </w:tcPr>
          <w:p w14:paraId="78A49E94"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0.848</w:t>
            </w:r>
          </w:p>
        </w:tc>
        <w:tc>
          <w:tcPr>
            <w:tcW w:w="593" w:type="pct"/>
            <w:vMerge w:val="restart"/>
            <w:tcMar>
              <w:top w:w="0" w:type="dxa"/>
              <w:left w:w="120" w:type="dxa"/>
              <w:bottom w:w="0" w:type="dxa"/>
              <w:right w:w="120" w:type="dxa"/>
            </w:tcMar>
            <w:vAlign w:val="center"/>
          </w:tcPr>
          <w:p w14:paraId="5E647A0B"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0.652</w:t>
            </w:r>
          </w:p>
        </w:tc>
      </w:tr>
      <w:tr w:rsidR="00992815" w:rsidRPr="00244BEE" w14:paraId="6D249428" w14:textId="77777777" w:rsidTr="006E6CE9">
        <w:trPr>
          <w:trHeight w:val="142"/>
        </w:trPr>
        <w:tc>
          <w:tcPr>
            <w:tcW w:w="955" w:type="pct"/>
            <w:vMerge/>
            <w:tcMar>
              <w:top w:w="0" w:type="dxa"/>
              <w:left w:w="120" w:type="dxa"/>
              <w:bottom w:w="0" w:type="dxa"/>
              <w:right w:w="120" w:type="dxa"/>
            </w:tcMar>
            <w:vAlign w:val="center"/>
          </w:tcPr>
          <w:p w14:paraId="66EA944B"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047E32D"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NC3</w:t>
            </w:r>
          </w:p>
        </w:tc>
        <w:tc>
          <w:tcPr>
            <w:tcW w:w="656" w:type="pct"/>
            <w:vAlign w:val="center"/>
          </w:tcPr>
          <w:p w14:paraId="70E31EB2"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0.867</w:t>
            </w:r>
          </w:p>
        </w:tc>
        <w:tc>
          <w:tcPr>
            <w:tcW w:w="1154" w:type="pct"/>
            <w:vMerge/>
            <w:tcMar>
              <w:top w:w="0" w:type="dxa"/>
              <w:left w:w="120" w:type="dxa"/>
              <w:bottom w:w="0" w:type="dxa"/>
              <w:right w:w="120" w:type="dxa"/>
            </w:tcMar>
            <w:vAlign w:val="center"/>
          </w:tcPr>
          <w:p w14:paraId="541D7B57"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0A118902"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5DC1C161"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52244C54" w14:textId="77777777" w:rsidTr="006E6CE9">
        <w:trPr>
          <w:trHeight w:val="293"/>
        </w:trPr>
        <w:tc>
          <w:tcPr>
            <w:tcW w:w="955" w:type="pct"/>
            <w:vMerge/>
            <w:tcMar>
              <w:top w:w="0" w:type="dxa"/>
              <w:left w:w="120" w:type="dxa"/>
              <w:bottom w:w="0" w:type="dxa"/>
              <w:right w:w="120" w:type="dxa"/>
            </w:tcMar>
            <w:vAlign w:val="center"/>
          </w:tcPr>
          <w:p w14:paraId="2F54AE48"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EAEBB46"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NC4</w:t>
            </w:r>
          </w:p>
        </w:tc>
        <w:tc>
          <w:tcPr>
            <w:tcW w:w="656" w:type="pct"/>
            <w:vAlign w:val="center"/>
          </w:tcPr>
          <w:p w14:paraId="70535254"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0.777</w:t>
            </w:r>
          </w:p>
        </w:tc>
        <w:tc>
          <w:tcPr>
            <w:tcW w:w="1154" w:type="pct"/>
            <w:vMerge/>
            <w:tcMar>
              <w:top w:w="0" w:type="dxa"/>
              <w:left w:w="120" w:type="dxa"/>
              <w:bottom w:w="0" w:type="dxa"/>
              <w:right w:w="120" w:type="dxa"/>
            </w:tcMar>
            <w:vAlign w:val="center"/>
          </w:tcPr>
          <w:p w14:paraId="478A61EB"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22DB4286"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5093D377"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08CE44A5" w14:textId="77777777" w:rsidTr="006E6CE9">
        <w:trPr>
          <w:trHeight w:val="239"/>
        </w:trPr>
        <w:tc>
          <w:tcPr>
            <w:tcW w:w="955" w:type="pct"/>
            <w:vMerge w:val="restart"/>
            <w:tcMar>
              <w:top w:w="0" w:type="dxa"/>
              <w:left w:w="120" w:type="dxa"/>
              <w:bottom w:w="0" w:type="dxa"/>
              <w:right w:w="120" w:type="dxa"/>
            </w:tcMar>
            <w:vAlign w:val="center"/>
          </w:tcPr>
          <w:p w14:paraId="55911306" w14:textId="77777777" w:rsidR="00992815" w:rsidRPr="00244BEE" w:rsidRDefault="00992815" w:rsidP="006E6CE9">
            <w:pPr>
              <w:spacing w:after="0" w:line="240" w:lineRule="auto"/>
              <w:rPr>
                <w:rFonts w:ascii="Arial" w:hAnsi="Arial" w:cs="Arial"/>
                <w:bCs/>
                <w:color w:val="000000" w:themeColor="text1"/>
                <w:sz w:val="20"/>
                <w:szCs w:val="20"/>
              </w:rPr>
            </w:pPr>
            <w:r w:rsidRPr="00244BEE">
              <w:rPr>
                <w:rFonts w:ascii="Arial" w:hAnsi="Arial" w:cs="Arial"/>
                <w:bCs/>
                <w:color w:val="000000" w:themeColor="text1"/>
                <w:sz w:val="20"/>
                <w:szCs w:val="20"/>
              </w:rPr>
              <w:t xml:space="preserve">Training &amp; Development </w:t>
            </w:r>
          </w:p>
        </w:tc>
        <w:tc>
          <w:tcPr>
            <w:tcW w:w="803" w:type="pct"/>
          </w:tcPr>
          <w:p w14:paraId="3993A539"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T&amp;D1</w:t>
            </w:r>
          </w:p>
        </w:tc>
        <w:tc>
          <w:tcPr>
            <w:tcW w:w="656" w:type="pct"/>
            <w:vAlign w:val="center"/>
          </w:tcPr>
          <w:p w14:paraId="70363F97"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0.820</w:t>
            </w:r>
          </w:p>
        </w:tc>
        <w:tc>
          <w:tcPr>
            <w:tcW w:w="1154" w:type="pct"/>
            <w:vMerge w:val="restart"/>
            <w:tcMar>
              <w:top w:w="0" w:type="dxa"/>
              <w:left w:w="120" w:type="dxa"/>
              <w:bottom w:w="0" w:type="dxa"/>
              <w:right w:w="120" w:type="dxa"/>
            </w:tcMar>
            <w:vAlign w:val="center"/>
          </w:tcPr>
          <w:p w14:paraId="6C32736C"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0.817</w:t>
            </w:r>
          </w:p>
        </w:tc>
        <w:tc>
          <w:tcPr>
            <w:tcW w:w="839" w:type="pct"/>
            <w:vMerge w:val="restart"/>
            <w:tcMar>
              <w:top w:w="0" w:type="dxa"/>
              <w:left w:w="120" w:type="dxa"/>
              <w:bottom w:w="0" w:type="dxa"/>
              <w:right w:w="120" w:type="dxa"/>
            </w:tcMar>
            <w:vAlign w:val="center"/>
          </w:tcPr>
          <w:p w14:paraId="6682E1E8"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0.878</w:t>
            </w:r>
          </w:p>
        </w:tc>
        <w:tc>
          <w:tcPr>
            <w:tcW w:w="593" w:type="pct"/>
            <w:vMerge w:val="restart"/>
            <w:tcMar>
              <w:top w:w="0" w:type="dxa"/>
              <w:left w:w="120" w:type="dxa"/>
              <w:bottom w:w="0" w:type="dxa"/>
              <w:right w:w="120" w:type="dxa"/>
            </w:tcMar>
            <w:vAlign w:val="center"/>
          </w:tcPr>
          <w:p w14:paraId="46215BDF"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hAnsi="Arial" w:cs="Arial"/>
                <w:color w:val="000000" w:themeColor="text1"/>
                <w:sz w:val="20"/>
                <w:szCs w:val="20"/>
              </w:rPr>
              <w:t>0.644</w:t>
            </w:r>
          </w:p>
        </w:tc>
      </w:tr>
      <w:tr w:rsidR="00992815" w:rsidRPr="00244BEE" w14:paraId="01E4CEF1" w14:textId="77777777" w:rsidTr="006E6CE9">
        <w:trPr>
          <w:trHeight w:val="281"/>
        </w:trPr>
        <w:tc>
          <w:tcPr>
            <w:tcW w:w="955" w:type="pct"/>
            <w:vMerge/>
            <w:tcMar>
              <w:top w:w="0" w:type="dxa"/>
              <w:left w:w="120" w:type="dxa"/>
              <w:bottom w:w="0" w:type="dxa"/>
              <w:right w:w="120" w:type="dxa"/>
            </w:tcMar>
            <w:vAlign w:val="center"/>
          </w:tcPr>
          <w:p w14:paraId="6C2C1E1E"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738C5D3B"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T&amp;D2</w:t>
            </w:r>
          </w:p>
        </w:tc>
        <w:tc>
          <w:tcPr>
            <w:tcW w:w="656" w:type="pct"/>
            <w:vAlign w:val="center"/>
          </w:tcPr>
          <w:p w14:paraId="6AE195B2"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0.835</w:t>
            </w:r>
          </w:p>
        </w:tc>
        <w:tc>
          <w:tcPr>
            <w:tcW w:w="1154" w:type="pct"/>
            <w:vMerge/>
            <w:tcMar>
              <w:top w:w="0" w:type="dxa"/>
              <w:left w:w="120" w:type="dxa"/>
              <w:bottom w:w="0" w:type="dxa"/>
              <w:right w:w="120" w:type="dxa"/>
            </w:tcMar>
            <w:vAlign w:val="center"/>
          </w:tcPr>
          <w:p w14:paraId="6B38B1D7"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790B7FC3"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49314304"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65501212" w14:textId="77777777" w:rsidTr="006E6CE9">
        <w:trPr>
          <w:trHeight w:val="275"/>
        </w:trPr>
        <w:tc>
          <w:tcPr>
            <w:tcW w:w="955" w:type="pct"/>
            <w:vMerge/>
            <w:tcMar>
              <w:top w:w="0" w:type="dxa"/>
              <w:left w:w="120" w:type="dxa"/>
              <w:bottom w:w="0" w:type="dxa"/>
              <w:right w:w="120" w:type="dxa"/>
            </w:tcMar>
            <w:vAlign w:val="center"/>
          </w:tcPr>
          <w:p w14:paraId="41E3A8E6"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5D365FC"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T&amp;D3</w:t>
            </w:r>
          </w:p>
        </w:tc>
        <w:tc>
          <w:tcPr>
            <w:tcW w:w="656" w:type="pct"/>
            <w:vAlign w:val="center"/>
          </w:tcPr>
          <w:p w14:paraId="29FC4AA4"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0.815</w:t>
            </w:r>
          </w:p>
        </w:tc>
        <w:tc>
          <w:tcPr>
            <w:tcW w:w="1154" w:type="pct"/>
            <w:vMerge/>
            <w:tcMar>
              <w:top w:w="0" w:type="dxa"/>
              <w:left w:w="120" w:type="dxa"/>
              <w:bottom w:w="0" w:type="dxa"/>
              <w:right w:w="120" w:type="dxa"/>
            </w:tcMar>
            <w:vAlign w:val="center"/>
          </w:tcPr>
          <w:p w14:paraId="4EC8441A"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73E98111"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60097165" w14:textId="77777777" w:rsidR="00992815" w:rsidRPr="00244BEE" w:rsidRDefault="00992815" w:rsidP="006E6CE9">
            <w:pPr>
              <w:spacing w:after="0" w:line="240" w:lineRule="auto"/>
              <w:jc w:val="center"/>
              <w:rPr>
                <w:rFonts w:ascii="Arial" w:hAnsi="Arial" w:cs="Arial"/>
                <w:color w:val="000000" w:themeColor="text1"/>
                <w:sz w:val="20"/>
                <w:szCs w:val="20"/>
              </w:rPr>
            </w:pPr>
          </w:p>
        </w:tc>
      </w:tr>
      <w:tr w:rsidR="00992815" w:rsidRPr="00244BEE" w14:paraId="556CEECB" w14:textId="77777777" w:rsidTr="006E6CE9">
        <w:trPr>
          <w:trHeight w:val="221"/>
        </w:trPr>
        <w:tc>
          <w:tcPr>
            <w:tcW w:w="955" w:type="pct"/>
            <w:vMerge/>
            <w:tcMar>
              <w:top w:w="0" w:type="dxa"/>
              <w:left w:w="120" w:type="dxa"/>
              <w:bottom w:w="0" w:type="dxa"/>
              <w:right w:w="120" w:type="dxa"/>
            </w:tcMar>
            <w:vAlign w:val="center"/>
          </w:tcPr>
          <w:p w14:paraId="4BD22956" w14:textId="77777777" w:rsidR="00992815" w:rsidRPr="00244BEE" w:rsidRDefault="00992815" w:rsidP="006E6CE9">
            <w:pPr>
              <w:spacing w:after="0" w:line="240" w:lineRule="auto"/>
              <w:rPr>
                <w:rFonts w:ascii="Arial" w:hAnsi="Arial" w:cs="Arial"/>
                <w:bCs/>
                <w:color w:val="000000" w:themeColor="text1"/>
                <w:sz w:val="20"/>
                <w:szCs w:val="20"/>
              </w:rPr>
            </w:pPr>
          </w:p>
        </w:tc>
        <w:tc>
          <w:tcPr>
            <w:tcW w:w="803" w:type="pct"/>
            <w:vAlign w:val="center"/>
          </w:tcPr>
          <w:p w14:paraId="58889831"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bCs/>
                <w:color w:val="000000" w:themeColor="text1"/>
                <w:sz w:val="20"/>
                <w:szCs w:val="20"/>
              </w:rPr>
              <w:t>T&amp;D4</w:t>
            </w:r>
          </w:p>
        </w:tc>
        <w:tc>
          <w:tcPr>
            <w:tcW w:w="656" w:type="pct"/>
            <w:vAlign w:val="center"/>
          </w:tcPr>
          <w:p w14:paraId="0B436260" w14:textId="77777777" w:rsidR="00992815" w:rsidRPr="00244BEE" w:rsidRDefault="00992815" w:rsidP="006E6CE9">
            <w:pPr>
              <w:spacing w:after="0" w:line="240" w:lineRule="auto"/>
              <w:jc w:val="center"/>
              <w:rPr>
                <w:rFonts w:ascii="Arial" w:hAnsi="Arial" w:cs="Arial"/>
                <w:color w:val="000000" w:themeColor="text1"/>
                <w:sz w:val="20"/>
                <w:szCs w:val="20"/>
              </w:rPr>
            </w:pPr>
            <w:r w:rsidRPr="00244BEE">
              <w:rPr>
                <w:rFonts w:ascii="Arial" w:eastAsia="Arial" w:hAnsi="Arial" w:cs="Arial"/>
                <w:color w:val="000000" w:themeColor="text1"/>
                <w:sz w:val="20"/>
                <w:szCs w:val="20"/>
              </w:rPr>
              <w:t>0.737</w:t>
            </w:r>
          </w:p>
        </w:tc>
        <w:tc>
          <w:tcPr>
            <w:tcW w:w="1154" w:type="pct"/>
            <w:vMerge/>
            <w:tcMar>
              <w:top w:w="0" w:type="dxa"/>
              <w:left w:w="120" w:type="dxa"/>
              <w:bottom w:w="0" w:type="dxa"/>
              <w:right w:w="120" w:type="dxa"/>
            </w:tcMar>
            <w:vAlign w:val="center"/>
          </w:tcPr>
          <w:p w14:paraId="3321B6CC"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839" w:type="pct"/>
            <w:vMerge/>
            <w:tcMar>
              <w:top w:w="0" w:type="dxa"/>
              <w:left w:w="120" w:type="dxa"/>
              <w:bottom w:w="0" w:type="dxa"/>
              <w:right w:w="120" w:type="dxa"/>
            </w:tcMar>
            <w:vAlign w:val="center"/>
          </w:tcPr>
          <w:p w14:paraId="2F6E733F" w14:textId="77777777" w:rsidR="00992815" w:rsidRPr="00244BEE" w:rsidRDefault="00992815" w:rsidP="006E6CE9">
            <w:pPr>
              <w:spacing w:after="0" w:line="240" w:lineRule="auto"/>
              <w:jc w:val="center"/>
              <w:rPr>
                <w:rFonts w:ascii="Arial" w:hAnsi="Arial" w:cs="Arial"/>
                <w:color w:val="000000" w:themeColor="text1"/>
                <w:sz w:val="20"/>
                <w:szCs w:val="20"/>
              </w:rPr>
            </w:pPr>
          </w:p>
        </w:tc>
        <w:tc>
          <w:tcPr>
            <w:tcW w:w="593" w:type="pct"/>
            <w:vMerge/>
            <w:tcMar>
              <w:top w:w="0" w:type="dxa"/>
              <w:left w:w="120" w:type="dxa"/>
              <w:bottom w:w="0" w:type="dxa"/>
              <w:right w:w="120" w:type="dxa"/>
            </w:tcMar>
            <w:vAlign w:val="center"/>
          </w:tcPr>
          <w:p w14:paraId="3B480823" w14:textId="77777777" w:rsidR="00992815" w:rsidRPr="00244BEE" w:rsidRDefault="00992815" w:rsidP="006E6CE9">
            <w:pPr>
              <w:spacing w:after="0" w:line="240" w:lineRule="auto"/>
              <w:jc w:val="center"/>
              <w:rPr>
                <w:rFonts w:ascii="Arial" w:hAnsi="Arial" w:cs="Arial"/>
                <w:color w:val="000000" w:themeColor="text1"/>
                <w:sz w:val="20"/>
                <w:szCs w:val="20"/>
              </w:rPr>
            </w:pPr>
          </w:p>
        </w:tc>
      </w:tr>
    </w:tbl>
    <w:p w14:paraId="4F11D7E8" w14:textId="77777777" w:rsidR="00992815" w:rsidRPr="00244BEE" w:rsidRDefault="00992815" w:rsidP="00992815">
      <w:pPr>
        <w:pStyle w:val="BodyText"/>
        <w:spacing w:before="26"/>
        <w:ind w:right="20"/>
        <w:jc w:val="both"/>
        <w:rPr>
          <w:rFonts w:ascii="Arial" w:hAnsi="Arial" w:cs="Arial"/>
          <w:color w:val="000000" w:themeColor="text1"/>
          <w:spacing w:val="-6"/>
        </w:rPr>
      </w:pPr>
    </w:p>
    <w:p w14:paraId="7A94CA47" w14:textId="77777777" w:rsidR="00992815" w:rsidRPr="00244BEE" w:rsidRDefault="00992815" w:rsidP="00992815">
      <w:pPr>
        <w:pStyle w:val="BodyText"/>
        <w:spacing w:before="26"/>
        <w:ind w:left="23" w:right="20"/>
        <w:jc w:val="both"/>
        <w:rPr>
          <w:rFonts w:ascii="Arial" w:hAnsi="Arial" w:cs="Arial"/>
          <w:b/>
          <w:color w:val="000000" w:themeColor="text1"/>
          <w:spacing w:val="-6"/>
          <w:sz w:val="22"/>
          <w:szCs w:val="22"/>
        </w:rPr>
      </w:pPr>
      <w:r w:rsidRPr="00244BEE">
        <w:rPr>
          <w:rFonts w:ascii="Arial" w:hAnsi="Arial" w:cs="Arial"/>
          <w:b/>
          <w:color w:val="000000" w:themeColor="text1"/>
          <w:spacing w:val="-6"/>
          <w:sz w:val="22"/>
          <w:szCs w:val="22"/>
        </w:rPr>
        <w:t>4.3 Discriminant Validity of Constructs</w:t>
      </w:r>
    </w:p>
    <w:p w14:paraId="3920EE52" w14:textId="77777777" w:rsidR="00992815" w:rsidRPr="00244BEE" w:rsidRDefault="00992815" w:rsidP="00992815">
      <w:pPr>
        <w:pStyle w:val="BodyText"/>
        <w:spacing w:before="26"/>
        <w:ind w:left="23" w:right="20"/>
        <w:jc w:val="both"/>
        <w:rPr>
          <w:rFonts w:ascii="Arial" w:hAnsi="Arial" w:cs="Arial"/>
          <w:b/>
          <w:color w:val="000000" w:themeColor="text1"/>
          <w:spacing w:val="-6"/>
          <w:sz w:val="22"/>
          <w:szCs w:val="22"/>
        </w:rPr>
      </w:pPr>
    </w:p>
    <w:p w14:paraId="3F638240" w14:textId="77777777" w:rsidR="00992815" w:rsidRPr="00244BEE" w:rsidRDefault="00992815" w:rsidP="00992815">
      <w:pPr>
        <w:pStyle w:val="BodyText"/>
        <w:spacing w:before="26"/>
        <w:ind w:right="20"/>
        <w:jc w:val="both"/>
        <w:rPr>
          <w:rFonts w:ascii="Arial" w:hAnsi="Arial" w:cs="Arial"/>
          <w:color w:val="000000" w:themeColor="text1"/>
        </w:rPr>
      </w:pPr>
      <w:r w:rsidRPr="00244BEE">
        <w:rPr>
          <w:rFonts w:ascii="Arial" w:hAnsi="Arial" w:cs="Arial"/>
          <w:color w:val="000000" w:themeColor="text1"/>
          <w:spacing w:val="-6"/>
        </w:rPr>
        <w:t xml:space="preserve">By following the suggestions from </w:t>
      </w:r>
      <w:r w:rsidRPr="00244BEE">
        <w:rPr>
          <w:rFonts w:ascii="Arial" w:hAnsi="Arial" w:cs="Arial"/>
          <w:color w:val="000000" w:themeColor="text1"/>
        </w:rPr>
        <w:t>Cheung</w:t>
      </w:r>
      <w:r w:rsidRPr="00244BEE">
        <w:rPr>
          <w:rFonts w:ascii="Arial" w:hAnsi="Arial" w:cs="Arial"/>
          <w:color w:val="000000" w:themeColor="text1"/>
          <w:spacing w:val="40"/>
        </w:rPr>
        <w:t xml:space="preserve"> </w:t>
      </w:r>
      <w:r w:rsidRPr="00244BEE">
        <w:rPr>
          <w:rFonts w:ascii="Arial" w:hAnsi="Arial" w:cs="Arial"/>
          <w:color w:val="000000" w:themeColor="text1"/>
        </w:rPr>
        <w:t>&amp;</w:t>
      </w:r>
      <w:r w:rsidRPr="00244BEE">
        <w:rPr>
          <w:rFonts w:ascii="Arial" w:hAnsi="Arial" w:cs="Arial"/>
          <w:color w:val="000000" w:themeColor="text1"/>
          <w:spacing w:val="40"/>
        </w:rPr>
        <w:t xml:space="preserve"> </w:t>
      </w:r>
      <w:r w:rsidRPr="00244BEE">
        <w:rPr>
          <w:rFonts w:ascii="Arial" w:hAnsi="Arial" w:cs="Arial"/>
          <w:color w:val="000000" w:themeColor="text1"/>
        </w:rPr>
        <w:t>Lee</w:t>
      </w:r>
      <w:r w:rsidRPr="00244BEE">
        <w:rPr>
          <w:rFonts w:ascii="Arial" w:hAnsi="Arial" w:cs="Arial"/>
          <w:color w:val="000000" w:themeColor="text1"/>
          <w:spacing w:val="40"/>
        </w:rPr>
        <w:t xml:space="preserve"> (</w:t>
      </w:r>
      <w:r w:rsidRPr="00244BEE">
        <w:rPr>
          <w:rFonts w:ascii="Arial" w:hAnsi="Arial" w:cs="Arial"/>
          <w:color w:val="000000" w:themeColor="text1"/>
        </w:rPr>
        <w:t xml:space="preserve">2010) a model has </w:t>
      </w:r>
      <w:r w:rsidRPr="00244BEE">
        <w:rPr>
          <w:rFonts w:ascii="Arial" w:hAnsi="Arial" w:cs="Arial"/>
          <w:color w:val="000000" w:themeColor="text1"/>
          <w:spacing w:val="-6"/>
        </w:rPr>
        <w:t xml:space="preserve">discriminant validity if there is </w:t>
      </w:r>
      <w:r w:rsidRPr="00244BEE">
        <w:rPr>
          <w:rFonts w:ascii="Arial" w:hAnsi="Arial" w:cs="Arial"/>
          <w:color w:val="000000" w:themeColor="text1"/>
        </w:rPr>
        <w:t>low correlation between the measure</w:t>
      </w:r>
      <w:r w:rsidRPr="00244BEE">
        <w:rPr>
          <w:rFonts w:ascii="Arial" w:hAnsi="Arial" w:cs="Arial"/>
          <w:color w:val="000000" w:themeColor="text1"/>
          <w:spacing w:val="-9"/>
        </w:rPr>
        <w:t xml:space="preserve"> </w:t>
      </w:r>
      <w:r w:rsidRPr="00244BEE">
        <w:rPr>
          <w:rFonts w:ascii="Arial" w:hAnsi="Arial" w:cs="Arial"/>
          <w:color w:val="000000" w:themeColor="text1"/>
        </w:rPr>
        <w:t>of</w:t>
      </w:r>
      <w:r w:rsidRPr="00244BEE">
        <w:rPr>
          <w:rFonts w:ascii="Arial" w:hAnsi="Arial" w:cs="Arial"/>
          <w:color w:val="000000" w:themeColor="text1"/>
          <w:spacing w:val="-9"/>
        </w:rPr>
        <w:t xml:space="preserve"> </w:t>
      </w:r>
      <w:r w:rsidRPr="00244BEE">
        <w:rPr>
          <w:rFonts w:ascii="Arial" w:hAnsi="Arial" w:cs="Arial"/>
          <w:color w:val="000000" w:themeColor="text1"/>
        </w:rPr>
        <w:t>interest</w:t>
      </w:r>
      <w:r w:rsidRPr="00244BEE">
        <w:rPr>
          <w:rFonts w:ascii="Arial" w:hAnsi="Arial" w:cs="Arial"/>
          <w:color w:val="000000" w:themeColor="text1"/>
          <w:spacing w:val="-9"/>
        </w:rPr>
        <w:t xml:space="preserve"> </w:t>
      </w:r>
      <w:r w:rsidRPr="00244BEE">
        <w:rPr>
          <w:rFonts w:ascii="Arial" w:hAnsi="Arial" w:cs="Arial"/>
          <w:color w:val="000000" w:themeColor="text1"/>
        </w:rPr>
        <w:t>and</w:t>
      </w:r>
      <w:r w:rsidRPr="00244BEE">
        <w:rPr>
          <w:rFonts w:ascii="Arial" w:hAnsi="Arial" w:cs="Arial"/>
          <w:color w:val="000000" w:themeColor="text1"/>
          <w:spacing w:val="-9"/>
        </w:rPr>
        <w:t xml:space="preserve"> </w:t>
      </w:r>
      <w:r w:rsidRPr="00244BEE">
        <w:rPr>
          <w:rFonts w:ascii="Arial" w:hAnsi="Arial" w:cs="Arial"/>
          <w:color w:val="000000" w:themeColor="text1"/>
        </w:rPr>
        <w:t>the</w:t>
      </w:r>
      <w:r w:rsidRPr="00244BEE">
        <w:rPr>
          <w:rFonts w:ascii="Arial" w:hAnsi="Arial" w:cs="Arial"/>
          <w:color w:val="000000" w:themeColor="text1"/>
          <w:spacing w:val="-9"/>
        </w:rPr>
        <w:t xml:space="preserve"> </w:t>
      </w:r>
      <w:r w:rsidRPr="00244BEE">
        <w:rPr>
          <w:rFonts w:ascii="Arial" w:hAnsi="Arial" w:cs="Arial"/>
          <w:color w:val="000000" w:themeColor="text1"/>
        </w:rPr>
        <w:t>measures of</w:t>
      </w:r>
      <w:r w:rsidRPr="00244BEE">
        <w:rPr>
          <w:rFonts w:ascii="Arial" w:hAnsi="Arial" w:cs="Arial"/>
          <w:color w:val="000000" w:themeColor="text1"/>
          <w:spacing w:val="40"/>
        </w:rPr>
        <w:t xml:space="preserve"> </w:t>
      </w:r>
      <w:r w:rsidRPr="00244BEE">
        <w:rPr>
          <w:rFonts w:ascii="Arial" w:hAnsi="Arial" w:cs="Arial"/>
          <w:color w:val="000000" w:themeColor="text1"/>
        </w:rPr>
        <w:t>other</w:t>
      </w:r>
      <w:r w:rsidRPr="00244BEE">
        <w:rPr>
          <w:rFonts w:ascii="Arial" w:hAnsi="Arial" w:cs="Arial"/>
          <w:color w:val="000000" w:themeColor="text1"/>
          <w:spacing w:val="40"/>
        </w:rPr>
        <w:t xml:space="preserve"> </w:t>
      </w:r>
      <w:r w:rsidRPr="00244BEE">
        <w:rPr>
          <w:rFonts w:ascii="Arial" w:hAnsi="Arial" w:cs="Arial"/>
          <w:color w:val="000000" w:themeColor="text1"/>
        </w:rPr>
        <w:t>constructs</w:t>
      </w:r>
      <w:r w:rsidRPr="00244BEE">
        <w:rPr>
          <w:rFonts w:ascii="Arial" w:hAnsi="Arial" w:cs="Arial"/>
          <w:color w:val="000000" w:themeColor="text1"/>
          <w:spacing w:val="40"/>
        </w:rPr>
        <w:t xml:space="preserve">. </w:t>
      </w:r>
      <w:r w:rsidRPr="00244BEE">
        <w:rPr>
          <w:rFonts w:ascii="Arial" w:hAnsi="Arial" w:cs="Arial"/>
          <w:color w:val="000000" w:themeColor="text1"/>
        </w:rPr>
        <w:t xml:space="preserve">Diagonal values for each variable are high in each column and row which represents satisfactory values for both convergent and discriminant validity. As per the criterion of </w:t>
      </w:r>
      <w:proofErr w:type="spellStart"/>
      <w:r w:rsidRPr="00244BEE">
        <w:rPr>
          <w:rFonts w:ascii="Arial" w:hAnsi="Arial" w:cs="Arial"/>
          <w:color w:val="000000" w:themeColor="text1"/>
        </w:rPr>
        <w:t>Fornell</w:t>
      </w:r>
      <w:proofErr w:type="spellEnd"/>
      <w:r w:rsidRPr="00244BEE">
        <w:rPr>
          <w:rFonts w:ascii="Arial" w:hAnsi="Arial" w:cs="Arial"/>
          <w:color w:val="000000" w:themeColor="text1"/>
        </w:rPr>
        <w:t xml:space="preserve"> and </w:t>
      </w:r>
      <w:proofErr w:type="spellStart"/>
      <w:r w:rsidRPr="00244BEE">
        <w:rPr>
          <w:rFonts w:ascii="Arial" w:hAnsi="Arial" w:cs="Arial"/>
          <w:color w:val="000000" w:themeColor="text1"/>
        </w:rPr>
        <w:t>Larcker</w:t>
      </w:r>
      <w:proofErr w:type="spellEnd"/>
      <w:r w:rsidRPr="00244BEE">
        <w:rPr>
          <w:rFonts w:ascii="Arial" w:hAnsi="Arial" w:cs="Arial"/>
          <w:color w:val="000000" w:themeColor="text1"/>
        </w:rPr>
        <w:t xml:space="preserve"> (1981), it is confirmed that the square root of the AVE for the independent and dependent variables exceeded its correlations with other variables in the model. </w:t>
      </w:r>
    </w:p>
    <w:p w14:paraId="6788AF82" w14:textId="77777777" w:rsidR="00992815" w:rsidRPr="00244BEE" w:rsidRDefault="00992815" w:rsidP="00992815">
      <w:pPr>
        <w:pStyle w:val="BodyText"/>
        <w:spacing w:before="26"/>
        <w:ind w:right="20"/>
        <w:jc w:val="both"/>
        <w:rPr>
          <w:rFonts w:ascii="Arial" w:hAnsi="Arial" w:cs="Arial"/>
          <w:color w:val="000000" w:themeColor="text1"/>
        </w:rPr>
      </w:pPr>
    </w:p>
    <w:p w14:paraId="01C1FB67" w14:textId="77777777" w:rsidR="00992815" w:rsidRPr="00895485" w:rsidRDefault="00992815" w:rsidP="00992815">
      <w:pPr>
        <w:pStyle w:val="BodyText"/>
        <w:spacing w:before="26"/>
        <w:ind w:left="23" w:right="20"/>
        <w:jc w:val="both"/>
        <w:rPr>
          <w:rFonts w:ascii="Arial" w:hAnsi="Arial" w:cs="Arial"/>
          <w:b/>
          <w:color w:val="000000" w:themeColor="text1"/>
          <w:spacing w:val="36"/>
        </w:rPr>
      </w:pPr>
      <w:r w:rsidRPr="00895485">
        <w:rPr>
          <w:rFonts w:ascii="Arial" w:hAnsi="Arial" w:cs="Arial"/>
          <w:b/>
          <w:color w:val="000000" w:themeColor="text1"/>
        </w:rPr>
        <w:t>Table 4:</w:t>
      </w:r>
      <w:r w:rsidRPr="00895485">
        <w:rPr>
          <w:rFonts w:ascii="Arial" w:hAnsi="Arial" w:cs="Arial"/>
          <w:b/>
          <w:color w:val="000000" w:themeColor="text1"/>
          <w:spacing w:val="-6"/>
        </w:rPr>
        <w:t xml:space="preserve"> Discriminant Validity of Constructs (</w:t>
      </w:r>
      <w:proofErr w:type="spellStart"/>
      <w:r w:rsidRPr="00895485">
        <w:rPr>
          <w:rFonts w:ascii="Arial" w:hAnsi="Arial" w:cs="Arial"/>
          <w:b/>
          <w:color w:val="000000" w:themeColor="text1"/>
        </w:rPr>
        <w:t>Fornell</w:t>
      </w:r>
      <w:proofErr w:type="spellEnd"/>
      <w:r w:rsidRPr="00895485">
        <w:rPr>
          <w:rFonts w:ascii="Arial" w:hAnsi="Arial" w:cs="Arial"/>
          <w:b/>
          <w:color w:val="000000" w:themeColor="text1"/>
        </w:rPr>
        <w:t xml:space="preserve"> and </w:t>
      </w:r>
      <w:proofErr w:type="spellStart"/>
      <w:r w:rsidRPr="00895485">
        <w:rPr>
          <w:rFonts w:ascii="Arial" w:hAnsi="Arial" w:cs="Arial"/>
          <w:b/>
          <w:color w:val="000000" w:themeColor="text1"/>
        </w:rPr>
        <w:t>Larcker</w:t>
      </w:r>
      <w:proofErr w:type="spellEnd"/>
      <w:r w:rsidRPr="00895485">
        <w:rPr>
          <w:rFonts w:ascii="Arial" w:hAnsi="Arial" w:cs="Arial"/>
          <w:b/>
          <w:color w:val="000000" w:themeColor="text1"/>
        </w:rPr>
        <w:t>)</w:t>
      </w:r>
    </w:p>
    <w:tbl>
      <w:tblPr>
        <w:tblW w:w="4828"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19"/>
        <w:gridCol w:w="1968"/>
        <w:gridCol w:w="1968"/>
        <w:gridCol w:w="1968"/>
        <w:gridCol w:w="1847"/>
      </w:tblGrid>
      <w:tr w:rsidR="00992815" w:rsidRPr="00244BEE" w14:paraId="7515D029" w14:textId="77777777" w:rsidTr="006E6CE9">
        <w:tc>
          <w:tcPr>
            <w:tcW w:w="820" w:type="pct"/>
            <w:tcBorders>
              <w:top w:val="single" w:sz="4" w:space="0" w:color="auto"/>
              <w:bottom w:val="single" w:sz="4" w:space="0" w:color="auto"/>
            </w:tcBorders>
            <w:tcMar>
              <w:top w:w="0" w:type="dxa"/>
              <w:left w:w="120" w:type="dxa"/>
              <w:bottom w:w="0" w:type="dxa"/>
              <w:right w:w="120" w:type="dxa"/>
            </w:tcMar>
            <w:vAlign w:val="center"/>
            <w:hideMark/>
          </w:tcPr>
          <w:p w14:paraId="09D6447C" w14:textId="77777777" w:rsidR="00992815" w:rsidRPr="00244BEE" w:rsidRDefault="00992815" w:rsidP="006E6CE9">
            <w:pPr>
              <w:spacing w:line="240" w:lineRule="auto"/>
              <w:rPr>
                <w:rFonts w:ascii="Arial" w:eastAsia="Arial" w:hAnsi="Arial" w:cs="Arial"/>
                <w:color w:val="000000" w:themeColor="text1"/>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C0E0703"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12FF73D"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682CC523"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NC </w:t>
            </w:r>
          </w:p>
        </w:tc>
        <w:tc>
          <w:tcPr>
            <w:tcW w:w="996" w:type="pct"/>
            <w:tcBorders>
              <w:top w:val="single" w:sz="4" w:space="0" w:color="auto"/>
              <w:bottom w:val="single" w:sz="4" w:space="0" w:color="auto"/>
            </w:tcBorders>
            <w:tcMar>
              <w:top w:w="0" w:type="dxa"/>
              <w:left w:w="120" w:type="dxa"/>
              <w:bottom w:w="0" w:type="dxa"/>
              <w:right w:w="120" w:type="dxa"/>
            </w:tcMar>
            <w:vAlign w:val="center"/>
            <w:hideMark/>
          </w:tcPr>
          <w:p w14:paraId="1893B1B9"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T&amp;D </w:t>
            </w:r>
          </w:p>
        </w:tc>
      </w:tr>
      <w:tr w:rsidR="00992815" w:rsidRPr="00244BEE" w14:paraId="6A0C88AC" w14:textId="77777777" w:rsidTr="006E6CE9">
        <w:tc>
          <w:tcPr>
            <w:tcW w:w="820" w:type="pct"/>
            <w:tcBorders>
              <w:top w:val="single" w:sz="4" w:space="0" w:color="auto"/>
            </w:tcBorders>
            <w:tcMar>
              <w:top w:w="0" w:type="dxa"/>
              <w:left w:w="120" w:type="dxa"/>
              <w:bottom w:w="0" w:type="dxa"/>
              <w:right w:w="120" w:type="dxa"/>
            </w:tcMar>
            <w:vAlign w:val="center"/>
            <w:hideMark/>
          </w:tcPr>
          <w:p w14:paraId="60DF9972"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AC </w:t>
            </w:r>
          </w:p>
        </w:tc>
        <w:tc>
          <w:tcPr>
            <w:tcW w:w="0" w:type="auto"/>
            <w:tcBorders>
              <w:top w:val="single" w:sz="4" w:space="0" w:color="auto"/>
            </w:tcBorders>
            <w:tcMar>
              <w:top w:w="0" w:type="dxa"/>
              <w:left w:w="120" w:type="dxa"/>
              <w:bottom w:w="0" w:type="dxa"/>
              <w:right w:w="120" w:type="dxa"/>
            </w:tcMar>
            <w:vAlign w:val="center"/>
            <w:hideMark/>
          </w:tcPr>
          <w:p w14:paraId="7D0EA179"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0.783 </w:t>
            </w:r>
          </w:p>
        </w:tc>
        <w:tc>
          <w:tcPr>
            <w:tcW w:w="0" w:type="auto"/>
            <w:tcBorders>
              <w:top w:val="single" w:sz="4" w:space="0" w:color="auto"/>
            </w:tcBorders>
            <w:tcMar>
              <w:top w:w="0" w:type="dxa"/>
              <w:left w:w="120" w:type="dxa"/>
              <w:bottom w:w="0" w:type="dxa"/>
              <w:right w:w="120" w:type="dxa"/>
            </w:tcMar>
            <w:vAlign w:val="center"/>
            <w:hideMark/>
          </w:tcPr>
          <w:p w14:paraId="355590D9" w14:textId="77777777" w:rsidR="00992815" w:rsidRPr="00244BEE" w:rsidRDefault="00992815" w:rsidP="006E6CE9">
            <w:pPr>
              <w:spacing w:line="240" w:lineRule="auto"/>
              <w:rPr>
                <w:rFonts w:ascii="Arial" w:eastAsia="Arial" w:hAnsi="Arial" w:cs="Arial"/>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2EA2B245" w14:textId="77777777" w:rsidR="00992815" w:rsidRPr="00244BEE" w:rsidRDefault="00992815" w:rsidP="006E6CE9">
            <w:pPr>
              <w:spacing w:line="240" w:lineRule="auto"/>
              <w:rPr>
                <w:rFonts w:ascii="Arial" w:eastAsia="Arial" w:hAnsi="Arial" w:cs="Arial"/>
                <w:color w:val="000000" w:themeColor="text1"/>
                <w:sz w:val="20"/>
                <w:szCs w:val="20"/>
              </w:rPr>
            </w:pPr>
          </w:p>
        </w:tc>
        <w:tc>
          <w:tcPr>
            <w:tcW w:w="996" w:type="pct"/>
            <w:tcBorders>
              <w:top w:val="single" w:sz="4" w:space="0" w:color="auto"/>
            </w:tcBorders>
            <w:tcMar>
              <w:top w:w="0" w:type="dxa"/>
              <w:left w:w="120" w:type="dxa"/>
              <w:bottom w:w="0" w:type="dxa"/>
              <w:right w:w="120" w:type="dxa"/>
            </w:tcMar>
            <w:vAlign w:val="center"/>
            <w:hideMark/>
          </w:tcPr>
          <w:p w14:paraId="329DC7F3"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283F2519" w14:textId="77777777" w:rsidTr="006E6CE9">
        <w:tc>
          <w:tcPr>
            <w:tcW w:w="820" w:type="pct"/>
            <w:tcMar>
              <w:top w:w="0" w:type="dxa"/>
              <w:left w:w="120" w:type="dxa"/>
              <w:bottom w:w="0" w:type="dxa"/>
              <w:right w:w="120" w:type="dxa"/>
            </w:tcMar>
            <w:vAlign w:val="center"/>
            <w:hideMark/>
          </w:tcPr>
          <w:p w14:paraId="7DE40EB0"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CC </w:t>
            </w:r>
          </w:p>
        </w:tc>
        <w:tc>
          <w:tcPr>
            <w:tcW w:w="0" w:type="auto"/>
            <w:tcMar>
              <w:top w:w="0" w:type="dxa"/>
              <w:left w:w="120" w:type="dxa"/>
              <w:bottom w:w="0" w:type="dxa"/>
              <w:right w:w="120" w:type="dxa"/>
            </w:tcMar>
            <w:vAlign w:val="center"/>
            <w:hideMark/>
          </w:tcPr>
          <w:p w14:paraId="31147ED5"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0.322 </w:t>
            </w:r>
          </w:p>
        </w:tc>
        <w:tc>
          <w:tcPr>
            <w:tcW w:w="0" w:type="auto"/>
            <w:tcMar>
              <w:top w:w="0" w:type="dxa"/>
              <w:left w:w="120" w:type="dxa"/>
              <w:bottom w:w="0" w:type="dxa"/>
              <w:right w:w="120" w:type="dxa"/>
            </w:tcMar>
            <w:vAlign w:val="center"/>
            <w:hideMark/>
          </w:tcPr>
          <w:p w14:paraId="7A5285D2"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0.742 </w:t>
            </w:r>
          </w:p>
        </w:tc>
        <w:tc>
          <w:tcPr>
            <w:tcW w:w="0" w:type="auto"/>
            <w:tcMar>
              <w:top w:w="0" w:type="dxa"/>
              <w:left w:w="120" w:type="dxa"/>
              <w:bottom w:w="0" w:type="dxa"/>
              <w:right w:w="120" w:type="dxa"/>
            </w:tcMar>
            <w:vAlign w:val="center"/>
            <w:hideMark/>
          </w:tcPr>
          <w:p w14:paraId="4AE4BE54" w14:textId="77777777" w:rsidR="00992815" w:rsidRPr="00244BEE" w:rsidRDefault="00992815" w:rsidP="006E6CE9">
            <w:pPr>
              <w:spacing w:line="240" w:lineRule="auto"/>
              <w:rPr>
                <w:rFonts w:ascii="Arial" w:eastAsia="Arial" w:hAnsi="Arial" w:cs="Arial"/>
                <w:color w:val="000000" w:themeColor="text1"/>
                <w:sz w:val="20"/>
                <w:szCs w:val="20"/>
              </w:rPr>
            </w:pPr>
          </w:p>
        </w:tc>
        <w:tc>
          <w:tcPr>
            <w:tcW w:w="996" w:type="pct"/>
            <w:tcMar>
              <w:top w:w="0" w:type="dxa"/>
              <w:left w:w="120" w:type="dxa"/>
              <w:bottom w:w="0" w:type="dxa"/>
              <w:right w:w="120" w:type="dxa"/>
            </w:tcMar>
            <w:vAlign w:val="center"/>
            <w:hideMark/>
          </w:tcPr>
          <w:p w14:paraId="44666BB7"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32AC0CCB" w14:textId="77777777" w:rsidTr="006E6CE9">
        <w:tc>
          <w:tcPr>
            <w:tcW w:w="820" w:type="pct"/>
            <w:tcMar>
              <w:top w:w="0" w:type="dxa"/>
              <w:left w:w="120" w:type="dxa"/>
              <w:bottom w:w="0" w:type="dxa"/>
              <w:right w:w="120" w:type="dxa"/>
            </w:tcMar>
            <w:vAlign w:val="center"/>
            <w:hideMark/>
          </w:tcPr>
          <w:p w14:paraId="197EECDA"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NC </w:t>
            </w:r>
          </w:p>
        </w:tc>
        <w:tc>
          <w:tcPr>
            <w:tcW w:w="0" w:type="auto"/>
            <w:tcMar>
              <w:top w:w="0" w:type="dxa"/>
              <w:left w:w="120" w:type="dxa"/>
              <w:bottom w:w="0" w:type="dxa"/>
              <w:right w:w="120" w:type="dxa"/>
            </w:tcMar>
            <w:vAlign w:val="center"/>
            <w:hideMark/>
          </w:tcPr>
          <w:p w14:paraId="35512696"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0.532 </w:t>
            </w:r>
          </w:p>
        </w:tc>
        <w:tc>
          <w:tcPr>
            <w:tcW w:w="0" w:type="auto"/>
            <w:tcMar>
              <w:top w:w="0" w:type="dxa"/>
              <w:left w:w="120" w:type="dxa"/>
              <w:bottom w:w="0" w:type="dxa"/>
              <w:right w:w="120" w:type="dxa"/>
            </w:tcMar>
            <w:vAlign w:val="center"/>
            <w:hideMark/>
          </w:tcPr>
          <w:p w14:paraId="05421599"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0.520 </w:t>
            </w:r>
          </w:p>
        </w:tc>
        <w:tc>
          <w:tcPr>
            <w:tcW w:w="0" w:type="auto"/>
            <w:tcMar>
              <w:top w:w="0" w:type="dxa"/>
              <w:left w:w="120" w:type="dxa"/>
              <w:bottom w:w="0" w:type="dxa"/>
              <w:right w:w="120" w:type="dxa"/>
            </w:tcMar>
            <w:vAlign w:val="center"/>
            <w:hideMark/>
          </w:tcPr>
          <w:p w14:paraId="53433E89"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0.807 </w:t>
            </w:r>
          </w:p>
        </w:tc>
        <w:tc>
          <w:tcPr>
            <w:tcW w:w="996" w:type="pct"/>
            <w:tcMar>
              <w:top w:w="0" w:type="dxa"/>
              <w:left w:w="120" w:type="dxa"/>
              <w:bottom w:w="0" w:type="dxa"/>
              <w:right w:w="120" w:type="dxa"/>
            </w:tcMar>
            <w:vAlign w:val="center"/>
            <w:hideMark/>
          </w:tcPr>
          <w:p w14:paraId="55C2F133"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5A3CC75C" w14:textId="77777777" w:rsidTr="006E6CE9">
        <w:tc>
          <w:tcPr>
            <w:tcW w:w="820" w:type="pct"/>
            <w:tcMar>
              <w:top w:w="0" w:type="dxa"/>
              <w:left w:w="120" w:type="dxa"/>
              <w:bottom w:w="0" w:type="dxa"/>
              <w:right w:w="120" w:type="dxa"/>
            </w:tcMar>
            <w:vAlign w:val="center"/>
            <w:hideMark/>
          </w:tcPr>
          <w:p w14:paraId="0D73845E"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T&amp;D </w:t>
            </w:r>
          </w:p>
        </w:tc>
        <w:tc>
          <w:tcPr>
            <w:tcW w:w="0" w:type="auto"/>
            <w:tcMar>
              <w:top w:w="0" w:type="dxa"/>
              <w:left w:w="120" w:type="dxa"/>
              <w:bottom w:w="0" w:type="dxa"/>
              <w:right w:w="120" w:type="dxa"/>
            </w:tcMar>
            <w:vAlign w:val="center"/>
            <w:hideMark/>
          </w:tcPr>
          <w:p w14:paraId="23A9BB9A"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0.511 </w:t>
            </w:r>
          </w:p>
        </w:tc>
        <w:tc>
          <w:tcPr>
            <w:tcW w:w="0" w:type="auto"/>
            <w:tcMar>
              <w:top w:w="0" w:type="dxa"/>
              <w:left w:w="120" w:type="dxa"/>
              <w:bottom w:w="0" w:type="dxa"/>
              <w:right w:w="120" w:type="dxa"/>
            </w:tcMar>
            <w:vAlign w:val="center"/>
            <w:hideMark/>
          </w:tcPr>
          <w:p w14:paraId="418ED84A"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0.248 </w:t>
            </w:r>
          </w:p>
        </w:tc>
        <w:tc>
          <w:tcPr>
            <w:tcW w:w="0" w:type="auto"/>
            <w:tcMar>
              <w:top w:w="0" w:type="dxa"/>
              <w:left w:w="120" w:type="dxa"/>
              <w:bottom w:w="0" w:type="dxa"/>
              <w:right w:w="120" w:type="dxa"/>
            </w:tcMar>
            <w:vAlign w:val="center"/>
            <w:hideMark/>
          </w:tcPr>
          <w:p w14:paraId="200C6474"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0.424 </w:t>
            </w:r>
          </w:p>
        </w:tc>
        <w:tc>
          <w:tcPr>
            <w:tcW w:w="996" w:type="pct"/>
            <w:tcMar>
              <w:top w:w="0" w:type="dxa"/>
              <w:left w:w="120" w:type="dxa"/>
              <w:bottom w:w="0" w:type="dxa"/>
              <w:right w:w="120" w:type="dxa"/>
            </w:tcMar>
            <w:vAlign w:val="center"/>
            <w:hideMark/>
          </w:tcPr>
          <w:p w14:paraId="16767A41"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0.803 </w:t>
            </w:r>
          </w:p>
        </w:tc>
      </w:tr>
    </w:tbl>
    <w:p w14:paraId="68B8F3A7" w14:textId="77777777" w:rsidR="00992815" w:rsidRPr="00244BEE" w:rsidRDefault="00992815" w:rsidP="00992815">
      <w:pPr>
        <w:pStyle w:val="BodyText"/>
        <w:spacing w:before="26"/>
        <w:ind w:right="20"/>
        <w:jc w:val="both"/>
        <w:rPr>
          <w:rFonts w:ascii="Arial" w:hAnsi="Arial" w:cs="Arial"/>
          <w:color w:val="000000" w:themeColor="text1"/>
          <w:spacing w:val="-6"/>
        </w:rPr>
      </w:pPr>
    </w:p>
    <w:p w14:paraId="1A6848B4" w14:textId="33410744" w:rsidR="00992815" w:rsidRPr="00244BEE" w:rsidRDefault="00992815" w:rsidP="00992815">
      <w:pPr>
        <w:pStyle w:val="BodyText"/>
        <w:spacing w:before="26"/>
        <w:ind w:left="23" w:right="19"/>
        <w:jc w:val="both"/>
        <w:rPr>
          <w:rFonts w:ascii="Arial" w:hAnsi="Arial" w:cs="Arial"/>
          <w:color w:val="000000" w:themeColor="text1"/>
        </w:rPr>
      </w:pPr>
      <w:r w:rsidRPr="00244BEE">
        <w:rPr>
          <w:rFonts w:ascii="Arial" w:hAnsi="Arial" w:cs="Arial"/>
          <w:color w:val="000000" w:themeColor="text1"/>
        </w:rPr>
        <w:t xml:space="preserve">Next, the values for HTMT are checked for confirming the discriminant validity. According to </w:t>
      </w:r>
      <w:proofErr w:type="spellStart"/>
      <w:r w:rsidRPr="00244BEE">
        <w:rPr>
          <w:rFonts w:ascii="Arial" w:hAnsi="Arial" w:cs="Arial"/>
          <w:color w:val="000000" w:themeColor="text1"/>
        </w:rPr>
        <w:t>Henseler</w:t>
      </w:r>
      <w:proofErr w:type="spellEnd"/>
      <w:r w:rsidRPr="00244BEE">
        <w:rPr>
          <w:rFonts w:ascii="Arial" w:hAnsi="Arial" w:cs="Arial"/>
          <w:color w:val="000000" w:themeColor="text1"/>
        </w:rPr>
        <w:t xml:space="preserve"> et al.</w:t>
      </w:r>
      <w:r w:rsidR="00895485">
        <w:rPr>
          <w:rFonts w:ascii="Arial" w:hAnsi="Arial" w:cs="Arial"/>
          <w:color w:val="000000" w:themeColor="text1"/>
        </w:rPr>
        <w:t xml:space="preserve"> </w:t>
      </w:r>
      <w:r w:rsidRPr="00244BEE">
        <w:rPr>
          <w:rFonts w:ascii="Arial" w:hAnsi="Arial" w:cs="Arial"/>
          <w:color w:val="000000" w:themeColor="text1"/>
        </w:rPr>
        <w:t>(</w:t>
      </w:r>
      <w:hyperlink w:anchor="_bookmark144" w:history="1">
        <w:r w:rsidRPr="00244BEE">
          <w:rPr>
            <w:rFonts w:ascii="Arial" w:hAnsi="Arial" w:cs="Arial"/>
            <w:color w:val="000000" w:themeColor="text1"/>
          </w:rPr>
          <w:t>2016</w:t>
        </w:r>
      </w:hyperlink>
      <w:proofErr w:type="gramStart"/>
      <w:r w:rsidRPr="00244BEE">
        <w:rPr>
          <w:rFonts w:ascii="Arial" w:hAnsi="Arial" w:cs="Arial"/>
          <w:color w:val="000000" w:themeColor="text1"/>
        </w:rPr>
        <w:t>),  the</w:t>
      </w:r>
      <w:proofErr w:type="gramEnd"/>
      <w:r w:rsidRPr="00244BEE">
        <w:rPr>
          <w:rFonts w:ascii="Arial" w:hAnsi="Arial" w:cs="Arial"/>
          <w:color w:val="000000" w:themeColor="text1"/>
        </w:rPr>
        <w:t xml:space="preserve"> HTMT statistics’ confidence interval for all construct combinations should not contain  the value 1. Thus, the proposed model in this research has discriminant validity as the variables range from .308 to .779 which is less 1. </w:t>
      </w:r>
    </w:p>
    <w:p w14:paraId="2DB9DE9C" w14:textId="77777777" w:rsidR="00992815" w:rsidRPr="00244BEE" w:rsidRDefault="00992815" w:rsidP="00992815">
      <w:pPr>
        <w:spacing w:after="0" w:line="240" w:lineRule="auto"/>
        <w:rPr>
          <w:rFonts w:ascii="Arial" w:hAnsi="Arial" w:cs="Arial"/>
          <w:color w:val="000000" w:themeColor="text1"/>
          <w:sz w:val="20"/>
          <w:szCs w:val="20"/>
        </w:rPr>
      </w:pPr>
      <w:r w:rsidRPr="00244BEE">
        <w:rPr>
          <w:rFonts w:ascii="Arial" w:hAnsi="Arial" w:cs="Arial"/>
          <w:color w:val="000000" w:themeColor="text1"/>
          <w:sz w:val="20"/>
          <w:szCs w:val="20"/>
        </w:rPr>
        <w:t>Table 5: HTMT</w:t>
      </w:r>
    </w:p>
    <w:tbl>
      <w:tblPr>
        <w:tblW w:w="4829"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017"/>
        <w:gridCol w:w="2017"/>
        <w:gridCol w:w="2017"/>
        <w:gridCol w:w="1656"/>
      </w:tblGrid>
      <w:tr w:rsidR="00992815" w:rsidRPr="00244BEE" w14:paraId="1FCFA5F4" w14:textId="77777777" w:rsidTr="006E6CE9">
        <w:tc>
          <w:tcPr>
            <w:tcW w:w="844" w:type="pct"/>
            <w:tcBorders>
              <w:top w:val="single" w:sz="4" w:space="0" w:color="auto"/>
              <w:bottom w:val="single" w:sz="4" w:space="0" w:color="auto"/>
            </w:tcBorders>
            <w:tcMar>
              <w:top w:w="0" w:type="dxa"/>
              <w:left w:w="120" w:type="dxa"/>
              <w:bottom w:w="0" w:type="dxa"/>
              <w:right w:w="120" w:type="dxa"/>
            </w:tcMar>
            <w:vAlign w:val="center"/>
            <w:hideMark/>
          </w:tcPr>
          <w:p w14:paraId="4E9DC982" w14:textId="77777777" w:rsidR="00992815" w:rsidRPr="00244BEE" w:rsidRDefault="00992815" w:rsidP="006E6CE9">
            <w:pPr>
              <w:spacing w:line="240" w:lineRule="auto"/>
              <w:rPr>
                <w:rFonts w:ascii="Arial" w:eastAsia="Arial" w:hAnsi="Arial" w:cs="Arial"/>
                <w:color w:val="000000" w:themeColor="text1"/>
                <w:sz w:val="20"/>
                <w:szCs w:val="20"/>
              </w:rPr>
            </w:pP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16485AF8"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AC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0D68E4B"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CC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721DC7E8"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NC </w:t>
            </w:r>
          </w:p>
        </w:tc>
        <w:tc>
          <w:tcPr>
            <w:tcW w:w="893" w:type="pct"/>
            <w:tcBorders>
              <w:top w:val="single" w:sz="4" w:space="0" w:color="auto"/>
              <w:bottom w:val="single" w:sz="4" w:space="0" w:color="auto"/>
            </w:tcBorders>
            <w:tcMar>
              <w:top w:w="0" w:type="dxa"/>
              <w:left w:w="120" w:type="dxa"/>
              <w:bottom w:w="0" w:type="dxa"/>
              <w:right w:w="120" w:type="dxa"/>
            </w:tcMar>
            <w:vAlign w:val="center"/>
            <w:hideMark/>
          </w:tcPr>
          <w:p w14:paraId="7B8B0870"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T&amp;D </w:t>
            </w:r>
          </w:p>
        </w:tc>
      </w:tr>
      <w:tr w:rsidR="00992815" w:rsidRPr="00244BEE" w14:paraId="33D93ADE" w14:textId="77777777" w:rsidTr="006E6CE9">
        <w:tc>
          <w:tcPr>
            <w:tcW w:w="844" w:type="pct"/>
            <w:tcBorders>
              <w:top w:val="single" w:sz="4" w:space="0" w:color="auto"/>
            </w:tcBorders>
            <w:tcMar>
              <w:top w:w="0" w:type="dxa"/>
              <w:left w:w="120" w:type="dxa"/>
              <w:bottom w:w="0" w:type="dxa"/>
              <w:right w:w="120" w:type="dxa"/>
            </w:tcMar>
            <w:vAlign w:val="center"/>
            <w:hideMark/>
          </w:tcPr>
          <w:p w14:paraId="7C1E3F74"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AC </w:t>
            </w:r>
          </w:p>
        </w:tc>
        <w:tc>
          <w:tcPr>
            <w:tcW w:w="0" w:type="auto"/>
            <w:tcBorders>
              <w:top w:val="single" w:sz="4" w:space="0" w:color="auto"/>
            </w:tcBorders>
            <w:tcMar>
              <w:top w:w="0" w:type="dxa"/>
              <w:left w:w="120" w:type="dxa"/>
              <w:bottom w:w="0" w:type="dxa"/>
              <w:right w:w="120" w:type="dxa"/>
            </w:tcMar>
            <w:vAlign w:val="center"/>
            <w:hideMark/>
          </w:tcPr>
          <w:p w14:paraId="2F753FBA" w14:textId="77777777" w:rsidR="00992815" w:rsidRPr="00244BEE" w:rsidRDefault="00992815" w:rsidP="006E6CE9">
            <w:pPr>
              <w:spacing w:line="240" w:lineRule="auto"/>
              <w:rPr>
                <w:rFonts w:ascii="Arial" w:eastAsia="Arial" w:hAnsi="Arial" w:cs="Arial"/>
                <w:b/>
                <w:bCs/>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401A7C57" w14:textId="77777777" w:rsidR="00992815" w:rsidRPr="00244BEE" w:rsidRDefault="00992815" w:rsidP="006E6CE9">
            <w:pPr>
              <w:spacing w:line="240" w:lineRule="auto"/>
              <w:rPr>
                <w:rFonts w:ascii="Arial" w:eastAsia="Arial" w:hAnsi="Arial" w:cs="Arial"/>
                <w:color w:val="000000" w:themeColor="text1"/>
                <w:sz w:val="20"/>
                <w:szCs w:val="20"/>
              </w:rPr>
            </w:pPr>
          </w:p>
        </w:tc>
        <w:tc>
          <w:tcPr>
            <w:tcW w:w="0" w:type="auto"/>
            <w:tcBorders>
              <w:top w:val="single" w:sz="4" w:space="0" w:color="auto"/>
            </w:tcBorders>
            <w:tcMar>
              <w:top w:w="0" w:type="dxa"/>
              <w:left w:w="120" w:type="dxa"/>
              <w:bottom w:w="0" w:type="dxa"/>
              <w:right w:w="120" w:type="dxa"/>
            </w:tcMar>
            <w:vAlign w:val="center"/>
            <w:hideMark/>
          </w:tcPr>
          <w:p w14:paraId="5320F12B" w14:textId="77777777" w:rsidR="00992815" w:rsidRPr="00244BEE" w:rsidRDefault="00992815" w:rsidP="006E6CE9">
            <w:pPr>
              <w:spacing w:line="240" w:lineRule="auto"/>
              <w:rPr>
                <w:rFonts w:ascii="Arial" w:eastAsia="Arial" w:hAnsi="Arial" w:cs="Arial"/>
                <w:color w:val="000000" w:themeColor="text1"/>
                <w:sz w:val="20"/>
                <w:szCs w:val="20"/>
              </w:rPr>
            </w:pPr>
          </w:p>
        </w:tc>
        <w:tc>
          <w:tcPr>
            <w:tcW w:w="893" w:type="pct"/>
            <w:tcBorders>
              <w:top w:val="single" w:sz="4" w:space="0" w:color="auto"/>
            </w:tcBorders>
            <w:tcMar>
              <w:top w:w="0" w:type="dxa"/>
              <w:left w:w="120" w:type="dxa"/>
              <w:bottom w:w="0" w:type="dxa"/>
              <w:right w:w="120" w:type="dxa"/>
            </w:tcMar>
            <w:vAlign w:val="center"/>
            <w:hideMark/>
          </w:tcPr>
          <w:p w14:paraId="31D0D71D"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3CC43078" w14:textId="77777777" w:rsidTr="006E6CE9">
        <w:tc>
          <w:tcPr>
            <w:tcW w:w="844" w:type="pct"/>
            <w:tcMar>
              <w:top w:w="0" w:type="dxa"/>
              <w:left w:w="120" w:type="dxa"/>
              <w:bottom w:w="0" w:type="dxa"/>
              <w:right w:w="120" w:type="dxa"/>
            </w:tcMar>
            <w:vAlign w:val="center"/>
            <w:hideMark/>
          </w:tcPr>
          <w:p w14:paraId="2FB42D7E"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CC </w:t>
            </w:r>
          </w:p>
        </w:tc>
        <w:tc>
          <w:tcPr>
            <w:tcW w:w="0" w:type="auto"/>
            <w:tcMar>
              <w:top w:w="0" w:type="dxa"/>
              <w:left w:w="120" w:type="dxa"/>
              <w:bottom w:w="0" w:type="dxa"/>
              <w:right w:w="120" w:type="dxa"/>
            </w:tcMar>
            <w:vAlign w:val="center"/>
            <w:hideMark/>
          </w:tcPr>
          <w:p w14:paraId="2E420242"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0.450 </w:t>
            </w:r>
          </w:p>
        </w:tc>
        <w:tc>
          <w:tcPr>
            <w:tcW w:w="0" w:type="auto"/>
            <w:tcMar>
              <w:top w:w="0" w:type="dxa"/>
              <w:left w:w="120" w:type="dxa"/>
              <w:bottom w:w="0" w:type="dxa"/>
              <w:right w:w="120" w:type="dxa"/>
            </w:tcMar>
            <w:vAlign w:val="center"/>
            <w:hideMark/>
          </w:tcPr>
          <w:p w14:paraId="355D5C65" w14:textId="77777777" w:rsidR="00992815" w:rsidRPr="00244BEE" w:rsidRDefault="00992815" w:rsidP="006E6CE9">
            <w:pPr>
              <w:spacing w:line="240" w:lineRule="auto"/>
              <w:rPr>
                <w:rFonts w:ascii="Arial" w:eastAsia="Arial" w:hAnsi="Arial" w:cs="Arial"/>
                <w:color w:val="000000" w:themeColor="text1"/>
                <w:sz w:val="20"/>
                <w:szCs w:val="20"/>
              </w:rPr>
            </w:pPr>
          </w:p>
        </w:tc>
        <w:tc>
          <w:tcPr>
            <w:tcW w:w="0" w:type="auto"/>
            <w:tcMar>
              <w:top w:w="0" w:type="dxa"/>
              <w:left w:w="120" w:type="dxa"/>
              <w:bottom w:w="0" w:type="dxa"/>
              <w:right w:w="120" w:type="dxa"/>
            </w:tcMar>
            <w:vAlign w:val="center"/>
            <w:hideMark/>
          </w:tcPr>
          <w:p w14:paraId="59AE4DEE" w14:textId="77777777" w:rsidR="00992815" w:rsidRPr="00244BEE" w:rsidRDefault="00992815" w:rsidP="006E6CE9">
            <w:pPr>
              <w:spacing w:line="240" w:lineRule="auto"/>
              <w:rPr>
                <w:rFonts w:ascii="Arial" w:eastAsia="Arial" w:hAnsi="Arial" w:cs="Arial"/>
                <w:color w:val="000000" w:themeColor="text1"/>
                <w:sz w:val="20"/>
                <w:szCs w:val="20"/>
              </w:rPr>
            </w:pPr>
          </w:p>
        </w:tc>
        <w:tc>
          <w:tcPr>
            <w:tcW w:w="893" w:type="pct"/>
            <w:tcMar>
              <w:top w:w="0" w:type="dxa"/>
              <w:left w:w="120" w:type="dxa"/>
              <w:bottom w:w="0" w:type="dxa"/>
              <w:right w:w="120" w:type="dxa"/>
            </w:tcMar>
            <w:vAlign w:val="center"/>
            <w:hideMark/>
          </w:tcPr>
          <w:p w14:paraId="0EF088FE"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036297BB" w14:textId="77777777" w:rsidTr="006E6CE9">
        <w:tc>
          <w:tcPr>
            <w:tcW w:w="844" w:type="pct"/>
            <w:tcMar>
              <w:top w:w="0" w:type="dxa"/>
              <w:left w:w="120" w:type="dxa"/>
              <w:bottom w:w="0" w:type="dxa"/>
              <w:right w:w="120" w:type="dxa"/>
            </w:tcMar>
            <w:vAlign w:val="center"/>
            <w:hideMark/>
          </w:tcPr>
          <w:p w14:paraId="4D844E46"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NC </w:t>
            </w:r>
          </w:p>
        </w:tc>
        <w:tc>
          <w:tcPr>
            <w:tcW w:w="0" w:type="auto"/>
            <w:tcMar>
              <w:top w:w="0" w:type="dxa"/>
              <w:left w:w="120" w:type="dxa"/>
              <w:bottom w:w="0" w:type="dxa"/>
              <w:right w:w="120" w:type="dxa"/>
            </w:tcMar>
            <w:vAlign w:val="center"/>
            <w:hideMark/>
          </w:tcPr>
          <w:p w14:paraId="67BBB5BC"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0.666 </w:t>
            </w:r>
          </w:p>
        </w:tc>
        <w:tc>
          <w:tcPr>
            <w:tcW w:w="0" w:type="auto"/>
            <w:tcMar>
              <w:top w:w="0" w:type="dxa"/>
              <w:left w:w="120" w:type="dxa"/>
              <w:bottom w:w="0" w:type="dxa"/>
              <w:right w:w="120" w:type="dxa"/>
            </w:tcMar>
            <w:vAlign w:val="center"/>
            <w:hideMark/>
          </w:tcPr>
          <w:p w14:paraId="2737D320"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0.779 </w:t>
            </w:r>
          </w:p>
        </w:tc>
        <w:tc>
          <w:tcPr>
            <w:tcW w:w="0" w:type="auto"/>
            <w:tcMar>
              <w:top w:w="0" w:type="dxa"/>
              <w:left w:w="120" w:type="dxa"/>
              <w:bottom w:w="0" w:type="dxa"/>
              <w:right w:w="120" w:type="dxa"/>
            </w:tcMar>
            <w:vAlign w:val="center"/>
            <w:hideMark/>
          </w:tcPr>
          <w:p w14:paraId="23AB46B2" w14:textId="77777777" w:rsidR="00992815" w:rsidRPr="00244BEE" w:rsidRDefault="00992815" w:rsidP="006E6CE9">
            <w:pPr>
              <w:spacing w:line="240" w:lineRule="auto"/>
              <w:rPr>
                <w:rFonts w:ascii="Arial" w:eastAsia="Arial" w:hAnsi="Arial" w:cs="Arial"/>
                <w:color w:val="000000" w:themeColor="text1"/>
                <w:sz w:val="20"/>
                <w:szCs w:val="20"/>
              </w:rPr>
            </w:pPr>
          </w:p>
        </w:tc>
        <w:tc>
          <w:tcPr>
            <w:tcW w:w="893" w:type="pct"/>
            <w:tcMar>
              <w:top w:w="0" w:type="dxa"/>
              <w:left w:w="120" w:type="dxa"/>
              <w:bottom w:w="0" w:type="dxa"/>
              <w:right w:w="120" w:type="dxa"/>
            </w:tcMar>
            <w:vAlign w:val="center"/>
            <w:hideMark/>
          </w:tcPr>
          <w:p w14:paraId="7CC3ECDB" w14:textId="77777777" w:rsidR="00992815" w:rsidRPr="00244BEE" w:rsidRDefault="00992815" w:rsidP="006E6CE9">
            <w:pPr>
              <w:spacing w:line="240" w:lineRule="auto"/>
              <w:rPr>
                <w:rFonts w:ascii="Arial" w:eastAsia="Arial" w:hAnsi="Arial" w:cs="Arial"/>
                <w:color w:val="000000" w:themeColor="text1"/>
                <w:sz w:val="20"/>
                <w:szCs w:val="20"/>
              </w:rPr>
            </w:pPr>
          </w:p>
        </w:tc>
      </w:tr>
      <w:tr w:rsidR="00992815" w:rsidRPr="00244BEE" w14:paraId="0FB824D6" w14:textId="77777777" w:rsidTr="006E6CE9">
        <w:tc>
          <w:tcPr>
            <w:tcW w:w="844" w:type="pct"/>
            <w:tcMar>
              <w:top w:w="0" w:type="dxa"/>
              <w:left w:w="120" w:type="dxa"/>
              <w:bottom w:w="0" w:type="dxa"/>
              <w:right w:w="120" w:type="dxa"/>
            </w:tcMar>
            <w:vAlign w:val="center"/>
            <w:hideMark/>
          </w:tcPr>
          <w:p w14:paraId="7863924F"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lastRenderedPageBreak/>
              <w:t xml:space="preserve">T&amp;D </w:t>
            </w:r>
          </w:p>
        </w:tc>
        <w:tc>
          <w:tcPr>
            <w:tcW w:w="0" w:type="auto"/>
            <w:tcMar>
              <w:top w:w="0" w:type="dxa"/>
              <w:left w:w="120" w:type="dxa"/>
              <w:bottom w:w="0" w:type="dxa"/>
              <w:right w:w="120" w:type="dxa"/>
            </w:tcMar>
            <w:vAlign w:val="center"/>
            <w:hideMark/>
          </w:tcPr>
          <w:p w14:paraId="1EF0D571"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0.598 </w:t>
            </w:r>
          </w:p>
        </w:tc>
        <w:tc>
          <w:tcPr>
            <w:tcW w:w="0" w:type="auto"/>
            <w:tcMar>
              <w:top w:w="0" w:type="dxa"/>
              <w:left w:w="120" w:type="dxa"/>
              <w:bottom w:w="0" w:type="dxa"/>
              <w:right w:w="120" w:type="dxa"/>
            </w:tcMar>
            <w:vAlign w:val="center"/>
            <w:hideMark/>
          </w:tcPr>
          <w:p w14:paraId="18390361"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0.308 </w:t>
            </w:r>
          </w:p>
        </w:tc>
        <w:tc>
          <w:tcPr>
            <w:tcW w:w="0" w:type="auto"/>
            <w:tcMar>
              <w:top w:w="0" w:type="dxa"/>
              <w:left w:w="120" w:type="dxa"/>
              <w:bottom w:w="0" w:type="dxa"/>
              <w:right w:w="120" w:type="dxa"/>
            </w:tcMar>
            <w:vAlign w:val="center"/>
            <w:hideMark/>
          </w:tcPr>
          <w:p w14:paraId="5E4363F9"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0.517 </w:t>
            </w:r>
          </w:p>
        </w:tc>
        <w:tc>
          <w:tcPr>
            <w:tcW w:w="893" w:type="pct"/>
            <w:tcMar>
              <w:top w:w="0" w:type="dxa"/>
              <w:left w:w="120" w:type="dxa"/>
              <w:bottom w:w="0" w:type="dxa"/>
              <w:right w:w="120" w:type="dxa"/>
            </w:tcMar>
            <w:vAlign w:val="center"/>
            <w:hideMark/>
          </w:tcPr>
          <w:p w14:paraId="5A5F2916" w14:textId="77777777" w:rsidR="00992815" w:rsidRPr="00244BEE" w:rsidRDefault="00992815" w:rsidP="006E6CE9">
            <w:pPr>
              <w:spacing w:line="240" w:lineRule="auto"/>
              <w:rPr>
                <w:rFonts w:ascii="Arial" w:eastAsia="Arial" w:hAnsi="Arial" w:cs="Arial"/>
                <w:color w:val="000000" w:themeColor="text1"/>
                <w:sz w:val="20"/>
                <w:szCs w:val="20"/>
              </w:rPr>
            </w:pPr>
          </w:p>
        </w:tc>
      </w:tr>
    </w:tbl>
    <w:p w14:paraId="2669D22D" w14:textId="77777777" w:rsidR="00992815" w:rsidRPr="00244BEE" w:rsidRDefault="00992815" w:rsidP="00992815">
      <w:pPr>
        <w:pStyle w:val="BodyText"/>
        <w:spacing w:before="26"/>
        <w:ind w:left="23" w:right="20"/>
        <w:jc w:val="both"/>
        <w:rPr>
          <w:rFonts w:ascii="Arial" w:hAnsi="Arial" w:cs="Arial"/>
          <w:color w:val="000000" w:themeColor="text1"/>
          <w:spacing w:val="-6"/>
        </w:rPr>
      </w:pPr>
    </w:p>
    <w:p w14:paraId="44B0D72C" w14:textId="77777777" w:rsidR="00992815" w:rsidRPr="00244BEE" w:rsidRDefault="00992815" w:rsidP="00992815">
      <w:pPr>
        <w:pStyle w:val="BodyText"/>
        <w:spacing w:before="26"/>
        <w:ind w:left="23" w:right="20"/>
        <w:jc w:val="both"/>
        <w:rPr>
          <w:rFonts w:ascii="Arial" w:hAnsi="Arial" w:cs="Arial"/>
          <w:b/>
          <w:color w:val="000000" w:themeColor="text1"/>
          <w:spacing w:val="-6"/>
          <w:sz w:val="22"/>
          <w:szCs w:val="22"/>
        </w:rPr>
      </w:pPr>
      <w:r w:rsidRPr="00895485">
        <w:rPr>
          <w:rFonts w:ascii="Arial" w:hAnsi="Arial" w:cs="Arial"/>
          <w:b/>
          <w:color w:val="000000" w:themeColor="text1"/>
          <w:spacing w:val="-6"/>
          <w:sz w:val="22"/>
          <w:szCs w:val="22"/>
        </w:rPr>
        <w:t>4.4</w:t>
      </w:r>
      <w:r w:rsidRPr="00244BEE">
        <w:rPr>
          <w:rFonts w:ascii="Arial" w:hAnsi="Arial" w:cs="Arial"/>
          <w:color w:val="000000" w:themeColor="text1"/>
          <w:spacing w:val="-6"/>
          <w:sz w:val="22"/>
          <w:szCs w:val="22"/>
        </w:rPr>
        <w:t xml:space="preserve"> </w:t>
      </w:r>
      <w:r w:rsidRPr="00244BEE">
        <w:rPr>
          <w:rFonts w:ascii="Arial" w:hAnsi="Arial" w:cs="Arial"/>
          <w:b/>
          <w:color w:val="000000" w:themeColor="text1"/>
          <w:spacing w:val="-6"/>
          <w:sz w:val="22"/>
          <w:szCs w:val="22"/>
        </w:rPr>
        <w:t>Common Method Bias</w:t>
      </w:r>
    </w:p>
    <w:p w14:paraId="4F3B901F" w14:textId="77777777" w:rsidR="00992815" w:rsidRPr="00244BEE" w:rsidRDefault="00992815" w:rsidP="00992815">
      <w:pPr>
        <w:pStyle w:val="BodyText"/>
        <w:spacing w:before="26"/>
        <w:ind w:right="20"/>
        <w:jc w:val="both"/>
        <w:rPr>
          <w:rFonts w:ascii="Arial" w:hAnsi="Arial" w:cs="Arial"/>
          <w:color w:val="000000" w:themeColor="text1"/>
        </w:rPr>
      </w:pPr>
      <w:r w:rsidRPr="00244BEE">
        <w:rPr>
          <w:rFonts w:ascii="Arial" w:hAnsi="Arial" w:cs="Arial"/>
          <w:color w:val="000000" w:themeColor="text1"/>
        </w:rPr>
        <w:t>The multicollinearity among the variables has been checked by following the rules proposed by Kock (</w:t>
      </w:r>
      <w:hyperlink w:anchor="_bookmark169" w:history="1">
        <w:r w:rsidRPr="00244BEE">
          <w:rPr>
            <w:rFonts w:ascii="Arial" w:hAnsi="Arial" w:cs="Arial"/>
            <w:color w:val="000000" w:themeColor="text1"/>
          </w:rPr>
          <w:t>2015</w:t>
        </w:r>
      </w:hyperlink>
      <w:r w:rsidRPr="00244BEE">
        <w:rPr>
          <w:rFonts w:ascii="Arial" w:hAnsi="Arial" w:cs="Arial"/>
          <w:color w:val="000000" w:themeColor="text1"/>
        </w:rPr>
        <w:t>).  Hair et al. (</w:t>
      </w:r>
      <w:hyperlink w:anchor="_bookmark138" w:history="1">
        <w:r w:rsidRPr="00244BEE">
          <w:rPr>
            <w:rFonts w:ascii="Arial" w:hAnsi="Arial" w:cs="Arial"/>
            <w:color w:val="000000" w:themeColor="text1"/>
          </w:rPr>
          <w:t>2019</w:t>
        </w:r>
      </w:hyperlink>
      <w:r w:rsidRPr="00244BEE">
        <w:rPr>
          <w:rFonts w:ascii="Arial" w:hAnsi="Arial" w:cs="Arial"/>
          <w:color w:val="000000" w:themeColor="text1"/>
        </w:rPr>
        <w:t xml:space="preserve">) suggested that VIF values should be less than 5 to avoid collinearity problem. Hence, table 6 shows that the data set has no problem with multicollinearity as variance inflation factor (VIF) ranges from result is satisfactory as the values range from 1.172 to 2.245 which satisfies the minimum threshold 3.3.  </w:t>
      </w:r>
    </w:p>
    <w:p w14:paraId="3B14C6A2" w14:textId="77777777" w:rsidR="00992815" w:rsidRPr="00244BEE" w:rsidRDefault="00992815" w:rsidP="00992815">
      <w:pPr>
        <w:pStyle w:val="BodyText"/>
        <w:spacing w:before="26"/>
        <w:ind w:right="20"/>
        <w:jc w:val="both"/>
        <w:rPr>
          <w:rFonts w:ascii="Arial" w:hAnsi="Arial" w:cs="Arial"/>
          <w:color w:val="000000" w:themeColor="text1"/>
        </w:rPr>
      </w:pPr>
    </w:p>
    <w:p w14:paraId="271518BC" w14:textId="77777777" w:rsidR="00992815" w:rsidRPr="00244BEE" w:rsidRDefault="00992815" w:rsidP="00992815">
      <w:pPr>
        <w:spacing w:after="0" w:line="240" w:lineRule="auto"/>
        <w:rPr>
          <w:rFonts w:ascii="Arial" w:hAnsi="Arial" w:cs="Arial"/>
          <w:b/>
          <w:color w:val="000000" w:themeColor="text1"/>
          <w:sz w:val="20"/>
          <w:szCs w:val="20"/>
        </w:rPr>
      </w:pPr>
      <w:r w:rsidRPr="00244BEE">
        <w:rPr>
          <w:rFonts w:ascii="Arial" w:hAnsi="Arial" w:cs="Arial"/>
          <w:b/>
          <w:color w:val="000000" w:themeColor="text1"/>
          <w:sz w:val="20"/>
          <w:szCs w:val="20"/>
        </w:rPr>
        <w:t>Table 6: VIF</w:t>
      </w:r>
    </w:p>
    <w:tbl>
      <w:tblPr>
        <w:tblW w:w="3791"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2070"/>
        <w:gridCol w:w="2069"/>
        <w:gridCol w:w="1440"/>
      </w:tblGrid>
      <w:tr w:rsidR="00992815" w:rsidRPr="00244BEE" w14:paraId="43BFFA39" w14:textId="77777777" w:rsidTr="006E6CE9">
        <w:tc>
          <w:tcPr>
            <w:tcW w:w="1125" w:type="pct"/>
            <w:tcBorders>
              <w:top w:val="single" w:sz="4" w:space="0" w:color="auto"/>
              <w:left w:val="single" w:sz="4" w:space="0" w:color="auto"/>
              <w:bottom w:val="single" w:sz="4" w:space="0" w:color="auto"/>
              <w:right w:val="nil"/>
            </w:tcBorders>
            <w:tcMar>
              <w:top w:w="0" w:type="dxa"/>
              <w:left w:w="120" w:type="dxa"/>
              <w:bottom w:w="0" w:type="dxa"/>
              <w:right w:w="120" w:type="dxa"/>
            </w:tcMar>
            <w:vAlign w:val="center"/>
            <w:hideMark/>
          </w:tcPr>
          <w:p w14:paraId="6F629CA4" w14:textId="77777777" w:rsidR="00992815" w:rsidRPr="00244BEE" w:rsidRDefault="00992815" w:rsidP="006E6CE9">
            <w:pPr>
              <w:spacing w:line="240" w:lineRule="auto"/>
              <w:rPr>
                <w:rFonts w:ascii="Arial" w:eastAsia="Arial" w:hAnsi="Arial" w:cs="Arial"/>
                <w:b/>
                <w:color w:val="000000" w:themeColor="text1"/>
                <w:sz w:val="20"/>
                <w:szCs w:val="20"/>
              </w:rPr>
            </w:pPr>
            <w:r w:rsidRPr="00244BEE">
              <w:rPr>
                <w:rFonts w:ascii="Arial" w:eastAsia="Arial" w:hAnsi="Arial" w:cs="Arial"/>
                <w:b/>
                <w:color w:val="000000" w:themeColor="text1"/>
                <w:sz w:val="20"/>
                <w:szCs w:val="20"/>
              </w:rPr>
              <w:t xml:space="preserve">Item </w:t>
            </w:r>
          </w:p>
        </w:tc>
        <w:tc>
          <w:tcPr>
            <w:tcW w:w="1438" w:type="pct"/>
            <w:tcBorders>
              <w:top w:val="single" w:sz="4" w:space="0" w:color="auto"/>
              <w:left w:val="nil"/>
              <w:bottom w:val="single" w:sz="4" w:space="0" w:color="auto"/>
              <w:right w:val="nil"/>
            </w:tcBorders>
            <w:tcMar>
              <w:top w:w="0" w:type="dxa"/>
              <w:left w:w="120" w:type="dxa"/>
              <w:bottom w:w="0" w:type="dxa"/>
              <w:right w:w="120" w:type="dxa"/>
            </w:tcMar>
            <w:vAlign w:val="center"/>
            <w:hideMark/>
          </w:tcPr>
          <w:p w14:paraId="35203032"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VIF </w:t>
            </w:r>
          </w:p>
        </w:tc>
        <w:tc>
          <w:tcPr>
            <w:tcW w:w="1437" w:type="pct"/>
            <w:tcBorders>
              <w:top w:val="single" w:sz="4" w:space="0" w:color="auto"/>
              <w:left w:val="nil"/>
              <w:bottom w:val="single" w:sz="4" w:space="0" w:color="auto"/>
              <w:right w:val="nil"/>
            </w:tcBorders>
            <w:vAlign w:val="center"/>
          </w:tcPr>
          <w:p w14:paraId="2EE5C84E" w14:textId="77777777" w:rsidR="00992815" w:rsidRPr="00244BEE" w:rsidRDefault="00992815" w:rsidP="006E6CE9">
            <w:pPr>
              <w:spacing w:line="240" w:lineRule="auto"/>
              <w:rPr>
                <w:rFonts w:ascii="Arial" w:eastAsia="Arial" w:hAnsi="Arial" w:cs="Arial"/>
                <w:b/>
                <w:color w:val="000000" w:themeColor="text1"/>
                <w:sz w:val="20"/>
                <w:szCs w:val="20"/>
              </w:rPr>
            </w:pPr>
            <w:r w:rsidRPr="00244BEE">
              <w:rPr>
                <w:rFonts w:ascii="Arial" w:eastAsia="Arial" w:hAnsi="Arial" w:cs="Arial"/>
                <w:b/>
                <w:color w:val="000000" w:themeColor="text1"/>
                <w:sz w:val="20"/>
                <w:szCs w:val="20"/>
              </w:rPr>
              <w:t xml:space="preserve">Item </w:t>
            </w:r>
          </w:p>
        </w:tc>
        <w:tc>
          <w:tcPr>
            <w:tcW w:w="1000" w:type="pct"/>
            <w:tcBorders>
              <w:top w:val="single" w:sz="4" w:space="0" w:color="auto"/>
              <w:left w:val="nil"/>
              <w:bottom w:val="single" w:sz="4" w:space="0" w:color="auto"/>
              <w:right w:val="single" w:sz="4" w:space="0" w:color="auto"/>
            </w:tcBorders>
            <w:vAlign w:val="center"/>
          </w:tcPr>
          <w:p w14:paraId="40421F85"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eastAsia="Arial" w:hAnsi="Arial" w:cs="Arial"/>
                <w:b/>
                <w:bCs/>
                <w:color w:val="000000" w:themeColor="text1"/>
                <w:sz w:val="20"/>
                <w:szCs w:val="20"/>
              </w:rPr>
              <w:t xml:space="preserve">VIF </w:t>
            </w:r>
          </w:p>
        </w:tc>
      </w:tr>
      <w:tr w:rsidR="00992815" w:rsidRPr="00244BEE" w14:paraId="7140982D" w14:textId="77777777" w:rsidTr="006E6CE9">
        <w:tc>
          <w:tcPr>
            <w:tcW w:w="1125" w:type="pct"/>
            <w:tcBorders>
              <w:top w:val="single" w:sz="4" w:space="0" w:color="auto"/>
            </w:tcBorders>
            <w:tcMar>
              <w:top w:w="0" w:type="dxa"/>
              <w:left w:w="120" w:type="dxa"/>
              <w:bottom w:w="0" w:type="dxa"/>
              <w:right w:w="120" w:type="dxa"/>
            </w:tcMar>
            <w:vAlign w:val="center"/>
            <w:hideMark/>
          </w:tcPr>
          <w:p w14:paraId="36EF2C6E"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AC1 </w:t>
            </w:r>
          </w:p>
        </w:tc>
        <w:tc>
          <w:tcPr>
            <w:tcW w:w="1438" w:type="pct"/>
            <w:tcBorders>
              <w:top w:val="single" w:sz="4" w:space="0" w:color="auto"/>
            </w:tcBorders>
            <w:tcMar>
              <w:top w:w="0" w:type="dxa"/>
              <w:left w:w="120" w:type="dxa"/>
              <w:bottom w:w="0" w:type="dxa"/>
              <w:right w:w="120" w:type="dxa"/>
            </w:tcMar>
            <w:vAlign w:val="center"/>
            <w:hideMark/>
          </w:tcPr>
          <w:p w14:paraId="10885BFE"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1.889 </w:t>
            </w:r>
          </w:p>
        </w:tc>
        <w:tc>
          <w:tcPr>
            <w:tcW w:w="1437" w:type="pct"/>
            <w:tcBorders>
              <w:top w:val="single" w:sz="4" w:space="0" w:color="auto"/>
            </w:tcBorders>
            <w:vAlign w:val="center"/>
          </w:tcPr>
          <w:p w14:paraId="5A3DE58E"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NC2 </w:t>
            </w:r>
          </w:p>
        </w:tc>
        <w:tc>
          <w:tcPr>
            <w:tcW w:w="1000" w:type="pct"/>
            <w:tcBorders>
              <w:top w:val="single" w:sz="4" w:space="0" w:color="auto"/>
            </w:tcBorders>
            <w:vAlign w:val="center"/>
          </w:tcPr>
          <w:p w14:paraId="139C60F7"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1.445 </w:t>
            </w:r>
          </w:p>
        </w:tc>
      </w:tr>
      <w:tr w:rsidR="00992815" w:rsidRPr="00244BEE" w14:paraId="10B69310" w14:textId="77777777" w:rsidTr="006E6CE9">
        <w:tc>
          <w:tcPr>
            <w:tcW w:w="1125" w:type="pct"/>
            <w:tcMar>
              <w:top w:w="0" w:type="dxa"/>
              <w:left w:w="120" w:type="dxa"/>
              <w:bottom w:w="0" w:type="dxa"/>
              <w:right w:w="120" w:type="dxa"/>
            </w:tcMar>
            <w:vAlign w:val="center"/>
            <w:hideMark/>
          </w:tcPr>
          <w:p w14:paraId="561AFC3E"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AC2 </w:t>
            </w:r>
          </w:p>
        </w:tc>
        <w:tc>
          <w:tcPr>
            <w:tcW w:w="1438" w:type="pct"/>
            <w:tcMar>
              <w:top w:w="0" w:type="dxa"/>
              <w:left w:w="120" w:type="dxa"/>
              <w:bottom w:w="0" w:type="dxa"/>
              <w:right w:w="120" w:type="dxa"/>
            </w:tcMar>
            <w:vAlign w:val="center"/>
            <w:hideMark/>
          </w:tcPr>
          <w:p w14:paraId="644BC724"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1.394 </w:t>
            </w:r>
          </w:p>
        </w:tc>
        <w:tc>
          <w:tcPr>
            <w:tcW w:w="1437" w:type="pct"/>
            <w:vAlign w:val="center"/>
          </w:tcPr>
          <w:p w14:paraId="4A238A24"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NC3 </w:t>
            </w:r>
          </w:p>
        </w:tc>
        <w:tc>
          <w:tcPr>
            <w:tcW w:w="1000" w:type="pct"/>
            <w:vAlign w:val="center"/>
          </w:tcPr>
          <w:p w14:paraId="50776DA7"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1.508 </w:t>
            </w:r>
          </w:p>
        </w:tc>
      </w:tr>
      <w:tr w:rsidR="00992815" w:rsidRPr="00244BEE" w14:paraId="60190973" w14:textId="77777777" w:rsidTr="006E6CE9">
        <w:tc>
          <w:tcPr>
            <w:tcW w:w="1125" w:type="pct"/>
            <w:tcMar>
              <w:top w:w="0" w:type="dxa"/>
              <w:left w:w="120" w:type="dxa"/>
              <w:bottom w:w="0" w:type="dxa"/>
              <w:right w:w="120" w:type="dxa"/>
            </w:tcMar>
            <w:vAlign w:val="center"/>
            <w:hideMark/>
          </w:tcPr>
          <w:p w14:paraId="473475CC"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AC4 </w:t>
            </w:r>
          </w:p>
        </w:tc>
        <w:tc>
          <w:tcPr>
            <w:tcW w:w="1438" w:type="pct"/>
            <w:tcMar>
              <w:top w:w="0" w:type="dxa"/>
              <w:left w:w="120" w:type="dxa"/>
              <w:bottom w:w="0" w:type="dxa"/>
              <w:right w:w="120" w:type="dxa"/>
            </w:tcMar>
            <w:vAlign w:val="center"/>
            <w:hideMark/>
          </w:tcPr>
          <w:p w14:paraId="4297FAA9"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1.545 </w:t>
            </w:r>
          </w:p>
        </w:tc>
        <w:tc>
          <w:tcPr>
            <w:tcW w:w="1437" w:type="pct"/>
            <w:vAlign w:val="center"/>
          </w:tcPr>
          <w:p w14:paraId="5B780048"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NC4 </w:t>
            </w:r>
          </w:p>
        </w:tc>
        <w:tc>
          <w:tcPr>
            <w:tcW w:w="1000" w:type="pct"/>
            <w:vAlign w:val="center"/>
          </w:tcPr>
          <w:p w14:paraId="25AFB0A9"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1.430 </w:t>
            </w:r>
          </w:p>
        </w:tc>
      </w:tr>
      <w:tr w:rsidR="00992815" w:rsidRPr="00244BEE" w14:paraId="37671641" w14:textId="77777777" w:rsidTr="006E6CE9">
        <w:tc>
          <w:tcPr>
            <w:tcW w:w="1125" w:type="pct"/>
            <w:tcMar>
              <w:top w:w="0" w:type="dxa"/>
              <w:left w:w="120" w:type="dxa"/>
              <w:bottom w:w="0" w:type="dxa"/>
              <w:right w:w="120" w:type="dxa"/>
            </w:tcMar>
            <w:vAlign w:val="center"/>
            <w:hideMark/>
          </w:tcPr>
          <w:p w14:paraId="3B8C7A9D"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AC6 </w:t>
            </w:r>
          </w:p>
        </w:tc>
        <w:tc>
          <w:tcPr>
            <w:tcW w:w="1438" w:type="pct"/>
            <w:tcMar>
              <w:top w:w="0" w:type="dxa"/>
              <w:left w:w="120" w:type="dxa"/>
              <w:bottom w:w="0" w:type="dxa"/>
              <w:right w:w="120" w:type="dxa"/>
            </w:tcMar>
            <w:vAlign w:val="center"/>
            <w:hideMark/>
          </w:tcPr>
          <w:p w14:paraId="174899DA"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1.760 </w:t>
            </w:r>
          </w:p>
        </w:tc>
        <w:tc>
          <w:tcPr>
            <w:tcW w:w="1437" w:type="pct"/>
            <w:vAlign w:val="center"/>
          </w:tcPr>
          <w:p w14:paraId="5742F83E"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T&amp;D1 </w:t>
            </w:r>
          </w:p>
        </w:tc>
        <w:tc>
          <w:tcPr>
            <w:tcW w:w="1000" w:type="pct"/>
            <w:vAlign w:val="center"/>
          </w:tcPr>
          <w:p w14:paraId="3F3A3745"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2.245 </w:t>
            </w:r>
          </w:p>
        </w:tc>
      </w:tr>
      <w:tr w:rsidR="00992815" w:rsidRPr="00244BEE" w14:paraId="705C72D2" w14:textId="77777777" w:rsidTr="006E6CE9">
        <w:tc>
          <w:tcPr>
            <w:tcW w:w="1125" w:type="pct"/>
            <w:tcMar>
              <w:top w:w="0" w:type="dxa"/>
              <w:left w:w="120" w:type="dxa"/>
              <w:bottom w:w="0" w:type="dxa"/>
              <w:right w:w="120" w:type="dxa"/>
            </w:tcMar>
            <w:vAlign w:val="center"/>
            <w:hideMark/>
          </w:tcPr>
          <w:p w14:paraId="08CD7A55"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CC1 </w:t>
            </w:r>
          </w:p>
        </w:tc>
        <w:tc>
          <w:tcPr>
            <w:tcW w:w="1438" w:type="pct"/>
            <w:tcMar>
              <w:top w:w="0" w:type="dxa"/>
              <w:left w:w="120" w:type="dxa"/>
              <w:bottom w:w="0" w:type="dxa"/>
              <w:right w:w="120" w:type="dxa"/>
            </w:tcMar>
            <w:vAlign w:val="center"/>
            <w:hideMark/>
          </w:tcPr>
          <w:p w14:paraId="4DDAC3A1"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1.347 </w:t>
            </w:r>
          </w:p>
        </w:tc>
        <w:tc>
          <w:tcPr>
            <w:tcW w:w="1437" w:type="pct"/>
            <w:vAlign w:val="center"/>
          </w:tcPr>
          <w:p w14:paraId="5C8FCC88"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T&amp;D2 </w:t>
            </w:r>
          </w:p>
        </w:tc>
        <w:tc>
          <w:tcPr>
            <w:tcW w:w="1000" w:type="pct"/>
            <w:vAlign w:val="center"/>
          </w:tcPr>
          <w:p w14:paraId="13A65D78"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2.140 </w:t>
            </w:r>
          </w:p>
        </w:tc>
      </w:tr>
      <w:tr w:rsidR="00992815" w:rsidRPr="00244BEE" w14:paraId="2D6A0A38" w14:textId="77777777" w:rsidTr="006E6CE9">
        <w:tc>
          <w:tcPr>
            <w:tcW w:w="1125" w:type="pct"/>
            <w:tcMar>
              <w:top w:w="0" w:type="dxa"/>
              <w:left w:w="120" w:type="dxa"/>
              <w:bottom w:w="0" w:type="dxa"/>
              <w:right w:w="120" w:type="dxa"/>
            </w:tcMar>
            <w:vAlign w:val="center"/>
            <w:hideMark/>
          </w:tcPr>
          <w:p w14:paraId="25ADE544"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CC2 </w:t>
            </w:r>
          </w:p>
        </w:tc>
        <w:tc>
          <w:tcPr>
            <w:tcW w:w="1438" w:type="pct"/>
            <w:tcMar>
              <w:top w:w="0" w:type="dxa"/>
              <w:left w:w="120" w:type="dxa"/>
              <w:bottom w:w="0" w:type="dxa"/>
              <w:right w:w="120" w:type="dxa"/>
            </w:tcMar>
            <w:vAlign w:val="center"/>
            <w:hideMark/>
          </w:tcPr>
          <w:p w14:paraId="1B4128AA"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1.224 </w:t>
            </w:r>
          </w:p>
        </w:tc>
        <w:tc>
          <w:tcPr>
            <w:tcW w:w="1437" w:type="pct"/>
            <w:vAlign w:val="center"/>
          </w:tcPr>
          <w:p w14:paraId="2DC1B5C2"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T&amp;D3 </w:t>
            </w:r>
          </w:p>
        </w:tc>
        <w:tc>
          <w:tcPr>
            <w:tcW w:w="1000" w:type="pct"/>
            <w:vAlign w:val="center"/>
          </w:tcPr>
          <w:p w14:paraId="7B66AF8F"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1.799 </w:t>
            </w:r>
          </w:p>
        </w:tc>
      </w:tr>
      <w:tr w:rsidR="00992815" w:rsidRPr="00244BEE" w14:paraId="293229A9" w14:textId="77777777" w:rsidTr="006E6CE9">
        <w:tc>
          <w:tcPr>
            <w:tcW w:w="1125" w:type="pct"/>
            <w:tcMar>
              <w:top w:w="0" w:type="dxa"/>
              <w:left w:w="120" w:type="dxa"/>
              <w:bottom w:w="0" w:type="dxa"/>
              <w:right w:w="120" w:type="dxa"/>
            </w:tcMar>
            <w:vAlign w:val="center"/>
            <w:hideMark/>
          </w:tcPr>
          <w:p w14:paraId="5816D731"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CC3 </w:t>
            </w:r>
          </w:p>
        </w:tc>
        <w:tc>
          <w:tcPr>
            <w:tcW w:w="1438" w:type="pct"/>
            <w:tcMar>
              <w:top w:w="0" w:type="dxa"/>
              <w:left w:w="120" w:type="dxa"/>
              <w:bottom w:w="0" w:type="dxa"/>
              <w:right w:w="120" w:type="dxa"/>
            </w:tcMar>
            <w:vAlign w:val="center"/>
            <w:hideMark/>
          </w:tcPr>
          <w:p w14:paraId="7F4A4C43"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1.172 </w:t>
            </w:r>
          </w:p>
        </w:tc>
        <w:tc>
          <w:tcPr>
            <w:tcW w:w="1437" w:type="pct"/>
            <w:vAlign w:val="center"/>
          </w:tcPr>
          <w:p w14:paraId="605CA1E5"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 xml:space="preserve">T&amp;D4 </w:t>
            </w:r>
          </w:p>
        </w:tc>
        <w:tc>
          <w:tcPr>
            <w:tcW w:w="1000" w:type="pct"/>
            <w:vAlign w:val="center"/>
          </w:tcPr>
          <w:p w14:paraId="5CBBBC42"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1.317 </w:t>
            </w:r>
          </w:p>
        </w:tc>
      </w:tr>
    </w:tbl>
    <w:p w14:paraId="047511A3" w14:textId="77777777" w:rsidR="00992815" w:rsidRPr="00244BEE" w:rsidRDefault="00992815" w:rsidP="00992815">
      <w:pPr>
        <w:pStyle w:val="BodyText"/>
        <w:spacing w:before="26"/>
        <w:ind w:right="20"/>
        <w:jc w:val="both"/>
        <w:rPr>
          <w:rFonts w:ascii="Arial" w:hAnsi="Arial" w:cs="Arial"/>
          <w:color w:val="000000" w:themeColor="text1"/>
          <w:spacing w:val="-6"/>
        </w:rPr>
      </w:pPr>
    </w:p>
    <w:p w14:paraId="1A325A82" w14:textId="77777777" w:rsidR="00992815" w:rsidRPr="00244BEE" w:rsidRDefault="00992815" w:rsidP="00992815">
      <w:pPr>
        <w:pStyle w:val="BodyText"/>
        <w:spacing w:before="155"/>
        <w:ind w:right="121"/>
        <w:jc w:val="both"/>
        <w:rPr>
          <w:rFonts w:ascii="Arial" w:hAnsi="Arial" w:cs="Arial"/>
          <w:b/>
          <w:color w:val="000000" w:themeColor="text1"/>
          <w:sz w:val="22"/>
          <w:szCs w:val="22"/>
        </w:rPr>
      </w:pPr>
      <w:r w:rsidRPr="00244BEE">
        <w:rPr>
          <w:rFonts w:ascii="Arial" w:hAnsi="Arial" w:cs="Arial"/>
          <w:b/>
          <w:color w:val="000000" w:themeColor="text1"/>
          <w:sz w:val="22"/>
          <w:szCs w:val="22"/>
        </w:rPr>
        <w:t xml:space="preserve">4.5 Goodness of Fit </w:t>
      </w:r>
    </w:p>
    <w:p w14:paraId="18C6DADC" w14:textId="77777777" w:rsidR="00992815" w:rsidRPr="00244BEE" w:rsidRDefault="00992815" w:rsidP="00992815">
      <w:pPr>
        <w:pStyle w:val="BodyText"/>
        <w:spacing w:before="155"/>
        <w:ind w:right="121"/>
        <w:jc w:val="both"/>
        <w:rPr>
          <w:rFonts w:ascii="Arial" w:hAnsi="Arial" w:cs="Arial"/>
          <w:color w:val="000000" w:themeColor="text1"/>
        </w:rPr>
      </w:pPr>
      <w:r w:rsidRPr="00244BEE">
        <w:rPr>
          <w:rFonts w:ascii="Arial" w:hAnsi="Arial" w:cs="Arial"/>
          <w:color w:val="000000" w:themeColor="text1"/>
        </w:rPr>
        <w:t xml:space="preserve">Goodness of fit is a good measure for evaluating the overall prediction power of a model as suggested by Chin (2010).  Therefore, </w:t>
      </w:r>
      <w:proofErr w:type="spellStart"/>
      <w:r w:rsidRPr="00244BEE">
        <w:rPr>
          <w:rFonts w:ascii="Arial" w:hAnsi="Arial" w:cs="Arial"/>
          <w:color w:val="000000" w:themeColor="text1"/>
        </w:rPr>
        <w:t>GoF</w:t>
      </w:r>
      <w:proofErr w:type="spellEnd"/>
      <w:r w:rsidRPr="00244BEE">
        <w:rPr>
          <w:rFonts w:ascii="Arial" w:hAnsi="Arial" w:cs="Arial"/>
          <w:color w:val="000000" w:themeColor="text1"/>
        </w:rPr>
        <w:t xml:space="preserve"> is used in this research. </w:t>
      </w:r>
      <w:proofErr w:type="spellStart"/>
      <w:r w:rsidRPr="00244BEE">
        <w:rPr>
          <w:rFonts w:ascii="Arial" w:hAnsi="Arial" w:cs="Arial"/>
          <w:color w:val="000000" w:themeColor="text1"/>
        </w:rPr>
        <w:t>GoF</w:t>
      </w:r>
      <w:proofErr w:type="spellEnd"/>
      <w:r w:rsidRPr="00244BEE">
        <w:rPr>
          <w:rFonts w:ascii="Arial" w:hAnsi="Arial" w:cs="Arial"/>
          <w:color w:val="000000" w:themeColor="text1"/>
        </w:rPr>
        <w:t xml:space="preserve"> is determined by the geometric mean of average communality and average R</w:t>
      </w:r>
      <w:proofErr w:type="gramStart"/>
      <w:r w:rsidRPr="00244BEE">
        <w:rPr>
          <w:rFonts w:ascii="Arial" w:hAnsi="Arial" w:cs="Arial"/>
          <w:color w:val="000000" w:themeColor="text1"/>
          <w:vertAlign w:val="superscript"/>
        </w:rPr>
        <w:t xml:space="preserve">2  </w:t>
      </w:r>
      <w:r w:rsidRPr="00244BEE">
        <w:rPr>
          <w:rFonts w:ascii="Arial" w:hAnsi="Arial" w:cs="Arial"/>
          <w:color w:val="000000" w:themeColor="text1"/>
        </w:rPr>
        <w:t>(</w:t>
      </w:r>
      <w:proofErr w:type="spellStart"/>
      <w:proofErr w:type="gramEnd"/>
      <w:r w:rsidRPr="00244BEE">
        <w:rPr>
          <w:rFonts w:ascii="Arial" w:hAnsi="Arial" w:cs="Arial"/>
          <w:color w:val="000000" w:themeColor="text1"/>
        </w:rPr>
        <w:t>Tenenhaus</w:t>
      </w:r>
      <w:proofErr w:type="spellEnd"/>
      <w:r w:rsidRPr="00244BEE">
        <w:rPr>
          <w:rFonts w:ascii="Arial" w:hAnsi="Arial" w:cs="Arial"/>
          <w:color w:val="000000" w:themeColor="text1"/>
        </w:rPr>
        <w:t xml:space="preserve"> et al., 2005). The result of the proposed model illustrates that </w:t>
      </w:r>
      <w:proofErr w:type="spellStart"/>
      <w:r w:rsidRPr="00244BEE">
        <w:rPr>
          <w:rFonts w:ascii="Arial" w:hAnsi="Arial" w:cs="Arial"/>
          <w:color w:val="000000" w:themeColor="text1"/>
        </w:rPr>
        <w:t>GoF</w:t>
      </w:r>
      <w:proofErr w:type="spellEnd"/>
      <w:r w:rsidRPr="00244BEE">
        <w:rPr>
          <w:rFonts w:ascii="Arial" w:hAnsi="Arial" w:cs="Arial"/>
          <w:color w:val="000000" w:themeColor="text1"/>
        </w:rPr>
        <w:t xml:space="preserve"> value is 0.321 which represents good prediction power as compared with threshold (</w:t>
      </w:r>
      <w:proofErr w:type="spellStart"/>
      <w:r w:rsidRPr="00244BEE">
        <w:rPr>
          <w:rFonts w:ascii="Arial" w:hAnsi="Arial" w:cs="Arial"/>
          <w:color w:val="000000" w:themeColor="text1"/>
        </w:rPr>
        <w:t>GoF</w:t>
      </w:r>
      <w:proofErr w:type="spellEnd"/>
      <w:r w:rsidRPr="00244BEE">
        <w:rPr>
          <w:rFonts w:ascii="Arial" w:hAnsi="Arial" w:cs="Arial"/>
          <w:color w:val="000000" w:themeColor="text1"/>
          <w:spacing w:val="-10"/>
        </w:rPr>
        <w:t xml:space="preserve"> </w:t>
      </w:r>
      <w:r w:rsidRPr="00244BEE">
        <w:rPr>
          <w:rFonts w:ascii="Arial" w:hAnsi="Arial" w:cs="Arial"/>
          <w:color w:val="000000" w:themeColor="text1"/>
          <w:position w:val="-6"/>
        </w:rPr>
        <w:t>small</w:t>
      </w:r>
      <w:r w:rsidRPr="00244BEE">
        <w:rPr>
          <w:rFonts w:ascii="Arial" w:hAnsi="Arial" w:cs="Arial"/>
          <w:color w:val="000000" w:themeColor="text1"/>
          <w:spacing w:val="12"/>
          <w:position w:val="-6"/>
        </w:rPr>
        <w:t xml:space="preserve"> </w:t>
      </w:r>
      <w:r w:rsidRPr="00244BEE">
        <w:rPr>
          <w:rFonts w:ascii="Arial" w:hAnsi="Arial" w:cs="Arial"/>
          <w:color w:val="000000" w:themeColor="text1"/>
        </w:rPr>
        <w:t>=</w:t>
      </w:r>
      <w:r w:rsidRPr="00244BEE">
        <w:rPr>
          <w:rFonts w:ascii="Arial" w:hAnsi="Arial" w:cs="Arial"/>
          <w:color w:val="000000" w:themeColor="text1"/>
          <w:spacing w:val="-10"/>
        </w:rPr>
        <w:t xml:space="preserve"> </w:t>
      </w:r>
      <w:r w:rsidRPr="00244BEE">
        <w:rPr>
          <w:rFonts w:ascii="Arial" w:hAnsi="Arial" w:cs="Arial"/>
          <w:color w:val="000000" w:themeColor="text1"/>
        </w:rPr>
        <w:t xml:space="preserve">0.1, </w:t>
      </w:r>
      <w:proofErr w:type="spellStart"/>
      <w:r w:rsidRPr="00244BEE">
        <w:rPr>
          <w:rFonts w:ascii="Arial" w:hAnsi="Arial" w:cs="Arial"/>
          <w:color w:val="000000" w:themeColor="text1"/>
        </w:rPr>
        <w:t>GoF</w:t>
      </w:r>
      <w:proofErr w:type="spellEnd"/>
      <w:r w:rsidRPr="00244BEE">
        <w:rPr>
          <w:rFonts w:ascii="Arial" w:hAnsi="Arial" w:cs="Arial"/>
          <w:color w:val="000000" w:themeColor="text1"/>
          <w:spacing w:val="-1"/>
        </w:rPr>
        <w:t xml:space="preserve"> </w:t>
      </w:r>
      <w:r w:rsidRPr="00244BEE">
        <w:rPr>
          <w:rFonts w:ascii="Arial" w:hAnsi="Arial" w:cs="Arial"/>
          <w:color w:val="000000" w:themeColor="text1"/>
          <w:position w:val="-6"/>
        </w:rPr>
        <w:t>medium</w:t>
      </w:r>
      <w:r w:rsidRPr="00244BEE">
        <w:rPr>
          <w:rFonts w:ascii="Arial" w:hAnsi="Arial" w:cs="Arial"/>
          <w:color w:val="000000" w:themeColor="text1"/>
          <w:spacing w:val="21"/>
          <w:position w:val="-6"/>
        </w:rPr>
        <w:t xml:space="preserve"> </w:t>
      </w:r>
      <w:r w:rsidRPr="00244BEE">
        <w:rPr>
          <w:rFonts w:ascii="Arial" w:hAnsi="Arial" w:cs="Arial"/>
          <w:color w:val="000000" w:themeColor="text1"/>
        </w:rPr>
        <w:t>=</w:t>
      </w:r>
      <w:r w:rsidRPr="00244BEE">
        <w:rPr>
          <w:rFonts w:ascii="Arial" w:hAnsi="Arial" w:cs="Arial"/>
          <w:color w:val="000000" w:themeColor="text1"/>
          <w:spacing w:val="-1"/>
        </w:rPr>
        <w:t xml:space="preserve"> </w:t>
      </w:r>
      <w:r w:rsidRPr="00244BEE">
        <w:rPr>
          <w:rFonts w:ascii="Arial" w:hAnsi="Arial" w:cs="Arial"/>
          <w:color w:val="000000" w:themeColor="text1"/>
        </w:rPr>
        <w:t>0.25,</w:t>
      </w:r>
      <w:r w:rsidRPr="00244BEE">
        <w:rPr>
          <w:rFonts w:ascii="Arial" w:hAnsi="Arial" w:cs="Arial"/>
          <w:color w:val="000000" w:themeColor="text1"/>
          <w:spacing w:val="-1"/>
        </w:rPr>
        <w:t xml:space="preserve"> </w:t>
      </w:r>
      <w:proofErr w:type="spellStart"/>
      <w:r w:rsidRPr="00244BEE">
        <w:rPr>
          <w:rFonts w:ascii="Arial" w:hAnsi="Arial" w:cs="Arial"/>
          <w:color w:val="000000" w:themeColor="text1"/>
        </w:rPr>
        <w:t>GoF</w:t>
      </w:r>
      <w:proofErr w:type="spellEnd"/>
      <w:r w:rsidRPr="00244BEE">
        <w:rPr>
          <w:rFonts w:ascii="Arial" w:hAnsi="Arial" w:cs="Arial"/>
          <w:color w:val="000000" w:themeColor="text1"/>
          <w:spacing w:val="-1"/>
        </w:rPr>
        <w:t xml:space="preserve"> </w:t>
      </w:r>
      <w:r w:rsidRPr="00244BEE">
        <w:rPr>
          <w:rFonts w:ascii="Arial" w:hAnsi="Arial" w:cs="Arial"/>
          <w:color w:val="000000" w:themeColor="text1"/>
          <w:position w:val="-6"/>
        </w:rPr>
        <w:t>large</w:t>
      </w:r>
      <w:r w:rsidRPr="00244BEE">
        <w:rPr>
          <w:rFonts w:ascii="Arial" w:hAnsi="Arial" w:cs="Arial"/>
          <w:color w:val="000000" w:themeColor="text1"/>
          <w:spacing w:val="21"/>
          <w:position w:val="-6"/>
        </w:rPr>
        <w:t xml:space="preserve"> </w:t>
      </w:r>
      <w:r w:rsidRPr="00244BEE">
        <w:rPr>
          <w:rFonts w:ascii="Arial" w:hAnsi="Arial" w:cs="Arial"/>
          <w:color w:val="000000" w:themeColor="text1"/>
        </w:rPr>
        <w:t>=</w:t>
      </w:r>
      <w:r w:rsidRPr="00244BEE">
        <w:rPr>
          <w:rFonts w:ascii="Arial" w:hAnsi="Arial" w:cs="Arial"/>
          <w:color w:val="000000" w:themeColor="text1"/>
          <w:spacing w:val="-1"/>
        </w:rPr>
        <w:t xml:space="preserve"> </w:t>
      </w:r>
      <w:r w:rsidRPr="00244BEE">
        <w:rPr>
          <w:rFonts w:ascii="Arial" w:hAnsi="Arial" w:cs="Arial"/>
          <w:color w:val="000000" w:themeColor="text1"/>
        </w:rPr>
        <w:t xml:space="preserve">0.36). By following the guidelines proposed by </w:t>
      </w:r>
      <w:proofErr w:type="spellStart"/>
      <w:r w:rsidRPr="00244BEE">
        <w:rPr>
          <w:rFonts w:ascii="Arial" w:hAnsi="Arial" w:cs="Arial"/>
          <w:color w:val="000000" w:themeColor="text1"/>
        </w:rPr>
        <w:t>Wetzels</w:t>
      </w:r>
      <w:proofErr w:type="spellEnd"/>
      <w:r w:rsidRPr="00244BEE">
        <w:rPr>
          <w:rFonts w:ascii="Arial" w:hAnsi="Arial" w:cs="Arial"/>
          <w:color w:val="000000" w:themeColor="text1"/>
        </w:rPr>
        <w:t xml:space="preserve"> et al. (2009) </w:t>
      </w:r>
      <w:proofErr w:type="spellStart"/>
      <w:r w:rsidRPr="00244BEE">
        <w:rPr>
          <w:rFonts w:ascii="Arial" w:hAnsi="Arial" w:cs="Arial"/>
          <w:color w:val="000000" w:themeColor="text1"/>
        </w:rPr>
        <w:t>GoF</w:t>
      </w:r>
      <w:proofErr w:type="spellEnd"/>
      <w:r w:rsidRPr="00244BEE">
        <w:rPr>
          <w:rFonts w:ascii="Arial" w:hAnsi="Arial" w:cs="Arial"/>
          <w:color w:val="000000" w:themeColor="text1"/>
        </w:rPr>
        <w:t xml:space="preserve"> provides sufficient support to validate the PLS model worldwide. By using table 7 the </w:t>
      </w:r>
      <w:proofErr w:type="spellStart"/>
      <w:r w:rsidRPr="00244BEE">
        <w:rPr>
          <w:rFonts w:ascii="Arial" w:hAnsi="Arial" w:cs="Arial"/>
          <w:color w:val="000000" w:themeColor="text1"/>
        </w:rPr>
        <w:t>GoF</w:t>
      </w:r>
      <w:proofErr w:type="spellEnd"/>
      <w:r w:rsidRPr="00244BEE">
        <w:rPr>
          <w:rFonts w:ascii="Arial" w:hAnsi="Arial" w:cs="Arial"/>
          <w:color w:val="000000" w:themeColor="text1"/>
        </w:rPr>
        <w:t xml:space="preserve"> is calculated as it is shown below -</w:t>
      </w:r>
    </w:p>
    <w:p w14:paraId="1FC6F527" w14:textId="77777777" w:rsidR="00992815" w:rsidRPr="009A3BAC" w:rsidRDefault="00992815" w:rsidP="00992815">
      <w:pPr>
        <w:pStyle w:val="BodyText"/>
        <w:spacing w:before="141"/>
        <w:jc w:val="both"/>
        <w:rPr>
          <w:rFonts w:ascii="Arial" w:hAnsi="Arial" w:cs="Arial"/>
          <w:b/>
          <w:color w:val="000000" w:themeColor="text1"/>
        </w:rPr>
      </w:pPr>
      <w:r w:rsidRPr="009A3BAC">
        <w:rPr>
          <w:rFonts w:ascii="Arial" w:hAnsi="Arial" w:cs="Arial"/>
          <w:b/>
          <w:color w:val="000000" w:themeColor="text1"/>
        </w:rPr>
        <w:t xml:space="preserve">Table 7: </w:t>
      </w:r>
      <w:r w:rsidRPr="009A3BAC">
        <w:rPr>
          <w:rFonts w:ascii="Arial" w:hAnsi="Arial" w:cs="Arial"/>
          <w:b/>
          <w:color w:val="000000" w:themeColor="text1"/>
          <w:spacing w:val="-6"/>
        </w:rPr>
        <w:t>Goodness</w:t>
      </w:r>
      <w:r w:rsidRPr="009A3BAC">
        <w:rPr>
          <w:rFonts w:ascii="Arial" w:hAnsi="Arial" w:cs="Arial"/>
          <w:b/>
          <w:color w:val="000000" w:themeColor="text1"/>
        </w:rPr>
        <w:t xml:space="preserve"> </w:t>
      </w:r>
      <w:r w:rsidRPr="009A3BAC">
        <w:rPr>
          <w:rFonts w:ascii="Arial" w:hAnsi="Arial" w:cs="Arial"/>
          <w:b/>
          <w:color w:val="000000" w:themeColor="text1"/>
          <w:spacing w:val="-6"/>
        </w:rPr>
        <w:t>of</w:t>
      </w:r>
      <w:r w:rsidRPr="009A3BAC">
        <w:rPr>
          <w:rFonts w:ascii="Arial" w:hAnsi="Arial" w:cs="Arial"/>
          <w:b/>
          <w:color w:val="000000" w:themeColor="text1"/>
        </w:rPr>
        <w:t xml:space="preserve"> </w:t>
      </w:r>
      <w:r w:rsidRPr="009A3BAC">
        <w:rPr>
          <w:rFonts w:ascii="Arial" w:hAnsi="Arial" w:cs="Arial"/>
          <w:b/>
          <w:color w:val="000000" w:themeColor="text1"/>
          <w:spacing w:val="-6"/>
        </w:rPr>
        <w:t>Fit</w:t>
      </w:r>
      <w:r w:rsidRPr="009A3BAC">
        <w:rPr>
          <w:rFonts w:ascii="Arial" w:hAnsi="Arial" w:cs="Arial"/>
          <w:b/>
          <w:color w:val="000000" w:themeColor="text1"/>
        </w:rPr>
        <w:t xml:space="preserve"> </w:t>
      </w:r>
      <w:r w:rsidRPr="009A3BAC">
        <w:rPr>
          <w:rFonts w:ascii="Arial" w:hAnsi="Arial" w:cs="Arial"/>
          <w:b/>
          <w:color w:val="000000" w:themeColor="text1"/>
          <w:spacing w:val="-6"/>
        </w:rPr>
        <w:t>(</w:t>
      </w:r>
      <w:proofErr w:type="spellStart"/>
      <w:r w:rsidRPr="009A3BAC">
        <w:rPr>
          <w:rFonts w:ascii="Arial" w:hAnsi="Arial" w:cs="Arial"/>
          <w:b/>
          <w:color w:val="000000" w:themeColor="text1"/>
          <w:spacing w:val="-6"/>
        </w:rPr>
        <w:t>GoF</w:t>
      </w:r>
      <w:proofErr w:type="spellEnd"/>
      <w:r w:rsidRPr="009A3BAC">
        <w:rPr>
          <w:rFonts w:ascii="Arial" w:hAnsi="Arial" w:cs="Arial"/>
          <w:b/>
          <w:color w:val="000000" w:themeColor="text1"/>
          <w:spacing w:val="-6"/>
        </w:rPr>
        <w:t>)</w:t>
      </w:r>
    </w:p>
    <w:tbl>
      <w:tblPr>
        <w:tblStyle w:val="TableGrid"/>
        <w:tblW w:w="0" w:type="auto"/>
        <w:tblInd w:w="198" w:type="dxa"/>
        <w:tblBorders>
          <w:insideH w:val="none" w:sz="0" w:space="0" w:color="auto"/>
          <w:insideV w:val="none" w:sz="0" w:space="0" w:color="auto"/>
        </w:tblBorders>
        <w:tblLook w:val="04A0" w:firstRow="1" w:lastRow="0" w:firstColumn="1" w:lastColumn="0" w:noHBand="0" w:noVBand="1"/>
      </w:tblPr>
      <w:tblGrid>
        <w:gridCol w:w="2901"/>
        <w:gridCol w:w="3096"/>
        <w:gridCol w:w="3097"/>
      </w:tblGrid>
      <w:tr w:rsidR="00992815" w:rsidRPr="00244BEE" w14:paraId="39ADC8F2" w14:textId="77777777" w:rsidTr="006E6CE9">
        <w:tc>
          <w:tcPr>
            <w:tcW w:w="2901" w:type="dxa"/>
            <w:tcBorders>
              <w:top w:val="single" w:sz="4" w:space="0" w:color="auto"/>
              <w:bottom w:val="single" w:sz="4" w:space="0" w:color="auto"/>
            </w:tcBorders>
          </w:tcPr>
          <w:p w14:paraId="2EB79ABB" w14:textId="77777777" w:rsidR="00992815" w:rsidRPr="00244BEE" w:rsidRDefault="00992815" w:rsidP="006E6CE9">
            <w:pPr>
              <w:rPr>
                <w:rFonts w:ascii="Arial" w:hAnsi="Arial" w:cs="Arial"/>
                <w:b/>
                <w:color w:val="000000" w:themeColor="text1"/>
                <w:sz w:val="20"/>
                <w:szCs w:val="20"/>
              </w:rPr>
            </w:pPr>
            <w:r w:rsidRPr="00244BEE">
              <w:rPr>
                <w:rFonts w:ascii="Arial" w:hAnsi="Arial" w:cs="Arial"/>
                <w:b/>
                <w:color w:val="000000" w:themeColor="text1"/>
                <w:sz w:val="20"/>
                <w:szCs w:val="20"/>
              </w:rPr>
              <w:t xml:space="preserve">Construct </w:t>
            </w:r>
          </w:p>
        </w:tc>
        <w:tc>
          <w:tcPr>
            <w:tcW w:w="3096" w:type="dxa"/>
            <w:tcBorders>
              <w:top w:val="single" w:sz="4" w:space="0" w:color="auto"/>
              <w:bottom w:val="single" w:sz="4" w:space="0" w:color="auto"/>
            </w:tcBorders>
          </w:tcPr>
          <w:p w14:paraId="54B7CF4D"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AVE</w:t>
            </w:r>
          </w:p>
        </w:tc>
        <w:tc>
          <w:tcPr>
            <w:tcW w:w="3097" w:type="dxa"/>
            <w:tcBorders>
              <w:top w:val="single" w:sz="4" w:space="0" w:color="auto"/>
              <w:bottom w:val="single" w:sz="4" w:space="0" w:color="auto"/>
            </w:tcBorders>
          </w:tcPr>
          <w:p w14:paraId="2A988EDF" w14:textId="77777777" w:rsidR="00992815" w:rsidRPr="00244BEE" w:rsidRDefault="00992815" w:rsidP="006E6CE9">
            <w:pPr>
              <w:jc w:val="center"/>
              <w:rPr>
                <w:rFonts w:ascii="Arial" w:hAnsi="Arial" w:cs="Arial"/>
                <w:b/>
                <w:color w:val="000000" w:themeColor="text1"/>
                <w:sz w:val="20"/>
                <w:szCs w:val="20"/>
              </w:rPr>
            </w:pPr>
            <w:r w:rsidRPr="00244BEE">
              <w:rPr>
                <w:rFonts w:ascii="Arial" w:hAnsi="Arial" w:cs="Arial"/>
                <w:b/>
                <w:color w:val="000000" w:themeColor="text1"/>
                <w:sz w:val="20"/>
                <w:szCs w:val="20"/>
              </w:rPr>
              <w:t>R square</w:t>
            </w:r>
          </w:p>
        </w:tc>
      </w:tr>
      <w:tr w:rsidR="00992815" w:rsidRPr="00244BEE" w14:paraId="32689F7C" w14:textId="77777777" w:rsidTr="006E6CE9">
        <w:tc>
          <w:tcPr>
            <w:tcW w:w="2901" w:type="dxa"/>
            <w:tcBorders>
              <w:top w:val="single" w:sz="4" w:space="0" w:color="auto"/>
            </w:tcBorders>
            <w:vAlign w:val="center"/>
          </w:tcPr>
          <w:p w14:paraId="5B02ADC6" w14:textId="77777777" w:rsidR="00992815" w:rsidRPr="00244BEE" w:rsidRDefault="00992815" w:rsidP="006E6CE9">
            <w:pPr>
              <w:rPr>
                <w:rFonts w:ascii="Arial" w:hAnsi="Arial" w:cs="Arial"/>
                <w:color w:val="000000" w:themeColor="text1"/>
                <w:sz w:val="20"/>
                <w:szCs w:val="20"/>
              </w:rPr>
            </w:pPr>
            <w:r w:rsidRPr="00244BEE">
              <w:rPr>
                <w:rFonts w:ascii="Arial" w:eastAsia="Arial" w:hAnsi="Arial" w:cs="Arial"/>
                <w:bCs/>
                <w:color w:val="000000" w:themeColor="text1"/>
                <w:sz w:val="20"/>
                <w:szCs w:val="20"/>
              </w:rPr>
              <w:t xml:space="preserve">AC </w:t>
            </w:r>
          </w:p>
        </w:tc>
        <w:tc>
          <w:tcPr>
            <w:tcW w:w="3096" w:type="dxa"/>
            <w:tcBorders>
              <w:top w:val="single" w:sz="4" w:space="0" w:color="auto"/>
            </w:tcBorders>
            <w:vAlign w:val="center"/>
          </w:tcPr>
          <w:p w14:paraId="10D1782C"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0.614</w:t>
            </w:r>
          </w:p>
        </w:tc>
        <w:tc>
          <w:tcPr>
            <w:tcW w:w="3097" w:type="dxa"/>
            <w:tcBorders>
              <w:top w:val="single" w:sz="4" w:space="0" w:color="auto"/>
            </w:tcBorders>
            <w:vAlign w:val="center"/>
          </w:tcPr>
          <w:p w14:paraId="4EFBF165"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0.262</w:t>
            </w:r>
          </w:p>
        </w:tc>
      </w:tr>
      <w:tr w:rsidR="00992815" w:rsidRPr="00244BEE" w14:paraId="2218CDD9" w14:textId="77777777" w:rsidTr="006E6CE9">
        <w:tc>
          <w:tcPr>
            <w:tcW w:w="2901" w:type="dxa"/>
            <w:vAlign w:val="center"/>
          </w:tcPr>
          <w:p w14:paraId="72BB322F" w14:textId="77777777" w:rsidR="00992815" w:rsidRPr="00244BEE" w:rsidRDefault="00992815" w:rsidP="006E6CE9">
            <w:pPr>
              <w:rPr>
                <w:rFonts w:ascii="Arial" w:hAnsi="Arial" w:cs="Arial"/>
                <w:color w:val="000000" w:themeColor="text1"/>
                <w:sz w:val="20"/>
                <w:szCs w:val="20"/>
              </w:rPr>
            </w:pPr>
            <w:r w:rsidRPr="00244BEE">
              <w:rPr>
                <w:rFonts w:ascii="Arial" w:eastAsia="Arial" w:hAnsi="Arial" w:cs="Arial"/>
                <w:bCs/>
                <w:color w:val="000000" w:themeColor="text1"/>
                <w:sz w:val="20"/>
                <w:szCs w:val="20"/>
              </w:rPr>
              <w:t xml:space="preserve">CC </w:t>
            </w:r>
          </w:p>
        </w:tc>
        <w:tc>
          <w:tcPr>
            <w:tcW w:w="3096" w:type="dxa"/>
            <w:vAlign w:val="center"/>
          </w:tcPr>
          <w:p w14:paraId="1281229F"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0.550</w:t>
            </w:r>
          </w:p>
        </w:tc>
        <w:tc>
          <w:tcPr>
            <w:tcW w:w="3097" w:type="dxa"/>
            <w:vAlign w:val="center"/>
          </w:tcPr>
          <w:p w14:paraId="7F19F6AA"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0.062</w:t>
            </w:r>
          </w:p>
        </w:tc>
      </w:tr>
      <w:tr w:rsidR="00992815" w:rsidRPr="00244BEE" w14:paraId="006F05B9" w14:textId="77777777" w:rsidTr="006E6CE9">
        <w:tc>
          <w:tcPr>
            <w:tcW w:w="2901" w:type="dxa"/>
            <w:vAlign w:val="center"/>
          </w:tcPr>
          <w:p w14:paraId="2C9DBB80" w14:textId="77777777" w:rsidR="00992815" w:rsidRPr="00244BEE" w:rsidRDefault="00992815" w:rsidP="006E6CE9">
            <w:pPr>
              <w:rPr>
                <w:rFonts w:ascii="Arial" w:hAnsi="Arial" w:cs="Arial"/>
                <w:color w:val="000000" w:themeColor="text1"/>
                <w:sz w:val="20"/>
                <w:szCs w:val="20"/>
              </w:rPr>
            </w:pPr>
            <w:r w:rsidRPr="00244BEE">
              <w:rPr>
                <w:rFonts w:ascii="Arial" w:eastAsia="Arial" w:hAnsi="Arial" w:cs="Arial"/>
                <w:bCs/>
                <w:color w:val="000000" w:themeColor="text1"/>
                <w:sz w:val="20"/>
                <w:szCs w:val="20"/>
              </w:rPr>
              <w:t xml:space="preserve">NC </w:t>
            </w:r>
          </w:p>
        </w:tc>
        <w:tc>
          <w:tcPr>
            <w:tcW w:w="3096" w:type="dxa"/>
            <w:vAlign w:val="center"/>
          </w:tcPr>
          <w:p w14:paraId="3A2EE3C9"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0.652</w:t>
            </w:r>
          </w:p>
        </w:tc>
        <w:tc>
          <w:tcPr>
            <w:tcW w:w="3097" w:type="dxa"/>
            <w:vAlign w:val="center"/>
          </w:tcPr>
          <w:p w14:paraId="33E55808"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0.179</w:t>
            </w:r>
          </w:p>
        </w:tc>
      </w:tr>
      <w:tr w:rsidR="00992815" w:rsidRPr="00244BEE" w14:paraId="5D22C3A4" w14:textId="77777777" w:rsidTr="006E6CE9">
        <w:tc>
          <w:tcPr>
            <w:tcW w:w="2901" w:type="dxa"/>
            <w:vAlign w:val="center"/>
          </w:tcPr>
          <w:p w14:paraId="3E3B4361" w14:textId="77777777" w:rsidR="00992815" w:rsidRPr="00244BEE" w:rsidRDefault="00992815" w:rsidP="006E6CE9">
            <w:pPr>
              <w:rPr>
                <w:rFonts w:ascii="Arial" w:hAnsi="Arial" w:cs="Arial"/>
                <w:color w:val="000000" w:themeColor="text1"/>
                <w:sz w:val="20"/>
                <w:szCs w:val="20"/>
              </w:rPr>
            </w:pPr>
            <w:r w:rsidRPr="00244BEE">
              <w:rPr>
                <w:rFonts w:ascii="Arial" w:eastAsia="Arial" w:hAnsi="Arial" w:cs="Arial"/>
                <w:bCs/>
                <w:color w:val="000000" w:themeColor="text1"/>
                <w:sz w:val="20"/>
                <w:szCs w:val="20"/>
              </w:rPr>
              <w:t xml:space="preserve">T&amp;D </w:t>
            </w:r>
          </w:p>
        </w:tc>
        <w:tc>
          <w:tcPr>
            <w:tcW w:w="3096" w:type="dxa"/>
            <w:vAlign w:val="center"/>
          </w:tcPr>
          <w:p w14:paraId="0294AA6C" w14:textId="77777777" w:rsidR="00992815" w:rsidRPr="00244BEE" w:rsidRDefault="00992815" w:rsidP="006E6CE9">
            <w:pPr>
              <w:jc w:val="center"/>
              <w:rPr>
                <w:rFonts w:ascii="Arial" w:hAnsi="Arial" w:cs="Arial"/>
                <w:color w:val="000000" w:themeColor="text1"/>
                <w:sz w:val="20"/>
                <w:szCs w:val="20"/>
              </w:rPr>
            </w:pPr>
            <w:r w:rsidRPr="00244BEE">
              <w:rPr>
                <w:rFonts w:ascii="Arial" w:eastAsia="Arial" w:hAnsi="Arial" w:cs="Arial"/>
                <w:color w:val="000000" w:themeColor="text1"/>
                <w:sz w:val="20"/>
                <w:szCs w:val="20"/>
              </w:rPr>
              <w:t>0.644</w:t>
            </w:r>
          </w:p>
        </w:tc>
        <w:tc>
          <w:tcPr>
            <w:tcW w:w="3097" w:type="dxa"/>
          </w:tcPr>
          <w:p w14:paraId="1C5AA96F" w14:textId="77777777" w:rsidR="00992815" w:rsidRPr="00244BEE" w:rsidRDefault="00992815" w:rsidP="006E6CE9">
            <w:pPr>
              <w:jc w:val="center"/>
              <w:rPr>
                <w:rFonts w:ascii="Arial" w:hAnsi="Arial" w:cs="Arial"/>
                <w:color w:val="000000" w:themeColor="text1"/>
                <w:sz w:val="20"/>
                <w:szCs w:val="20"/>
              </w:rPr>
            </w:pPr>
          </w:p>
        </w:tc>
      </w:tr>
      <w:tr w:rsidR="00992815" w:rsidRPr="00244BEE" w14:paraId="1D9EBEDB" w14:textId="77777777" w:rsidTr="006E6CE9">
        <w:tc>
          <w:tcPr>
            <w:tcW w:w="2901" w:type="dxa"/>
          </w:tcPr>
          <w:p w14:paraId="19B863E4" w14:textId="77777777" w:rsidR="00992815" w:rsidRPr="00244BEE" w:rsidRDefault="00992815" w:rsidP="006E6CE9">
            <w:pPr>
              <w:rPr>
                <w:rFonts w:ascii="Arial" w:hAnsi="Arial" w:cs="Arial"/>
                <w:color w:val="000000" w:themeColor="text1"/>
                <w:sz w:val="20"/>
                <w:szCs w:val="20"/>
              </w:rPr>
            </w:pPr>
            <w:r w:rsidRPr="00244BEE">
              <w:rPr>
                <w:rFonts w:ascii="Arial" w:hAnsi="Arial" w:cs="Arial"/>
                <w:color w:val="000000" w:themeColor="text1"/>
                <w:sz w:val="20"/>
                <w:szCs w:val="20"/>
              </w:rPr>
              <w:t xml:space="preserve">Average </w:t>
            </w:r>
          </w:p>
        </w:tc>
        <w:tc>
          <w:tcPr>
            <w:tcW w:w="3096" w:type="dxa"/>
          </w:tcPr>
          <w:p w14:paraId="51DCD83A" w14:textId="77777777" w:rsidR="00992815" w:rsidRPr="00244BEE" w:rsidRDefault="00992815" w:rsidP="006E6CE9">
            <w:pPr>
              <w:jc w:val="center"/>
              <w:rPr>
                <w:rFonts w:ascii="Arial" w:hAnsi="Arial" w:cs="Arial"/>
                <w:color w:val="000000" w:themeColor="text1"/>
                <w:sz w:val="20"/>
                <w:szCs w:val="20"/>
              </w:rPr>
            </w:pPr>
            <w:r w:rsidRPr="00244BEE">
              <w:rPr>
                <w:rFonts w:ascii="Arial" w:hAnsi="Arial" w:cs="Arial"/>
                <w:color w:val="000000" w:themeColor="text1"/>
                <w:sz w:val="20"/>
                <w:szCs w:val="20"/>
              </w:rPr>
              <w:t>0.615</w:t>
            </w:r>
          </w:p>
        </w:tc>
        <w:tc>
          <w:tcPr>
            <w:tcW w:w="3097" w:type="dxa"/>
          </w:tcPr>
          <w:p w14:paraId="205FFDF7" w14:textId="77777777" w:rsidR="00992815" w:rsidRPr="00244BEE" w:rsidRDefault="00992815" w:rsidP="006E6CE9">
            <w:pPr>
              <w:jc w:val="center"/>
              <w:rPr>
                <w:rFonts w:ascii="Arial" w:hAnsi="Arial" w:cs="Arial"/>
                <w:color w:val="000000" w:themeColor="text1"/>
                <w:sz w:val="20"/>
                <w:szCs w:val="20"/>
              </w:rPr>
            </w:pPr>
            <w:r w:rsidRPr="00244BEE">
              <w:rPr>
                <w:rFonts w:ascii="Arial" w:hAnsi="Arial" w:cs="Arial"/>
                <w:color w:val="000000" w:themeColor="text1"/>
                <w:sz w:val="20"/>
                <w:szCs w:val="20"/>
              </w:rPr>
              <w:t>0.168</w:t>
            </w:r>
          </w:p>
        </w:tc>
      </w:tr>
    </w:tbl>
    <w:p w14:paraId="6E0C8E07" w14:textId="77777777" w:rsidR="00992815" w:rsidRPr="00244BEE" w:rsidRDefault="00992815" w:rsidP="00992815">
      <w:pPr>
        <w:spacing w:after="0" w:line="240" w:lineRule="auto"/>
        <w:rPr>
          <w:rFonts w:ascii="Arial" w:eastAsiaTheme="minorEastAsia" w:hAnsi="Arial" w:cs="Arial"/>
          <w:color w:val="000000" w:themeColor="text1"/>
          <w:sz w:val="20"/>
          <w:szCs w:val="20"/>
        </w:rPr>
      </w:pPr>
    </w:p>
    <w:p w14:paraId="72B1A4C4" w14:textId="77777777" w:rsidR="00992815" w:rsidRPr="00244BEE" w:rsidRDefault="00992815" w:rsidP="00992815">
      <w:pPr>
        <w:spacing w:after="0" w:line="240" w:lineRule="auto"/>
        <w:rPr>
          <w:rFonts w:ascii="Arial" w:eastAsia="Trebuchet MS" w:hAnsi="Arial" w:cs="Arial"/>
          <w:color w:val="000000" w:themeColor="text1"/>
          <w:sz w:val="20"/>
          <w:szCs w:val="20"/>
        </w:rPr>
      </w:pPr>
      <m:oMathPara>
        <m:oMath>
          <m:r>
            <w:rPr>
              <w:rFonts w:ascii="Cambria Math" w:hAnsi="Cambria Math" w:cs="Arial"/>
              <w:color w:val="000000" w:themeColor="text1"/>
              <w:sz w:val="20"/>
              <w:szCs w:val="20"/>
            </w:rPr>
            <m:t xml:space="preserve">GoF= </m:t>
          </m:r>
          <m:rad>
            <m:radPr>
              <m:degHide m:val="1"/>
              <m:ctrlPr>
                <w:rPr>
                  <w:rFonts w:ascii="Cambria Math" w:hAnsi="Cambria Math" w:cs="Arial"/>
                  <w:i/>
                  <w:color w:val="000000" w:themeColor="text1"/>
                  <w:sz w:val="20"/>
                  <w:szCs w:val="20"/>
                </w:rPr>
              </m:ctrlPr>
            </m:radPr>
            <m:deg/>
            <m:e>
              <m:r>
                <w:rPr>
                  <w:rFonts w:ascii="Cambria Math" w:hAnsi="Cambria Math" w:cs="Arial"/>
                  <w:color w:val="000000" w:themeColor="text1"/>
                  <w:sz w:val="20"/>
                  <w:szCs w:val="20"/>
                </w:rPr>
                <m:t xml:space="preserve">Average AVE X Average </m:t>
              </m:r>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R</m:t>
                  </m:r>
                </m:e>
                <m:sup>
                  <m:r>
                    <w:rPr>
                      <w:rFonts w:ascii="Cambria Math" w:hAnsi="Cambria Math" w:cs="Arial"/>
                      <w:color w:val="000000" w:themeColor="text1"/>
                      <w:sz w:val="20"/>
                      <w:szCs w:val="20"/>
                    </w:rPr>
                    <m:t>2</m:t>
                  </m:r>
                </m:sup>
              </m:sSup>
            </m:e>
          </m:rad>
          <m:r>
            <w:rPr>
              <w:rFonts w:ascii="Cambria Math" w:hAnsi="Cambria Math" w:cs="Arial"/>
              <w:color w:val="000000" w:themeColor="text1"/>
              <w:sz w:val="20"/>
              <w:szCs w:val="20"/>
            </w:rPr>
            <m:t xml:space="preserve">= </m:t>
          </m:r>
          <m:rad>
            <m:radPr>
              <m:degHide m:val="1"/>
              <m:ctrlPr>
                <w:rPr>
                  <w:rFonts w:ascii="Cambria Math" w:hAnsi="Cambria Math" w:cs="Arial"/>
                  <w:i/>
                  <w:color w:val="000000" w:themeColor="text1"/>
                  <w:sz w:val="20"/>
                  <w:szCs w:val="20"/>
                </w:rPr>
              </m:ctrlPr>
            </m:radPr>
            <m:deg/>
            <m:e>
              <m:r>
                <w:rPr>
                  <w:rFonts w:ascii="Cambria Math" w:hAnsi="Cambria Math" w:cs="Arial"/>
                  <w:color w:val="000000" w:themeColor="text1"/>
                  <w:sz w:val="20"/>
                  <w:szCs w:val="20"/>
                </w:rPr>
                <m:t>0.615 X 0.168</m:t>
              </m:r>
            </m:e>
          </m:rad>
          <m:r>
            <w:rPr>
              <w:rFonts w:ascii="Cambria Math" w:hAnsi="Cambria Math" w:cs="Arial"/>
              <w:color w:val="000000" w:themeColor="text1"/>
              <w:sz w:val="20"/>
              <w:szCs w:val="20"/>
            </w:rPr>
            <m:t>=0.321</m:t>
          </m:r>
        </m:oMath>
      </m:oMathPara>
    </w:p>
    <w:p w14:paraId="240AE792" w14:textId="77777777" w:rsidR="00992815" w:rsidRPr="00244BEE" w:rsidRDefault="00992815" w:rsidP="00992815">
      <w:pPr>
        <w:pStyle w:val="BodyText"/>
        <w:jc w:val="both"/>
        <w:rPr>
          <w:rFonts w:ascii="Arial" w:hAnsi="Arial" w:cs="Arial"/>
          <w:color w:val="000000" w:themeColor="text1"/>
        </w:rPr>
      </w:pPr>
    </w:p>
    <w:p w14:paraId="516282F6" w14:textId="77777777" w:rsidR="00992815" w:rsidRPr="00244BEE" w:rsidRDefault="00992815" w:rsidP="00992815">
      <w:pPr>
        <w:pStyle w:val="BodyText"/>
        <w:jc w:val="both"/>
        <w:rPr>
          <w:rFonts w:ascii="Arial" w:hAnsi="Arial" w:cs="Arial"/>
          <w:color w:val="000000" w:themeColor="text1"/>
        </w:rPr>
      </w:pPr>
    </w:p>
    <w:p w14:paraId="4B46F6AD" w14:textId="3676BE18" w:rsidR="00992815" w:rsidRPr="00244BEE" w:rsidRDefault="00992815" w:rsidP="00992815">
      <w:pPr>
        <w:pStyle w:val="BodyText"/>
        <w:jc w:val="both"/>
        <w:rPr>
          <w:rFonts w:ascii="Arial" w:hAnsi="Arial" w:cs="Arial"/>
          <w:b/>
          <w:color w:val="000000" w:themeColor="text1"/>
        </w:rPr>
      </w:pPr>
      <w:r w:rsidRPr="00244BEE">
        <w:rPr>
          <w:rFonts w:ascii="Arial" w:hAnsi="Arial" w:cs="Arial"/>
          <w:b/>
          <w:color w:val="000000" w:themeColor="text1"/>
        </w:rPr>
        <w:t xml:space="preserve">Table </w:t>
      </w:r>
      <w:r w:rsidR="008576C7">
        <w:rPr>
          <w:rFonts w:ascii="Arial" w:hAnsi="Arial" w:cs="Arial"/>
          <w:b/>
          <w:color w:val="000000" w:themeColor="text1"/>
        </w:rPr>
        <w:t>8</w:t>
      </w:r>
      <w:r w:rsidRPr="00244BEE">
        <w:rPr>
          <w:rFonts w:ascii="Arial" w:hAnsi="Arial" w:cs="Arial"/>
          <w:b/>
          <w:color w:val="000000" w:themeColor="text1"/>
        </w:rPr>
        <w:t xml:space="preserve">: Summary Hypothesis testing </w:t>
      </w:r>
    </w:p>
    <w:p w14:paraId="7C72267B" w14:textId="77777777" w:rsidR="00992815" w:rsidRPr="00244BEE" w:rsidRDefault="00992815" w:rsidP="00992815">
      <w:pPr>
        <w:pStyle w:val="BodyText"/>
        <w:jc w:val="both"/>
        <w:rPr>
          <w:rFonts w:ascii="Arial" w:hAnsi="Arial" w:cs="Arial"/>
          <w:b/>
          <w:color w:val="000000" w:themeColor="text1"/>
        </w:rPr>
      </w:pPr>
    </w:p>
    <w:tbl>
      <w:tblPr>
        <w:tblW w:w="4782" w:type="pct"/>
        <w:tblInd w:w="21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363"/>
        <w:gridCol w:w="1716"/>
        <w:gridCol w:w="2172"/>
        <w:gridCol w:w="1566"/>
        <w:gridCol w:w="1253"/>
        <w:gridCol w:w="1111"/>
      </w:tblGrid>
      <w:tr w:rsidR="00992815" w:rsidRPr="00244BEE" w14:paraId="5A17B5FF" w14:textId="77777777" w:rsidTr="006E6CE9">
        <w:tc>
          <w:tcPr>
            <w:tcW w:w="742" w:type="pct"/>
            <w:tcBorders>
              <w:top w:val="single" w:sz="4" w:space="0" w:color="auto"/>
              <w:bottom w:val="single" w:sz="4" w:space="0" w:color="auto"/>
            </w:tcBorders>
            <w:tcMar>
              <w:top w:w="0" w:type="dxa"/>
              <w:left w:w="120" w:type="dxa"/>
              <w:bottom w:w="0" w:type="dxa"/>
              <w:right w:w="120" w:type="dxa"/>
            </w:tcMar>
            <w:hideMark/>
          </w:tcPr>
          <w:p w14:paraId="423B4281" w14:textId="77777777" w:rsidR="00992815" w:rsidRPr="00244BEE" w:rsidRDefault="00992815" w:rsidP="006E6CE9">
            <w:pPr>
              <w:spacing w:line="240" w:lineRule="auto"/>
              <w:rPr>
                <w:rFonts w:ascii="Arial" w:eastAsia="Arial" w:hAnsi="Arial" w:cs="Arial"/>
                <w:b/>
                <w:color w:val="000000" w:themeColor="text1"/>
                <w:sz w:val="20"/>
                <w:szCs w:val="20"/>
              </w:rPr>
            </w:pPr>
            <w:r w:rsidRPr="00244BEE">
              <w:rPr>
                <w:rFonts w:ascii="Arial" w:hAnsi="Arial" w:cs="Arial"/>
                <w:b/>
                <w:color w:val="000000" w:themeColor="text1"/>
                <w:sz w:val="20"/>
                <w:szCs w:val="20"/>
              </w:rPr>
              <w:t>Hypothesis</w:t>
            </w:r>
          </w:p>
        </w:tc>
        <w:tc>
          <w:tcPr>
            <w:tcW w:w="0" w:type="auto"/>
            <w:tcBorders>
              <w:top w:val="single" w:sz="4" w:space="0" w:color="auto"/>
              <w:bottom w:val="single" w:sz="4" w:space="0" w:color="auto"/>
            </w:tcBorders>
            <w:tcMar>
              <w:top w:w="0" w:type="dxa"/>
              <w:left w:w="120" w:type="dxa"/>
              <w:bottom w:w="0" w:type="dxa"/>
              <w:right w:w="120" w:type="dxa"/>
            </w:tcMar>
            <w:hideMark/>
          </w:tcPr>
          <w:p w14:paraId="7673386F"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hAnsi="Arial" w:cs="Arial"/>
                <w:b/>
                <w:color w:val="000000" w:themeColor="text1"/>
                <w:sz w:val="20"/>
                <w:szCs w:val="20"/>
              </w:rPr>
              <w:t>Relationship</w:t>
            </w:r>
          </w:p>
        </w:tc>
        <w:tc>
          <w:tcPr>
            <w:tcW w:w="1183" w:type="pct"/>
            <w:tcBorders>
              <w:top w:val="single" w:sz="4" w:space="0" w:color="auto"/>
              <w:bottom w:val="single" w:sz="4" w:space="0" w:color="auto"/>
            </w:tcBorders>
            <w:tcMar>
              <w:top w:w="0" w:type="dxa"/>
              <w:left w:w="120" w:type="dxa"/>
              <w:bottom w:w="0" w:type="dxa"/>
              <w:right w:w="120" w:type="dxa"/>
            </w:tcMar>
            <w:hideMark/>
          </w:tcPr>
          <w:p w14:paraId="3D48F7E8"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hAnsi="Arial" w:cs="Arial"/>
                <w:b/>
                <w:bCs/>
                <w:color w:val="000000" w:themeColor="text1"/>
                <w:sz w:val="20"/>
                <w:szCs w:val="20"/>
              </w:rPr>
              <w:t>Standard Deviation</w:t>
            </w:r>
          </w:p>
        </w:tc>
        <w:tc>
          <w:tcPr>
            <w:tcW w:w="853" w:type="pct"/>
            <w:tcBorders>
              <w:top w:val="single" w:sz="4" w:space="0" w:color="auto"/>
              <w:bottom w:val="single" w:sz="4" w:space="0" w:color="auto"/>
            </w:tcBorders>
            <w:tcMar>
              <w:top w:w="0" w:type="dxa"/>
              <w:left w:w="120" w:type="dxa"/>
              <w:bottom w:w="0" w:type="dxa"/>
              <w:right w:w="120" w:type="dxa"/>
            </w:tcMar>
            <w:vAlign w:val="center"/>
            <w:hideMark/>
          </w:tcPr>
          <w:p w14:paraId="335B433E"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hAnsi="Arial" w:cs="Arial"/>
                <w:b/>
                <w:bCs/>
                <w:color w:val="000000" w:themeColor="text1"/>
                <w:sz w:val="20"/>
                <w:szCs w:val="20"/>
              </w:rPr>
              <w:t xml:space="preserve">t values </w:t>
            </w:r>
          </w:p>
        </w:tc>
        <w:tc>
          <w:tcPr>
            <w:tcW w:w="0" w:type="auto"/>
            <w:tcBorders>
              <w:top w:val="single" w:sz="4" w:space="0" w:color="auto"/>
              <w:bottom w:val="single" w:sz="4" w:space="0" w:color="auto"/>
            </w:tcBorders>
            <w:tcMar>
              <w:top w:w="0" w:type="dxa"/>
              <w:left w:w="120" w:type="dxa"/>
              <w:bottom w:w="0" w:type="dxa"/>
              <w:right w:w="120" w:type="dxa"/>
            </w:tcMar>
            <w:vAlign w:val="center"/>
            <w:hideMark/>
          </w:tcPr>
          <w:p w14:paraId="4F2F71B2"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hAnsi="Arial" w:cs="Arial"/>
                <w:b/>
                <w:bCs/>
                <w:color w:val="000000" w:themeColor="text1"/>
                <w:sz w:val="20"/>
                <w:szCs w:val="20"/>
              </w:rPr>
              <w:t xml:space="preserve">P values </w:t>
            </w:r>
          </w:p>
        </w:tc>
        <w:tc>
          <w:tcPr>
            <w:tcW w:w="605" w:type="pct"/>
            <w:tcBorders>
              <w:top w:val="single" w:sz="4" w:space="0" w:color="auto"/>
              <w:bottom w:val="single" w:sz="4" w:space="0" w:color="auto"/>
            </w:tcBorders>
            <w:tcMar>
              <w:top w:w="0" w:type="dxa"/>
              <w:left w:w="120" w:type="dxa"/>
              <w:bottom w:w="0" w:type="dxa"/>
              <w:right w:w="120" w:type="dxa"/>
            </w:tcMar>
            <w:hideMark/>
          </w:tcPr>
          <w:p w14:paraId="6A29A123" w14:textId="77777777" w:rsidR="00992815" w:rsidRPr="00244BEE" w:rsidRDefault="00992815" w:rsidP="006E6CE9">
            <w:pPr>
              <w:spacing w:line="240" w:lineRule="auto"/>
              <w:rPr>
                <w:rFonts w:ascii="Arial" w:eastAsia="Arial" w:hAnsi="Arial" w:cs="Arial"/>
                <w:b/>
                <w:bCs/>
                <w:color w:val="000000" w:themeColor="text1"/>
                <w:sz w:val="20"/>
                <w:szCs w:val="20"/>
              </w:rPr>
            </w:pPr>
            <w:r w:rsidRPr="00244BEE">
              <w:rPr>
                <w:rFonts w:ascii="Arial" w:hAnsi="Arial" w:cs="Arial"/>
                <w:b/>
                <w:bCs/>
                <w:color w:val="000000" w:themeColor="text1"/>
                <w:spacing w:val="-2"/>
                <w:sz w:val="20"/>
                <w:szCs w:val="20"/>
              </w:rPr>
              <w:t>Decision</w:t>
            </w:r>
          </w:p>
        </w:tc>
      </w:tr>
      <w:tr w:rsidR="00992815" w:rsidRPr="00244BEE" w14:paraId="7F89BFC1" w14:textId="77777777" w:rsidTr="006E6CE9">
        <w:tc>
          <w:tcPr>
            <w:tcW w:w="742" w:type="pct"/>
            <w:tcBorders>
              <w:top w:val="single" w:sz="4" w:space="0" w:color="auto"/>
            </w:tcBorders>
            <w:tcMar>
              <w:top w:w="0" w:type="dxa"/>
              <w:left w:w="120" w:type="dxa"/>
              <w:bottom w:w="0" w:type="dxa"/>
              <w:right w:w="120" w:type="dxa"/>
            </w:tcMar>
            <w:vAlign w:val="center"/>
          </w:tcPr>
          <w:p w14:paraId="5AADE242"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H1</w:t>
            </w:r>
          </w:p>
        </w:tc>
        <w:tc>
          <w:tcPr>
            <w:tcW w:w="0" w:type="auto"/>
            <w:tcBorders>
              <w:top w:val="single" w:sz="4" w:space="0" w:color="auto"/>
            </w:tcBorders>
            <w:tcMar>
              <w:top w:w="0" w:type="dxa"/>
              <w:left w:w="120" w:type="dxa"/>
              <w:bottom w:w="0" w:type="dxa"/>
              <w:right w:w="120" w:type="dxa"/>
            </w:tcMar>
            <w:vAlign w:val="center"/>
            <w:hideMark/>
          </w:tcPr>
          <w:p w14:paraId="5BCDEA06"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bCs/>
                <w:color w:val="000000" w:themeColor="text1"/>
                <w:sz w:val="20"/>
                <w:szCs w:val="20"/>
              </w:rPr>
              <w:t xml:space="preserve">T&amp;D -&gt; AC </w:t>
            </w:r>
          </w:p>
        </w:tc>
        <w:tc>
          <w:tcPr>
            <w:tcW w:w="1183" w:type="pct"/>
            <w:tcBorders>
              <w:top w:val="single" w:sz="4" w:space="0" w:color="auto"/>
            </w:tcBorders>
            <w:tcMar>
              <w:top w:w="0" w:type="dxa"/>
              <w:left w:w="120" w:type="dxa"/>
              <w:bottom w:w="0" w:type="dxa"/>
              <w:right w:w="120" w:type="dxa"/>
            </w:tcMar>
            <w:vAlign w:val="center"/>
          </w:tcPr>
          <w:p w14:paraId="0597BF2D"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0.070</w:t>
            </w:r>
          </w:p>
        </w:tc>
        <w:tc>
          <w:tcPr>
            <w:tcW w:w="853" w:type="pct"/>
            <w:tcBorders>
              <w:top w:val="single" w:sz="4" w:space="0" w:color="auto"/>
            </w:tcBorders>
            <w:tcMar>
              <w:top w:w="0" w:type="dxa"/>
              <w:left w:w="120" w:type="dxa"/>
              <w:bottom w:w="0" w:type="dxa"/>
              <w:right w:w="120" w:type="dxa"/>
            </w:tcMar>
            <w:vAlign w:val="center"/>
          </w:tcPr>
          <w:p w14:paraId="298DD068"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7.280</w:t>
            </w:r>
          </w:p>
        </w:tc>
        <w:tc>
          <w:tcPr>
            <w:tcW w:w="0" w:type="auto"/>
            <w:tcBorders>
              <w:top w:val="single" w:sz="4" w:space="0" w:color="auto"/>
            </w:tcBorders>
            <w:tcMar>
              <w:top w:w="0" w:type="dxa"/>
              <w:left w:w="120" w:type="dxa"/>
              <w:bottom w:w="0" w:type="dxa"/>
              <w:right w:w="120" w:type="dxa"/>
            </w:tcMar>
            <w:vAlign w:val="center"/>
          </w:tcPr>
          <w:p w14:paraId="4080DBF4"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0.000</w:t>
            </w:r>
          </w:p>
        </w:tc>
        <w:tc>
          <w:tcPr>
            <w:tcW w:w="605" w:type="pct"/>
            <w:tcBorders>
              <w:top w:val="single" w:sz="4" w:space="0" w:color="auto"/>
            </w:tcBorders>
            <w:tcMar>
              <w:top w:w="0" w:type="dxa"/>
              <w:left w:w="120" w:type="dxa"/>
              <w:bottom w:w="0" w:type="dxa"/>
              <w:right w:w="120" w:type="dxa"/>
            </w:tcMar>
            <w:vAlign w:val="center"/>
          </w:tcPr>
          <w:p w14:paraId="2A8305FF"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 xml:space="preserve">Accepted </w:t>
            </w:r>
          </w:p>
        </w:tc>
      </w:tr>
      <w:tr w:rsidR="00992815" w:rsidRPr="00244BEE" w14:paraId="32465B05" w14:textId="77777777" w:rsidTr="006E6CE9">
        <w:tc>
          <w:tcPr>
            <w:tcW w:w="742" w:type="pct"/>
            <w:tcMar>
              <w:top w:w="0" w:type="dxa"/>
              <w:left w:w="120" w:type="dxa"/>
              <w:bottom w:w="0" w:type="dxa"/>
              <w:right w:w="120" w:type="dxa"/>
            </w:tcMar>
            <w:vAlign w:val="center"/>
          </w:tcPr>
          <w:p w14:paraId="628E5130"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t>H2</w:t>
            </w:r>
          </w:p>
        </w:tc>
        <w:tc>
          <w:tcPr>
            <w:tcW w:w="0" w:type="auto"/>
            <w:tcMar>
              <w:top w:w="0" w:type="dxa"/>
              <w:left w:w="120" w:type="dxa"/>
              <w:bottom w:w="0" w:type="dxa"/>
              <w:right w:w="120" w:type="dxa"/>
            </w:tcMar>
            <w:vAlign w:val="center"/>
            <w:hideMark/>
          </w:tcPr>
          <w:p w14:paraId="08CD84DE"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bCs/>
                <w:color w:val="000000" w:themeColor="text1"/>
                <w:sz w:val="20"/>
                <w:szCs w:val="20"/>
              </w:rPr>
              <w:t xml:space="preserve">T&amp;D -&gt; CC </w:t>
            </w:r>
          </w:p>
        </w:tc>
        <w:tc>
          <w:tcPr>
            <w:tcW w:w="1183" w:type="pct"/>
            <w:tcMar>
              <w:top w:w="0" w:type="dxa"/>
              <w:left w:w="120" w:type="dxa"/>
              <w:bottom w:w="0" w:type="dxa"/>
              <w:right w:w="120" w:type="dxa"/>
            </w:tcMar>
            <w:vAlign w:val="center"/>
          </w:tcPr>
          <w:p w14:paraId="4F6EF7BD"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0.058</w:t>
            </w:r>
          </w:p>
        </w:tc>
        <w:tc>
          <w:tcPr>
            <w:tcW w:w="853" w:type="pct"/>
            <w:tcMar>
              <w:top w:w="0" w:type="dxa"/>
              <w:left w:w="120" w:type="dxa"/>
              <w:bottom w:w="0" w:type="dxa"/>
              <w:right w:w="120" w:type="dxa"/>
            </w:tcMar>
            <w:vAlign w:val="center"/>
          </w:tcPr>
          <w:p w14:paraId="6F22E540"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4.255</w:t>
            </w:r>
          </w:p>
        </w:tc>
        <w:tc>
          <w:tcPr>
            <w:tcW w:w="0" w:type="auto"/>
            <w:tcMar>
              <w:top w:w="0" w:type="dxa"/>
              <w:left w:w="120" w:type="dxa"/>
              <w:bottom w:w="0" w:type="dxa"/>
              <w:right w:w="120" w:type="dxa"/>
            </w:tcMar>
            <w:vAlign w:val="center"/>
          </w:tcPr>
          <w:p w14:paraId="28C1AF0E"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0.000</w:t>
            </w:r>
          </w:p>
        </w:tc>
        <w:tc>
          <w:tcPr>
            <w:tcW w:w="605" w:type="pct"/>
            <w:tcMar>
              <w:top w:w="0" w:type="dxa"/>
              <w:left w:w="120" w:type="dxa"/>
              <w:bottom w:w="0" w:type="dxa"/>
              <w:right w:w="120" w:type="dxa"/>
            </w:tcMar>
          </w:tcPr>
          <w:p w14:paraId="296567A8"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Accepted</w:t>
            </w:r>
          </w:p>
        </w:tc>
      </w:tr>
      <w:tr w:rsidR="00992815" w:rsidRPr="00244BEE" w14:paraId="6FAE5026" w14:textId="77777777" w:rsidTr="006E6CE9">
        <w:tc>
          <w:tcPr>
            <w:tcW w:w="742" w:type="pct"/>
            <w:tcMar>
              <w:top w:w="0" w:type="dxa"/>
              <w:left w:w="120" w:type="dxa"/>
              <w:bottom w:w="0" w:type="dxa"/>
              <w:right w:w="120" w:type="dxa"/>
            </w:tcMar>
            <w:vAlign w:val="center"/>
          </w:tcPr>
          <w:p w14:paraId="501E9121" w14:textId="77777777" w:rsidR="00992815" w:rsidRPr="00244BEE" w:rsidRDefault="00992815" w:rsidP="006E6CE9">
            <w:pPr>
              <w:spacing w:line="240" w:lineRule="auto"/>
              <w:rPr>
                <w:rFonts w:ascii="Arial" w:eastAsia="Arial" w:hAnsi="Arial" w:cs="Arial"/>
                <w:bCs/>
                <w:color w:val="000000" w:themeColor="text1"/>
                <w:sz w:val="20"/>
                <w:szCs w:val="20"/>
              </w:rPr>
            </w:pPr>
            <w:r w:rsidRPr="00244BEE">
              <w:rPr>
                <w:rFonts w:ascii="Arial" w:eastAsia="Arial" w:hAnsi="Arial" w:cs="Arial"/>
                <w:bCs/>
                <w:color w:val="000000" w:themeColor="text1"/>
                <w:sz w:val="20"/>
                <w:szCs w:val="20"/>
              </w:rPr>
              <w:lastRenderedPageBreak/>
              <w:t>H3</w:t>
            </w:r>
          </w:p>
        </w:tc>
        <w:tc>
          <w:tcPr>
            <w:tcW w:w="0" w:type="auto"/>
            <w:tcMar>
              <w:top w:w="0" w:type="dxa"/>
              <w:left w:w="120" w:type="dxa"/>
              <w:bottom w:w="0" w:type="dxa"/>
              <w:right w:w="120" w:type="dxa"/>
            </w:tcMar>
            <w:vAlign w:val="center"/>
            <w:hideMark/>
          </w:tcPr>
          <w:p w14:paraId="3FB26F50"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bCs/>
                <w:color w:val="000000" w:themeColor="text1"/>
                <w:sz w:val="20"/>
                <w:szCs w:val="20"/>
              </w:rPr>
              <w:t xml:space="preserve">T&amp;D -&gt; NC </w:t>
            </w:r>
          </w:p>
        </w:tc>
        <w:tc>
          <w:tcPr>
            <w:tcW w:w="1183" w:type="pct"/>
            <w:tcMar>
              <w:top w:w="0" w:type="dxa"/>
              <w:left w:w="120" w:type="dxa"/>
              <w:bottom w:w="0" w:type="dxa"/>
              <w:right w:w="120" w:type="dxa"/>
            </w:tcMar>
            <w:vAlign w:val="center"/>
          </w:tcPr>
          <w:p w14:paraId="3B651F1D"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0.062</w:t>
            </w:r>
          </w:p>
        </w:tc>
        <w:tc>
          <w:tcPr>
            <w:tcW w:w="853" w:type="pct"/>
            <w:tcMar>
              <w:top w:w="0" w:type="dxa"/>
              <w:left w:w="120" w:type="dxa"/>
              <w:bottom w:w="0" w:type="dxa"/>
              <w:right w:w="120" w:type="dxa"/>
            </w:tcMar>
            <w:vAlign w:val="center"/>
          </w:tcPr>
          <w:p w14:paraId="31676737"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6.812</w:t>
            </w:r>
          </w:p>
        </w:tc>
        <w:tc>
          <w:tcPr>
            <w:tcW w:w="0" w:type="auto"/>
            <w:tcMar>
              <w:top w:w="0" w:type="dxa"/>
              <w:left w:w="120" w:type="dxa"/>
              <w:bottom w:w="0" w:type="dxa"/>
              <w:right w:w="120" w:type="dxa"/>
            </w:tcMar>
            <w:vAlign w:val="center"/>
          </w:tcPr>
          <w:p w14:paraId="66EF6DFD" w14:textId="77777777" w:rsidR="00992815" w:rsidRPr="00244BEE" w:rsidRDefault="00992815" w:rsidP="006E6CE9">
            <w:pPr>
              <w:spacing w:line="240" w:lineRule="auto"/>
              <w:jc w:val="center"/>
              <w:rPr>
                <w:rFonts w:ascii="Arial" w:eastAsia="Arial" w:hAnsi="Arial" w:cs="Arial"/>
                <w:color w:val="000000" w:themeColor="text1"/>
                <w:sz w:val="20"/>
                <w:szCs w:val="20"/>
              </w:rPr>
            </w:pPr>
            <w:r w:rsidRPr="00244BEE">
              <w:rPr>
                <w:rFonts w:ascii="Arial" w:eastAsia="Arial" w:hAnsi="Arial" w:cs="Arial"/>
                <w:color w:val="000000" w:themeColor="text1"/>
                <w:sz w:val="20"/>
                <w:szCs w:val="20"/>
              </w:rPr>
              <w:t>0.000</w:t>
            </w:r>
          </w:p>
        </w:tc>
        <w:tc>
          <w:tcPr>
            <w:tcW w:w="605" w:type="pct"/>
            <w:tcMar>
              <w:top w:w="0" w:type="dxa"/>
              <w:left w:w="120" w:type="dxa"/>
              <w:bottom w:w="0" w:type="dxa"/>
              <w:right w:w="120" w:type="dxa"/>
            </w:tcMar>
          </w:tcPr>
          <w:p w14:paraId="0A5B67EB" w14:textId="77777777" w:rsidR="00992815" w:rsidRPr="00244BEE" w:rsidRDefault="00992815" w:rsidP="006E6CE9">
            <w:pPr>
              <w:spacing w:line="240" w:lineRule="auto"/>
              <w:rPr>
                <w:rFonts w:ascii="Arial" w:eastAsia="Arial" w:hAnsi="Arial" w:cs="Arial"/>
                <w:color w:val="000000" w:themeColor="text1"/>
                <w:sz w:val="20"/>
                <w:szCs w:val="20"/>
              </w:rPr>
            </w:pPr>
            <w:r w:rsidRPr="00244BEE">
              <w:rPr>
                <w:rFonts w:ascii="Arial" w:eastAsia="Arial" w:hAnsi="Arial" w:cs="Arial"/>
                <w:color w:val="000000" w:themeColor="text1"/>
                <w:sz w:val="20"/>
                <w:szCs w:val="20"/>
              </w:rPr>
              <w:t>Accepted</w:t>
            </w:r>
          </w:p>
        </w:tc>
      </w:tr>
    </w:tbl>
    <w:p w14:paraId="0D45C156" w14:textId="77777777" w:rsidR="00992815" w:rsidRPr="00244BEE" w:rsidRDefault="00992815" w:rsidP="00992815">
      <w:pPr>
        <w:pStyle w:val="BodyText"/>
        <w:jc w:val="both"/>
        <w:rPr>
          <w:rFonts w:ascii="Arial" w:hAnsi="Arial" w:cs="Arial"/>
          <w:color w:val="000000" w:themeColor="text1"/>
        </w:rPr>
      </w:pPr>
    </w:p>
    <w:p w14:paraId="4816B990" w14:textId="77777777" w:rsidR="00992815" w:rsidRPr="00244BEE" w:rsidRDefault="00992815" w:rsidP="00992815">
      <w:pPr>
        <w:pStyle w:val="BodyText"/>
        <w:jc w:val="both"/>
        <w:rPr>
          <w:rFonts w:ascii="Arial" w:hAnsi="Arial" w:cs="Arial"/>
          <w:color w:val="000000" w:themeColor="text1"/>
        </w:rPr>
      </w:pPr>
      <w:r w:rsidRPr="00244BEE">
        <w:rPr>
          <w:rFonts w:ascii="Arial" w:hAnsi="Arial" w:cs="Arial"/>
          <w:b/>
          <w:noProof/>
        </w:rPr>
        <w:drawing>
          <wp:inline distT="0" distB="0" distL="0" distR="0" wp14:anchorId="535260AC" wp14:editId="1A538C2A">
            <wp:extent cx="5257799" cy="4229100"/>
            <wp:effectExtent l="0" t="0" r="635" b="0"/>
            <wp:docPr id="2218709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0" cy="4234209"/>
                    </a:xfrm>
                    <a:prstGeom prst="rect">
                      <a:avLst/>
                    </a:prstGeom>
                    <a:noFill/>
                    <a:ln>
                      <a:noFill/>
                    </a:ln>
                  </pic:spPr>
                </pic:pic>
              </a:graphicData>
            </a:graphic>
          </wp:inline>
        </w:drawing>
      </w:r>
    </w:p>
    <w:p w14:paraId="7A12C3D0" w14:textId="78F71A15" w:rsidR="00992815" w:rsidRPr="009A3BAC" w:rsidRDefault="00992815" w:rsidP="009A3BAC">
      <w:pPr>
        <w:spacing w:line="240" w:lineRule="auto"/>
        <w:jc w:val="center"/>
        <w:rPr>
          <w:rFonts w:ascii="Arial" w:hAnsi="Arial" w:cs="Arial"/>
          <w:b/>
          <w:sz w:val="20"/>
          <w:szCs w:val="20"/>
        </w:rPr>
      </w:pPr>
      <w:r w:rsidRPr="00244BEE">
        <w:rPr>
          <w:rFonts w:ascii="Arial" w:hAnsi="Arial" w:cs="Arial"/>
          <w:b/>
          <w:sz w:val="20"/>
          <w:szCs w:val="20"/>
        </w:rPr>
        <w:t>Figure 2: Path Analysis of Proposed Model</w:t>
      </w:r>
    </w:p>
    <w:p w14:paraId="3CEEEE03" w14:textId="77777777" w:rsidR="00992815" w:rsidRPr="00244BEE" w:rsidRDefault="00992815" w:rsidP="00992815">
      <w:pPr>
        <w:pStyle w:val="BodyText"/>
        <w:jc w:val="both"/>
        <w:rPr>
          <w:rFonts w:ascii="Arial" w:hAnsi="Arial" w:cs="Arial"/>
          <w:b/>
          <w:color w:val="000000" w:themeColor="text1"/>
          <w:sz w:val="22"/>
          <w:szCs w:val="22"/>
        </w:rPr>
      </w:pPr>
    </w:p>
    <w:p w14:paraId="352DAEB3" w14:textId="77777777" w:rsidR="00992815" w:rsidRPr="00244BEE" w:rsidRDefault="00992815" w:rsidP="00992815">
      <w:pPr>
        <w:pStyle w:val="BodyText"/>
        <w:jc w:val="both"/>
        <w:rPr>
          <w:rFonts w:ascii="Arial" w:hAnsi="Arial" w:cs="Arial"/>
          <w:b/>
          <w:color w:val="000000" w:themeColor="text1"/>
          <w:sz w:val="22"/>
          <w:szCs w:val="22"/>
        </w:rPr>
      </w:pPr>
      <w:r w:rsidRPr="00244BEE">
        <w:rPr>
          <w:rFonts w:ascii="Arial" w:hAnsi="Arial" w:cs="Arial"/>
          <w:b/>
          <w:color w:val="000000" w:themeColor="text1"/>
          <w:sz w:val="22"/>
          <w:szCs w:val="22"/>
        </w:rPr>
        <w:t>4.6 Discussion of Hypothesis Testing</w:t>
      </w:r>
    </w:p>
    <w:p w14:paraId="3493D90D" w14:textId="77777777" w:rsidR="00992815" w:rsidRPr="00244BEE" w:rsidRDefault="00992815" w:rsidP="00992815">
      <w:pPr>
        <w:pStyle w:val="BodyText"/>
        <w:jc w:val="both"/>
        <w:rPr>
          <w:rFonts w:ascii="Arial" w:hAnsi="Arial" w:cs="Arial"/>
          <w:color w:val="000000" w:themeColor="text1"/>
          <w:sz w:val="22"/>
          <w:szCs w:val="22"/>
        </w:rPr>
      </w:pPr>
    </w:p>
    <w:p w14:paraId="78096380" w14:textId="0CF6C0C0" w:rsidR="00992815" w:rsidRPr="009A3BAC" w:rsidRDefault="00992815" w:rsidP="009A3BAC">
      <w:pPr>
        <w:jc w:val="both"/>
        <w:rPr>
          <w:rFonts w:ascii="Arial" w:hAnsi="Arial" w:cs="Arial"/>
          <w:color w:val="000000" w:themeColor="text1"/>
          <w:sz w:val="20"/>
          <w:szCs w:val="20"/>
        </w:rPr>
      </w:pPr>
      <w:r w:rsidRPr="00244BEE">
        <w:rPr>
          <w:rFonts w:ascii="Arial" w:hAnsi="Arial" w:cs="Arial"/>
          <w:color w:val="000000" w:themeColor="text1"/>
          <w:sz w:val="20"/>
          <w:szCs w:val="20"/>
        </w:rPr>
        <w:t xml:space="preserve">Result of table </w:t>
      </w:r>
      <w:r w:rsidR="008576C7">
        <w:rPr>
          <w:rFonts w:ascii="Arial" w:hAnsi="Arial" w:cs="Arial"/>
          <w:color w:val="000000" w:themeColor="text1"/>
          <w:sz w:val="20"/>
          <w:szCs w:val="20"/>
        </w:rPr>
        <w:t>8</w:t>
      </w:r>
      <w:r w:rsidRPr="00244BEE">
        <w:rPr>
          <w:rFonts w:ascii="Arial" w:hAnsi="Arial" w:cs="Arial"/>
          <w:color w:val="000000" w:themeColor="text1"/>
          <w:sz w:val="20"/>
          <w:szCs w:val="20"/>
        </w:rPr>
        <w:t xml:space="preserve"> shows that all hypotheses are accepted as t values are greater than 1.96 and p values are less than 0.05. Previous studies confirm that effective training program can influence employee commitment which leads to have a positive organizational performance (Ko &amp; Ko, 2012). Acceptance of H1 represents that training and development significantly influences affective commitment of the faculty. If teachers are provided with relevant training and development opportunities which are valuable to them in that case it increases their affective commitment towards their university. </w:t>
      </w:r>
      <w:r w:rsidRPr="00244BEE">
        <w:rPr>
          <w:rFonts w:ascii="Arial" w:eastAsia="Times New Roman" w:hAnsi="Arial" w:cs="Arial"/>
          <w:sz w:val="20"/>
          <w:szCs w:val="20"/>
        </w:rPr>
        <w:t xml:space="preserve">The hypothesis testing results of this study is consistent with prior research in the field of training, development, and employee commitment. </w:t>
      </w:r>
      <w:r w:rsidRPr="00244BEE">
        <w:rPr>
          <w:rFonts w:ascii="Arial" w:hAnsi="Arial" w:cs="Arial"/>
          <w:sz w:val="20"/>
          <w:szCs w:val="20"/>
        </w:rPr>
        <w:t xml:space="preserve">The confirmed strong positive association between Training and Development and Affective Commitment (H1) reinforces the earlier conclusions drawn by Bashir and </w:t>
      </w:r>
      <w:proofErr w:type="spellStart"/>
      <w:r w:rsidRPr="00244BEE">
        <w:rPr>
          <w:rFonts w:ascii="Arial" w:hAnsi="Arial" w:cs="Arial"/>
          <w:sz w:val="20"/>
          <w:szCs w:val="20"/>
        </w:rPr>
        <w:t>Santhi</w:t>
      </w:r>
      <w:proofErr w:type="spellEnd"/>
      <w:r w:rsidRPr="00244BEE">
        <w:rPr>
          <w:rFonts w:ascii="Arial" w:hAnsi="Arial" w:cs="Arial"/>
          <w:sz w:val="20"/>
          <w:szCs w:val="20"/>
        </w:rPr>
        <w:t xml:space="preserve"> (2021) as well as Mathew and Zacharias (2016). Their studies highlighted that thoughtfully implemented training initiatives can deepen employees’ emotional connection to their workplace by increasing job satisfaction and opening up avenues for career advancement. Similarly, it was found that training can significantly increase affective commitment of the employees (</w:t>
      </w:r>
      <w:proofErr w:type="spellStart"/>
      <w:r w:rsidRPr="00244BEE">
        <w:rPr>
          <w:rFonts w:ascii="Arial" w:eastAsia="Times New Roman" w:hAnsi="Arial" w:cs="Arial"/>
          <w:sz w:val="20"/>
          <w:szCs w:val="20"/>
        </w:rPr>
        <w:t>Sibarani</w:t>
      </w:r>
      <w:proofErr w:type="spellEnd"/>
      <w:r w:rsidRPr="00244BEE">
        <w:rPr>
          <w:rFonts w:ascii="Arial" w:eastAsia="Times New Roman" w:hAnsi="Arial" w:cs="Arial"/>
          <w:sz w:val="20"/>
          <w:szCs w:val="20"/>
        </w:rPr>
        <w:t xml:space="preserve"> et. el., 2023)</w:t>
      </w:r>
    </w:p>
    <w:p w14:paraId="1B3B0F60" w14:textId="77777777" w:rsidR="00992815" w:rsidRPr="00244BEE" w:rsidRDefault="00992815" w:rsidP="00992815">
      <w:pPr>
        <w:pStyle w:val="BodyText"/>
        <w:jc w:val="both"/>
        <w:rPr>
          <w:rFonts w:ascii="Arial" w:hAnsi="Arial" w:cs="Arial"/>
        </w:rPr>
      </w:pPr>
      <w:r w:rsidRPr="00244BEE">
        <w:rPr>
          <w:rFonts w:ascii="Arial" w:hAnsi="Arial" w:cs="Arial"/>
        </w:rPr>
        <w:t xml:space="preserve">The validation of H2 indicates a noteworthy positive correlation between training opportunities and continuance commitment. The data from this study suggests that when faculties are provided with carefully planned training and development programs, they are more likely to perceive remaining in the organization as beneficial. This supports prior research by Isom (2023) and Bartlett and Kang (2001), who </w:t>
      </w:r>
      <w:r w:rsidRPr="00244BEE">
        <w:rPr>
          <w:rFonts w:ascii="Arial" w:hAnsi="Arial" w:cs="Arial"/>
        </w:rPr>
        <w:lastRenderedPageBreak/>
        <w:t>emphasized that employees tend to stay with organizations that regularly invest in their professional development, as leaving would entail giving up valuable skills and future opportunities. Finally, the support for H3 implies that structured training and development initiatives can substantially boost faculty members’ normative commitment. This aligns with the observations of Ben et al. (2017), who noted that employees often experience a heightened sense of duty to remain with their organization when they recognize institutional support in the form of developmental programs. Such support fosters a feeling of moral responsibility to contribute back by utilizing their newly acquired skills within the institution.</w:t>
      </w:r>
    </w:p>
    <w:p w14:paraId="43C9A2AD" w14:textId="77777777" w:rsidR="00992815" w:rsidRPr="00244BEE" w:rsidRDefault="00992815" w:rsidP="00992815">
      <w:pPr>
        <w:pStyle w:val="BodyText"/>
        <w:jc w:val="both"/>
        <w:rPr>
          <w:rFonts w:ascii="Arial" w:hAnsi="Arial" w:cs="Arial"/>
        </w:rPr>
      </w:pPr>
    </w:p>
    <w:p w14:paraId="2972A7A8" w14:textId="77777777" w:rsidR="00992815" w:rsidRPr="00244BEE" w:rsidRDefault="00992815" w:rsidP="00992815">
      <w:pPr>
        <w:spacing w:line="240" w:lineRule="auto"/>
        <w:jc w:val="both"/>
        <w:rPr>
          <w:rFonts w:ascii="Arial" w:hAnsi="Arial" w:cs="Arial"/>
          <w:b/>
        </w:rPr>
      </w:pPr>
      <w:r w:rsidRPr="00244BEE">
        <w:rPr>
          <w:rFonts w:ascii="Arial" w:hAnsi="Arial" w:cs="Arial"/>
          <w:b/>
        </w:rPr>
        <w:t>4.7 Hypothesis Testing Results and Alignment with Social Exchange Theory</w:t>
      </w:r>
    </w:p>
    <w:p w14:paraId="2E96A595" w14:textId="77777777" w:rsidR="00992815" w:rsidRPr="00244BEE" w:rsidRDefault="00992815" w:rsidP="00992815">
      <w:pPr>
        <w:spacing w:line="240" w:lineRule="auto"/>
        <w:jc w:val="both"/>
        <w:rPr>
          <w:rFonts w:ascii="Arial" w:hAnsi="Arial" w:cs="Arial"/>
          <w:sz w:val="20"/>
          <w:szCs w:val="20"/>
        </w:rPr>
      </w:pPr>
      <w:r w:rsidRPr="00244BEE">
        <w:rPr>
          <w:rFonts w:ascii="Arial" w:hAnsi="Arial" w:cs="Arial"/>
          <w:sz w:val="20"/>
          <w:szCs w:val="20"/>
        </w:rPr>
        <w:t xml:space="preserve">The hypothesis testing results, summarized in Table 9, demonstrate that training and development significantly influence all three dimensions of organizational commitment—affective, continuance, and normative. These findings can be interpreted through the lens of Social Exchange Theory (SET). </w:t>
      </w:r>
    </w:p>
    <w:p w14:paraId="645B1EE4" w14:textId="5FE3BD40" w:rsidR="00992815" w:rsidRPr="00244BEE" w:rsidRDefault="00992815" w:rsidP="00992815">
      <w:pPr>
        <w:spacing w:line="240" w:lineRule="auto"/>
        <w:rPr>
          <w:rFonts w:ascii="Arial" w:hAnsi="Arial" w:cs="Arial"/>
          <w:b/>
          <w:sz w:val="20"/>
          <w:szCs w:val="20"/>
        </w:rPr>
      </w:pPr>
      <w:r w:rsidRPr="00244BEE">
        <w:rPr>
          <w:rFonts w:ascii="Arial" w:hAnsi="Arial" w:cs="Arial"/>
          <w:b/>
          <w:sz w:val="20"/>
          <w:szCs w:val="20"/>
        </w:rPr>
        <w:t xml:space="preserve">Table </w:t>
      </w:r>
      <w:r w:rsidR="008576C7">
        <w:rPr>
          <w:rFonts w:ascii="Arial" w:hAnsi="Arial" w:cs="Arial"/>
          <w:b/>
          <w:sz w:val="20"/>
          <w:szCs w:val="20"/>
        </w:rPr>
        <w:t>09</w:t>
      </w:r>
      <w:r w:rsidRPr="00244BEE">
        <w:rPr>
          <w:rFonts w:ascii="Arial" w:hAnsi="Arial" w:cs="Arial"/>
          <w:b/>
          <w:sz w:val="20"/>
          <w:szCs w:val="20"/>
        </w:rPr>
        <w:t>: Hypothesis Testing Results and Alignment with Social Exchange Theory</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2790"/>
        <w:gridCol w:w="6570"/>
      </w:tblGrid>
      <w:tr w:rsidR="00992815" w:rsidRPr="00244BEE" w14:paraId="1F42463E" w14:textId="77777777" w:rsidTr="006E6CE9">
        <w:tc>
          <w:tcPr>
            <w:tcW w:w="2790" w:type="dxa"/>
            <w:tcBorders>
              <w:top w:val="single" w:sz="4" w:space="0" w:color="auto"/>
              <w:left w:val="single" w:sz="4" w:space="0" w:color="auto"/>
              <w:bottom w:val="single" w:sz="4" w:space="0" w:color="auto"/>
              <w:right w:val="nil"/>
            </w:tcBorders>
          </w:tcPr>
          <w:p w14:paraId="16BD01E6" w14:textId="77777777" w:rsidR="00992815" w:rsidRPr="00244BEE" w:rsidRDefault="00992815" w:rsidP="006E6CE9">
            <w:pPr>
              <w:jc w:val="both"/>
              <w:rPr>
                <w:rFonts w:ascii="Arial" w:hAnsi="Arial" w:cs="Arial"/>
                <w:b/>
                <w:sz w:val="20"/>
                <w:szCs w:val="20"/>
              </w:rPr>
            </w:pPr>
            <w:r w:rsidRPr="00244BEE">
              <w:rPr>
                <w:rFonts w:ascii="Arial" w:hAnsi="Arial" w:cs="Arial"/>
                <w:b/>
                <w:sz w:val="20"/>
                <w:szCs w:val="20"/>
              </w:rPr>
              <w:t xml:space="preserve">Hypothesis </w:t>
            </w:r>
          </w:p>
        </w:tc>
        <w:tc>
          <w:tcPr>
            <w:tcW w:w="6570" w:type="dxa"/>
            <w:tcBorders>
              <w:top w:val="single" w:sz="4" w:space="0" w:color="auto"/>
              <w:left w:val="nil"/>
              <w:bottom w:val="single" w:sz="4" w:space="0" w:color="auto"/>
              <w:right w:val="single" w:sz="4" w:space="0" w:color="auto"/>
            </w:tcBorders>
          </w:tcPr>
          <w:p w14:paraId="6BFE8BB3" w14:textId="77777777" w:rsidR="00992815" w:rsidRPr="00244BEE" w:rsidRDefault="00992815" w:rsidP="006E6CE9">
            <w:pPr>
              <w:jc w:val="both"/>
              <w:rPr>
                <w:rFonts w:ascii="Arial" w:hAnsi="Arial" w:cs="Arial"/>
                <w:b/>
                <w:sz w:val="20"/>
                <w:szCs w:val="20"/>
              </w:rPr>
            </w:pPr>
            <w:r w:rsidRPr="00244BEE">
              <w:rPr>
                <w:rFonts w:ascii="Arial" w:hAnsi="Arial" w:cs="Arial"/>
                <w:b/>
                <w:sz w:val="20"/>
                <w:szCs w:val="20"/>
              </w:rPr>
              <w:t xml:space="preserve">Interpretation aligned with Social Exchange Theory </w:t>
            </w:r>
          </w:p>
        </w:tc>
      </w:tr>
      <w:tr w:rsidR="00992815" w:rsidRPr="00244BEE" w14:paraId="2034E31B" w14:textId="77777777" w:rsidTr="006E6CE9">
        <w:tc>
          <w:tcPr>
            <w:tcW w:w="2790" w:type="dxa"/>
            <w:tcBorders>
              <w:top w:val="single" w:sz="4" w:space="0" w:color="auto"/>
            </w:tcBorders>
          </w:tcPr>
          <w:p w14:paraId="4C8D87DF"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Training and Development has a positive impact on affective commitment</w:t>
            </w:r>
          </w:p>
        </w:tc>
        <w:tc>
          <w:tcPr>
            <w:tcW w:w="6570" w:type="dxa"/>
            <w:tcBorders>
              <w:top w:val="single" w:sz="4" w:space="0" w:color="auto"/>
            </w:tcBorders>
          </w:tcPr>
          <w:p w14:paraId="6CA25D8F"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When institutions prioritize faculty development, it enhances emotional connection. Faculty members interpret such investment as a sign of being valued, which encourages them to form deeper emotional ties with the organization, reflecting SET’s trust and loyalty in reciprocal relationships.</w:t>
            </w:r>
          </w:p>
          <w:p w14:paraId="2BEC3834" w14:textId="77777777" w:rsidR="00992815" w:rsidRPr="00244BEE" w:rsidRDefault="00992815" w:rsidP="006E6CE9">
            <w:pPr>
              <w:jc w:val="both"/>
              <w:rPr>
                <w:rFonts w:ascii="Arial" w:hAnsi="Arial" w:cs="Arial"/>
                <w:sz w:val="20"/>
                <w:szCs w:val="20"/>
              </w:rPr>
            </w:pPr>
          </w:p>
        </w:tc>
      </w:tr>
      <w:tr w:rsidR="00992815" w:rsidRPr="00244BEE" w14:paraId="5F46282B" w14:textId="77777777" w:rsidTr="006E6CE9">
        <w:tc>
          <w:tcPr>
            <w:tcW w:w="2790" w:type="dxa"/>
          </w:tcPr>
          <w:p w14:paraId="27F94FD6"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Training and Development has a positive impact on continuance commitment</w:t>
            </w:r>
          </w:p>
        </w:tc>
        <w:tc>
          <w:tcPr>
            <w:tcW w:w="6570" w:type="dxa"/>
          </w:tcPr>
          <w:p w14:paraId="22789418"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Opportunities for growth through training lead faculty to perceive fewer external options and greater costs associated with leaving. In response to the organization's support, they are more motivated to remain, aligning with SET’s cost and benefit reciprocal principle.</w:t>
            </w:r>
          </w:p>
          <w:p w14:paraId="06D61DE9" w14:textId="77777777" w:rsidR="00992815" w:rsidRPr="00244BEE" w:rsidRDefault="00992815" w:rsidP="006E6CE9">
            <w:pPr>
              <w:jc w:val="both"/>
              <w:rPr>
                <w:rFonts w:ascii="Arial" w:hAnsi="Arial" w:cs="Arial"/>
                <w:sz w:val="20"/>
                <w:szCs w:val="20"/>
              </w:rPr>
            </w:pPr>
          </w:p>
        </w:tc>
      </w:tr>
      <w:tr w:rsidR="00992815" w:rsidRPr="00244BEE" w14:paraId="61D59A0B" w14:textId="77777777" w:rsidTr="006E6CE9">
        <w:tc>
          <w:tcPr>
            <w:tcW w:w="2790" w:type="dxa"/>
          </w:tcPr>
          <w:p w14:paraId="217FE020"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Training and Development has a positive impact on normative commitment</w:t>
            </w:r>
          </w:p>
        </w:tc>
        <w:tc>
          <w:tcPr>
            <w:tcW w:w="6570" w:type="dxa"/>
            <w:vAlign w:val="center"/>
          </w:tcPr>
          <w:p w14:paraId="41C5F1AF" w14:textId="77777777" w:rsidR="00992815" w:rsidRPr="00244BEE" w:rsidRDefault="00992815" w:rsidP="006E6CE9">
            <w:pPr>
              <w:jc w:val="both"/>
              <w:rPr>
                <w:rFonts w:ascii="Arial" w:hAnsi="Arial" w:cs="Arial"/>
                <w:sz w:val="20"/>
                <w:szCs w:val="20"/>
              </w:rPr>
            </w:pPr>
            <w:r w:rsidRPr="00244BEE">
              <w:rPr>
                <w:rFonts w:ascii="Arial" w:hAnsi="Arial" w:cs="Arial"/>
                <w:sz w:val="20"/>
                <w:szCs w:val="20"/>
              </w:rPr>
              <w:t>When organizations invest in professional development faculty may feel a sense of duty to reciprocate by staying with it. This moral responsibility reflects SET’s concept of mutual obligation, where individuals feel obliged to return the goodwill that has been shown to them.</w:t>
            </w:r>
          </w:p>
        </w:tc>
      </w:tr>
    </w:tbl>
    <w:p w14:paraId="5A837F2C" w14:textId="77777777" w:rsidR="00992815" w:rsidRPr="00244BEE" w:rsidRDefault="00992815" w:rsidP="00992815">
      <w:pPr>
        <w:spacing w:line="240" w:lineRule="auto"/>
        <w:jc w:val="both"/>
        <w:rPr>
          <w:rFonts w:ascii="Arial" w:hAnsi="Arial" w:cs="Arial"/>
          <w:b/>
          <w:sz w:val="20"/>
          <w:szCs w:val="20"/>
        </w:rPr>
      </w:pPr>
    </w:p>
    <w:p w14:paraId="01B29966" w14:textId="77777777" w:rsidR="00992815" w:rsidRPr="00244BEE" w:rsidRDefault="00992815" w:rsidP="00992815">
      <w:pPr>
        <w:spacing w:line="240" w:lineRule="auto"/>
        <w:jc w:val="both"/>
        <w:rPr>
          <w:rFonts w:ascii="Arial" w:hAnsi="Arial" w:cs="Arial"/>
          <w:b/>
        </w:rPr>
      </w:pPr>
      <w:r w:rsidRPr="00244BEE">
        <w:rPr>
          <w:rFonts w:ascii="Arial" w:hAnsi="Arial" w:cs="Arial"/>
          <w:b/>
        </w:rPr>
        <w:t>5. CONCLUSION</w:t>
      </w:r>
    </w:p>
    <w:p w14:paraId="3BB38C70" w14:textId="77777777" w:rsidR="00992815" w:rsidRPr="00244BEE" w:rsidRDefault="00992815" w:rsidP="00992815">
      <w:pPr>
        <w:jc w:val="both"/>
        <w:rPr>
          <w:rFonts w:ascii="Arial" w:hAnsi="Arial" w:cs="Arial"/>
          <w:sz w:val="20"/>
          <w:szCs w:val="20"/>
        </w:rPr>
      </w:pPr>
      <w:r w:rsidRPr="00244BEE">
        <w:rPr>
          <w:rFonts w:ascii="Arial" w:hAnsi="Arial" w:cs="Arial"/>
          <w:sz w:val="20"/>
          <w:szCs w:val="20"/>
        </w:rPr>
        <w:t xml:space="preserve">This study has examined how Training and Development impact on Organizational Commitment with a particular focus on how organizational investment in employee development shapes their attitudes, retention, and performance. The review of prior literature revealed consistent evidence that training and development positively influences employee commitment, job satisfaction, and intention to stay (Bartlett, 2001; Ahmad &amp; Bakar, 2003; </w:t>
      </w:r>
      <w:proofErr w:type="spellStart"/>
      <w:r w:rsidRPr="00244BEE">
        <w:rPr>
          <w:rFonts w:ascii="Arial" w:hAnsi="Arial" w:cs="Arial"/>
          <w:sz w:val="20"/>
          <w:szCs w:val="20"/>
        </w:rPr>
        <w:t>Jehanzeb</w:t>
      </w:r>
      <w:proofErr w:type="spellEnd"/>
      <w:r w:rsidRPr="00244BEE">
        <w:rPr>
          <w:rFonts w:ascii="Arial" w:hAnsi="Arial" w:cs="Arial"/>
          <w:sz w:val="20"/>
          <w:szCs w:val="20"/>
        </w:rPr>
        <w:t xml:space="preserve"> &amp; Bashir, 2013). Strategically designed and implemented training program can increase employee commitment as employees get the facility to enrich themselves (</w:t>
      </w:r>
      <w:proofErr w:type="spellStart"/>
      <w:r w:rsidRPr="00244BEE">
        <w:rPr>
          <w:rFonts w:ascii="Arial" w:hAnsi="Arial" w:cs="Arial"/>
          <w:sz w:val="20"/>
          <w:szCs w:val="20"/>
        </w:rPr>
        <w:t>Khailey</w:t>
      </w:r>
      <w:proofErr w:type="spellEnd"/>
      <w:r w:rsidRPr="00244BEE">
        <w:rPr>
          <w:rFonts w:ascii="Arial" w:hAnsi="Arial" w:cs="Arial"/>
          <w:sz w:val="20"/>
          <w:szCs w:val="20"/>
        </w:rPr>
        <w:t xml:space="preserve"> &amp; Ibrahim, 2023). Training has direct and positive effect on employee commitment. (</w:t>
      </w:r>
      <w:proofErr w:type="spellStart"/>
      <w:r w:rsidRPr="00244BEE">
        <w:rPr>
          <w:rFonts w:ascii="Arial" w:hAnsi="Arial" w:cs="Arial"/>
          <w:sz w:val="20"/>
          <w:szCs w:val="20"/>
        </w:rPr>
        <w:t>Kurniasari</w:t>
      </w:r>
      <w:proofErr w:type="spellEnd"/>
      <w:r w:rsidRPr="00244BEE">
        <w:rPr>
          <w:rFonts w:ascii="Arial" w:hAnsi="Arial" w:cs="Arial"/>
          <w:sz w:val="20"/>
          <w:szCs w:val="20"/>
        </w:rPr>
        <w:t xml:space="preserve"> et al., 2018; astute &amp; </w:t>
      </w:r>
      <w:proofErr w:type="spellStart"/>
      <w:r w:rsidRPr="00244BEE">
        <w:rPr>
          <w:rFonts w:ascii="Arial" w:hAnsi="Arial" w:cs="Arial"/>
          <w:sz w:val="20"/>
          <w:szCs w:val="20"/>
        </w:rPr>
        <w:t>Harnuansa</w:t>
      </w:r>
      <w:proofErr w:type="spellEnd"/>
      <w:r w:rsidRPr="00244BEE">
        <w:rPr>
          <w:rFonts w:ascii="Arial" w:hAnsi="Arial" w:cs="Arial"/>
          <w:sz w:val="20"/>
          <w:szCs w:val="20"/>
        </w:rPr>
        <w:t xml:space="preserve">, 2022). Several hypotheses were considered, including (H1) training and development positively impact on affective commitment, (H2) training and development programs positively impact on continuous commitment and (H3) training and development programs impact on normative commitment. The findings across studies support these hypotheses, showing that when organizations invest in training, employees reciprocate with stronger emotional attachment and loyalty, as suggested by Social Exchange Theory (SET). Findings from </w:t>
      </w:r>
      <w:r w:rsidRPr="00244BEE">
        <w:rPr>
          <w:rFonts w:ascii="Arial" w:eastAsia="Times New Roman" w:hAnsi="Arial" w:cs="Arial"/>
          <w:sz w:val="20"/>
          <w:szCs w:val="20"/>
        </w:rPr>
        <w:t xml:space="preserve">Yang, Sanders, &amp; </w:t>
      </w:r>
      <w:proofErr w:type="spellStart"/>
      <w:r w:rsidRPr="00244BEE">
        <w:rPr>
          <w:rFonts w:ascii="Arial" w:eastAsia="Times New Roman" w:hAnsi="Arial" w:cs="Arial"/>
          <w:sz w:val="20"/>
          <w:szCs w:val="20"/>
        </w:rPr>
        <w:t>Bumatay</w:t>
      </w:r>
      <w:proofErr w:type="spellEnd"/>
      <w:r w:rsidRPr="00244BEE">
        <w:rPr>
          <w:rFonts w:ascii="Arial" w:hAnsi="Arial" w:cs="Arial"/>
          <w:sz w:val="20"/>
          <w:szCs w:val="20"/>
        </w:rPr>
        <w:t xml:space="preserve"> (2012) confirmed that perceptions of training enhance commitment.  </w:t>
      </w:r>
      <w:proofErr w:type="spellStart"/>
      <w:r w:rsidRPr="00244BEE">
        <w:rPr>
          <w:rFonts w:ascii="Arial" w:hAnsi="Arial" w:cs="Arial"/>
          <w:sz w:val="20"/>
          <w:szCs w:val="20"/>
        </w:rPr>
        <w:t>Jehanzeb</w:t>
      </w:r>
      <w:proofErr w:type="spellEnd"/>
      <w:r w:rsidRPr="00244BEE">
        <w:rPr>
          <w:rFonts w:ascii="Arial" w:hAnsi="Arial" w:cs="Arial"/>
          <w:sz w:val="20"/>
          <w:szCs w:val="20"/>
        </w:rPr>
        <w:t xml:space="preserve">, &amp; Bashir (2013) emphasized the role of compensation and career growth in strengthening this link. </w:t>
      </w:r>
      <w:proofErr w:type="spellStart"/>
      <w:r w:rsidRPr="00244BEE">
        <w:rPr>
          <w:rFonts w:ascii="Arial" w:hAnsi="Arial" w:cs="Arial"/>
          <w:sz w:val="20"/>
          <w:szCs w:val="20"/>
        </w:rPr>
        <w:t>Bulut</w:t>
      </w:r>
      <w:proofErr w:type="spellEnd"/>
      <w:r w:rsidRPr="00244BEE">
        <w:rPr>
          <w:rFonts w:ascii="Arial" w:hAnsi="Arial" w:cs="Arial"/>
          <w:sz w:val="20"/>
          <w:szCs w:val="20"/>
        </w:rPr>
        <w:t xml:space="preserve"> and </w:t>
      </w:r>
      <w:proofErr w:type="spellStart"/>
      <w:r w:rsidRPr="00244BEE">
        <w:rPr>
          <w:rFonts w:ascii="Arial" w:hAnsi="Arial" w:cs="Arial"/>
          <w:sz w:val="20"/>
          <w:szCs w:val="20"/>
        </w:rPr>
        <w:t>Chulha</w:t>
      </w:r>
      <w:proofErr w:type="spellEnd"/>
      <w:r w:rsidRPr="00244BEE">
        <w:rPr>
          <w:rFonts w:ascii="Arial" w:hAnsi="Arial" w:cs="Arial"/>
          <w:sz w:val="20"/>
          <w:szCs w:val="20"/>
        </w:rPr>
        <w:t xml:space="preserve"> (20210) also proved that all elements of training can significantly improve employee commitment. Employer’s consciously designed investment on training has a significant positive impact on affective commitment of the employees (</w:t>
      </w:r>
      <w:proofErr w:type="spellStart"/>
      <w:r w:rsidRPr="00244BEE">
        <w:rPr>
          <w:rFonts w:ascii="Arial" w:eastAsia="Times New Roman" w:hAnsi="Arial" w:cs="Arial"/>
          <w:sz w:val="20"/>
          <w:szCs w:val="20"/>
        </w:rPr>
        <w:t>Sibarani</w:t>
      </w:r>
      <w:proofErr w:type="spellEnd"/>
      <w:r w:rsidRPr="00244BEE">
        <w:rPr>
          <w:rFonts w:ascii="Arial" w:eastAsia="Times New Roman" w:hAnsi="Arial" w:cs="Arial"/>
          <w:sz w:val="20"/>
          <w:szCs w:val="20"/>
        </w:rPr>
        <w:t xml:space="preserve"> et. el., 2023). </w:t>
      </w:r>
      <w:r w:rsidRPr="00244BEE">
        <w:rPr>
          <w:rFonts w:ascii="Arial" w:hAnsi="Arial" w:cs="Arial"/>
          <w:sz w:val="20"/>
          <w:szCs w:val="20"/>
        </w:rPr>
        <w:t xml:space="preserve">In private universities of Bangladesh, where faculty turnover is a major challenge, </w:t>
      </w:r>
      <w:r w:rsidRPr="00244BEE">
        <w:rPr>
          <w:rFonts w:ascii="Arial" w:hAnsi="Arial" w:cs="Arial"/>
          <w:sz w:val="20"/>
          <w:szCs w:val="20"/>
        </w:rPr>
        <w:lastRenderedPageBreak/>
        <w:t>systematic investment in professional development enhances commitment, improves teaching quality, and strengthens institutional performance.</w:t>
      </w:r>
    </w:p>
    <w:p w14:paraId="721F68DF" w14:textId="77777777" w:rsidR="00992815" w:rsidRPr="00244BEE" w:rsidRDefault="00992815" w:rsidP="00992815">
      <w:pPr>
        <w:spacing w:before="100" w:beforeAutospacing="1" w:after="100" w:afterAutospacing="1" w:line="240" w:lineRule="auto"/>
        <w:rPr>
          <w:rFonts w:ascii="Arial" w:eastAsia="Times New Roman" w:hAnsi="Arial" w:cs="Arial"/>
          <w:b/>
          <w:bCs/>
        </w:rPr>
      </w:pPr>
      <w:r w:rsidRPr="00244BEE">
        <w:rPr>
          <w:rFonts w:ascii="Arial" w:eastAsia="Times New Roman" w:hAnsi="Arial" w:cs="Arial"/>
          <w:b/>
          <w:bCs/>
        </w:rPr>
        <w:t xml:space="preserve">6. IMPLICATIONS </w:t>
      </w:r>
    </w:p>
    <w:p w14:paraId="3A072F18" w14:textId="77777777" w:rsidR="00992815" w:rsidRPr="00244BEE" w:rsidRDefault="00992815" w:rsidP="00992815">
      <w:pPr>
        <w:spacing w:before="100" w:beforeAutospacing="1" w:after="100" w:afterAutospacing="1" w:line="240" w:lineRule="auto"/>
        <w:rPr>
          <w:rFonts w:ascii="Arial" w:hAnsi="Arial" w:cs="Arial"/>
        </w:rPr>
      </w:pPr>
      <w:r w:rsidRPr="00244BEE">
        <w:rPr>
          <w:rFonts w:ascii="Arial" w:eastAsia="Times New Roman" w:hAnsi="Arial" w:cs="Arial"/>
          <w:b/>
          <w:bCs/>
        </w:rPr>
        <w:t>6.1 Practical Implications</w:t>
      </w:r>
    </w:p>
    <w:p w14:paraId="4E339E12" w14:textId="2092FC99" w:rsidR="00992815" w:rsidRPr="00244BEE" w:rsidRDefault="00992815" w:rsidP="00992815">
      <w:pPr>
        <w:spacing w:before="100" w:beforeAutospacing="1" w:after="100" w:afterAutospacing="1" w:line="240" w:lineRule="auto"/>
        <w:jc w:val="both"/>
        <w:rPr>
          <w:rFonts w:ascii="Arial" w:hAnsi="Arial" w:cs="Arial"/>
          <w:sz w:val="20"/>
          <w:szCs w:val="20"/>
        </w:rPr>
      </w:pPr>
      <w:r w:rsidRPr="00244BEE">
        <w:rPr>
          <w:rFonts w:ascii="Arial" w:hAnsi="Arial" w:cs="Arial"/>
          <w:sz w:val="20"/>
          <w:szCs w:val="20"/>
        </w:rPr>
        <w:t>For managers and policymakers in Bangladeshi higher education institutions, the findings of this study underscore about the need to treat training and development as a strategic priority rather than an optional cost. Practically, institutions should implement structured professional development programs, provide mentoring, and establish clear career advancement pathways to strengthen employees’ emotional and professional attachment. In private universities—where retaining qualified faculty is a persistent challenge—well-designed training initiatives can enhance organizational commitment, reduce turnover, and improve teaching effectiveness. Managers can further reinforce these outcomes by fostering a culture of continuous learning, incentivizing professional certifications, and linking development opportunities to performance, thereby promoting a sense of belonging and encouraging positive organizational behaviors that support institutional competitiveness and sustainability.</w:t>
      </w:r>
    </w:p>
    <w:p w14:paraId="2D43F886" w14:textId="77777777" w:rsidR="00992815" w:rsidRPr="00244BEE" w:rsidRDefault="00992815" w:rsidP="00992815">
      <w:pPr>
        <w:spacing w:before="100" w:beforeAutospacing="1" w:after="100" w:afterAutospacing="1" w:line="240" w:lineRule="auto"/>
        <w:rPr>
          <w:rFonts w:ascii="Arial" w:eastAsia="Times New Roman" w:hAnsi="Arial" w:cs="Arial"/>
        </w:rPr>
      </w:pPr>
      <w:r w:rsidRPr="00244BEE">
        <w:rPr>
          <w:rFonts w:ascii="Arial" w:eastAsia="Times New Roman" w:hAnsi="Arial" w:cs="Arial"/>
          <w:b/>
          <w:bCs/>
        </w:rPr>
        <w:t>6.2 Theoretical Implications</w:t>
      </w:r>
    </w:p>
    <w:p w14:paraId="23A1FA4F" w14:textId="77777777"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Theoretically, this report strengthens the application of Social Exchange Theory (SET) by demonstrating how training serves as a form of organizational investment that elicits reciprocal commitment from employees. It highlights that perceived organizational support through training is not merely instrumental but also symbolic, reinforcing employees’ trust and loyalty. Additionally, this work integrates insights from organizational commitment literature (Meyer &amp; Allen, 1997) with HRD practices, showing that training directly and indirectly influences multiple forms of commitment. By linking Training and Development to affective, continuous and normative commitment, the study contributes to the understanding of how HR practices in higher education can function as antecedents of sustainable employee–organization relationships.</w:t>
      </w:r>
    </w:p>
    <w:p w14:paraId="180C6312" w14:textId="41F13ED1" w:rsidR="00992815" w:rsidRPr="009A3BAC" w:rsidRDefault="009A3BAC" w:rsidP="00992815">
      <w:pPr>
        <w:spacing w:before="100" w:beforeAutospacing="1" w:after="100" w:afterAutospacing="1" w:line="240" w:lineRule="auto"/>
        <w:rPr>
          <w:rFonts w:ascii="Arial" w:eastAsia="Times New Roman" w:hAnsi="Arial" w:cs="Arial"/>
        </w:rPr>
      </w:pPr>
      <w:r w:rsidRPr="009A3BAC">
        <w:rPr>
          <w:rFonts w:ascii="Arial" w:eastAsia="Times New Roman" w:hAnsi="Arial" w:cs="Arial"/>
          <w:b/>
          <w:bCs/>
        </w:rPr>
        <w:t xml:space="preserve">6.3 </w:t>
      </w:r>
      <w:r w:rsidR="00992815" w:rsidRPr="009A3BAC">
        <w:rPr>
          <w:rFonts w:ascii="Arial" w:eastAsia="Times New Roman" w:hAnsi="Arial" w:cs="Arial"/>
          <w:b/>
          <w:bCs/>
        </w:rPr>
        <w:t>Future Research Directions</w:t>
      </w:r>
    </w:p>
    <w:p w14:paraId="2E41701F" w14:textId="77777777"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Future research should empirically test the hypothesized relationships within private higher education institutions in Bangladesh using longitudinal and mixed-method approaches to capture both short-term and long-term impacts of training. Comparative studies between private and public universities would also be valuable to identify sector-specific differences in training effectiveness and employee commitment. Additionally, as higher education increasingly integrates technology, exploring the role of e-learning platforms, digital upskilling, and AI-driven training tools in shaping faculty commitment could provide fresh insights. Finally, cross-cultural comparative studies could validate whether the investment–reciprocity model holds true across different developing and developed country contexts, thereby extending the generalizability of the findings.</w:t>
      </w:r>
    </w:p>
    <w:p w14:paraId="7C97A0B7" w14:textId="77777777" w:rsidR="009A3BAC" w:rsidRDefault="009A3BAC" w:rsidP="00992815">
      <w:pPr>
        <w:spacing w:before="100" w:beforeAutospacing="1" w:after="100" w:afterAutospacing="1" w:line="240" w:lineRule="auto"/>
        <w:jc w:val="both"/>
        <w:rPr>
          <w:rFonts w:ascii="Arial" w:eastAsia="Times New Roman" w:hAnsi="Arial" w:cs="Arial"/>
          <w:b/>
        </w:rPr>
      </w:pPr>
    </w:p>
    <w:p w14:paraId="1F773326" w14:textId="77777777" w:rsidR="00992815" w:rsidRPr="00244BEE" w:rsidRDefault="00992815" w:rsidP="00992815">
      <w:pPr>
        <w:spacing w:before="100" w:beforeAutospacing="1" w:after="100" w:afterAutospacing="1" w:line="240" w:lineRule="auto"/>
        <w:jc w:val="both"/>
        <w:rPr>
          <w:rFonts w:ascii="Arial" w:eastAsia="Times New Roman" w:hAnsi="Arial" w:cs="Arial"/>
          <w:b/>
        </w:rPr>
      </w:pPr>
      <w:r w:rsidRPr="00244BEE">
        <w:rPr>
          <w:rFonts w:ascii="Arial" w:eastAsia="Times New Roman" w:hAnsi="Arial" w:cs="Arial"/>
          <w:b/>
        </w:rPr>
        <w:t>ACKNOWLEDGEMENT</w:t>
      </w:r>
    </w:p>
    <w:p w14:paraId="3AF20322" w14:textId="77777777"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None.</w:t>
      </w:r>
    </w:p>
    <w:p w14:paraId="716F1062" w14:textId="77777777" w:rsidR="00992815" w:rsidRPr="00244BEE" w:rsidRDefault="00992815" w:rsidP="00992815">
      <w:pPr>
        <w:spacing w:before="100" w:beforeAutospacing="1" w:after="100" w:afterAutospacing="1" w:line="240" w:lineRule="auto"/>
        <w:jc w:val="both"/>
        <w:rPr>
          <w:rFonts w:ascii="Arial" w:eastAsia="Times New Roman" w:hAnsi="Arial" w:cs="Arial"/>
          <w:b/>
        </w:rPr>
      </w:pPr>
      <w:r w:rsidRPr="00244BEE">
        <w:rPr>
          <w:rFonts w:ascii="Arial" w:eastAsia="Times New Roman" w:hAnsi="Arial" w:cs="Arial"/>
          <w:b/>
        </w:rPr>
        <w:t>COMPETING INTEREST</w:t>
      </w:r>
    </w:p>
    <w:p w14:paraId="4CD4620F" w14:textId="77777777" w:rsidR="00992815" w:rsidRPr="00244BEE" w:rsidRDefault="00992815" w:rsidP="00992815">
      <w:pPr>
        <w:spacing w:before="100" w:beforeAutospacing="1" w:after="100" w:afterAutospacing="1" w:line="240" w:lineRule="auto"/>
        <w:jc w:val="both"/>
        <w:rPr>
          <w:rFonts w:ascii="Arial" w:eastAsia="Times New Roman" w:hAnsi="Arial" w:cs="Arial"/>
          <w:sz w:val="20"/>
          <w:szCs w:val="20"/>
        </w:rPr>
      </w:pPr>
      <w:r w:rsidRPr="00244BEE">
        <w:rPr>
          <w:rFonts w:ascii="Arial" w:eastAsia="Times New Roman" w:hAnsi="Arial" w:cs="Arial"/>
          <w:sz w:val="20"/>
          <w:szCs w:val="20"/>
        </w:rPr>
        <w:t>There is no competing interest between the authors.</w:t>
      </w:r>
    </w:p>
    <w:p w14:paraId="0AC2A6DB" w14:textId="77777777" w:rsidR="00992815" w:rsidRPr="00244BEE" w:rsidRDefault="00992815" w:rsidP="00992815">
      <w:pPr>
        <w:pStyle w:val="NormalWeb"/>
        <w:rPr>
          <w:rFonts w:ascii="Arial" w:hAnsi="Arial" w:cs="Arial"/>
          <w:b/>
          <w:bCs/>
          <w:sz w:val="22"/>
          <w:szCs w:val="22"/>
        </w:rPr>
      </w:pPr>
      <w:r w:rsidRPr="00244BEE">
        <w:rPr>
          <w:rFonts w:ascii="Arial" w:hAnsi="Arial" w:cs="Arial"/>
          <w:b/>
          <w:bCs/>
          <w:sz w:val="22"/>
          <w:szCs w:val="22"/>
        </w:rPr>
        <w:lastRenderedPageBreak/>
        <w:t xml:space="preserve">REFERENCES </w:t>
      </w:r>
    </w:p>
    <w:p w14:paraId="6887C505" w14:textId="7DFB782A"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Aguinis</w:t>
      </w:r>
      <w:proofErr w:type="spellEnd"/>
      <w:r w:rsidRPr="009D2AD3">
        <w:rPr>
          <w:rFonts w:ascii="Arial" w:hAnsi="Arial" w:cs="Arial"/>
          <w:color w:val="000000" w:themeColor="text1"/>
          <w:sz w:val="20"/>
          <w:szCs w:val="20"/>
        </w:rPr>
        <w:t xml:space="preserve">, H., &amp; </w:t>
      </w:r>
      <w:proofErr w:type="spellStart"/>
      <w:r w:rsidRPr="009D2AD3">
        <w:rPr>
          <w:rFonts w:ascii="Arial" w:hAnsi="Arial" w:cs="Arial"/>
          <w:color w:val="000000" w:themeColor="text1"/>
          <w:sz w:val="20"/>
          <w:szCs w:val="20"/>
        </w:rPr>
        <w:t>Kraiger</w:t>
      </w:r>
      <w:proofErr w:type="spellEnd"/>
      <w:r w:rsidRPr="009D2AD3">
        <w:rPr>
          <w:rFonts w:ascii="Arial" w:hAnsi="Arial" w:cs="Arial"/>
          <w:color w:val="000000" w:themeColor="text1"/>
          <w:sz w:val="20"/>
          <w:szCs w:val="20"/>
        </w:rPr>
        <w:t xml:space="preserve">, K. (2009). Benefits of training and development for individuals and teams, organizations, and society. </w:t>
      </w:r>
      <w:r w:rsidRPr="009D2AD3">
        <w:rPr>
          <w:rStyle w:val="Emphasis"/>
          <w:rFonts w:ascii="Arial" w:hAnsi="Arial" w:cs="Arial"/>
          <w:color w:val="000000" w:themeColor="text1"/>
          <w:sz w:val="20"/>
          <w:szCs w:val="20"/>
        </w:rPr>
        <w:t>Annual Review of Psychology, 60</w:t>
      </w:r>
      <w:r w:rsidRPr="009D2AD3">
        <w:rPr>
          <w:rFonts w:ascii="Arial" w:hAnsi="Arial" w:cs="Arial"/>
          <w:color w:val="000000" w:themeColor="text1"/>
          <w:sz w:val="20"/>
          <w:szCs w:val="20"/>
        </w:rPr>
        <w:t xml:space="preserve">, 451–474. </w:t>
      </w:r>
      <w:hyperlink r:id="rId8" w:history="1">
        <w:r w:rsidR="003424FE" w:rsidRPr="009D2AD3">
          <w:rPr>
            <w:rStyle w:val="Hyperlink"/>
            <w:rFonts w:ascii="Arial" w:hAnsi="Arial" w:cs="Arial"/>
            <w:color w:val="000000" w:themeColor="text1"/>
            <w:sz w:val="20"/>
            <w:szCs w:val="20"/>
            <w:u w:val="none"/>
          </w:rPr>
          <w:t>https://doi.org/10.1146/annurev.psych.60.110707.163505</w:t>
        </w:r>
      </w:hyperlink>
    </w:p>
    <w:p w14:paraId="3B9E4A20"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Armstrong, M. (2020). </w:t>
      </w:r>
      <w:r w:rsidRPr="009D2AD3">
        <w:rPr>
          <w:rStyle w:val="Emphasis"/>
          <w:rFonts w:ascii="Arial" w:hAnsi="Arial" w:cs="Arial"/>
          <w:color w:val="000000" w:themeColor="text1"/>
          <w:sz w:val="20"/>
          <w:szCs w:val="20"/>
        </w:rPr>
        <w:t>Armstrong's handbook of human resource management practice</w:t>
      </w:r>
      <w:r w:rsidRPr="009D2AD3">
        <w:rPr>
          <w:rFonts w:ascii="Arial" w:hAnsi="Arial" w:cs="Arial"/>
          <w:color w:val="000000" w:themeColor="text1"/>
          <w:sz w:val="20"/>
          <w:szCs w:val="20"/>
        </w:rPr>
        <w:t xml:space="preserve"> (15th ed.). Kogan Page.</w:t>
      </w:r>
    </w:p>
    <w:p w14:paraId="3417D7A5" w14:textId="46C0E75A" w:rsidR="00541162"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Meyer, J. P., &amp; Allen, N. J. (1991). The measurement and antecedents of affective, continuance, and normative commitment to the organization. </w:t>
      </w:r>
      <w:r w:rsidRPr="009D2AD3">
        <w:rPr>
          <w:rStyle w:val="Emphasis"/>
          <w:rFonts w:ascii="Arial" w:hAnsi="Arial" w:cs="Arial"/>
          <w:color w:val="000000" w:themeColor="text1"/>
          <w:sz w:val="20"/>
          <w:szCs w:val="20"/>
        </w:rPr>
        <w:t>Journal of Occupational Psychology</w:t>
      </w:r>
      <w:r w:rsidRPr="009D2AD3">
        <w:rPr>
          <w:rFonts w:ascii="Arial" w:hAnsi="Arial" w:cs="Arial"/>
          <w:color w:val="000000" w:themeColor="text1"/>
          <w:sz w:val="20"/>
          <w:szCs w:val="20"/>
        </w:rPr>
        <w:t>, 63(1), 1–18.</w:t>
      </w:r>
      <w:r w:rsidR="00A07484" w:rsidRPr="009D2AD3">
        <w:rPr>
          <w:rFonts w:ascii="Arial" w:hAnsi="Arial" w:cs="Arial"/>
          <w:color w:val="000000" w:themeColor="text1"/>
          <w:sz w:val="20"/>
          <w:szCs w:val="20"/>
        </w:rPr>
        <w:t xml:space="preserve"> </w:t>
      </w:r>
      <w:hyperlink r:id="rId9" w:history="1">
        <w:r w:rsidR="00A07484" w:rsidRPr="009D2AD3">
          <w:rPr>
            <w:rStyle w:val="Hyperlink"/>
            <w:rFonts w:ascii="Arial" w:hAnsi="Arial" w:cs="Arial"/>
            <w:color w:val="000000" w:themeColor="text1"/>
            <w:sz w:val="20"/>
            <w:szCs w:val="20"/>
            <w:u w:val="none"/>
          </w:rPr>
          <w:t>https://doi.org/10.1111/j.2044-8325.1990.tb00506.x</w:t>
        </w:r>
      </w:hyperlink>
    </w:p>
    <w:p w14:paraId="715FCCDB" w14:textId="6A9F2B55"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Cesario, F., &amp; </w:t>
      </w:r>
      <w:proofErr w:type="spellStart"/>
      <w:r w:rsidRPr="009D2AD3">
        <w:rPr>
          <w:rFonts w:ascii="Arial" w:hAnsi="Arial" w:cs="Arial"/>
          <w:color w:val="000000" w:themeColor="text1"/>
          <w:sz w:val="20"/>
          <w:szCs w:val="20"/>
        </w:rPr>
        <w:t>Chambel</w:t>
      </w:r>
      <w:proofErr w:type="spellEnd"/>
      <w:r w:rsidRPr="009D2AD3">
        <w:rPr>
          <w:rFonts w:ascii="Arial" w:hAnsi="Arial" w:cs="Arial"/>
          <w:color w:val="000000" w:themeColor="text1"/>
          <w:sz w:val="20"/>
          <w:szCs w:val="20"/>
        </w:rPr>
        <w:t xml:space="preserve">, M. J. (2017). Linking organizational commitment and work engagement to employee performance. </w:t>
      </w:r>
      <w:r w:rsidRPr="009D2AD3">
        <w:rPr>
          <w:rStyle w:val="Emphasis"/>
          <w:rFonts w:ascii="Arial" w:hAnsi="Arial" w:cs="Arial"/>
          <w:color w:val="000000" w:themeColor="text1"/>
          <w:sz w:val="20"/>
          <w:szCs w:val="20"/>
        </w:rPr>
        <w:t>Knowledge and Process Management, 24</w:t>
      </w:r>
      <w:r w:rsidRPr="009D2AD3">
        <w:rPr>
          <w:rFonts w:ascii="Arial" w:hAnsi="Arial" w:cs="Arial"/>
          <w:color w:val="000000" w:themeColor="text1"/>
          <w:sz w:val="20"/>
          <w:szCs w:val="20"/>
        </w:rPr>
        <w:t>(2), 152–158.</w:t>
      </w:r>
      <w:r w:rsidR="00541162" w:rsidRPr="009D2AD3">
        <w:rPr>
          <w:rFonts w:ascii="Arial" w:hAnsi="Arial" w:cs="Arial"/>
          <w:color w:val="000000" w:themeColor="text1"/>
          <w:sz w:val="20"/>
          <w:szCs w:val="20"/>
        </w:rPr>
        <w:t xml:space="preserve"> </w:t>
      </w:r>
      <w:hyperlink r:id="rId10" w:history="1">
        <w:r w:rsidR="00541162" w:rsidRPr="009D2AD3">
          <w:rPr>
            <w:rStyle w:val="Hyperlink"/>
            <w:rFonts w:ascii="Arial" w:hAnsi="Arial" w:cs="Arial"/>
            <w:color w:val="000000" w:themeColor="text1"/>
            <w:sz w:val="20"/>
            <w:szCs w:val="20"/>
            <w:u w:val="none"/>
          </w:rPr>
          <w:t>https://doi.org/10.1002/kpm.1542</w:t>
        </w:r>
      </w:hyperlink>
    </w:p>
    <w:p w14:paraId="0342E60C"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Wu, Z., Li, Q., &amp; Zhang, B. (2025). The role of innovation and entrepreneurship employee training programs in enhancing organizational commitment from the perspective of industry–education integration. </w:t>
      </w:r>
      <w:r w:rsidRPr="009D2AD3">
        <w:rPr>
          <w:rFonts w:ascii="Arial" w:eastAsia="Times New Roman" w:hAnsi="Arial" w:cs="Arial"/>
          <w:i/>
          <w:iCs/>
          <w:color w:val="000000" w:themeColor="text1"/>
          <w:sz w:val="20"/>
          <w:szCs w:val="20"/>
        </w:rPr>
        <w:t>Frontiers in Psychology, 16</w:t>
      </w:r>
      <w:r w:rsidRPr="009D2AD3">
        <w:rPr>
          <w:rFonts w:ascii="Arial" w:eastAsia="Times New Roman" w:hAnsi="Arial" w:cs="Arial"/>
          <w:color w:val="000000" w:themeColor="text1"/>
          <w:sz w:val="20"/>
          <w:szCs w:val="20"/>
        </w:rPr>
        <w:t xml:space="preserve">, Article 1527741. </w:t>
      </w:r>
    </w:p>
    <w:p w14:paraId="388010D5"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Muleya</w:t>
      </w:r>
      <w:proofErr w:type="spellEnd"/>
      <w:r w:rsidRPr="009D2AD3">
        <w:rPr>
          <w:rFonts w:ascii="Arial" w:hAnsi="Arial" w:cs="Arial"/>
          <w:color w:val="000000" w:themeColor="text1"/>
          <w:sz w:val="20"/>
          <w:szCs w:val="20"/>
        </w:rPr>
        <w:t xml:space="preserve">, D., </w:t>
      </w:r>
      <w:proofErr w:type="spellStart"/>
      <w:r w:rsidRPr="009D2AD3">
        <w:rPr>
          <w:rFonts w:ascii="Arial" w:hAnsi="Arial" w:cs="Arial"/>
          <w:color w:val="000000" w:themeColor="text1"/>
          <w:sz w:val="20"/>
          <w:szCs w:val="20"/>
        </w:rPr>
        <w:t>Ngirande</w:t>
      </w:r>
      <w:proofErr w:type="spellEnd"/>
      <w:r w:rsidRPr="009D2AD3">
        <w:rPr>
          <w:rFonts w:ascii="Arial" w:hAnsi="Arial" w:cs="Arial"/>
          <w:color w:val="000000" w:themeColor="text1"/>
          <w:sz w:val="20"/>
          <w:szCs w:val="20"/>
        </w:rPr>
        <w:t xml:space="preserve">, H., &amp; </w:t>
      </w:r>
      <w:proofErr w:type="spellStart"/>
      <w:r w:rsidRPr="009D2AD3">
        <w:rPr>
          <w:rFonts w:ascii="Arial" w:hAnsi="Arial" w:cs="Arial"/>
          <w:color w:val="000000" w:themeColor="text1"/>
          <w:sz w:val="20"/>
          <w:szCs w:val="20"/>
        </w:rPr>
        <w:t>Terera</w:t>
      </w:r>
      <w:proofErr w:type="spellEnd"/>
      <w:r w:rsidRPr="009D2AD3">
        <w:rPr>
          <w:rFonts w:ascii="Arial" w:hAnsi="Arial" w:cs="Arial"/>
          <w:color w:val="000000" w:themeColor="text1"/>
          <w:sz w:val="20"/>
          <w:szCs w:val="20"/>
        </w:rPr>
        <w:t>, S. R. (2022). The influence of training and career development opportunities on affective commitment: A South African higher education perspective. </w:t>
      </w:r>
      <w:r w:rsidRPr="009D2AD3">
        <w:rPr>
          <w:rFonts w:ascii="Arial" w:hAnsi="Arial" w:cs="Arial"/>
          <w:i/>
          <w:iCs/>
          <w:color w:val="000000" w:themeColor="text1"/>
          <w:sz w:val="20"/>
          <w:szCs w:val="20"/>
        </w:rPr>
        <w:t>SA Journal of Human Resource Management</w:t>
      </w:r>
      <w:r w:rsidRPr="009D2AD3">
        <w:rPr>
          <w:rFonts w:ascii="Arial" w:hAnsi="Arial" w:cs="Arial"/>
          <w:color w:val="000000" w:themeColor="text1"/>
          <w:sz w:val="20"/>
          <w:szCs w:val="20"/>
        </w:rPr>
        <w:t>, </w:t>
      </w:r>
      <w:r w:rsidRPr="009D2AD3">
        <w:rPr>
          <w:rFonts w:ascii="Arial" w:hAnsi="Arial" w:cs="Arial"/>
          <w:i/>
          <w:iCs/>
          <w:color w:val="000000" w:themeColor="text1"/>
          <w:sz w:val="20"/>
          <w:szCs w:val="20"/>
        </w:rPr>
        <w:t>20</w:t>
      </w:r>
      <w:r w:rsidRPr="009D2AD3">
        <w:rPr>
          <w:rFonts w:ascii="Arial" w:hAnsi="Arial" w:cs="Arial"/>
          <w:color w:val="000000" w:themeColor="text1"/>
          <w:sz w:val="20"/>
          <w:szCs w:val="20"/>
        </w:rPr>
        <w:t>, 1620.</w:t>
      </w:r>
    </w:p>
    <w:p w14:paraId="2412973F"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Hosen, S., Hamzah, S. R., Ismail, I., </w:t>
      </w:r>
      <w:proofErr w:type="spellStart"/>
      <w:r w:rsidRPr="009D2AD3">
        <w:rPr>
          <w:rFonts w:ascii="Arial" w:hAnsi="Arial" w:cs="Arial"/>
          <w:color w:val="000000" w:themeColor="text1"/>
          <w:sz w:val="20"/>
          <w:szCs w:val="20"/>
        </w:rPr>
        <w:t>NoormiAlias</w:t>
      </w:r>
      <w:proofErr w:type="spellEnd"/>
      <w:r w:rsidRPr="009D2AD3">
        <w:rPr>
          <w:rFonts w:ascii="Arial" w:hAnsi="Arial" w:cs="Arial"/>
          <w:color w:val="000000" w:themeColor="text1"/>
          <w:sz w:val="20"/>
          <w:szCs w:val="20"/>
        </w:rPr>
        <w:t xml:space="preserve">, S., Aziz, M., &amp; Rahman, M. (2023). Training &amp; development, career development, and organizational commitment as the predictor of work performance. </w:t>
      </w:r>
      <w:proofErr w:type="spellStart"/>
      <w:r w:rsidRPr="009D2AD3">
        <w:rPr>
          <w:rFonts w:ascii="Arial" w:hAnsi="Arial" w:cs="Arial"/>
          <w:i/>
          <w:iCs/>
          <w:color w:val="000000" w:themeColor="text1"/>
          <w:sz w:val="20"/>
          <w:szCs w:val="20"/>
        </w:rPr>
        <w:t>Heliyon</w:t>
      </w:r>
      <w:proofErr w:type="spellEnd"/>
      <w:r w:rsidRPr="009D2AD3">
        <w:rPr>
          <w:rFonts w:ascii="Arial" w:hAnsi="Arial" w:cs="Arial"/>
          <w:i/>
          <w:iCs/>
          <w:color w:val="000000" w:themeColor="text1"/>
          <w:sz w:val="20"/>
          <w:szCs w:val="20"/>
        </w:rPr>
        <w:t>, 9</w:t>
      </w:r>
      <w:r w:rsidRPr="009D2AD3">
        <w:rPr>
          <w:rFonts w:ascii="Arial" w:hAnsi="Arial" w:cs="Arial"/>
          <w:color w:val="000000" w:themeColor="text1"/>
          <w:sz w:val="20"/>
          <w:szCs w:val="20"/>
        </w:rPr>
        <w:t>(12), e23903.</w:t>
      </w:r>
    </w:p>
    <w:p w14:paraId="2CA0997A" w14:textId="6BA8410F" w:rsidR="00661213"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Eisenberger, R., Huntington, R., Hutchison, S., &amp; Sowa, D. (1986). Perceived organizational support. </w:t>
      </w:r>
      <w:r w:rsidRPr="009D2AD3">
        <w:rPr>
          <w:rStyle w:val="Emphasis"/>
          <w:rFonts w:ascii="Arial" w:hAnsi="Arial" w:cs="Arial"/>
          <w:color w:val="000000" w:themeColor="text1"/>
          <w:sz w:val="20"/>
          <w:szCs w:val="20"/>
        </w:rPr>
        <w:t>Journal of Applied Psychology, 71</w:t>
      </w:r>
      <w:r w:rsidRPr="009D2AD3">
        <w:rPr>
          <w:rFonts w:ascii="Arial" w:hAnsi="Arial" w:cs="Arial"/>
          <w:color w:val="000000" w:themeColor="text1"/>
          <w:sz w:val="20"/>
          <w:szCs w:val="20"/>
        </w:rPr>
        <w:t>(3), 500–507.</w:t>
      </w:r>
      <w:r w:rsidR="00462768" w:rsidRPr="009D2AD3">
        <w:rPr>
          <w:rFonts w:ascii="Arial" w:hAnsi="Arial" w:cs="Arial"/>
          <w:color w:val="000000" w:themeColor="text1"/>
          <w:sz w:val="20"/>
          <w:szCs w:val="20"/>
        </w:rPr>
        <w:t xml:space="preserve"> </w:t>
      </w:r>
      <w:hyperlink r:id="rId11" w:history="1">
        <w:r w:rsidR="00462768" w:rsidRPr="009D2AD3">
          <w:rPr>
            <w:rStyle w:val="Hyperlink"/>
            <w:rFonts w:ascii="Arial" w:hAnsi="Arial" w:cs="Arial"/>
            <w:color w:val="000000" w:themeColor="text1"/>
            <w:sz w:val="20"/>
            <w:szCs w:val="20"/>
            <w:u w:val="none"/>
          </w:rPr>
          <w:t>https://doi.org/10.1037/0021-9010.71.3.500</w:t>
        </w:r>
      </w:hyperlink>
    </w:p>
    <w:p w14:paraId="46272718" w14:textId="77777777" w:rsidR="00A07484" w:rsidRPr="009D2AD3" w:rsidRDefault="00992815" w:rsidP="00924E8A">
      <w:pPr>
        <w:pStyle w:val="ListParagraph"/>
        <w:numPr>
          <w:ilvl w:val="0"/>
          <w:numId w:val="2"/>
        </w:numPr>
        <w:rPr>
          <w:rStyle w:val="Hyperlink"/>
          <w:rFonts w:ascii="Arial" w:hAnsi="Arial" w:cs="Arial"/>
          <w:color w:val="000000" w:themeColor="text1"/>
          <w:sz w:val="20"/>
          <w:szCs w:val="20"/>
          <w:u w:val="none"/>
        </w:rPr>
      </w:pPr>
      <w:r w:rsidRPr="009D2AD3">
        <w:rPr>
          <w:rStyle w:val="fadeinm1hgl8"/>
          <w:rFonts w:ascii="Arial" w:hAnsi="Arial" w:cs="Arial"/>
          <w:color w:val="000000" w:themeColor="text1"/>
          <w:sz w:val="20"/>
          <w:szCs w:val="20"/>
        </w:rPr>
        <w:t xml:space="preserve">Leger, L.A., &amp; </w:t>
      </w:r>
      <w:proofErr w:type="spellStart"/>
      <w:r w:rsidRPr="009D2AD3">
        <w:rPr>
          <w:rStyle w:val="fadeinm1hgl8"/>
          <w:rFonts w:ascii="Arial" w:hAnsi="Arial" w:cs="Arial"/>
          <w:color w:val="000000" w:themeColor="text1"/>
          <w:sz w:val="20"/>
          <w:szCs w:val="20"/>
        </w:rPr>
        <w:t>Sirichand</w:t>
      </w:r>
      <w:proofErr w:type="spellEnd"/>
      <w:r w:rsidRPr="009D2AD3">
        <w:rPr>
          <w:rStyle w:val="fadeinm1hgl8"/>
          <w:rFonts w:ascii="Arial" w:hAnsi="Arial" w:cs="Arial"/>
          <w:color w:val="000000" w:themeColor="text1"/>
          <w:sz w:val="20"/>
          <w:szCs w:val="20"/>
        </w:rPr>
        <w:t xml:space="preserve">, K. (2015). Training in literature review and associated skills. </w:t>
      </w:r>
      <w:r w:rsidRPr="009D2AD3">
        <w:rPr>
          <w:rStyle w:val="fadeinm1hgl8"/>
          <w:rFonts w:ascii="Arial" w:hAnsi="Arial" w:cs="Arial"/>
          <w:i/>
          <w:iCs/>
          <w:color w:val="000000" w:themeColor="text1"/>
          <w:sz w:val="20"/>
          <w:szCs w:val="20"/>
        </w:rPr>
        <w:t>Journal of Applied Research in Higher Education</w:t>
      </w:r>
      <w:r w:rsidRPr="009D2AD3">
        <w:rPr>
          <w:rStyle w:val="fadeinm1hgl8"/>
          <w:rFonts w:ascii="Arial" w:hAnsi="Arial" w:cs="Arial"/>
          <w:color w:val="000000" w:themeColor="text1"/>
          <w:sz w:val="20"/>
          <w:szCs w:val="20"/>
        </w:rPr>
        <w:t xml:space="preserve">, 7(2), 258-274. </w:t>
      </w:r>
      <w:hyperlink r:id="rId12" w:history="1">
        <w:r w:rsidR="00661213" w:rsidRPr="009D2AD3">
          <w:rPr>
            <w:rStyle w:val="Hyperlink"/>
            <w:rFonts w:ascii="Arial" w:hAnsi="Arial" w:cs="Arial"/>
            <w:color w:val="000000" w:themeColor="text1"/>
            <w:sz w:val="20"/>
            <w:szCs w:val="20"/>
            <w:u w:val="none"/>
          </w:rPr>
          <w:t>https://doi.org/10.1108/JARHE-01-2014-0008</w:t>
        </w:r>
      </w:hyperlink>
    </w:p>
    <w:p w14:paraId="3753C57E" w14:textId="700C2EC5" w:rsidR="003424FE" w:rsidRPr="009D2AD3" w:rsidRDefault="00992815" w:rsidP="00924E8A">
      <w:pPr>
        <w:pStyle w:val="ListParagraph"/>
        <w:numPr>
          <w:ilvl w:val="0"/>
          <w:numId w:val="2"/>
        </w:numPr>
        <w:rPr>
          <w:rStyle w:val="fadeinm1hgl8"/>
          <w:rFonts w:ascii="Arial" w:hAnsi="Arial" w:cs="Arial"/>
          <w:color w:val="000000" w:themeColor="text1"/>
          <w:sz w:val="20"/>
          <w:szCs w:val="20"/>
        </w:rPr>
      </w:pPr>
      <w:r w:rsidRPr="009D2AD3">
        <w:rPr>
          <w:rStyle w:val="fadeinm1hgl8"/>
          <w:rFonts w:ascii="Arial" w:hAnsi="Arial" w:cs="Arial"/>
          <w:color w:val="000000" w:themeColor="text1"/>
          <w:sz w:val="20"/>
          <w:szCs w:val="20"/>
        </w:rPr>
        <w:t xml:space="preserve">McCarty, A.J., &amp; </w:t>
      </w:r>
      <w:proofErr w:type="spellStart"/>
      <w:r w:rsidRPr="009D2AD3">
        <w:rPr>
          <w:rStyle w:val="fadeinm1hgl8"/>
          <w:rFonts w:ascii="Arial" w:hAnsi="Arial" w:cs="Arial"/>
          <w:color w:val="000000" w:themeColor="text1"/>
          <w:sz w:val="20"/>
          <w:szCs w:val="20"/>
        </w:rPr>
        <w:t>Skibniewski</w:t>
      </w:r>
      <w:proofErr w:type="spellEnd"/>
      <w:r w:rsidRPr="009D2AD3">
        <w:rPr>
          <w:rStyle w:val="fadeinm1hgl8"/>
          <w:rFonts w:ascii="Arial" w:hAnsi="Arial" w:cs="Arial"/>
          <w:color w:val="000000" w:themeColor="text1"/>
          <w:sz w:val="20"/>
          <w:szCs w:val="20"/>
        </w:rPr>
        <w:t xml:space="preserve">, M.J. (2015). Understanding the value of training in the professional workplace: A literature review. </w:t>
      </w:r>
      <w:r w:rsidRPr="009D2AD3">
        <w:rPr>
          <w:rStyle w:val="fadeinm1hgl8"/>
          <w:rFonts w:ascii="Arial" w:hAnsi="Arial" w:cs="Arial"/>
          <w:i/>
          <w:iCs/>
          <w:color w:val="000000" w:themeColor="text1"/>
          <w:sz w:val="20"/>
          <w:szCs w:val="20"/>
        </w:rPr>
        <w:t>International Journal of Continuing Engineering Education and Life-Long Learning</w:t>
      </w:r>
      <w:r w:rsidRPr="009D2AD3">
        <w:rPr>
          <w:rStyle w:val="fadeinm1hgl8"/>
          <w:rFonts w:ascii="Arial" w:hAnsi="Arial" w:cs="Arial"/>
          <w:color w:val="000000" w:themeColor="text1"/>
          <w:sz w:val="20"/>
          <w:szCs w:val="20"/>
        </w:rPr>
        <w:t xml:space="preserve">, </w:t>
      </w:r>
      <w:r w:rsidRPr="009D2AD3">
        <w:rPr>
          <w:rStyle w:val="fadeinm1hgl8"/>
          <w:rFonts w:ascii="Arial" w:hAnsi="Arial" w:cs="Arial"/>
          <w:i/>
          <w:color w:val="000000" w:themeColor="text1"/>
          <w:sz w:val="20"/>
          <w:szCs w:val="20"/>
        </w:rPr>
        <w:t>25</w:t>
      </w:r>
      <w:r w:rsidRPr="009D2AD3">
        <w:rPr>
          <w:rStyle w:val="fadeinm1hgl8"/>
          <w:rFonts w:ascii="Arial" w:hAnsi="Arial" w:cs="Arial"/>
          <w:color w:val="000000" w:themeColor="text1"/>
          <w:sz w:val="20"/>
          <w:szCs w:val="20"/>
        </w:rPr>
        <w:t xml:space="preserve">(3), 215-234. </w:t>
      </w:r>
      <w:hyperlink r:id="rId13" w:history="1">
        <w:r w:rsidR="00A07484" w:rsidRPr="009D2AD3">
          <w:rPr>
            <w:rStyle w:val="Hyperlink"/>
            <w:rFonts w:ascii="Arial" w:hAnsi="Arial" w:cs="Arial"/>
            <w:color w:val="000000" w:themeColor="text1"/>
            <w:sz w:val="20"/>
            <w:szCs w:val="20"/>
            <w:u w:val="none"/>
          </w:rPr>
          <w:t>https://doi.org/10.1504/IJCEELL.2015.072676</w:t>
        </w:r>
      </w:hyperlink>
    </w:p>
    <w:p w14:paraId="38076E93" w14:textId="23CC5070" w:rsidR="00992815" w:rsidRPr="009D2AD3" w:rsidRDefault="00992815" w:rsidP="00924E8A">
      <w:pPr>
        <w:pStyle w:val="ListParagraph"/>
        <w:numPr>
          <w:ilvl w:val="0"/>
          <w:numId w:val="2"/>
        </w:numPr>
        <w:rPr>
          <w:rStyle w:val="fadeinm1hgl8"/>
          <w:rFonts w:ascii="Arial" w:hAnsi="Arial" w:cs="Arial"/>
          <w:color w:val="000000" w:themeColor="text1"/>
          <w:sz w:val="20"/>
          <w:szCs w:val="20"/>
        </w:rPr>
      </w:pPr>
      <w:proofErr w:type="spellStart"/>
      <w:r w:rsidRPr="009D2AD3">
        <w:rPr>
          <w:rStyle w:val="fadeinm1hgl8"/>
          <w:rFonts w:ascii="Arial" w:hAnsi="Arial" w:cs="Arial"/>
          <w:color w:val="000000" w:themeColor="text1"/>
          <w:sz w:val="20"/>
          <w:szCs w:val="20"/>
        </w:rPr>
        <w:t>Beydoun</w:t>
      </w:r>
      <w:proofErr w:type="spellEnd"/>
      <w:r w:rsidRPr="009D2AD3">
        <w:rPr>
          <w:rStyle w:val="fadeinm1hgl8"/>
          <w:rFonts w:ascii="Arial" w:hAnsi="Arial" w:cs="Arial"/>
          <w:color w:val="000000" w:themeColor="text1"/>
          <w:sz w:val="20"/>
          <w:szCs w:val="20"/>
        </w:rPr>
        <w:t xml:space="preserve">, A.R., &amp; Saleh, R.F. (2023). Literature review on training and development in work setting. </w:t>
      </w:r>
      <w:r w:rsidRPr="009D2AD3">
        <w:rPr>
          <w:rStyle w:val="fadeinm1hgl8"/>
          <w:rFonts w:ascii="Arial" w:hAnsi="Arial" w:cs="Arial"/>
          <w:i/>
          <w:iCs/>
          <w:color w:val="000000" w:themeColor="text1"/>
          <w:sz w:val="20"/>
          <w:szCs w:val="20"/>
        </w:rPr>
        <w:t>BAU Journal - Society, Culture and Human Behavior</w:t>
      </w:r>
      <w:r w:rsidRPr="009D2AD3">
        <w:rPr>
          <w:rStyle w:val="fadeinm1hgl8"/>
          <w:rFonts w:ascii="Arial" w:hAnsi="Arial" w:cs="Arial"/>
          <w:color w:val="000000" w:themeColor="text1"/>
          <w:sz w:val="20"/>
          <w:szCs w:val="20"/>
        </w:rPr>
        <w:t xml:space="preserve">, 4(2), Article 13. </w:t>
      </w:r>
      <w:hyperlink r:id="rId14" w:history="1">
        <w:r w:rsidR="003424FE" w:rsidRPr="009D2AD3">
          <w:rPr>
            <w:rStyle w:val="Hyperlink"/>
            <w:rFonts w:ascii="Arial" w:hAnsi="Arial" w:cs="Arial"/>
            <w:color w:val="000000" w:themeColor="text1"/>
            <w:sz w:val="20"/>
            <w:szCs w:val="20"/>
            <w:u w:val="none"/>
          </w:rPr>
          <w:t>https://digitalcommons.bau.edu.lb/schbjournal/vol4/iss2/13/</w:t>
        </w:r>
      </w:hyperlink>
    </w:p>
    <w:p w14:paraId="1029D85E"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Noe, R. A. (2017). </w:t>
      </w:r>
      <w:r w:rsidRPr="009D2AD3">
        <w:rPr>
          <w:rStyle w:val="Emphasis"/>
          <w:rFonts w:ascii="Arial" w:hAnsi="Arial" w:cs="Arial"/>
          <w:color w:val="000000" w:themeColor="text1"/>
          <w:sz w:val="20"/>
          <w:szCs w:val="20"/>
        </w:rPr>
        <w:t>Employee training and development</w:t>
      </w:r>
      <w:r w:rsidRPr="009D2AD3">
        <w:rPr>
          <w:rFonts w:ascii="Arial" w:hAnsi="Arial" w:cs="Arial"/>
          <w:color w:val="000000" w:themeColor="text1"/>
          <w:sz w:val="20"/>
          <w:szCs w:val="20"/>
        </w:rPr>
        <w:t xml:space="preserve"> (7th ed.). McGraw-Hill Education.</w:t>
      </w:r>
    </w:p>
    <w:p w14:paraId="305E5542"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Goldstein, I. L., &amp; Ford, J. K. (2002). </w:t>
      </w:r>
      <w:r w:rsidRPr="009D2AD3">
        <w:rPr>
          <w:rStyle w:val="Emphasis"/>
          <w:rFonts w:ascii="Arial" w:hAnsi="Arial" w:cs="Arial"/>
          <w:color w:val="000000" w:themeColor="text1"/>
          <w:sz w:val="20"/>
          <w:szCs w:val="20"/>
        </w:rPr>
        <w:t>Training in organizations: Needs assessment, development, and evaluation</w:t>
      </w:r>
      <w:r w:rsidRPr="009D2AD3">
        <w:rPr>
          <w:rFonts w:ascii="Arial" w:hAnsi="Arial" w:cs="Arial"/>
          <w:color w:val="000000" w:themeColor="text1"/>
          <w:sz w:val="20"/>
          <w:szCs w:val="20"/>
        </w:rPr>
        <w:t xml:space="preserve"> (4th ed.). Wadsworth.</w:t>
      </w:r>
    </w:p>
    <w:p w14:paraId="2DF986EA"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Dessler</w:t>
      </w:r>
      <w:proofErr w:type="spellEnd"/>
      <w:r w:rsidRPr="009D2AD3">
        <w:rPr>
          <w:rFonts w:ascii="Arial" w:hAnsi="Arial" w:cs="Arial"/>
          <w:color w:val="000000" w:themeColor="text1"/>
          <w:sz w:val="20"/>
          <w:szCs w:val="20"/>
        </w:rPr>
        <w:t xml:space="preserve">, G. (2020). </w:t>
      </w:r>
      <w:r w:rsidRPr="009D2AD3">
        <w:rPr>
          <w:rStyle w:val="Emphasis"/>
          <w:rFonts w:ascii="Arial" w:hAnsi="Arial" w:cs="Arial"/>
          <w:color w:val="000000" w:themeColor="text1"/>
          <w:sz w:val="20"/>
          <w:szCs w:val="20"/>
        </w:rPr>
        <w:t>Human resource management</w:t>
      </w:r>
      <w:r w:rsidRPr="009D2AD3">
        <w:rPr>
          <w:rFonts w:ascii="Arial" w:hAnsi="Arial" w:cs="Arial"/>
          <w:color w:val="000000" w:themeColor="text1"/>
          <w:sz w:val="20"/>
          <w:szCs w:val="20"/>
        </w:rPr>
        <w:t xml:space="preserve"> (16th ed.). Pearson Education.</w:t>
      </w:r>
    </w:p>
    <w:p w14:paraId="58B992DA"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Rowden, R. W., &amp; </w:t>
      </w:r>
      <w:proofErr w:type="spellStart"/>
      <w:r w:rsidRPr="009D2AD3">
        <w:rPr>
          <w:rFonts w:ascii="Arial" w:hAnsi="Arial" w:cs="Arial"/>
          <w:color w:val="000000" w:themeColor="text1"/>
          <w:sz w:val="20"/>
          <w:szCs w:val="20"/>
        </w:rPr>
        <w:t>Conine</w:t>
      </w:r>
      <w:proofErr w:type="spellEnd"/>
      <w:r w:rsidRPr="009D2AD3">
        <w:rPr>
          <w:rFonts w:ascii="Arial" w:hAnsi="Arial" w:cs="Arial"/>
          <w:color w:val="000000" w:themeColor="text1"/>
          <w:sz w:val="20"/>
          <w:szCs w:val="20"/>
        </w:rPr>
        <w:t xml:space="preserve">, C. T. (2005). The impact of workplace learning on job satisfaction in small US commercial banks. </w:t>
      </w:r>
      <w:r w:rsidRPr="009D2AD3">
        <w:rPr>
          <w:rStyle w:val="Emphasis"/>
          <w:rFonts w:ascii="Arial" w:hAnsi="Arial" w:cs="Arial"/>
          <w:color w:val="000000" w:themeColor="text1"/>
          <w:sz w:val="20"/>
          <w:szCs w:val="20"/>
        </w:rPr>
        <w:t>Journal of Workplace Learning, 17</w:t>
      </w:r>
      <w:r w:rsidRPr="009D2AD3">
        <w:rPr>
          <w:rFonts w:ascii="Arial" w:hAnsi="Arial" w:cs="Arial"/>
          <w:color w:val="000000" w:themeColor="text1"/>
          <w:sz w:val="20"/>
          <w:szCs w:val="20"/>
        </w:rPr>
        <w:t>(4), 215–230.</w:t>
      </w:r>
    </w:p>
    <w:p w14:paraId="624398D9"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Salas, E., Tannenbaum, S. I., </w:t>
      </w:r>
      <w:proofErr w:type="spellStart"/>
      <w:r w:rsidRPr="009D2AD3">
        <w:rPr>
          <w:rFonts w:ascii="Arial" w:hAnsi="Arial" w:cs="Arial"/>
          <w:color w:val="000000" w:themeColor="text1"/>
          <w:sz w:val="20"/>
          <w:szCs w:val="20"/>
        </w:rPr>
        <w:t>Kraiger</w:t>
      </w:r>
      <w:proofErr w:type="spellEnd"/>
      <w:r w:rsidRPr="009D2AD3">
        <w:rPr>
          <w:rFonts w:ascii="Arial" w:hAnsi="Arial" w:cs="Arial"/>
          <w:color w:val="000000" w:themeColor="text1"/>
          <w:sz w:val="20"/>
          <w:szCs w:val="20"/>
        </w:rPr>
        <w:t>, K., &amp; Smith-Jentsch, K. A. (2012). The science of training and development in organizations: What matters in practice. </w:t>
      </w:r>
      <w:r w:rsidRPr="009D2AD3">
        <w:rPr>
          <w:rFonts w:ascii="Arial" w:hAnsi="Arial" w:cs="Arial"/>
          <w:i/>
          <w:iCs/>
          <w:color w:val="000000" w:themeColor="text1"/>
          <w:sz w:val="20"/>
          <w:szCs w:val="20"/>
        </w:rPr>
        <w:t>Psychological science in the public interest</w:t>
      </w:r>
      <w:r w:rsidRPr="009D2AD3">
        <w:rPr>
          <w:rFonts w:ascii="Arial" w:hAnsi="Arial" w:cs="Arial"/>
          <w:color w:val="000000" w:themeColor="text1"/>
          <w:sz w:val="20"/>
          <w:szCs w:val="20"/>
        </w:rPr>
        <w:t>, </w:t>
      </w:r>
      <w:r w:rsidRPr="009D2AD3">
        <w:rPr>
          <w:rFonts w:ascii="Arial" w:hAnsi="Arial" w:cs="Arial"/>
          <w:i/>
          <w:iCs/>
          <w:color w:val="000000" w:themeColor="text1"/>
          <w:sz w:val="20"/>
          <w:szCs w:val="20"/>
        </w:rPr>
        <w:t>13</w:t>
      </w:r>
      <w:r w:rsidRPr="009D2AD3">
        <w:rPr>
          <w:rFonts w:ascii="Arial" w:hAnsi="Arial" w:cs="Arial"/>
          <w:color w:val="000000" w:themeColor="text1"/>
          <w:sz w:val="20"/>
          <w:szCs w:val="20"/>
        </w:rPr>
        <w:t>(2), 74-101.</w:t>
      </w:r>
    </w:p>
    <w:p w14:paraId="564BAD00"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Noe, R. A., Clarke, A. D. M., &amp; Klein, H. J. (2023). Learning in the 21st-century workplace. </w:t>
      </w:r>
      <w:r w:rsidRPr="009D2AD3">
        <w:rPr>
          <w:rFonts w:ascii="Arial" w:hAnsi="Arial" w:cs="Arial"/>
          <w:i/>
          <w:iCs/>
          <w:color w:val="000000" w:themeColor="text1"/>
          <w:sz w:val="20"/>
          <w:szCs w:val="20"/>
        </w:rPr>
        <w:t>Annual Review of Organizational Psychology and Organizational Behavior</w:t>
      </w:r>
      <w:r w:rsidRPr="009D2AD3">
        <w:rPr>
          <w:rFonts w:ascii="Arial" w:hAnsi="Arial" w:cs="Arial"/>
          <w:color w:val="000000" w:themeColor="text1"/>
          <w:sz w:val="20"/>
          <w:szCs w:val="20"/>
        </w:rPr>
        <w:t>, 10, 257–281.</w:t>
      </w:r>
    </w:p>
    <w:p w14:paraId="3038AF9E"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Gilley, J. W., &amp; </w:t>
      </w:r>
      <w:proofErr w:type="spellStart"/>
      <w:r w:rsidRPr="009D2AD3">
        <w:rPr>
          <w:rFonts w:ascii="Arial" w:hAnsi="Arial" w:cs="Arial"/>
          <w:color w:val="000000" w:themeColor="text1"/>
          <w:sz w:val="20"/>
          <w:szCs w:val="20"/>
        </w:rPr>
        <w:t>Eggland</w:t>
      </w:r>
      <w:proofErr w:type="spellEnd"/>
      <w:r w:rsidRPr="009D2AD3">
        <w:rPr>
          <w:rFonts w:ascii="Arial" w:hAnsi="Arial" w:cs="Arial"/>
          <w:color w:val="000000" w:themeColor="text1"/>
          <w:sz w:val="20"/>
          <w:szCs w:val="20"/>
        </w:rPr>
        <w:t xml:space="preserve">, S. A. (2002). </w:t>
      </w:r>
      <w:r w:rsidRPr="009D2AD3">
        <w:rPr>
          <w:rStyle w:val="Emphasis"/>
          <w:rFonts w:ascii="Arial" w:hAnsi="Arial" w:cs="Arial"/>
          <w:color w:val="000000" w:themeColor="text1"/>
          <w:sz w:val="20"/>
          <w:szCs w:val="20"/>
        </w:rPr>
        <w:t>Principles of human resource development</w:t>
      </w:r>
      <w:r w:rsidRPr="009D2AD3">
        <w:rPr>
          <w:rFonts w:ascii="Arial" w:hAnsi="Arial" w:cs="Arial"/>
          <w:color w:val="000000" w:themeColor="text1"/>
          <w:sz w:val="20"/>
          <w:szCs w:val="20"/>
        </w:rPr>
        <w:t>. Basic Books.</w:t>
      </w:r>
    </w:p>
    <w:p w14:paraId="09B61958"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Obazuaye</w:t>
      </w:r>
      <w:proofErr w:type="spellEnd"/>
      <w:r w:rsidRPr="009D2AD3">
        <w:rPr>
          <w:rFonts w:ascii="Arial" w:hAnsi="Arial" w:cs="Arial"/>
          <w:color w:val="000000" w:themeColor="text1"/>
          <w:sz w:val="20"/>
          <w:szCs w:val="20"/>
        </w:rPr>
        <w:t xml:space="preserve">, C. O. (2024). Defining human resource development: An integrative literature review. </w:t>
      </w:r>
      <w:r w:rsidRPr="009D2AD3">
        <w:rPr>
          <w:rFonts w:ascii="Arial" w:hAnsi="Arial" w:cs="Arial"/>
          <w:i/>
          <w:iCs/>
          <w:color w:val="000000" w:themeColor="text1"/>
          <w:sz w:val="20"/>
          <w:szCs w:val="20"/>
        </w:rPr>
        <w:t>European Journal of Training and Development, 48</w:t>
      </w:r>
      <w:r w:rsidRPr="009D2AD3">
        <w:rPr>
          <w:rFonts w:ascii="Arial" w:hAnsi="Arial" w:cs="Arial"/>
          <w:color w:val="000000" w:themeColor="text1"/>
          <w:sz w:val="20"/>
          <w:szCs w:val="20"/>
        </w:rPr>
        <w:t xml:space="preserve">(10), 102–118. </w:t>
      </w:r>
    </w:p>
    <w:p w14:paraId="29F6E963"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Yoon, S. W., </w:t>
      </w:r>
      <w:proofErr w:type="spellStart"/>
      <w:r w:rsidRPr="009D2AD3">
        <w:rPr>
          <w:rFonts w:ascii="Arial" w:hAnsi="Arial" w:cs="Arial"/>
          <w:color w:val="000000" w:themeColor="text1"/>
          <w:sz w:val="20"/>
          <w:szCs w:val="20"/>
        </w:rPr>
        <w:t>Chae</w:t>
      </w:r>
      <w:proofErr w:type="spellEnd"/>
      <w:r w:rsidRPr="009D2AD3">
        <w:rPr>
          <w:rFonts w:ascii="Arial" w:hAnsi="Arial" w:cs="Arial"/>
          <w:color w:val="000000" w:themeColor="text1"/>
          <w:sz w:val="20"/>
          <w:szCs w:val="20"/>
        </w:rPr>
        <w:t>, C. I., &amp; Feng, Y. (2025). Research topics and intellectual structure in Human Resource Development International 1998–2022: a bibliometric and topic modelling review. </w:t>
      </w:r>
      <w:r w:rsidRPr="009D2AD3">
        <w:rPr>
          <w:rFonts w:ascii="Arial" w:hAnsi="Arial" w:cs="Arial"/>
          <w:i/>
          <w:iCs/>
          <w:color w:val="000000" w:themeColor="text1"/>
          <w:sz w:val="20"/>
          <w:szCs w:val="20"/>
        </w:rPr>
        <w:t>Human Resource Development International</w:t>
      </w:r>
      <w:r w:rsidRPr="009D2AD3">
        <w:rPr>
          <w:rFonts w:ascii="Arial" w:hAnsi="Arial" w:cs="Arial"/>
          <w:color w:val="000000" w:themeColor="text1"/>
          <w:sz w:val="20"/>
          <w:szCs w:val="20"/>
        </w:rPr>
        <w:t>, </w:t>
      </w:r>
      <w:r w:rsidRPr="009D2AD3">
        <w:rPr>
          <w:rFonts w:ascii="Arial" w:hAnsi="Arial" w:cs="Arial"/>
          <w:i/>
          <w:iCs/>
          <w:color w:val="000000" w:themeColor="text1"/>
          <w:sz w:val="20"/>
          <w:szCs w:val="20"/>
        </w:rPr>
        <w:t>28</w:t>
      </w:r>
      <w:r w:rsidRPr="009D2AD3">
        <w:rPr>
          <w:rFonts w:ascii="Arial" w:hAnsi="Arial" w:cs="Arial"/>
          <w:color w:val="000000" w:themeColor="text1"/>
          <w:sz w:val="20"/>
          <w:szCs w:val="20"/>
        </w:rPr>
        <w:t>(3), 323-345.</w:t>
      </w:r>
    </w:p>
    <w:p w14:paraId="00643916"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Kreitner</w:t>
      </w:r>
      <w:proofErr w:type="spellEnd"/>
      <w:r w:rsidRPr="009D2AD3">
        <w:rPr>
          <w:rFonts w:ascii="Arial" w:hAnsi="Arial" w:cs="Arial"/>
          <w:color w:val="000000" w:themeColor="text1"/>
          <w:sz w:val="20"/>
          <w:szCs w:val="20"/>
        </w:rPr>
        <w:t xml:space="preserve">, R., &amp; Kinicki, A. (2007). </w:t>
      </w:r>
      <w:r w:rsidRPr="009D2AD3">
        <w:rPr>
          <w:rStyle w:val="Emphasis"/>
          <w:rFonts w:ascii="Arial" w:hAnsi="Arial" w:cs="Arial"/>
          <w:color w:val="000000" w:themeColor="text1"/>
          <w:sz w:val="20"/>
          <w:szCs w:val="20"/>
        </w:rPr>
        <w:t>Organizational behavior</w:t>
      </w:r>
      <w:r w:rsidRPr="009D2AD3">
        <w:rPr>
          <w:rFonts w:ascii="Arial" w:hAnsi="Arial" w:cs="Arial"/>
          <w:color w:val="000000" w:themeColor="text1"/>
          <w:sz w:val="20"/>
          <w:szCs w:val="20"/>
        </w:rPr>
        <w:t xml:space="preserve"> (7th ed.). McGraw-Hill/Irwin.</w:t>
      </w:r>
    </w:p>
    <w:p w14:paraId="1FEEA45C" w14:textId="49C95AF8"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Style w:val="Strong"/>
          <w:rFonts w:ascii="Arial" w:hAnsi="Arial" w:cs="Arial"/>
          <w:b w:val="0"/>
          <w:color w:val="000000" w:themeColor="text1"/>
          <w:sz w:val="20"/>
          <w:szCs w:val="20"/>
        </w:rPr>
        <w:t>Mercurio</w:t>
      </w:r>
      <w:proofErr w:type="spellEnd"/>
      <w:r w:rsidRPr="009D2AD3">
        <w:rPr>
          <w:rStyle w:val="Strong"/>
          <w:rFonts w:ascii="Arial" w:hAnsi="Arial" w:cs="Arial"/>
          <w:b w:val="0"/>
          <w:color w:val="000000" w:themeColor="text1"/>
          <w:sz w:val="20"/>
          <w:szCs w:val="20"/>
        </w:rPr>
        <w:t>, Z. A.</w:t>
      </w:r>
      <w:r w:rsidRPr="009D2AD3">
        <w:rPr>
          <w:rFonts w:ascii="Arial" w:hAnsi="Arial" w:cs="Arial"/>
          <w:color w:val="000000" w:themeColor="text1"/>
          <w:sz w:val="20"/>
          <w:szCs w:val="20"/>
        </w:rPr>
        <w:t xml:space="preserve"> (2015). Affective commitment as a core essence of organizational commitment: An integrative literature review. </w:t>
      </w:r>
      <w:r w:rsidRPr="009D2AD3">
        <w:rPr>
          <w:rStyle w:val="Emphasis"/>
          <w:rFonts w:ascii="Arial" w:hAnsi="Arial" w:cs="Arial"/>
          <w:color w:val="000000" w:themeColor="text1"/>
          <w:sz w:val="20"/>
          <w:szCs w:val="20"/>
        </w:rPr>
        <w:t>Human Resource Development Review, 14</w:t>
      </w:r>
      <w:r w:rsidRPr="009D2AD3">
        <w:rPr>
          <w:rFonts w:ascii="Arial" w:hAnsi="Arial" w:cs="Arial"/>
          <w:color w:val="000000" w:themeColor="text1"/>
          <w:sz w:val="20"/>
          <w:szCs w:val="20"/>
        </w:rPr>
        <w:t>(4), 389–414.</w:t>
      </w:r>
      <w:r w:rsidR="00A07484" w:rsidRPr="009D2AD3">
        <w:rPr>
          <w:rFonts w:ascii="Arial" w:hAnsi="Arial" w:cs="Arial"/>
          <w:color w:val="000000" w:themeColor="text1"/>
          <w:sz w:val="20"/>
          <w:szCs w:val="20"/>
        </w:rPr>
        <w:t xml:space="preserve"> </w:t>
      </w:r>
      <w:hyperlink r:id="rId15" w:history="1">
        <w:r w:rsidR="00A07484" w:rsidRPr="009D2AD3">
          <w:rPr>
            <w:rStyle w:val="Hyperlink"/>
            <w:rFonts w:ascii="Arial" w:hAnsi="Arial" w:cs="Arial"/>
            <w:color w:val="000000" w:themeColor="text1"/>
            <w:sz w:val="20"/>
            <w:szCs w:val="20"/>
            <w:u w:val="none"/>
          </w:rPr>
          <w:t>https://doi.org/10.1177/1534484315603612</w:t>
        </w:r>
      </w:hyperlink>
      <w:r w:rsidRPr="009D2AD3">
        <w:rPr>
          <w:rFonts w:ascii="Arial" w:hAnsi="Arial" w:cs="Arial"/>
          <w:color w:val="000000" w:themeColor="text1"/>
          <w:sz w:val="20"/>
          <w:szCs w:val="20"/>
        </w:rPr>
        <w:t xml:space="preserve"> </w:t>
      </w:r>
    </w:p>
    <w:p w14:paraId="672E053C" w14:textId="77777777" w:rsidR="00661213"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Jehanzeb</w:t>
      </w:r>
      <w:proofErr w:type="spellEnd"/>
      <w:r w:rsidRPr="009D2AD3">
        <w:rPr>
          <w:rFonts w:ascii="Arial" w:hAnsi="Arial" w:cs="Arial"/>
          <w:color w:val="000000" w:themeColor="text1"/>
          <w:sz w:val="20"/>
          <w:szCs w:val="20"/>
        </w:rPr>
        <w:t xml:space="preserve">, K., &amp; Bashir, N. A. (2025). Psychological Contract Fulfillment as a Mediator Between Organizational Culture and Affective Commitment. </w:t>
      </w:r>
      <w:r w:rsidRPr="009D2AD3">
        <w:rPr>
          <w:rFonts w:ascii="Arial" w:hAnsi="Arial" w:cs="Arial"/>
          <w:i/>
          <w:iCs/>
          <w:color w:val="000000" w:themeColor="text1"/>
          <w:sz w:val="20"/>
          <w:szCs w:val="20"/>
        </w:rPr>
        <w:t>SAGE Open</w:t>
      </w:r>
      <w:r w:rsidRPr="009D2AD3">
        <w:rPr>
          <w:rFonts w:ascii="Arial" w:hAnsi="Arial" w:cs="Arial"/>
          <w:color w:val="000000" w:themeColor="text1"/>
          <w:sz w:val="20"/>
          <w:szCs w:val="20"/>
        </w:rPr>
        <w:t>, 15(3).</w:t>
      </w:r>
    </w:p>
    <w:p w14:paraId="03E1F6FD" w14:textId="29FED163"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Elagaili</w:t>
      </w:r>
      <w:proofErr w:type="spellEnd"/>
      <w:r w:rsidRPr="009D2AD3">
        <w:rPr>
          <w:rFonts w:ascii="Arial" w:hAnsi="Arial" w:cs="Arial"/>
          <w:color w:val="000000" w:themeColor="text1"/>
          <w:sz w:val="20"/>
          <w:szCs w:val="20"/>
        </w:rPr>
        <w:t xml:space="preserve">, T. A. M., Azam, S. M. F., </w:t>
      </w:r>
      <w:proofErr w:type="spellStart"/>
      <w:r w:rsidRPr="009D2AD3">
        <w:rPr>
          <w:rFonts w:ascii="Arial" w:hAnsi="Arial" w:cs="Arial"/>
          <w:color w:val="000000" w:themeColor="text1"/>
          <w:sz w:val="20"/>
          <w:szCs w:val="20"/>
        </w:rPr>
        <w:t>Tham</w:t>
      </w:r>
      <w:proofErr w:type="spellEnd"/>
      <w:r w:rsidRPr="009D2AD3">
        <w:rPr>
          <w:rFonts w:ascii="Arial" w:hAnsi="Arial" w:cs="Arial"/>
          <w:color w:val="000000" w:themeColor="text1"/>
          <w:sz w:val="20"/>
          <w:szCs w:val="20"/>
        </w:rPr>
        <w:t xml:space="preserve">, J., &amp; </w:t>
      </w:r>
      <w:proofErr w:type="spellStart"/>
      <w:r w:rsidRPr="009D2AD3">
        <w:rPr>
          <w:rFonts w:ascii="Arial" w:hAnsi="Arial" w:cs="Arial"/>
          <w:color w:val="000000" w:themeColor="text1"/>
          <w:sz w:val="20"/>
          <w:szCs w:val="20"/>
        </w:rPr>
        <w:t>Khatibi</w:t>
      </w:r>
      <w:proofErr w:type="spellEnd"/>
      <w:r w:rsidRPr="009D2AD3">
        <w:rPr>
          <w:rFonts w:ascii="Arial" w:hAnsi="Arial" w:cs="Arial"/>
          <w:color w:val="000000" w:themeColor="text1"/>
          <w:sz w:val="20"/>
          <w:szCs w:val="20"/>
        </w:rPr>
        <w:t xml:space="preserve">, A. (2024). Role of training and development programs in enhancing the employees job satisfaction and loyalty. </w:t>
      </w:r>
      <w:r w:rsidRPr="009D2AD3">
        <w:rPr>
          <w:rStyle w:val="Emphasis"/>
          <w:rFonts w:ascii="Arial" w:hAnsi="Arial" w:cs="Arial"/>
          <w:color w:val="000000" w:themeColor="text1"/>
          <w:sz w:val="20"/>
          <w:szCs w:val="20"/>
        </w:rPr>
        <w:t>Sustainable Business and Society in Emerging Economies, 6</w:t>
      </w:r>
      <w:r w:rsidRPr="009D2AD3">
        <w:rPr>
          <w:rFonts w:ascii="Arial" w:hAnsi="Arial" w:cs="Arial"/>
          <w:color w:val="000000" w:themeColor="text1"/>
          <w:sz w:val="20"/>
          <w:szCs w:val="20"/>
        </w:rPr>
        <w:t xml:space="preserve">(3), 389–399. </w:t>
      </w:r>
      <w:hyperlink r:id="rId16" w:history="1">
        <w:r w:rsidR="00661213" w:rsidRPr="009D2AD3">
          <w:rPr>
            <w:rStyle w:val="Hyperlink"/>
            <w:rFonts w:ascii="Arial" w:hAnsi="Arial" w:cs="Arial"/>
            <w:color w:val="000000" w:themeColor="text1"/>
            <w:sz w:val="20"/>
            <w:szCs w:val="20"/>
            <w:u w:val="none"/>
          </w:rPr>
          <w:t>https://doi.org/10.26710/sbsee.v6i3.3106</w:t>
        </w:r>
      </w:hyperlink>
    </w:p>
    <w:p w14:paraId="0ECD0D86" w14:textId="77777777" w:rsidR="00992815" w:rsidRPr="009D2AD3" w:rsidRDefault="00992815" w:rsidP="00924E8A">
      <w:pPr>
        <w:pStyle w:val="ListParagraph"/>
        <w:numPr>
          <w:ilvl w:val="0"/>
          <w:numId w:val="2"/>
        </w:numPr>
        <w:rPr>
          <w:rStyle w:val="fadeinm1hgl8"/>
          <w:rFonts w:ascii="Arial" w:hAnsi="Arial" w:cs="Arial"/>
          <w:color w:val="000000" w:themeColor="text1"/>
          <w:sz w:val="20"/>
          <w:szCs w:val="20"/>
        </w:rPr>
      </w:pPr>
      <w:proofErr w:type="spellStart"/>
      <w:r w:rsidRPr="009D2AD3">
        <w:rPr>
          <w:rFonts w:ascii="Arial" w:hAnsi="Arial" w:cs="Arial"/>
          <w:color w:val="000000" w:themeColor="text1"/>
          <w:sz w:val="20"/>
          <w:szCs w:val="20"/>
        </w:rPr>
        <w:t>Nda</w:t>
      </w:r>
      <w:proofErr w:type="spellEnd"/>
      <w:r w:rsidRPr="009D2AD3">
        <w:rPr>
          <w:rFonts w:ascii="Arial" w:hAnsi="Arial" w:cs="Arial"/>
          <w:color w:val="000000" w:themeColor="text1"/>
          <w:sz w:val="20"/>
          <w:szCs w:val="20"/>
        </w:rPr>
        <w:t xml:space="preserve">, M. M., &amp; </w:t>
      </w:r>
      <w:proofErr w:type="spellStart"/>
      <w:r w:rsidRPr="009D2AD3">
        <w:rPr>
          <w:rFonts w:ascii="Arial" w:hAnsi="Arial" w:cs="Arial"/>
          <w:color w:val="000000" w:themeColor="text1"/>
          <w:sz w:val="20"/>
          <w:szCs w:val="20"/>
        </w:rPr>
        <w:t>Fard</w:t>
      </w:r>
      <w:proofErr w:type="spellEnd"/>
      <w:r w:rsidRPr="009D2AD3">
        <w:rPr>
          <w:rFonts w:ascii="Arial" w:hAnsi="Arial" w:cs="Arial"/>
          <w:color w:val="000000" w:themeColor="text1"/>
          <w:sz w:val="20"/>
          <w:szCs w:val="20"/>
        </w:rPr>
        <w:t xml:space="preserve">, R. Y. (2013). The impact of employee training and development on employee productivity. </w:t>
      </w:r>
      <w:r w:rsidRPr="009D2AD3">
        <w:rPr>
          <w:rStyle w:val="Emphasis"/>
          <w:rFonts w:ascii="Arial" w:hAnsi="Arial" w:cs="Arial"/>
          <w:color w:val="000000" w:themeColor="text1"/>
          <w:sz w:val="20"/>
          <w:szCs w:val="20"/>
        </w:rPr>
        <w:t>Global Journal of Commerce and Management Perspective, 2</w:t>
      </w:r>
      <w:r w:rsidRPr="009D2AD3">
        <w:rPr>
          <w:rFonts w:ascii="Arial" w:hAnsi="Arial" w:cs="Arial"/>
          <w:color w:val="000000" w:themeColor="text1"/>
          <w:sz w:val="20"/>
          <w:szCs w:val="20"/>
        </w:rPr>
        <w:t>(6), 91–93.</w:t>
      </w:r>
    </w:p>
    <w:p w14:paraId="6B8C7756"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Mathew, J., &amp; Zacharias, A. (2016). A study on the relationship between training satisfaction and organizational commitment. </w:t>
      </w:r>
      <w:r w:rsidRPr="009D2AD3">
        <w:rPr>
          <w:rStyle w:val="Emphasis"/>
          <w:rFonts w:ascii="Arial" w:hAnsi="Arial" w:cs="Arial"/>
          <w:color w:val="000000" w:themeColor="text1"/>
          <w:sz w:val="20"/>
          <w:szCs w:val="20"/>
        </w:rPr>
        <w:t>Indian Journal of Industrial Relations, 52</w:t>
      </w:r>
      <w:r w:rsidRPr="009D2AD3">
        <w:rPr>
          <w:rFonts w:ascii="Arial" w:hAnsi="Arial" w:cs="Arial"/>
          <w:color w:val="000000" w:themeColor="text1"/>
          <w:sz w:val="20"/>
          <w:szCs w:val="20"/>
        </w:rPr>
        <w:t>(2), 254–267.</w:t>
      </w:r>
    </w:p>
    <w:p w14:paraId="06CB1E26"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Ko, C. P., &amp; Ko, C. C. (2012). The relationship of training quality in e-learning and organizational commitment to organizational performance in the </w:t>
      </w:r>
      <w:proofErr w:type="spellStart"/>
      <w:r w:rsidRPr="009D2AD3">
        <w:rPr>
          <w:rFonts w:ascii="Arial" w:eastAsia="Times New Roman" w:hAnsi="Arial" w:cs="Arial"/>
          <w:color w:val="000000" w:themeColor="text1"/>
          <w:sz w:val="20"/>
          <w:szCs w:val="20"/>
        </w:rPr>
        <w:t>taiwan</w:t>
      </w:r>
      <w:proofErr w:type="spellEnd"/>
      <w:r w:rsidRPr="009D2AD3">
        <w:rPr>
          <w:rFonts w:ascii="Arial" w:eastAsia="Times New Roman" w:hAnsi="Arial" w:cs="Arial"/>
          <w:color w:val="000000" w:themeColor="text1"/>
          <w:sz w:val="20"/>
          <w:szCs w:val="20"/>
        </w:rPr>
        <w:t xml:space="preserve"> service industry. </w:t>
      </w:r>
      <w:r w:rsidRPr="009D2AD3">
        <w:rPr>
          <w:rFonts w:ascii="Arial" w:eastAsia="Times New Roman" w:hAnsi="Arial" w:cs="Arial"/>
          <w:i/>
          <w:iCs/>
          <w:color w:val="000000" w:themeColor="text1"/>
          <w:sz w:val="20"/>
          <w:szCs w:val="20"/>
        </w:rPr>
        <w:t>IERI Procedia</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2</w:t>
      </w:r>
      <w:r w:rsidRPr="009D2AD3">
        <w:rPr>
          <w:rFonts w:ascii="Arial" w:eastAsia="Times New Roman" w:hAnsi="Arial" w:cs="Arial"/>
          <w:color w:val="000000" w:themeColor="text1"/>
          <w:sz w:val="20"/>
          <w:szCs w:val="20"/>
        </w:rPr>
        <w:t>, 821-827.</w:t>
      </w:r>
    </w:p>
    <w:p w14:paraId="39504DAE" w14:textId="5276ECE1"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Style w:val="Strong"/>
          <w:rFonts w:ascii="Arial" w:hAnsi="Arial" w:cs="Arial"/>
          <w:b w:val="0"/>
          <w:bCs w:val="0"/>
          <w:color w:val="000000" w:themeColor="text1"/>
          <w:sz w:val="20"/>
          <w:szCs w:val="20"/>
        </w:rPr>
        <w:t xml:space="preserve">Bashir, F., &amp; </w:t>
      </w:r>
      <w:proofErr w:type="spellStart"/>
      <w:r w:rsidRPr="009D2AD3">
        <w:rPr>
          <w:rStyle w:val="Strong"/>
          <w:rFonts w:ascii="Arial" w:hAnsi="Arial" w:cs="Arial"/>
          <w:b w:val="0"/>
          <w:bCs w:val="0"/>
          <w:color w:val="000000" w:themeColor="text1"/>
          <w:sz w:val="20"/>
          <w:szCs w:val="20"/>
        </w:rPr>
        <w:t>Santhi</w:t>
      </w:r>
      <w:proofErr w:type="spellEnd"/>
      <w:r w:rsidRPr="009D2AD3">
        <w:rPr>
          <w:rStyle w:val="Strong"/>
          <w:rFonts w:ascii="Arial" w:hAnsi="Arial" w:cs="Arial"/>
          <w:b w:val="0"/>
          <w:bCs w:val="0"/>
          <w:color w:val="000000" w:themeColor="text1"/>
          <w:sz w:val="20"/>
          <w:szCs w:val="20"/>
        </w:rPr>
        <w:t>, V.</w:t>
      </w:r>
      <w:r w:rsidRPr="009D2AD3">
        <w:rPr>
          <w:rFonts w:ascii="Arial" w:hAnsi="Arial" w:cs="Arial"/>
          <w:color w:val="000000" w:themeColor="text1"/>
          <w:sz w:val="20"/>
          <w:szCs w:val="20"/>
        </w:rPr>
        <w:t xml:space="preserve"> (2021, December 7–8). </w:t>
      </w:r>
      <w:r w:rsidRPr="009D2AD3">
        <w:rPr>
          <w:rStyle w:val="Emphasis"/>
          <w:rFonts w:ascii="Arial" w:hAnsi="Arial" w:cs="Arial"/>
          <w:color w:val="000000" w:themeColor="text1"/>
          <w:sz w:val="20"/>
          <w:szCs w:val="20"/>
        </w:rPr>
        <w:t>The relationship between training and career management on affective commitment</w:t>
      </w:r>
      <w:r w:rsidRPr="009D2AD3">
        <w:rPr>
          <w:rFonts w:ascii="Arial" w:hAnsi="Arial" w:cs="Arial"/>
          <w:color w:val="000000" w:themeColor="text1"/>
          <w:sz w:val="20"/>
          <w:szCs w:val="20"/>
        </w:rPr>
        <w:t xml:space="preserve"> [Conference presentation]. </w:t>
      </w:r>
      <w:r w:rsidRPr="009D2AD3">
        <w:rPr>
          <w:rStyle w:val="Emphasis"/>
          <w:rFonts w:ascii="Arial" w:hAnsi="Arial" w:cs="Arial"/>
          <w:color w:val="000000" w:themeColor="text1"/>
          <w:sz w:val="20"/>
          <w:szCs w:val="20"/>
        </w:rPr>
        <w:t>Proceedings of the First International Conference on Combinatorial and Optimization (ICCAP 2021)</w:t>
      </w:r>
      <w:r w:rsidRPr="009D2AD3">
        <w:rPr>
          <w:rFonts w:ascii="Arial" w:hAnsi="Arial" w:cs="Arial"/>
          <w:color w:val="000000" w:themeColor="text1"/>
          <w:sz w:val="20"/>
          <w:szCs w:val="20"/>
        </w:rPr>
        <w:t xml:space="preserve">, Chennai, India. </w:t>
      </w:r>
      <w:hyperlink r:id="rId17" w:history="1">
        <w:r w:rsidR="003424FE" w:rsidRPr="009D2AD3">
          <w:rPr>
            <w:rStyle w:val="Hyperlink"/>
            <w:rFonts w:ascii="Arial" w:hAnsi="Arial" w:cs="Arial"/>
            <w:color w:val="000000" w:themeColor="text1"/>
            <w:sz w:val="20"/>
            <w:szCs w:val="20"/>
            <w:u w:val="none"/>
          </w:rPr>
          <w:t>https://doi.org/10.4108/eai.7</w:t>
        </w:r>
        <w:r w:rsidR="003424FE" w:rsidRPr="009D2AD3">
          <w:rPr>
            <w:rStyle w:val="Hyperlink"/>
            <w:rFonts w:ascii="Arial" w:hAnsi="Arial" w:cs="Arial"/>
            <w:color w:val="000000" w:themeColor="text1"/>
            <w:sz w:val="20"/>
            <w:szCs w:val="20"/>
            <w:u w:val="none"/>
          </w:rPr>
          <w:noBreakHyphen/>
          <w:t>12</w:t>
        </w:r>
        <w:r w:rsidR="003424FE" w:rsidRPr="009D2AD3">
          <w:rPr>
            <w:rStyle w:val="Hyperlink"/>
            <w:rFonts w:ascii="Arial" w:hAnsi="Arial" w:cs="Arial"/>
            <w:color w:val="000000" w:themeColor="text1"/>
            <w:sz w:val="20"/>
            <w:szCs w:val="20"/>
            <w:u w:val="none"/>
          </w:rPr>
          <w:noBreakHyphen/>
          <w:t>2021.2314681</w:t>
        </w:r>
      </w:hyperlink>
    </w:p>
    <w:p w14:paraId="58C0D6B0"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Sibarani</w:t>
      </w:r>
      <w:proofErr w:type="spellEnd"/>
      <w:r w:rsidRPr="009D2AD3">
        <w:rPr>
          <w:rFonts w:ascii="Arial" w:eastAsia="Times New Roman" w:hAnsi="Arial" w:cs="Arial"/>
          <w:color w:val="000000" w:themeColor="text1"/>
          <w:sz w:val="20"/>
          <w:szCs w:val="20"/>
        </w:rPr>
        <w:t xml:space="preserve">, E., </w:t>
      </w:r>
      <w:proofErr w:type="spellStart"/>
      <w:r w:rsidRPr="009D2AD3">
        <w:rPr>
          <w:rFonts w:ascii="Arial" w:eastAsia="Times New Roman" w:hAnsi="Arial" w:cs="Arial"/>
          <w:color w:val="000000" w:themeColor="text1"/>
          <w:sz w:val="20"/>
          <w:szCs w:val="20"/>
        </w:rPr>
        <w:t>Sadalia</w:t>
      </w:r>
      <w:proofErr w:type="spellEnd"/>
      <w:r w:rsidRPr="009D2AD3">
        <w:rPr>
          <w:rFonts w:ascii="Arial" w:eastAsia="Times New Roman" w:hAnsi="Arial" w:cs="Arial"/>
          <w:color w:val="000000" w:themeColor="text1"/>
          <w:sz w:val="20"/>
          <w:szCs w:val="20"/>
        </w:rPr>
        <w:t xml:space="preserve">, I., &amp; </w:t>
      </w:r>
      <w:proofErr w:type="spellStart"/>
      <w:r w:rsidRPr="009D2AD3">
        <w:rPr>
          <w:rFonts w:ascii="Arial" w:eastAsia="Times New Roman" w:hAnsi="Arial" w:cs="Arial"/>
          <w:color w:val="000000" w:themeColor="text1"/>
          <w:sz w:val="20"/>
          <w:szCs w:val="20"/>
        </w:rPr>
        <w:t>Nazaruddin</w:t>
      </w:r>
      <w:proofErr w:type="spellEnd"/>
      <w:r w:rsidRPr="009D2AD3">
        <w:rPr>
          <w:rFonts w:ascii="Arial" w:eastAsia="Times New Roman" w:hAnsi="Arial" w:cs="Arial"/>
          <w:color w:val="000000" w:themeColor="text1"/>
          <w:sz w:val="20"/>
          <w:szCs w:val="20"/>
        </w:rPr>
        <w:t xml:space="preserve">, N. (2023). The effect of employee engagement and training on employee performance through organizational commitment. </w:t>
      </w:r>
      <w:r w:rsidRPr="009D2AD3">
        <w:rPr>
          <w:rFonts w:ascii="Arial" w:eastAsia="Times New Roman" w:hAnsi="Arial" w:cs="Arial"/>
          <w:i/>
          <w:iCs/>
          <w:color w:val="000000" w:themeColor="text1"/>
          <w:sz w:val="20"/>
          <w:szCs w:val="20"/>
        </w:rPr>
        <w:t>International Journal on Social Science, Economics and Art</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12</w:t>
      </w:r>
      <w:r w:rsidRPr="009D2AD3">
        <w:rPr>
          <w:rFonts w:ascii="Arial" w:eastAsia="Times New Roman" w:hAnsi="Arial" w:cs="Arial"/>
          <w:color w:val="000000" w:themeColor="text1"/>
          <w:sz w:val="20"/>
          <w:szCs w:val="20"/>
        </w:rPr>
        <w:t>(4), 178-188.</w:t>
      </w:r>
    </w:p>
    <w:p w14:paraId="78F90CE7"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Hanif, F., Sabir, K., Hafeez, N., Shah, F. N., &amp; </w:t>
      </w:r>
      <w:proofErr w:type="spellStart"/>
      <w:r w:rsidRPr="009D2AD3">
        <w:rPr>
          <w:rFonts w:ascii="Arial" w:eastAsia="Times New Roman" w:hAnsi="Arial" w:cs="Arial"/>
          <w:color w:val="000000" w:themeColor="text1"/>
          <w:sz w:val="20"/>
          <w:szCs w:val="20"/>
        </w:rPr>
        <w:t>Jalali</w:t>
      </w:r>
      <w:proofErr w:type="spellEnd"/>
      <w:r w:rsidRPr="009D2AD3">
        <w:rPr>
          <w:rFonts w:ascii="Arial" w:eastAsia="Times New Roman" w:hAnsi="Arial" w:cs="Arial"/>
          <w:color w:val="000000" w:themeColor="text1"/>
          <w:sz w:val="20"/>
          <w:szCs w:val="20"/>
        </w:rPr>
        <w:t>, Q. M. (2024). The Contribution of Human Resource Practices to the Affective Commitment Initiative: Evidence from Manufacturing Firms. </w:t>
      </w:r>
      <w:r w:rsidRPr="009D2AD3">
        <w:rPr>
          <w:rFonts w:ascii="Arial" w:eastAsia="Times New Roman" w:hAnsi="Arial" w:cs="Arial"/>
          <w:i/>
          <w:iCs/>
          <w:color w:val="000000" w:themeColor="text1"/>
          <w:sz w:val="20"/>
          <w:szCs w:val="20"/>
        </w:rPr>
        <w:t>Indus Journal of Social Sciences</w:t>
      </w:r>
      <w:r w:rsidRPr="009D2AD3">
        <w:rPr>
          <w:rFonts w:ascii="Arial" w:eastAsia="Times New Roman" w:hAnsi="Arial" w:cs="Arial"/>
          <w:color w:val="000000" w:themeColor="text1"/>
          <w:sz w:val="20"/>
          <w:szCs w:val="20"/>
        </w:rPr>
        <w:t>, </w:t>
      </w:r>
      <w:r w:rsidRPr="009D2AD3">
        <w:rPr>
          <w:rFonts w:ascii="Arial" w:eastAsia="Times New Roman" w:hAnsi="Arial" w:cs="Arial"/>
          <w:i/>
          <w:iCs/>
          <w:color w:val="000000" w:themeColor="text1"/>
          <w:sz w:val="20"/>
          <w:szCs w:val="20"/>
        </w:rPr>
        <w:t>2</w:t>
      </w:r>
      <w:r w:rsidRPr="009D2AD3">
        <w:rPr>
          <w:rFonts w:ascii="Arial" w:eastAsia="Times New Roman" w:hAnsi="Arial" w:cs="Arial"/>
          <w:color w:val="000000" w:themeColor="text1"/>
          <w:sz w:val="20"/>
          <w:szCs w:val="20"/>
        </w:rPr>
        <w:t>(2), 411-425.</w:t>
      </w:r>
    </w:p>
    <w:p w14:paraId="0570FA80"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Jia-Jun, Z., &amp; Hua-Ming, S. (2022). The impact of career growth on knowledge-based employee engagement: The mediating role of affective commitment and the moderating role of perceived organizational support. </w:t>
      </w:r>
      <w:r w:rsidRPr="009D2AD3">
        <w:rPr>
          <w:rFonts w:ascii="Arial" w:eastAsia="Times New Roman" w:hAnsi="Arial" w:cs="Arial"/>
          <w:i/>
          <w:iCs/>
          <w:color w:val="000000" w:themeColor="text1"/>
          <w:sz w:val="20"/>
          <w:szCs w:val="20"/>
        </w:rPr>
        <w:t>Frontiers in Psychology</w:t>
      </w:r>
      <w:r w:rsidRPr="009D2AD3">
        <w:rPr>
          <w:rFonts w:ascii="Arial" w:eastAsia="Times New Roman" w:hAnsi="Arial" w:cs="Arial"/>
          <w:color w:val="000000" w:themeColor="text1"/>
          <w:sz w:val="20"/>
          <w:szCs w:val="20"/>
        </w:rPr>
        <w:t>, </w:t>
      </w:r>
      <w:r w:rsidRPr="009D2AD3">
        <w:rPr>
          <w:rFonts w:ascii="Arial" w:eastAsia="Times New Roman" w:hAnsi="Arial" w:cs="Arial"/>
          <w:i/>
          <w:iCs/>
          <w:color w:val="000000" w:themeColor="text1"/>
          <w:sz w:val="20"/>
          <w:szCs w:val="20"/>
        </w:rPr>
        <w:t>13</w:t>
      </w:r>
      <w:r w:rsidRPr="009D2AD3">
        <w:rPr>
          <w:rFonts w:ascii="Arial" w:eastAsia="Times New Roman" w:hAnsi="Arial" w:cs="Arial"/>
          <w:color w:val="000000" w:themeColor="text1"/>
          <w:sz w:val="20"/>
          <w:szCs w:val="20"/>
        </w:rPr>
        <w:t>, 805208.</w:t>
      </w:r>
    </w:p>
    <w:p w14:paraId="5A46A849" w14:textId="19F82EBB"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Bartlett, K. R., &amp; Kang, D. S. (2001). The relationship between training and organizational commitment: A study in the health care field. </w:t>
      </w:r>
      <w:r w:rsidRPr="009D2AD3">
        <w:rPr>
          <w:rStyle w:val="Emphasis"/>
          <w:rFonts w:ascii="Arial" w:hAnsi="Arial" w:cs="Arial"/>
          <w:color w:val="000000" w:themeColor="text1"/>
          <w:sz w:val="20"/>
          <w:szCs w:val="20"/>
        </w:rPr>
        <w:t>Human Resource Development Quarterly, 12</w:t>
      </w:r>
      <w:r w:rsidRPr="009D2AD3">
        <w:rPr>
          <w:rFonts w:ascii="Arial" w:hAnsi="Arial" w:cs="Arial"/>
          <w:color w:val="000000" w:themeColor="text1"/>
          <w:sz w:val="20"/>
          <w:szCs w:val="20"/>
        </w:rPr>
        <w:t xml:space="preserve">(4), 335–352. </w:t>
      </w:r>
      <w:hyperlink r:id="rId18" w:tgtFrame="_new" w:history="1">
        <w:r w:rsidR="003424FE" w:rsidRPr="009D2AD3">
          <w:rPr>
            <w:rStyle w:val="Hyperlink"/>
            <w:rFonts w:ascii="Arial" w:hAnsi="Arial" w:cs="Arial"/>
            <w:color w:val="000000" w:themeColor="text1"/>
            <w:sz w:val="20"/>
            <w:szCs w:val="20"/>
            <w:u w:val="none"/>
          </w:rPr>
          <w:t>https://doi.org/10.1002/hrdq.1001</w:t>
        </w:r>
      </w:hyperlink>
    </w:p>
    <w:p w14:paraId="63B2E3AA"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Isom, J. R. (2023). </w:t>
      </w:r>
      <w:r w:rsidRPr="009D2AD3">
        <w:rPr>
          <w:rFonts w:ascii="Arial" w:hAnsi="Arial" w:cs="Arial"/>
          <w:i/>
          <w:iCs/>
          <w:color w:val="000000" w:themeColor="text1"/>
          <w:sz w:val="20"/>
          <w:szCs w:val="20"/>
        </w:rPr>
        <w:t>The mediating effect of continuance commitment on the job training satisfaction–turnover intention relationship</w:t>
      </w:r>
      <w:r w:rsidRPr="009D2AD3">
        <w:rPr>
          <w:rFonts w:ascii="Arial" w:hAnsi="Arial" w:cs="Arial"/>
          <w:color w:val="000000" w:themeColor="text1"/>
          <w:sz w:val="20"/>
          <w:szCs w:val="20"/>
        </w:rPr>
        <w:t xml:space="preserve"> (Doctoral dissertation, Grand Canyon University). ProQuest Dissertations &amp; Theses, 30316299.</w:t>
      </w:r>
    </w:p>
    <w:p w14:paraId="60D4E738"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Khan, A. J., Bashir, F., Nasim, I., &amp; Ahmad, R. (2021). Understanding affective, normative &amp; continuance commitment through the lens of training &amp; development. </w:t>
      </w:r>
      <w:proofErr w:type="spellStart"/>
      <w:r w:rsidRPr="009D2AD3">
        <w:rPr>
          <w:rFonts w:ascii="Arial" w:eastAsia="Times New Roman" w:hAnsi="Arial" w:cs="Arial"/>
          <w:i/>
          <w:iCs/>
          <w:color w:val="000000" w:themeColor="text1"/>
          <w:sz w:val="20"/>
          <w:szCs w:val="20"/>
        </w:rPr>
        <w:t>iRASD</w:t>
      </w:r>
      <w:proofErr w:type="spellEnd"/>
      <w:r w:rsidRPr="009D2AD3">
        <w:rPr>
          <w:rFonts w:ascii="Arial" w:eastAsia="Times New Roman" w:hAnsi="Arial" w:cs="Arial"/>
          <w:i/>
          <w:iCs/>
          <w:color w:val="000000" w:themeColor="text1"/>
          <w:sz w:val="20"/>
          <w:szCs w:val="20"/>
        </w:rPr>
        <w:t xml:space="preserve"> Journal of Management</w:t>
      </w:r>
      <w:r w:rsidRPr="009D2AD3">
        <w:rPr>
          <w:rFonts w:ascii="Arial" w:eastAsia="Times New Roman" w:hAnsi="Arial" w:cs="Arial"/>
          <w:color w:val="000000" w:themeColor="text1"/>
          <w:sz w:val="20"/>
          <w:szCs w:val="20"/>
        </w:rPr>
        <w:t>, </w:t>
      </w:r>
      <w:r w:rsidRPr="009D2AD3">
        <w:rPr>
          <w:rFonts w:ascii="Arial" w:eastAsia="Times New Roman" w:hAnsi="Arial" w:cs="Arial"/>
          <w:i/>
          <w:iCs/>
          <w:color w:val="000000" w:themeColor="text1"/>
          <w:sz w:val="20"/>
          <w:szCs w:val="20"/>
        </w:rPr>
        <w:t>3</w:t>
      </w:r>
      <w:r w:rsidRPr="009D2AD3">
        <w:rPr>
          <w:rFonts w:ascii="Arial" w:eastAsia="Times New Roman" w:hAnsi="Arial" w:cs="Arial"/>
          <w:color w:val="000000" w:themeColor="text1"/>
          <w:sz w:val="20"/>
          <w:szCs w:val="20"/>
        </w:rPr>
        <w:t>(2), 105-113.</w:t>
      </w:r>
    </w:p>
    <w:p w14:paraId="62B72FD9" w14:textId="2C40DCEE"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Ben Mansour, J., </w:t>
      </w:r>
      <w:proofErr w:type="spellStart"/>
      <w:r w:rsidRPr="009D2AD3">
        <w:rPr>
          <w:rFonts w:ascii="Arial" w:hAnsi="Arial" w:cs="Arial"/>
          <w:color w:val="000000" w:themeColor="text1"/>
          <w:sz w:val="20"/>
          <w:szCs w:val="20"/>
        </w:rPr>
        <w:t>Naji</w:t>
      </w:r>
      <w:proofErr w:type="spellEnd"/>
      <w:r w:rsidRPr="009D2AD3">
        <w:rPr>
          <w:rFonts w:ascii="Arial" w:hAnsi="Arial" w:cs="Arial"/>
          <w:color w:val="000000" w:themeColor="text1"/>
          <w:sz w:val="20"/>
          <w:szCs w:val="20"/>
        </w:rPr>
        <w:t xml:space="preserve">, A., &amp; Leclerc, A. (2017). The relationship between training satisfaction and the readiness to transfer learning: The mediating role of normative commitment. </w:t>
      </w:r>
      <w:r w:rsidRPr="009D2AD3">
        <w:rPr>
          <w:rStyle w:val="Emphasis"/>
          <w:rFonts w:ascii="Arial" w:hAnsi="Arial" w:cs="Arial"/>
          <w:color w:val="000000" w:themeColor="text1"/>
          <w:sz w:val="20"/>
          <w:szCs w:val="20"/>
        </w:rPr>
        <w:t>Sustainability, 9</w:t>
      </w:r>
      <w:r w:rsidRPr="009D2AD3">
        <w:rPr>
          <w:rFonts w:ascii="Arial" w:hAnsi="Arial" w:cs="Arial"/>
          <w:color w:val="000000" w:themeColor="text1"/>
          <w:sz w:val="20"/>
          <w:szCs w:val="20"/>
        </w:rPr>
        <w:t xml:space="preserve">(5), 834. </w:t>
      </w:r>
      <w:hyperlink r:id="rId19" w:tgtFrame="_new" w:history="1">
        <w:r w:rsidR="003424FE" w:rsidRPr="009D2AD3">
          <w:rPr>
            <w:rStyle w:val="Hyperlink"/>
            <w:rFonts w:ascii="Arial" w:hAnsi="Arial" w:cs="Arial"/>
            <w:color w:val="000000" w:themeColor="text1"/>
            <w:sz w:val="20"/>
            <w:szCs w:val="20"/>
            <w:u w:val="none"/>
          </w:rPr>
          <w:t>https://doi.org/10.3390/su9050834</w:t>
        </w:r>
      </w:hyperlink>
    </w:p>
    <w:p w14:paraId="28B3963D" w14:textId="77777777" w:rsidR="00992815" w:rsidRPr="009D2AD3" w:rsidRDefault="00992815" w:rsidP="00924E8A">
      <w:pPr>
        <w:pStyle w:val="ListParagraph"/>
        <w:numPr>
          <w:ilvl w:val="0"/>
          <w:numId w:val="2"/>
        </w:numPr>
        <w:rPr>
          <w:rStyle w:val="fadeinm1hgl8"/>
          <w:rFonts w:ascii="Arial" w:hAnsi="Arial" w:cs="Arial"/>
          <w:color w:val="000000" w:themeColor="text1"/>
          <w:sz w:val="20"/>
          <w:szCs w:val="20"/>
        </w:rPr>
      </w:pPr>
      <w:r w:rsidRPr="009D2AD3">
        <w:rPr>
          <w:rFonts w:ascii="Arial" w:hAnsi="Arial" w:cs="Arial"/>
          <w:color w:val="000000" w:themeColor="text1"/>
          <w:sz w:val="20"/>
          <w:szCs w:val="20"/>
        </w:rPr>
        <w:t xml:space="preserve">Mokhtar, R., </w:t>
      </w:r>
      <w:proofErr w:type="spellStart"/>
      <w:r w:rsidRPr="009D2AD3">
        <w:rPr>
          <w:rFonts w:ascii="Arial" w:hAnsi="Arial" w:cs="Arial"/>
          <w:color w:val="000000" w:themeColor="text1"/>
          <w:sz w:val="20"/>
          <w:szCs w:val="20"/>
        </w:rPr>
        <w:t>Ambad</w:t>
      </w:r>
      <w:proofErr w:type="spellEnd"/>
      <w:r w:rsidRPr="009D2AD3">
        <w:rPr>
          <w:rFonts w:ascii="Arial" w:hAnsi="Arial" w:cs="Arial"/>
          <w:color w:val="000000" w:themeColor="text1"/>
          <w:sz w:val="20"/>
          <w:szCs w:val="20"/>
        </w:rPr>
        <w:t xml:space="preserve">, S. N. A., </w:t>
      </w:r>
      <w:proofErr w:type="spellStart"/>
      <w:r w:rsidRPr="009D2AD3">
        <w:rPr>
          <w:rFonts w:ascii="Arial" w:hAnsi="Arial" w:cs="Arial"/>
          <w:color w:val="000000" w:themeColor="text1"/>
          <w:sz w:val="20"/>
          <w:szCs w:val="20"/>
        </w:rPr>
        <w:t>Annuar</w:t>
      </w:r>
      <w:proofErr w:type="spellEnd"/>
      <w:r w:rsidRPr="009D2AD3">
        <w:rPr>
          <w:rFonts w:ascii="Arial" w:hAnsi="Arial" w:cs="Arial"/>
          <w:color w:val="000000" w:themeColor="text1"/>
          <w:sz w:val="20"/>
          <w:szCs w:val="20"/>
        </w:rPr>
        <w:t xml:space="preserve">, S. N. S., &amp; </w:t>
      </w:r>
      <w:proofErr w:type="spellStart"/>
      <w:r w:rsidRPr="009D2AD3">
        <w:rPr>
          <w:rFonts w:ascii="Arial" w:hAnsi="Arial" w:cs="Arial"/>
          <w:color w:val="000000" w:themeColor="text1"/>
          <w:sz w:val="20"/>
          <w:szCs w:val="20"/>
        </w:rPr>
        <w:t>Lajuni</w:t>
      </w:r>
      <w:proofErr w:type="spellEnd"/>
      <w:r w:rsidRPr="009D2AD3">
        <w:rPr>
          <w:rFonts w:ascii="Arial" w:hAnsi="Arial" w:cs="Arial"/>
          <w:color w:val="000000" w:themeColor="text1"/>
          <w:sz w:val="20"/>
          <w:szCs w:val="20"/>
        </w:rPr>
        <w:t xml:space="preserve">, N. (2021). Employee engagement and its relationship towards normative commitment in Malaysia oil and gas industry. </w:t>
      </w:r>
      <w:r w:rsidRPr="009D2AD3">
        <w:rPr>
          <w:rFonts w:ascii="Arial" w:hAnsi="Arial" w:cs="Arial"/>
          <w:i/>
          <w:iCs/>
          <w:color w:val="000000" w:themeColor="text1"/>
          <w:sz w:val="20"/>
          <w:szCs w:val="20"/>
        </w:rPr>
        <w:t>International Journal of Human Resource Studies, 11</w:t>
      </w:r>
      <w:r w:rsidRPr="009D2AD3">
        <w:rPr>
          <w:rFonts w:ascii="Arial" w:hAnsi="Arial" w:cs="Arial"/>
          <w:color w:val="000000" w:themeColor="text1"/>
          <w:sz w:val="20"/>
          <w:szCs w:val="20"/>
        </w:rPr>
        <w:t>(1), 164–180. https://doi.org/10.5296/ijhrs.v11i1.18260</w:t>
      </w:r>
    </w:p>
    <w:p w14:paraId="0C97660C"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Homans, G. C. (1958). Social behavior as exchange. American Journal of Sociology, 63(6), 597–606.</w:t>
      </w:r>
    </w:p>
    <w:p w14:paraId="2732A391" w14:textId="77777777" w:rsidR="00992815" w:rsidRPr="009D2AD3" w:rsidRDefault="00992815" w:rsidP="00924E8A">
      <w:pPr>
        <w:pStyle w:val="ListParagraph"/>
        <w:numPr>
          <w:ilvl w:val="0"/>
          <w:numId w:val="2"/>
        </w:numPr>
        <w:rPr>
          <w:rStyle w:val="Hyperlink"/>
          <w:rFonts w:ascii="Arial" w:eastAsia="Times New Roman" w:hAnsi="Arial" w:cs="Arial"/>
          <w:color w:val="000000" w:themeColor="text1"/>
          <w:sz w:val="20"/>
          <w:szCs w:val="20"/>
          <w:u w:val="none"/>
        </w:rPr>
      </w:pPr>
      <w:proofErr w:type="spellStart"/>
      <w:r w:rsidRPr="009D2AD3">
        <w:rPr>
          <w:rFonts w:ascii="Arial" w:eastAsia="Times New Roman" w:hAnsi="Arial" w:cs="Arial"/>
          <w:color w:val="000000" w:themeColor="text1"/>
          <w:sz w:val="20"/>
          <w:szCs w:val="20"/>
        </w:rPr>
        <w:t>Blau</w:t>
      </w:r>
      <w:proofErr w:type="spellEnd"/>
      <w:r w:rsidRPr="009D2AD3">
        <w:rPr>
          <w:rFonts w:ascii="Arial" w:eastAsia="Times New Roman" w:hAnsi="Arial" w:cs="Arial"/>
          <w:color w:val="000000" w:themeColor="text1"/>
          <w:sz w:val="20"/>
          <w:szCs w:val="20"/>
        </w:rPr>
        <w:t xml:space="preserve">, P. M. (1964). </w:t>
      </w:r>
      <w:r w:rsidRPr="009D2AD3">
        <w:rPr>
          <w:rFonts w:ascii="Arial" w:eastAsia="Times New Roman" w:hAnsi="Arial" w:cs="Arial"/>
          <w:i/>
          <w:iCs/>
          <w:color w:val="000000" w:themeColor="text1"/>
          <w:sz w:val="20"/>
          <w:szCs w:val="20"/>
        </w:rPr>
        <w:t>Exchange and Power in Social Life.</w:t>
      </w:r>
      <w:r w:rsidRPr="009D2AD3">
        <w:rPr>
          <w:rFonts w:ascii="Arial" w:eastAsia="Times New Roman" w:hAnsi="Arial" w:cs="Arial"/>
          <w:color w:val="000000" w:themeColor="text1"/>
          <w:sz w:val="20"/>
          <w:szCs w:val="20"/>
        </w:rPr>
        <w:t xml:space="preserve"> New York: Wiley.</w:t>
      </w:r>
    </w:p>
    <w:p w14:paraId="5CB9B6E8" w14:textId="5445DDC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Cropanzano</w:t>
      </w:r>
      <w:proofErr w:type="spellEnd"/>
      <w:r w:rsidRPr="009D2AD3">
        <w:rPr>
          <w:rFonts w:ascii="Arial" w:hAnsi="Arial" w:cs="Arial"/>
          <w:color w:val="000000" w:themeColor="text1"/>
          <w:sz w:val="20"/>
          <w:szCs w:val="20"/>
        </w:rPr>
        <w:t xml:space="preserve">, R., &amp; Mitchell, M. S. (2005). Social exchange theory: An interdisciplinary review. </w:t>
      </w:r>
      <w:r w:rsidRPr="009D2AD3">
        <w:rPr>
          <w:rStyle w:val="Emphasis"/>
          <w:rFonts w:ascii="Arial" w:hAnsi="Arial" w:cs="Arial"/>
          <w:color w:val="000000" w:themeColor="text1"/>
          <w:sz w:val="20"/>
          <w:szCs w:val="20"/>
        </w:rPr>
        <w:t>Journal of Management, 31</w:t>
      </w:r>
      <w:r w:rsidRPr="009D2AD3">
        <w:rPr>
          <w:rFonts w:ascii="Arial" w:hAnsi="Arial" w:cs="Arial"/>
          <w:color w:val="000000" w:themeColor="text1"/>
          <w:sz w:val="20"/>
          <w:szCs w:val="20"/>
        </w:rPr>
        <w:t>(6), 874–900.</w:t>
      </w:r>
      <w:r w:rsidR="00462768" w:rsidRPr="009D2AD3">
        <w:rPr>
          <w:rFonts w:ascii="Arial" w:hAnsi="Arial" w:cs="Arial"/>
          <w:color w:val="000000" w:themeColor="text1"/>
          <w:sz w:val="20"/>
          <w:szCs w:val="20"/>
        </w:rPr>
        <w:t xml:space="preserve"> </w:t>
      </w:r>
      <w:hyperlink r:id="rId20" w:history="1">
        <w:r w:rsidR="00462768" w:rsidRPr="009D2AD3">
          <w:rPr>
            <w:rStyle w:val="Hyperlink"/>
            <w:rFonts w:ascii="Arial" w:hAnsi="Arial" w:cs="Arial"/>
            <w:color w:val="000000" w:themeColor="text1"/>
            <w:sz w:val="20"/>
            <w:szCs w:val="20"/>
            <w:u w:val="none"/>
          </w:rPr>
          <w:t>https://doi.org/10.1177/0149206305279602</w:t>
        </w:r>
      </w:hyperlink>
    </w:p>
    <w:p w14:paraId="5BAADC30"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Emerson, R. M. (1976). Social exchange theory. </w:t>
      </w:r>
      <w:r w:rsidRPr="009D2AD3">
        <w:rPr>
          <w:rStyle w:val="Emphasis"/>
          <w:rFonts w:ascii="Arial" w:hAnsi="Arial" w:cs="Arial"/>
          <w:color w:val="000000" w:themeColor="text1"/>
          <w:sz w:val="20"/>
          <w:szCs w:val="20"/>
        </w:rPr>
        <w:t>Annual Review of Sociology, 2</w:t>
      </w:r>
      <w:r w:rsidRPr="009D2AD3">
        <w:rPr>
          <w:rFonts w:ascii="Arial" w:hAnsi="Arial" w:cs="Arial"/>
          <w:color w:val="000000" w:themeColor="text1"/>
          <w:sz w:val="20"/>
          <w:szCs w:val="20"/>
        </w:rPr>
        <w:t>, 335–362.</w:t>
      </w:r>
    </w:p>
    <w:p w14:paraId="44CE0B95"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r w:rsidRPr="009D2AD3">
        <w:rPr>
          <w:rFonts w:ascii="Arial" w:hAnsi="Arial" w:cs="Arial"/>
          <w:color w:val="000000" w:themeColor="text1"/>
          <w:sz w:val="20"/>
          <w:szCs w:val="20"/>
        </w:rPr>
        <w:t xml:space="preserve">Shore, L. M., Coyle-Shapiro, J. A., Chen, X. P., &amp; </w:t>
      </w:r>
      <w:proofErr w:type="spellStart"/>
      <w:r w:rsidRPr="009D2AD3">
        <w:rPr>
          <w:rFonts w:ascii="Arial" w:hAnsi="Arial" w:cs="Arial"/>
          <w:color w:val="000000" w:themeColor="text1"/>
          <w:sz w:val="20"/>
          <w:szCs w:val="20"/>
        </w:rPr>
        <w:t>Tetrick</w:t>
      </w:r>
      <w:proofErr w:type="spellEnd"/>
      <w:r w:rsidRPr="009D2AD3">
        <w:rPr>
          <w:rFonts w:ascii="Arial" w:hAnsi="Arial" w:cs="Arial"/>
          <w:color w:val="000000" w:themeColor="text1"/>
          <w:sz w:val="20"/>
          <w:szCs w:val="20"/>
        </w:rPr>
        <w:t xml:space="preserve">, L. E. (2009). Social exchange in work settings: Content, process, and mixed models. </w:t>
      </w:r>
      <w:r w:rsidRPr="009D2AD3">
        <w:rPr>
          <w:rStyle w:val="Emphasis"/>
          <w:rFonts w:ascii="Arial" w:hAnsi="Arial" w:cs="Arial"/>
          <w:color w:val="000000" w:themeColor="text1"/>
          <w:sz w:val="20"/>
          <w:szCs w:val="20"/>
        </w:rPr>
        <w:t>Management and Organization Review, 5</w:t>
      </w:r>
      <w:r w:rsidRPr="009D2AD3">
        <w:rPr>
          <w:rFonts w:ascii="Arial" w:hAnsi="Arial" w:cs="Arial"/>
          <w:color w:val="000000" w:themeColor="text1"/>
          <w:sz w:val="20"/>
          <w:szCs w:val="20"/>
        </w:rPr>
        <w:t>(3), 289–302.</w:t>
      </w:r>
    </w:p>
    <w:p w14:paraId="2F9F2D6B"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Joarder</w:t>
      </w:r>
      <w:proofErr w:type="spellEnd"/>
      <w:r w:rsidRPr="009D2AD3">
        <w:rPr>
          <w:rFonts w:ascii="Arial" w:hAnsi="Arial" w:cs="Arial"/>
          <w:color w:val="000000" w:themeColor="text1"/>
          <w:sz w:val="20"/>
          <w:szCs w:val="20"/>
        </w:rPr>
        <w:t xml:space="preserve">, M. H. R., Sharif, M. Y., &amp; </w:t>
      </w:r>
      <w:proofErr w:type="spellStart"/>
      <w:r w:rsidRPr="009D2AD3">
        <w:rPr>
          <w:rFonts w:ascii="Arial" w:hAnsi="Arial" w:cs="Arial"/>
          <w:color w:val="000000" w:themeColor="text1"/>
          <w:sz w:val="20"/>
          <w:szCs w:val="20"/>
        </w:rPr>
        <w:t>Ahmmed</w:t>
      </w:r>
      <w:proofErr w:type="spellEnd"/>
      <w:r w:rsidRPr="009D2AD3">
        <w:rPr>
          <w:rFonts w:ascii="Arial" w:hAnsi="Arial" w:cs="Arial"/>
          <w:color w:val="000000" w:themeColor="text1"/>
          <w:sz w:val="20"/>
          <w:szCs w:val="20"/>
        </w:rPr>
        <w:t xml:space="preserve">, K. (2011). Mediating role of affective commitment in HRM practices and turnover intention relationship: A study in a developing context. </w:t>
      </w:r>
      <w:r w:rsidRPr="009D2AD3">
        <w:rPr>
          <w:rStyle w:val="Emphasis"/>
          <w:rFonts w:ascii="Arial" w:hAnsi="Arial" w:cs="Arial"/>
          <w:color w:val="000000" w:themeColor="text1"/>
          <w:sz w:val="20"/>
          <w:szCs w:val="20"/>
        </w:rPr>
        <w:t>Business and Economics Research Journal, 2</w:t>
      </w:r>
      <w:r w:rsidRPr="009D2AD3">
        <w:rPr>
          <w:rFonts w:ascii="Arial" w:hAnsi="Arial" w:cs="Arial"/>
          <w:color w:val="000000" w:themeColor="text1"/>
          <w:sz w:val="20"/>
          <w:szCs w:val="20"/>
        </w:rPr>
        <w:t>(4), 135–158.</w:t>
      </w:r>
    </w:p>
    <w:p w14:paraId="089E36FE" w14:textId="209BBBDB"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Alfes</w:t>
      </w:r>
      <w:proofErr w:type="spellEnd"/>
      <w:r w:rsidRPr="009D2AD3">
        <w:rPr>
          <w:rFonts w:ascii="Arial" w:hAnsi="Arial" w:cs="Arial"/>
          <w:color w:val="000000" w:themeColor="text1"/>
          <w:sz w:val="20"/>
          <w:szCs w:val="20"/>
        </w:rPr>
        <w:t xml:space="preserve">, K., Shantz, A., Truss, C., &amp; Soane, E. C. (2013). The link between perceived HRM </w:t>
      </w:r>
      <w:r w:rsidRPr="009D2AD3">
        <w:rPr>
          <w:rFonts w:ascii="Arial" w:hAnsi="Arial" w:cs="Arial"/>
          <w:color w:val="000000" w:themeColor="text1"/>
          <w:sz w:val="20"/>
          <w:szCs w:val="20"/>
        </w:rPr>
        <w:lastRenderedPageBreak/>
        <w:t xml:space="preserve">practices, engagement, and employee behavior: A moderated mediation model. </w:t>
      </w:r>
      <w:r w:rsidRPr="009D2AD3">
        <w:rPr>
          <w:rStyle w:val="Emphasis"/>
          <w:rFonts w:ascii="Arial" w:hAnsi="Arial" w:cs="Arial"/>
          <w:color w:val="000000" w:themeColor="text1"/>
          <w:sz w:val="20"/>
          <w:szCs w:val="20"/>
        </w:rPr>
        <w:t>International Journal of Human Resource Management, 24</w:t>
      </w:r>
      <w:r w:rsidRPr="009D2AD3">
        <w:rPr>
          <w:rFonts w:ascii="Arial" w:hAnsi="Arial" w:cs="Arial"/>
          <w:color w:val="000000" w:themeColor="text1"/>
          <w:sz w:val="20"/>
          <w:szCs w:val="20"/>
        </w:rPr>
        <w:t>(2), 330–351.</w:t>
      </w:r>
      <w:r w:rsidR="0083505C" w:rsidRPr="009D2AD3">
        <w:rPr>
          <w:rFonts w:ascii="Arial" w:hAnsi="Arial" w:cs="Arial"/>
          <w:color w:val="000000" w:themeColor="text1"/>
          <w:sz w:val="20"/>
          <w:szCs w:val="20"/>
        </w:rPr>
        <w:t xml:space="preserve"> </w:t>
      </w:r>
      <w:hyperlink r:id="rId21" w:history="1">
        <w:r w:rsidR="0083505C" w:rsidRPr="009D2AD3">
          <w:rPr>
            <w:rStyle w:val="Hyperlink"/>
            <w:rFonts w:ascii="Arial" w:hAnsi="Arial" w:cs="Arial"/>
            <w:color w:val="000000" w:themeColor="text1"/>
            <w:sz w:val="20"/>
            <w:szCs w:val="20"/>
            <w:u w:val="none"/>
          </w:rPr>
          <w:t>https://doi.org/10.1080/09585192.2012.667229</w:t>
        </w:r>
      </w:hyperlink>
    </w:p>
    <w:p w14:paraId="38B06EF0"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Bashar, A., </w:t>
      </w:r>
      <w:proofErr w:type="spellStart"/>
      <w:r w:rsidRPr="009D2AD3">
        <w:rPr>
          <w:rFonts w:ascii="Arial" w:eastAsia="Times New Roman" w:hAnsi="Arial" w:cs="Arial"/>
          <w:color w:val="000000" w:themeColor="text1"/>
          <w:sz w:val="20"/>
          <w:szCs w:val="20"/>
        </w:rPr>
        <w:t>Sakib</w:t>
      </w:r>
      <w:proofErr w:type="spellEnd"/>
      <w:r w:rsidRPr="009D2AD3">
        <w:rPr>
          <w:rFonts w:ascii="Arial" w:eastAsia="Times New Roman" w:hAnsi="Arial" w:cs="Arial"/>
          <w:color w:val="000000" w:themeColor="text1"/>
          <w:sz w:val="20"/>
          <w:szCs w:val="20"/>
        </w:rPr>
        <w:t>, M. N., Rahman, M. M., Tabassum, F., &amp; Sabah, S. (2024). The role of top management commitment, employee involvement, and training and development on employee performance: evidence from the banking sector of an emerging economy. </w:t>
      </w:r>
      <w:r w:rsidRPr="009D2AD3">
        <w:rPr>
          <w:rFonts w:ascii="Arial" w:eastAsia="Times New Roman" w:hAnsi="Arial" w:cs="Arial"/>
          <w:i/>
          <w:iCs/>
          <w:color w:val="000000" w:themeColor="text1"/>
          <w:sz w:val="20"/>
          <w:szCs w:val="20"/>
        </w:rPr>
        <w:t>Quality Management Journal</w:t>
      </w:r>
      <w:r w:rsidRPr="009D2AD3">
        <w:rPr>
          <w:rFonts w:ascii="Arial" w:eastAsia="Times New Roman" w:hAnsi="Arial" w:cs="Arial"/>
          <w:color w:val="000000" w:themeColor="text1"/>
          <w:sz w:val="20"/>
          <w:szCs w:val="20"/>
        </w:rPr>
        <w:t>, </w:t>
      </w:r>
      <w:r w:rsidRPr="009D2AD3">
        <w:rPr>
          <w:rFonts w:ascii="Arial" w:eastAsia="Times New Roman" w:hAnsi="Arial" w:cs="Arial"/>
          <w:i/>
          <w:iCs/>
          <w:color w:val="000000" w:themeColor="text1"/>
          <w:sz w:val="20"/>
          <w:szCs w:val="20"/>
        </w:rPr>
        <w:t>31</w:t>
      </w:r>
      <w:r w:rsidRPr="009D2AD3">
        <w:rPr>
          <w:rFonts w:ascii="Arial" w:eastAsia="Times New Roman" w:hAnsi="Arial" w:cs="Arial"/>
          <w:color w:val="000000" w:themeColor="text1"/>
          <w:sz w:val="20"/>
          <w:szCs w:val="20"/>
        </w:rPr>
        <w:t>(1), 58-74.</w:t>
      </w:r>
    </w:p>
    <w:p w14:paraId="639CBDA9" w14:textId="77777777" w:rsidR="00992815" w:rsidRPr="009D2AD3" w:rsidRDefault="00992815" w:rsidP="00924E8A">
      <w:pPr>
        <w:pStyle w:val="ListParagraph"/>
        <w:numPr>
          <w:ilvl w:val="0"/>
          <w:numId w:val="2"/>
        </w:numPr>
        <w:spacing w:before="100" w:beforeAutospacing="1" w:after="100" w:afterAutospacing="1"/>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Rahman, M. S., Md </w:t>
      </w:r>
      <w:proofErr w:type="spellStart"/>
      <w:r w:rsidRPr="009D2AD3">
        <w:rPr>
          <w:rFonts w:ascii="Arial" w:eastAsia="Times New Roman" w:hAnsi="Arial" w:cs="Arial"/>
          <w:color w:val="000000" w:themeColor="text1"/>
          <w:sz w:val="20"/>
          <w:szCs w:val="20"/>
        </w:rPr>
        <w:t>Som</w:t>
      </w:r>
      <w:proofErr w:type="spellEnd"/>
      <w:r w:rsidRPr="009D2AD3">
        <w:rPr>
          <w:rFonts w:ascii="Arial" w:eastAsia="Times New Roman" w:hAnsi="Arial" w:cs="Arial"/>
          <w:color w:val="000000" w:themeColor="text1"/>
          <w:sz w:val="20"/>
          <w:szCs w:val="20"/>
        </w:rPr>
        <w:t>, H., Karim, D. N., &amp; Rahman, M. H. A. (2023). The effect of pay equity on organizational commitment in higher education institutions in Bangladesh. </w:t>
      </w:r>
      <w:r w:rsidRPr="009D2AD3">
        <w:rPr>
          <w:rFonts w:ascii="Arial" w:eastAsia="Times New Roman" w:hAnsi="Arial" w:cs="Arial"/>
          <w:i/>
          <w:iCs/>
          <w:color w:val="000000" w:themeColor="text1"/>
          <w:sz w:val="20"/>
          <w:szCs w:val="20"/>
        </w:rPr>
        <w:t xml:space="preserve">H. </w:t>
      </w:r>
      <w:proofErr w:type="spellStart"/>
      <w:r w:rsidRPr="009D2AD3">
        <w:rPr>
          <w:rFonts w:ascii="Arial" w:eastAsia="Times New Roman" w:hAnsi="Arial" w:cs="Arial"/>
          <w:i/>
          <w:iCs/>
          <w:color w:val="000000" w:themeColor="text1"/>
          <w:sz w:val="20"/>
          <w:szCs w:val="20"/>
        </w:rPr>
        <w:t>Asibur</w:t>
      </w:r>
      <w:proofErr w:type="spellEnd"/>
      <w:r w:rsidRPr="009D2AD3">
        <w:rPr>
          <w:rFonts w:ascii="Arial" w:eastAsia="Times New Roman" w:hAnsi="Arial" w:cs="Arial"/>
          <w:i/>
          <w:iCs/>
          <w:color w:val="000000" w:themeColor="text1"/>
          <w:sz w:val="20"/>
          <w:szCs w:val="20"/>
        </w:rPr>
        <w:t xml:space="preserve">, The effect of pay equity on organizational commitment in higher education institutions in Bangladesh (October 30, 2023). Rahman, MS, </w:t>
      </w:r>
      <w:proofErr w:type="spellStart"/>
      <w:r w:rsidRPr="009D2AD3">
        <w:rPr>
          <w:rFonts w:ascii="Arial" w:eastAsia="Times New Roman" w:hAnsi="Arial" w:cs="Arial"/>
          <w:i/>
          <w:iCs/>
          <w:color w:val="000000" w:themeColor="text1"/>
          <w:sz w:val="20"/>
          <w:szCs w:val="20"/>
        </w:rPr>
        <w:t>Som</w:t>
      </w:r>
      <w:proofErr w:type="spellEnd"/>
      <w:r w:rsidRPr="009D2AD3">
        <w:rPr>
          <w:rFonts w:ascii="Arial" w:eastAsia="Times New Roman" w:hAnsi="Arial" w:cs="Arial"/>
          <w:i/>
          <w:iCs/>
          <w:color w:val="000000" w:themeColor="text1"/>
          <w:sz w:val="20"/>
          <w:szCs w:val="20"/>
        </w:rPr>
        <w:t>, HM, Karim, DN, Rahman, MHA &amp; Karim, MM</w:t>
      </w:r>
      <w:r w:rsidRPr="009D2AD3">
        <w:rPr>
          <w:rFonts w:ascii="Arial" w:eastAsia="Times New Roman" w:hAnsi="Arial" w:cs="Arial"/>
          <w:color w:val="000000" w:themeColor="text1"/>
          <w:sz w:val="20"/>
          <w:szCs w:val="20"/>
        </w:rPr>
        <w:t>, 240-252.</w:t>
      </w:r>
    </w:p>
    <w:p w14:paraId="0F24D962" w14:textId="42C062B3" w:rsidR="00992815" w:rsidRPr="009D2AD3" w:rsidRDefault="00992815" w:rsidP="00924E8A">
      <w:pPr>
        <w:pStyle w:val="ListParagraph"/>
        <w:widowControl/>
        <w:numPr>
          <w:ilvl w:val="0"/>
          <w:numId w:val="2"/>
        </w:numPr>
        <w:autoSpaceDE/>
        <w:autoSpaceDN/>
        <w:contextualSpacing/>
        <w:rPr>
          <w:rFonts w:ascii="Arial" w:eastAsia="Times New Roman" w:hAnsi="Arial" w:cs="Arial"/>
          <w:color w:val="000000" w:themeColor="text1"/>
          <w:sz w:val="20"/>
          <w:szCs w:val="20"/>
        </w:rPr>
      </w:pPr>
      <w:proofErr w:type="spellStart"/>
      <w:r w:rsidRPr="009D2AD3">
        <w:rPr>
          <w:rFonts w:ascii="Arial" w:hAnsi="Arial" w:cs="Arial"/>
          <w:color w:val="000000" w:themeColor="text1"/>
          <w:spacing w:val="-4"/>
          <w:sz w:val="20"/>
          <w:szCs w:val="20"/>
        </w:rPr>
        <w:t>Bagozzi</w:t>
      </w:r>
      <w:proofErr w:type="spellEnd"/>
      <w:r w:rsidRPr="009D2AD3">
        <w:rPr>
          <w:rFonts w:ascii="Arial" w:hAnsi="Arial" w:cs="Arial"/>
          <w:color w:val="000000" w:themeColor="text1"/>
          <w:spacing w:val="-4"/>
          <w:sz w:val="20"/>
          <w:szCs w:val="20"/>
        </w:rPr>
        <w:t>,</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R.</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P.,</w:t>
      </w:r>
      <w:r w:rsidRPr="009D2AD3">
        <w:rPr>
          <w:rFonts w:ascii="Arial" w:hAnsi="Arial" w:cs="Arial"/>
          <w:color w:val="000000" w:themeColor="text1"/>
          <w:spacing w:val="-9"/>
          <w:sz w:val="20"/>
          <w:szCs w:val="20"/>
        </w:rPr>
        <w:t xml:space="preserve"> </w:t>
      </w:r>
      <w:r w:rsidRPr="009D2AD3">
        <w:rPr>
          <w:rFonts w:ascii="Arial" w:hAnsi="Arial" w:cs="Arial"/>
          <w:color w:val="000000" w:themeColor="text1"/>
          <w:spacing w:val="-4"/>
          <w:sz w:val="20"/>
          <w:szCs w:val="20"/>
        </w:rPr>
        <w:t>&amp;</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Yi,</w:t>
      </w:r>
      <w:r w:rsidRPr="009D2AD3">
        <w:rPr>
          <w:rFonts w:ascii="Arial" w:hAnsi="Arial" w:cs="Arial"/>
          <w:color w:val="000000" w:themeColor="text1"/>
          <w:spacing w:val="-9"/>
          <w:sz w:val="20"/>
          <w:szCs w:val="20"/>
        </w:rPr>
        <w:t xml:space="preserve"> </w:t>
      </w:r>
      <w:r w:rsidRPr="009D2AD3">
        <w:rPr>
          <w:rFonts w:ascii="Arial" w:hAnsi="Arial" w:cs="Arial"/>
          <w:color w:val="000000" w:themeColor="text1"/>
          <w:spacing w:val="-4"/>
          <w:sz w:val="20"/>
          <w:szCs w:val="20"/>
        </w:rPr>
        <w:t>Y.</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w:t>
      </w:r>
      <w:hyperlink w:anchor="_bookmark78" w:history="1">
        <w:r w:rsidRPr="009D2AD3">
          <w:rPr>
            <w:rFonts w:ascii="Arial" w:hAnsi="Arial" w:cs="Arial"/>
            <w:color w:val="000000" w:themeColor="text1"/>
            <w:spacing w:val="-4"/>
            <w:sz w:val="20"/>
            <w:szCs w:val="20"/>
          </w:rPr>
          <w:t>1988</w:t>
        </w:r>
      </w:hyperlink>
      <w:r w:rsidRPr="009D2AD3">
        <w:rPr>
          <w:rFonts w:ascii="Arial" w:hAnsi="Arial" w:cs="Arial"/>
          <w:color w:val="000000" w:themeColor="text1"/>
          <w:spacing w:val="-4"/>
          <w:sz w:val="20"/>
          <w:szCs w:val="20"/>
        </w:rPr>
        <w:t>).</w:t>
      </w:r>
      <w:r w:rsidRPr="009D2AD3">
        <w:rPr>
          <w:rFonts w:ascii="Arial" w:hAnsi="Arial" w:cs="Arial"/>
          <w:color w:val="000000" w:themeColor="text1"/>
          <w:spacing w:val="-9"/>
          <w:sz w:val="20"/>
          <w:szCs w:val="20"/>
        </w:rPr>
        <w:t xml:space="preserve"> </w:t>
      </w:r>
      <w:r w:rsidRPr="009D2AD3">
        <w:rPr>
          <w:rFonts w:ascii="Arial" w:hAnsi="Arial" w:cs="Arial"/>
          <w:color w:val="000000" w:themeColor="text1"/>
          <w:spacing w:val="-4"/>
          <w:sz w:val="20"/>
          <w:szCs w:val="20"/>
        </w:rPr>
        <w:t>On</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the</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evaluation</w:t>
      </w:r>
      <w:r w:rsidRPr="009D2AD3">
        <w:rPr>
          <w:rFonts w:ascii="Arial" w:hAnsi="Arial" w:cs="Arial"/>
          <w:color w:val="000000" w:themeColor="text1"/>
          <w:spacing w:val="-9"/>
          <w:sz w:val="20"/>
          <w:szCs w:val="20"/>
        </w:rPr>
        <w:t xml:space="preserve"> </w:t>
      </w:r>
      <w:r w:rsidRPr="009D2AD3">
        <w:rPr>
          <w:rFonts w:ascii="Arial" w:hAnsi="Arial" w:cs="Arial"/>
          <w:color w:val="000000" w:themeColor="text1"/>
          <w:spacing w:val="-4"/>
          <w:sz w:val="20"/>
          <w:szCs w:val="20"/>
        </w:rPr>
        <w:t>of</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structural</w:t>
      </w:r>
      <w:r w:rsidRPr="009D2AD3">
        <w:rPr>
          <w:rFonts w:ascii="Arial" w:hAnsi="Arial" w:cs="Arial"/>
          <w:color w:val="000000" w:themeColor="text1"/>
          <w:spacing w:val="-9"/>
          <w:sz w:val="20"/>
          <w:szCs w:val="20"/>
        </w:rPr>
        <w:t xml:space="preserve"> </w:t>
      </w:r>
      <w:r w:rsidRPr="009D2AD3">
        <w:rPr>
          <w:rFonts w:ascii="Arial" w:hAnsi="Arial" w:cs="Arial"/>
          <w:color w:val="000000" w:themeColor="text1"/>
          <w:spacing w:val="-4"/>
          <w:sz w:val="20"/>
          <w:szCs w:val="20"/>
        </w:rPr>
        <w:t>equation</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models.</w:t>
      </w:r>
      <w:r w:rsidRPr="009D2AD3">
        <w:rPr>
          <w:rFonts w:ascii="Arial" w:hAnsi="Arial" w:cs="Arial"/>
          <w:color w:val="000000" w:themeColor="text1"/>
          <w:spacing w:val="-9"/>
          <w:sz w:val="20"/>
          <w:szCs w:val="20"/>
        </w:rPr>
        <w:t xml:space="preserve"> </w:t>
      </w:r>
      <w:r w:rsidRPr="009D2AD3">
        <w:rPr>
          <w:rFonts w:ascii="Arial" w:hAnsi="Arial" w:cs="Arial"/>
          <w:i/>
          <w:color w:val="000000" w:themeColor="text1"/>
          <w:spacing w:val="-4"/>
          <w:sz w:val="20"/>
          <w:szCs w:val="20"/>
        </w:rPr>
        <w:t>Journal</w:t>
      </w:r>
      <w:r w:rsidRPr="009D2AD3">
        <w:rPr>
          <w:rFonts w:ascii="Arial" w:hAnsi="Arial" w:cs="Arial"/>
          <w:i/>
          <w:color w:val="000000" w:themeColor="text1"/>
          <w:spacing w:val="-10"/>
          <w:sz w:val="20"/>
          <w:szCs w:val="20"/>
        </w:rPr>
        <w:t xml:space="preserve"> </w:t>
      </w:r>
      <w:r w:rsidRPr="009D2AD3">
        <w:rPr>
          <w:rFonts w:ascii="Arial" w:hAnsi="Arial" w:cs="Arial"/>
          <w:i/>
          <w:color w:val="000000" w:themeColor="text1"/>
          <w:spacing w:val="-4"/>
          <w:sz w:val="20"/>
          <w:szCs w:val="20"/>
        </w:rPr>
        <w:t>of</w:t>
      </w:r>
      <w:r w:rsidRPr="009D2AD3">
        <w:rPr>
          <w:rFonts w:ascii="Arial" w:hAnsi="Arial" w:cs="Arial"/>
          <w:i/>
          <w:color w:val="000000" w:themeColor="text1"/>
          <w:spacing w:val="-9"/>
          <w:sz w:val="20"/>
          <w:szCs w:val="20"/>
        </w:rPr>
        <w:t xml:space="preserve"> </w:t>
      </w:r>
      <w:r w:rsidRPr="009D2AD3">
        <w:rPr>
          <w:rFonts w:ascii="Arial" w:hAnsi="Arial" w:cs="Arial"/>
          <w:i/>
          <w:color w:val="000000" w:themeColor="text1"/>
          <w:spacing w:val="-4"/>
          <w:sz w:val="20"/>
          <w:szCs w:val="20"/>
        </w:rPr>
        <w:t>the</w:t>
      </w:r>
      <w:r w:rsidRPr="009D2AD3">
        <w:rPr>
          <w:rFonts w:ascii="Arial" w:hAnsi="Arial" w:cs="Arial"/>
          <w:i/>
          <w:color w:val="000000" w:themeColor="text1"/>
          <w:spacing w:val="-10"/>
          <w:sz w:val="20"/>
          <w:szCs w:val="20"/>
        </w:rPr>
        <w:t xml:space="preserve"> </w:t>
      </w:r>
      <w:r w:rsidRPr="009D2AD3">
        <w:rPr>
          <w:rFonts w:ascii="Arial" w:hAnsi="Arial" w:cs="Arial"/>
          <w:i/>
          <w:color w:val="000000" w:themeColor="text1"/>
          <w:spacing w:val="-4"/>
          <w:sz w:val="20"/>
          <w:szCs w:val="20"/>
        </w:rPr>
        <w:t>Academy</w:t>
      </w:r>
      <w:r w:rsidRPr="009D2AD3">
        <w:rPr>
          <w:rFonts w:ascii="Arial" w:hAnsi="Arial" w:cs="Arial"/>
          <w:i/>
          <w:color w:val="000000" w:themeColor="text1"/>
          <w:spacing w:val="-10"/>
          <w:sz w:val="20"/>
          <w:szCs w:val="20"/>
        </w:rPr>
        <w:t xml:space="preserve"> </w:t>
      </w:r>
      <w:r w:rsidRPr="009D2AD3">
        <w:rPr>
          <w:rFonts w:ascii="Arial" w:hAnsi="Arial" w:cs="Arial"/>
          <w:i/>
          <w:color w:val="000000" w:themeColor="text1"/>
          <w:spacing w:val="-4"/>
          <w:sz w:val="20"/>
          <w:szCs w:val="20"/>
        </w:rPr>
        <w:t>of</w:t>
      </w:r>
      <w:r w:rsidRPr="009D2AD3">
        <w:rPr>
          <w:rFonts w:ascii="Arial" w:hAnsi="Arial" w:cs="Arial"/>
          <w:i/>
          <w:color w:val="000000" w:themeColor="text1"/>
          <w:spacing w:val="-9"/>
          <w:sz w:val="20"/>
          <w:szCs w:val="20"/>
        </w:rPr>
        <w:t xml:space="preserve"> </w:t>
      </w:r>
      <w:r w:rsidRPr="009D2AD3">
        <w:rPr>
          <w:rFonts w:ascii="Arial" w:hAnsi="Arial" w:cs="Arial"/>
          <w:i/>
          <w:color w:val="000000" w:themeColor="text1"/>
          <w:spacing w:val="-4"/>
          <w:sz w:val="20"/>
          <w:szCs w:val="20"/>
        </w:rPr>
        <w:t>Marketing Science</w:t>
      </w:r>
      <w:r w:rsidRPr="009D2AD3">
        <w:rPr>
          <w:rFonts w:ascii="Arial" w:hAnsi="Arial" w:cs="Arial"/>
          <w:color w:val="000000" w:themeColor="text1"/>
          <w:spacing w:val="-4"/>
          <w:sz w:val="20"/>
          <w:szCs w:val="20"/>
        </w:rPr>
        <w:t>,</w:t>
      </w:r>
      <w:r w:rsidRPr="009D2AD3">
        <w:rPr>
          <w:rFonts w:ascii="Arial" w:hAnsi="Arial" w:cs="Arial"/>
          <w:color w:val="000000" w:themeColor="text1"/>
          <w:spacing w:val="-10"/>
          <w:sz w:val="20"/>
          <w:szCs w:val="20"/>
        </w:rPr>
        <w:t xml:space="preserve"> </w:t>
      </w:r>
      <w:r w:rsidRPr="009D2AD3">
        <w:rPr>
          <w:rFonts w:ascii="Arial" w:hAnsi="Arial" w:cs="Arial"/>
          <w:i/>
          <w:color w:val="000000" w:themeColor="text1"/>
          <w:spacing w:val="-4"/>
          <w:sz w:val="20"/>
          <w:szCs w:val="20"/>
        </w:rPr>
        <w:t>16</w:t>
      </w:r>
      <w:r w:rsidRPr="009D2AD3">
        <w:rPr>
          <w:rFonts w:ascii="Arial" w:hAnsi="Arial" w:cs="Arial"/>
          <w:color w:val="000000" w:themeColor="text1"/>
          <w:spacing w:val="-4"/>
          <w:sz w:val="20"/>
          <w:szCs w:val="20"/>
        </w:rPr>
        <w:t>(1),</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pacing w:val="-4"/>
          <w:sz w:val="20"/>
          <w:szCs w:val="20"/>
        </w:rPr>
        <w:t>74–94.</w:t>
      </w:r>
      <w:r w:rsidRPr="009D2AD3">
        <w:rPr>
          <w:rFonts w:ascii="Arial" w:eastAsia="Times New Roman" w:hAnsi="Arial" w:cs="Arial"/>
          <w:color w:val="000000" w:themeColor="text1"/>
          <w:sz w:val="20"/>
          <w:szCs w:val="20"/>
        </w:rPr>
        <w:t xml:space="preserve"> </w:t>
      </w:r>
      <w:hyperlink r:id="rId22" w:history="1">
        <w:r w:rsidR="009C47F5" w:rsidRPr="009D2AD3">
          <w:rPr>
            <w:rStyle w:val="Hyperlink"/>
            <w:rFonts w:ascii="Arial" w:hAnsi="Arial" w:cs="Arial"/>
            <w:color w:val="000000" w:themeColor="text1"/>
            <w:spacing w:val="-4"/>
            <w:sz w:val="20"/>
            <w:szCs w:val="20"/>
            <w:u w:val="none"/>
          </w:rPr>
          <w:t>https://doi.org/10.1007/BF02723327</w:t>
        </w:r>
      </w:hyperlink>
    </w:p>
    <w:p w14:paraId="13B4480A"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Hair, J. F., </w:t>
      </w:r>
      <w:proofErr w:type="spellStart"/>
      <w:r w:rsidRPr="009D2AD3">
        <w:rPr>
          <w:rFonts w:ascii="Arial" w:hAnsi="Arial" w:cs="Arial"/>
          <w:color w:val="000000" w:themeColor="text1"/>
          <w:sz w:val="20"/>
          <w:szCs w:val="20"/>
        </w:rPr>
        <w:t>Ringle</w:t>
      </w:r>
      <w:proofErr w:type="spellEnd"/>
      <w:r w:rsidRPr="009D2AD3">
        <w:rPr>
          <w:rFonts w:ascii="Arial" w:hAnsi="Arial" w:cs="Arial"/>
          <w:color w:val="000000" w:themeColor="text1"/>
          <w:sz w:val="20"/>
          <w:szCs w:val="20"/>
        </w:rPr>
        <w:t xml:space="preserve">, C. M., &amp; </w:t>
      </w:r>
      <w:proofErr w:type="spellStart"/>
      <w:r w:rsidRPr="009D2AD3">
        <w:rPr>
          <w:rFonts w:ascii="Arial" w:hAnsi="Arial" w:cs="Arial"/>
          <w:color w:val="000000" w:themeColor="text1"/>
          <w:sz w:val="20"/>
          <w:szCs w:val="20"/>
        </w:rPr>
        <w:t>Sarstedt</w:t>
      </w:r>
      <w:proofErr w:type="spellEnd"/>
      <w:r w:rsidRPr="009D2AD3">
        <w:rPr>
          <w:rFonts w:ascii="Arial" w:hAnsi="Arial" w:cs="Arial"/>
          <w:color w:val="000000" w:themeColor="text1"/>
          <w:sz w:val="20"/>
          <w:szCs w:val="20"/>
        </w:rPr>
        <w:t>, M. (2011). PLS-SEM: Indeed a silver bullet. Journal of Marketing theory and Practice, 19(2), 139-152.</w:t>
      </w:r>
    </w:p>
    <w:p w14:paraId="063C6D65"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Hair, J. F., </w:t>
      </w:r>
      <w:proofErr w:type="spellStart"/>
      <w:r w:rsidRPr="009D2AD3">
        <w:rPr>
          <w:rFonts w:ascii="Arial" w:hAnsi="Arial" w:cs="Arial"/>
          <w:color w:val="000000" w:themeColor="text1"/>
          <w:sz w:val="20"/>
          <w:szCs w:val="20"/>
        </w:rPr>
        <w:t>Risher</w:t>
      </w:r>
      <w:proofErr w:type="spellEnd"/>
      <w:r w:rsidRPr="009D2AD3">
        <w:rPr>
          <w:rFonts w:ascii="Arial" w:hAnsi="Arial" w:cs="Arial"/>
          <w:color w:val="000000" w:themeColor="text1"/>
          <w:sz w:val="20"/>
          <w:szCs w:val="20"/>
        </w:rPr>
        <w:t xml:space="preserve">, J. J., </w:t>
      </w:r>
      <w:proofErr w:type="spellStart"/>
      <w:r w:rsidRPr="009D2AD3">
        <w:rPr>
          <w:rFonts w:ascii="Arial" w:hAnsi="Arial" w:cs="Arial"/>
          <w:color w:val="000000" w:themeColor="text1"/>
          <w:sz w:val="20"/>
          <w:szCs w:val="20"/>
        </w:rPr>
        <w:t>Sarstedt</w:t>
      </w:r>
      <w:proofErr w:type="spellEnd"/>
      <w:r w:rsidRPr="009D2AD3">
        <w:rPr>
          <w:rFonts w:ascii="Arial" w:hAnsi="Arial" w:cs="Arial"/>
          <w:color w:val="000000" w:themeColor="text1"/>
          <w:sz w:val="20"/>
          <w:szCs w:val="20"/>
        </w:rPr>
        <w:t xml:space="preserve">, M., &amp; </w:t>
      </w:r>
      <w:proofErr w:type="spellStart"/>
      <w:r w:rsidRPr="009D2AD3">
        <w:rPr>
          <w:rFonts w:ascii="Arial" w:hAnsi="Arial" w:cs="Arial"/>
          <w:color w:val="000000" w:themeColor="text1"/>
          <w:sz w:val="20"/>
          <w:szCs w:val="20"/>
        </w:rPr>
        <w:t>Ringle</w:t>
      </w:r>
      <w:proofErr w:type="spellEnd"/>
      <w:r w:rsidRPr="009D2AD3">
        <w:rPr>
          <w:rFonts w:ascii="Arial" w:hAnsi="Arial" w:cs="Arial"/>
          <w:color w:val="000000" w:themeColor="text1"/>
          <w:sz w:val="20"/>
          <w:szCs w:val="20"/>
        </w:rPr>
        <w:t>, C. M. (</w:t>
      </w:r>
      <w:hyperlink w:anchor="_bookmark80" w:history="1">
        <w:r w:rsidRPr="009D2AD3">
          <w:rPr>
            <w:rFonts w:ascii="Arial" w:hAnsi="Arial" w:cs="Arial"/>
            <w:color w:val="000000" w:themeColor="text1"/>
            <w:sz w:val="20"/>
            <w:szCs w:val="20"/>
          </w:rPr>
          <w:t>2019</w:t>
        </w:r>
      </w:hyperlink>
      <w:r w:rsidRPr="009D2AD3">
        <w:rPr>
          <w:rFonts w:ascii="Arial" w:hAnsi="Arial" w:cs="Arial"/>
          <w:color w:val="000000" w:themeColor="text1"/>
          <w:sz w:val="20"/>
          <w:szCs w:val="20"/>
        </w:rPr>
        <w:t>). When to use and how to report the results of PLS-SEM. European Business Review, 31(1), 2–24</w:t>
      </w:r>
    </w:p>
    <w:p w14:paraId="573D734A" w14:textId="77777777" w:rsidR="00992815" w:rsidRPr="009D2AD3" w:rsidRDefault="00992815" w:rsidP="00924E8A">
      <w:pPr>
        <w:pStyle w:val="ListParagraph"/>
        <w:widowControl/>
        <w:numPr>
          <w:ilvl w:val="0"/>
          <w:numId w:val="2"/>
        </w:numPr>
        <w:autoSpaceDE/>
        <w:autoSpaceDN/>
        <w:contextualSpacing/>
        <w:rPr>
          <w:rFonts w:ascii="Arial" w:eastAsia="Times New Roman" w:hAnsi="Arial" w:cs="Arial"/>
          <w:color w:val="000000" w:themeColor="text1"/>
          <w:sz w:val="20"/>
          <w:szCs w:val="20"/>
        </w:rPr>
      </w:pPr>
      <w:r w:rsidRPr="009D2AD3">
        <w:rPr>
          <w:rFonts w:ascii="Arial" w:hAnsi="Arial" w:cs="Arial"/>
          <w:color w:val="000000" w:themeColor="text1"/>
          <w:sz w:val="20"/>
          <w:szCs w:val="20"/>
        </w:rPr>
        <w:t>Hair,</w:t>
      </w:r>
      <w:r w:rsidRPr="009D2AD3">
        <w:rPr>
          <w:rFonts w:ascii="Arial" w:hAnsi="Arial" w:cs="Arial"/>
          <w:color w:val="000000" w:themeColor="text1"/>
          <w:spacing w:val="4"/>
          <w:sz w:val="20"/>
          <w:szCs w:val="20"/>
        </w:rPr>
        <w:t xml:space="preserve"> </w:t>
      </w:r>
      <w:r w:rsidRPr="009D2AD3">
        <w:rPr>
          <w:rFonts w:ascii="Arial" w:hAnsi="Arial" w:cs="Arial"/>
          <w:color w:val="000000" w:themeColor="text1"/>
          <w:sz w:val="20"/>
          <w:szCs w:val="20"/>
        </w:rPr>
        <w:t>J.F.,</w:t>
      </w:r>
      <w:r w:rsidRPr="009D2AD3">
        <w:rPr>
          <w:rFonts w:ascii="Arial" w:hAnsi="Arial" w:cs="Arial"/>
          <w:color w:val="000000" w:themeColor="text1"/>
          <w:spacing w:val="7"/>
          <w:sz w:val="20"/>
          <w:szCs w:val="20"/>
        </w:rPr>
        <w:t xml:space="preserve"> </w:t>
      </w:r>
      <w:r w:rsidRPr="009D2AD3">
        <w:rPr>
          <w:rFonts w:ascii="Arial" w:hAnsi="Arial" w:cs="Arial"/>
          <w:color w:val="000000" w:themeColor="text1"/>
          <w:sz w:val="20"/>
          <w:szCs w:val="20"/>
        </w:rPr>
        <w:t>Black,</w:t>
      </w:r>
      <w:r w:rsidRPr="009D2AD3">
        <w:rPr>
          <w:rFonts w:ascii="Arial" w:hAnsi="Arial" w:cs="Arial"/>
          <w:color w:val="000000" w:themeColor="text1"/>
          <w:spacing w:val="2"/>
          <w:sz w:val="20"/>
          <w:szCs w:val="20"/>
        </w:rPr>
        <w:t xml:space="preserve"> </w:t>
      </w:r>
      <w:r w:rsidRPr="009D2AD3">
        <w:rPr>
          <w:rFonts w:ascii="Arial" w:hAnsi="Arial" w:cs="Arial"/>
          <w:color w:val="000000" w:themeColor="text1"/>
          <w:sz w:val="20"/>
          <w:szCs w:val="20"/>
        </w:rPr>
        <w:t>William</w:t>
      </w:r>
      <w:r w:rsidRPr="009D2AD3">
        <w:rPr>
          <w:rFonts w:ascii="Arial" w:hAnsi="Arial" w:cs="Arial"/>
          <w:color w:val="000000" w:themeColor="text1"/>
          <w:spacing w:val="6"/>
          <w:sz w:val="20"/>
          <w:szCs w:val="20"/>
        </w:rPr>
        <w:t xml:space="preserve"> </w:t>
      </w:r>
      <w:r w:rsidRPr="009D2AD3">
        <w:rPr>
          <w:rFonts w:ascii="Arial" w:hAnsi="Arial" w:cs="Arial"/>
          <w:color w:val="000000" w:themeColor="text1"/>
          <w:sz w:val="20"/>
          <w:szCs w:val="20"/>
        </w:rPr>
        <w:t>C.,</w:t>
      </w:r>
      <w:r w:rsidRPr="009D2AD3">
        <w:rPr>
          <w:rFonts w:ascii="Arial" w:hAnsi="Arial" w:cs="Arial"/>
          <w:color w:val="000000" w:themeColor="text1"/>
          <w:spacing w:val="7"/>
          <w:sz w:val="20"/>
          <w:szCs w:val="20"/>
        </w:rPr>
        <w:t xml:space="preserve"> </w:t>
      </w:r>
      <w:proofErr w:type="spellStart"/>
      <w:r w:rsidRPr="009D2AD3">
        <w:rPr>
          <w:rFonts w:ascii="Arial" w:hAnsi="Arial" w:cs="Arial"/>
          <w:color w:val="000000" w:themeColor="text1"/>
          <w:sz w:val="20"/>
          <w:szCs w:val="20"/>
        </w:rPr>
        <w:t>Babin</w:t>
      </w:r>
      <w:proofErr w:type="spellEnd"/>
      <w:r w:rsidRPr="009D2AD3">
        <w:rPr>
          <w:rFonts w:ascii="Arial" w:hAnsi="Arial" w:cs="Arial"/>
          <w:color w:val="000000" w:themeColor="text1"/>
          <w:sz w:val="20"/>
          <w:szCs w:val="20"/>
        </w:rPr>
        <w:t>,</w:t>
      </w:r>
      <w:r w:rsidRPr="009D2AD3">
        <w:rPr>
          <w:rFonts w:ascii="Arial" w:hAnsi="Arial" w:cs="Arial"/>
          <w:color w:val="000000" w:themeColor="text1"/>
          <w:spacing w:val="6"/>
          <w:sz w:val="20"/>
          <w:szCs w:val="20"/>
        </w:rPr>
        <w:t xml:space="preserve"> </w:t>
      </w:r>
      <w:r w:rsidRPr="009D2AD3">
        <w:rPr>
          <w:rFonts w:ascii="Arial" w:hAnsi="Arial" w:cs="Arial"/>
          <w:color w:val="000000" w:themeColor="text1"/>
          <w:sz w:val="20"/>
          <w:szCs w:val="20"/>
        </w:rPr>
        <w:t>Barry</w:t>
      </w:r>
      <w:r w:rsidRPr="009D2AD3">
        <w:rPr>
          <w:rFonts w:ascii="Arial" w:hAnsi="Arial" w:cs="Arial"/>
          <w:color w:val="000000" w:themeColor="text1"/>
          <w:spacing w:val="7"/>
          <w:sz w:val="20"/>
          <w:szCs w:val="20"/>
        </w:rPr>
        <w:t xml:space="preserve"> </w:t>
      </w:r>
      <w:r w:rsidRPr="009D2AD3">
        <w:rPr>
          <w:rFonts w:ascii="Arial" w:hAnsi="Arial" w:cs="Arial"/>
          <w:color w:val="000000" w:themeColor="text1"/>
          <w:sz w:val="20"/>
          <w:szCs w:val="20"/>
        </w:rPr>
        <w:t>J.,</w:t>
      </w:r>
      <w:r w:rsidRPr="009D2AD3">
        <w:rPr>
          <w:rFonts w:ascii="Arial" w:hAnsi="Arial" w:cs="Arial"/>
          <w:color w:val="000000" w:themeColor="text1"/>
          <w:spacing w:val="7"/>
          <w:sz w:val="20"/>
          <w:szCs w:val="20"/>
        </w:rPr>
        <w:t xml:space="preserve"> </w:t>
      </w:r>
      <w:r w:rsidRPr="009D2AD3">
        <w:rPr>
          <w:rFonts w:ascii="Arial" w:hAnsi="Arial" w:cs="Arial"/>
          <w:color w:val="000000" w:themeColor="text1"/>
          <w:sz w:val="20"/>
          <w:szCs w:val="20"/>
        </w:rPr>
        <w:t>&amp;</w:t>
      </w:r>
      <w:r w:rsidRPr="009D2AD3">
        <w:rPr>
          <w:rFonts w:ascii="Arial" w:hAnsi="Arial" w:cs="Arial"/>
          <w:color w:val="000000" w:themeColor="text1"/>
          <w:spacing w:val="-3"/>
          <w:sz w:val="20"/>
          <w:szCs w:val="20"/>
        </w:rPr>
        <w:t xml:space="preserve"> </w:t>
      </w:r>
      <w:r w:rsidRPr="009D2AD3">
        <w:rPr>
          <w:rFonts w:ascii="Arial" w:hAnsi="Arial" w:cs="Arial"/>
          <w:color w:val="000000" w:themeColor="text1"/>
          <w:sz w:val="20"/>
          <w:szCs w:val="20"/>
        </w:rPr>
        <w:t>Anderson,</w:t>
      </w:r>
      <w:r w:rsidRPr="009D2AD3">
        <w:rPr>
          <w:rFonts w:ascii="Arial" w:hAnsi="Arial" w:cs="Arial"/>
          <w:color w:val="000000" w:themeColor="text1"/>
          <w:spacing w:val="6"/>
          <w:sz w:val="20"/>
          <w:szCs w:val="20"/>
        </w:rPr>
        <w:t xml:space="preserve"> </w:t>
      </w:r>
      <w:proofErr w:type="spellStart"/>
      <w:r w:rsidRPr="009D2AD3">
        <w:rPr>
          <w:rFonts w:ascii="Arial" w:hAnsi="Arial" w:cs="Arial"/>
          <w:color w:val="000000" w:themeColor="text1"/>
          <w:sz w:val="20"/>
          <w:szCs w:val="20"/>
        </w:rPr>
        <w:t>Rolph</w:t>
      </w:r>
      <w:proofErr w:type="spellEnd"/>
      <w:r w:rsidRPr="009D2AD3">
        <w:rPr>
          <w:rFonts w:ascii="Arial" w:hAnsi="Arial" w:cs="Arial"/>
          <w:color w:val="000000" w:themeColor="text1"/>
          <w:spacing w:val="7"/>
          <w:sz w:val="20"/>
          <w:szCs w:val="20"/>
        </w:rPr>
        <w:t xml:space="preserve"> </w:t>
      </w:r>
      <w:r w:rsidRPr="009D2AD3">
        <w:rPr>
          <w:rFonts w:ascii="Arial" w:hAnsi="Arial" w:cs="Arial"/>
          <w:color w:val="000000" w:themeColor="text1"/>
          <w:sz w:val="20"/>
          <w:szCs w:val="20"/>
        </w:rPr>
        <w:t>E.</w:t>
      </w:r>
      <w:r w:rsidRPr="009D2AD3">
        <w:rPr>
          <w:rFonts w:ascii="Arial" w:hAnsi="Arial" w:cs="Arial"/>
          <w:color w:val="000000" w:themeColor="text1"/>
          <w:spacing w:val="6"/>
          <w:sz w:val="20"/>
          <w:szCs w:val="20"/>
        </w:rPr>
        <w:t xml:space="preserve"> </w:t>
      </w:r>
      <w:r w:rsidRPr="009D2AD3">
        <w:rPr>
          <w:rFonts w:ascii="Arial" w:hAnsi="Arial" w:cs="Arial"/>
          <w:color w:val="000000" w:themeColor="text1"/>
          <w:sz w:val="20"/>
          <w:szCs w:val="20"/>
        </w:rPr>
        <w:t>(2010).</w:t>
      </w:r>
      <w:r w:rsidRPr="009D2AD3">
        <w:rPr>
          <w:rFonts w:ascii="Arial" w:hAnsi="Arial" w:cs="Arial"/>
          <w:color w:val="000000" w:themeColor="text1"/>
          <w:spacing w:val="7"/>
          <w:sz w:val="20"/>
          <w:szCs w:val="20"/>
        </w:rPr>
        <w:t xml:space="preserve"> </w:t>
      </w:r>
      <w:r w:rsidRPr="009D2AD3">
        <w:rPr>
          <w:rFonts w:ascii="Arial" w:hAnsi="Arial" w:cs="Arial"/>
          <w:i/>
          <w:color w:val="000000" w:themeColor="text1"/>
          <w:sz w:val="20"/>
          <w:szCs w:val="20"/>
        </w:rPr>
        <w:t>Multivariate</w:t>
      </w:r>
      <w:r w:rsidRPr="009D2AD3">
        <w:rPr>
          <w:rFonts w:ascii="Arial" w:hAnsi="Arial" w:cs="Arial"/>
          <w:i/>
          <w:color w:val="000000" w:themeColor="text1"/>
          <w:spacing w:val="6"/>
          <w:sz w:val="20"/>
          <w:szCs w:val="20"/>
        </w:rPr>
        <w:t xml:space="preserve"> </w:t>
      </w:r>
      <w:r w:rsidRPr="009D2AD3">
        <w:rPr>
          <w:rFonts w:ascii="Arial" w:hAnsi="Arial" w:cs="Arial"/>
          <w:i/>
          <w:color w:val="000000" w:themeColor="text1"/>
          <w:sz w:val="20"/>
          <w:szCs w:val="20"/>
        </w:rPr>
        <w:t>data</w:t>
      </w:r>
      <w:r w:rsidRPr="009D2AD3">
        <w:rPr>
          <w:rFonts w:ascii="Arial" w:hAnsi="Arial" w:cs="Arial"/>
          <w:i/>
          <w:color w:val="000000" w:themeColor="text1"/>
          <w:spacing w:val="6"/>
          <w:sz w:val="20"/>
          <w:szCs w:val="20"/>
        </w:rPr>
        <w:t xml:space="preserve"> </w:t>
      </w:r>
      <w:r w:rsidRPr="009D2AD3">
        <w:rPr>
          <w:rFonts w:ascii="Arial" w:hAnsi="Arial" w:cs="Arial"/>
          <w:i/>
          <w:color w:val="000000" w:themeColor="text1"/>
          <w:sz w:val="20"/>
          <w:szCs w:val="20"/>
        </w:rPr>
        <w:t>analysis</w:t>
      </w:r>
      <w:r w:rsidRPr="009D2AD3">
        <w:rPr>
          <w:rFonts w:ascii="Arial" w:hAnsi="Arial" w:cs="Arial"/>
          <w:i/>
          <w:color w:val="000000" w:themeColor="text1"/>
          <w:spacing w:val="6"/>
          <w:sz w:val="20"/>
          <w:szCs w:val="20"/>
        </w:rPr>
        <w:t xml:space="preserve"> </w:t>
      </w:r>
      <w:r w:rsidRPr="009D2AD3">
        <w:rPr>
          <w:rFonts w:ascii="Arial" w:hAnsi="Arial" w:cs="Arial"/>
          <w:color w:val="000000" w:themeColor="text1"/>
          <w:sz w:val="20"/>
          <w:szCs w:val="20"/>
        </w:rPr>
        <w:t>(7th</w:t>
      </w:r>
      <w:r w:rsidRPr="009D2AD3">
        <w:rPr>
          <w:rFonts w:ascii="Arial" w:hAnsi="Arial" w:cs="Arial"/>
          <w:color w:val="000000" w:themeColor="text1"/>
          <w:spacing w:val="7"/>
          <w:sz w:val="20"/>
          <w:szCs w:val="20"/>
        </w:rPr>
        <w:t xml:space="preserve"> </w:t>
      </w:r>
      <w:r w:rsidRPr="009D2AD3">
        <w:rPr>
          <w:rFonts w:ascii="Arial" w:hAnsi="Arial" w:cs="Arial"/>
          <w:color w:val="000000" w:themeColor="text1"/>
          <w:spacing w:val="-2"/>
          <w:sz w:val="20"/>
          <w:szCs w:val="20"/>
        </w:rPr>
        <w:t xml:space="preserve">ed.). </w:t>
      </w:r>
      <w:r w:rsidRPr="009D2AD3">
        <w:rPr>
          <w:rFonts w:ascii="Arial" w:hAnsi="Arial" w:cs="Arial"/>
          <w:color w:val="000000" w:themeColor="text1"/>
          <w:sz w:val="20"/>
          <w:szCs w:val="20"/>
        </w:rPr>
        <w:t xml:space="preserve">Upper Saddle River: </w:t>
      </w:r>
      <w:r w:rsidRPr="009D2AD3">
        <w:rPr>
          <w:rFonts w:ascii="Arial" w:hAnsi="Arial" w:cs="Arial"/>
          <w:color w:val="000000" w:themeColor="text1"/>
          <w:spacing w:val="-2"/>
          <w:sz w:val="20"/>
          <w:szCs w:val="20"/>
        </w:rPr>
        <w:t>Pearson.</w:t>
      </w:r>
    </w:p>
    <w:p w14:paraId="6B7CAF2D" w14:textId="77777777" w:rsidR="00992815" w:rsidRPr="009D2AD3" w:rsidRDefault="00992815" w:rsidP="00924E8A">
      <w:pPr>
        <w:pStyle w:val="ListParagraph"/>
        <w:widowControl/>
        <w:numPr>
          <w:ilvl w:val="0"/>
          <w:numId w:val="2"/>
        </w:numPr>
        <w:autoSpaceDE/>
        <w:autoSpaceDN/>
        <w:contextualSpacing/>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Cheung, C. M., &amp; Lee, M. K. (2010). A theoretical model of intentional social action in online social networks. </w:t>
      </w:r>
      <w:r w:rsidRPr="009D2AD3">
        <w:rPr>
          <w:rFonts w:ascii="Arial" w:eastAsia="Times New Roman" w:hAnsi="Arial" w:cs="Arial"/>
          <w:i/>
          <w:iCs/>
          <w:color w:val="000000" w:themeColor="text1"/>
          <w:sz w:val="20"/>
          <w:szCs w:val="20"/>
        </w:rPr>
        <w:t>Decision support systems</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49</w:t>
      </w:r>
      <w:r w:rsidRPr="009D2AD3">
        <w:rPr>
          <w:rFonts w:ascii="Arial" w:eastAsia="Times New Roman" w:hAnsi="Arial" w:cs="Arial"/>
          <w:color w:val="000000" w:themeColor="text1"/>
          <w:sz w:val="20"/>
          <w:szCs w:val="20"/>
        </w:rPr>
        <w:t>(1), 24-30.</w:t>
      </w:r>
    </w:p>
    <w:p w14:paraId="295954A0" w14:textId="77777777" w:rsidR="00992815" w:rsidRPr="009D2AD3" w:rsidRDefault="00992815" w:rsidP="00924E8A">
      <w:pPr>
        <w:pStyle w:val="ListParagraph"/>
        <w:widowControl/>
        <w:numPr>
          <w:ilvl w:val="0"/>
          <w:numId w:val="2"/>
        </w:numPr>
        <w:autoSpaceDE/>
        <w:autoSpaceDN/>
        <w:contextualSpacing/>
        <w:rPr>
          <w:rStyle w:val="fadeinm1hgl8"/>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Fornell</w:t>
      </w:r>
      <w:proofErr w:type="spellEnd"/>
      <w:r w:rsidRPr="009D2AD3">
        <w:rPr>
          <w:rFonts w:ascii="Arial" w:eastAsia="Times New Roman" w:hAnsi="Arial" w:cs="Arial"/>
          <w:color w:val="000000" w:themeColor="text1"/>
          <w:sz w:val="20"/>
          <w:szCs w:val="20"/>
        </w:rPr>
        <w:t xml:space="preserve">, C., &amp; </w:t>
      </w:r>
      <w:proofErr w:type="spellStart"/>
      <w:r w:rsidRPr="009D2AD3">
        <w:rPr>
          <w:rFonts w:ascii="Arial" w:eastAsia="Times New Roman" w:hAnsi="Arial" w:cs="Arial"/>
          <w:color w:val="000000" w:themeColor="text1"/>
          <w:sz w:val="20"/>
          <w:szCs w:val="20"/>
        </w:rPr>
        <w:t>Larcker</w:t>
      </w:r>
      <w:proofErr w:type="spellEnd"/>
      <w:r w:rsidRPr="009D2AD3">
        <w:rPr>
          <w:rFonts w:ascii="Arial" w:eastAsia="Times New Roman" w:hAnsi="Arial" w:cs="Arial"/>
          <w:color w:val="000000" w:themeColor="text1"/>
          <w:sz w:val="20"/>
          <w:szCs w:val="20"/>
        </w:rPr>
        <w:t xml:space="preserve">, D. F. (1981). Evaluating structural equation models with unobservable variables and measurement error. </w:t>
      </w:r>
      <w:r w:rsidRPr="009D2AD3">
        <w:rPr>
          <w:rFonts w:ascii="Arial" w:eastAsia="Times New Roman" w:hAnsi="Arial" w:cs="Arial"/>
          <w:i/>
          <w:iCs/>
          <w:color w:val="000000" w:themeColor="text1"/>
          <w:sz w:val="20"/>
          <w:szCs w:val="20"/>
        </w:rPr>
        <w:t>Journal of marketing research</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18</w:t>
      </w:r>
      <w:r w:rsidRPr="009D2AD3">
        <w:rPr>
          <w:rFonts w:ascii="Arial" w:eastAsia="Times New Roman" w:hAnsi="Arial" w:cs="Arial"/>
          <w:color w:val="000000" w:themeColor="text1"/>
          <w:sz w:val="20"/>
          <w:szCs w:val="20"/>
        </w:rPr>
        <w:t>(1), 39-50.</w:t>
      </w:r>
    </w:p>
    <w:p w14:paraId="63103A97"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Henseler</w:t>
      </w:r>
      <w:proofErr w:type="spellEnd"/>
      <w:r w:rsidRPr="009D2AD3">
        <w:rPr>
          <w:rFonts w:ascii="Arial" w:hAnsi="Arial" w:cs="Arial"/>
          <w:color w:val="000000" w:themeColor="text1"/>
          <w:sz w:val="20"/>
          <w:szCs w:val="20"/>
        </w:rPr>
        <w:t xml:space="preserve">, J., </w:t>
      </w:r>
      <w:proofErr w:type="spellStart"/>
      <w:r w:rsidRPr="009D2AD3">
        <w:rPr>
          <w:rFonts w:ascii="Arial" w:hAnsi="Arial" w:cs="Arial"/>
          <w:color w:val="000000" w:themeColor="text1"/>
          <w:sz w:val="20"/>
          <w:szCs w:val="20"/>
        </w:rPr>
        <w:t>Ringle</w:t>
      </w:r>
      <w:proofErr w:type="spellEnd"/>
      <w:r w:rsidRPr="009D2AD3">
        <w:rPr>
          <w:rFonts w:ascii="Arial" w:hAnsi="Arial" w:cs="Arial"/>
          <w:color w:val="000000" w:themeColor="text1"/>
          <w:sz w:val="20"/>
          <w:szCs w:val="20"/>
        </w:rPr>
        <w:t xml:space="preserve">, C. M., &amp; </w:t>
      </w:r>
      <w:proofErr w:type="spellStart"/>
      <w:r w:rsidRPr="009D2AD3">
        <w:rPr>
          <w:rFonts w:ascii="Arial" w:hAnsi="Arial" w:cs="Arial"/>
          <w:color w:val="000000" w:themeColor="text1"/>
          <w:sz w:val="20"/>
          <w:szCs w:val="20"/>
        </w:rPr>
        <w:t>Sarstedt</w:t>
      </w:r>
      <w:proofErr w:type="spellEnd"/>
      <w:r w:rsidRPr="009D2AD3">
        <w:rPr>
          <w:rFonts w:ascii="Arial" w:hAnsi="Arial" w:cs="Arial"/>
          <w:color w:val="000000" w:themeColor="text1"/>
          <w:sz w:val="20"/>
          <w:szCs w:val="20"/>
        </w:rPr>
        <w:t>, M. (</w:t>
      </w:r>
      <w:hyperlink w:anchor="_bookmark84" w:history="1">
        <w:r w:rsidRPr="009D2AD3">
          <w:rPr>
            <w:rFonts w:ascii="Arial" w:hAnsi="Arial" w:cs="Arial"/>
            <w:color w:val="000000" w:themeColor="text1"/>
            <w:sz w:val="20"/>
            <w:szCs w:val="20"/>
          </w:rPr>
          <w:t>2016</w:t>
        </w:r>
      </w:hyperlink>
      <w:r w:rsidRPr="009D2AD3">
        <w:rPr>
          <w:rFonts w:ascii="Arial" w:hAnsi="Arial" w:cs="Arial"/>
          <w:color w:val="000000" w:themeColor="text1"/>
          <w:sz w:val="20"/>
          <w:szCs w:val="20"/>
        </w:rPr>
        <w:t xml:space="preserve">). Testing measurement invariance of composites using partial least squares. International Marketing Review, 33(3), 405–431. </w:t>
      </w:r>
    </w:p>
    <w:p w14:paraId="00A4A31A" w14:textId="77777777"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pacing w:val="-2"/>
          <w:sz w:val="20"/>
          <w:szCs w:val="20"/>
        </w:rPr>
        <w:t>Kock,</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N.</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w:t>
      </w:r>
      <w:hyperlink w:anchor="_bookmark81" w:history="1">
        <w:r w:rsidRPr="009D2AD3">
          <w:rPr>
            <w:rFonts w:ascii="Arial" w:hAnsi="Arial" w:cs="Arial"/>
            <w:color w:val="000000" w:themeColor="text1"/>
            <w:spacing w:val="-2"/>
            <w:sz w:val="20"/>
            <w:szCs w:val="20"/>
          </w:rPr>
          <w:t>2015</w:t>
        </w:r>
      </w:hyperlink>
      <w:r w:rsidRPr="009D2AD3">
        <w:rPr>
          <w:rFonts w:ascii="Arial" w:hAnsi="Arial" w:cs="Arial"/>
          <w:color w:val="000000" w:themeColor="text1"/>
          <w:spacing w:val="-2"/>
          <w:sz w:val="20"/>
          <w:szCs w:val="20"/>
        </w:rPr>
        <w:t>).</w:t>
      </w:r>
      <w:r w:rsidRPr="009D2AD3">
        <w:rPr>
          <w:rFonts w:ascii="Arial" w:hAnsi="Arial" w:cs="Arial"/>
          <w:color w:val="000000" w:themeColor="text1"/>
          <w:spacing w:val="-11"/>
          <w:sz w:val="20"/>
          <w:szCs w:val="20"/>
        </w:rPr>
        <w:t xml:space="preserve"> </w:t>
      </w:r>
      <w:r w:rsidRPr="009D2AD3">
        <w:rPr>
          <w:rFonts w:ascii="Arial" w:hAnsi="Arial" w:cs="Arial"/>
          <w:color w:val="000000" w:themeColor="text1"/>
          <w:spacing w:val="-2"/>
          <w:sz w:val="20"/>
          <w:szCs w:val="20"/>
        </w:rPr>
        <w:t>Common</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method</w:t>
      </w:r>
      <w:r w:rsidRPr="009D2AD3">
        <w:rPr>
          <w:rFonts w:ascii="Arial" w:hAnsi="Arial" w:cs="Arial"/>
          <w:color w:val="000000" w:themeColor="text1"/>
          <w:spacing w:val="-11"/>
          <w:sz w:val="20"/>
          <w:szCs w:val="20"/>
        </w:rPr>
        <w:t xml:space="preserve"> </w:t>
      </w:r>
      <w:r w:rsidRPr="009D2AD3">
        <w:rPr>
          <w:rFonts w:ascii="Arial" w:hAnsi="Arial" w:cs="Arial"/>
          <w:color w:val="000000" w:themeColor="text1"/>
          <w:spacing w:val="-2"/>
          <w:sz w:val="20"/>
          <w:szCs w:val="20"/>
        </w:rPr>
        <w:t>bias</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in</w:t>
      </w:r>
      <w:r w:rsidRPr="009D2AD3">
        <w:rPr>
          <w:rFonts w:ascii="Arial" w:hAnsi="Arial" w:cs="Arial"/>
          <w:color w:val="000000" w:themeColor="text1"/>
          <w:spacing w:val="-11"/>
          <w:sz w:val="20"/>
          <w:szCs w:val="20"/>
        </w:rPr>
        <w:t xml:space="preserve"> </w:t>
      </w:r>
      <w:r w:rsidRPr="009D2AD3">
        <w:rPr>
          <w:rFonts w:ascii="Arial" w:hAnsi="Arial" w:cs="Arial"/>
          <w:color w:val="000000" w:themeColor="text1"/>
          <w:spacing w:val="-2"/>
          <w:sz w:val="20"/>
          <w:szCs w:val="20"/>
        </w:rPr>
        <w:t>PLS-SEM:</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A</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full</w:t>
      </w:r>
      <w:r w:rsidRPr="009D2AD3">
        <w:rPr>
          <w:rFonts w:ascii="Arial" w:hAnsi="Arial" w:cs="Arial"/>
          <w:color w:val="000000" w:themeColor="text1"/>
          <w:spacing w:val="-11"/>
          <w:sz w:val="20"/>
          <w:szCs w:val="20"/>
        </w:rPr>
        <w:t xml:space="preserve"> </w:t>
      </w:r>
      <w:r w:rsidRPr="009D2AD3">
        <w:rPr>
          <w:rFonts w:ascii="Arial" w:hAnsi="Arial" w:cs="Arial"/>
          <w:color w:val="000000" w:themeColor="text1"/>
          <w:spacing w:val="-2"/>
          <w:sz w:val="20"/>
          <w:szCs w:val="20"/>
        </w:rPr>
        <w:t>collinearity</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pacing w:val="-2"/>
          <w:sz w:val="20"/>
          <w:szCs w:val="20"/>
        </w:rPr>
        <w:t>assessment</w:t>
      </w:r>
      <w:r w:rsidRPr="009D2AD3">
        <w:rPr>
          <w:rFonts w:ascii="Arial" w:hAnsi="Arial" w:cs="Arial"/>
          <w:color w:val="000000" w:themeColor="text1"/>
          <w:spacing w:val="-11"/>
          <w:sz w:val="20"/>
          <w:szCs w:val="20"/>
        </w:rPr>
        <w:t xml:space="preserve"> </w:t>
      </w:r>
      <w:r w:rsidRPr="009D2AD3">
        <w:rPr>
          <w:rFonts w:ascii="Arial" w:hAnsi="Arial" w:cs="Arial"/>
          <w:color w:val="000000" w:themeColor="text1"/>
          <w:spacing w:val="-2"/>
          <w:sz w:val="20"/>
          <w:szCs w:val="20"/>
        </w:rPr>
        <w:t>approach.</w:t>
      </w:r>
      <w:r w:rsidRPr="009D2AD3">
        <w:rPr>
          <w:rFonts w:ascii="Arial" w:hAnsi="Arial" w:cs="Arial"/>
          <w:color w:val="000000" w:themeColor="text1"/>
          <w:spacing w:val="-12"/>
          <w:sz w:val="20"/>
          <w:szCs w:val="20"/>
        </w:rPr>
        <w:t xml:space="preserve"> </w:t>
      </w:r>
      <w:r w:rsidRPr="009D2AD3">
        <w:rPr>
          <w:rFonts w:ascii="Arial" w:hAnsi="Arial" w:cs="Arial"/>
          <w:i/>
          <w:color w:val="000000" w:themeColor="text1"/>
          <w:spacing w:val="-2"/>
          <w:sz w:val="20"/>
          <w:szCs w:val="20"/>
        </w:rPr>
        <w:t>International</w:t>
      </w:r>
      <w:r w:rsidRPr="009D2AD3">
        <w:rPr>
          <w:rFonts w:ascii="Arial" w:hAnsi="Arial" w:cs="Arial"/>
          <w:i/>
          <w:color w:val="000000" w:themeColor="text1"/>
          <w:spacing w:val="-11"/>
          <w:sz w:val="20"/>
          <w:szCs w:val="20"/>
        </w:rPr>
        <w:t xml:space="preserve"> </w:t>
      </w:r>
      <w:r w:rsidRPr="009D2AD3">
        <w:rPr>
          <w:rFonts w:ascii="Arial" w:hAnsi="Arial" w:cs="Arial"/>
          <w:i/>
          <w:color w:val="000000" w:themeColor="text1"/>
          <w:spacing w:val="-2"/>
          <w:sz w:val="20"/>
          <w:szCs w:val="20"/>
        </w:rPr>
        <w:t>Journal</w:t>
      </w:r>
      <w:r w:rsidRPr="009D2AD3">
        <w:rPr>
          <w:rFonts w:ascii="Arial" w:hAnsi="Arial" w:cs="Arial"/>
          <w:i/>
          <w:color w:val="000000" w:themeColor="text1"/>
          <w:spacing w:val="-12"/>
          <w:sz w:val="20"/>
          <w:szCs w:val="20"/>
        </w:rPr>
        <w:t xml:space="preserve"> </w:t>
      </w:r>
      <w:r w:rsidRPr="009D2AD3">
        <w:rPr>
          <w:rFonts w:ascii="Arial" w:hAnsi="Arial" w:cs="Arial"/>
          <w:i/>
          <w:color w:val="000000" w:themeColor="text1"/>
          <w:spacing w:val="-2"/>
          <w:sz w:val="20"/>
          <w:szCs w:val="20"/>
        </w:rPr>
        <w:t xml:space="preserve">of </w:t>
      </w:r>
      <w:bookmarkStart w:id="5" w:name="_bookmark170"/>
      <w:bookmarkEnd w:id="5"/>
      <w:r w:rsidRPr="009D2AD3">
        <w:rPr>
          <w:rFonts w:ascii="Arial" w:hAnsi="Arial" w:cs="Arial"/>
          <w:i/>
          <w:color w:val="000000" w:themeColor="text1"/>
          <w:w w:val="90"/>
          <w:sz w:val="20"/>
          <w:szCs w:val="20"/>
        </w:rPr>
        <w:t>e-Collaboration</w:t>
      </w:r>
      <w:r w:rsidRPr="009D2AD3">
        <w:rPr>
          <w:rFonts w:ascii="Arial" w:hAnsi="Arial" w:cs="Arial"/>
          <w:color w:val="000000" w:themeColor="text1"/>
          <w:w w:val="90"/>
          <w:sz w:val="20"/>
          <w:szCs w:val="20"/>
        </w:rPr>
        <w:t xml:space="preserve">, </w:t>
      </w:r>
      <w:r w:rsidRPr="009D2AD3">
        <w:rPr>
          <w:rFonts w:ascii="Arial" w:hAnsi="Arial" w:cs="Arial"/>
          <w:i/>
          <w:color w:val="000000" w:themeColor="text1"/>
          <w:w w:val="90"/>
          <w:sz w:val="20"/>
          <w:szCs w:val="20"/>
        </w:rPr>
        <w:t>11</w:t>
      </w:r>
      <w:r w:rsidRPr="009D2AD3">
        <w:rPr>
          <w:rFonts w:ascii="Arial" w:hAnsi="Arial" w:cs="Arial"/>
          <w:color w:val="000000" w:themeColor="text1"/>
          <w:w w:val="90"/>
          <w:sz w:val="20"/>
          <w:szCs w:val="20"/>
        </w:rPr>
        <w:t>(4), 1–10.</w:t>
      </w:r>
    </w:p>
    <w:p w14:paraId="4711D3AB" w14:textId="77777777" w:rsidR="00992815" w:rsidRPr="009D2AD3" w:rsidRDefault="00992815" w:rsidP="00924E8A">
      <w:pPr>
        <w:pStyle w:val="ListParagraph"/>
        <w:numPr>
          <w:ilvl w:val="0"/>
          <w:numId w:val="2"/>
        </w:numPr>
        <w:spacing w:before="13"/>
        <w:rPr>
          <w:rFonts w:ascii="Arial" w:hAnsi="Arial" w:cs="Arial"/>
          <w:color w:val="000000" w:themeColor="text1"/>
          <w:sz w:val="20"/>
          <w:szCs w:val="20"/>
        </w:rPr>
      </w:pPr>
      <w:r w:rsidRPr="009D2AD3">
        <w:rPr>
          <w:rFonts w:ascii="Arial" w:hAnsi="Arial" w:cs="Arial"/>
          <w:color w:val="000000" w:themeColor="text1"/>
          <w:sz w:val="20"/>
          <w:szCs w:val="20"/>
        </w:rPr>
        <w:t>Chin,</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z w:val="20"/>
          <w:szCs w:val="20"/>
        </w:rPr>
        <w:t>W.W.</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(2010).</w:t>
      </w:r>
      <w:r w:rsidRPr="009D2AD3">
        <w:rPr>
          <w:rFonts w:ascii="Arial" w:hAnsi="Arial" w:cs="Arial"/>
          <w:color w:val="000000" w:themeColor="text1"/>
          <w:spacing w:val="15"/>
          <w:sz w:val="20"/>
          <w:szCs w:val="20"/>
        </w:rPr>
        <w:t xml:space="preserve"> </w:t>
      </w:r>
      <w:r w:rsidRPr="009D2AD3">
        <w:rPr>
          <w:rFonts w:ascii="Arial" w:hAnsi="Arial" w:cs="Arial"/>
          <w:color w:val="000000" w:themeColor="text1"/>
          <w:sz w:val="20"/>
          <w:szCs w:val="20"/>
        </w:rPr>
        <w:t>How</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to</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write</w:t>
      </w:r>
      <w:r w:rsidRPr="009D2AD3">
        <w:rPr>
          <w:rFonts w:ascii="Arial" w:hAnsi="Arial" w:cs="Arial"/>
          <w:color w:val="000000" w:themeColor="text1"/>
          <w:spacing w:val="15"/>
          <w:sz w:val="20"/>
          <w:szCs w:val="20"/>
        </w:rPr>
        <w:t xml:space="preserve"> </w:t>
      </w:r>
      <w:r w:rsidRPr="009D2AD3">
        <w:rPr>
          <w:rFonts w:ascii="Arial" w:hAnsi="Arial" w:cs="Arial"/>
          <w:color w:val="000000" w:themeColor="text1"/>
          <w:sz w:val="20"/>
          <w:szCs w:val="20"/>
        </w:rPr>
        <w:t>up</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and</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report</w:t>
      </w:r>
      <w:r w:rsidRPr="009D2AD3">
        <w:rPr>
          <w:rFonts w:ascii="Arial" w:hAnsi="Arial" w:cs="Arial"/>
          <w:color w:val="000000" w:themeColor="text1"/>
          <w:spacing w:val="15"/>
          <w:sz w:val="20"/>
          <w:szCs w:val="20"/>
        </w:rPr>
        <w:t xml:space="preserve"> </w:t>
      </w:r>
      <w:r w:rsidRPr="009D2AD3">
        <w:rPr>
          <w:rFonts w:ascii="Arial" w:hAnsi="Arial" w:cs="Arial"/>
          <w:color w:val="000000" w:themeColor="text1"/>
          <w:sz w:val="20"/>
          <w:szCs w:val="20"/>
        </w:rPr>
        <w:t>PLS</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analyses.</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In</w:t>
      </w:r>
      <w:r w:rsidRPr="009D2AD3">
        <w:rPr>
          <w:rFonts w:ascii="Arial" w:hAnsi="Arial" w:cs="Arial"/>
          <w:color w:val="000000" w:themeColor="text1"/>
          <w:spacing w:val="12"/>
          <w:sz w:val="20"/>
          <w:szCs w:val="20"/>
        </w:rPr>
        <w:t xml:space="preserve"> </w:t>
      </w:r>
      <w:r w:rsidRPr="009D2AD3">
        <w:rPr>
          <w:rFonts w:ascii="Arial" w:hAnsi="Arial" w:cs="Arial"/>
          <w:color w:val="000000" w:themeColor="text1"/>
          <w:sz w:val="20"/>
          <w:szCs w:val="20"/>
        </w:rPr>
        <w:t>V.</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Esposito</w:t>
      </w:r>
      <w:r w:rsidRPr="009D2AD3">
        <w:rPr>
          <w:rFonts w:ascii="Arial" w:hAnsi="Arial" w:cs="Arial"/>
          <w:color w:val="000000" w:themeColor="text1"/>
          <w:spacing w:val="11"/>
          <w:sz w:val="20"/>
          <w:szCs w:val="20"/>
        </w:rPr>
        <w:t xml:space="preserve"> </w:t>
      </w:r>
      <w:proofErr w:type="spellStart"/>
      <w:r w:rsidRPr="009D2AD3">
        <w:rPr>
          <w:rFonts w:ascii="Arial" w:hAnsi="Arial" w:cs="Arial"/>
          <w:color w:val="000000" w:themeColor="text1"/>
          <w:sz w:val="20"/>
          <w:szCs w:val="20"/>
        </w:rPr>
        <w:t>Vinzi</w:t>
      </w:r>
      <w:proofErr w:type="spellEnd"/>
      <w:r w:rsidRPr="009D2AD3">
        <w:rPr>
          <w:rFonts w:ascii="Arial" w:hAnsi="Arial" w:cs="Arial"/>
          <w:color w:val="000000" w:themeColor="text1"/>
          <w:sz w:val="20"/>
          <w:szCs w:val="20"/>
        </w:rPr>
        <w:t>,</w:t>
      </w:r>
      <w:r w:rsidRPr="009D2AD3">
        <w:rPr>
          <w:rFonts w:ascii="Arial" w:hAnsi="Arial" w:cs="Arial"/>
          <w:color w:val="000000" w:themeColor="text1"/>
          <w:spacing w:val="10"/>
          <w:sz w:val="20"/>
          <w:szCs w:val="20"/>
        </w:rPr>
        <w:t xml:space="preserve"> </w:t>
      </w:r>
      <w:r w:rsidRPr="009D2AD3">
        <w:rPr>
          <w:rFonts w:ascii="Arial" w:hAnsi="Arial" w:cs="Arial"/>
          <w:color w:val="000000" w:themeColor="text1"/>
          <w:sz w:val="20"/>
          <w:szCs w:val="20"/>
        </w:rPr>
        <w:t>W.W.</w:t>
      </w:r>
      <w:r w:rsidRPr="009D2AD3">
        <w:rPr>
          <w:rFonts w:ascii="Arial" w:hAnsi="Arial" w:cs="Arial"/>
          <w:color w:val="000000" w:themeColor="text1"/>
          <w:spacing w:val="15"/>
          <w:sz w:val="20"/>
          <w:szCs w:val="20"/>
        </w:rPr>
        <w:t xml:space="preserve"> </w:t>
      </w:r>
      <w:r w:rsidRPr="009D2AD3">
        <w:rPr>
          <w:rFonts w:ascii="Arial" w:hAnsi="Arial" w:cs="Arial"/>
          <w:color w:val="000000" w:themeColor="text1"/>
          <w:sz w:val="20"/>
          <w:szCs w:val="20"/>
        </w:rPr>
        <w:t>Chin,</w:t>
      </w:r>
      <w:r w:rsidRPr="009D2AD3">
        <w:rPr>
          <w:rFonts w:ascii="Arial" w:hAnsi="Arial" w:cs="Arial"/>
          <w:color w:val="000000" w:themeColor="text1"/>
          <w:spacing w:val="14"/>
          <w:sz w:val="20"/>
          <w:szCs w:val="20"/>
        </w:rPr>
        <w:t xml:space="preserve"> </w:t>
      </w:r>
      <w:r w:rsidRPr="009D2AD3">
        <w:rPr>
          <w:rFonts w:ascii="Arial" w:hAnsi="Arial" w:cs="Arial"/>
          <w:color w:val="000000" w:themeColor="text1"/>
          <w:sz w:val="20"/>
          <w:szCs w:val="20"/>
        </w:rPr>
        <w:t>J.</w:t>
      </w:r>
      <w:r w:rsidRPr="009D2AD3">
        <w:rPr>
          <w:rFonts w:ascii="Arial" w:hAnsi="Arial" w:cs="Arial"/>
          <w:color w:val="000000" w:themeColor="text1"/>
          <w:spacing w:val="14"/>
          <w:sz w:val="20"/>
          <w:szCs w:val="20"/>
        </w:rPr>
        <w:t xml:space="preserve"> </w:t>
      </w:r>
      <w:proofErr w:type="spellStart"/>
      <w:r w:rsidRPr="009D2AD3">
        <w:rPr>
          <w:rFonts w:ascii="Arial" w:hAnsi="Arial" w:cs="Arial"/>
          <w:color w:val="000000" w:themeColor="text1"/>
          <w:sz w:val="20"/>
          <w:szCs w:val="20"/>
        </w:rPr>
        <w:t>Henseler</w:t>
      </w:r>
      <w:proofErr w:type="spellEnd"/>
      <w:r w:rsidRPr="009D2AD3">
        <w:rPr>
          <w:rFonts w:ascii="Arial" w:hAnsi="Arial" w:cs="Arial"/>
          <w:color w:val="000000" w:themeColor="text1"/>
          <w:spacing w:val="15"/>
          <w:sz w:val="20"/>
          <w:szCs w:val="20"/>
        </w:rPr>
        <w:t xml:space="preserve"> </w:t>
      </w:r>
      <w:r w:rsidRPr="009D2AD3">
        <w:rPr>
          <w:rFonts w:ascii="Arial" w:hAnsi="Arial" w:cs="Arial"/>
          <w:color w:val="000000" w:themeColor="text1"/>
          <w:spacing w:val="-10"/>
          <w:sz w:val="20"/>
          <w:szCs w:val="20"/>
        </w:rPr>
        <w:t xml:space="preserve">&amp; </w:t>
      </w:r>
      <w:r w:rsidRPr="009D2AD3">
        <w:rPr>
          <w:rFonts w:ascii="Arial" w:hAnsi="Arial" w:cs="Arial"/>
          <w:color w:val="000000" w:themeColor="text1"/>
          <w:sz w:val="20"/>
          <w:szCs w:val="20"/>
        </w:rPr>
        <w:t xml:space="preserve">H. Wang (Eds), </w:t>
      </w:r>
      <w:r w:rsidRPr="009D2AD3">
        <w:rPr>
          <w:rFonts w:ascii="Arial" w:hAnsi="Arial" w:cs="Arial"/>
          <w:i/>
          <w:color w:val="000000" w:themeColor="text1"/>
          <w:sz w:val="20"/>
          <w:szCs w:val="20"/>
        </w:rPr>
        <w:t xml:space="preserve">Handbook of partial least squares: Concepts, methods and application </w:t>
      </w:r>
      <w:r w:rsidRPr="009D2AD3">
        <w:rPr>
          <w:rFonts w:ascii="Arial" w:hAnsi="Arial" w:cs="Arial"/>
          <w:color w:val="000000" w:themeColor="text1"/>
          <w:sz w:val="20"/>
          <w:szCs w:val="20"/>
        </w:rPr>
        <w:t>(pp. 691–711). New</w:t>
      </w:r>
      <w:r w:rsidRPr="009D2AD3">
        <w:rPr>
          <w:rFonts w:ascii="Arial" w:hAnsi="Arial" w:cs="Arial"/>
          <w:color w:val="000000" w:themeColor="text1"/>
          <w:spacing w:val="40"/>
          <w:sz w:val="20"/>
          <w:szCs w:val="20"/>
        </w:rPr>
        <w:t xml:space="preserve"> </w:t>
      </w:r>
      <w:r w:rsidRPr="009D2AD3">
        <w:rPr>
          <w:rFonts w:ascii="Arial" w:hAnsi="Arial" w:cs="Arial"/>
          <w:color w:val="000000" w:themeColor="text1"/>
          <w:sz w:val="20"/>
          <w:szCs w:val="20"/>
        </w:rPr>
        <w:t>York: Springer.</w:t>
      </w:r>
    </w:p>
    <w:p w14:paraId="11F21BF2" w14:textId="77777777" w:rsidR="00992815" w:rsidRPr="009D2AD3" w:rsidRDefault="00992815" w:rsidP="00924E8A">
      <w:pPr>
        <w:pStyle w:val="ListParagraph"/>
        <w:numPr>
          <w:ilvl w:val="0"/>
          <w:numId w:val="2"/>
        </w:numPr>
        <w:rPr>
          <w:rFonts w:ascii="Arial" w:hAnsi="Arial" w:cs="Arial"/>
          <w:color w:val="000000" w:themeColor="text1"/>
          <w:sz w:val="20"/>
          <w:szCs w:val="20"/>
        </w:rPr>
      </w:pPr>
      <w:proofErr w:type="spellStart"/>
      <w:r w:rsidRPr="009D2AD3">
        <w:rPr>
          <w:rFonts w:ascii="Arial" w:hAnsi="Arial" w:cs="Arial"/>
          <w:color w:val="000000" w:themeColor="text1"/>
          <w:sz w:val="20"/>
          <w:szCs w:val="20"/>
        </w:rPr>
        <w:t>Tenenhaus</w:t>
      </w:r>
      <w:proofErr w:type="spellEnd"/>
      <w:r w:rsidRPr="009D2AD3">
        <w:rPr>
          <w:rFonts w:ascii="Arial" w:hAnsi="Arial" w:cs="Arial"/>
          <w:color w:val="000000" w:themeColor="text1"/>
          <w:sz w:val="20"/>
          <w:szCs w:val="20"/>
        </w:rPr>
        <w:t xml:space="preserve">, M., </w:t>
      </w:r>
      <w:proofErr w:type="spellStart"/>
      <w:r w:rsidRPr="009D2AD3">
        <w:rPr>
          <w:rFonts w:ascii="Arial" w:hAnsi="Arial" w:cs="Arial"/>
          <w:color w:val="000000" w:themeColor="text1"/>
          <w:sz w:val="20"/>
          <w:szCs w:val="20"/>
        </w:rPr>
        <w:t>Vinzi</w:t>
      </w:r>
      <w:proofErr w:type="spellEnd"/>
      <w:r w:rsidRPr="009D2AD3">
        <w:rPr>
          <w:rFonts w:ascii="Arial" w:hAnsi="Arial" w:cs="Arial"/>
          <w:color w:val="000000" w:themeColor="text1"/>
          <w:sz w:val="20"/>
          <w:szCs w:val="20"/>
        </w:rPr>
        <w:t xml:space="preserve">, V. E., </w:t>
      </w:r>
      <w:proofErr w:type="spellStart"/>
      <w:r w:rsidRPr="009D2AD3">
        <w:rPr>
          <w:rFonts w:ascii="Arial" w:hAnsi="Arial" w:cs="Arial"/>
          <w:color w:val="000000" w:themeColor="text1"/>
          <w:sz w:val="20"/>
          <w:szCs w:val="20"/>
        </w:rPr>
        <w:t>Chatelin</w:t>
      </w:r>
      <w:proofErr w:type="spellEnd"/>
      <w:r w:rsidRPr="009D2AD3">
        <w:rPr>
          <w:rFonts w:ascii="Arial" w:hAnsi="Arial" w:cs="Arial"/>
          <w:color w:val="000000" w:themeColor="text1"/>
          <w:sz w:val="20"/>
          <w:szCs w:val="20"/>
        </w:rPr>
        <w:t xml:space="preserve">, Y. M., &amp; </w:t>
      </w:r>
      <w:proofErr w:type="spellStart"/>
      <w:r w:rsidRPr="009D2AD3">
        <w:rPr>
          <w:rFonts w:ascii="Arial" w:hAnsi="Arial" w:cs="Arial"/>
          <w:color w:val="000000" w:themeColor="text1"/>
          <w:sz w:val="20"/>
          <w:szCs w:val="20"/>
        </w:rPr>
        <w:t>Lauro</w:t>
      </w:r>
      <w:proofErr w:type="spellEnd"/>
      <w:r w:rsidRPr="009D2AD3">
        <w:rPr>
          <w:rFonts w:ascii="Arial" w:hAnsi="Arial" w:cs="Arial"/>
          <w:color w:val="000000" w:themeColor="text1"/>
          <w:sz w:val="20"/>
          <w:szCs w:val="20"/>
        </w:rPr>
        <w:t xml:space="preserve">, C. (2005). PLS path modeling. </w:t>
      </w:r>
      <w:r w:rsidRPr="009D2AD3">
        <w:rPr>
          <w:rFonts w:ascii="Arial" w:hAnsi="Arial" w:cs="Arial"/>
          <w:i/>
          <w:iCs/>
          <w:color w:val="000000" w:themeColor="text1"/>
          <w:sz w:val="20"/>
          <w:szCs w:val="20"/>
        </w:rPr>
        <w:t>Computational statistics &amp; data analysis</w:t>
      </w:r>
      <w:r w:rsidRPr="009D2AD3">
        <w:rPr>
          <w:rFonts w:ascii="Arial" w:hAnsi="Arial" w:cs="Arial"/>
          <w:color w:val="000000" w:themeColor="text1"/>
          <w:sz w:val="20"/>
          <w:szCs w:val="20"/>
        </w:rPr>
        <w:t xml:space="preserve">, </w:t>
      </w:r>
      <w:r w:rsidRPr="009D2AD3">
        <w:rPr>
          <w:rFonts w:ascii="Arial" w:hAnsi="Arial" w:cs="Arial"/>
          <w:i/>
          <w:iCs/>
          <w:color w:val="000000" w:themeColor="text1"/>
          <w:sz w:val="20"/>
          <w:szCs w:val="20"/>
        </w:rPr>
        <w:t>48</w:t>
      </w:r>
      <w:r w:rsidRPr="009D2AD3">
        <w:rPr>
          <w:rFonts w:ascii="Arial" w:hAnsi="Arial" w:cs="Arial"/>
          <w:color w:val="000000" w:themeColor="text1"/>
          <w:sz w:val="20"/>
          <w:szCs w:val="20"/>
        </w:rPr>
        <w:t>(1), 159-205.</w:t>
      </w:r>
    </w:p>
    <w:p w14:paraId="1026C32C" w14:textId="4FFF90A4" w:rsidR="00992815" w:rsidRPr="009D2AD3" w:rsidRDefault="00992815" w:rsidP="00924E8A">
      <w:pPr>
        <w:pStyle w:val="ListParagraph"/>
        <w:numPr>
          <w:ilvl w:val="0"/>
          <w:numId w:val="2"/>
        </w:numPr>
        <w:rPr>
          <w:rFonts w:ascii="Arial" w:hAnsi="Arial" w:cs="Arial"/>
          <w:color w:val="000000" w:themeColor="text1"/>
          <w:sz w:val="20"/>
          <w:szCs w:val="20"/>
        </w:rPr>
      </w:pPr>
      <w:r w:rsidRPr="009D2AD3">
        <w:rPr>
          <w:rFonts w:ascii="Arial" w:hAnsi="Arial" w:cs="Arial"/>
          <w:color w:val="000000" w:themeColor="text1"/>
          <w:sz w:val="20"/>
          <w:szCs w:val="20"/>
        </w:rPr>
        <w:t xml:space="preserve">Ahmad, K. Z., &amp; Bakar, R. A. (2003). The association between training and organizational commitment among white-collar workers in Malaysia. </w:t>
      </w:r>
      <w:r w:rsidRPr="009D2AD3">
        <w:rPr>
          <w:rStyle w:val="Emphasis"/>
          <w:rFonts w:ascii="Arial" w:hAnsi="Arial" w:cs="Arial"/>
          <w:color w:val="000000" w:themeColor="text1"/>
          <w:sz w:val="20"/>
          <w:szCs w:val="20"/>
        </w:rPr>
        <w:t>International Journal of Training and Development, 7</w:t>
      </w:r>
      <w:r w:rsidRPr="009D2AD3">
        <w:rPr>
          <w:rFonts w:ascii="Arial" w:hAnsi="Arial" w:cs="Arial"/>
          <w:color w:val="000000" w:themeColor="text1"/>
          <w:sz w:val="20"/>
          <w:szCs w:val="20"/>
        </w:rPr>
        <w:t>(3), 166–185.</w:t>
      </w:r>
      <w:r w:rsidR="00A630F2" w:rsidRPr="009D2AD3">
        <w:rPr>
          <w:rFonts w:ascii="Arial" w:hAnsi="Arial" w:cs="Arial"/>
          <w:color w:val="000000" w:themeColor="text1"/>
          <w:sz w:val="20"/>
          <w:szCs w:val="20"/>
        </w:rPr>
        <w:t xml:space="preserve"> https://doi.org/10.1111/1468-2419.00179</w:t>
      </w:r>
    </w:p>
    <w:p w14:paraId="3A1A2190"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Khailey</w:t>
      </w:r>
      <w:proofErr w:type="spellEnd"/>
      <w:r w:rsidRPr="009D2AD3">
        <w:rPr>
          <w:rFonts w:ascii="Arial" w:eastAsia="Times New Roman" w:hAnsi="Arial" w:cs="Arial"/>
          <w:color w:val="000000" w:themeColor="text1"/>
          <w:sz w:val="20"/>
          <w:szCs w:val="20"/>
        </w:rPr>
        <w:t xml:space="preserve">, A. H., &amp; Ibrahim, B. A. (2023). Effect of Compensation on Employee Commitment in </w:t>
      </w:r>
      <w:proofErr w:type="spellStart"/>
      <w:r w:rsidRPr="009D2AD3">
        <w:rPr>
          <w:rFonts w:ascii="Arial" w:eastAsia="Times New Roman" w:hAnsi="Arial" w:cs="Arial"/>
          <w:color w:val="000000" w:themeColor="text1"/>
          <w:sz w:val="20"/>
          <w:szCs w:val="20"/>
        </w:rPr>
        <w:t>Hormuud</w:t>
      </w:r>
      <w:proofErr w:type="spellEnd"/>
      <w:r w:rsidRPr="009D2AD3">
        <w:rPr>
          <w:rFonts w:ascii="Arial" w:eastAsia="Times New Roman" w:hAnsi="Arial" w:cs="Arial"/>
          <w:color w:val="000000" w:themeColor="text1"/>
          <w:sz w:val="20"/>
          <w:szCs w:val="20"/>
        </w:rPr>
        <w:t xml:space="preserve"> Telecom Mogadishu, Somalia. </w:t>
      </w:r>
      <w:r w:rsidRPr="009D2AD3">
        <w:rPr>
          <w:rFonts w:ascii="Arial" w:eastAsia="Times New Roman" w:hAnsi="Arial" w:cs="Arial"/>
          <w:i/>
          <w:iCs/>
          <w:color w:val="000000" w:themeColor="text1"/>
          <w:sz w:val="20"/>
          <w:szCs w:val="20"/>
        </w:rPr>
        <w:t>International Journal of Professional Business Review: Int. J. Prof. Bus. Rev.</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8</w:t>
      </w:r>
      <w:r w:rsidRPr="009D2AD3">
        <w:rPr>
          <w:rFonts w:ascii="Arial" w:eastAsia="Times New Roman" w:hAnsi="Arial" w:cs="Arial"/>
          <w:color w:val="000000" w:themeColor="text1"/>
          <w:sz w:val="20"/>
          <w:szCs w:val="20"/>
        </w:rPr>
        <w:t>(9), 11.</w:t>
      </w:r>
    </w:p>
    <w:p w14:paraId="17865C18"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Kurniasari</w:t>
      </w:r>
      <w:proofErr w:type="spellEnd"/>
      <w:r w:rsidRPr="009D2AD3">
        <w:rPr>
          <w:rFonts w:ascii="Arial" w:eastAsia="Times New Roman" w:hAnsi="Arial" w:cs="Arial"/>
          <w:color w:val="000000" w:themeColor="text1"/>
          <w:sz w:val="20"/>
          <w:szCs w:val="20"/>
        </w:rPr>
        <w:t xml:space="preserve">, I. C., </w:t>
      </w:r>
      <w:proofErr w:type="spellStart"/>
      <w:r w:rsidRPr="009D2AD3">
        <w:rPr>
          <w:rFonts w:ascii="Arial" w:eastAsia="Times New Roman" w:hAnsi="Arial" w:cs="Arial"/>
          <w:color w:val="000000" w:themeColor="text1"/>
          <w:sz w:val="20"/>
          <w:szCs w:val="20"/>
        </w:rPr>
        <w:t>Thoyib</w:t>
      </w:r>
      <w:proofErr w:type="spellEnd"/>
      <w:r w:rsidRPr="009D2AD3">
        <w:rPr>
          <w:rFonts w:ascii="Arial" w:eastAsia="Times New Roman" w:hAnsi="Arial" w:cs="Arial"/>
          <w:color w:val="000000" w:themeColor="text1"/>
          <w:sz w:val="20"/>
          <w:szCs w:val="20"/>
        </w:rPr>
        <w:t xml:space="preserve">, A., &amp; </w:t>
      </w:r>
      <w:proofErr w:type="spellStart"/>
      <w:r w:rsidRPr="009D2AD3">
        <w:rPr>
          <w:rFonts w:ascii="Arial" w:eastAsia="Times New Roman" w:hAnsi="Arial" w:cs="Arial"/>
          <w:color w:val="000000" w:themeColor="text1"/>
          <w:sz w:val="20"/>
          <w:szCs w:val="20"/>
        </w:rPr>
        <w:t>Rofiaty</w:t>
      </w:r>
      <w:proofErr w:type="spellEnd"/>
      <w:r w:rsidRPr="009D2AD3">
        <w:rPr>
          <w:rFonts w:ascii="Arial" w:eastAsia="Times New Roman" w:hAnsi="Arial" w:cs="Arial"/>
          <w:color w:val="000000" w:themeColor="text1"/>
          <w:sz w:val="20"/>
          <w:szCs w:val="20"/>
        </w:rPr>
        <w:t xml:space="preserve">, R. (2018). </w:t>
      </w:r>
      <w:proofErr w:type="spellStart"/>
      <w:r w:rsidRPr="009D2AD3">
        <w:rPr>
          <w:rFonts w:ascii="Arial" w:eastAsia="Times New Roman" w:hAnsi="Arial" w:cs="Arial"/>
          <w:color w:val="000000" w:themeColor="text1"/>
          <w:sz w:val="20"/>
          <w:szCs w:val="20"/>
        </w:rPr>
        <w:t>Peran</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Komitmen</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Organisasional</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Dalam</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Memediasi</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Pengaruh</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Kompetensi</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Pelatihan</w:t>
      </w:r>
      <w:proofErr w:type="spellEnd"/>
      <w:r w:rsidRPr="009D2AD3">
        <w:rPr>
          <w:rFonts w:ascii="Arial" w:eastAsia="Times New Roman" w:hAnsi="Arial" w:cs="Arial"/>
          <w:color w:val="000000" w:themeColor="text1"/>
          <w:sz w:val="20"/>
          <w:szCs w:val="20"/>
        </w:rPr>
        <w:t xml:space="preserve"> Dan </w:t>
      </w:r>
      <w:proofErr w:type="spellStart"/>
      <w:r w:rsidRPr="009D2AD3">
        <w:rPr>
          <w:rFonts w:ascii="Arial" w:eastAsia="Times New Roman" w:hAnsi="Arial" w:cs="Arial"/>
          <w:color w:val="000000" w:themeColor="text1"/>
          <w:sz w:val="20"/>
          <w:szCs w:val="20"/>
        </w:rPr>
        <w:t>Budaya</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Organisasi</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Terhadap</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Kinerja</w:t>
      </w:r>
      <w:proofErr w:type="spellEnd"/>
      <w:r w:rsidRPr="009D2AD3">
        <w:rPr>
          <w:rFonts w:ascii="Arial" w:eastAsia="Times New Roman" w:hAnsi="Arial" w:cs="Arial"/>
          <w:color w:val="000000" w:themeColor="text1"/>
          <w:sz w:val="20"/>
          <w:szCs w:val="20"/>
        </w:rPr>
        <w:t xml:space="preserve"> </w:t>
      </w:r>
      <w:proofErr w:type="spellStart"/>
      <w:r w:rsidRPr="009D2AD3">
        <w:rPr>
          <w:rFonts w:ascii="Arial" w:eastAsia="Times New Roman" w:hAnsi="Arial" w:cs="Arial"/>
          <w:color w:val="000000" w:themeColor="text1"/>
          <w:sz w:val="20"/>
          <w:szCs w:val="20"/>
        </w:rPr>
        <w:t>Perawat</w:t>
      </w:r>
      <w:proofErr w:type="spellEnd"/>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 xml:space="preserve">Mix: </w:t>
      </w:r>
      <w:proofErr w:type="spellStart"/>
      <w:r w:rsidRPr="009D2AD3">
        <w:rPr>
          <w:rFonts w:ascii="Arial" w:eastAsia="Times New Roman" w:hAnsi="Arial" w:cs="Arial"/>
          <w:i/>
          <w:iCs/>
          <w:color w:val="000000" w:themeColor="text1"/>
          <w:sz w:val="20"/>
          <w:szCs w:val="20"/>
        </w:rPr>
        <w:t>Jurnal</w:t>
      </w:r>
      <w:proofErr w:type="spellEnd"/>
      <w:r w:rsidRPr="009D2AD3">
        <w:rPr>
          <w:rFonts w:ascii="Arial" w:eastAsia="Times New Roman" w:hAnsi="Arial" w:cs="Arial"/>
          <w:i/>
          <w:iCs/>
          <w:color w:val="000000" w:themeColor="text1"/>
          <w:sz w:val="20"/>
          <w:szCs w:val="20"/>
        </w:rPr>
        <w:t xml:space="preserve"> </w:t>
      </w:r>
      <w:proofErr w:type="spellStart"/>
      <w:r w:rsidRPr="009D2AD3">
        <w:rPr>
          <w:rFonts w:ascii="Arial" w:eastAsia="Times New Roman" w:hAnsi="Arial" w:cs="Arial"/>
          <w:i/>
          <w:iCs/>
          <w:color w:val="000000" w:themeColor="text1"/>
          <w:sz w:val="20"/>
          <w:szCs w:val="20"/>
        </w:rPr>
        <w:t>Ilmiah</w:t>
      </w:r>
      <w:proofErr w:type="spellEnd"/>
      <w:r w:rsidRPr="009D2AD3">
        <w:rPr>
          <w:rFonts w:ascii="Arial" w:eastAsia="Times New Roman" w:hAnsi="Arial" w:cs="Arial"/>
          <w:i/>
          <w:iCs/>
          <w:color w:val="000000" w:themeColor="text1"/>
          <w:sz w:val="20"/>
          <w:szCs w:val="20"/>
        </w:rPr>
        <w:t xml:space="preserve"> </w:t>
      </w:r>
      <w:proofErr w:type="spellStart"/>
      <w:r w:rsidRPr="009D2AD3">
        <w:rPr>
          <w:rFonts w:ascii="Arial" w:eastAsia="Times New Roman" w:hAnsi="Arial" w:cs="Arial"/>
          <w:i/>
          <w:iCs/>
          <w:color w:val="000000" w:themeColor="text1"/>
          <w:sz w:val="20"/>
          <w:szCs w:val="20"/>
        </w:rPr>
        <w:t>Manajemen</w:t>
      </w:r>
      <w:proofErr w:type="spellEnd"/>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8</w:t>
      </w:r>
      <w:r w:rsidRPr="009D2AD3">
        <w:rPr>
          <w:rFonts w:ascii="Arial" w:eastAsia="Times New Roman" w:hAnsi="Arial" w:cs="Arial"/>
          <w:color w:val="000000" w:themeColor="text1"/>
          <w:sz w:val="20"/>
          <w:szCs w:val="20"/>
        </w:rPr>
        <w:t>(2), 352-371.</w:t>
      </w:r>
    </w:p>
    <w:p w14:paraId="1887C2D6"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Astuti</w:t>
      </w:r>
      <w:proofErr w:type="spellEnd"/>
      <w:r w:rsidRPr="009D2AD3">
        <w:rPr>
          <w:rFonts w:ascii="Arial" w:eastAsia="Times New Roman" w:hAnsi="Arial" w:cs="Arial"/>
          <w:color w:val="000000" w:themeColor="text1"/>
          <w:sz w:val="20"/>
          <w:szCs w:val="20"/>
        </w:rPr>
        <w:t xml:space="preserve">, R. J., &amp; </w:t>
      </w:r>
      <w:proofErr w:type="spellStart"/>
      <w:r w:rsidRPr="009D2AD3">
        <w:rPr>
          <w:rFonts w:ascii="Arial" w:eastAsia="Times New Roman" w:hAnsi="Arial" w:cs="Arial"/>
          <w:color w:val="000000" w:themeColor="text1"/>
          <w:sz w:val="20"/>
          <w:szCs w:val="20"/>
        </w:rPr>
        <w:t>Harnuansa</w:t>
      </w:r>
      <w:proofErr w:type="spellEnd"/>
      <w:r w:rsidRPr="009D2AD3">
        <w:rPr>
          <w:rFonts w:ascii="Arial" w:eastAsia="Times New Roman" w:hAnsi="Arial" w:cs="Arial"/>
          <w:color w:val="000000" w:themeColor="text1"/>
          <w:sz w:val="20"/>
          <w:szCs w:val="20"/>
        </w:rPr>
        <w:t xml:space="preserve">, H. A. (2022). The effect of employee training on organizational commitment and turnover intention: a mediating role of job satisfaction. </w:t>
      </w:r>
      <w:r w:rsidRPr="009D2AD3">
        <w:rPr>
          <w:rFonts w:ascii="Arial" w:eastAsia="Times New Roman" w:hAnsi="Arial" w:cs="Arial"/>
          <w:i/>
          <w:iCs/>
          <w:color w:val="000000" w:themeColor="text1"/>
          <w:sz w:val="20"/>
          <w:szCs w:val="20"/>
        </w:rPr>
        <w:t>Journal of Economics, Management and Trade</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61</w:t>
      </w:r>
      <w:r w:rsidRPr="009D2AD3">
        <w:rPr>
          <w:rFonts w:ascii="Arial" w:eastAsia="Times New Roman" w:hAnsi="Arial" w:cs="Arial"/>
          <w:color w:val="000000" w:themeColor="text1"/>
          <w:sz w:val="20"/>
          <w:szCs w:val="20"/>
        </w:rPr>
        <w:t>, 69.</w:t>
      </w:r>
    </w:p>
    <w:p w14:paraId="2B4A5579"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r w:rsidRPr="009D2AD3">
        <w:rPr>
          <w:rFonts w:ascii="Arial" w:eastAsia="Times New Roman" w:hAnsi="Arial" w:cs="Arial"/>
          <w:color w:val="000000" w:themeColor="text1"/>
          <w:sz w:val="20"/>
          <w:szCs w:val="20"/>
        </w:rPr>
        <w:t xml:space="preserve">Yang, H., Sanders, K., &amp; </w:t>
      </w:r>
      <w:proofErr w:type="spellStart"/>
      <w:r w:rsidRPr="009D2AD3">
        <w:rPr>
          <w:rFonts w:ascii="Arial" w:eastAsia="Times New Roman" w:hAnsi="Arial" w:cs="Arial"/>
          <w:color w:val="000000" w:themeColor="text1"/>
          <w:sz w:val="20"/>
          <w:szCs w:val="20"/>
        </w:rPr>
        <w:t>Bumatay</w:t>
      </w:r>
      <w:proofErr w:type="spellEnd"/>
      <w:r w:rsidRPr="009D2AD3">
        <w:rPr>
          <w:rFonts w:ascii="Arial" w:eastAsia="Times New Roman" w:hAnsi="Arial" w:cs="Arial"/>
          <w:color w:val="000000" w:themeColor="text1"/>
          <w:sz w:val="20"/>
          <w:szCs w:val="20"/>
        </w:rPr>
        <w:t>, C. P. (2012). Linking perceptions of training with organizational commitment: The moderating role of self-</w:t>
      </w:r>
      <w:proofErr w:type="spellStart"/>
      <w:r w:rsidRPr="009D2AD3">
        <w:rPr>
          <w:rFonts w:ascii="Arial" w:eastAsia="Times New Roman" w:hAnsi="Arial" w:cs="Arial"/>
          <w:color w:val="000000" w:themeColor="text1"/>
          <w:sz w:val="20"/>
          <w:szCs w:val="20"/>
        </w:rPr>
        <w:t>construals</w:t>
      </w:r>
      <w:proofErr w:type="spellEnd"/>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European journal of work and organizational psychology</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21</w:t>
      </w:r>
      <w:r w:rsidRPr="009D2AD3">
        <w:rPr>
          <w:rFonts w:ascii="Arial" w:eastAsia="Times New Roman" w:hAnsi="Arial" w:cs="Arial"/>
          <w:color w:val="000000" w:themeColor="text1"/>
          <w:sz w:val="20"/>
          <w:szCs w:val="20"/>
        </w:rPr>
        <w:t>(1), 125-149.</w:t>
      </w:r>
    </w:p>
    <w:p w14:paraId="5DBDD29B" w14:textId="77777777" w:rsidR="00992815" w:rsidRPr="009D2AD3" w:rsidRDefault="00992815" w:rsidP="00924E8A">
      <w:pPr>
        <w:pStyle w:val="ListParagraph"/>
        <w:numPr>
          <w:ilvl w:val="0"/>
          <w:numId w:val="2"/>
        </w:numPr>
        <w:rPr>
          <w:rFonts w:ascii="Arial" w:eastAsia="Times New Roman" w:hAnsi="Arial" w:cs="Arial"/>
          <w:color w:val="000000" w:themeColor="text1"/>
          <w:sz w:val="20"/>
          <w:szCs w:val="20"/>
        </w:rPr>
      </w:pPr>
      <w:proofErr w:type="spellStart"/>
      <w:r w:rsidRPr="009D2AD3">
        <w:rPr>
          <w:rFonts w:ascii="Arial" w:eastAsia="Times New Roman" w:hAnsi="Arial" w:cs="Arial"/>
          <w:color w:val="000000" w:themeColor="text1"/>
          <w:sz w:val="20"/>
          <w:szCs w:val="20"/>
        </w:rPr>
        <w:t>Bulut</w:t>
      </w:r>
      <w:proofErr w:type="spellEnd"/>
      <w:r w:rsidRPr="009D2AD3">
        <w:rPr>
          <w:rFonts w:ascii="Arial" w:eastAsia="Times New Roman" w:hAnsi="Arial" w:cs="Arial"/>
          <w:color w:val="000000" w:themeColor="text1"/>
          <w:sz w:val="20"/>
          <w:szCs w:val="20"/>
        </w:rPr>
        <w:t xml:space="preserve">, C., &amp; </w:t>
      </w:r>
      <w:proofErr w:type="spellStart"/>
      <w:r w:rsidRPr="009D2AD3">
        <w:rPr>
          <w:rFonts w:ascii="Arial" w:eastAsia="Times New Roman" w:hAnsi="Arial" w:cs="Arial"/>
          <w:color w:val="000000" w:themeColor="text1"/>
          <w:sz w:val="20"/>
          <w:szCs w:val="20"/>
        </w:rPr>
        <w:t>Culha</w:t>
      </w:r>
      <w:proofErr w:type="spellEnd"/>
      <w:r w:rsidRPr="009D2AD3">
        <w:rPr>
          <w:rFonts w:ascii="Arial" w:eastAsia="Times New Roman" w:hAnsi="Arial" w:cs="Arial"/>
          <w:color w:val="000000" w:themeColor="text1"/>
          <w:sz w:val="20"/>
          <w:szCs w:val="20"/>
        </w:rPr>
        <w:t xml:space="preserve">, O. (2010). The effects of organizational training on organizational commitment. </w:t>
      </w:r>
      <w:r w:rsidRPr="009D2AD3">
        <w:rPr>
          <w:rFonts w:ascii="Arial" w:eastAsia="Times New Roman" w:hAnsi="Arial" w:cs="Arial"/>
          <w:i/>
          <w:iCs/>
          <w:color w:val="000000" w:themeColor="text1"/>
          <w:sz w:val="20"/>
          <w:szCs w:val="20"/>
        </w:rPr>
        <w:t>International journal of training and development</w:t>
      </w:r>
      <w:r w:rsidRPr="009D2AD3">
        <w:rPr>
          <w:rFonts w:ascii="Arial" w:eastAsia="Times New Roman" w:hAnsi="Arial" w:cs="Arial"/>
          <w:color w:val="000000" w:themeColor="text1"/>
          <w:sz w:val="20"/>
          <w:szCs w:val="20"/>
        </w:rPr>
        <w:t xml:space="preserve">, </w:t>
      </w:r>
      <w:r w:rsidRPr="009D2AD3">
        <w:rPr>
          <w:rFonts w:ascii="Arial" w:eastAsia="Times New Roman" w:hAnsi="Arial" w:cs="Arial"/>
          <w:i/>
          <w:iCs/>
          <w:color w:val="000000" w:themeColor="text1"/>
          <w:sz w:val="20"/>
          <w:szCs w:val="20"/>
        </w:rPr>
        <w:t>14</w:t>
      </w:r>
      <w:r w:rsidRPr="009D2AD3">
        <w:rPr>
          <w:rFonts w:ascii="Arial" w:eastAsia="Times New Roman" w:hAnsi="Arial" w:cs="Arial"/>
          <w:color w:val="000000" w:themeColor="text1"/>
          <w:sz w:val="20"/>
          <w:szCs w:val="20"/>
        </w:rPr>
        <w:t>(4), 309-322</w:t>
      </w:r>
    </w:p>
    <w:p w14:paraId="6FDDC9E3" w14:textId="77777777" w:rsidR="00591568" w:rsidRDefault="00591568" w:rsidP="006A5B13">
      <w:pPr>
        <w:spacing w:line="240" w:lineRule="auto"/>
        <w:jc w:val="right"/>
        <w:rPr>
          <w:rFonts w:ascii="Arial" w:hAnsi="Arial" w:cs="Arial"/>
          <w:b/>
          <w:sz w:val="36"/>
          <w:szCs w:val="36"/>
        </w:rPr>
      </w:pPr>
    </w:p>
    <w:sectPr w:rsidR="00591568">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9B8CB" w14:textId="77777777" w:rsidR="006274CB" w:rsidRDefault="006274CB" w:rsidP="00857A79">
      <w:pPr>
        <w:spacing w:after="0" w:line="240" w:lineRule="auto"/>
      </w:pPr>
      <w:r>
        <w:separator/>
      </w:r>
    </w:p>
  </w:endnote>
  <w:endnote w:type="continuationSeparator" w:id="0">
    <w:p w14:paraId="74F83DE2" w14:textId="77777777" w:rsidR="006274CB" w:rsidRDefault="006274CB" w:rsidP="0085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E628" w14:textId="77777777" w:rsidR="009D5050" w:rsidRDefault="009D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F30A" w14:textId="77777777" w:rsidR="009D5050" w:rsidRDefault="009D5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00CC" w14:textId="77777777" w:rsidR="009D5050" w:rsidRDefault="009D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C3F9" w14:textId="77777777" w:rsidR="006274CB" w:rsidRDefault="006274CB" w:rsidP="00857A79">
      <w:pPr>
        <w:spacing w:after="0" w:line="240" w:lineRule="auto"/>
      </w:pPr>
      <w:r>
        <w:separator/>
      </w:r>
    </w:p>
  </w:footnote>
  <w:footnote w:type="continuationSeparator" w:id="0">
    <w:p w14:paraId="072283CD" w14:textId="77777777" w:rsidR="006274CB" w:rsidRDefault="006274CB" w:rsidP="0085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EBE3" w14:textId="3579C2B4" w:rsidR="009D5050" w:rsidRDefault="006274CB">
    <w:pPr>
      <w:pStyle w:val="Header"/>
    </w:pPr>
    <w:r>
      <w:rPr>
        <w:noProof/>
      </w:rPr>
      <w:pict w14:anchorId="5CC96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4EB3" w14:textId="3A916816" w:rsidR="009D5050" w:rsidRDefault="006274CB">
    <w:pPr>
      <w:pStyle w:val="Header"/>
    </w:pPr>
    <w:r>
      <w:rPr>
        <w:noProof/>
      </w:rPr>
      <w:pict w14:anchorId="71B7F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469" w14:textId="339BF41A" w:rsidR="009D5050" w:rsidRDefault="006274CB">
    <w:pPr>
      <w:pStyle w:val="Header"/>
    </w:pPr>
    <w:r>
      <w:rPr>
        <w:noProof/>
      </w:rPr>
      <w:pict w14:anchorId="6826C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30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7841F0"/>
    <w:multiLevelType w:val="multilevel"/>
    <w:tmpl w:val="9A6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72BF2"/>
    <w:multiLevelType w:val="hybridMultilevel"/>
    <w:tmpl w:val="135A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7E5"/>
    <w:rsid w:val="00015D4D"/>
    <w:rsid w:val="00020FB6"/>
    <w:rsid w:val="00021442"/>
    <w:rsid w:val="0002381F"/>
    <w:rsid w:val="00032A2A"/>
    <w:rsid w:val="00033F2C"/>
    <w:rsid w:val="00036D72"/>
    <w:rsid w:val="0004189A"/>
    <w:rsid w:val="000733F6"/>
    <w:rsid w:val="000A38C9"/>
    <w:rsid w:val="000A514B"/>
    <w:rsid w:val="000B0779"/>
    <w:rsid w:val="000B3CE4"/>
    <w:rsid w:val="000B4EF8"/>
    <w:rsid w:val="000C3ED5"/>
    <w:rsid w:val="000E3638"/>
    <w:rsid w:val="000F72A6"/>
    <w:rsid w:val="001029A7"/>
    <w:rsid w:val="00104FFA"/>
    <w:rsid w:val="0011526E"/>
    <w:rsid w:val="001242A2"/>
    <w:rsid w:val="00134F12"/>
    <w:rsid w:val="001528B9"/>
    <w:rsid w:val="001533A3"/>
    <w:rsid w:val="00153A21"/>
    <w:rsid w:val="00184303"/>
    <w:rsid w:val="001C342F"/>
    <w:rsid w:val="001E04E6"/>
    <w:rsid w:val="001E5C0D"/>
    <w:rsid w:val="001E6C0B"/>
    <w:rsid w:val="001F0F87"/>
    <w:rsid w:val="001F1124"/>
    <w:rsid w:val="001F3DAD"/>
    <w:rsid w:val="001F7651"/>
    <w:rsid w:val="001F7780"/>
    <w:rsid w:val="00213A08"/>
    <w:rsid w:val="00215E1F"/>
    <w:rsid w:val="00217EE9"/>
    <w:rsid w:val="0022531D"/>
    <w:rsid w:val="00231C9E"/>
    <w:rsid w:val="0025776A"/>
    <w:rsid w:val="002623ED"/>
    <w:rsid w:val="00267C50"/>
    <w:rsid w:val="00275EC1"/>
    <w:rsid w:val="0028216B"/>
    <w:rsid w:val="00293C94"/>
    <w:rsid w:val="002B5311"/>
    <w:rsid w:val="002B6766"/>
    <w:rsid w:val="002C6D9E"/>
    <w:rsid w:val="002D6EAB"/>
    <w:rsid w:val="002D7386"/>
    <w:rsid w:val="002D7DCB"/>
    <w:rsid w:val="002E5FDD"/>
    <w:rsid w:val="002F7F8C"/>
    <w:rsid w:val="00302434"/>
    <w:rsid w:val="003030AB"/>
    <w:rsid w:val="00304FEC"/>
    <w:rsid w:val="003334C0"/>
    <w:rsid w:val="00334669"/>
    <w:rsid w:val="00336267"/>
    <w:rsid w:val="003424FE"/>
    <w:rsid w:val="003569A0"/>
    <w:rsid w:val="00362C0B"/>
    <w:rsid w:val="0036441A"/>
    <w:rsid w:val="003739EE"/>
    <w:rsid w:val="00385B37"/>
    <w:rsid w:val="00391CA7"/>
    <w:rsid w:val="0039396B"/>
    <w:rsid w:val="003A3694"/>
    <w:rsid w:val="003B0F87"/>
    <w:rsid w:val="003C7C93"/>
    <w:rsid w:val="003D241D"/>
    <w:rsid w:val="003E1473"/>
    <w:rsid w:val="00421AA8"/>
    <w:rsid w:val="00440E5B"/>
    <w:rsid w:val="00442C4C"/>
    <w:rsid w:val="004452DE"/>
    <w:rsid w:val="00457299"/>
    <w:rsid w:val="004620CE"/>
    <w:rsid w:val="00462768"/>
    <w:rsid w:val="0046369E"/>
    <w:rsid w:val="00464AD5"/>
    <w:rsid w:val="00481E2B"/>
    <w:rsid w:val="00486ADE"/>
    <w:rsid w:val="00490EC0"/>
    <w:rsid w:val="00491C7E"/>
    <w:rsid w:val="004A280D"/>
    <w:rsid w:val="004A29AE"/>
    <w:rsid w:val="004A2CB5"/>
    <w:rsid w:val="004A44A1"/>
    <w:rsid w:val="004B1FFC"/>
    <w:rsid w:val="004B241B"/>
    <w:rsid w:val="004B74F4"/>
    <w:rsid w:val="004B7A06"/>
    <w:rsid w:val="004D23C8"/>
    <w:rsid w:val="004E77C0"/>
    <w:rsid w:val="00511C1B"/>
    <w:rsid w:val="00541162"/>
    <w:rsid w:val="00546718"/>
    <w:rsid w:val="00567DE3"/>
    <w:rsid w:val="00572C8C"/>
    <w:rsid w:val="00582A19"/>
    <w:rsid w:val="00583928"/>
    <w:rsid w:val="00584B07"/>
    <w:rsid w:val="00590429"/>
    <w:rsid w:val="00591568"/>
    <w:rsid w:val="005919F9"/>
    <w:rsid w:val="00593577"/>
    <w:rsid w:val="005B1212"/>
    <w:rsid w:val="005D010F"/>
    <w:rsid w:val="005F088E"/>
    <w:rsid w:val="005F4FF5"/>
    <w:rsid w:val="005F7CF6"/>
    <w:rsid w:val="0060158B"/>
    <w:rsid w:val="006066DE"/>
    <w:rsid w:val="00606B3A"/>
    <w:rsid w:val="00613863"/>
    <w:rsid w:val="006274CB"/>
    <w:rsid w:val="00627C72"/>
    <w:rsid w:val="00642670"/>
    <w:rsid w:val="00650F9F"/>
    <w:rsid w:val="00656CCA"/>
    <w:rsid w:val="00661213"/>
    <w:rsid w:val="00661F20"/>
    <w:rsid w:val="00672475"/>
    <w:rsid w:val="006732E9"/>
    <w:rsid w:val="00673539"/>
    <w:rsid w:val="006808D0"/>
    <w:rsid w:val="00690FE1"/>
    <w:rsid w:val="0069748A"/>
    <w:rsid w:val="006A5B13"/>
    <w:rsid w:val="006B3D02"/>
    <w:rsid w:val="006B3F9A"/>
    <w:rsid w:val="006B66E2"/>
    <w:rsid w:val="006B7AC5"/>
    <w:rsid w:val="006C16B7"/>
    <w:rsid w:val="006C264F"/>
    <w:rsid w:val="006C2B81"/>
    <w:rsid w:val="006C4AC1"/>
    <w:rsid w:val="006C5478"/>
    <w:rsid w:val="006D3D0B"/>
    <w:rsid w:val="006E44AC"/>
    <w:rsid w:val="006F1BD9"/>
    <w:rsid w:val="006F2282"/>
    <w:rsid w:val="006F74A9"/>
    <w:rsid w:val="006F7B11"/>
    <w:rsid w:val="00717116"/>
    <w:rsid w:val="007257E5"/>
    <w:rsid w:val="007328BE"/>
    <w:rsid w:val="00754E6A"/>
    <w:rsid w:val="00756792"/>
    <w:rsid w:val="00761D2C"/>
    <w:rsid w:val="007635DE"/>
    <w:rsid w:val="0076462D"/>
    <w:rsid w:val="00771EC9"/>
    <w:rsid w:val="00791021"/>
    <w:rsid w:val="0079113E"/>
    <w:rsid w:val="0079155B"/>
    <w:rsid w:val="00794B8A"/>
    <w:rsid w:val="007A15ED"/>
    <w:rsid w:val="007B37F0"/>
    <w:rsid w:val="007C49EC"/>
    <w:rsid w:val="007C5658"/>
    <w:rsid w:val="007D57E3"/>
    <w:rsid w:val="00802090"/>
    <w:rsid w:val="00832FD2"/>
    <w:rsid w:val="00833F46"/>
    <w:rsid w:val="0083505C"/>
    <w:rsid w:val="00840CD0"/>
    <w:rsid w:val="00851BF7"/>
    <w:rsid w:val="008576C7"/>
    <w:rsid w:val="00857A79"/>
    <w:rsid w:val="00862DD1"/>
    <w:rsid w:val="0086605E"/>
    <w:rsid w:val="00867325"/>
    <w:rsid w:val="00895485"/>
    <w:rsid w:val="008A3258"/>
    <w:rsid w:val="008A46B3"/>
    <w:rsid w:val="008B5784"/>
    <w:rsid w:val="008D63A9"/>
    <w:rsid w:val="008E00FB"/>
    <w:rsid w:val="008E079E"/>
    <w:rsid w:val="008E30EF"/>
    <w:rsid w:val="00900BFB"/>
    <w:rsid w:val="009050A2"/>
    <w:rsid w:val="009218AA"/>
    <w:rsid w:val="00924E8A"/>
    <w:rsid w:val="0092669F"/>
    <w:rsid w:val="00937FD8"/>
    <w:rsid w:val="009462F1"/>
    <w:rsid w:val="0098305E"/>
    <w:rsid w:val="00992815"/>
    <w:rsid w:val="009933C2"/>
    <w:rsid w:val="009A3BAC"/>
    <w:rsid w:val="009B293D"/>
    <w:rsid w:val="009B6583"/>
    <w:rsid w:val="009C099F"/>
    <w:rsid w:val="009C47F5"/>
    <w:rsid w:val="009C626F"/>
    <w:rsid w:val="009D2AD3"/>
    <w:rsid w:val="009D3CCD"/>
    <w:rsid w:val="009D5050"/>
    <w:rsid w:val="009F253B"/>
    <w:rsid w:val="009F7BD9"/>
    <w:rsid w:val="00A07484"/>
    <w:rsid w:val="00A12C55"/>
    <w:rsid w:val="00A163CB"/>
    <w:rsid w:val="00A21A9C"/>
    <w:rsid w:val="00A36E29"/>
    <w:rsid w:val="00A37DEA"/>
    <w:rsid w:val="00A456B9"/>
    <w:rsid w:val="00A62EEE"/>
    <w:rsid w:val="00A630F2"/>
    <w:rsid w:val="00A75A77"/>
    <w:rsid w:val="00A804D2"/>
    <w:rsid w:val="00AA458B"/>
    <w:rsid w:val="00AB37F4"/>
    <w:rsid w:val="00AB531C"/>
    <w:rsid w:val="00AB5C00"/>
    <w:rsid w:val="00B04D69"/>
    <w:rsid w:val="00B12EDC"/>
    <w:rsid w:val="00B31D87"/>
    <w:rsid w:val="00B35FC6"/>
    <w:rsid w:val="00B36670"/>
    <w:rsid w:val="00B420F4"/>
    <w:rsid w:val="00B628E8"/>
    <w:rsid w:val="00B65509"/>
    <w:rsid w:val="00B832CE"/>
    <w:rsid w:val="00BA1FEF"/>
    <w:rsid w:val="00BC4979"/>
    <w:rsid w:val="00BC4C31"/>
    <w:rsid w:val="00BC6AFF"/>
    <w:rsid w:val="00BD0BC9"/>
    <w:rsid w:val="00BE23F9"/>
    <w:rsid w:val="00BE3A4D"/>
    <w:rsid w:val="00C03B52"/>
    <w:rsid w:val="00C1155F"/>
    <w:rsid w:val="00C23B5F"/>
    <w:rsid w:val="00C35276"/>
    <w:rsid w:val="00C5226D"/>
    <w:rsid w:val="00C53F64"/>
    <w:rsid w:val="00C60F54"/>
    <w:rsid w:val="00C70C10"/>
    <w:rsid w:val="00C719BD"/>
    <w:rsid w:val="00C7464E"/>
    <w:rsid w:val="00C967C9"/>
    <w:rsid w:val="00CB09C5"/>
    <w:rsid w:val="00CB47E5"/>
    <w:rsid w:val="00CB7A1A"/>
    <w:rsid w:val="00CB7E82"/>
    <w:rsid w:val="00CC3D75"/>
    <w:rsid w:val="00CD3DF8"/>
    <w:rsid w:val="00CD5B9E"/>
    <w:rsid w:val="00CE25F2"/>
    <w:rsid w:val="00CE6E80"/>
    <w:rsid w:val="00CF4202"/>
    <w:rsid w:val="00CF4BE7"/>
    <w:rsid w:val="00CF5134"/>
    <w:rsid w:val="00D02695"/>
    <w:rsid w:val="00D130E7"/>
    <w:rsid w:val="00D16804"/>
    <w:rsid w:val="00D17CB5"/>
    <w:rsid w:val="00D22CC0"/>
    <w:rsid w:val="00D2655D"/>
    <w:rsid w:val="00D35152"/>
    <w:rsid w:val="00D41421"/>
    <w:rsid w:val="00D47411"/>
    <w:rsid w:val="00D51B5E"/>
    <w:rsid w:val="00D6059A"/>
    <w:rsid w:val="00D6207F"/>
    <w:rsid w:val="00D64B91"/>
    <w:rsid w:val="00D84542"/>
    <w:rsid w:val="00DA6D09"/>
    <w:rsid w:val="00DB0F8F"/>
    <w:rsid w:val="00DB2C19"/>
    <w:rsid w:val="00DC0BD3"/>
    <w:rsid w:val="00DC3472"/>
    <w:rsid w:val="00DC3D9B"/>
    <w:rsid w:val="00DD4E2B"/>
    <w:rsid w:val="00DE5BB4"/>
    <w:rsid w:val="00DF4184"/>
    <w:rsid w:val="00E10579"/>
    <w:rsid w:val="00E25C34"/>
    <w:rsid w:val="00E27F83"/>
    <w:rsid w:val="00E3330D"/>
    <w:rsid w:val="00E40AC7"/>
    <w:rsid w:val="00E42BFC"/>
    <w:rsid w:val="00E42C2F"/>
    <w:rsid w:val="00E43BDE"/>
    <w:rsid w:val="00E53975"/>
    <w:rsid w:val="00E72479"/>
    <w:rsid w:val="00E7618C"/>
    <w:rsid w:val="00E76FAE"/>
    <w:rsid w:val="00E7789A"/>
    <w:rsid w:val="00E85549"/>
    <w:rsid w:val="00E94BC0"/>
    <w:rsid w:val="00E96E4A"/>
    <w:rsid w:val="00E97F38"/>
    <w:rsid w:val="00EA75EA"/>
    <w:rsid w:val="00EB0D65"/>
    <w:rsid w:val="00EB69E9"/>
    <w:rsid w:val="00ED6BE8"/>
    <w:rsid w:val="00F02426"/>
    <w:rsid w:val="00F027D8"/>
    <w:rsid w:val="00F161B4"/>
    <w:rsid w:val="00F221E8"/>
    <w:rsid w:val="00F359E0"/>
    <w:rsid w:val="00F5139C"/>
    <w:rsid w:val="00F56294"/>
    <w:rsid w:val="00F801AD"/>
    <w:rsid w:val="00FA3068"/>
    <w:rsid w:val="00FB09FE"/>
    <w:rsid w:val="00FB2CB7"/>
    <w:rsid w:val="00FB3F5F"/>
    <w:rsid w:val="00FC0E52"/>
    <w:rsid w:val="00FC2F05"/>
    <w:rsid w:val="00FC33A8"/>
    <w:rsid w:val="00FC6DCE"/>
    <w:rsid w:val="00FD7B6D"/>
    <w:rsid w:val="00FE0354"/>
    <w:rsid w:val="00FF5C8C"/>
    <w:rsid w:val="00FF615C"/>
    <w:rsid w:val="00FF7BE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B81D9"/>
  <w15:docId w15:val="{3058E1F6-D080-4B18-B6E8-CB45DBAF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F7B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est-600">
    <w:name w:val="text-forest-600"/>
    <w:basedOn w:val="DefaultParagraphFont"/>
    <w:rsid w:val="001F1124"/>
  </w:style>
  <w:style w:type="paragraph" w:styleId="NormalWeb">
    <w:name w:val="Normal (Web)"/>
    <w:basedOn w:val="Normal"/>
    <w:uiPriority w:val="99"/>
    <w:unhideWhenUsed/>
    <w:rsid w:val="002577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m1hgl8">
    <w:name w:val="_fadein_m1hgl_8"/>
    <w:basedOn w:val="DefaultParagraphFont"/>
    <w:rsid w:val="0025776A"/>
  </w:style>
  <w:style w:type="character" w:styleId="Hyperlink">
    <w:name w:val="Hyperlink"/>
    <w:basedOn w:val="DefaultParagraphFont"/>
    <w:uiPriority w:val="99"/>
    <w:unhideWhenUsed/>
    <w:rsid w:val="004E77C0"/>
    <w:rPr>
      <w:color w:val="0563C1" w:themeColor="hyperlink"/>
      <w:u w:val="single"/>
    </w:rPr>
  </w:style>
  <w:style w:type="character" w:styleId="Emphasis">
    <w:name w:val="Emphasis"/>
    <w:basedOn w:val="DefaultParagraphFont"/>
    <w:uiPriority w:val="20"/>
    <w:qFormat/>
    <w:rsid w:val="00033F2C"/>
    <w:rPr>
      <w:i/>
      <w:iCs/>
    </w:rPr>
  </w:style>
  <w:style w:type="character" w:styleId="Strong">
    <w:name w:val="Strong"/>
    <w:basedOn w:val="DefaultParagraphFont"/>
    <w:uiPriority w:val="22"/>
    <w:qFormat/>
    <w:rsid w:val="00033F2C"/>
    <w:rPr>
      <w:b/>
      <w:bCs/>
    </w:rPr>
  </w:style>
  <w:style w:type="character" w:customStyle="1" w:styleId="relative">
    <w:name w:val="relative"/>
    <w:basedOn w:val="DefaultParagraphFont"/>
    <w:rsid w:val="005F088E"/>
  </w:style>
  <w:style w:type="character" w:customStyle="1" w:styleId="Heading2Char">
    <w:name w:val="Heading 2 Char"/>
    <w:basedOn w:val="DefaultParagraphFont"/>
    <w:link w:val="Heading2"/>
    <w:uiPriority w:val="9"/>
    <w:rsid w:val="009F7BD9"/>
    <w:rPr>
      <w:rFonts w:ascii="Times New Roman" w:eastAsia="Times New Roman" w:hAnsi="Times New Roman" w:cs="Times New Roman"/>
      <w:b/>
      <w:bCs/>
      <w:sz w:val="36"/>
      <w:szCs w:val="36"/>
    </w:rPr>
  </w:style>
  <w:style w:type="table" w:styleId="TableGrid">
    <w:name w:val="Table Grid"/>
    <w:basedOn w:val="TableNormal"/>
    <w:uiPriority w:val="39"/>
    <w:rsid w:val="009C0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C099F"/>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9C099F"/>
    <w:rPr>
      <w:rFonts w:ascii="Trebuchet MS" w:eastAsia="Trebuchet MS" w:hAnsi="Trebuchet MS" w:cs="Trebuchet MS"/>
      <w:sz w:val="20"/>
      <w:szCs w:val="20"/>
    </w:rPr>
  </w:style>
  <w:style w:type="paragraph" w:styleId="ListParagraph">
    <w:name w:val="List Paragraph"/>
    <w:basedOn w:val="Normal"/>
    <w:uiPriority w:val="34"/>
    <w:qFormat/>
    <w:rsid w:val="00C23B5F"/>
    <w:pPr>
      <w:widowControl w:val="0"/>
      <w:autoSpaceDE w:val="0"/>
      <w:autoSpaceDN w:val="0"/>
      <w:spacing w:after="0" w:line="240" w:lineRule="auto"/>
      <w:ind w:left="568" w:hanging="545"/>
      <w:jc w:val="both"/>
    </w:pPr>
    <w:rPr>
      <w:rFonts w:ascii="Trebuchet MS" w:eastAsia="Trebuchet MS" w:hAnsi="Trebuchet MS" w:cs="Trebuchet MS"/>
    </w:rPr>
  </w:style>
  <w:style w:type="paragraph" w:styleId="BalloonText">
    <w:name w:val="Balloon Text"/>
    <w:basedOn w:val="Normal"/>
    <w:link w:val="BalloonTextChar"/>
    <w:uiPriority w:val="99"/>
    <w:semiHidden/>
    <w:unhideWhenUsed/>
    <w:rsid w:val="00B1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DC"/>
    <w:rPr>
      <w:rFonts w:ascii="Tahoma" w:hAnsi="Tahoma" w:cs="Tahoma"/>
      <w:sz w:val="16"/>
      <w:szCs w:val="16"/>
    </w:rPr>
  </w:style>
  <w:style w:type="paragraph" w:styleId="Header">
    <w:name w:val="header"/>
    <w:basedOn w:val="Normal"/>
    <w:link w:val="HeaderChar"/>
    <w:uiPriority w:val="99"/>
    <w:unhideWhenUsed/>
    <w:rsid w:val="0085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79"/>
  </w:style>
  <w:style w:type="paragraph" w:styleId="Footer">
    <w:name w:val="footer"/>
    <w:basedOn w:val="Normal"/>
    <w:link w:val="FooterChar"/>
    <w:uiPriority w:val="99"/>
    <w:unhideWhenUsed/>
    <w:rsid w:val="0085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79"/>
  </w:style>
  <w:style w:type="paragraph" w:customStyle="1" w:styleId="Author">
    <w:name w:val="Author"/>
    <w:basedOn w:val="Normal"/>
    <w:rsid w:val="00857A79"/>
    <w:pPr>
      <w:spacing w:after="0" w:line="280" w:lineRule="exact"/>
      <w:jc w:val="right"/>
    </w:pPr>
    <w:rPr>
      <w:rFonts w:ascii="Helvetica" w:eastAsia="Times New Roman" w:hAnsi="Helvetica" w:cs="Times New Roman"/>
      <w:b/>
      <w:sz w:val="24"/>
      <w:szCs w:val="20"/>
    </w:rPr>
  </w:style>
  <w:style w:type="paragraph" w:customStyle="1" w:styleId="Body">
    <w:name w:val="Body"/>
    <w:basedOn w:val="Normal"/>
    <w:rsid w:val="00CD3DF8"/>
    <w:pPr>
      <w:spacing w:after="240" w:line="240" w:lineRule="auto"/>
      <w:jc w:val="both"/>
    </w:pPr>
    <w:rPr>
      <w:rFonts w:ascii="Helvetica" w:eastAsia="Times New Roman" w:hAnsi="Helvetica" w:cs="Times New Roman"/>
      <w:sz w:val="20"/>
      <w:szCs w:val="20"/>
    </w:rPr>
  </w:style>
  <w:style w:type="character" w:customStyle="1" w:styleId="UnresolvedMention1">
    <w:name w:val="Unresolved Mention1"/>
    <w:basedOn w:val="DefaultParagraphFont"/>
    <w:uiPriority w:val="99"/>
    <w:semiHidden/>
    <w:unhideWhenUsed/>
    <w:rsid w:val="00B3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2191">
      <w:bodyDiv w:val="1"/>
      <w:marLeft w:val="0"/>
      <w:marRight w:val="0"/>
      <w:marTop w:val="0"/>
      <w:marBottom w:val="0"/>
      <w:divBdr>
        <w:top w:val="none" w:sz="0" w:space="0" w:color="auto"/>
        <w:left w:val="none" w:sz="0" w:space="0" w:color="auto"/>
        <w:bottom w:val="none" w:sz="0" w:space="0" w:color="auto"/>
        <w:right w:val="none" w:sz="0" w:space="0" w:color="auto"/>
      </w:divBdr>
      <w:divsChild>
        <w:div w:id="1990553241">
          <w:marLeft w:val="0"/>
          <w:marRight w:val="0"/>
          <w:marTop w:val="0"/>
          <w:marBottom w:val="0"/>
          <w:divBdr>
            <w:top w:val="none" w:sz="0" w:space="0" w:color="auto"/>
            <w:left w:val="none" w:sz="0" w:space="0" w:color="auto"/>
            <w:bottom w:val="none" w:sz="0" w:space="0" w:color="auto"/>
            <w:right w:val="none" w:sz="0" w:space="0" w:color="auto"/>
          </w:divBdr>
        </w:div>
      </w:divsChild>
    </w:div>
    <w:div w:id="172185604">
      <w:bodyDiv w:val="1"/>
      <w:marLeft w:val="0"/>
      <w:marRight w:val="0"/>
      <w:marTop w:val="0"/>
      <w:marBottom w:val="0"/>
      <w:divBdr>
        <w:top w:val="none" w:sz="0" w:space="0" w:color="auto"/>
        <w:left w:val="none" w:sz="0" w:space="0" w:color="auto"/>
        <w:bottom w:val="none" w:sz="0" w:space="0" w:color="auto"/>
        <w:right w:val="none" w:sz="0" w:space="0" w:color="auto"/>
      </w:divBdr>
    </w:div>
    <w:div w:id="182792476">
      <w:bodyDiv w:val="1"/>
      <w:marLeft w:val="0"/>
      <w:marRight w:val="0"/>
      <w:marTop w:val="0"/>
      <w:marBottom w:val="0"/>
      <w:divBdr>
        <w:top w:val="none" w:sz="0" w:space="0" w:color="auto"/>
        <w:left w:val="none" w:sz="0" w:space="0" w:color="auto"/>
        <w:bottom w:val="none" w:sz="0" w:space="0" w:color="auto"/>
        <w:right w:val="none" w:sz="0" w:space="0" w:color="auto"/>
      </w:divBdr>
    </w:div>
    <w:div w:id="237709980">
      <w:bodyDiv w:val="1"/>
      <w:marLeft w:val="0"/>
      <w:marRight w:val="0"/>
      <w:marTop w:val="0"/>
      <w:marBottom w:val="0"/>
      <w:divBdr>
        <w:top w:val="none" w:sz="0" w:space="0" w:color="auto"/>
        <w:left w:val="none" w:sz="0" w:space="0" w:color="auto"/>
        <w:bottom w:val="none" w:sz="0" w:space="0" w:color="auto"/>
        <w:right w:val="none" w:sz="0" w:space="0" w:color="auto"/>
      </w:divBdr>
    </w:div>
    <w:div w:id="333802056">
      <w:bodyDiv w:val="1"/>
      <w:marLeft w:val="0"/>
      <w:marRight w:val="0"/>
      <w:marTop w:val="0"/>
      <w:marBottom w:val="0"/>
      <w:divBdr>
        <w:top w:val="none" w:sz="0" w:space="0" w:color="auto"/>
        <w:left w:val="none" w:sz="0" w:space="0" w:color="auto"/>
        <w:bottom w:val="none" w:sz="0" w:space="0" w:color="auto"/>
        <w:right w:val="none" w:sz="0" w:space="0" w:color="auto"/>
      </w:divBdr>
    </w:div>
    <w:div w:id="539440260">
      <w:bodyDiv w:val="1"/>
      <w:marLeft w:val="0"/>
      <w:marRight w:val="0"/>
      <w:marTop w:val="0"/>
      <w:marBottom w:val="0"/>
      <w:divBdr>
        <w:top w:val="none" w:sz="0" w:space="0" w:color="auto"/>
        <w:left w:val="none" w:sz="0" w:space="0" w:color="auto"/>
        <w:bottom w:val="none" w:sz="0" w:space="0" w:color="auto"/>
        <w:right w:val="none" w:sz="0" w:space="0" w:color="auto"/>
      </w:divBdr>
    </w:div>
    <w:div w:id="602496404">
      <w:bodyDiv w:val="1"/>
      <w:marLeft w:val="0"/>
      <w:marRight w:val="0"/>
      <w:marTop w:val="0"/>
      <w:marBottom w:val="0"/>
      <w:divBdr>
        <w:top w:val="none" w:sz="0" w:space="0" w:color="auto"/>
        <w:left w:val="none" w:sz="0" w:space="0" w:color="auto"/>
        <w:bottom w:val="none" w:sz="0" w:space="0" w:color="auto"/>
        <w:right w:val="none" w:sz="0" w:space="0" w:color="auto"/>
      </w:divBdr>
    </w:div>
    <w:div w:id="20586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sych.60.110707.163505" TargetMode="External"/><Relationship Id="rId13" Type="http://schemas.openxmlformats.org/officeDocument/2006/relationships/hyperlink" Target="https://doi.org/10.1504/IJCEELL.2015.072676" TargetMode="External"/><Relationship Id="rId18" Type="http://schemas.openxmlformats.org/officeDocument/2006/relationships/hyperlink" Target="https://doi.org/10.1002/hrdq.10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0/09585192.2012.667229" TargetMode="External"/><Relationship Id="rId7" Type="http://schemas.openxmlformats.org/officeDocument/2006/relationships/image" Target="media/image1.png"/><Relationship Id="rId12" Type="http://schemas.openxmlformats.org/officeDocument/2006/relationships/hyperlink" Target="https://doi.org/10.1108/JARHE-01-2014-0008" TargetMode="External"/><Relationship Id="rId17" Type="http://schemas.openxmlformats.org/officeDocument/2006/relationships/hyperlink" Target="https://doi.org/10.4108/eai.7122021.231468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6710/sbsee.v6i3.3106" TargetMode="External"/><Relationship Id="rId20" Type="http://schemas.openxmlformats.org/officeDocument/2006/relationships/hyperlink" Target="https://doi.org/10.1177/014920630527960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21-9010.71.3.500"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77/1534484315603612"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2/kpm.1542" TargetMode="External"/><Relationship Id="rId19" Type="http://schemas.openxmlformats.org/officeDocument/2006/relationships/hyperlink" Target="https://doi.org/10.3390/su9050834" TargetMode="External"/><Relationship Id="rId4" Type="http://schemas.openxmlformats.org/officeDocument/2006/relationships/webSettings" Target="webSettings.xml"/><Relationship Id="rId9" Type="http://schemas.openxmlformats.org/officeDocument/2006/relationships/hyperlink" Target="https://doi.org/10.1111/j.2044-8325.1990.tb00506.x" TargetMode="External"/><Relationship Id="rId14" Type="http://schemas.openxmlformats.org/officeDocument/2006/relationships/hyperlink" Target="https://digitalcommons.bau.edu.lb/schbjournal/vol4/iss2/13/" TargetMode="External"/><Relationship Id="rId22" Type="http://schemas.openxmlformats.org/officeDocument/2006/relationships/hyperlink" Target="https://doi.org/10.1007/BF0272332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1085</TotalTime>
  <Pages>15</Pages>
  <Words>7464</Words>
  <Characters>42549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SEU-PC</dc:creator>
  <cp:keywords/>
  <dc:description/>
  <cp:lastModifiedBy>Editor-11</cp:lastModifiedBy>
  <cp:revision>307</cp:revision>
  <cp:lastPrinted>2025-09-16T11:07:00Z</cp:lastPrinted>
  <dcterms:created xsi:type="dcterms:W3CDTF">2025-05-20T06:01:00Z</dcterms:created>
  <dcterms:modified xsi:type="dcterms:W3CDTF">2025-10-03T06:15:00Z</dcterms:modified>
</cp:coreProperties>
</file>