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848" w:rsidRDefault="00816848" w:rsidP="00F446A4">
      <w:pPr>
        <w:jc w:val="both"/>
        <w:rPr>
          <w:rFonts w:ascii="Times New Roman" w:hAnsi="Times New Roman"/>
          <w:b/>
          <w:sz w:val="36"/>
        </w:rPr>
      </w:pPr>
      <w:r w:rsidRPr="00816848">
        <w:rPr>
          <w:rFonts w:ascii="Times New Roman" w:hAnsi="Times New Roman"/>
          <w:b/>
          <w:sz w:val="36"/>
        </w:rPr>
        <w:t>Original Research Article</w:t>
      </w:r>
    </w:p>
    <w:p w:rsidR="005F38C0" w:rsidRDefault="005F38C0" w:rsidP="00F446A4">
      <w:pPr>
        <w:jc w:val="both"/>
        <w:rPr>
          <w:rFonts w:ascii="Times New Roman" w:hAnsi="Times New Roman"/>
          <w:b/>
          <w:sz w:val="36"/>
        </w:rPr>
      </w:pPr>
    </w:p>
    <w:p w:rsidR="00F446A4" w:rsidRPr="006C18D0" w:rsidRDefault="00887308" w:rsidP="00F446A4">
      <w:pPr>
        <w:jc w:val="both"/>
        <w:rPr>
          <w:rFonts w:ascii="Arial" w:hAnsi="Arial" w:cs="Arial"/>
          <w:sz w:val="24"/>
        </w:rPr>
      </w:pPr>
      <w:r>
        <w:rPr>
          <w:rFonts w:ascii="Times New Roman" w:hAnsi="Times New Roman"/>
          <w:b/>
          <w:sz w:val="36"/>
        </w:rPr>
        <w:t>E-Banking</w:t>
      </w:r>
      <w:r w:rsidR="00F446A4" w:rsidRPr="006C18D0">
        <w:rPr>
          <w:rFonts w:ascii="Times New Roman" w:hAnsi="Times New Roman"/>
          <w:b/>
          <w:sz w:val="36"/>
        </w:rPr>
        <w:t xml:space="preserve"> Trends in </w:t>
      </w:r>
      <w:r w:rsidR="00D0250C">
        <w:rPr>
          <w:rFonts w:ascii="Times New Roman" w:hAnsi="Times New Roman"/>
          <w:b/>
          <w:sz w:val="36"/>
        </w:rPr>
        <w:t>India</w:t>
      </w:r>
      <w:r w:rsidR="00F446A4" w:rsidRPr="006C18D0">
        <w:rPr>
          <w:rFonts w:ascii="Times New Roman" w:hAnsi="Times New Roman"/>
          <w:b/>
          <w:sz w:val="36"/>
        </w:rPr>
        <w:t>'s Retail Banking: Impact of Demonetization on Consumer Behavior</w:t>
      </w:r>
    </w:p>
    <w:p w:rsidR="00A258C3" w:rsidRPr="00790ADA" w:rsidRDefault="008C347A" w:rsidP="00441B6F">
      <w:pPr>
        <w:pStyle w:val="Author"/>
        <w:spacing w:line="240" w:lineRule="auto"/>
        <w:jc w:val="both"/>
        <w:rPr>
          <w:rFonts w:ascii="Arial" w:hAnsi="Arial" w:cs="Arial"/>
          <w:sz w:val="36"/>
        </w:rPr>
      </w:pPr>
      <w:r>
        <w:rPr>
          <w:rFonts w:ascii="Arial" w:hAnsi="Arial" w:cs="Arial"/>
          <w:noProof/>
          <w:lang w:val="en-IN" w:eastAsia="en-IN"/>
        </w:rPr>
        <mc:AlternateContent>
          <mc:Choice Requires="wps">
            <w:drawing>
              <wp:inline distT="0" distB="0" distL="0" distR="0" wp14:anchorId="6917EA4E" wp14:editId="558492EB">
                <wp:extent cx="4999990" cy="0"/>
                <wp:effectExtent l="0" t="0" r="29210" b="1905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9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95D467" id="_x0000_t32" coordsize="21600,21600" o:spt="32" o:oned="t" path="m,l21600,21600e" filled="f">
                <v:path arrowok="t" fillok="f" o:connecttype="none"/>
                <o:lock v:ext="edit" shapetype="t"/>
              </v:shapetype>
              <v:shape id="AutoShape 2" o:spid="_x0000_s1026" type="#_x0000_t32" style="width:393.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" strokeweight="1.5pt">
                <w10:anchorlock/>
              </v:shape>
            </w:pict>
          </mc:Fallback>
        </mc:AlternateContent>
      </w:r>
    </w:p>
    <w:p w:rsidR="00790ADA" w:rsidRDefault="00790ADA" w:rsidP="00441B6F">
      <w:pPr>
        <w:pStyle w:val="Author"/>
        <w:spacing w:line="240" w:lineRule="auto"/>
        <w:rPr>
          <w:rFonts w:ascii="Arial" w:hAnsi="Arial" w:cs="Arial"/>
        </w:rPr>
      </w:pPr>
    </w:p>
    <w:p w:rsidR="00B01FCD" w:rsidRPr="008C347A" w:rsidRDefault="00B01FCD" w:rsidP="008C347A">
      <w:pPr>
        <w:pStyle w:val="Copyright"/>
        <w:spacing w:after="0" w:line="240" w:lineRule="auto"/>
        <w:jc w:val="both"/>
        <w:rPr>
          <w:rFonts w:ascii="Arial" w:hAnsi="Arial" w:cs="Arial"/>
          <w:b/>
        </w:rPr>
      </w:pPr>
      <w:r w:rsidRPr="008C347A">
        <w:rPr>
          <w:rFonts w:ascii="Arial" w:hAnsi="Arial" w:cs="Arial"/>
          <w:b/>
        </w:rPr>
        <w:t>ABSTRACT</w:t>
      </w:r>
      <w:r w:rsidR="00751261" w:rsidRPr="008C347A">
        <w:rPr>
          <w:rFonts w:ascii="Arial" w:hAnsi="Arial" w:cs="Arial"/>
          <w:b/>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296529" w:rsidRPr="001E44FE" w:rsidTr="001E44FE">
        <w:tc>
          <w:tcPr>
            <w:tcW w:w="9576" w:type="dxa"/>
            <w:shd w:val="clear" w:color="auto" w:fill="F2F2F2"/>
          </w:tcPr>
          <w:p w:rsidR="006C18D0" w:rsidRPr="001858BD" w:rsidRDefault="001858BD" w:rsidP="001858BD">
            <w:pPr>
              <w:pStyle w:val="NormalWeb"/>
              <w:spacing w:before="0" w:beforeAutospacing="0" w:after="0" w:afterAutospacing="0" w:line="360" w:lineRule="auto"/>
              <w:jc w:val="both"/>
              <w:rPr>
                <w:rFonts w:ascii="Arial" w:hAnsi="Arial" w:cs="Arial"/>
                <w:sz w:val="22"/>
              </w:rPr>
            </w:pPr>
            <w:r w:rsidRPr="001858BD">
              <w:rPr>
                <w:rFonts w:ascii="Arial" w:hAnsi="Arial" w:cs="Arial"/>
                <w:sz w:val="22"/>
              </w:rPr>
              <w:t>Demonet</w:t>
            </w:r>
            <w:r w:rsidR="00D0250C">
              <w:rPr>
                <w:rFonts w:ascii="Arial" w:hAnsi="Arial" w:cs="Arial"/>
                <w:sz w:val="22"/>
              </w:rPr>
              <w:t>ization, announced in India on N</w:t>
            </w:r>
            <w:r w:rsidRPr="001858BD">
              <w:rPr>
                <w:rFonts w:ascii="Arial" w:hAnsi="Arial" w:cs="Arial"/>
                <w:sz w:val="22"/>
              </w:rPr>
              <w:t xml:space="preserve">ovember 8, 2016, marked a turning point for the country’s financial ecosystem, significantly influencing consumer behavior in retail banking. This paper examines the evolving </w:t>
            </w:r>
            <w:r w:rsidR="00887308">
              <w:rPr>
                <w:rFonts w:ascii="Arial" w:hAnsi="Arial" w:cs="Arial"/>
                <w:sz w:val="22"/>
              </w:rPr>
              <w:t>E-Banking</w:t>
            </w:r>
            <w:r w:rsidRPr="001858BD">
              <w:rPr>
                <w:rFonts w:ascii="Arial" w:hAnsi="Arial" w:cs="Arial"/>
                <w:sz w:val="22"/>
              </w:rPr>
              <w:t xml:space="preserve"> trends in </w:t>
            </w:r>
            <w:r w:rsidR="00D0250C">
              <w:rPr>
                <w:rFonts w:ascii="Arial" w:hAnsi="Arial" w:cs="Arial"/>
                <w:sz w:val="22"/>
              </w:rPr>
              <w:t>India</w:t>
            </w:r>
            <w:r w:rsidRPr="001858BD">
              <w:rPr>
                <w:rFonts w:ascii="Arial" w:hAnsi="Arial" w:cs="Arial"/>
                <w:sz w:val="22"/>
              </w:rPr>
              <w:t>'s retail banking sector, emphasizing the impact of demonetization on consumer adoption of digital financial services. The withdrawal of high-denomination currency notes disrupted cash-dependent transactions, compelling consumers and businesses to pivot towards electronic banking channels, including internet banking, mobile banking apps, and</w:t>
            </w:r>
            <w:r w:rsidR="00BC3B01">
              <w:rPr>
                <w:rFonts w:ascii="Arial" w:hAnsi="Arial" w:cs="Arial"/>
                <w:sz w:val="22"/>
              </w:rPr>
              <w:t xml:space="preserve"> </w:t>
            </w:r>
            <w:r w:rsidR="006F78E7">
              <w:rPr>
                <w:rFonts w:ascii="Arial" w:hAnsi="Arial" w:cs="Arial"/>
                <w:sz w:val="22"/>
              </w:rPr>
              <w:t>U</w:t>
            </w:r>
            <w:r w:rsidR="00BC3B01">
              <w:rPr>
                <w:rFonts w:ascii="Arial" w:hAnsi="Arial" w:cs="Arial"/>
                <w:sz w:val="22"/>
              </w:rPr>
              <w:t xml:space="preserve">nified </w:t>
            </w:r>
            <w:r w:rsidR="006F78E7">
              <w:rPr>
                <w:rFonts w:ascii="Arial" w:hAnsi="Arial" w:cs="Arial"/>
                <w:sz w:val="22"/>
              </w:rPr>
              <w:t>P</w:t>
            </w:r>
            <w:r w:rsidR="00BC3B01">
              <w:rPr>
                <w:rFonts w:ascii="Arial" w:hAnsi="Arial" w:cs="Arial"/>
                <w:sz w:val="22"/>
              </w:rPr>
              <w:t xml:space="preserve">ayments </w:t>
            </w:r>
            <w:r w:rsidR="006F78E7">
              <w:rPr>
                <w:rFonts w:ascii="Arial" w:hAnsi="Arial" w:cs="Arial"/>
                <w:sz w:val="22"/>
              </w:rPr>
              <w:t>I</w:t>
            </w:r>
            <w:r w:rsidR="00BC3B01">
              <w:rPr>
                <w:rFonts w:ascii="Arial" w:hAnsi="Arial" w:cs="Arial"/>
                <w:sz w:val="22"/>
              </w:rPr>
              <w:t>nterface (UPI</w:t>
            </w:r>
            <w:r w:rsidRPr="001858BD">
              <w:rPr>
                <w:rFonts w:ascii="Arial" w:hAnsi="Arial" w:cs="Arial"/>
                <w:sz w:val="22"/>
              </w:rPr>
              <w:t>) platforms.</w:t>
            </w:r>
          </w:p>
          <w:p w:rsidR="006C18D0" w:rsidRPr="001858BD" w:rsidRDefault="001858BD" w:rsidP="001858BD">
            <w:pPr>
              <w:pStyle w:val="NormalWeb"/>
              <w:spacing w:before="0" w:beforeAutospacing="0" w:after="0" w:afterAutospacing="0" w:line="360" w:lineRule="auto"/>
              <w:jc w:val="both"/>
              <w:rPr>
                <w:rFonts w:ascii="Arial" w:hAnsi="Arial" w:cs="Arial"/>
                <w:sz w:val="22"/>
              </w:rPr>
            </w:pPr>
            <w:r w:rsidRPr="001858BD">
              <w:rPr>
                <w:rFonts w:ascii="Arial" w:hAnsi="Arial" w:cs="Arial"/>
                <w:sz w:val="22"/>
              </w:rPr>
              <w:t xml:space="preserve">The study highlights key shifts in consumer preferences, such as the increased reliance on cashless payment systems, enhanced use of mobile wallets, and greater acceptance of online banking solutions for routine financial transactions. It also delves into the demographic variations in adoption, with urban users leading the digital transition and rural consumers progressively embracing </w:t>
            </w:r>
            <w:r w:rsidR="00887308">
              <w:rPr>
                <w:rFonts w:ascii="Arial" w:hAnsi="Arial" w:cs="Arial"/>
                <w:sz w:val="22"/>
              </w:rPr>
              <w:t>E-Banking</w:t>
            </w:r>
            <w:r w:rsidRPr="001858BD">
              <w:rPr>
                <w:rFonts w:ascii="Arial" w:hAnsi="Arial" w:cs="Arial"/>
                <w:sz w:val="22"/>
              </w:rPr>
              <w:t xml:space="preserve"> due to government-led initiatives and financial literacy campaigns.</w:t>
            </w:r>
          </w:p>
          <w:p w:rsidR="00BB418A" w:rsidRDefault="00BB418A" w:rsidP="001858BD">
            <w:pPr>
              <w:pStyle w:val="NormalWeb"/>
              <w:spacing w:before="0" w:beforeAutospacing="0" w:after="0" w:afterAutospacing="0" w:line="360" w:lineRule="auto"/>
              <w:jc w:val="both"/>
              <w:rPr>
                <w:rFonts w:ascii="Arial" w:hAnsi="Arial" w:cs="Arial"/>
                <w:sz w:val="22"/>
              </w:rPr>
            </w:pPr>
            <w:r w:rsidRPr="00BB418A">
              <w:rPr>
                <w:rFonts w:ascii="Arial" w:hAnsi="Arial" w:cs="Arial"/>
                <w:sz w:val="22"/>
              </w:rPr>
              <w:t>Using secondary data from government reports, industry surveys, and banking publications, the study highlights key shifts in consumer preferences, including increased use of cashless payments and mobile wallets. It also explores demographic differences, with urban consumers leading adoption while rural users gradually embrace digital banking through government initiatives and financial literacy</w:t>
            </w:r>
            <w:r>
              <w:t xml:space="preserve"> </w:t>
            </w:r>
            <w:r w:rsidRPr="00BB418A">
              <w:rPr>
                <w:rFonts w:ascii="Arial" w:hAnsi="Arial" w:cs="Arial"/>
                <w:sz w:val="22"/>
              </w:rPr>
              <w:t>campaigns.</w:t>
            </w:r>
          </w:p>
          <w:p w:rsidR="006C18D0" w:rsidRPr="001858BD" w:rsidRDefault="001858BD" w:rsidP="001858BD">
            <w:pPr>
              <w:pStyle w:val="NormalWeb"/>
              <w:spacing w:before="0" w:beforeAutospacing="0" w:after="0" w:afterAutospacing="0" w:line="360" w:lineRule="auto"/>
              <w:jc w:val="both"/>
              <w:rPr>
                <w:rFonts w:ascii="Arial" w:hAnsi="Arial" w:cs="Arial"/>
                <w:sz w:val="22"/>
              </w:rPr>
            </w:pPr>
            <w:r w:rsidRPr="001858BD">
              <w:rPr>
                <w:rFonts w:ascii="Arial" w:hAnsi="Arial" w:cs="Arial"/>
                <w:sz w:val="22"/>
              </w:rPr>
              <w:t xml:space="preserve">Additionally, the paper explores the challenges faced by consumers during this transition, including cybersecurity concerns, digital literacy gaps, and infrastructure limitations. It evaluates how these barriers were addressed through technological innovations, regulatory support, and the expansion of </w:t>
            </w:r>
            <w:r w:rsidR="00887308">
              <w:rPr>
                <w:rFonts w:ascii="Arial" w:hAnsi="Arial" w:cs="Arial"/>
                <w:sz w:val="22"/>
              </w:rPr>
              <w:t>E-Banking</w:t>
            </w:r>
            <w:r w:rsidRPr="001858BD">
              <w:rPr>
                <w:rFonts w:ascii="Arial" w:hAnsi="Arial" w:cs="Arial"/>
                <w:sz w:val="22"/>
              </w:rPr>
              <w:t xml:space="preserve"> services.</w:t>
            </w:r>
          </w:p>
          <w:p w:rsidR="006C18D0" w:rsidRPr="001858BD" w:rsidRDefault="001858BD" w:rsidP="001858BD">
            <w:pPr>
              <w:pStyle w:val="NormalWeb"/>
              <w:spacing w:before="0" w:beforeAutospacing="0" w:after="0" w:afterAutospacing="0" w:line="360" w:lineRule="auto"/>
              <w:jc w:val="both"/>
              <w:rPr>
                <w:rFonts w:ascii="Arial" w:hAnsi="Arial" w:cs="Arial"/>
                <w:sz w:val="22"/>
              </w:rPr>
            </w:pPr>
            <w:r w:rsidRPr="001858BD">
              <w:rPr>
                <w:rFonts w:ascii="Arial" w:hAnsi="Arial" w:cs="Arial"/>
                <w:sz w:val="22"/>
              </w:rPr>
              <w:t xml:space="preserve">The findings reveal that demonetization acted as a catalyst for the digital </w:t>
            </w:r>
            <w:r w:rsidRPr="001858BD">
              <w:rPr>
                <w:rFonts w:ascii="Arial" w:hAnsi="Arial" w:cs="Arial"/>
                <w:sz w:val="22"/>
              </w:rPr>
              <w:lastRenderedPageBreak/>
              <w:t xml:space="preserve">transformation of retail banking in </w:t>
            </w:r>
            <w:r w:rsidR="00D0250C">
              <w:rPr>
                <w:rFonts w:ascii="Arial" w:hAnsi="Arial" w:cs="Arial"/>
                <w:sz w:val="22"/>
              </w:rPr>
              <w:t>India</w:t>
            </w:r>
            <w:r w:rsidRPr="001858BD">
              <w:rPr>
                <w:rFonts w:ascii="Arial" w:hAnsi="Arial" w:cs="Arial"/>
                <w:sz w:val="22"/>
              </w:rPr>
              <w:t xml:space="preserve">, fostering a shift in consumer behavior towards a more technology-driven and cashless economy. This transformation has laid a robust foundation for the future growth of </w:t>
            </w:r>
            <w:r w:rsidR="00887308">
              <w:rPr>
                <w:rFonts w:ascii="Arial" w:hAnsi="Arial" w:cs="Arial"/>
                <w:sz w:val="22"/>
              </w:rPr>
              <w:t>E-Banking</w:t>
            </w:r>
            <w:r w:rsidRPr="001858BD">
              <w:rPr>
                <w:rFonts w:ascii="Arial" w:hAnsi="Arial" w:cs="Arial"/>
                <w:sz w:val="22"/>
              </w:rPr>
              <w:t xml:space="preserve"> services.</w:t>
            </w:r>
          </w:p>
          <w:p w:rsidR="00505F06" w:rsidRPr="001858BD" w:rsidRDefault="00505F06" w:rsidP="001858BD">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24282C" w:rsidRPr="00751261" w:rsidRDefault="006C18D0" w:rsidP="00441B6F">
      <w:pPr>
        <w:pStyle w:val="Body"/>
        <w:spacing w:after="0"/>
        <w:rPr>
          <w:rFonts w:ascii="Arial" w:hAnsi="Arial" w:cs="Arial"/>
          <w:i/>
        </w:rPr>
      </w:pPr>
      <w:r>
        <w:rPr>
          <w:rFonts w:ascii="Arial" w:hAnsi="Arial" w:cs="Arial"/>
          <w:i/>
        </w:rPr>
        <w:t xml:space="preserve">Keywords: </w:t>
      </w:r>
      <w:r w:rsidRPr="006C18D0">
        <w:rPr>
          <w:rFonts w:ascii="Arial" w:hAnsi="Arial" w:cs="Arial"/>
          <w:lang w:bidi="hi-IN"/>
        </w:rPr>
        <w:t xml:space="preserve">Demonetization, </w:t>
      </w:r>
      <w:r w:rsidR="00D0250C">
        <w:rPr>
          <w:rFonts w:ascii="Arial" w:hAnsi="Arial" w:cs="Arial"/>
          <w:lang w:bidi="hi-IN"/>
        </w:rPr>
        <w:t>India</w:t>
      </w:r>
      <w:r w:rsidR="006F78E7">
        <w:rPr>
          <w:rFonts w:ascii="Arial" w:hAnsi="Arial" w:cs="Arial"/>
          <w:lang w:bidi="hi-IN"/>
        </w:rPr>
        <w:t>'s Retail B</w:t>
      </w:r>
      <w:r w:rsidRPr="006C18D0">
        <w:rPr>
          <w:rFonts w:ascii="Arial" w:hAnsi="Arial" w:cs="Arial"/>
          <w:lang w:bidi="hi-IN"/>
        </w:rPr>
        <w:t xml:space="preserve">anking </w:t>
      </w:r>
      <w:r w:rsidR="006F78E7">
        <w:rPr>
          <w:rFonts w:ascii="Arial" w:hAnsi="Arial" w:cs="Arial"/>
          <w:lang w:bidi="hi-IN"/>
        </w:rPr>
        <w:t>S</w:t>
      </w:r>
      <w:r w:rsidRPr="006C18D0">
        <w:rPr>
          <w:rFonts w:ascii="Arial" w:hAnsi="Arial" w:cs="Arial"/>
          <w:lang w:bidi="hi-IN"/>
        </w:rPr>
        <w:t xml:space="preserve">ector, </w:t>
      </w:r>
      <w:r w:rsidRPr="006C18D0">
        <w:rPr>
          <w:rFonts w:ascii="Arial" w:hAnsi="Arial" w:cs="Arial"/>
        </w:rPr>
        <w:t xml:space="preserve">Digital Transformation </w:t>
      </w:r>
      <w:r w:rsidRPr="006C18D0">
        <w:rPr>
          <w:rFonts w:ascii="Arial" w:hAnsi="Arial" w:cs="Arial"/>
          <w:lang w:bidi="hi-IN"/>
        </w:rPr>
        <w:t>and Consumer Behavior</w:t>
      </w:r>
      <w:r>
        <w:t>.</w:t>
      </w:r>
    </w:p>
    <w:p w:rsidR="00505F06" w:rsidRPr="00A24E7E" w:rsidRDefault="00505F06"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6C18D0" w:rsidRPr="006C18D0"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 xml:space="preserve">The advent of digital technologies has significantly transformed the banking sector, with </w:t>
      </w:r>
      <w:r w:rsidR="00887308">
        <w:rPr>
          <w:rFonts w:ascii="Arial" w:hAnsi="Arial" w:cs="Arial"/>
          <w:sz w:val="20"/>
          <w:szCs w:val="20"/>
        </w:rPr>
        <w:t>E-Banking</w:t>
      </w:r>
      <w:r w:rsidRPr="006C18D0">
        <w:rPr>
          <w:rFonts w:ascii="Arial" w:hAnsi="Arial" w:cs="Arial"/>
          <w:sz w:val="20"/>
          <w:szCs w:val="20"/>
        </w:rPr>
        <w:t xml:space="preserve"> emerging as a cornerstone of modern financial services. </w:t>
      </w:r>
      <w:r w:rsidR="00887308">
        <w:rPr>
          <w:rFonts w:ascii="Arial" w:hAnsi="Arial" w:cs="Arial"/>
          <w:sz w:val="20"/>
          <w:szCs w:val="20"/>
        </w:rPr>
        <w:t>E-Banking</w:t>
      </w:r>
      <w:r w:rsidRPr="006C18D0">
        <w:rPr>
          <w:rFonts w:ascii="Arial" w:hAnsi="Arial" w:cs="Arial"/>
          <w:sz w:val="20"/>
          <w:szCs w:val="20"/>
        </w:rPr>
        <w:t xml:space="preserve">, encompassing services like internet banking, mobile banking, and Unified Payments Interface (UPI), has revolutionized how consumers access and interact with financial institutions. In </w:t>
      </w:r>
      <w:r w:rsidR="00D0250C">
        <w:rPr>
          <w:rFonts w:ascii="Arial" w:hAnsi="Arial" w:cs="Arial"/>
          <w:sz w:val="20"/>
          <w:szCs w:val="20"/>
        </w:rPr>
        <w:t>India</w:t>
      </w:r>
      <w:r w:rsidRPr="006C18D0">
        <w:rPr>
          <w:rFonts w:ascii="Arial" w:hAnsi="Arial" w:cs="Arial"/>
          <w:sz w:val="20"/>
          <w:szCs w:val="20"/>
        </w:rPr>
        <w:t xml:space="preserve">, the retail banking landscape experienced an unprecedented shift during and after the demonetization drive in November 2016, a policy that invalidated ₹500 and ₹1,000 currency notes. This bold move, aimed at combating black money, counterfeit currency, and tax evasion, had far-reaching implications on consumer behavior, particularly in their adoption of </w:t>
      </w:r>
      <w:r w:rsidR="00887308">
        <w:rPr>
          <w:rFonts w:ascii="Arial" w:hAnsi="Arial" w:cs="Arial"/>
          <w:sz w:val="20"/>
          <w:szCs w:val="20"/>
        </w:rPr>
        <w:t>E-Banking</w:t>
      </w:r>
      <w:r w:rsidRPr="006C18D0">
        <w:rPr>
          <w:rFonts w:ascii="Arial" w:hAnsi="Arial" w:cs="Arial"/>
          <w:sz w:val="20"/>
          <w:szCs w:val="20"/>
        </w:rPr>
        <w:t xml:space="preserve"> services.</w:t>
      </w:r>
    </w:p>
    <w:p w:rsidR="006C18D0" w:rsidRPr="006C18D0"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 xml:space="preserve">Before demonetization, cash was the predominant medium of transactions in </w:t>
      </w:r>
      <w:r w:rsidR="00D0250C">
        <w:rPr>
          <w:rFonts w:ascii="Arial" w:hAnsi="Arial" w:cs="Arial"/>
          <w:sz w:val="20"/>
          <w:szCs w:val="20"/>
        </w:rPr>
        <w:t>India</w:t>
      </w:r>
      <w:r w:rsidRPr="006C18D0">
        <w:rPr>
          <w:rFonts w:ascii="Arial" w:hAnsi="Arial" w:cs="Arial"/>
          <w:sz w:val="20"/>
          <w:szCs w:val="20"/>
        </w:rPr>
        <w:t xml:space="preserve">, with digital banking playing a supplementary role. However, the sudden scarcity of cash </w:t>
      </w:r>
      <w:r w:rsidR="008C347A">
        <w:rPr>
          <w:rFonts w:ascii="Arial" w:hAnsi="Arial" w:cs="Arial"/>
          <w:sz w:val="20"/>
          <w:szCs w:val="20"/>
        </w:rPr>
        <w:t>P</w:t>
      </w:r>
      <w:r w:rsidRPr="006C18D0">
        <w:rPr>
          <w:rFonts w:ascii="Arial" w:hAnsi="Arial" w:cs="Arial"/>
          <w:sz w:val="20"/>
          <w:szCs w:val="20"/>
        </w:rPr>
        <w:t>ost-</w:t>
      </w:r>
      <w:r w:rsidR="008C347A">
        <w:rPr>
          <w:rFonts w:ascii="Arial" w:hAnsi="Arial" w:cs="Arial"/>
          <w:sz w:val="20"/>
          <w:szCs w:val="20"/>
        </w:rPr>
        <w:t>D</w:t>
      </w:r>
      <w:r w:rsidRPr="006C18D0">
        <w:rPr>
          <w:rFonts w:ascii="Arial" w:hAnsi="Arial" w:cs="Arial"/>
          <w:sz w:val="20"/>
          <w:szCs w:val="20"/>
        </w:rPr>
        <w:t xml:space="preserve">emonetization created a pressing need for alternative payment methods, forcing consumers to adapt to digital platforms. The government’s push for a “less-cash” economy, coupled with the rapid expansion of internet and smartphone penetration, acted as a catalyst for </w:t>
      </w:r>
      <w:r w:rsidR="00887308">
        <w:rPr>
          <w:rFonts w:ascii="Arial" w:hAnsi="Arial" w:cs="Arial"/>
          <w:sz w:val="20"/>
          <w:szCs w:val="20"/>
        </w:rPr>
        <w:t>E-Banking</w:t>
      </w:r>
      <w:r w:rsidRPr="006C18D0">
        <w:rPr>
          <w:rFonts w:ascii="Arial" w:hAnsi="Arial" w:cs="Arial"/>
          <w:sz w:val="20"/>
          <w:szCs w:val="20"/>
        </w:rPr>
        <w:t xml:space="preserve"> adoption. Digital payment systems like UPI, mobile wallets, and online banking applications witnessed exponential growth as consumers embraced cashless transactions. This shift marked a significant departure from traditional banking practices, reshaping consumer preferences and behaviors.</w:t>
      </w:r>
    </w:p>
    <w:p w:rsidR="008C347A"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 xml:space="preserve">Demonetization also brought to light various barriers to </w:t>
      </w:r>
      <w:r w:rsidR="00887308">
        <w:rPr>
          <w:rFonts w:ascii="Arial" w:hAnsi="Arial" w:cs="Arial"/>
          <w:sz w:val="20"/>
          <w:szCs w:val="20"/>
        </w:rPr>
        <w:t>E-Banking</w:t>
      </w:r>
      <w:r w:rsidRPr="006C18D0">
        <w:rPr>
          <w:rFonts w:ascii="Arial" w:hAnsi="Arial" w:cs="Arial"/>
          <w:sz w:val="20"/>
          <w:szCs w:val="20"/>
        </w:rPr>
        <w:t xml:space="preserve"> adoption, such as digital literacy, trust in digital systems, and internet accessibility, particularly in rural and semi-urban areas. Nonetheless, financial institutions leveraged the opportunity to expand their digital footprints by introducing user-friendly interfaces, secure payment systems, and incentives for digital transactions. These efforts, combined with government initiatives such as the promotion of Digital </w:t>
      </w:r>
      <w:r w:rsidR="00D0250C">
        <w:rPr>
          <w:rFonts w:ascii="Arial" w:hAnsi="Arial" w:cs="Arial"/>
          <w:sz w:val="20"/>
          <w:szCs w:val="20"/>
        </w:rPr>
        <w:t>India</w:t>
      </w:r>
      <w:r w:rsidRPr="006C18D0">
        <w:rPr>
          <w:rFonts w:ascii="Arial" w:hAnsi="Arial" w:cs="Arial"/>
          <w:sz w:val="20"/>
          <w:szCs w:val="20"/>
        </w:rPr>
        <w:t xml:space="preserve"> and the introduction of platforms like BHIM and Aadhaar-linked payment systems, played a pivotal role in driving </w:t>
      </w:r>
      <w:r w:rsidR="00887308">
        <w:rPr>
          <w:rFonts w:ascii="Arial" w:hAnsi="Arial" w:cs="Arial"/>
          <w:sz w:val="20"/>
          <w:szCs w:val="20"/>
        </w:rPr>
        <w:t>E-Banking</w:t>
      </w:r>
      <w:r w:rsidRPr="006C18D0">
        <w:rPr>
          <w:rFonts w:ascii="Arial" w:hAnsi="Arial" w:cs="Arial"/>
          <w:sz w:val="20"/>
          <w:szCs w:val="20"/>
        </w:rPr>
        <w:t xml:space="preserve"> penetration across diverse demographics.</w:t>
      </w:r>
    </w:p>
    <w:p w:rsidR="006C18D0" w:rsidRPr="006C18D0"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 xml:space="preserve">The transformation in consumer behavior following demonetization is a testament to the growing acceptance of </w:t>
      </w:r>
      <w:r w:rsidR="00887308">
        <w:rPr>
          <w:rFonts w:ascii="Arial" w:hAnsi="Arial" w:cs="Arial"/>
          <w:sz w:val="20"/>
          <w:szCs w:val="20"/>
        </w:rPr>
        <w:t>E-Banking</w:t>
      </w:r>
      <w:r w:rsidRPr="006C18D0">
        <w:rPr>
          <w:rFonts w:ascii="Arial" w:hAnsi="Arial" w:cs="Arial"/>
          <w:sz w:val="20"/>
          <w:szCs w:val="20"/>
        </w:rPr>
        <w:t xml:space="preserve"> in </w:t>
      </w:r>
      <w:r w:rsidR="00D0250C">
        <w:rPr>
          <w:rFonts w:ascii="Arial" w:hAnsi="Arial" w:cs="Arial"/>
          <w:sz w:val="20"/>
          <w:szCs w:val="20"/>
        </w:rPr>
        <w:t>India</w:t>
      </w:r>
      <w:r w:rsidRPr="006C18D0">
        <w:rPr>
          <w:rFonts w:ascii="Arial" w:hAnsi="Arial" w:cs="Arial"/>
          <w:sz w:val="20"/>
          <w:szCs w:val="20"/>
        </w:rPr>
        <w:t xml:space="preserve">’s retail banking sector. Consumers increasingly value the convenience, speed, and transparency offered by digital banking services. However, the transition has also raised critical questions about data security, </w:t>
      </w:r>
      <w:r w:rsidRPr="006C18D0">
        <w:rPr>
          <w:rFonts w:ascii="Arial" w:hAnsi="Arial" w:cs="Arial"/>
          <w:sz w:val="20"/>
          <w:szCs w:val="20"/>
        </w:rPr>
        <w:lastRenderedPageBreak/>
        <w:t xml:space="preserve">digital inclusivity, and the preparedness of the financial ecosystem to meet the rising demand for </w:t>
      </w:r>
      <w:r w:rsidR="00887308">
        <w:rPr>
          <w:rFonts w:ascii="Arial" w:hAnsi="Arial" w:cs="Arial"/>
          <w:sz w:val="20"/>
          <w:szCs w:val="20"/>
        </w:rPr>
        <w:t>E-Banking</w:t>
      </w:r>
      <w:r w:rsidRPr="006C18D0">
        <w:rPr>
          <w:rFonts w:ascii="Arial" w:hAnsi="Arial" w:cs="Arial"/>
          <w:sz w:val="20"/>
          <w:szCs w:val="20"/>
        </w:rPr>
        <w:t xml:space="preserve"> services.</w:t>
      </w:r>
    </w:p>
    <w:p w:rsidR="006C18D0" w:rsidRDefault="006C18D0" w:rsidP="006C18D0">
      <w:pPr>
        <w:pStyle w:val="NormalWeb"/>
        <w:spacing w:line="360" w:lineRule="auto"/>
        <w:jc w:val="both"/>
        <w:rPr>
          <w:rFonts w:ascii="Arial" w:hAnsi="Arial" w:cs="Arial"/>
          <w:sz w:val="20"/>
          <w:szCs w:val="20"/>
        </w:rPr>
      </w:pPr>
      <w:r w:rsidRPr="006C18D0">
        <w:rPr>
          <w:rFonts w:ascii="Arial" w:hAnsi="Arial" w:cs="Arial"/>
          <w:sz w:val="20"/>
          <w:szCs w:val="20"/>
        </w:rPr>
        <w:t xml:space="preserve">This article explores the evolving trends in </w:t>
      </w:r>
      <w:r w:rsidR="00887308">
        <w:rPr>
          <w:rFonts w:ascii="Arial" w:hAnsi="Arial" w:cs="Arial"/>
          <w:sz w:val="20"/>
          <w:szCs w:val="20"/>
        </w:rPr>
        <w:t>E-Banking</w:t>
      </w:r>
      <w:r w:rsidRPr="006C18D0">
        <w:rPr>
          <w:rFonts w:ascii="Arial" w:hAnsi="Arial" w:cs="Arial"/>
          <w:sz w:val="20"/>
          <w:szCs w:val="20"/>
        </w:rPr>
        <w:t xml:space="preserve"> within </w:t>
      </w:r>
      <w:r w:rsidR="00D0250C">
        <w:rPr>
          <w:rFonts w:ascii="Arial" w:hAnsi="Arial" w:cs="Arial"/>
          <w:sz w:val="20"/>
          <w:szCs w:val="20"/>
        </w:rPr>
        <w:t>India</w:t>
      </w:r>
      <w:r w:rsidRPr="006C18D0">
        <w:rPr>
          <w:rFonts w:ascii="Arial" w:hAnsi="Arial" w:cs="Arial"/>
          <w:sz w:val="20"/>
          <w:szCs w:val="20"/>
        </w:rPr>
        <w:t>’s retail banking sector, focusing on how demonetization served as a turning point in influencing consumer behavior. It delves into the challenges and opportunities that emerged during this period, providing a nuanced understanding of the long-term implications of this policy on the digital banking landscape.</w:t>
      </w:r>
    </w:p>
    <w:p w:rsidR="00751261" w:rsidRPr="00751261" w:rsidRDefault="004865A3" w:rsidP="00751261">
      <w:pPr>
        <w:pStyle w:val="NormalWeb"/>
        <w:spacing w:after="0" w:afterAutospacing="0" w:line="360" w:lineRule="auto"/>
        <w:jc w:val="both"/>
        <w:rPr>
          <w:rFonts w:ascii="Arial" w:hAnsi="Arial" w:cs="Arial"/>
          <w:b/>
          <w:bCs/>
          <w:sz w:val="20"/>
          <w:szCs w:val="20"/>
        </w:rPr>
      </w:pPr>
      <w:r>
        <w:rPr>
          <w:rFonts w:ascii="Arial" w:hAnsi="Arial" w:cs="Arial"/>
          <w:b/>
          <w:bCs/>
          <w:sz w:val="20"/>
          <w:szCs w:val="20"/>
        </w:rPr>
        <w:t xml:space="preserve">2. </w:t>
      </w:r>
      <w:r w:rsidR="00751261" w:rsidRPr="00751261">
        <w:rPr>
          <w:rFonts w:ascii="Arial" w:hAnsi="Arial" w:cs="Arial"/>
          <w:b/>
          <w:bCs/>
          <w:sz w:val="20"/>
          <w:szCs w:val="20"/>
        </w:rPr>
        <w:t>Review of Literature:</w:t>
      </w:r>
    </w:p>
    <w:p w:rsidR="00751261" w:rsidRPr="00751261" w:rsidRDefault="00751261" w:rsidP="00751261">
      <w:pPr>
        <w:spacing w:line="360" w:lineRule="auto"/>
        <w:jc w:val="both"/>
        <w:rPr>
          <w:rFonts w:ascii="Arial" w:hAnsi="Arial" w:cs="Arial"/>
          <w:b/>
          <w:bCs/>
        </w:rPr>
      </w:pPr>
      <w:r w:rsidRPr="00751261">
        <w:rPr>
          <w:rFonts w:ascii="Arial" w:hAnsi="Arial" w:cs="Arial"/>
          <w:shd w:val="clear" w:color="auto" w:fill="FFFFFF"/>
        </w:rPr>
        <w:t xml:space="preserve">The review of literature has been done for the knowledge and better understanding of </w:t>
      </w:r>
      <w:r w:rsidR="00887308">
        <w:rPr>
          <w:rFonts w:ascii="Arial" w:hAnsi="Arial" w:cs="Arial"/>
        </w:rPr>
        <w:t>E-Banking</w:t>
      </w:r>
      <w:r w:rsidRPr="00751261">
        <w:rPr>
          <w:rFonts w:ascii="Arial" w:hAnsi="Arial" w:cs="Arial"/>
        </w:rPr>
        <w:t xml:space="preserve"> Trends in </w:t>
      </w:r>
      <w:r w:rsidR="00D0250C">
        <w:rPr>
          <w:rFonts w:ascii="Arial" w:hAnsi="Arial" w:cs="Arial"/>
        </w:rPr>
        <w:t>India</w:t>
      </w:r>
      <w:r w:rsidRPr="00751261">
        <w:rPr>
          <w:rFonts w:ascii="Arial" w:hAnsi="Arial" w:cs="Arial"/>
        </w:rPr>
        <w:t xml:space="preserve">'s Retail Banking. </w:t>
      </w:r>
      <w:r w:rsidRPr="00751261">
        <w:rPr>
          <w:rFonts w:ascii="Arial" w:hAnsi="Arial" w:cs="Arial"/>
          <w:shd w:val="clear" w:color="auto" w:fill="FFFFFF"/>
        </w:rPr>
        <w:t xml:space="preserve">The scope of this study is to review the current scenario of </w:t>
      </w:r>
      <w:r w:rsidR="00887308">
        <w:rPr>
          <w:rFonts w:ascii="Arial" w:hAnsi="Arial" w:cs="Arial"/>
        </w:rPr>
        <w:t>E-Banking</w:t>
      </w:r>
      <w:r w:rsidRPr="00751261">
        <w:rPr>
          <w:rFonts w:ascii="Arial" w:hAnsi="Arial" w:cs="Arial"/>
        </w:rPr>
        <w:t xml:space="preserve"> Trends in </w:t>
      </w:r>
      <w:r w:rsidR="00D0250C">
        <w:rPr>
          <w:rFonts w:ascii="Arial" w:hAnsi="Arial" w:cs="Arial"/>
        </w:rPr>
        <w:t>India</w:t>
      </w:r>
      <w:r w:rsidRPr="00751261">
        <w:rPr>
          <w:rFonts w:ascii="Arial" w:hAnsi="Arial" w:cs="Arial"/>
        </w:rPr>
        <w:t xml:space="preserve">'s Retail Banking and its Impact of Demonetization on Consumer Behavior </w:t>
      </w:r>
      <w:r w:rsidRPr="00751261">
        <w:rPr>
          <w:rFonts w:ascii="Arial" w:hAnsi="Arial" w:cs="Arial"/>
          <w:shd w:val="clear" w:color="auto" w:fill="FFFFFF"/>
        </w:rPr>
        <w:t xml:space="preserve">which </w:t>
      </w:r>
      <w:r w:rsidRPr="00751261">
        <w:rPr>
          <w:rFonts w:ascii="Arial" w:hAnsi="Arial" w:cs="Arial"/>
        </w:rPr>
        <w:t>will help to analyze all aspects.</w:t>
      </w:r>
    </w:p>
    <w:p w:rsidR="00751261" w:rsidRDefault="00D0250C" w:rsidP="00C92A16">
      <w:pPr>
        <w:pStyle w:val="NormalWeb"/>
        <w:spacing w:before="0" w:beforeAutospacing="0" w:after="0" w:afterAutospacing="0" w:line="360" w:lineRule="auto"/>
        <w:jc w:val="both"/>
        <w:rPr>
          <w:rFonts w:ascii="Arial" w:hAnsi="Arial" w:cs="Arial"/>
          <w:sz w:val="20"/>
          <w:szCs w:val="20"/>
        </w:rPr>
      </w:pPr>
      <w:r w:rsidRPr="00C92A16">
        <w:rPr>
          <w:rFonts w:ascii="Arial" w:hAnsi="Arial" w:cs="Arial"/>
          <w:b/>
          <w:sz w:val="20"/>
          <w:szCs w:val="20"/>
        </w:rPr>
        <w:t xml:space="preserve">Kumar, P., &amp; </w:t>
      </w:r>
      <w:proofErr w:type="spellStart"/>
      <w:r w:rsidRPr="00C92A16">
        <w:rPr>
          <w:rFonts w:ascii="Arial" w:hAnsi="Arial" w:cs="Arial"/>
          <w:b/>
          <w:sz w:val="20"/>
          <w:szCs w:val="20"/>
        </w:rPr>
        <w:t>Chaubey</w:t>
      </w:r>
      <w:proofErr w:type="spellEnd"/>
      <w:r w:rsidRPr="00C92A16">
        <w:rPr>
          <w:rFonts w:ascii="Arial" w:hAnsi="Arial" w:cs="Arial"/>
          <w:b/>
          <w:sz w:val="20"/>
          <w:szCs w:val="20"/>
        </w:rPr>
        <w:t>, D. S. (2017)</w:t>
      </w:r>
      <w:r w:rsidRPr="00C92A16">
        <w:rPr>
          <w:rFonts w:ascii="Arial" w:hAnsi="Arial" w:cs="Arial"/>
          <w:sz w:val="20"/>
          <w:szCs w:val="20"/>
        </w:rPr>
        <w:t>, Demonetization played a crucial role in transforming the buying behavior of Indian society by accelerating the adoption of digital payment systems. It significantly curbed the circulation of black money and enabled the government to track financial transactions more effectively. Prior to demonetization, many people were hesitant to shift from traditional cash-based transactions to digital modes due to a lack of awareness, trust, or familiarity. However, the sudden cash crunch left citizens with limited options, compelling them to adopt digital payment methods. As a result, the habit of using digital payments gradually became more widespread and accepted across different segments of society. This study highlights the remarkable shift in consumer behavior post-demonetization, analyzing the usability, accessibility, and growing preference for digital payments in India. It also explores how public perception of digital transactions has evolved, deeply influencing the cultural and economic fabric of the nation.</w:t>
      </w:r>
    </w:p>
    <w:p w:rsidR="00C92A16" w:rsidRPr="00C92A16" w:rsidRDefault="00C92A16" w:rsidP="00C92A16">
      <w:pPr>
        <w:pStyle w:val="NormalWeb"/>
        <w:spacing w:before="0" w:beforeAutospacing="0" w:after="0" w:afterAutospacing="0" w:line="360" w:lineRule="auto"/>
        <w:jc w:val="both"/>
        <w:rPr>
          <w:rFonts w:ascii="Arial" w:hAnsi="Arial" w:cs="Arial"/>
          <w:b/>
          <w:sz w:val="20"/>
          <w:szCs w:val="20"/>
        </w:rPr>
      </w:pPr>
      <w:r w:rsidRPr="00C92A16">
        <w:rPr>
          <w:rFonts w:ascii="Arial" w:hAnsi="Arial" w:cs="Arial"/>
          <w:b/>
          <w:sz w:val="20"/>
          <w:szCs w:val="20"/>
        </w:rPr>
        <w:t>Ahmad, M. (2018),</w:t>
      </w:r>
      <w:r>
        <w:rPr>
          <w:rFonts w:ascii="Arial" w:hAnsi="Arial" w:cs="Arial"/>
          <w:b/>
          <w:sz w:val="20"/>
          <w:szCs w:val="20"/>
        </w:rPr>
        <w:t xml:space="preserve"> </w:t>
      </w:r>
      <w:r w:rsidRPr="00C92A16">
        <w:rPr>
          <w:rFonts w:ascii="Arial" w:hAnsi="Arial" w:cs="Arial"/>
          <w:sz w:val="20"/>
          <w:szCs w:val="20"/>
        </w:rPr>
        <w:t>The adoption of new technologies has been a topic of discussion since the 1970s. Over time, numerous theories and models have been developed to better understand the factors influencing consumer acceptance of technology. Among these, the Technology Acceptance Model (TAM) has emerged as one of the most widely used frameworks. This research article aims to emphasize the importance of TAM in understanding the adoption and use of systems, particularly in the context of Internet banking and mobile banking. By offering a detailed review of existing literature, the study explores the model's evolution, its various extensions, and its limitations. The findings of this paper contribute to the academic discourse and will serve as a valuable resource for future researchers examining digital banking services through the lens of TAM.</w:t>
      </w:r>
    </w:p>
    <w:p w:rsidR="00C92A16" w:rsidRPr="00C92A16" w:rsidRDefault="00C92A16" w:rsidP="00C92A16">
      <w:pPr>
        <w:pStyle w:val="NormalWeb"/>
        <w:spacing w:before="0" w:beforeAutospacing="0" w:after="0" w:afterAutospacing="0" w:line="360" w:lineRule="auto"/>
        <w:jc w:val="both"/>
        <w:rPr>
          <w:rFonts w:ascii="Arial" w:hAnsi="Arial" w:cs="Arial"/>
          <w:b/>
          <w:sz w:val="20"/>
          <w:szCs w:val="20"/>
        </w:rPr>
      </w:pPr>
      <w:r w:rsidRPr="00C92A16">
        <w:rPr>
          <w:rFonts w:ascii="Arial" w:hAnsi="Arial" w:cs="Arial"/>
          <w:b/>
          <w:sz w:val="20"/>
          <w:szCs w:val="20"/>
        </w:rPr>
        <w:t>Sharma, S., Anamika, A., Anuradha, &amp; Kapoor, S. (2024),</w:t>
      </w:r>
      <w:r w:rsidRPr="00C92A16">
        <w:rPr>
          <w:rFonts w:ascii="Arial" w:hAnsi="Arial" w:cs="Arial"/>
          <w:sz w:val="20"/>
          <w:szCs w:val="20"/>
        </w:rPr>
        <w:t xml:space="preserve"> This paper examines the ongoing shift in India from traditional cash-based transactions to digital payment </w:t>
      </w:r>
      <w:r w:rsidRPr="00C92A16">
        <w:rPr>
          <w:rFonts w:ascii="Arial" w:hAnsi="Arial" w:cs="Arial"/>
          <w:sz w:val="20"/>
          <w:szCs w:val="20"/>
        </w:rPr>
        <w:lastRenderedPageBreak/>
        <w:t xml:space="preserve">methods, particularly digital wallets. While digital payments—especially through systems like the Unified Payments Interface (UPI)—are increasingly being adopted, cash still dominates many offline transactions. UPI, introduced by the National Payments Corporation of India (NPCI) in 2016, has gained significant traction through its integration with major banks. According to consumer survey data from Statista, </w:t>
      </w:r>
      <w:r w:rsidR="00887308">
        <w:rPr>
          <w:rFonts w:ascii="Arial" w:hAnsi="Arial" w:cs="Arial"/>
          <w:sz w:val="20"/>
          <w:szCs w:val="20"/>
        </w:rPr>
        <w:t>Point-of-S</w:t>
      </w:r>
      <w:r w:rsidRPr="00C92A16">
        <w:rPr>
          <w:rFonts w:ascii="Arial" w:hAnsi="Arial" w:cs="Arial"/>
          <w:sz w:val="20"/>
          <w:szCs w:val="20"/>
        </w:rPr>
        <w:t>ale (POS) cash usage dropped by 13 percentage points between 2018 and 2024, and Cash on Delivery (COD) for online shopping fell by 16 percentage points. Despite these trends, a large segment of the population continues to use cash, primarily for precautionary reasons and as a store of value. The study explores how consumer payment behavior has evolved, the economic effects of digitalization, and the role of the COVID-19 pandemic in speeding up the shift to digital payments. It also investigates the optimal balance between cash and mobile payments and assesses their broader impact on economic development. The research relies on a combination of literature review and survey-based descriptive methods</w:t>
      </w:r>
    </w:p>
    <w:p w:rsidR="00C92A16" w:rsidRPr="00C92A16" w:rsidRDefault="00C92A16" w:rsidP="00C92A16">
      <w:pPr>
        <w:pStyle w:val="NormalWeb"/>
        <w:spacing w:line="360" w:lineRule="auto"/>
        <w:jc w:val="both"/>
        <w:rPr>
          <w:rFonts w:ascii="Arial" w:hAnsi="Arial" w:cs="Arial"/>
          <w:sz w:val="20"/>
          <w:szCs w:val="20"/>
        </w:rPr>
      </w:pPr>
      <w:r w:rsidRPr="00C92A16">
        <w:rPr>
          <w:rFonts w:ascii="Arial" w:hAnsi="Arial" w:cs="Arial"/>
          <w:b/>
          <w:sz w:val="20"/>
          <w:szCs w:val="20"/>
        </w:rPr>
        <w:t xml:space="preserve">Jafri, J. A., </w:t>
      </w:r>
      <w:proofErr w:type="spellStart"/>
      <w:r w:rsidRPr="00C92A16">
        <w:rPr>
          <w:rFonts w:ascii="Arial" w:hAnsi="Arial" w:cs="Arial"/>
          <w:b/>
          <w:sz w:val="20"/>
          <w:szCs w:val="20"/>
        </w:rPr>
        <w:t>Mohd</w:t>
      </w:r>
      <w:proofErr w:type="spellEnd"/>
      <w:r w:rsidRPr="00C92A16">
        <w:rPr>
          <w:rFonts w:ascii="Arial" w:hAnsi="Arial" w:cs="Arial"/>
          <w:b/>
          <w:sz w:val="20"/>
          <w:szCs w:val="20"/>
        </w:rPr>
        <w:t xml:space="preserve"> Amin, S. I., Abdul Rahman, A., &amp; </w:t>
      </w:r>
      <w:proofErr w:type="spellStart"/>
      <w:r w:rsidRPr="00C92A16">
        <w:rPr>
          <w:rFonts w:ascii="Arial" w:hAnsi="Arial" w:cs="Arial"/>
          <w:b/>
          <w:sz w:val="20"/>
          <w:szCs w:val="20"/>
        </w:rPr>
        <w:t>Mohd</w:t>
      </w:r>
      <w:proofErr w:type="spellEnd"/>
      <w:r w:rsidRPr="00C92A16">
        <w:rPr>
          <w:rFonts w:ascii="Arial" w:hAnsi="Arial" w:cs="Arial"/>
          <w:b/>
          <w:sz w:val="20"/>
          <w:szCs w:val="20"/>
        </w:rPr>
        <w:t xml:space="preserve"> Nor, S. (2024).</w:t>
      </w:r>
      <w:r w:rsidRPr="00C92A16">
        <w:rPr>
          <w:rFonts w:ascii="Arial" w:hAnsi="Arial" w:cs="Arial"/>
          <w:sz w:val="20"/>
          <w:szCs w:val="20"/>
        </w:rPr>
        <w:t xml:space="preserve"> The rapid growth of Fintech has increased concerns about cybercrime, highlighting the importance of trust and security in banking. While previous studies on Fintech adoption have mainly focused on technological benefits, few have examined the cognitive resistance that arises from trust and security issues. This review systematically analyses existing literature on </w:t>
      </w:r>
      <w:proofErr w:type="spellStart"/>
      <w:r w:rsidRPr="00C92A16">
        <w:rPr>
          <w:rFonts w:ascii="Arial" w:hAnsi="Arial" w:cs="Arial"/>
          <w:sz w:val="20"/>
          <w:szCs w:val="20"/>
        </w:rPr>
        <w:t>behavioural</w:t>
      </w:r>
      <w:proofErr w:type="spellEnd"/>
      <w:r w:rsidRPr="00C92A16">
        <w:rPr>
          <w:rFonts w:ascii="Arial" w:hAnsi="Arial" w:cs="Arial"/>
          <w:sz w:val="20"/>
          <w:szCs w:val="20"/>
        </w:rPr>
        <w:t xml:space="preserve"> intentions related to Fintech adoption in banking, with a particular focus on trust, security, and related factors. Using the ROSES (Reporting standards for Systematic Evidence Syntheses) framework, the study reviews 26 articles from Scopus and Web of Science published between 2009 and 2022. Thematic analysis identifies five main themes—UTAUT2 variables, risk, trust, quality, and other factors—further divided into 24 sub-themes. Key predictors influencing Fintech adoption include performance expectancy, trust, security, perceived usefulness, and attitude. Additionally, the review highlights gaps in current research and provides recommendations for future studies based on the TCCM (Theory, Context, Constructs, and Method) framework. The findings offer valuable insights for Fintech companies and regulators to design services that improve adoption in the banking sector.</w:t>
      </w:r>
    </w:p>
    <w:p w:rsidR="00924A16" w:rsidRPr="00C92A16" w:rsidRDefault="00D0250C" w:rsidP="00C92A16">
      <w:pPr>
        <w:pStyle w:val="NormalWeb"/>
        <w:spacing w:line="360" w:lineRule="auto"/>
        <w:jc w:val="both"/>
        <w:rPr>
          <w:rFonts w:ascii="Arial" w:hAnsi="Arial" w:cs="Arial"/>
          <w:sz w:val="20"/>
          <w:szCs w:val="20"/>
        </w:rPr>
      </w:pPr>
      <w:r w:rsidRPr="00C92A16">
        <w:rPr>
          <w:rFonts w:ascii="Arial" w:hAnsi="Arial" w:cs="Arial"/>
          <w:b/>
          <w:sz w:val="20"/>
          <w:szCs w:val="20"/>
        </w:rPr>
        <w:t xml:space="preserve">Vani, Z., &amp; Kumari, A. (2025), </w:t>
      </w:r>
      <w:r w:rsidR="00924A16" w:rsidRPr="00C92A16">
        <w:rPr>
          <w:rFonts w:ascii="Arial" w:hAnsi="Arial" w:cs="Arial"/>
          <w:sz w:val="20"/>
          <w:szCs w:val="20"/>
        </w:rPr>
        <w:t xml:space="preserve">This paper explores the current state of financial inclusion in rural India using secondary data. It evaluates all four components outlined in the Reserve Bank of India’s definition of financial inclusion: bank deposits, credit, digital and other forms of payments, and insurance services. Financial inclusion in this context is not limited to access but also includes the affordability and actual use of financial </w:t>
      </w:r>
      <w:proofErr w:type="spellStart"/>
      <w:r w:rsidR="00924A16" w:rsidRPr="00C92A16">
        <w:rPr>
          <w:rFonts w:ascii="Arial" w:hAnsi="Arial" w:cs="Arial"/>
          <w:sz w:val="20"/>
          <w:szCs w:val="20"/>
        </w:rPr>
        <w:t>services.While</w:t>
      </w:r>
      <w:proofErr w:type="spellEnd"/>
      <w:r w:rsidR="00924A16" w:rsidRPr="00C92A16">
        <w:rPr>
          <w:rFonts w:ascii="Arial" w:hAnsi="Arial" w:cs="Arial"/>
          <w:sz w:val="20"/>
          <w:szCs w:val="20"/>
        </w:rPr>
        <w:t xml:space="preserve"> access to bank deposit accounts in rural areas has grown significantly—nearing universal coverage—the active use of these accounts for transactions like </w:t>
      </w:r>
      <w:r w:rsidR="00924A16" w:rsidRPr="00C92A16">
        <w:rPr>
          <w:rFonts w:ascii="Arial" w:hAnsi="Arial" w:cs="Arial"/>
          <w:sz w:val="20"/>
          <w:szCs w:val="20"/>
        </w:rPr>
        <w:lastRenderedPageBreak/>
        <w:t>withdrawals and payments remains relatively low. Credit continues to be the weakest aspect of rural financial inclusion. Credit services are still not widely available to the economically weaker sections and in geographically under-served areas.</w:t>
      </w:r>
    </w:p>
    <w:p w:rsidR="00924A16" w:rsidRPr="00C92A16" w:rsidRDefault="00924A16" w:rsidP="00C92A16">
      <w:pPr>
        <w:pStyle w:val="NormalWeb"/>
        <w:spacing w:line="360" w:lineRule="auto"/>
        <w:jc w:val="both"/>
        <w:rPr>
          <w:rFonts w:ascii="Arial" w:hAnsi="Arial" w:cs="Arial"/>
          <w:sz w:val="20"/>
          <w:szCs w:val="20"/>
        </w:rPr>
      </w:pPr>
      <w:r w:rsidRPr="00C92A16">
        <w:rPr>
          <w:rFonts w:ascii="Arial" w:hAnsi="Arial" w:cs="Arial"/>
          <w:sz w:val="20"/>
          <w:szCs w:val="20"/>
        </w:rPr>
        <w:t>Although banks have expanded into less developed regions, particularly in eastern and central India, their focus has primarily been on collecting deposits rather than offering credit. For poorer rural households, obtaining affordable credit is still a challenge, as they often rely on microfinance institutions and self-help groups instead of formal banks. Insurance access is also limited in rural areas. In 2019, insurance penetration in India was just 3.8% of income, and even lower in rural areas at 1.7%. Although it increased slightly to 4% in 2023, it declined again to 3.7% in 2024, showing limited progress in insurance adoption among rural populations.</w:t>
      </w:r>
    </w:p>
    <w:p w:rsidR="004865A3" w:rsidRPr="00C92A16" w:rsidRDefault="00AF61CF" w:rsidP="00C92A16">
      <w:pPr>
        <w:pStyle w:val="NormalWeb"/>
        <w:spacing w:line="360" w:lineRule="auto"/>
        <w:jc w:val="both"/>
        <w:rPr>
          <w:rFonts w:ascii="Arial" w:hAnsi="Arial" w:cs="Arial"/>
          <w:sz w:val="20"/>
          <w:szCs w:val="20"/>
        </w:rPr>
      </w:pPr>
      <w:proofErr w:type="spellStart"/>
      <w:r w:rsidRPr="00C92A16">
        <w:rPr>
          <w:rFonts w:ascii="Arial" w:hAnsi="Arial" w:cs="Arial"/>
          <w:b/>
          <w:sz w:val="20"/>
          <w:szCs w:val="20"/>
        </w:rPr>
        <w:t>Gokula</w:t>
      </w:r>
      <w:proofErr w:type="spellEnd"/>
      <w:r w:rsidRPr="00C92A16">
        <w:rPr>
          <w:rFonts w:ascii="Arial" w:hAnsi="Arial" w:cs="Arial"/>
          <w:b/>
          <w:sz w:val="20"/>
          <w:szCs w:val="20"/>
        </w:rPr>
        <w:t xml:space="preserve"> Priya, M., &amp; Shalini, P. (2025)</w:t>
      </w:r>
      <w:r w:rsidRPr="00C92A16">
        <w:rPr>
          <w:rFonts w:ascii="Arial" w:hAnsi="Arial" w:cs="Arial"/>
          <w:sz w:val="20"/>
          <w:szCs w:val="20"/>
        </w:rPr>
        <w:t>. This research paper provides a comparative analysis of how digital payment systems are adopted in urban versus rural areas. The study, based on structured questionnaires and detailed data analysis, highlights that digital payments are more commonly used and accepted in urban regions than in rural ones. Key obstacles in rural areas include poor digital infrastructure, limited internet access, low levels of digital literacy, and a general lack of trust in digital systems. Despite the growing acceptance of digital payments and their recognized benefits such as convenience and efficiency, many users—especially in rural areas—still face challenges like connectivity issues, technical problems, and transaction failures. As a result, cash continues to be seen as a more dependable mode of payment. The study underscores the need for targeted efforts to enhance digital infrastructure, raise public awareness, and provide technical support in order to foster a more inclusive digital financial ecosystem and support broader economic development.</w:t>
      </w:r>
    </w:p>
    <w:p w:rsidR="00751261" w:rsidRPr="008C347A" w:rsidRDefault="00751261" w:rsidP="008C347A">
      <w:pPr>
        <w:spacing w:line="360" w:lineRule="auto"/>
        <w:jc w:val="both"/>
        <w:rPr>
          <w:rFonts w:ascii="Arial" w:hAnsi="Arial" w:cs="Arial"/>
          <w:b/>
          <w:bCs/>
          <w:sz w:val="22"/>
        </w:rPr>
      </w:pPr>
      <w:r w:rsidRPr="008C347A">
        <w:rPr>
          <w:rFonts w:ascii="Arial" w:hAnsi="Arial" w:cs="Arial"/>
          <w:b/>
          <w:bCs/>
          <w:sz w:val="22"/>
        </w:rPr>
        <w:t>3. Objectives:</w:t>
      </w:r>
    </w:p>
    <w:p w:rsidR="00751261" w:rsidRPr="00751261" w:rsidRDefault="00751261" w:rsidP="008C347A">
      <w:pPr>
        <w:pStyle w:val="NormalWeb"/>
        <w:numPr>
          <w:ilvl w:val="0"/>
          <w:numId w:val="35"/>
        </w:numPr>
        <w:spacing w:before="0" w:beforeAutospacing="0" w:line="360" w:lineRule="auto"/>
        <w:jc w:val="both"/>
        <w:rPr>
          <w:rFonts w:ascii="Arial" w:hAnsi="Arial" w:cs="Arial"/>
          <w:b/>
          <w:sz w:val="20"/>
          <w:szCs w:val="20"/>
        </w:rPr>
      </w:pPr>
      <w:r w:rsidRPr="00751261">
        <w:rPr>
          <w:rStyle w:val="Strong"/>
          <w:rFonts w:ascii="Arial" w:hAnsi="Arial" w:cs="Arial"/>
          <w:b w:val="0"/>
          <w:sz w:val="20"/>
          <w:szCs w:val="20"/>
        </w:rPr>
        <w:t xml:space="preserve">To analyze the key </w:t>
      </w:r>
      <w:r w:rsidR="00887308">
        <w:rPr>
          <w:rStyle w:val="Strong"/>
          <w:rFonts w:ascii="Arial" w:hAnsi="Arial" w:cs="Arial"/>
          <w:b w:val="0"/>
          <w:sz w:val="20"/>
          <w:szCs w:val="20"/>
        </w:rPr>
        <w:t>E-Banking</w:t>
      </w:r>
      <w:r w:rsidRPr="00751261">
        <w:rPr>
          <w:rStyle w:val="Strong"/>
          <w:rFonts w:ascii="Arial" w:hAnsi="Arial" w:cs="Arial"/>
          <w:b w:val="0"/>
          <w:sz w:val="20"/>
          <w:szCs w:val="20"/>
        </w:rPr>
        <w:t xml:space="preserve"> trends that emerged in </w:t>
      </w:r>
      <w:r w:rsidR="00D0250C">
        <w:rPr>
          <w:rStyle w:val="Strong"/>
          <w:rFonts w:ascii="Arial" w:hAnsi="Arial" w:cs="Arial"/>
          <w:b w:val="0"/>
          <w:sz w:val="20"/>
          <w:szCs w:val="20"/>
        </w:rPr>
        <w:t>India</w:t>
      </w:r>
      <w:r w:rsidRPr="00751261">
        <w:rPr>
          <w:rStyle w:val="Strong"/>
          <w:rFonts w:ascii="Arial" w:hAnsi="Arial" w:cs="Arial"/>
          <w:b w:val="0"/>
          <w:sz w:val="20"/>
          <w:szCs w:val="20"/>
        </w:rPr>
        <w:t>'s retail banking sector following demonetization and their influence on consumer banking preferences and practices.</w:t>
      </w:r>
    </w:p>
    <w:p w:rsidR="00751261" w:rsidRPr="00751261" w:rsidRDefault="00751261" w:rsidP="00751261">
      <w:pPr>
        <w:pStyle w:val="NormalWeb"/>
        <w:numPr>
          <w:ilvl w:val="0"/>
          <w:numId w:val="35"/>
        </w:numPr>
        <w:spacing w:before="0" w:beforeAutospacing="0" w:after="0" w:afterAutospacing="0" w:line="360" w:lineRule="auto"/>
        <w:jc w:val="both"/>
        <w:rPr>
          <w:rStyle w:val="Strong"/>
          <w:rFonts w:ascii="Arial" w:hAnsi="Arial" w:cs="Arial"/>
          <w:b w:val="0"/>
          <w:bCs w:val="0"/>
          <w:sz w:val="20"/>
          <w:szCs w:val="20"/>
        </w:rPr>
      </w:pPr>
      <w:r w:rsidRPr="00751261">
        <w:rPr>
          <w:rStyle w:val="Strong"/>
          <w:rFonts w:ascii="Arial" w:hAnsi="Arial" w:cs="Arial"/>
          <w:b w:val="0"/>
          <w:sz w:val="20"/>
          <w:szCs w:val="20"/>
        </w:rPr>
        <w:t xml:space="preserve">To examine the changes in consumer behavior, including adoption rates, transaction patterns, and trust levels, in response to </w:t>
      </w:r>
      <w:r w:rsidR="00887308">
        <w:rPr>
          <w:rStyle w:val="Strong"/>
          <w:rFonts w:ascii="Arial" w:hAnsi="Arial" w:cs="Arial"/>
          <w:b w:val="0"/>
          <w:sz w:val="20"/>
          <w:szCs w:val="20"/>
        </w:rPr>
        <w:t>E-Banking</w:t>
      </w:r>
      <w:r w:rsidRPr="00751261">
        <w:rPr>
          <w:rStyle w:val="Strong"/>
          <w:rFonts w:ascii="Arial" w:hAnsi="Arial" w:cs="Arial"/>
          <w:b w:val="0"/>
          <w:sz w:val="20"/>
          <w:szCs w:val="20"/>
        </w:rPr>
        <w:t xml:space="preserve"> services post-demonetization.</w:t>
      </w:r>
    </w:p>
    <w:p w:rsidR="007F7B32" w:rsidRDefault="00751261" w:rsidP="00441B6F">
      <w:pPr>
        <w:pStyle w:val="AbstHead"/>
        <w:spacing w:after="0"/>
        <w:jc w:val="both"/>
        <w:rPr>
          <w:rFonts w:ascii="Arial" w:hAnsi="Arial" w:cs="Arial"/>
        </w:rPr>
      </w:pPr>
      <w:r>
        <w:rPr>
          <w:rFonts w:ascii="Arial" w:hAnsi="Arial" w:cs="Arial"/>
        </w:rPr>
        <w:t>4</w:t>
      </w:r>
      <w:r w:rsidR="00902823">
        <w:rPr>
          <w:rFonts w:ascii="Arial" w:hAnsi="Arial" w:cs="Arial"/>
        </w:rPr>
        <w:t xml:space="preserve">. </w:t>
      </w:r>
      <w:r w:rsidR="006B57D0">
        <w:rPr>
          <w:rFonts w:ascii="Arial" w:hAnsi="Arial" w:cs="Arial"/>
        </w:rPr>
        <w:t xml:space="preserve"> </w:t>
      </w:r>
      <w:r w:rsidR="00BC3B01">
        <w:rPr>
          <w:rFonts w:ascii="Arial" w:hAnsi="Arial" w:cs="Arial"/>
          <w:caps w:val="0"/>
        </w:rPr>
        <w:t xml:space="preserve">Methodology </w:t>
      </w:r>
    </w:p>
    <w:p w:rsidR="00790ADA" w:rsidRPr="00FB3A86" w:rsidRDefault="00790ADA" w:rsidP="00441B6F">
      <w:pPr>
        <w:pStyle w:val="AbstHead"/>
        <w:spacing w:after="0"/>
        <w:jc w:val="both"/>
        <w:rPr>
          <w:rFonts w:ascii="Arial" w:hAnsi="Arial" w:cs="Arial"/>
        </w:rPr>
      </w:pPr>
    </w:p>
    <w:p w:rsidR="007A5C1B" w:rsidRDefault="006C18D0" w:rsidP="007A5C1B">
      <w:pPr>
        <w:pStyle w:val="Body"/>
        <w:spacing w:after="0" w:line="360" w:lineRule="auto"/>
        <w:rPr>
          <w:rStyle w:val="Strong"/>
          <w:rFonts w:ascii="Arial" w:hAnsi="Arial" w:cs="Arial"/>
          <w:b w:val="0"/>
          <w:lang w:bidi="hi-IN"/>
        </w:rPr>
      </w:pPr>
      <w:r w:rsidRPr="00160843">
        <w:rPr>
          <w:rStyle w:val="Strong"/>
          <w:rFonts w:ascii="Arial" w:hAnsi="Arial" w:cs="Arial"/>
          <w:b w:val="0"/>
          <w:lang w:bidi="hi-IN"/>
        </w:rPr>
        <w:t>Th</w:t>
      </w:r>
      <w:r w:rsidR="00F42AC0">
        <w:rPr>
          <w:rStyle w:val="Strong"/>
          <w:rFonts w:ascii="Arial" w:hAnsi="Arial" w:cs="Arial"/>
          <w:b w:val="0"/>
          <w:lang w:bidi="hi-IN"/>
        </w:rPr>
        <w:t>is</w:t>
      </w:r>
      <w:r w:rsidRPr="00160843">
        <w:rPr>
          <w:rStyle w:val="Strong"/>
          <w:rFonts w:ascii="Arial" w:hAnsi="Arial" w:cs="Arial"/>
          <w:b w:val="0"/>
          <w:lang w:bidi="hi-IN"/>
        </w:rPr>
        <w:t xml:space="preserve"> study</w:t>
      </w:r>
      <w:r w:rsidR="00F42AC0">
        <w:rPr>
          <w:rStyle w:val="Strong"/>
          <w:rFonts w:ascii="Arial" w:hAnsi="Arial" w:cs="Arial"/>
          <w:b w:val="0"/>
          <w:lang w:bidi="hi-IN"/>
        </w:rPr>
        <w:t xml:space="preserve"> </w:t>
      </w:r>
      <w:r w:rsidRPr="00160843">
        <w:rPr>
          <w:rStyle w:val="Strong"/>
          <w:rFonts w:ascii="Arial" w:hAnsi="Arial" w:cs="Arial"/>
          <w:b w:val="0"/>
          <w:lang w:bidi="hi-IN"/>
        </w:rPr>
        <w:t xml:space="preserve">employs a mixed-methods approach to analyze the transformation in consumer behavior toward </w:t>
      </w:r>
      <w:r w:rsidR="00887308">
        <w:rPr>
          <w:rStyle w:val="Strong"/>
          <w:rFonts w:ascii="Arial" w:hAnsi="Arial" w:cs="Arial"/>
          <w:b w:val="0"/>
          <w:lang w:bidi="hi-IN"/>
        </w:rPr>
        <w:t>E-Banking</w:t>
      </w:r>
      <w:r w:rsidRPr="00160843">
        <w:rPr>
          <w:rStyle w:val="Strong"/>
          <w:rFonts w:ascii="Arial" w:hAnsi="Arial" w:cs="Arial"/>
          <w:b w:val="0"/>
          <w:lang w:bidi="hi-IN"/>
        </w:rPr>
        <w:t xml:space="preserve"> following demonetization.</w:t>
      </w:r>
    </w:p>
    <w:p w:rsidR="00160843" w:rsidRPr="00160843" w:rsidRDefault="00160843" w:rsidP="007A5C1B">
      <w:pPr>
        <w:pStyle w:val="Body"/>
        <w:spacing w:after="0" w:line="360" w:lineRule="auto"/>
        <w:rPr>
          <w:rFonts w:ascii="Arial" w:hAnsi="Arial" w:cs="Arial"/>
        </w:rPr>
      </w:pPr>
      <w:r w:rsidRPr="00160843">
        <w:rPr>
          <w:rFonts w:ascii="Arial" w:hAnsi="Arial" w:cs="Arial"/>
        </w:rPr>
        <w:t xml:space="preserve">To better understand how demonetization influenced the growth of </w:t>
      </w:r>
      <w:r w:rsidR="00887308">
        <w:rPr>
          <w:rFonts w:ascii="Arial" w:hAnsi="Arial" w:cs="Arial"/>
        </w:rPr>
        <w:t>E-Banking</w:t>
      </w:r>
      <w:r w:rsidRPr="00160843">
        <w:rPr>
          <w:rFonts w:ascii="Arial" w:hAnsi="Arial" w:cs="Arial"/>
        </w:rPr>
        <w:t xml:space="preserve"> in India’s retail banking sector, this study followed a </w:t>
      </w:r>
      <w:r w:rsidRPr="00160843">
        <w:rPr>
          <w:rStyle w:val="Strong"/>
          <w:rFonts w:ascii="Arial" w:hAnsi="Arial" w:cs="Arial"/>
          <w:b w:val="0"/>
        </w:rPr>
        <w:t>mixed-methods approach</w:t>
      </w:r>
      <w:r w:rsidRPr="00160843">
        <w:rPr>
          <w:rFonts w:ascii="Arial" w:hAnsi="Arial" w:cs="Arial"/>
        </w:rPr>
        <w:t xml:space="preserve">, combining both </w:t>
      </w:r>
      <w:r w:rsidRPr="00160843">
        <w:rPr>
          <w:rFonts w:ascii="Arial" w:hAnsi="Arial" w:cs="Arial"/>
        </w:rPr>
        <w:lastRenderedPageBreak/>
        <w:t xml:space="preserve">numbers and narratives. The aim was not just to track the rise in digital transactions but to also explore </w:t>
      </w:r>
      <w:r w:rsidRPr="00160843">
        <w:rPr>
          <w:rStyle w:val="Strong"/>
          <w:rFonts w:ascii="Arial" w:hAnsi="Arial" w:cs="Arial"/>
          <w:b w:val="0"/>
        </w:rPr>
        <w:t>how and why</w:t>
      </w:r>
      <w:r w:rsidRPr="00160843">
        <w:rPr>
          <w:rFonts w:ascii="Arial" w:hAnsi="Arial" w:cs="Arial"/>
        </w:rPr>
        <w:t xml:space="preserve"> people shifted their banking behavior during and after this major policy change.</w:t>
      </w:r>
    </w:p>
    <w:p w:rsidR="00160843" w:rsidRPr="00160843" w:rsidRDefault="00160843" w:rsidP="007A5C1B">
      <w:pPr>
        <w:pStyle w:val="Heading4"/>
        <w:spacing w:before="240" w:line="360" w:lineRule="auto"/>
        <w:rPr>
          <w:rFonts w:ascii="Arial" w:hAnsi="Arial" w:cs="Arial"/>
          <w:i w:val="0"/>
          <w:color w:val="auto"/>
          <w:sz w:val="20"/>
          <w:szCs w:val="20"/>
        </w:rPr>
      </w:pPr>
      <w:r w:rsidRPr="00160843">
        <w:rPr>
          <w:rStyle w:val="Strong"/>
          <w:rFonts w:ascii="Arial" w:hAnsi="Arial" w:cs="Arial"/>
          <w:bCs w:val="0"/>
          <w:i w:val="0"/>
          <w:color w:val="auto"/>
          <w:sz w:val="20"/>
          <w:szCs w:val="20"/>
        </w:rPr>
        <w:t>4.1 Research Approach</w:t>
      </w:r>
    </w:p>
    <w:p w:rsidR="00160843" w:rsidRDefault="00160843" w:rsidP="007A5C1B">
      <w:pPr>
        <w:pStyle w:val="NormalWeb"/>
        <w:spacing w:before="0" w:beforeAutospacing="0" w:after="0" w:afterAutospacing="0" w:line="360" w:lineRule="auto"/>
        <w:jc w:val="both"/>
        <w:rPr>
          <w:rFonts w:ascii="Arial" w:hAnsi="Arial" w:cs="Arial"/>
          <w:sz w:val="20"/>
          <w:szCs w:val="20"/>
        </w:rPr>
      </w:pPr>
      <w:r w:rsidRPr="00160843">
        <w:rPr>
          <w:rFonts w:ascii="Arial" w:hAnsi="Arial" w:cs="Arial"/>
          <w:sz w:val="20"/>
          <w:szCs w:val="20"/>
        </w:rPr>
        <w:t xml:space="preserve">This research is both </w:t>
      </w:r>
      <w:r w:rsidRPr="00160843">
        <w:rPr>
          <w:rStyle w:val="Strong"/>
          <w:rFonts w:ascii="Arial" w:hAnsi="Arial" w:cs="Arial"/>
          <w:b w:val="0"/>
          <w:sz w:val="20"/>
          <w:szCs w:val="20"/>
        </w:rPr>
        <w:t>descriptive and exploratory</w:t>
      </w:r>
      <w:r w:rsidRPr="00160843">
        <w:rPr>
          <w:rFonts w:ascii="Arial" w:hAnsi="Arial" w:cs="Arial"/>
          <w:sz w:val="20"/>
          <w:szCs w:val="20"/>
        </w:rPr>
        <w:t xml:space="preserve"> in nature. It describes key trends in digital banking and explores consumer behavior patterns that emerged in the years following demonetization. The focus was on uncovering meaningful insights into how different segments of the population — from tech-savvy urban users to first-time rural users — responded to the shift from cash to digital.</w:t>
      </w:r>
    </w:p>
    <w:p w:rsidR="00160843" w:rsidRPr="00160843" w:rsidRDefault="00160843" w:rsidP="007A5C1B">
      <w:pPr>
        <w:pStyle w:val="Heading4"/>
        <w:spacing w:before="0" w:line="360" w:lineRule="auto"/>
        <w:rPr>
          <w:rStyle w:val="Strong"/>
          <w:i w:val="0"/>
          <w:color w:val="auto"/>
        </w:rPr>
      </w:pPr>
      <w:r w:rsidRPr="00160843">
        <w:rPr>
          <w:rStyle w:val="Strong"/>
          <w:rFonts w:ascii="Arial" w:hAnsi="Arial" w:cs="Arial"/>
          <w:bCs w:val="0"/>
          <w:i w:val="0"/>
          <w:color w:val="auto"/>
          <w:sz w:val="20"/>
          <w:szCs w:val="20"/>
        </w:rPr>
        <w:t>4.2 Data Collection</w:t>
      </w:r>
    </w:p>
    <w:p w:rsidR="00160843" w:rsidRPr="00160843" w:rsidRDefault="00160843" w:rsidP="007A5C1B">
      <w:pPr>
        <w:pStyle w:val="NormalWeb"/>
        <w:spacing w:before="0" w:beforeAutospacing="0" w:after="0" w:afterAutospacing="0" w:line="360" w:lineRule="auto"/>
        <w:rPr>
          <w:rFonts w:ascii="Arial" w:hAnsi="Arial" w:cs="Arial"/>
          <w:sz w:val="20"/>
          <w:szCs w:val="20"/>
        </w:rPr>
      </w:pPr>
      <w:r w:rsidRPr="00160843">
        <w:rPr>
          <w:rFonts w:ascii="Arial" w:hAnsi="Arial" w:cs="Arial"/>
          <w:sz w:val="20"/>
          <w:szCs w:val="20"/>
        </w:rPr>
        <w:t xml:space="preserve">The study relied mainly on </w:t>
      </w:r>
      <w:r w:rsidRPr="00160843">
        <w:rPr>
          <w:rStyle w:val="Strong"/>
          <w:rFonts w:ascii="Arial" w:hAnsi="Arial" w:cs="Arial"/>
          <w:b w:val="0"/>
          <w:sz w:val="20"/>
          <w:szCs w:val="20"/>
        </w:rPr>
        <w:t>secondary data</w:t>
      </w:r>
      <w:r w:rsidRPr="00160843">
        <w:rPr>
          <w:rFonts w:ascii="Arial" w:hAnsi="Arial" w:cs="Arial"/>
          <w:sz w:val="20"/>
          <w:szCs w:val="20"/>
        </w:rPr>
        <w:t xml:space="preserve"> from credible, publicly available sources. These included:</w:t>
      </w:r>
    </w:p>
    <w:p w:rsidR="00160843" w:rsidRPr="00160843" w:rsidRDefault="00160843" w:rsidP="007A5C1B">
      <w:pPr>
        <w:pStyle w:val="NormalWeb"/>
        <w:numPr>
          <w:ilvl w:val="0"/>
          <w:numId w:val="40"/>
        </w:numPr>
        <w:spacing w:before="0" w:beforeAutospacing="0" w:after="0" w:afterAutospacing="0" w:line="360" w:lineRule="auto"/>
        <w:rPr>
          <w:rFonts w:ascii="Arial" w:hAnsi="Arial" w:cs="Arial"/>
          <w:sz w:val="20"/>
          <w:szCs w:val="20"/>
        </w:rPr>
      </w:pPr>
      <w:r w:rsidRPr="00160843">
        <w:rPr>
          <w:rFonts w:ascii="Arial" w:hAnsi="Arial" w:cs="Arial"/>
          <w:sz w:val="20"/>
          <w:szCs w:val="20"/>
        </w:rPr>
        <w:t>Reserve Bank of India (RBI) reports and bulletins</w:t>
      </w:r>
    </w:p>
    <w:p w:rsidR="00160843" w:rsidRPr="00160843" w:rsidRDefault="00160843" w:rsidP="007A5C1B">
      <w:pPr>
        <w:pStyle w:val="NormalWeb"/>
        <w:numPr>
          <w:ilvl w:val="0"/>
          <w:numId w:val="40"/>
        </w:numPr>
        <w:spacing w:before="0" w:beforeAutospacing="0" w:after="0" w:afterAutospacing="0" w:line="360" w:lineRule="auto"/>
        <w:rPr>
          <w:rFonts w:ascii="Arial" w:hAnsi="Arial" w:cs="Arial"/>
          <w:sz w:val="20"/>
          <w:szCs w:val="20"/>
        </w:rPr>
      </w:pPr>
      <w:r w:rsidRPr="00160843">
        <w:rPr>
          <w:rFonts w:ascii="Arial" w:hAnsi="Arial" w:cs="Arial"/>
          <w:sz w:val="20"/>
          <w:szCs w:val="20"/>
        </w:rPr>
        <w:t>National Payments Corporation of India (NPCI) data</w:t>
      </w:r>
    </w:p>
    <w:p w:rsidR="00160843" w:rsidRPr="00160843" w:rsidRDefault="00160843" w:rsidP="007A5C1B">
      <w:pPr>
        <w:pStyle w:val="NormalWeb"/>
        <w:numPr>
          <w:ilvl w:val="0"/>
          <w:numId w:val="40"/>
        </w:numPr>
        <w:spacing w:before="0" w:beforeAutospacing="0" w:after="0" w:afterAutospacing="0" w:line="360" w:lineRule="auto"/>
        <w:rPr>
          <w:rFonts w:ascii="Arial" w:hAnsi="Arial" w:cs="Arial"/>
          <w:sz w:val="20"/>
          <w:szCs w:val="20"/>
        </w:rPr>
      </w:pPr>
      <w:r w:rsidRPr="00160843">
        <w:rPr>
          <w:rFonts w:ascii="Arial" w:hAnsi="Arial" w:cs="Arial"/>
          <w:sz w:val="20"/>
          <w:szCs w:val="20"/>
        </w:rPr>
        <w:t>Press Information Bureau (PIB) updates</w:t>
      </w:r>
    </w:p>
    <w:p w:rsidR="00160843" w:rsidRPr="00160843" w:rsidRDefault="00160843" w:rsidP="007A5C1B">
      <w:pPr>
        <w:pStyle w:val="NormalWeb"/>
        <w:numPr>
          <w:ilvl w:val="0"/>
          <w:numId w:val="40"/>
        </w:numPr>
        <w:spacing w:before="0" w:beforeAutospacing="0" w:after="0" w:afterAutospacing="0" w:line="360" w:lineRule="auto"/>
        <w:rPr>
          <w:rFonts w:ascii="Arial" w:hAnsi="Arial" w:cs="Arial"/>
          <w:sz w:val="20"/>
          <w:szCs w:val="20"/>
        </w:rPr>
      </w:pPr>
      <w:r w:rsidRPr="00160843">
        <w:rPr>
          <w:rFonts w:ascii="Arial" w:hAnsi="Arial" w:cs="Arial"/>
          <w:sz w:val="20"/>
          <w:szCs w:val="20"/>
        </w:rPr>
        <w:t>Government schemes like Digital India and PMJDY</w:t>
      </w:r>
    </w:p>
    <w:p w:rsidR="00160843" w:rsidRPr="00160843" w:rsidRDefault="00160843" w:rsidP="007A5C1B">
      <w:pPr>
        <w:pStyle w:val="NormalWeb"/>
        <w:numPr>
          <w:ilvl w:val="0"/>
          <w:numId w:val="40"/>
        </w:numPr>
        <w:spacing w:before="0" w:beforeAutospacing="0" w:after="0" w:afterAutospacing="0" w:line="360" w:lineRule="auto"/>
        <w:rPr>
          <w:rFonts w:ascii="Arial" w:hAnsi="Arial" w:cs="Arial"/>
          <w:sz w:val="20"/>
          <w:szCs w:val="20"/>
        </w:rPr>
      </w:pPr>
      <w:r w:rsidRPr="00160843">
        <w:rPr>
          <w:rFonts w:ascii="Arial" w:hAnsi="Arial" w:cs="Arial"/>
          <w:sz w:val="20"/>
          <w:szCs w:val="20"/>
        </w:rPr>
        <w:t>Peer-reviewed journal articles and survey-based studies</w:t>
      </w:r>
    </w:p>
    <w:p w:rsidR="00160843" w:rsidRDefault="00160843" w:rsidP="007A5C1B">
      <w:pPr>
        <w:pStyle w:val="NormalWeb"/>
        <w:spacing w:before="0" w:beforeAutospacing="0" w:after="0" w:afterAutospacing="0" w:line="360" w:lineRule="auto"/>
        <w:jc w:val="both"/>
        <w:rPr>
          <w:rFonts w:ascii="Arial" w:hAnsi="Arial" w:cs="Arial"/>
          <w:sz w:val="20"/>
          <w:szCs w:val="20"/>
        </w:rPr>
      </w:pPr>
      <w:r w:rsidRPr="00160843">
        <w:rPr>
          <w:rFonts w:ascii="Arial" w:hAnsi="Arial" w:cs="Arial"/>
          <w:sz w:val="20"/>
          <w:szCs w:val="20"/>
        </w:rPr>
        <w:t>These sources provided rich information on digital transaction volumes, UPI usage, mobile banking trends, and rural financial inclusion.</w:t>
      </w:r>
    </w:p>
    <w:p w:rsidR="00160843" w:rsidRPr="00160843" w:rsidRDefault="00160843" w:rsidP="007A5C1B">
      <w:pPr>
        <w:pStyle w:val="Heading4"/>
        <w:spacing w:before="0" w:line="360" w:lineRule="auto"/>
        <w:rPr>
          <w:rStyle w:val="Strong"/>
          <w:i w:val="0"/>
          <w:color w:val="auto"/>
        </w:rPr>
      </w:pPr>
      <w:r w:rsidRPr="00160843">
        <w:rPr>
          <w:rStyle w:val="Strong"/>
          <w:rFonts w:ascii="Arial" w:hAnsi="Arial" w:cs="Arial"/>
          <w:bCs w:val="0"/>
          <w:i w:val="0"/>
          <w:color w:val="auto"/>
          <w:sz w:val="20"/>
          <w:szCs w:val="20"/>
        </w:rPr>
        <w:t>4.3 Scope and Sample</w:t>
      </w:r>
    </w:p>
    <w:p w:rsidR="00160843" w:rsidRPr="00160843" w:rsidRDefault="00160843" w:rsidP="007A5C1B">
      <w:pPr>
        <w:pStyle w:val="NormalWeb"/>
        <w:spacing w:before="0" w:beforeAutospacing="0" w:after="0" w:afterAutospacing="0" w:line="360" w:lineRule="auto"/>
        <w:jc w:val="both"/>
        <w:rPr>
          <w:rFonts w:ascii="Arial" w:hAnsi="Arial" w:cs="Arial"/>
          <w:sz w:val="20"/>
          <w:szCs w:val="20"/>
        </w:rPr>
      </w:pPr>
      <w:r w:rsidRPr="00160843">
        <w:rPr>
          <w:rFonts w:ascii="Arial" w:hAnsi="Arial" w:cs="Arial"/>
          <w:sz w:val="20"/>
          <w:szCs w:val="20"/>
        </w:rPr>
        <w:t xml:space="preserve">The research looked at data from </w:t>
      </w:r>
      <w:r w:rsidRPr="00160843">
        <w:rPr>
          <w:rStyle w:val="Strong"/>
          <w:rFonts w:ascii="Arial" w:hAnsi="Arial" w:cs="Arial"/>
          <w:b w:val="0"/>
          <w:sz w:val="20"/>
          <w:szCs w:val="20"/>
        </w:rPr>
        <w:t>2016 to 2025</w:t>
      </w:r>
      <w:r w:rsidRPr="00160843">
        <w:rPr>
          <w:rFonts w:ascii="Arial" w:hAnsi="Arial" w:cs="Arial"/>
          <w:sz w:val="20"/>
          <w:szCs w:val="20"/>
        </w:rPr>
        <w:t>, a period that captures both the immediate effects of demonetization and the long-term shift toward digital banking. The study focused on three broad groups:</w:t>
      </w:r>
    </w:p>
    <w:p w:rsidR="00160843" w:rsidRPr="00160843" w:rsidRDefault="00160843" w:rsidP="007A5C1B">
      <w:pPr>
        <w:pStyle w:val="NormalWeb"/>
        <w:numPr>
          <w:ilvl w:val="0"/>
          <w:numId w:val="41"/>
        </w:numPr>
        <w:spacing w:before="0" w:beforeAutospacing="0" w:after="0" w:afterAutospacing="0" w:line="360" w:lineRule="auto"/>
        <w:jc w:val="both"/>
        <w:rPr>
          <w:rFonts w:ascii="Arial" w:hAnsi="Arial" w:cs="Arial"/>
          <w:sz w:val="20"/>
          <w:szCs w:val="20"/>
        </w:rPr>
      </w:pPr>
      <w:r w:rsidRPr="00160843">
        <w:rPr>
          <w:rStyle w:val="Strong"/>
          <w:rFonts w:ascii="Arial" w:hAnsi="Arial" w:cs="Arial"/>
          <w:b w:val="0"/>
          <w:sz w:val="20"/>
          <w:szCs w:val="20"/>
        </w:rPr>
        <w:t>Urban consumers</w:t>
      </w:r>
      <w:r w:rsidRPr="00160843">
        <w:rPr>
          <w:rFonts w:ascii="Arial" w:hAnsi="Arial" w:cs="Arial"/>
          <w:sz w:val="20"/>
          <w:szCs w:val="20"/>
        </w:rPr>
        <w:t xml:space="preserve">, who were early adopters of </w:t>
      </w:r>
      <w:r w:rsidR="00887308">
        <w:rPr>
          <w:rFonts w:ascii="Arial" w:hAnsi="Arial" w:cs="Arial"/>
          <w:sz w:val="20"/>
          <w:szCs w:val="20"/>
        </w:rPr>
        <w:t>E-Banking</w:t>
      </w:r>
      <w:r w:rsidRPr="00160843">
        <w:rPr>
          <w:rFonts w:ascii="Arial" w:hAnsi="Arial" w:cs="Arial"/>
          <w:sz w:val="20"/>
          <w:szCs w:val="20"/>
        </w:rPr>
        <w:t xml:space="preserve"> platforms.</w:t>
      </w:r>
    </w:p>
    <w:p w:rsidR="00160843" w:rsidRPr="00160843" w:rsidRDefault="00160843" w:rsidP="007A5C1B">
      <w:pPr>
        <w:pStyle w:val="NormalWeb"/>
        <w:numPr>
          <w:ilvl w:val="0"/>
          <w:numId w:val="41"/>
        </w:numPr>
        <w:spacing w:before="0" w:beforeAutospacing="0" w:after="0" w:afterAutospacing="0" w:line="360" w:lineRule="auto"/>
        <w:jc w:val="both"/>
        <w:rPr>
          <w:rFonts w:ascii="Arial" w:hAnsi="Arial" w:cs="Arial"/>
          <w:sz w:val="20"/>
          <w:szCs w:val="20"/>
        </w:rPr>
      </w:pPr>
      <w:r w:rsidRPr="00160843">
        <w:rPr>
          <w:rStyle w:val="Strong"/>
          <w:rFonts w:ascii="Arial" w:hAnsi="Arial" w:cs="Arial"/>
          <w:b w:val="0"/>
          <w:sz w:val="20"/>
          <w:szCs w:val="20"/>
        </w:rPr>
        <w:t>Rural and semi-urban users</w:t>
      </w:r>
      <w:r w:rsidRPr="00160843">
        <w:rPr>
          <w:rFonts w:ascii="Arial" w:hAnsi="Arial" w:cs="Arial"/>
          <w:sz w:val="20"/>
          <w:szCs w:val="20"/>
        </w:rPr>
        <w:t>, who started using digital services largely due to necessity and awareness campaigns.</w:t>
      </w:r>
    </w:p>
    <w:p w:rsidR="00160843" w:rsidRPr="00160843" w:rsidRDefault="00160843" w:rsidP="007A5C1B">
      <w:pPr>
        <w:pStyle w:val="NormalWeb"/>
        <w:numPr>
          <w:ilvl w:val="0"/>
          <w:numId w:val="41"/>
        </w:numPr>
        <w:spacing w:before="0" w:beforeAutospacing="0" w:after="0" w:afterAutospacing="0" w:line="360" w:lineRule="auto"/>
        <w:jc w:val="both"/>
        <w:rPr>
          <w:rFonts w:ascii="Arial" w:hAnsi="Arial" w:cs="Arial"/>
          <w:sz w:val="20"/>
          <w:szCs w:val="20"/>
        </w:rPr>
      </w:pPr>
      <w:r w:rsidRPr="00160843">
        <w:rPr>
          <w:rStyle w:val="Strong"/>
          <w:rFonts w:ascii="Arial" w:hAnsi="Arial" w:cs="Arial"/>
          <w:b w:val="0"/>
          <w:sz w:val="20"/>
          <w:szCs w:val="20"/>
        </w:rPr>
        <w:t>Retail banks</w:t>
      </w:r>
      <w:r w:rsidRPr="00160843">
        <w:rPr>
          <w:rFonts w:ascii="Arial" w:hAnsi="Arial" w:cs="Arial"/>
          <w:sz w:val="20"/>
          <w:szCs w:val="20"/>
        </w:rPr>
        <w:t>, which had to adapt their services and strategies to meet the sudden demand for digital solutions.</w:t>
      </w:r>
    </w:p>
    <w:p w:rsidR="00160843" w:rsidRPr="00160843" w:rsidRDefault="00160843" w:rsidP="007A5C1B">
      <w:pPr>
        <w:pStyle w:val="Heading4"/>
        <w:spacing w:before="0" w:line="360" w:lineRule="auto"/>
        <w:rPr>
          <w:rStyle w:val="Strong"/>
          <w:i w:val="0"/>
          <w:color w:val="auto"/>
        </w:rPr>
      </w:pPr>
      <w:r w:rsidRPr="00160843">
        <w:rPr>
          <w:rStyle w:val="Strong"/>
          <w:rFonts w:ascii="Arial" w:hAnsi="Arial" w:cs="Arial"/>
          <w:bCs w:val="0"/>
          <w:i w:val="0"/>
          <w:color w:val="auto"/>
          <w:sz w:val="20"/>
          <w:szCs w:val="20"/>
        </w:rPr>
        <w:t>4.4 Data Analysis</w:t>
      </w:r>
    </w:p>
    <w:p w:rsidR="00160843" w:rsidRPr="00160843" w:rsidRDefault="00160843" w:rsidP="007A5C1B">
      <w:pPr>
        <w:pStyle w:val="NormalWeb"/>
        <w:spacing w:before="0" w:beforeAutospacing="0" w:after="0" w:afterAutospacing="0" w:line="360" w:lineRule="auto"/>
        <w:jc w:val="both"/>
        <w:rPr>
          <w:rFonts w:ascii="Arial" w:hAnsi="Arial" w:cs="Arial"/>
          <w:sz w:val="20"/>
          <w:szCs w:val="20"/>
        </w:rPr>
      </w:pPr>
      <w:r w:rsidRPr="00160843">
        <w:rPr>
          <w:rFonts w:ascii="Arial" w:hAnsi="Arial" w:cs="Arial"/>
          <w:sz w:val="20"/>
          <w:szCs w:val="20"/>
        </w:rPr>
        <w:t xml:space="preserve">The data was analyzed using </w:t>
      </w:r>
      <w:r w:rsidRPr="00160843">
        <w:rPr>
          <w:rStyle w:val="Strong"/>
          <w:rFonts w:ascii="Arial" w:hAnsi="Arial" w:cs="Arial"/>
          <w:b w:val="0"/>
          <w:sz w:val="20"/>
          <w:szCs w:val="20"/>
        </w:rPr>
        <w:t>trend comparison methods</w:t>
      </w:r>
      <w:r w:rsidRPr="00160843">
        <w:rPr>
          <w:rFonts w:ascii="Arial" w:hAnsi="Arial" w:cs="Arial"/>
          <w:sz w:val="20"/>
          <w:szCs w:val="20"/>
        </w:rPr>
        <w:t>. Key indicators such as UPI transaction volumes, mobile banking usage, and the percentage of digital vs. cash transactions were tracked across the years. This helped illustrate how fast — and how deeply — digital banking took root in different parts of the country.</w:t>
      </w:r>
    </w:p>
    <w:p w:rsidR="00160843" w:rsidRPr="00160843" w:rsidRDefault="00160843" w:rsidP="007A5C1B">
      <w:pPr>
        <w:pStyle w:val="NormalWeb"/>
        <w:spacing w:before="0" w:beforeAutospacing="0" w:after="0" w:afterAutospacing="0" w:line="360" w:lineRule="auto"/>
        <w:jc w:val="both"/>
        <w:rPr>
          <w:rFonts w:ascii="Arial" w:hAnsi="Arial" w:cs="Arial"/>
          <w:sz w:val="20"/>
          <w:szCs w:val="20"/>
        </w:rPr>
      </w:pPr>
      <w:r w:rsidRPr="00160843">
        <w:rPr>
          <w:rFonts w:ascii="Arial" w:hAnsi="Arial" w:cs="Arial"/>
          <w:sz w:val="20"/>
          <w:szCs w:val="20"/>
        </w:rPr>
        <w:t xml:space="preserve">In addition to numbers, </w:t>
      </w:r>
      <w:r w:rsidRPr="00160843">
        <w:rPr>
          <w:rStyle w:val="Strong"/>
          <w:rFonts w:ascii="Arial" w:hAnsi="Arial" w:cs="Arial"/>
          <w:b w:val="0"/>
          <w:sz w:val="20"/>
          <w:szCs w:val="20"/>
        </w:rPr>
        <w:t>qualitative insights</w:t>
      </w:r>
      <w:r w:rsidRPr="00160843">
        <w:rPr>
          <w:rFonts w:ascii="Arial" w:hAnsi="Arial" w:cs="Arial"/>
          <w:sz w:val="20"/>
          <w:szCs w:val="20"/>
        </w:rPr>
        <w:t xml:space="preserve"> were gathered from published surveys, user studies, and case-based observations. These provided a more personal perspective on how people felt about digital banking, what challenges they faced, and what motivated them to make the switch.</w:t>
      </w:r>
    </w:p>
    <w:p w:rsidR="006C18D0" w:rsidRPr="006C18D0" w:rsidRDefault="00751261" w:rsidP="007A5C1B">
      <w:pPr>
        <w:pStyle w:val="Heading4"/>
        <w:spacing w:before="0"/>
        <w:jc w:val="both"/>
        <w:rPr>
          <w:rStyle w:val="Strong"/>
          <w:rFonts w:ascii="Arial" w:hAnsi="Arial" w:cs="Arial"/>
          <w:i w:val="0"/>
          <w:color w:val="auto"/>
          <w:sz w:val="20"/>
          <w:szCs w:val="20"/>
        </w:rPr>
      </w:pPr>
      <w:r>
        <w:rPr>
          <w:rFonts w:ascii="Arial" w:hAnsi="Arial" w:cs="Arial"/>
          <w:b/>
          <w:i w:val="0"/>
          <w:color w:val="auto"/>
          <w:sz w:val="20"/>
          <w:szCs w:val="20"/>
        </w:rPr>
        <w:lastRenderedPageBreak/>
        <w:t xml:space="preserve">5. </w:t>
      </w:r>
      <w:r w:rsidR="006C18D0" w:rsidRPr="006C18D0">
        <w:rPr>
          <w:rFonts w:ascii="Arial" w:hAnsi="Arial" w:cs="Arial"/>
          <w:b/>
          <w:i w:val="0"/>
          <w:color w:val="auto"/>
          <w:sz w:val="20"/>
          <w:szCs w:val="20"/>
        </w:rPr>
        <w:t>A Brief Profile</w:t>
      </w:r>
      <w:r w:rsidR="00951047">
        <w:rPr>
          <w:rFonts w:ascii="Arial" w:hAnsi="Arial" w:cs="Arial"/>
          <w:b/>
          <w:i w:val="0"/>
          <w:color w:val="auto"/>
          <w:sz w:val="20"/>
          <w:szCs w:val="20"/>
        </w:rPr>
        <w:t xml:space="preserve"> on</w:t>
      </w:r>
      <w:r>
        <w:rPr>
          <w:rFonts w:ascii="Arial" w:hAnsi="Arial" w:cs="Arial"/>
          <w:b/>
          <w:i w:val="0"/>
          <w:color w:val="auto"/>
          <w:sz w:val="20"/>
          <w:szCs w:val="20"/>
        </w:rPr>
        <w:t xml:space="preserve"> </w:t>
      </w:r>
      <w:r w:rsidR="00887308">
        <w:rPr>
          <w:rStyle w:val="Strong"/>
          <w:rFonts w:ascii="Arial" w:hAnsi="Arial" w:cs="Arial"/>
          <w:i w:val="0"/>
          <w:color w:val="auto"/>
          <w:sz w:val="20"/>
          <w:szCs w:val="20"/>
        </w:rPr>
        <w:t>E-Banking</w:t>
      </w:r>
      <w:r w:rsidR="006C18D0" w:rsidRPr="006C18D0">
        <w:rPr>
          <w:rStyle w:val="Strong"/>
          <w:rFonts w:ascii="Arial" w:hAnsi="Arial" w:cs="Arial"/>
          <w:i w:val="0"/>
          <w:color w:val="auto"/>
          <w:sz w:val="20"/>
          <w:szCs w:val="20"/>
        </w:rPr>
        <w:t xml:space="preserve"> Trends in </w:t>
      </w:r>
      <w:r w:rsidR="00D0250C">
        <w:rPr>
          <w:rStyle w:val="Strong"/>
          <w:rFonts w:ascii="Arial" w:hAnsi="Arial" w:cs="Arial"/>
          <w:i w:val="0"/>
          <w:color w:val="auto"/>
          <w:sz w:val="20"/>
          <w:szCs w:val="20"/>
        </w:rPr>
        <w:t>India</w:t>
      </w:r>
      <w:r w:rsidR="006C18D0" w:rsidRPr="006C18D0">
        <w:rPr>
          <w:rStyle w:val="Strong"/>
          <w:rFonts w:ascii="Arial" w:hAnsi="Arial" w:cs="Arial"/>
          <w:i w:val="0"/>
          <w:color w:val="auto"/>
          <w:sz w:val="20"/>
          <w:szCs w:val="20"/>
        </w:rPr>
        <w:t>'s Retail Banking: Impact of Demonetization on Consumer Behavior</w:t>
      </w:r>
    </w:p>
    <w:p w:rsidR="006C18D0" w:rsidRDefault="006C18D0" w:rsidP="007A5C1B">
      <w:pPr>
        <w:pStyle w:val="Heading4"/>
        <w:spacing w:before="0" w:line="360" w:lineRule="auto"/>
        <w:jc w:val="both"/>
        <w:rPr>
          <w:rStyle w:val="Strong"/>
          <w:rFonts w:ascii="Arial" w:hAnsi="Arial" w:cs="Arial"/>
          <w:b w:val="0"/>
          <w:i w:val="0"/>
          <w:color w:val="auto"/>
          <w:sz w:val="20"/>
          <w:szCs w:val="20"/>
        </w:rPr>
      </w:pPr>
      <w:r w:rsidRPr="006C18D0">
        <w:rPr>
          <w:rStyle w:val="Strong"/>
          <w:rFonts w:ascii="Arial" w:hAnsi="Arial" w:cs="Arial"/>
          <w:b w:val="0"/>
          <w:i w:val="0"/>
          <w:color w:val="auto"/>
          <w:sz w:val="20"/>
          <w:szCs w:val="20"/>
        </w:rPr>
        <w:t xml:space="preserve">The demonetization initiative in </w:t>
      </w:r>
      <w:r w:rsidR="00D0250C">
        <w:rPr>
          <w:rStyle w:val="Strong"/>
          <w:rFonts w:ascii="Arial" w:hAnsi="Arial" w:cs="Arial"/>
          <w:b w:val="0"/>
          <w:i w:val="0"/>
          <w:color w:val="auto"/>
          <w:sz w:val="20"/>
          <w:szCs w:val="20"/>
        </w:rPr>
        <w:t>India</w:t>
      </w:r>
      <w:r w:rsidRPr="006C18D0">
        <w:rPr>
          <w:rStyle w:val="Strong"/>
          <w:rFonts w:ascii="Arial" w:hAnsi="Arial" w:cs="Arial"/>
          <w:b w:val="0"/>
          <w:i w:val="0"/>
          <w:color w:val="auto"/>
          <w:sz w:val="20"/>
          <w:szCs w:val="20"/>
        </w:rPr>
        <w:t xml:space="preserve">, announced in November 2016, aimed to combat black money, counterfeit currency, and corruption. While its immediate effects were felt across various sectors, one of the most significant transformations occurred in the financial sector, particularly in retail banking. The forced withdrawal of high-denomination currency notes led to an accelerated shift toward digital banking. This article explores how the demonetization period impacted consumer behavior and shaped </w:t>
      </w:r>
      <w:r w:rsidR="00887308">
        <w:rPr>
          <w:rStyle w:val="Strong"/>
          <w:rFonts w:ascii="Arial" w:hAnsi="Arial" w:cs="Arial"/>
          <w:b w:val="0"/>
          <w:i w:val="0"/>
          <w:color w:val="auto"/>
          <w:sz w:val="20"/>
          <w:szCs w:val="20"/>
        </w:rPr>
        <w:t>E-Banking</w:t>
      </w:r>
      <w:r w:rsidRPr="006C18D0">
        <w:rPr>
          <w:rStyle w:val="Strong"/>
          <w:rFonts w:ascii="Arial" w:hAnsi="Arial" w:cs="Arial"/>
          <w:b w:val="0"/>
          <w:i w:val="0"/>
          <w:color w:val="auto"/>
          <w:sz w:val="20"/>
          <w:szCs w:val="20"/>
        </w:rPr>
        <w:t xml:space="preserve"> trends in </w:t>
      </w:r>
      <w:r w:rsidR="00D0250C">
        <w:rPr>
          <w:rStyle w:val="Strong"/>
          <w:rFonts w:ascii="Arial" w:hAnsi="Arial" w:cs="Arial"/>
          <w:b w:val="0"/>
          <w:i w:val="0"/>
          <w:color w:val="auto"/>
          <w:sz w:val="20"/>
          <w:szCs w:val="20"/>
        </w:rPr>
        <w:t>India</w:t>
      </w:r>
      <w:r w:rsidRPr="006C18D0">
        <w:rPr>
          <w:rStyle w:val="Strong"/>
          <w:rFonts w:ascii="Arial" w:hAnsi="Arial" w:cs="Arial"/>
          <w:b w:val="0"/>
          <w:i w:val="0"/>
          <w:color w:val="auto"/>
          <w:sz w:val="20"/>
          <w:szCs w:val="20"/>
        </w:rPr>
        <w:t>'s retail banking sector.</w:t>
      </w:r>
    </w:p>
    <w:p w:rsidR="006C18D0" w:rsidRPr="006C18D0" w:rsidRDefault="00751261" w:rsidP="007A5C1B">
      <w:pPr>
        <w:pStyle w:val="Heading4"/>
        <w:spacing w:before="0"/>
        <w:rPr>
          <w:rStyle w:val="Strong"/>
          <w:rFonts w:ascii="Arial" w:hAnsi="Arial" w:cs="Arial"/>
          <w:i w:val="0"/>
          <w:color w:val="auto"/>
          <w:sz w:val="20"/>
          <w:szCs w:val="20"/>
        </w:rPr>
      </w:pPr>
      <w:r>
        <w:rPr>
          <w:rStyle w:val="Strong"/>
          <w:rFonts w:ascii="Arial" w:hAnsi="Arial" w:cs="Arial"/>
          <w:i w:val="0"/>
          <w:color w:val="auto"/>
          <w:sz w:val="20"/>
          <w:szCs w:val="20"/>
        </w:rPr>
        <w:t xml:space="preserve">5.1 </w:t>
      </w:r>
      <w:r w:rsidR="00887308">
        <w:rPr>
          <w:rStyle w:val="Strong"/>
          <w:rFonts w:ascii="Arial" w:hAnsi="Arial" w:cs="Arial"/>
          <w:i w:val="0"/>
          <w:color w:val="auto"/>
          <w:sz w:val="20"/>
          <w:szCs w:val="20"/>
        </w:rPr>
        <w:t>E-Banking</w:t>
      </w:r>
      <w:r w:rsidR="006C18D0" w:rsidRPr="006C18D0">
        <w:rPr>
          <w:rStyle w:val="Strong"/>
          <w:rFonts w:ascii="Arial" w:hAnsi="Arial" w:cs="Arial"/>
          <w:i w:val="0"/>
          <w:color w:val="auto"/>
          <w:sz w:val="20"/>
          <w:szCs w:val="20"/>
        </w:rPr>
        <w:t xml:space="preserve"> Adoption Before and After Demonetization</w:t>
      </w:r>
    </w:p>
    <w:p w:rsidR="007A5C1B" w:rsidRDefault="006C18D0" w:rsidP="007A5C1B">
      <w:pPr>
        <w:pStyle w:val="NormalWeb"/>
        <w:spacing w:before="0" w:beforeAutospacing="0" w:line="360" w:lineRule="auto"/>
        <w:jc w:val="both"/>
        <w:rPr>
          <w:rStyle w:val="Strong"/>
          <w:rFonts w:ascii="Arial" w:eastAsiaTheme="majorEastAsia" w:hAnsi="Arial" w:cs="Arial"/>
          <w:b w:val="0"/>
          <w:iCs/>
          <w:sz w:val="20"/>
          <w:szCs w:val="20"/>
          <w:lang w:bidi="ar-SA"/>
        </w:rPr>
      </w:pPr>
      <w:r w:rsidRPr="006C18D0">
        <w:rPr>
          <w:rStyle w:val="Strong"/>
          <w:rFonts w:ascii="Arial" w:eastAsiaTheme="majorEastAsia" w:hAnsi="Arial" w:cs="Arial"/>
          <w:b w:val="0"/>
          <w:iCs/>
          <w:sz w:val="20"/>
          <w:szCs w:val="20"/>
          <w:lang w:bidi="ar-SA"/>
        </w:rPr>
        <w:t xml:space="preserve">Pre-demonetization, digital banking was growing but remained limited in its adoption, primarily in urban areas. The advent of demonetization, however, provided a catalyst that pushed millions of consumers towards adopting digital banking. The shift was not only driven by necessity but also by the convenience and safety that </w:t>
      </w:r>
      <w:r w:rsidR="00887308">
        <w:rPr>
          <w:rStyle w:val="Strong"/>
          <w:rFonts w:ascii="Arial" w:eastAsiaTheme="majorEastAsia" w:hAnsi="Arial" w:cs="Arial"/>
          <w:b w:val="0"/>
          <w:iCs/>
          <w:sz w:val="20"/>
          <w:szCs w:val="20"/>
          <w:lang w:bidi="ar-SA"/>
        </w:rPr>
        <w:t>E-Banking</w:t>
      </w:r>
      <w:r w:rsidRPr="006C18D0">
        <w:rPr>
          <w:rStyle w:val="Strong"/>
          <w:rFonts w:ascii="Arial" w:eastAsiaTheme="majorEastAsia" w:hAnsi="Arial" w:cs="Arial"/>
          <w:b w:val="0"/>
          <w:iCs/>
          <w:sz w:val="20"/>
          <w:szCs w:val="20"/>
          <w:lang w:bidi="ar-SA"/>
        </w:rPr>
        <w:t xml:space="preserve"> provided during a cash crunch.</w:t>
      </w:r>
    </w:p>
    <w:p w:rsidR="00C92A16" w:rsidRPr="00C62D96" w:rsidRDefault="00C92A16" w:rsidP="007A5C1B">
      <w:pPr>
        <w:pStyle w:val="NormalWeb"/>
        <w:spacing w:before="0" w:beforeAutospacing="0" w:line="360" w:lineRule="auto"/>
        <w:jc w:val="center"/>
        <w:rPr>
          <w:rFonts w:ascii="Arial" w:hAnsi="Arial" w:cs="Arial"/>
          <w:sz w:val="20"/>
        </w:rPr>
      </w:pPr>
      <w:r w:rsidRPr="00C62D96">
        <w:rPr>
          <w:rStyle w:val="Strong"/>
          <w:rFonts w:ascii="Arial" w:hAnsi="Arial" w:cs="Arial"/>
          <w:bCs w:val="0"/>
          <w:sz w:val="20"/>
        </w:rPr>
        <w:t xml:space="preserve">Table 1: Comparison of </w:t>
      </w:r>
      <w:r w:rsidR="00887308">
        <w:rPr>
          <w:rStyle w:val="Strong"/>
          <w:rFonts w:ascii="Arial" w:hAnsi="Arial" w:cs="Arial"/>
          <w:bCs w:val="0"/>
          <w:sz w:val="20"/>
        </w:rPr>
        <w:t>E-Banking</w:t>
      </w:r>
      <w:r w:rsidRPr="00C62D96">
        <w:rPr>
          <w:rStyle w:val="Strong"/>
          <w:rFonts w:ascii="Arial" w:hAnsi="Arial" w:cs="Arial"/>
          <w:bCs w:val="0"/>
          <w:sz w:val="20"/>
        </w:rPr>
        <w:t xml:space="preserve"> Metrics Before and After Demonetization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125"/>
        <w:gridCol w:w="173"/>
      </w:tblGrid>
      <w:tr w:rsidR="00C92A16" w:rsidTr="007A5C1B">
        <w:trPr>
          <w:tblHeader/>
          <w:tblCellSpacing w:w="15" w:type="dxa"/>
        </w:trPr>
        <w:tc>
          <w:tcPr>
            <w:tcW w:w="8080" w:type="dxa"/>
            <w:vAlign w:val="center"/>
            <w:hideMark/>
          </w:tcPr>
          <w:tbl>
            <w:tblPr>
              <w:tblStyle w:val="TableGrid"/>
              <w:tblW w:w="7867" w:type="dxa"/>
              <w:tblLayout w:type="fixed"/>
              <w:tblLook w:val="04A0" w:firstRow="1" w:lastRow="0" w:firstColumn="1" w:lastColumn="0" w:noHBand="0" w:noVBand="1"/>
            </w:tblPr>
            <w:tblGrid>
              <w:gridCol w:w="3389"/>
              <w:gridCol w:w="2171"/>
              <w:gridCol w:w="2307"/>
            </w:tblGrid>
            <w:tr w:rsidR="00C92A16" w:rsidTr="007A5C1B">
              <w:trPr>
                <w:trHeight w:val="349"/>
              </w:trPr>
              <w:tc>
                <w:tcPr>
                  <w:tcW w:w="3389" w:type="dxa"/>
                </w:tcPr>
                <w:p w:rsidR="00C92A16" w:rsidRPr="00C92A16" w:rsidRDefault="00C92A16">
                  <w:pPr>
                    <w:jc w:val="center"/>
                    <w:rPr>
                      <w:rStyle w:val="Strong"/>
                      <w:rFonts w:ascii="Arial" w:hAnsi="Arial" w:cs="Arial"/>
                      <w:sz w:val="20"/>
                      <w:szCs w:val="20"/>
                    </w:rPr>
                  </w:pPr>
                  <w:r w:rsidRPr="00C92A16">
                    <w:rPr>
                      <w:rStyle w:val="Strong"/>
                      <w:rFonts w:ascii="Arial" w:hAnsi="Arial" w:cs="Arial"/>
                      <w:sz w:val="20"/>
                      <w:szCs w:val="20"/>
                    </w:rPr>
                    <w:t>Metric</w:t>
                  </w:r>
                </w:p>
              </w:tc>
              <w:tc>
                <w:tcPr>
                  <w:tcW w:w="2171" w:type="dxa"/>
                </w:tcPr>
                <w:p w:rsidR="00C92A16" w:rsidRPr="00C92A16" w:rsidRDefault="00C92A16">
                  <w:pPr>
                    <w:jc w:val="center"/>
                    <w:rPr>
                      <w:rStyle w:val="Strong"/>
                      <w:rFonts w:ascii="Arial" w:hAnsi="Arial" w:cs="Arial"/>
                      <w:sz w:val="20"/>
                      <w:szCs w:val="20"/>
                    </w:rPr>
                  </w:pPr>
                  <w:r w:rsidRPr="00C92A16">
                    <w:rPr>
                      <w:rStyle w:val="Strong"/>
                      <w:rFonts w:ascii="Arial" w:hAnsi="Arial" w:cs="Arial"/>
                      <w:sz w:val="20"/>
                      <w:szCs w:val="20"/>
                    </w:rPr>
                    <w:t>Pre-Demonetization (2015–2016)</w:t>
                  </w:r>
                </w:p>
              </w:tc>
              <w:tc>
                <w:tcPr>
                  <w:tcW w:w="2307" w:type="dxa"/>
                </w:tcPr>
                <w:p w:rsidR="00C92A16" w:rsidRPr="00C92A16" w:rsidRDefault="00C92A16">
                  <w:pPr>
                    <w:jc w:val="center"/>
                    <w:rPr>
                      <w:rStyle w:val="Strong"/>
                      <w:rFonts w:ascii="Arial" w:hAnsi="Arial" w:cs="Arial"/>
                      <w:sz w:val="20"/>
                      <w:szCs w:val="20"/>
                    </w:rPr>
                  </w:pPr>
                  <w:r w:rsidRPr="00C92A16">
                    <w:rPr>
                      <w:rStyle w:val="Strong"/>
                      <w:rFonts w:ascii="Arial" w:hAnsi="Arial" w:cs="Arial"/>
                      <w:sz w:val="20"/>
                      <w:szCs w:val="20"/>
                    </w:rPr>
                    <w:t>Post-Demonetization (2017–2025)</w:t>
                  </w:r>
                </w:p>
              </w:tc>
            </w:tr>
            <w:tr w:rsidR="00C92A16" w:rsidTr="007A5C1B">
              <w:trPr>
                <w:trHeight w:val="469"/>
              </w:trPr>
              <w:tc>
                <w:tcPr>
                  <w:tcW w:w="3389" w:type="dxa"/>
                  <w:vAlign w:val="center"/>
                </w:tcPr>
                <w:p w:rsidR="00C92A16" w:rsidRPr="00C92A16" w:rsidRDefault="00C92A16" w:rsidP="00C92A16">
                  <w:pPr>
                    <w:rPr>
                      <w:rFonts w:ascii="Arial" w:hAnsi="Arial" w:cs="Arial"/>
                      <w:sz w:val="20"/>
                      <w:szCs w:val="20"/>
                    </w:rPr>
                  </w:pPr>
                  <w:r w:rsidRPr="00C92A16">
                    <w:rPr>
                      <w:rStyle w:val="Strong"/>
                      <w:rFonts w:ascii="Arial" w:hAnsi="Arial" w:cs="Arial"/>
                      <w:sz w:val="20"/>
                      <w:szCs w:val="20"/>
                    </w:rPr>
                    <w:t>Number of Digital Transactions (in billions)</w:t>
                  </w:r>
                </w:p>
              </w:tc>
              <w:tc>
                <w:tcPr>
                  <w:tcW w:w="2171" w:type="dxa"/>
                  <w:vAlign w:val="center"/>
                </w:tcPr>
                <w:p w:rsidR="00C92A16" w:rsidRPr="00C92A16" w:rsidRDefault="00C92A16" w:rsidP="007A5C1B">
                  <w:pPr>
                    <w:jc w:val="center"/>
                    <w:rPr>
                      <w:rFonts w:ascii="Arial" w:hAnsi="Arial" w:cs="Arial"/>
                      <w:sz w:val="20"/>
                      <w:szCs w:val="20"/>
                    </w:rPr>
                  </w:pPr>
                  <w:r w:rsidRPr="00C92A16">
                    <w:rPr>
                      <w:rFonts w:ascii="Arial" w:hAnsi="Arial" w:cs="Arial"/>
                      <w:sz w:val="20"/>
                      <w:szCs w:val="20"/>
                    </w:rPr>
                    <w:t>5.3</w:t>
                  </w:r>
                </w:p>
              </w:tc>
              <w:tc>
                <w:tcPr>
                  <w:tcW w:w="2307" w:type="dxa"/>
                  <w:vAlign w:val="center"/>
                </w:tcPr>
                <w:p w:rsidR="00C92A16" w:rsidRPr="00C92A16" w:rsidRDefault="00C92A16" w:rsidP="007A5C1B">
                  <w:pPr>
                    <w:rPr>
                      <w:rFonts w:ascii="Arial" w:hAnsi="Arial" w:cs="Arial"/>
                      <w:sz w:val="20"/>
                      <w:szCs w:val="20"/>
                    </w:rPr>
                  </w:pPr>
                  <w:r w:rsidRPr="00C92A16">
                    <w:rPr>
                      <w:rFonts w:ascii="Arial" w:hAnsi="Arial" w:cs="Arial"/>
                      <w:sz w:val="20"/>
                      <w:szCs w:val="20"/>
                    </w:rPr>
                    <w:t>185.8</w:t>
                  </w:r>
                  <w:r>
                    <w:rPr>
                      <w:rFonts w:ascii="Arial" w:hAnsi="Arial" w:cs="Arial"/>
                      <w:sz w:val="20"/>
                      <w:szCs w:val="20"/>
                    </w:rPr>
                    <w:t xml:space="preserve"> </w:t>
                  </w:r>
                  <w:r w:rsidRPr="00C92A16">
                    <w:rPr>
                      <w:rFonts w:ascii="Arial" w:hAnsi="Arial" w:cs="Arial"/>
                      <w:sz w:val="20"/>
                      <w:szCs w:val="20"/>
                    </w:rPr>
                    <w:t>%</w:t>
                  </w:r>
                  <w:r w:rsidR="006F78E7">
                    <w:rPr>
                      <w:rFonts w:ascii="Arial" w:hAnsi="Arial" w:cs="Arial"/>
                      <w:sz w:val="20"/>
                      <w:szCs w:val="20"/>
                    </w:rPr>
                    <w:t xml:space="preserve"> </w:t>
                  </w:r>
                  <w:r w:rsidRPr="00C92A16">
                    <w:rPr>
                      <w:rFonts w:ascii="Arial" w:hAnsi="Arial" w:cs="Arial"/>
                      <w:sz w:val="20"/>
                      <w:szCs w:val="20"/>
                    </w:rPr>
                    <w:t>(FY 2025</w:t>
                  </w:r>
                </w:p>
              </w:tc>
            </w:tr>
            <w:tr w:rsidR="00C92A16" w:rsidTr="007A5C1B">
              <w:trPr>
                <w:trHeight w:val="357"/>
              </w:trPr>
              <w:tc>
                <w:tcPr>
                  <w:tcW w:w="3389" w:type="dxa"/>
                  <w:vAlign w:val="center"/>
                </w:tcPr>
                <w:p w:rsidR="00C92A16" w:rsidRPr="00C92A16" w:rsidRDefault="00C92A16" w:rsidP="00C92A16">
                  <w:pPr>
                    <w:rPr>
                      <w:rFonts w:ascii="Arial" w:hAnsi="Arial" w:cs="Arial"/>
                      <w:sz w:val="20"/>
                      <w:szCs w:val="20"/>
                    </w:rPr>
                  </w:pPr>
                  <w:r w:rsidRPr="00C92A16">
                    <w:rPr>
                      <w:rStyle w:val="Strong"/>
                      <w:rFonts w:ascii="Arial" w:hAnsi="Arial" w:cs="Arial"/>
                      <w:sz w:val="20"/>
                      <w:szCs w:val="20"/>
                    </w:rPr>
                    <w:t>UPI Transactions (in billions)</w:t>
                  </w:r>
                </w:p>
              </w:tc>
              <w:tc>
                <w:tcPr>
                  <w:tcW w:w="2171" w:type="dxa"/>
                  <w:vAlign w:val="center"/>
                </w:tcPr>
                <w:p w:rsidR="00C92A16" w:rsidRPr="00C92A16" w:rsidRDefault="00C92A16" w:rsidP="007A5C1B">
                  <w:pPr>
                    <w:jc w:val="center"/>
                    <w:rPr>
                      <w:rFonts w:ascii="Arial" w:hAnsi="Arial" w:cs="Arial"/>
                      <w:sz w:val="20"/>
                      <w:szCs w:val="20"/>
                    </w:rPr>
                  </w:pPr>
                  <w:r w:rsidRPr="00C92A16">
                    <w:rPr>
                      <w:rFonts w:ascii="Arial" w:hAnsi="Arial" w:cs="Arial"/>
                      <w:sz w:val="20"/>
                      <w:szCs w:val="20"/>
                    </w:rPr>
                    <w:t>0.02</w:t>
                  </w:r>
                </w:p>
              </w:tc>
              <w:tc>
                <w:tcPr>
                  <w:tcW w:w="2307" w:type="dxa"/>
                  <w:vAlign w:val="center"/>
                </w:tcPr>
                <w:p w:rsidR="00C92A16" w:rsidRPr="00C92A16" w:rsidRDefault="00C92A16" w:rsidP="007A5C1B">
                  <w:pPr>
                    <w:rPr>
                      <w:rFonts w:ascii="Arial" w:hAnsi="Arial" w:cs="Arial"/>
                      <w:sz w:val="20"/>
                      <w:szCs w:val="20"/>
                    </w:rPr>
                  </w:pPr>
                  <w:r w:rsidRPr="00C92A16">
                    <w:rPr>
                      <w:rFonts w:ascii="Arial" w:hAnsi="Arial" w:cs="Arial"/>
                      <w:sz w:val="20"/>
                      <w:szCs w:val="20"/>
                    </w:rPr>
                    <w:t>185.8% (FY 2025)</w:t>
                  </w:r>
                </w:p>
              </w:tc>
            </w:tr>
            <w:tr w:rsidR="00C92A16" w:rsidTr="007A5C1B">
              <w:trPr>
                <w:trHeight w:val="469"/>
              </w:trPr>
              <w:tc>
                <w:tcPr>
                  <w:tcW w:w="3389" w:type="dxa"/>
                  <w:vAlign w:val="center"/>
                </w:tcPr>
                <w:p w:rsidR="00C92A16" w:rsidRPr="00C92A16" w:rsidRDefault="00C92A16" w:rsidP="00C92A16">
                  <w:pPr>
                    <w:rPr>
                      <w:rFonts w:ascii="Arial" w:hAnsi="Arial" w:cs="Arial"/>
                      <w:sz w:val="20"/>
                      <w:szCs w:val="20"/>
                    </w:rPr>
                  </w:pPr>
                  <w:r w:rsidRPr="00C92A16">
                    <w:rPr>
                      <w:rStyle w:val="Strong"/>
                      <w:rFonts w:ascii="Arial" w:hAnsi="Arial" w:cs="Arial"/>
                      <w:sz w:val="20"/>
                      <w:szCs w:val="20"/>
                    </w:rPr>
                    <w:t>Mobile Banking Users (in millions)</w:t>
                  </w:r>
                </w:p>
              </w:tc>
              <w:tc>
                <w:tcPr>
                  <w:tcW w:w="2171" w:type="dxa"/>
                  <w:vAlign w:val="center"/>
                </w:tcPr>
                <w:p w:rsidR="00C92A16" w:rsidRPr="00C92A16" w:rsidRDefault="00C92A16" w:rsidP="007A5C1B">
                  <w:pPr>
                    <w:jc w:val="center"/>
                    <w:rPr>
                      <w:rFonts w:ascii="Arial" w:hAnsi="Arial" w:cs="Arial"/>
                      <w:sz w:val="20"/>
                      <w:szCs w:val="20"/>
                    </w:rPr>
                  </w:pPr>
                  <w:r w:rsidRPr="00C92A16">
                    <w:rPr>
                      <w:rFonts w:ascii="Arial" w:hAnsi="Arial" w:cs="Arial"/>
                      <w:sz w:val="20"/>
                      <w:szCs w:val="20"/>
                    </w:rPr>
                    <w:t>110</w:t>
                  </w:r>
                </w:p>
              </w:tc>
              <w:tc>
                <w:tcPr>
                  <w:tcW w:w="2307" w:type="dxa"/>
                  <w:vAlign w:val="center"/>
                </w:tcPr>
                <w:p w:rsidR="00C92A16" w:rsidRPr="00C92A16" w:rsidRDefault="00C92A16" w:rsidP="007A5C1B">
                  <w:pPr>
                    <w:rPr>
                      <w:rFonts w:ascii="Arial" w:hAnsi="Arial" w:cs="Arial"/>
                      <w:sz w:val="20"/>
                      <w:szCs w:val="20"/>
                    </w:rPr>
                  </w:pPr>
                  <w:r w:rsidRPr="00C92A16">
                    <w:rPr>
                      <w:rFonts w:ascii="Arial" w:hAnsi="Arial" w:cs="Arial"/>
                      <w:sz w:val="20"/>
                      <w:szCs w:val="20"/>
                    </w:rPr>
                    <w:t>200%+ (FY 2025)</w:t>
                  </w:r>
                </w:p>
              </w:tc>
            </w:tr>
            <w:tr w:rsidR="00C92A16" w:rsidTr="007A5C1B">
              <w:trPr>
                <w:trHeight w:val="469"/>
              </w:trPr>
              <w:tc>
                <w:tcPr>
                  <w:tcW w:w="3389" w:type="dxa"/>
                  <w:vAlign w:val="center"/>
                </w:tcPr>
                <w:p w:rsidR="00C92A16" w:rsidRPr="00C92A16" w:rsidRDefault="00C92A16" w:rsidP="00C92A16">
                  <w:pPr>
                    <w:rPr>
                      <w:rFonts w:ascii="Arial" w:hAnsi="Arial" w:cs="Arial"/>
                      <w:sz w:val="20"/>
                      <w:szCs w:val="20"/>
                    </w:rPr>
                  </w:pPr>
                  <w:r w:rsidRPr="00C92A16">
                    <w:rPr>
                      <w:rStyle w:val="Strong"/>
                      <w:rFonts w:ascii="Arial" w:hAnsi="Arial" w:cs="Arial"/>
                      <w:sz w:val="20"/>
                      <w:szCs w:val="20"/>
                    </w:rPr>
                    <w:t>Internet Banking Transactions (in billions)</w:t>
                  </w:r>
                </w:p>
              </w:tc>
              <w:tc>
                <w:tcPr>
                  <w:tcW w:w="2171" w:type="dxa"/>
                  <w:vAlign w:val="center"/>
                </w:tcPr>
                <w:p w:rsidR="00C92A16" w:rsidRPr="00C92A16" w:rsidRDefault="00C92A16" w:rsidP="007A5C1B">
                  <w:pPr>
                    <w:jc w:val="center"/>
                    <w:rPr>
                      <w:rFonts w:ascii="Arial" w:hAnsi="Arial" w:cs="Arial"/>
                      <w:sz w:val="20"/>
                      <w:szCs w:val="20"/>
                    </w:rPr>
                  </w:pPr>
                  <w:r w:rsidRPr="00C92A16">
                    <w:rPr>
                      <w:rFonts w:ascii="Arial" w:hAnsi="Arial" w:cs="Arial"/>
                      <w:sz w:val="20"/>
                      <w:szCs w:val="20"/>
                    </w:rPr>
                    <w:t>3.2</w:t>
                  </w:r>
                </w:p>
              </w:tc>
              <w:tc>
                <w:tcPr>
                  <w:tcW w:w="2307" w:type="dxa"/>
                  <w:vAlign w:val="center"/>
                </w:tcPr>
                <w:p w:rsidR="00C92A16" w:rsidRPr="00C92A16" w:rsidRDefault="00C92A16" w:rsidP="007A5C1B">
                  <w:pPr>
                    <w:rPr>
                      <w:rFonts w:ascii="Arial" w:hAnsi="Arial" w:cs="Arial"/>
                      <w:sz w:val="20"/>
                      <w:szCs w:val="20"/>
                    </w:rPr>
                  </w:pPr>
                  <w:r w:rsidRPr="00C92A16">
                    <w:rPr>
                      <w:rFonts w:ascii="Arial" w:hAnsi="Arial" w:cs="Arial"/>
                      <w:sz w:val="20"/>
                      <w:szCs w:val="20"/>
                    </w:rPr>
                    <w:t>15.4</w:t>
                  </w:r>
                  <w:r>
                    <w:rPr>
                      <w:rFonts w:ascii="Arial" w:hAnsi="Arial" w:cs="Arial"/>
                      <w:sz w:val="20"/>
                      <w:szCs w:val="20"/>
                    </w:rPr>
                    <w:t xml:space="preserve"> </w:t>
                  </w:r>
                  <w:r w:rsidRPr="00C92A16">
                    <w:rPr>
                      <w:rFonts w:ascii="Arial" w:hAnsi="Arial" w:cs="Arial"/>
                      <w:sz w:val="20"/>
                      <w:szCs w:val="20"/>
                    </w:rPr>
                    <w:t>% (FY 2025)</w:t>
                  </w:r>
                </w:p>
              </w:tc>
            </w:tr>
            <w:tr w:rsidR="00C92A16" w:rsidTr="007A5C1B">
              <w:trPr>
                <w:trHeight w:val="349"/>
              </w:trPr>
              <w:tc>
                <w:tcPr>
                  <w:tcW w:w="3389" w:type="dxa"/>
                  <w:vAlign w:val="center"/>
                </w:tcPr>
                <w:p w:rsidR="00C92A16" w:rsidRPr="00C92A16" w:rsidRDefault="00C92A16" w:rsidP="00C92A16">
                  <w:pPr>
                    <w:rPr>
                      <w:rFonts w:ascii="Arial" w:hAnsi="Arial" w:cs="Arial"/>
                      <w:sz w:val="20"/>
                      <w:szCs w:val="20"/>
                    </w:rPr>
                  </w:pPr>
                  <w:r w:rsidRPr="00C92A16">
                    <w:rPr>
                      <w:rStyle w:val="Strong"/>
                      <w:rFonts w:ascii="Arial" w:hAnsi="Arial" w:cs="Arial"/>
                      <w:sz w:val="20"/>
                      <w:szCs w:val="20"/>
                    </w:rPr>
                    <w:t>ATM Withdrawals (in billions)</w:t>
                  </w:r>
                </w:p>
              </w:tc>
              <w:tc>
                <w:tcPr>
                  <w:tcW w:w="2171" w:type="dxa"/>
                  <w:vAlign w:val="center"/>
                </w:tcPr>
                <w:p w:rsidR="00C92A16" w:rsidRPr="00C92A16" w:rsidRDefault="00C92A16" w:rsidP="007A5C1B">
                  <w:pPr>
                    <w:jc w:val="center"/>
                    <w:rPr>
                      <w:rFonts w:ascii="Arial" w:hAnsi="Arial" w:cs="Arial"/>
                      <w:sz w:val="20"/>
                      <w:szCs w:val="20"/>
                    </w:rPr>
                  </w:pPr>
                  <w:r w:rsidRPr="00C92A16">
                    <w:rPr>
                      <w:rFonts w:ascii="Arial" w:hAnsi="Arial" w:cs="Arial"/>
                      <w:sz w:val="20"/>
                      <w:szCs w:val="20"/>
                    </w:rPr>
                    <w:t>30</w:t>
                  </w:r>
                </w:p>
              </w:tc>
              <w:tc>
                <w:tcPr>
                  <w:tcW w:w="2307" w:type="dxa"/>
                  <w:vAlign w:val="center"/>
                </w:tcPr>
                <w:p w:rsidR="00C92A16" w:rsidRPr="00C92A16" w:rsidRDefault="00C92A16" w:rsidP="007A5C1B">
                  <w:pPr>
                    <w:rPr>
                      <w:rFonts w:ascii="Arial" w:hAnsi="Arial" w:cs="Arial"/>
                      <w:sz w:val="20"/>
                      <w:szCs w:val="20"/>
                    </w:rPr>
                  </w:pPr>
                  <w:r w:rsidRPr="00C92A16">
                    <w:rPr>
                      <w:rFonts w:ascii="Arial" w:hAnsi="Arial" w:cs="Arial"/>
                      <w:sz w:val="20"/>
                      <w:szCs w:val="20"/>
                    </w:rPr>
                    <w:t>18 % (FY 2025)</w:t>
                  </w:r>
                </w:p>
              </w:tc>
            </w:tr>
            <w:tr w:rsidR="00C92A16" w:rsidTr="007A5C1B">
              <w:trPr>
                <w:trHeight w:val="588"/>
              </w:trPr>
              <w:tc>
                <w:tcPr>
                  <w:tcW w:w="3389" w:type="dxa"/>
                  <w:vAlign w:val="center"/>
                </w:tcPr>
                <w:p w:rsidR="00C92A16" w:rsidRPr="00C92A16" w:rsidRDefault="00C92A16" w:rsidP="00C92A16">
                  <w:pPr>
                    <w:rPr>
                      <w:rFonts w:ascii="Arial" w:hAnsi="Arial" w:cs="Arial"/>
                      <w:sz w:val="20"/>
                      <w:szCs w:val="20"/>
                    </w:rPr>
                  </w:pPr>
                  <w:r w:rsidRPr="00C92A16">
                    <w:rPr>
                      <w:rStyle w:val="Strong"/>
                      <w:rFonts w:ascii="Arial" w:hAnsi="Arial" w:cs="Arial"/>
                      <w:sz w:val="20"/>
                      <w:szCs w:val="20"/>
                    </w:rPr>
                    <w:t>Percentage of Digital Transactions to Total Transactions</w:t>
                  </w:r>
                </w:p>
              </w:tc>
              <w:tc>
                <w:tcPr>
                  <w:tcW w:w="2171" w:type="dxa"/>
                  <w:vAlign w:val="center"/>
                </w:tcPr>
                <w:p w:rsidR="00C92A16" w:rsidRPr="00C92A16" w:rsidRDefault="00C92A16" w:rsidP="007A5C1B">
                  <w:pPr>
                    <w:jc w:val="center"/>
                    <w:rPr>
                      <w:rFonts w:ascii="Arial" w:hAnsi="Arial" w:cs="Arial"/>
                      <w:sz w:val="20"/>
                      <w:szCs w:val="20"/>
                    </w:rPr>
                  </w:pPr>
                  <w:r w:rsidRPr="00C92A16">
                    <w:rPr>
                      <w:rFonts w:ascii="Arial" w:hAnsi="Arial" w:cs="Arial"/>
                      <w:sz w:val="20"/>
                      <w:szCs w:val="20"/>
                    </w:rPr>
                    <w:t>22%</w:t>
                  </w:r>
                </w:p>
              </w:tc>
              <w:tc>
                <w:tcPr>
                  <w:tcW w:w="2307" w:type="dxa"/>
                  <w:vAlign w:val="center"/>
                </w:tcPr>
                <w:p w:rsidR="00C92A16" w:rsidRPr="00C92A16" w:rsidRDefault="00C92A16" w:rsidP="007A5C1B">
                  <w:pPr>
                    <w:rPr>
                      <w:rFonts w:ascii="Arial" w:hAnsi="Arial" w:cs="Arial"/>
                      <w:sz w:val="20"/>
                      <w:szCs w:val="20"/>
                    </w:rPr>
                  </w:pPr>
                  <w:r w:rsidRPr="00C92A16">
                    <w:rPr>
                      <w:rFonts w:ascii="Arial" w:hAnsi="Arial" w:cs="Arial"/>
                      <w:sz w:val="20"/>
                      <w:szCs w:val="20"/>
                    </w:rPr>
                    <w:t>60% (FY 2025)</w:t>
                  </w:r>
                </w:p>
              </w:tc>
            </w:tr>
          </w:tbl>
          <w:p w:rsidR="00C92A16" w:rsidRDefault="00C92A16">
            <w:pPr>
              <w:jc w:val="center"/>
              <w:rPr>
                <w:b/>
                <w:bCs/>
              </w:rPr>
            </w:pPr>
          </w:p>
        </w:tc>
        <w:tc>
          <w:tcPr>
            <w:tcW w:w="128" w:type="dxa"/>
            <w:vAlign w:val="center"/>
            <w:hideMark/>
          </w:tcPr>
          <w:p w:rsidR="00C92A16" w:rsidRDefault="00C92A16">
            <w:pPr>
              <w:jc w:val="center"/>
              <w:rPr>
                <w:b/>
                <w:bCs/>
              </w:rPr>
            </w:pPr>
          </w:p>
        </w:tc>
      </w:tr>
    </w:tbl>
    <w:p w:rsidR="00C92A16" w:rsidRPr="00C92A16" w:rsidRDefault="00C92A16" w:rsidP="00C92A16">
      <w:pPr>
        <w:pStyle w:val="NormalWeb"/>
        <w:numPr>
          <w:ilvl w:val="0"/>
          <w:numId w:val="36"/>
        </w:numPr>
        <w:spacing w:line="360" w:lineRule="auto"/>
        <w:jc w:val="both"/>
        <w:rPr>
          <w:rFonts w:ascii="Arial" w:hAnsi="Arial" w:cs="Arial"/>
          <w:sz w:val="20"/>
        </w:rPr>
      </w:pPr>
      <w:r w:rsidRPr="00C92A16">
        <w:rPr>
          <w:rStyle w:val="Strong"/>
          <w:rFonts w:ascii="Arial" w:hAnsi="Arial" w:cs="Arial"/>
          <w:sz w:val="20"/>
        </w:rPr>
        <w:t>Unified Payments Interface (UPI):</w:t>
      </w:r>
      <w:r w:rsidRPr="00C92A16">
        <w:rPr>
          <w:rFonts w:ascii="Arial" w:hAnsi="Arial" w:cs="Arial"/>
          <w:sz w:val="20"/>
        </w:rPr>
        <w:t xml:space="preserve"> Launched in 2016, UPI has become the cornerstone of India's digital payment ecosystem. By FY 2025, UPI processed over 185 billion transactions, accounting for approximately 70% of total digital payments. </w:t>
      </w:r>
    </w:p>
    <w:p w:rsidR="00C92A16" w:rsidRPr="00C92A16" w:rsidRDefault="00C92A16" w:rsidP="00C92A16">
      <w:pPr>
        <w:pStyle w:val="NormalWeb"/>
        <w:numPr>
          <w:ilvl w:val="0"/>
          <w:numId w:val="36"/>
        </w:numPr>
        <w:spacing w:line="360" w:lineRule="auto"/>
        <w:jc w:val="both"/>
        <w:rPr>
          <w:rFonts w:ascii="Arial" w:hAnsi="Arial" w:cs="Arial"/>
          <w:sz w:val="20"/>
        </w:rPr>
      </w:pPr>
      <w:r w:rsidRPr="00C92A16">
        <w:rPr>
          <w:rStyle w:val="Strong"/>
          <w:rFonts w:ascii="Arial" w:hAnsi="Arial" w:cs="Arial"/>
          <w:sz w:val="20"/>
        </w:rPr>
        <w:t>Mobile Banking Users:</w:t>
      </w:r>
      <w:r w:rsidRPr="00C92A16">
        <w:rPr>
          <w:rFonts w:ascii="Arial" w:hAnsi="Arial" w:cs="Arial"/>
          <w:sz w:val="20"/>
        </w:rPr>
        <w:t xml:space="preserve"> The number of mobile banking users has seen a significant increase, reaching over 200 million by FY 2025, reflecting the growing adoption of smartphones and mobile internet. </w:t>
      </w:r>
    </w:p>
    <w:p w:rsidR="00C92A16" w:rsidRPr="00C92A16" w:rsidRDefault="00C92A16" w:rsidP="00C92A16">
      <w:pPr>
        <w:pStyle w:val="NormalWeb"/>
        <w:numPr>
          <w:ilvl w:val="0"/>
          <w:numId w:val="36"/>
        </w:numPr>
        <w:spacing w:line="360" w:lineRule="auto"/>
        <w:jc w:val="both"/>
        <w:rPr>
          <w:rFonts w:ascii="Arial" w:hAnsi="Arial" w:cs="Arial"/>
          <w:sz w:val="20"/>
        </w:rPr>
      </w:pPr>
      <w:r w:rsidRPr="00C92A16">
        <w:rPr>
          <w:rStyle w:val="Strong"/>
          <w:rFonts w:ascii="Arial" w:hAnsi="Arial" w:cs="Arial"/>
          <w:sz w:val="20"/>
        </w:rPr>
        <w:t>Internet Banking Transactions:</w:t>
      </w:r>
      <w:r w:rsidRPr="00C92A16">
        <w:rPr>
          <w:rFonts w:ascii="Arial" w:hAnsi="Arial" w:cs="Arial"/>
          <w:sz w:val="20"/>
        </w:rPr>
        <w:t xml:space="preserve"> Transactions through internet banking platforms have also risen, with over 15 billion transactions recorded in FY 2025. </w:t>
      </w:r>
    </w:p>
    <w:p w:rsidR="00C92A16" w:rsidRPr="00C92A16" w:rsidRDefault="00C92A16" w:rsidP="00C92A16">
      <w:pPr>
        <w:pStyle w:val="NormalWeb"/>
        <w:numPr>
          <w:ilvl w:val="0"/>
          <w:numId w:val="36"/>
        </w:numPr>
        <w:spacing w:line="360" w:lineRule="auto"/>
        <w:jc w:val="both"/>
        <w:rPr>
          <w:rStyle w:val="ms-1"/>
          <w:rFonts w:ascii="Arial" w:hAnsi="Arial" w:cs="Arial"/>
          <w:sz w:val="20"/>
        </w:rPr>
      </w:pPr>
      <w:r w:rsidRPr="00C92A16">
        <w:rPr>
          <w:rStyle w:val="Strong"/>
          <w:rFonts w:ascii="Arial" w:hAnsi="Arial" w:cs="Arial"/>
          <w:sz w:val="20"/>
        </w:rPr>
        <w:lastRenderedPageBreak/>
        <w:t>ATM Withdrawals:</w:t>
      </w:r>
      <w:r w:rsidRPr="00C92A16">
        <w:rPr>
          <w:rFonts w:ascii="Arial" w:hAnsi="Arial" w:cs="Arial"/>
          <w:sz w:val="20"/>
        </w:rPr>
        <w:t xml:space="preserve"> Despite the surge in digital payments, ATM withdrawals have remained significant, with 18 billion transactions in FY 2025, indicating continued reliance on cash for certain transactions. </w:t>
      </w:r>
    </w:p>
    <w:p w:rsidR="00C92A16" w:rsidRDefault="00C92A16" w:rsidP="00C92A16">
      <w:pPr>
        <w:pStyle w:val="NormalWeb"/>
        <w:numPr>
          <w:ilvl w:val="0"/>
          <w:numId w:val="36"/>
        </w:numPr>
        <w:spacing w:line="360" w:lineRule="auto"/>
        <w:jc w:val="both"/>
        <w:rPr>
          <w:rFonts w:ascii="Arial" w:hAnsi="Arial" w:cs="Arial"/>
          <w:sz w:val="20"/>
        </w:rPr>
      </w:pPr>
      <w:r w:rsidRPr="00C92A16">
        <w:rPr>
          <w:rStyle w:val="Strong"/>
          <w:rFonts w:ascii="Arial" w:hAnsi="Arial" w:cs="Arial"/>
          <w:sz w:val="20"/>
        </w:rPr>
        <w:t>Digital Transaction Share:</w:t>
      </w:r>
      <w:r w:rsidRPr="00C92A16">
        <w:rPr>
          <w:rFonts w:ascii="Arial" w:hAnsi="Arial" w:cs="Arial"/>
          <w:sz w:val="20"/>
        </w:rPr>
        <w:t xml:space="preserve"> The share of digital transactions in total transactions has increased to 60% by FY 2025, up from 22% in 2015–2016, showcasing the success of initiatives promoting digital payments. </w:t>
      </w:r>
    </w:p>
    <w:p w:rsidR="00C62D96" w:rsidRDefault="008C347A" w:rsidP="00C62D96">
      <w:pPr>
        <w:pStyle w:val="NormalWeb"/>
        <w:spacing w:line="360" w:lineRule="auto"/>
        <w:jc w:val="center"/>
        <w:rPr>
          <w:rFonts w:ascii="Arial" w:hAnsi="Arial" w:cs="Arial"/>
          <w:b/>
          <w:sz w:val="20"/>
        </w:rPr>
      </w:pPr>
      <w:r>
        <w:rPr>
          <w:rFonts w:ascii="Arial" w:hAnsi="Arial" w:cs="Arial"/>
          <w:noProof/>
          <w:sz w:val="20"/>
          <w:lang w:val="en-IN" w:eastAsia="en-IN" w:bidi="ar-SA"/>
        </w:rPr>
        <w:drawing>
          <wp:anchor distT="0" distB="0" distL="114300" distR="114300" simplePos="0" relativeHeight="251658752" behindDoc="1" locked="0" layoutInCell="1" allowOverlap="1" wp14:anchorId="5B921D0B" wp14:editId="0F711700">
            <wp:simplePos x="0" y="0"/>
            <wp:positionH relativeFrom="margin">
              <wp:posOffset>15240</wp:posOffset>
            </wp:positionH>
            <wp:positionV relativeFrom="margin">
              <wp:posOffset>1803400</wp:posOffset>
            </wp:positionV>
            <wp:extent cx="5210175" cy="2581275"/>
            <wp:effectExtent l="0" t="0" r="9525" b="9525"/>
            <wp:wrapTight wrapText="bothSides">
              <wp:wrapPolygon edited="0">
                <wp:start x="0" y="0"/>
                <wp:lineTo x="0" y="21520"/>
                <wp:lineTo x="21561" y="21520"/>
                <wp:lineTo x="21561" y="0"/>
                <wp:lineTo x="0" y="0"/>
              </wp:wrapPolygon>
            </wp:wrapTight>
            <wp:docPr id="2" name="Picture 2" descr="C:\Users\Home PC\OneDrive\Desktop\7a864dc9-afc0-4f18-88e2-958a81d239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me PC\OneDrive\Desktop\7a864dc9-afc0-4f18-88e2-958a81d239d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0175" cy="2581275"/>
                    </a:xfrm>
                    <a:prstGeom prst="rect">
                      <a:avLst/>
                    </a:prstGeom>
                    <a:noFill/>
                    <a:ln>
                      <a:noFill/>
                    </a:ln>
                  </pic:spPr>
                </pic:pic>
              </a:graphicData>
            </a:graphic>
          </wp:anchor>
        </w:drawing>
      </w:r>
      <w:r w:rsidR="00C62D96">
        <w:rPr>
          <w:rFonts w:ascii="Arial" w:hAnsi="Arial" w:cs="Arial"/>
          <w:b/>
          <w:sz w:val="20"/>
        </w:rPr>
        <w:t xml:space="preserve">Fig. 1. </w:t>
      </w:r>
      <w:r w:rsidR="00887308">
        <w:rPr>
          <w:rFonts w:ascii="Arial" w:hAnsi="Arial" w:cs="Arial"/>
          <w:b/>
          <w:sz w:val="20"/>
        </w:rPr>
        <w:t>E-Banking</w:t>
      </w:r>
      <w:r w:rsidR="00C62D96">
        <w:rPr>
          <w:rFonts w:ascii="Arial" w:hAnsi="Arial" w:cs="Arial"/>
          <w:b/>
          <w:sz w:val="20"/>
        </w:rPr>
        <w:t xml:space="preserve"> Metrics before and after </w:t>
      </w:r>
      <w:proofErr w:type="spellStart"/>
      <w:r w:rsidR="00C62D96">
        <w:rPr>
          <w:rFonts w:ascii="Arial" w:hAnsi="Arial" w:cs="Arial"/>
          <w:b/>
          <w:sz w:val="20"/>
        </w:rPr>
        <w:t>Demonetizaion</w:t>
      </w:r>
      <w:proofErr w:type="spellEnd"/>
    </w:p>
    <w:p w:rsidR="00C62D96" w:rsidRPr="00C62D96" w:rsidRDefault="00C62D96" w:rsidP="00C62D96">
      <w:pPr>
        <w:pStyle w:val="NormalWeb"/>
        <w:spacing w:line="360" w:lineRule="auto"/>
        <w:jc w:val="center"/>
        <w:rPr>
          <w:rFonts w:ascii="Arial" w:hAnsi="Arial" w:cs="Arial"/>
          <w:b/>
          <w:sz w:val="20"/>
        </w:rPr>
      </w:pPr>
      <w:r w:rsidRPr="00C62D96">
        <w:rPr>
          <w:rFonts w:ascii="Arial" w:hAnsi="Arial" w:cs="Arial"/>
          <w:b/>
          <w:sz w:val="20"/>
        </w:rPr>
        <w:t>Source: PIB (Press Information Bureau)</w:t>
      </w:r>
    </w:p>
    <w:p w:rsidR="006C18D0" w:rsidRPr="006C18D0" w:rsidRDefault="00751261" w:rsidP="007A5C1B">
      <w:pPr>
        <w:pStyle w:val="Heading4"/>
        <w:spacing w:before="0" w:after="240"/>
        <w:rPr>
          <w:rStyle w:val="Strong"/>
          <w:rFonts w:ascii="Arial" w:hAnsi="Arial" w:cs="Arial"/>
          <w:bCs w:val="0"/>
          <w:i w:val="0"/>
          <w:color w:val="auto"/>
          <w:sz w:val="20"/>
          <w:szCs w:val="20"/>
        </w:rPr>
      </w:pPr>
      <w:r>
        <w:rPr>
          <w:rStyle w:val="Strong"/>
          <w:rFonts w:ascii="Arial" w:hAnsi="Arial" w:cs="Arial"/>
          <w:i w:val="0"/>
          <w:color w:val="auto"/>
          <w:sz w:val="20"/>
          <w:szCs w:val="20"/>
        </w:rPr>
        <w:t xml:space="preserve">5.2 </w:t>
      </w:r>
      <w:r w:rsidR="006C18D0" w:rsidRPr="006C18D0">
        <w:rPr>
          <w:rStyle w:val="Strong"/>
          <w:rFonts w:ascii="Arial" w:hAnsi="Arial" w:cs="Arial"/>
          <w:i w:val="0"/>
          <w:color w:val="auto"/>
          <w:sz w:val="20"/>
          <w:szCs w:val="20"/>
        </w:rPr>
        <w:t>Impact on Consumer Behavior</w:t>
      </w:r>
    </w:p>
    <w:p w:rsidR="006C18D0" w:rsidRPr="006C18D0" w:rsidRDefault="006C18D0" w:rsidP="007A5C1B">
      <w:pPr>
        <w:pStyle w:val="Heading5"/>
        <w:spacing w:before="0"/>
        <w:rPr>
          <w:rFonts w:ascii="Arial" w:hAnsi="Arial" w:cs="Arial"/>
          <w:color w:val="auto"/>
          <w:sz w:val="20"/>
          <w:szCs w:val="20"/>
        </w:rPr>
      </w:pPr>
      <w:r w:rsidRPr="006C18D0">
        <w:rPr>
          <w:rStyle w:val="Strong"/>
          <w:rFonts w:ascii="Arial" w:hAnsi="Arial" w:cs="Arial"/>
          <w:color w:val="auto"/>
          <w:sz w:val="20"/>
          <w:szCs w:val="20"/>
        </w:rPr>
        <w:t>1. Increased Adoption of Mobile</w:t>
      </w:r>
      <w:r w:rsidRPr="006C18D0">
        <w:rPr>
          <w:rStyle w:val="Strong"/>
          <w:rFonts w:ascii="Arial" w:hAnsi="Arial" w:cs="Arial"/>
          <w:sz w:val="20"/>
          <w:szCs w:val="20"/>
        </w:rPr>
        <w:t xml:space="preserve"> </w:t>
      </w:r>
      <w:r w:rsidRPr="006C18D0">
        <w:rPr>
          <w:rStyle w:val="Strong"/>
          <w:rFonts w:ascii="Arial" w:hAnsi="Arial" w:cs="Arial"/>
          <w:color w:val="auto"/>
          <w:sz w:val="20"/>
          <w:szCs w:val="20"/>
        </w:rPr>
        <w:t>Payments</w:t>
      </w:r>
    </w:p>
    <w:p w:rsidR="00C2718E" w:rsidRDefault="00C2718E" w:rsidP="007A5C1B">
      <w:pPr>
        <w:pStyle w:val="NormalWeb"/>
        <w:spacing w:before="0" w:beforeAutospacing="0" w:after="0" w:afterAutospacing="0" w:line="360" w:lineRule="auto"/>
        <w:jc w:val="both"/>
        <w:rPr>
          <w:rFonts w:ascii="Arial" w:hAnsi="Arial" w:cs="Arial"/>
          <w:sz w:val="20"/>
          <w:szCs w:val="20"/>
        </w:rPr>
      </w:pPr>
      <w:r>
        <w:t xml:space="preserve">Atwal, H., &amp; Kaur, P. (2025), </w:t>
      </w:r>
      <w:r w:rsidR="006C18D0" w:rsidRPr="006C18D0">
        <w:rPr>
          <w:rFonts w:ascii="Arial" w:hAnsi="Arial" w:cs="Arial"/>
          <w:sz w:val="20"/>
          <w:szCs w:val="20"/>
        </w:rPr>
        <w:t xml:space="preserve">Post-demonetization, there was a sharp rise in mobile payment apps like Paytm, Google Pay, and </w:t>
      </w:r>
      <w:proofErr w:type="spellStart"/>
      <w:r w:rsidR="006C18D0" w:rsidRPr="006C18D0">
        <w:rPr>
          <w:rFonts w:ascii="Arial" w:hAnsi="Arial" w:cs="Arial"/>
          <w:sz w:val="20"/>
          <w:szCs w:val="20"/>
        </w:rPr>
        <w:t>PhonePe</w:t>
      </w:r>
      <w:proofErr w:type="spellEnd"/>
      <w:r w:rsidR="006C18D0" w:rsidRPr="006C18D0">
        <w:rPr>
          <w:rFonts w:ascii="Arial" w:hAnsi="Arial" w:cs="Arial"/>
          <w:sz w:val="20"/>
          <w:szCs w:val="20"/>
        </w:rPr>
        <w:t>. These apps became crucial in enabling daily transactions, as cash was in short supply. UPI, which had been introduced just a few months earlier, became a primary mode of payment, as it was simple to use and quick</w:t>
      </w:r>
    </w:p>
    <w:p w:rsidR="006C18D0" w:rsidRPr="006C18D0" w:rsidRDefault="006C18D0" w:rsidP="00C2718E">
      <w:pPr>
        <w:pStyle w:val="NormalWeb"/>
        <w:spacing w:before="0" w:beforeAutospacing="0" w:after="0" w:afterAutospacing="0" w:line="360" w:lineRule="auto"/>
        <w:jc w:val="both"/>
        <w:rPr>
          <w:rFonts w:ascii="Arial" w:hAnsi="Arial" w:cs="Arial"/>
          <w:b/>
          <w:sz w:val="20"/>
          <w:szCs w:val="20"/>
        </w:rPr>
      </w:pPr>
      <w:r w:rsidRPr="006C18D0">
        <w:rPr>
          <w:rFonts w:ascii="Arial" w:hAnsi="Arial" w:cs="Arial"/>
          <w:b/>
          <w:sz w:val="20"/>
          <w:szCs w:val="20"/>
        </w:rPr>
        <w:t xml:space="preserve">2. </w:t>
      </w:r>
      <w:r w:rsidRPr="00C2718E">
        <w:rPr>
          <w:rStyle w:val="Strong"/>
          <w:rFonts w:ascii="Arial" w:hAnsi="Arial" w:cs="Arial"/>
          <w:sz w:val="20"/>
          <w:szCs w:val="20"/>
        </w:rPr>
        <w:t>Rise in Internet Banking Usage</w:t>
      </w:r>
    </w:p>
    <w:p w:rsidR="006C18D0" w:rsidRPr="006C18D0"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With the closure of many bank branches and ATM shortages, more consumers turned to internet banking for their financial needs. Activities such as bill payments, transfers, and even purchasing goods online were increasingly conducted through digital platforms.</w:t>
      </w:r>
    </w:p>
    <w:p w:rsidR="006C18D0" w:rsidRPr="006C18D0" w:rsidRDefault="006C18D0" w:rsidP="006C18D0">
      <w:pPr>
        <w:pStyle w:val="Heading5"/>
        <w:spacing w:before="0" w:line="360" w:lineRule="auto"/>
        <w:jc w:val="both"/>
        <w:rPr>
          <w:rFonts w:ascii="Arial" w:hAnsi="Arial" w:cs="Arial"/>
          <w:color w:val="auto"/>
          <w:sz w:val="20"/>
          <w:szCs w:val="20"/>
        </w:rPr>
      </w:pPr>
      <w:r w:rsidRPr="006C18D0">
        <w:rPr>
          <w:rFonts w:ascii="Arial" w:hAnsi="Arial" w:cs="Arial"/>
          <w:color w:val="auto"/>
          <w:sz w:val="20"/>
          <w:szCs w:val="20"/>
        </w:rPr>
        <w:t xml:space="preserve">3. </w:t>
      </w:r>
      <w:r w:rsidRPr="006C18D0">
        <w:rPr>
          <w:rStyle w:val="Strong"/>
          <w:rFonts w:ascii="Arial" w:hAnsi="Arial" w:cs="Arial"/>
          <w:color w:val="auto"/>
          <w:sz w:val="20"/>
          <w:szCs w:val="20"/>
        </w:rPr>
        <w:t>Change in Consumer Trust</w:t>
      </w:r>
    </w:p>
    <w:p w:rsidR="006C18D0" w:rsidRPr="006C18D0" w:rsidRDefault="006C18D0" w:rsidP="006C18D0">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 xml:space="preserve">There was initially some resistance from older generations and less tech-savvy individuals towards digital banking. However, the urgency of demonetization coupled with government initiatives such as promoting financial literacy and providing support for digital banking tools led to increased confidence in </w:t>
      </w:r>
      <w:r w:rsidR="00887308">
        <w:rPr>
          <w:rFonts w:ascii="Arial" w:hAnsi="Arial" w:cs="Arial"/>
          <w:sz w:val="20"/>
          <w:szCs w:val="20"/>
        </w:rPr>
        <w:t>E-Banking</w:t>
      </w:r>
      <w:r w:rsidRPr="006C18D0">
        <w:rPr>
          <w:rFonts w:ascii="Arial" w:hAnsi="Arial" w:cs="Arial"/>
          <w:sz w:val="20"/>
          <w:szCs w:val="20"/>
        </w:rPr>
        <w:t>.</w:t>
      </w:r>
    </w:p>
    <w:p w:rsidR="006C18D0" w:rsidRPr="006C18D0" w:rsidRDefault="006C18D0" w:rsidP="006C18D0">
      <w:pPr>
        <w:pStyle w:val="Heading5"/>
        <w:spacing w:before="0" w:line="360" w:lineRule="auto"/>
        <w:jc w:val="both"/>
        <w:rPr>
          <w:rFonts w:ascii="Arial" w:hAnsi="Arial" w:cs="Arial"/>
          <w:color w:val="auto"/>
          <w:sz w:val="20"/>
          <w:szCs w:val="20"/>
        </w:rPr>
      </w:pPr>
      <w:r w:rsidRPr="006C18D0">
        <w:rPr>
          <w:rFonts w:ascii="Arial" w:hAnsi="Arial" w:cs="Arial"/>
          <w:color w:val="auto"/>
          <w:sz w:val="20"/>
          <w:szCs w:val="20"/>
        </w:rPr>
        <w:lastRenderedPageBreak/>
        <w:t xml:space="preserve">4. </w:t>
      </w:r>
      <w:r w:rsidRPr="006C18D0">
        <w:rPr>
          <w:rStyle w:val="Strong"/>
          <w:rFonts w:ascii="Arial" w:hAnsi="Arial" w:cs="Arial"/>
          <w:color w:val="auto"/>
          <w:sz w:val="20"/>
          <w:szCs w:val="20"/>
        </w:rPr>
        <w:t>Increased Financial Inclusion</w:t>
      </w:r>
    </w:p>
    <w:p w:rsidR="00C62D96" w:rsidRPr="00C53C5B" w:rsidRDefault="006C18D0" w:rsidP="00C53C5B">
      <w:pPr>
        <w:pStyle w:val="NormalWeb"/>
        <w:spacing w:before="0" w:beforeAutospacing="0" w:after="0" w:afterAutospacing="0" w:line="360" w:lineRule="auto"/>
        <w:jc w:val="both"/>
        <w:rPr>
          <w:rStyle w:val="Strong"/>
          <w:rFonts w:ascii="Arial" w:hAnsi="Arial" w:cs="Arial"/>
          <w:b w:val="0"/>
          <w:bCs w:val="0"/>
          <w:sz w:val="20"/>
          <w:szCs w:val="20"/>
        </w:rPr>
      </w:pPr>
      <w:r w:rsidRPr="006C18D0">
        <w:rPr>
          <w:rFonts w:ascii="Arial" w:hAnsi="Arial" w:cs="Arial"/>
          <w:sz w:val="20"/>
          <w:szCs w:val="20"/>
        </w:rPr>
        <w:t>Demonetization catalyzed financial inclusion by pushing consumers, especially in rural areas, to adopt digital banking. With increased mobile phone penetration and smartphone usage, previously underserved populations began using mobile wallets and digital banking apps.</w:t>
      </w:r>
    </w:p>
    <w:p w:rsidR="00C62D96" w:rsidRPr="00DA6784" w:rsidRDefault="00C53C5B" w:rsidP="00C53C5B">
      <w:pPr>
        <w:pStyle w:val="Heading3"/>
        <w:spacing w:line="360" w:lineRule="auto"/>
        <w:jc w:val="center"/>
        <w:rPr>
          <w:rFonts w:ascii="Arial" w:hAnsi="Arial" w:cs="Arial"/>
          <w:color w:val="auto"/>
          <w:sz w:val="20"/>
          <w:szCs w:val="20"/>
        </w:rPr>
      </w:pPr>
      <w:r w:rsidRPr="00DA6784">
        <w:rPr>
          <w:rStyle w:val="Strong"/>
          <w:rFonts w:ascii="Arial" w:hAnsi="Arial" w:cs="Arial"/>
          <w:bCs w:val="0"/>
          <w:color w:val="auto"/>
          <w:sz w:val="20"/>
          <w:szCs w:val="20"/>
        </w:rPr>
        <w:t xml:space="preserve">Table. 2. </w:t>
      </w:r>
      <w:r w:rsidR="00C62D96" w:rsidRPr="00DA6784">
        <w:rPr>
          <w:rStyle w:val="Strong"/>
          <w:rFonts w:ascii="Arial" w:hAnsi="Arial" w:cs="Arial"/>
          <w:bCs w:val="0"/>
          <w:color w:val="auto"/>
          <w:sz w:val="20"/>
          <w:szCs w:val="20"/>
        </w:rPr>
        <w:t>Digital Banking Adoption in Rural India (2016–2025)</w:t>
      </w:r>
    </w:p>
    <w:tbl>
      <w:tblPr>
        <w:tblStyle w:val="TableGrid"/>
        <w:tblW w:w="7905" w:type="dxa"/>
        <w:tblLook w:val="04A0" w:firstRow="1" w:lastRow="0" w:firstColumn="1" w:lastColumn="0" w:noHBand="0" w:noVBand="1"/>
      </w:tblPr>
      <w:tblGrid>
        <w:gridCol w:w="2485"/>
        <w:gridCol w:w="5420"/>
      </w:tblGrid>
      <w:tr w:rsidR="00C62D96" w:rsidRPr="00C53C5B" w:rsidTr="008C347A">
        <w:trPr>
          <w:trHeight w:val="228"/>
        </w:trPr>
        <w:tc>
          <w:tcPr>
            <w:tcW w:w="2485" w:type="dxa"/>
            <w:hideMark/>
          </w:tcPr>
          <w:p w:rsidR="00C62D96" w:rsidRPr="00C53C5B" w:rsidRDefault="00C62D96" w:rsidP="00C53C5B">
            <w:pPr>
              <w:spacing w:line="360" w:lineRule="auto"/>
              <w:rPr>
                <w:rFonts w:ascii="Arial" w:hAnsi="Arial" w:cs="Arial"/>
                <w:b/>
                <w:sz w:val="20"/>
                <w:szCs w:val="20"/>
              </w:rPr>
            </w:pPr>
            <w:r w:rsidRPr="00C53C5B">
              <w:rPr>
                <w:rFonts w:ascii="Arial" w:hAnsi="Arial" w:cs="Arial"/>
                <w:b/>
                <w:sz w:val="20"/>
                <w:szCs w:val="20"/>
              </w:rPr>
              <w:t>Year</w:t>
            </w:r>
          </w:p>
        </w:tc>
        <w:tc>
          <w:tcPr>
            <w:tcW w:w="5420" w:type="dxa"/>
            <w:hideMark/>
          </w:tcPr>
          <w:p w:rsidR="00C62D96" w:rsidRPr="00C53C5B" w:rsidRDefault="00C62D96" w:rsidP="00C53C5B">
            <w:pPr>
              <w:spacing w:line="360" w:lineRule="auto"/>
              <w:rPr>
                <w:rFonts w:ascii="Arial" w:hAnsi="Arial" w:cs="Arial"/>
                <w:b/>
                <w:sz w:val="20"/>
                <w:szCs w:val="20"/>
              </w:rPr>
            </w:pPr>
            <w:r w:rsidRPr="00C53C5B">
              <w:rPr>
                <w:rFonts w:ascii="Arial" w:hAnsi="Arial" w:cs="Arial"/>
                <w:b/>
                <w:sz w:val="20"/>
                <w:szCs w:val="20"/>
              </w:rPr>
              <w:t>Estimated Rural Digital Banking Users (millions)</w:t>
            </w:r>
          </w:p>
        </w:tc>
      </w:tr>
      <w:tr w:rsidR="00C62D96" w:rsidRPr="00C53C5B" w:rsidTr="008C347A">
        <w:trPr>
          <w:trHeight w:val="510"/>
        </w:trPr>
        <w:tc>
          <w:tcPr>
            <w:tcW w:w="248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2016</w:t>
            </w:r>
          </w:p>
        </w:tc>
        <w:tc>
          <w:tcPr>
            <w:tcW w:w="5420"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50</w:t>
            </w:r>
          </w:p>
        </w:tc>
      </w:tr>
      <w:tr w:rsidR="00C62D96" w:rsidRPr="00C53C5B" w:rsidTr="008C347A">
        <w:trPr>
          <w:trHeight w:val="510"/>
        </w:trPr>
        <w:tc>
          <w:tcPr>
            <w:tcW w:w="248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2017</w:t>
            </w:r>
          </w:p>
        </w:tc>
        <w:tc>
          <w:tcPr>
            <w:tcW w:w="5420"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80</w:t>
            </w:r>
          </w:p>
        </w:tc>
      </w:tr>
      <w:tr w:rsidR="00C62D96" w:rsidRPr="00C53C5B" w:rsidTr="008C347A">
        <w:trPr>
          <w:trHeight w:val="510"/>
        </w:trPr>
        <w:tc>
          <w:tcPr>
            <w:tcW w:w="248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2018</w:t>
            </w:r>
          </w:p>
        </w:tc>
        <w:tc>
          <w:tcPr>
            <w:tcW w:w="5420"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120</w:t>
            </w:r>
          </w:p>
        </w:tc>
      </w:tr>
      <w:tr w:rsidR="00C62D96" w:rsidRPr="00C53C5B" w:rsidTr="008C347A">
        <w:trPr>
          <w:trHeight w:val="510"/>
        </w:trPr>
        <w:tc>
          <w:tcPr>
            <w:tcW w:w="248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2019</w:t>
            </w:r>
          </w:p>
        </w:tc>
        <w:tc>
          <w:tcPr>
            <w:tcW w:w="5420"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180</w:t>
            </w:r>
          </w:p>
        </w:tc>
      </w:tr>
      <w:tr w:rsidR="00C62D96" w:rsidRPr="00C53C5B" w:rsidTr="008C347A">
        <w:trPr>
          <w:trHeight w:val="510"/>
        </w:trPr>
        <w:tc>
          <w:tcPr>
            <w:tcW w:w="248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2020</w:t>
            </w:r>
          </w:p>
        </w:tc>
        <w:tc>
          <w:tcPr>
            <w:tcW w:w="5420"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250</w:t>
            </w:r>
          </w:p>
        </w:tc>
      </w:tr>
      <w:tr w:rsidR="00C62D96" w:rsidRPr="00C53C5B" w:rsidTr="008C347A">
        <w:trPr>
          <w:trHeight w:val="510"/>
        </w:trPr>
        <w:tc>
          <w:tcPr>
            <w:tcW w:w="248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2021</w:t>
            </w:r>
          </w:p>
        </w:tc>
        <w:tc>
          <w:tcPr>
            <w:tcW w:w="5420"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350</w:t>
            </w:r>
          </w:p>
        </w:tc>
      </w:tr>
      <w:tr w:rsidR="00C62D96" w:rsidRPr="00C53C5B" w:rsidTr="008C347A">
        <w:trPr>
          <w:trHeight w:val="510"/>
        </w:trPr>
        <w:tc>
          <w:tcPr>
            <w:tcW w:w="248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2022</w:t>
            </w:r>
          </w:p>
        </w:tc>
        <w:tc>
          <w:tcPr>
            <w:tcW w:w="5420"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450</w:t>
            </w:r>
          </w:p>
        </w:tc>
      </w:tr>
      <w:tr w:rsidR="00C62D96" w:rsidRPr="00C53C5B" w:rsidTr="008C347A">
        <w:trPr>
          <w:trHeight w:val="510"/>
        </w:trPr>
        <w:tc>
          <w:tcPr>
            <w:tcW w:w="248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2023</w:t>
            </w:r>
          </w:p>
        </w:tc>
        <w:tc>
          <w:tcPr>
            <w:tcW w:w="5420"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600</w:t>
            </w:r>
          </w:p>
        </w:tc>
      </w:tr>
      <w:tr w:rsidR="00C62D96" w:rsidRPr="00C53C5B" w:rsidTr="008C347A">
        <w:trPr>
          <w:trHeight w:val="510"/>
        </w:trPr>
        <w:tc>
          <w:tcPr>
            <w:tcW w:w="248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2024</w:t>
            </w:r>
          </w:p>
        </w:tc>
        <w:tc>
          <w:tcPr>
            <w:tcW w:w="5420"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750</w:t>
            </w:r>
          </w:p>
        </w:tc>
      </w:tr>
      <w:tr w:rsidR="00C62D96" w:rsidRPr="00C53C5B" w:rsidTr="008C347A">
        <w:trPr>
          <w:trHeight w:val="510"/>
        </w:trPr>
        <w:tc>
          <w:tcPr>
            <w:tcW w:w="2485"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2025</w:t>
            </w:r>
          </w:p>
        </w:tc>
        <w:tc>
          <w:tcPr>
            <w:tcW w:w="5420" w:type="dxa"/>
            <w:hideMark/>
          </w:tcPr>
          <w:p w:rsidR="00C62D96" w:rsidRPr="00C53C5B" w:rsidRDefault="00C62D96" w:rsidP="00C53C5B">
            <w:pPr>
              <w:spacing w:line="360" w:lineRule="auto"/>
              <w:rPr>
                <w:rFonts w:ascii="Arial" w:hAnsi="Arial" w:cs="Arial"/>
                <w:sz w:val="20"/>
                <w:szCs w:val="20"/>
              </w:rPr>
            </w:pPr>
            <w:r w:rsidRPr="00C53C5B">
              <w:rPr>
                <w:rFonts w:ascii="Arial" w:hAnsi="Arial" w:cs="Arial"/>
                <w:sz w:val="20"/>
                <w:szCs w:val="20"/>
              </w:rPr>
              <w:t>900</w:t>
            </w:r>
          </w:p>
        </w:tc>
      </w:tr>
    </w:tbl>
    <w:p w:rsidR="007A5C1B" w:rsidRDefault="00C62D96" w:rsidP="007A5C1B">
      <w:pPr>
        <w:spacing w:line="360" w:lineRule="auto"/>
        <w:rPr>
          <w:rFonts w:ascii="Arial" w:hAnsi="Arial" w:cs="Arial"/>
          <w:b/>
        </w:rPr>
      </w:pPr>
      <w:r w:rsidRPr="00C53C5B">
        <w:rPr>
          <w:rFonts w:ascii="Arial" w:hAnsi="Arial" w:cs="Arial"/>
          <w:b/>
        </w:rPr>
        <w:t>Interpretation:</w:t>
      </w:r>
    </w:p>
    <w:p w:rsidR="007A5C1B" w:rsidRPr="007A5C1B" w:rsidRDefault="00C62D96" w:rsidP="007A5C1B">
      <w:pPr>
        <w:pStyle w:val="ListParagraph"/>
        <w:numPr>
          <w:ilvl w:val="0"/>
          <w:numId w:val="37"/>
        </w:numPr>
        <w:spacing w:line="360" w:lineRule="auto"/>
        <w:jc w:val="both"/>
        <w:rPr>
          <w:rFonts w:ascii="Arial" w:hAnsi="Arial" w:cs="Arial"/>
          <w:sz w:val="20"/>
          <w:szCs w:val="20"/>
        </w:rPr>
      </w:pPr>
      <w:r w:rsidRPr="007A5C1B">
        <w:rPr>
          <w:rStyle w:val="Strong"/>
          <w:rFonts w:ascii="Arial" w:hAnsi="Arial" w:cs="Arial"/>
          <w:sz w:val="20"/>
          <w:szCs w:val="20"/>
        </w:rPr>
        <w:t>2016–2017:</w:t>
      </w:r>
      <w:r w:rsidRPr="007A5C1B">
        <w:rPr>
          <w:rFonts w:ascii="Arial" w:hAnsi="Arial" w:cs="Arial"/>
          <w:sz w:val="20"/>
          <w:szCs w:val="20"/>
        </w:rPr>
        <w:t xml:space="preserve"> Spike due to demonetization; rural users started adopting mobile banking and UPI.</w:t>
      </w:r>
    </w:p>
    <w:p w:rsidR="007A5C1B" w:rsidRDefault="00C62D96" w:rsidP="007A5C1B">
      <w:pPr>
        <w:pStyle w:val="ListParagraph"/>
        <w:numPr>
          <w:ilvl w:val="0"/>
          <w:numId w:val="37"/>
        </w:numPr>
        <w:spacing w:line="360" w:lineRule="auto"/>
        <w:jc w:val="both"/>
        <w:rPr>
          <w:rFonts w:ascii="Arial" w:hAnsi="Arial" w:cs="Arial"/>
          <w:sz w:val="20"/>
          <w:szCs w:val="20"/>
        </w:rPr>
      </w:pPr>
      <w:r w:rsidRPr="007A5C1B">
        <w:rPr>
          <w:rStyle w:val="Strong"/>
          <w:rFonts w:ascii="Arial" w:hAnsi="Arial" w:cs="Arial"/>
          <w:sz w:val="20"/>
          <w:szCs w:val="20"/>
        </w:rPr>
        <w:t>2018–2020:</w:t>
      </w:r>
      <w:r w:rsidRPr="007A5C1B">
        <w:rPr>
          <w:rFonts w:ascii="Arial" w:hAnsi="Arial" w:cs="Arial"/>
          <w:sz w:val="20"/>
          <w:szCs w:val="20"/>
        </w:rPr>
        <w:t xml:space="preserve"> Gradual increase with PMJDY accounts and digital literacy initiatives.</w:t>
      </w:r>
    </w:p>
    <w:p w:rsidR="007A5C1B" w:rsidRDefault="00C62D96" w:rsidP="006B6956">
      <w:pPr>
        <w:pStyle w:val="ListParagraph"/>
        <w:numPr>
          <w:ilvl w:val="0"/>
          <w:numId w:val="37"/>
        </w:numPr>
        <w:spacing w:line="360" w:lineRule="auto"/>
        <w:jc w:val="both"/>
        <w:rPr>
          <w:rFonts w:ascii="Arial" w:hAnsi="Arial" w:cs="Arial"/>
          <w:sz w:val="20"/>
          <w:szCs w:val="20"/>
        </w:rPr>
      </w:pPr>
      <w:r w:rsidRPr="007A5C1B">
        <w:rPr>
          <w:rStyle w:val="Strong"/>
          <w:rFonts w:ascii="Arial" w:hAnsi="Arial" w:cs="Arial"/>
          <w:sz w:val="20"/>
          <w:szCs w:val="20"/>
        </w:rPr>
        <w:t>2021–2023:</w:t>
      </w:r>
      <w:r w:rsidRPr="007A5C1B">
        <w:rPr>
          <w:rFonts w:ascii="Arial" w:hAnsi="Arial" w:cs="Arial"/>
          <w:sz w:val="20"/>
          <w:szCs w:val="20"/>
        </w:rPr>
        <w:t xml:space="preserve"> Rapid adoption fueled by UPI, mobile wallets, and wider smartphone penetration.</w:t>
      </w:r>
    </w:p>
    <w:p w:rsidR="00C62D96" w:rsidRPr="007A5C1B" w:rsidRDefault="00C62D96" w:rsidP="006B6956">
      <w:pPr>
        <w:pStyle w:val="ListParagraph"/>
        <w:numPr>
          <w:ilvl w:val="0"/>
          <w:numId w:val="37"/>
        </w:numPr>
        <w:spacing w:line="360" w:lineRule="auto"/>
        <w:jc w:val="both"/>
        <w:rPr>
          <w:rFonts w:ascii="Arial" w:hAnsi="Arial" w:cs="Arial"/>
          <w:sz w:val="20"/>
          <w:szCs w:val="20"/>
        </w:rPr>
      </w:pPr>
      <w:r w:rsidRPr="007A5C1B">
        <w:rPr>
          <w:rStyle w:val="Strong"/>
          <w:rFonts w:ascii="Arial" w:hAnsi="Arial" w:cs="Arial"/>
          <w:sz w:val="20"/>
          <w:szCs w:val="20"/>
        </w:rPr>
        <w:t>2024–2025:</w:t>
      </w:r>
      <w:r w:rsidRPr="007A5C1B">
        <w:rPr>
          <w:rFonts w:ascii="Arial" w:hAnsi="Arial" w:cs="Arial"/>
          <w:sz w:val="20"/>
          <w:szCs w:val="20"/>
        </w:rPr>
        <w:t xml:space="preserve"> Steady growth as digital banking becomes mainstream in rural India.</w:t>
      </w:r>
    </w:p>
    <w:p w:rsidR="006C18D0" w:rsidRPr="00B062D5" w:rsidRDefault="00CC3C31" w:rsidP="00C53C5B">
      <w:pPr>
        <w:pStyle w:val="NormalWeb"/>
        <w:spacing w:before="0" w:beforeAutospacing="0" w:after="0" w:afterAutospacing="0" w:line="360" w:lineRule="auto"/>
        <w:jc w:val="center"/>
        <w:rPr>
          <w:rFonts w:ascii="Arial" w:hAnsi="Arial" w:cs="Arial"/>
          <w:i/>
          <w:sz w:val="20"/>
          <w:szCs w:val="20"/>
        </w:rPr>
      </w:pPr>
      <w:r w:rsidRPr="007A5C1B">
        <w:rPr>
          <w:rFonts w:ascii="Arial" w:hAnsi="Arial" w:cs="Arial"/>
          <w:b/>
          <w:iCs/>
          <w:noProof/>
          <w:sz w:val="20"/>
          <w:szCs w:val="20"/>
          <w:lang w:val="en-IN" w:eastAsia="en-IN" w:bidi="ar-SA"/>
        </w:rPr>
        <w:lastRenderedPageBreak/>
        <w:drawing>
          <wp:anchor distT="0" distB="0" distL="114300" distR="114300" simplePos="0" relativeHeight="251661824" behindDoc="1" locked="0" layoutInCell="1" allowOverlap="1" wp14:anchorId="11028D5D" wp14:editId="29F5EAA6">
            <wp:simplePos x="0" y="0"/>
            <wp:positionH relativeFrom="margin">
              <wp:posOffset>-3810</wp:posOffset>
            </wp:positionH>
            <wp:positionV relativeFrom="margin">
              <wp:posOffset>213833</wp:posOffset>
            </wp:positionV>
            <wp:extent cx="5210175" cy="3104515"/>
            <wp:effectExtent l="0" t="0" r="9525" b="635"/>
            <wp:wrapTight wrapText="bothSides">
              <wp:wrapPolygon edited="0">
                <wp:start x="0" y="0"/>
                <wp:lineTo x="0" y="21472"/>
                <wp:lineTo x="21561" y="21472"/>
                <wp:lineTo x="21561" y="0"/>
                <wp:lineTo x="0" y="0"/>
              </wp:wrapPolygon>
            </wp:wrapTight>
            <wp:docPr id="7" name="Picture 7" descr="C:\Users\Home PC\OneDrive\Desktop\90420655-ce65-4944-bedb-807ba01d7f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Home PC\OneDrive\Desktop\90420655-ce65-4944-bedb-807ba01d7fb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0175" cy="3104515"/>
                    </a:xfrm>
                    <a:prstGeom prst="rect">
                      <a:avLst/>
                    </a:prstGeom>
                    <a:noFill/>
                    <a:ln>
                      <a:noFill/>
                    </a:ln>
                  </pic:spPr>
                </pic:pic>
              </a:graphicData>
            </a:graphic>
          </wp:anchor>
        </w:drawing>
      </w:r>
      <w:r w:rsidR="00C53C5B" w:rsidRPr="007A5C1B">
        <w:rPr>
          <w:rFonts w:ascii="Arial" w:hAnsi="Arial" w:cs="Arial"/>
          <w:b/>
          <w:sz w:val="20"/>
          <w:szCs w:val="20"/>
        </w:rPr>
        <w:t>Fig. 2.</w:t>
      </w:r>
      <w:r w:rsidR="00C53C5B" w:rsidRPr="00B062D5">
        <w:rPr>
          <w:rFonts w:ascii="Arial" w:hAnsi="Arial" w:cs="Arial"/>
          <w:i/>
          <w:sz w:val="20"/>
          <w:szCs w:val="20"/>
        </w:rPr>
        <w:t xml:space="preserve"> </w:t>
      </w:r>
      <w:r w:rsidR="00C53C5B" w:rsidRPr="007A5C1B">
        <w:rPr>
          <w:rFonts w:ascii="Arial" w:hAnsi="Arial" w:cs="Arial"/>
          <w:b/>
          <w:sz w:val="20"/>
          <w:szCs w:val="20"/>
        </w:rPr>
        <w:t>Digital Banking Adoption in Rural India.</w:t>
      </w:r>
    </w:p>
    <w:p w:rsidR="00C53C5B" w:rsidRPr="00B062D5" w:rsidRDefault="006C18D0" w:rsidP="00C53C5B">
      <w:pPr>
        <w:pStyle w:val="NormalWeb"/>
        <w:spacing w:before="0" w:beforeAutospacing="0" w:line="360" w:lineRule="auto"/>
        <w:jc w:val="center"/>
        <w:rPr>
          <w:rFonts w:ascii="Arial" w:hAnsi="Arial" w:cs="Arial"/>
          <w:sz w:val="20"/>
          <w:szCs w:val="20"/>
        </w:rPr>
      </w:pPr>
      <w:r w:rsidRPr="007A5C1B">
        <w:rPr>
          <w:rFonts w:ascii="Arial" w:hAnsi="Arial" w:cs="Arial"/>
          <w:b/>
          <w:iCs/>
          <w:sz w:val="20"/>
          <w:szCs w:val="20"/>
        </w:rPr>
        <w:t>Source</w:t>
      </w:r>
      <w:r w:rsidR="00B062D5" w:rsidRPr="007A5C1B">
        <w:rPr>
          <w:rFonts w:ascii="Arial" w:hAnsi="Arial" w:cs="Arial"/>
          <w:b/>
          <w:iCs/>
          <w:sz w:val="20"/>
          <w:szCs w:val="20"/>
        </w:rPr>
        <w:t>:</w:t>
      </w:r>
      <w:r w:rsidR="00B062D5" w:rsidRPr="00B062D5">
        <w:rPr>
          <w:rFonts w:ascii="Arial" w:hAnsi="Arial" w:cs="Arial"/>
          <w:iCs/>
          <w:sz w:val="20"/>
          <w:szCs w:val="20"/>
        </w:rPr>
        <w:t xml:space="preserve"> </w:t>
      </w:r>
      <w:r w:rsidR="00B062D5" w:rsidRPr="00B062D5">
        <w:rPr>
          <w:rFonts w:ascii="Arial" w:hAnsi="Arial" w:cs="Arial"/>
          <w:sz w:val="20"/>
          <w:szCs w:val="20"/>
        </w:rPr>
        <w:t>Data compiled from multiple reports on rural digital banking adoption in India (e.g., RBI, NITI Aayog, PMJDY reports)</w:t>
      </w:r>
      <w:r w:rsidR="00C53C5B" w:rsidRPr="00B062D5">
        <w:rPr>
          <w:rFonts w:ascii="Arial" w:hAnsi="Arial" w:cs="Arial"/>
          <w:iCs/>
          <w:sz w:val="20"/>
          <w:szCs w:val="20"/>
        </w:rPr>
        <w:t xml:space="preserve"> </w:t>
      </w:r>
    </w:p>
    <w:p w:rsidR="006C18D0" w:rsidRPr="006C18D0" w:rsidRDefault="00751261" w:rsidP="007A5C1B">
      <w:pPr>
        <w:pStyle w:val="NormalWeb"/>
        <w:spacing w:before="0" w:beforeAutospacing="0" w:after="0" w:afterAutospacing="0" w:line="360" w:lineRule="auto"/>
        <w:rPr>
          <w:rFonts w:ascii="Arial" w:hAnsi="Arial" w:cs="Arial"/>
          <w:b/>
          <w:i/>
          <w:iCs/>
          <w:sz w:val="20"/>
          <w:szCs w:val="20"/>
        </w:rPr>
      </w:pPr>
      <w:r>
        <w:rPr>
          <w:rFonts w:ascii="Arial" w:hAnsi="Arial" w:cs="Arial"/>
          <w:b/>
          <w:iCs/>
          <w:sz w:val="20"/>
          <w:szCs w:val="20"/>
        </w:rPr>
        <w:t xml:space="preserve">5.4 </w:t>
      </w:r>
      <w:r w:rsidR="006C18D0" w:rsidRPr="006C18D0">
        <w:rPr>
          <w:rFonts w:ascii="Arial" w:hAnsi="Arial" w:cs="Arial"/>
          <w:b/>
          <w:iCs/>
          <w:sz w:val="20"/>
          <w:szCs w:val="20"/>
        </w:rPr>
        <w:t>Adaptation of Retail Banks to New Consumer Behavior</w:t>
      </w:r>
    </w:p>
    <w:p w:rsidR="006C18D0" w:rsidRPr="006C18D0" w:rsidRDefault="006C18D0" w:rsidP="007A5C1B">
      <w:pPr>
        <w:pStyle w:val="NormalWeb"/>
        <w:spacing w:before="0" w:beforeAutospacing="0" w:after="0" w:afterAutospacing="0" w:line="360" w:lineRule="auto"/>
        <w:jc w:val="both"/>
        <w:rPr>
          <w:rFonts w:ascii="Arial" w:hAnsi="Arial" w:cs="Arial"/>
          <w:sz w:val="20"/>
          <w:szCs w:val="20"/>
        </w:rPr>
      </w:pPr>
      <w:r w:rsidRPr="006C18D0">
        <w:rPr>
          <w:rFonts w:ascii="Arial" w:hAnsi="Arial" w:cs="Arial"/>
          <w:sz w:val="20"/>
          <w:szCs w:val="20"/>
        </w:rPr>
        <w:t>Banks had to adapt quickly to the surge in demand for digital banking services. They focused on:</w:t>
      </w:r>
    </w:p>
    <w:p w:rsidR="006C18D0" w:rsidRPr="006C18D0" w:rsidRDefault="006C18D0" w:rsidP="006C18D0">
      <w:pPr>
        <w:numPr>
          <w:ilvl w:val="0"/>
          <w:numId w:val="32"/>
        </w:numPr>
        <w:spacing w:line="360" w:lineRule="auto"/>
        <w:jc w:val="both"/>
        <w:rPr>
          <w:rFonts w:ascii="Arial" w:hAnsi="Arial" w:cs="Arial"/>
        </w:rPr>
      </w:pPr>
      <w:r w:rsidRPr="006C18D0">
        <w:rPr>
          <w:rStyle w:val="Strong"/>
          <w:rFonts w:ascii="Arial" w:hAnsi="Arial" w:cs="Arial"/>
          <w:b w:val="0"/>
        </w:rPr>
        <w:t>Enhancing User Experience</w:t>
      </w:r>
      <w:r w:rsidRPr="006C18D0">
        <w:rPr>
          <w:rFonts w:ascii="Arial" w:hAnsi="Arial" w:cs="Arial"/>
        </w:rPr>
        <w:t>: Banks invested heavily in improving mobile and internet banking interfaces, making them more intuitive and user-friendly.</w:t>
      </w:r>
    </w:p>
    <w:p w:rsidR="006C18D0" w:rsidRPr="006C18D0" w:rsidRDefault="006C18D0" w:rsidP="006C18D0">
      <w:pPr>
        <w:numPr>
          <w:ilvl w:val="0"/>
          <w:numId w:val="32"/>
        </w:numPr>
        <w:spacing w:after="100" w:afterAutospacing="1" w:line="360" w:lineRule="auto"/>
        <w:jc w:val="both"/>
        <w:rPr>
          <w:rFonts w:ascii="Arial" w:hAnsi="Arial" w:cs="Arial"/>
        </w:rPr>
      </w:pPr>
      <w:r w:rsidRPr="006C18D0">
        <w:rPr>
          <w:rStyle w:val="Strong"/>
          <w:rFonts w:ascii="Arial" w:hAnsi="Arial" w:cs="Arial"/>
          <w:b w:val="0"/>
        </w:rPr>
        <w:t>Increased Security Features</w:t>
      </w:r>
      <w:r w:rsidRPr="006C18D0">
        <w:rPr>
          <w:rFonts w:ascii="Arial" w:hAnsi="Arial" w:cs="Arial"/>
        </w:rPr>
        <w:t>: The rise in digital banking led to an increased focus on cybersecurity, including two-factor authentication (2FA) and biometric verification, to protect consumers.</w:t>
      </w:r>
    </w:p>
    <w:p w:rsidR="006C18D0" w:rsidRDefault="006C18D0" w:rsidP="006C18D0">
      <w:pPr>
        <w:numPr>
          <w:ilvl w:val="0"/>
          <w:numId w:val="32"/>
        </w:numPr>
        <w:spacing w:line="360" w:lineRule="auto"/>
        <w:jc w:val="both"/>
        <w:rPr>
          <w:rFonts w:ascii="Arial" w:hAnsi="Arial" w:cs="Arial"/>
        </w:rPr>
      </w:pPr>
      <w:r w:rsidRPr="006C18D0">
        <w:rPr>
          <w:rStyle w:val="Strong"/>
          <w:rFonts w:ascii="Arial" w:hAnsi="Arial" w:cs="Arial"/>
          <w:b w:val="0"/>
        </w:rPr>
        <w:t>Financial Literacy Campaigns</w:t>
      </w:r>
      <w:r w:rsidRPr="006C18D0">
        <w:rPr>
          <w:rFonts w:ascii="Arial" w:hAnsi="Arial" w:cs="Arial"/>
        </w:rPr>
        <w:t>: Public sector banks, in particular, launched campaigns to educate consumers about using digital tools safely and effectively.</w:t>
      </w:r>
    </w:p>
    <w:p w:rsidR="00CC3C31" w:rsidRDefault="00CC3C31" w:rsidP="00CC3C31">
      <w:pPr>
        <w:spacing w:line="360" w:lineRule="auto"/>
        <w:jc w:val="both"/>
        <w:rPr>
          <w:rFonts w:ascii="Arial" w:hAnsi="Arial" w:cs="Arial"/>
        </w:rPr>
      </w:pPr>
    </w:p>
    <w:p w:rsidR="006C18D0" w:rsidRPr="006C18D0" w:rsidRDefault="006C18D0" w:rsidP="008C347A">
      <w:pPr>
        <w:pStyle w:val="Heading4"/>
        <w:jc w:val="center"/>
        <w:rPr>
          <w:rStyle w:val="Strong"/>
          <w:rFonts w:ascii="Arial" w:hAnsi="Arial" w:cs="Arial"/>
          <w:bCs w:val="0"/>
          <w:i w:val="0"/>
          <w:color w:val="auto"/>
          <w:sz w:val="20"/>
          <w:szCs w:val="20"/>
        </w:rPr>
      </w:pPr>
      <w:r w:rsidRPr="006C18D0">
        <w:rPr>
          <w:rStyle w:val="Strong"/>
          <w:rFonts w:ascii="Arial" w:hAnsi="Arial" w:cs="Arial"/>
          <w:i w:val="0"/>
          <w:color w:val="auto"/>
          <w:sz w:val="20"/>
          <w:szCs w:val="20"/>
        </w:rPr>
        <w:t xml:space="preserve">Table </w:t>
      </w:r>
      <w:r w:rsidR="00160843">
        <w:rPr>
          <w:rStyle w:val="Strong"/>
          <w:rFonts w:ascii="Arial" w:hAnsi="Arial" w:cs="Arial"/>
          <w:i w:val="0"/>
          <w:color w:val="auto"/>
          <w:sz w:val="20"/>
          <w:szCs w:val="20"/>
        </w:rPr>
        <w:t>3</w:t>
      </w:r>
      <w:r w:rsidRPr="006C18D0">
        <w:rPr>
          <w:rStyle w:val="Strong"/>
          <w:rFonts w:ascii="Arial" w:hAnsi="Arial" w:cs="Arial"/>
          <w:i w:val="0"/>
          <w:color w:val="auto"/>
          <w:sz w:val="20"/>
          <w:szCs w:val="20"/>
        </w:rPr>
        <w:t>: Retail Banking Adaptations Post-Demonetization</w:t>
      </w:r>
    </w:p>
    <w:p w:rsidR="006C18D0" w:rsidRPr="006C18D0" w:rsidRDefault="006C18D0" w:rsidP="006C18D0">
      <w:pPr>
        <w:rPr>
          <w:rFonts w:ascii="Arial" w:hAnsi="Arial" w:cs="Arial"/>
        </w:rPr>
      </w:pPr>
    </w:p>
    <w:tbl>
      <w:tblPr>
        <w:tblStyle w:val="TableGrid"/>
        <w:tblW w:w="8046" w:type="dxa"/>
        <w:tblLook w:val="04A0" w:firstRow="1" w:lastRow="0" w:firstColumn="1" w:lastColumn="0" w:noHBand="0" w:noVBand="1"/>
      </w:tblPr>
      <w:tblGrid>
        <w:gridCol w:w="2689"/>
        <w:gridCol w:w="2948"/>
        <w:gridCol w:w="2409"/>
      </w:tblGrid>
      <w:tr w:rsidR="006C18D0" w:rsidRPr="006C18D0" w:rsidTr="008C347A">
        <w:trPr>
          <w:trHeight w:val="567"/>
        </w:trPr>
        <w:tc>
          <w:tcPr>
            <w:tcW w:w="2689" w:type="dxa"/>
            <w:vAlign w:val="center"/>
            <w:hideMark/>
          </w:tcPr>
          <w:p w:rsidR="006C18D0" w:rsidRPr="006C18D0" w:rsidRDefault="006C18D0" w:rsidP="007A5C1B">
            <w:pPr>
              <w:spacing w:line="360" w:lineRule="auto"/>
              <w:jc w:val="center"/>
              <w:rPr>
                <w:rFonts w:ascii="Arial" w:hAnsi="Arial" w:cs="Arial"/>
                <w:b/>
                <w:bCs/>
                <w:sz w:val="20"/>
                <w:szCs w:val="20"/>
              </w:rPr>
            </w:pPr>
            <w:r w:rsidRPr="006C18D0">
              <w:rPr>
                <w:rFonts w:ascii="Arial" w:hAnsi="Arial" w:cs="Arial"/>
                <w:b/>
                <w:bCs/>
                <w:sz w:val="20"/>
                <w:szCs w:val="20"/>
              </w:rPr>
              <w:t>Initiative</w:t>
            </w:r>
          </w:p>
        </w:tc>
        <w:tc>
          <w:tcPr>
            <w:tcW w:w="2948" w:type="dxa"/>
            <w:vAlign w:val="center"/>
            <w:hideMark/>
          </w:tcPr>
          <w:p w:rsidR="006C18D0" w:rsidRPr="006C18D0" w:rsidRDefault="006C18D0" w:rsidP="007A5C1B">
            <w:pPr>
              <w:spacing w:line="360" w:lineRule="auto"/>
              <w:jc w:val="center"/>
              <w:rPr>
                <w:rFonts w:ascii="Arial" w:hAnsi="Arial" w:cs="Arial"/>
                <w:b/>
                <w:bCs/>
                <w:sz w:val="20"/>
                <w:szCs w:val="20"/>
              </w:rPr>
            </w:pPr>
            <w:r w:rsidRPr="006C18D0">
              <w:rPr>
                <w:rFonts w:ascii="Arial" w:hAnsi="Arial" w:cs="Arial"/>
                <w:b/>
                <w:bCs/>
                <w:sz w:val="20"/>
                <w:szCs w:val="20"/>
              </w:rPr>
              <w:t>Description</w:t>
            </w:r>
          </w:p>
        </w:tc>
        <w:tc>
          <w:tcPr>
            <w:tcW w:w="2409" w:type="dxa"/>
            <w:vAlign w:val="center"/>
            <w:hideMark/>
          </w:tcPr>
          <w:p w:rsidR="006C18D0" w:rsidRPr="006C18D0" w:rsidRDefault="006C18D0" w:rsidP="007A5C1B">
            <w:pPr>
              <w:spacing w:line="360" w:lineRule="auto"/>
              <w:jc w:val="center"/>
              <w:rPr>
                <w:rFonts w:ascii="Arial" w:hAnsi="Arial" w:cs="Arial"/>
                <w:b/>
                <w:bCs/>
                <w:sz w:val="20"/>
                <w:szCs w:val="20"/>
              </w:rPr>
            </w:pPr>
            <w:r w:rsidRPr="006C18D0">
              <w:rPr>
                <w:rFonts w:ascii="Arial" w:hAnsi="Arial" w:cs="Arial"/>
                <w:b/>
                <w:bCs/>
                <w:sz w:val="20"/>
                <w:szCs w:val="20"/>
              </w:rPr>
              <w:t>Impact</w:t>
            </w:r>
          </w:p>
        </w:tc>
      </w:tr>
      <w:tr w:rsidR="006C18D0" w:rsidRPr="006C18D0" w:rsidTr="008C347A">
        <w:trPr>
          <w:trHeight w:val="794"/>
        </w:trPr>
        <w:tc>
          <w:tcPr>
            <w:tcW w:w="2689" w:type="dxa"/>
            <w:hideMark/>
          </w:tcPr>
          <w:p w:rsidR="006C18D0" w:rsidRPr="006C18D0" w:rsidRDefault="006C18D0" w:rsidP="002571E9">
            <w:pPr>
              <w:spacing w:line="360" w:lineRule="auto"/>
              <w:rPr>
                <w:rFonts w:ascii="Arial" w:hAnsi="Arial" w:cs="Arial"/>
                <w:sz w:val="20"/>
                <w:szCs w:val="20"/>
              </w:rPr>
            </w:pPr>
            <w:r w:rsidRPr="006C18D0">
              <w:rPr>
                <w:rStyle w:val="Strong"/>
                <w:rFonts w:ascii="Arial" w:hAnsi="Arial" w:cs="Arial"/>
                <w:b w:val="0"/>
                <w:sz w:val="20"/>
                <w:szCs w:val="20"/>
              </w:rPr>
              <w:t>Digital Banking Campaigns</w:t>
            </w:r>
          </w:p>
        </w:tc>
        <w:tc>
          <w:tcPr>
            <w:tcW w:w="2948"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Focused on educating customers about mobile apps, UPI, etc.</w:t>
            </w:r>
          </w:p>
        </w:tc>
        <w:tc>
          <w:tcPr>
            <w:tcW w:w="2409"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Boosted adoption in rural and semi-urban areas</w:t>
            </w:r>
          </w:p>
        </w:tc>
      </w:tr>
      <w:tr w:rsidR="006C18D0" w:rsidRPr="006C18D0" w:rsidTr="008C347A">
        <w:trPr>
          <w:trHeight w:val="794"/>
        </w:trPr>
        <w:tc>
          <w:tcPr>
            <w:tcW w:w="2689" w:type="dxa"/>
            <w:hideMark/>
          </w:tcPr>
          <w:p w:rsidR="006C18D0" w:rsidRPr="006C18D0" w:rsidRDefault="006C18D0" w:rsidP="002571E9">
            <w:pPr>
              <w:spacing w:line="360" w:lineRule="auto"/>
              <w:rPr>
                <w:rFonts w:ascii="Arial" w:hAnsi="Arial" w:cs="Arial"/>
                <w:sz w:val="20"/>
                <w:szCs w:val="20"/>
              </w:rPr>
            </w:pPr>
            <w:r w:rsidRPr="006C18D0">
              <w:rPr>
                <w:rStyle w:val="Strong"/>
                <w:rFonts w:ascii="Arial" w:hAnsi="Arial" w:cs="Arial"/>
                <w:b w:val="0"/>
                <w:sz w:val="20"/>
                <w:szCs w:val="20"/>
              </w:rPr>
              <w:t>Improved App Interfaces</w:t>
            </w:r>
          </w:p>
        </w:tc>
        <w:tc>
          <w:tcPr>
            <w:tcW w:w="2948"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Simplified app design and user journeys</w:t>
            </w:r>
          </w:p>
        </w:tc>
        <w:tc>
          <w:tcPr>
            <w:tcW w:w="2409"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Increased customer satisfaction and usage</w:t>
            </w:r>
          </w:p>
        </w:tc>
      </w:tr>
      <w:tr w:rsidR="006C18D0" w:rsidRPr="006C18D0" w:rsidTr="008C347A">
        <w:trPr>
          <w:trHeight w:val="794"/>
        </w:trPr>
        <w:tc>
          <w:tcPr>
            <w:tcW w:w="2689" w:type="dxa"/>
            <w:hideMark/>
          </w:tcPr>
          <w:p w:rsidR="006C18D0" w:rsidRPr="006C18D0" w:rsidRDefault="006C18D0" w:rsidP="002571E9">
            <w:pPr>
              <w:spacing w:line="360" w:lineRule="auto"/>
              <w:rPr>
                <w:rFonts w:ascii="Arial" w:hAnsi="Arial" w:cs="Arial"/>
                <w:sz w:val="20"/>
                <w:szCs w:val="20"/>
              </w:rPr>
            </w:pPr>
            <w:r w:rsidRPr="006C18D0">
              <w:rPr>
                <w:rStyle w:val="Strong"/>
                <w:rFonts w:ascii="Arial" w:hAnsi="Arial" w:cs="Arial"/>
                <w:b w:val="0"/>
                <w:sz w:val="20"/>
                <w:szCs w:val="20"/>
              </w:rPr>
              <w:lastRenderedPageBreak/>
              <w:t>Enhanced Security</w:t>
            </w:r>
          </w:p>
        </w:tc>
        <w:tc>
          <w:tcPr>
            <w:tcW w:w="2948"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Introduced biometric login, two-factor authentication (2FA)</w:t>
            </w:r>
          </w:p>
        </w:tc>
        <w:tc>
          <w:tcPr>
            <w:tcW w:w="2409"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 xml:space="preserve">Improved consumer trust in </w:t>
            </w:r>
            <w:r w:rsidR="00887308">
              <w:rPr>
                <w:rFonts w:ascii="Arial" w:hAnsi="Arial" w:cs="Arial"/>
                <w:sz w:val="20"/>
                <w:szCs w:val="20"/>
              </w:rPr>
              <w:t>E-Banking</w:t>
            </w:r>
          </w:p>
        </w:tc>
      </w:tr>
      <w:tr w:rsidR="006C18D0" w:rsidRPr="006C18D0" w:rsidTr="008C347A">
        <w:trPr>
          <w:trHeight w:val="794"/>
        </w:trPr>
        <w:tc>
          <w:tcPr>
            <w:tcW w:w="2689" w:type="dxa"/>
            <w:hideMark/>
          </w:tcPr>
          <w:p w:rsidR="006C18D0" w:rsidRPr="006C18D0" w:rsidRDefault="006C18D0" w:rsidP="002571E9">
            <w:pPr>
              <w:spacing w:line="360" w:lineRule="auto"/>
              <w:rPr>
                <w:rFonts w:ascii="Arial" w:hAnsi="Arial" w:cs="Arial"/>
                <w:sz w:val="20"/>
                <w:szCs w:val="20"/>
              </w:rPr>
            </w:pPr>
            <w:r w:rsidRPr="006C18D0">
              <w:rPr>
                <w:rStyle w:val="Strong"/>
                <w:rFonts w:ascii="Arial" w:hAnsi="Arial" w:cs="Arial"/>
                <w:b w:val="0"/>
                <w:sz w:val="20"/>
                <w:szCs w:val="20"/>
              </w:rPr>
              <w:t>Promotions on Digital Platforms</w:t>
            </w:r>
          </w:p>
        </w:tc>
        <w:tc>
          <w:tcPr>
            <w:tcW w:w="2948"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Provided cashbacks and discounts for digital transactions</w:t>
            </w:r>
          </w:p>
        </w:tc>
        <w:tc>
          <w:tcPr>
            <w:tcW w:w="2409" w:type="dxa"/>
            <w:hideMark/>
          </w:tcPr>
          <w:p w:rsidR="006C18D0" w:rsidRPr="006C18D0" w:rsidRDefault="006C18D0" w:rsidP="002571E9">
            <w:pPr>
              <w:spacing w:line="360" w:lineRule="auto"/>
              <w:rPr>
                <w:rFonts w:ascii="Arial" w:hAnsi="Arial" w:cs="Arial"/>
                <w:sz w:val="20"/>
                <w:szCs w:val="20"/>
              </w:rPr>
            </w:pPr>
            <w:r w:rsidRPr="006C18D0">
              <w:rPr>
                <w:rFonts w:ascii="Arial" w:hAnsi="Arial" w:cs="Arial"/>
                <w:sz w:val="20"/>
                <w:szCs w:val="20"/>
              </w:rPr>
              <w:t>Encouraged consumer engagement and usage</w:t>
            </w:r>
          </w:p>
        </w:tc>
      </w:tr>
    </w:tbl>
    <w:p w:rsidR="00CC3C31" w:rsidRDefault="00CC3C31" w:rsidP="00CC3C31">
      <w:pPr>
        <w:pStyle w:val="Heading4"/>
        <w:rPr>
          <w:rStyle w:val="Strong"/>
          <w:rFonts w:ascii="Arial" w:hAnsi="Arial" w:cs="Arial"/>
          <w:b w:val="0"/>
          <w:i w:val="0"/>
          <w:color w:val="auto"/>
          <w:sz w:val="20"/>
          <w:szCs w:val="20"/>
        </w:rPr>
      </w:pPr>
    </w:p>
    <w:p w:rsidR="007A5C1B" w:rsidRPr="00BC3B01" w:rsidRDefault="008C347A" w:rsidP="007A5C1B">
      <w:pPr>
        <w:pStyle w:val="Heading4"/>
        <w:jc w:val="center"/>
        <w:rPr>
          <w:rStyle w:val="Strong"/>
          <w:rFonts w:ascii="Arial" w:hAnsi="Arial" w:cs="Arial"/>
          <w:bCs w:val="0"/>
          <w:i w:val="0"/>
          <w:color w:val="auto"/>
          <w:sz w:val="20"/>
          <w:szCs w:val="20"/>
        </w:rPr>
      </w:pPr>
      <w:r w:rsidRPr="00BC3B01">
        <w:rPr>
          <w:rFonts w:ascii="Arial" w:hAnsi="Arial" w:cs="Arial"/>
          <w:b/>
          <w:noProof/>
          <w:sz w:val="20"/>
          <w:szCs w:val="20"/>
          <w:lang w:val="en-IN" w:eastAsia="en-IN"/>
        </w:rPr>
        <w:drawing>
          <wp:anchor distT="0" distB="0" distL="114300" distR="114300" simplePos="0" relativeHeight="251655680" behindDoc="1" locked="0" layoutInCell="1" allowOverlap="1" wp14:anchorId="384A2AB3" wp14:editId="1054F803">
            <wp:simplePos x="0" y="0"/>
            <wp:positionH relativeFrom="margin">
              <wp:posOffset>-35560</wp:posOffset>
            </wp:positionH>
            <wp:positionV relativeFrom="margin">
              <wp:posOffset>1835150</wp:posOffset>
            </wp:positionV>
            <wp:extent cx="5154930" cy="3208655"/>
            <wp:effectExtent l="0" t="0" r="7620" b="0"/>
            <wp:wrapSquare wrapText="bothSides"/>
            <wp:docPr id="3" name="Picture 3" descr="C:\Users\Home PC\OneDrive\Desktop\0b93deb9-d8f0-448b-a5be-97268063c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 PC\OneDrive\Desktop\0b93deb9-d8f0-448b-a5be-97268063c7e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4930" cy="320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7A3A">
        <w:rPr>
          <w:rStyle w:val="Strong"/>
          <w:rFonts w:ascii="Arial" w:hAnsi="Arial" w:cs="Arial"/>
          <w:i w:val="0"/>
          <w:color w:val="auto"/>
          <w:sz w:val="20"/>
          <w:szCs w:val="20"/>
        </w:rPr>
        <w:t>Fig.</w:t>
      </w:r>
      <w:r w:rsidR="007A5C1B" w:rsidRPr="00BC3B01">
        <w:rPr>
          <w:rStyle w:val="Strong"/>
          <w:rFonts w:ascii="Arial" w:hAnsi="Arial" w:cs="Arial"/>
          <w:i w:val="0"/>
          <w:color w:val="auto"/>
          <w:sz w:val="20"/>
          <w:szCs w:val="20"/>
        </w:rPr>
        <w:t xml:space="preserve"> </w:t>
      </w:r>
      <w:r w:rsidR="007A5C1B">
        <w:rPr>
          <w:rStyle w:val="Strong"/>
          <w:rFonts w:ascii="Arial" w:hAnsi="Arial" w:cs="Arial"/>
          <w:i w:val="0"/>
          <w:color w:val="auto"/>
          <w:sz w:val="20"/>
          <w:szCs w:val="20"/>
        </w:rPr>
        <w:t>3</w:t>
      </w:r>
      <w:r w:rsidR="007A5C1B" w:rsidRPr="00BC3B01">
        <w:rPr>
          <w:rStyle w:val="Strong"/>
          <w:rFonts w:ascii="Arial" w:hAnsi="Arial" w:cs="Arial"/>
          <w:i w:val="0"/>
          <w:color w:val="auto"/>
          <w:sz w:val="20"/>
          <w:szCs w:val="20"/>
        </w:rPr>
        <w:t xml:space="preserve">: Percentage of Consumers Using Different Forms of </w:t>
      </w:r>
      <w:r w:rsidR="00887308">
        <w:rPr>
          <w:rStyle w:val="Strong"/>
          <w:rFonts w:ascii="Arial" w:hAnsi="Arial" w:cs="Arial"/>
          <w:i w:val="0"/>
          <w:color w:val="auto"/>
          <w:sz w:val="20"/>
          <w:szCs w:val="20"/>
        </w:rPr>
        <w:t>E-Banking</w:t>
      </w:r>
    </w:p>
    <w:p w:rsidR="006C18D0" w:rsidRDefault="006C18D0" w:rsidP="006C18D0">
      <w:pPr>
        <w:pStyle w:val="Heading4"/>
        <w:jc w:val="center"/>
        <w:rPr>
          <w:rFonts w:ascii="Arial" w:hAnsi="Arial" w:cs="Arial"/>
          <w:i w:val="0"/>
          <w:color w:val="auto"/>
          <w:sz w:val="20"/>
          <w:szCs w:val="20"/>
        </w:rPr>
      </w:pPr>
      <w:r w:rsidRPr="00C92A16">
        <w:rPr>
          <w:rFonts w:ascii="Arial" w:hAnsi="Arial" w:cs="Arial"/>
          <w:b/>
          <w:i w:val="0"/>
          <w:color w:val="auto"/>
          <w:sz w:val="20"/>
          <w:szCs w:val="20"/>
        </w:rPr>
        <w:t>Source:</w:t>
      </w:r>
      <w:r w:rsidRPr="006C18D0">
        <w:rPr>
          <w:rFonts w:ascii="Arial" w:hAnsi="Arial" w:cs="Arial"/>
          <w:i w:val="0"/>
          <w:color w:val="auto"/>
          <w:sz w:val="20"/>
          <w:szCs w:val="20"/>
        </w:rPr>
        <w:t xml:space="preserve"> Reserve Bank of </w:t>
      </w:r>
      <w:r w:rsidR="00D0250C">
        <w:rPr>
          <w:rFonts w:ascii="Arial" w:hAnsi="Arial" w:cs="Arial"/>
          <w:i w:val="0"/>
          <w:color w:val="auto"/>
          <w:sz w:val="20"/>
          <w:szCs w:val="20"/>
        </w:rPr>
        <w:t>India</w:t>
      </w:r>
      <w:r w:rsidRPr="006C18D0">
        <w:rPr>
          <w:rFonts w:ascii="Arial" w:hAnsi="Arial" w:cs="Arial"/>
          <w:i w:val="0"/>
          <w:color w:val="auto"/>
          <w:sz w:val="20"/>
          <w:szCs w:val="20"/>
        </w:rPr>
        <w:t xml:space="preserve"> (RBI), National Payments Corporation of </w:t>
      </w:r>
      <w:r w:rsidR="00D0250C">
        <w:rPr>
          <w:rFonts w:ascii="Arial" w:hAnsi="Arial" w:cs="Arial"/>
          <w:i w:val="0"/>
          <w:color w:val="auto"/>
          <w:sz w:val="20"/>
          <w:szCs w:val="20"/>
        </w:rPr>
        <w:t>India</w:t>
      </w:r>
      <w:r w:rsidRPr="006C18D0">
        <w:rPr>
          <w:rFonts w:ascii="Arial" w:hAnsi="Arial" w:cs="Arial"/>
          <w:i w:val="0"/>
          <w:color w:val="auto"/>
          <w:sz w:val="20"/>
          <w:szCs w:val="20"/>
        </w:rPr>
        <w:t xml:space="preserve"> (NPCI)</w:t>
      </w:r>
    </w:p>
    <w:p w:rsidR="007A5C1B" w:rsidRPr="007A5C1B" w:rsidRDefault="007A5C1B" w:rsidP="007A5C1B"/>
    <w:p w:rsidR="006C18D0" w:rsidRPr="006C18D0" w:rsidRDefault="006C18D0" w:rsidP="006C18D0">
      <w:pPr>
        <w:pStyle w:val="Heading4"/>
        <w:rPr>
          <w:rStyle w:val="Strong"/>
          <w:rFonts w:ascii="Arial" w:hAnsi="Arial" w:cs="Arial"/>
          <w:b w:val="0"/>
          <w:bCs w:val="0"/>
          <w:i w:val="0"/>
          <w:color w:val="auto"/>
          <w:sz w:val="20"/>
          <w:szCs w:val="20"/>
        </w:rPr>
      </w:pPr>
    </w:p>
    <w:p w:rsidR="006C18D0" w:rsidRPr="006C18D0" w:rsidRDefault="00751261" w:rsidP="006C18D0">
      <w:pPr>
        <w:pStyle w:val="Heading4"/>
        <w:rPr>
          <w:rFonts w:ascii="Arial" w:hAnsi="Arial" w:cs="Arial"/>
          <w:i w:val="0"/>
          <w:color w:val="auto"/>
          <w:sz w:val="20"/>
          <w:szCs w:val="20"/>
        </w:rPr>
      </w:pPr>
      <w:r>
        <w:rPr>
          <w:rStyle w:val="Strong"/>
          <w:rFonts w:ascii="Arial" w:hAnsi="Arial" w:cs="Arial"/>
          <w:i w:val="0"/>
          <w:color w:val="auto"/>
          <w:sz w:val="20"/>
          <w:szCs w:val="20"/>
        </w:rPr>
        <w:t xml:space="preserve">5.5 </w:t>
      </w:r>
      <w:r w:rsidR="006C18D0" w:rsidRPr="006C18D0">
        <w:rPr>
          <w:rStyle w:val="Strong"/>
          <w:rFonts w:ascii="Arial" w:hAnsi="Arial" w:cs="Arial"/>
          <w:i w:val="0"/>
          <w:color w:val="auto"/>
          <w:sz w:val="20"/>
          <w:szCs w:val="20"/>
        </w:rPr>
        <w:t>Challenges Faced by Consumers</w:t>
      </w:r>
    </w:p>
    <w:p w:rsidR="006C18D0" w:rsidRPr="006C18D0" w:rsidRDefault="006C18D0" w:rsidP="006C18D0">
      <w:pPr>
        <w:pStyle w:val="NormalWeb"/>
        <w:rPr>
          <w:rFonts w:ascii="Arial" w:hAnsi="Arial" w:cs="Arial"/>
          <w:b/>
          <w:sz w:val="20"/>
          <w:szCs w:val="20"/>
        </w:rPr>
      </w:pPr>
      <w:r w:rsidRPr="006C18D0">
        <w:rPr>
          <w:rFonts w:ascii="Arial" w:hAnsi="Arial" w:cs="Arial"/>
          <w:b/>
          <w:sz w:val="20"/>
          <w:szCs w:val="20"/>
        </w:rPr>
        <w:t xml:space="preserve">While the shift to </w:t>
      </w:r>
      <w:r w:rsidR="00887308">
        <w:rPr>
          <w:rFonts w:ascii="Arial" w:hAnsi="Arial" w:cs="Arial"/>
          <w:b/>
          <w:sz w:val="20"/>
          <w:szCs w:val="20"/>
        </w:rPr>
        <w:t>E-Banking</w:t>
      </w:r>
      <w:r w:rsidRPr="006C18D0">
        <w:rPr>
          <w:rFonts w:ascii="Arial" w:hAnsi="Arial" w:cs="Arial"/>
          <w:b/>
          <w:sz w:val="20"/>
          <w:szCs w:val="20"/>
        </w:rPr>
        <w:t xml:space="preserve"> was largely positive, there were challenges:</w:t>
      </w:r>
    </w:p>
    <w:p w:rsidR="006C18D0" w:rsidRPr="006C18D0" w:rsidRDefault="006C18D0" w:rsidP="006C18D0">
      <w:pPr>
        <w:numPr>
          <w:ilvl w:val="0"/>
          <w:numId w:val="33"/>
        </w:numPr>
        <w:spacing w:before="100" w:beforeAutospacing="1" w:after="100" w:afterAutospacing="1" w:line="360" w:lineRule="auto"/>
        <w:jc w:val="both"/>
        <w:rPr>
          <w:rFonts w:ascii="Arial" w:hAnsi="Arial" w:cs="Arial"/>
        </w:rPr>
      </w:pPr>
      <w:r w:rsidRPr="006C18D0">
        <w:rPr>
          <w:rStyle w:val="Strong"/>
          <w:rFonts w:ascii="Arial" w:hAnsi="Arial" w:cs="Arial"/>
          <w:b w:val="0"/>
        </w:rPr>
        <w:t>Digital Literacy</w:t>
      </w:r>
      <w:r w:rsidRPr="006C18D0">
        <w:rPr>
          <w:rFonts w:ascii="Arial" w:hAnsi="Arial" w:cs="Arial"/>
        </w:rPr>
        <w:t>: Despite efforts, a significant section of the population, particularly the elderly, faced difficulties in adopting digital tools.</w:t>
      </w:r>
    </w:p>
    <w:p w:rsidR="006C18D0" w:rsidRPr="006C18D0" w:rsidRDefault="006C18D0" w:rsidP="006C18D0">
      <w:pPr>
        <w:numPr>
          <w:ilvl w:val="0"/>
          <w:numId w:val="33"/>
        </w:numPr>
        <w:spacing w:before="100" w:beforeAutospacing="1" w:after="100" w:afterAutospacing="1" w:line="360" w:lineRule="auto"/>
        <w:jc w:val="both"/>
        <w:rPr>
          <w:rFonts w:ascii="Arial" w:hAnsi="Arial" w:cs="Arial"/>
        </w:rPr>
      </w:pPr>
      <w:r w:rsidRPr="006C18D0">
        <w:rPr>
          <w:rStyle w:val="Strong"/>
          <w:rFonts w:ascii="Arial" w:hAnsi="Arial" w:cs="Arial"/>
          <w:b w:val="0"/>
        </w:rPr>
        <w:t>Connectivity Issues</w:t>
      </w:r>
      <w:r w:rsidRPr="006C18D0">
        <w:rPr>
          <w:rFonts w:ascii="Arial" w:hAnsi="Arial" w:cs="Arial"/>
        </w:rPr>
        <w:t>: Rural areas, despite increased mobile penetration, still struggled with internet connectivity issues, which hindered seamless digital banking experiences.</w:t>
      </w:r>
    </w:p>
    <w:p w:rsidR="006C18D0" w:rsidRDefault="006C18D0" w:rsidP="006C18D0">
      <w:pPr>
        <w:numPr>
          <w:ilvl w:val="0"/>
          <w:numId w:val="33"/>
        </w:numPr>
        <w:spacing w:before="100" w:beforeAutospacing="1" w:after="100" w:afterAutospacing="1" w:line="360" w:lineRule="auto"/>
        <w:jc w:val="both"/>
      </w:pPr>
      <w:r w:rsidRPr="006C18D0">
        <w:rPr>
          <w:rStyle w:val="Strong"/>
          <w:rFonts w:ascii="Arial" w:hAnsi="Arial" w:cs="Arial"/>
          <w:b w:val="0"/>
        </w:rPr>
        <w:t>Cybersecurity Concerns</w:t>
      </w:r>
      <w:r w:rsidRPr="006C18D0">
        <w:rPr>
          <w:rFonts w:ascii="Arial" w:hAnsi="Arial" w:cs="Arial"/>
        </w:rPr>
        <w:t>: With the rapid growth of digital transactions, fraud and cyber threats became a major concern. Users had to become more vigilant regarding phishing scams and online security</w:t>
      </w:r>
      <w:r w:rsidRPr="00AD185E">
        <w:rPr>
          <w:sz w:val="24"/>
        </w:rPr>
        <w:t xml:space="preserve"> </w:t>
      </w:r>
      <w:r>
        <w:t>risks.</w:t>
      </w:r>
    </w:p>
    <w:p w:rsidR="00C2718E" w:rsidRPr="00C2718E" w:rsidRDefault="00C2718E" w:rsidP="00C2718E">
      <w:pPr>
        <w:pStyle w:val="Heading3"/>
        <w:spacing w:line="360" w:lineRule="auto"/>
        <w:jc w:val="both"/>
        <w:rPr>
          <w:rFonts w:ascii="Arial" w:hAnsi="Arial" w:cs="Arial"/>
          <w:color w:val="auto"/>
          <w:sz w:val="20"/>
          <w:szCs w:val="20"/>
        </w:rPr>
      </w:pPr>
      <w:r w:rsidRPr="00C2718E">
        <w:rPr>
          <w:rStyle w:val="Strong"/>
          <w:rFonts w:ascii="Arial" w:hAnsi="Arial" w:cs="Arial"/>
          <w:bCs w:val="0"/>
          <w:color w:val="auto"/>
          <w:sz w:val="20"/>
          <w:szCs w:val="20"/>
        </w:rPr>
        <w:lastRenderedPageBreak/>
        <w:t>6. Results and Discussion</w:t>
      </w:r>
    </w:p>
    <w:p w:rsidR="00C2718E" w:rsidRPr="00C2718E" w:rsidRDefault="00C2718E" w:rsidP="007A5C1B">
      <w:pPr>
        <w:pStyle w:val="Heading4"/>
        <w:spacing w:before="0" w:line="360" w:lineRule="auto"/>
        <w:jc w:val="both"/>
        <w:rPr>
          <w:rFonts w:ascii="Arial" w:hAnsi="Arial" w:cs="Arial"/>
          <w:i w:val="0"/>
          <w:color w:val="auto"/>
          <w:sz w:val="20"/>
          <w:szCs w:val="20"/>
        </w:rPr>
      </w:pPr>
      <w:r w:rsidRPr="00C2718E">
        <w:rPr>
          <w:rStyle w:val="Strong"/>
          <w:rFonts w:ascii="Arial" w:hAnsi="Arial" w:cs="Arial"/>
          <w:bCs w:val="0"/>
          <w:i w:val="0"/>
          <w:color w:val="auto"/>
          <w:sz w:val="20"/>
          <w:szCs w:val="20"/>
        </w:rPr>
        <w:t xml:space="preserve">6.1 Evolution of </w:t>
      </w:r>
      <w:r w:rsidR="00887308">
        <w:rPr>
          <w:rStyle w:val="Strong"/>
          <w:rFonts w:ascii="Arial" w:hAnsi="Arial" w:cs="Arial"/>
          <w:bCs w:val="0"/>
          <w:i w:val="0"/>
          <w:color w:val="auto"/>
          <w:sz w:val="20"/>
          <w:szCs w:val="20"/>
        </w:rPr>
        <w:t>E-Banking</w:t>
      </w:r>
      <w:r w:rsidRPr="00C2718E">
        <w:rPr>
          <w:rStyle w:val="Strong"/>
          <w:rFonts w:ascii="Arial" w:hAnsi="Arial" w:cs="Arial"/>
          <w:bCs w:val="0"/>
          <w:i w:val="0"/>
          <w:color w:val="auto"/>
          <w:sz w:val="20"/>
          <w:szCs w:val="20"/>
        </w:rPr>
        <w:t xml:space="preserve"> Usage Patterns</w:t>
      </w:r>
    </w:p>
    <w:p w:rsidR="007A5C1B" w:rsidRDefault="00C2718E" w:rsidP="007A5C1B">
      <w:pPr>
        <w:pStyle w:val="NormalWeb"/>
        <w:spacing w:before="0" w:beforeAutospacing="0" w:after="0" w:afterAutospacing="0" w:line="360" w:lineRule="auto"/>
        <w:jc w:val="both"/>
        <w:rPr>
          <w:rFonts w:ascii="Arial" w:hAnsi="Arial" w:cs="Arial"/>
          <w:sz w:val="20"/>
          <w:szCs w:val="20"/>
        </w:rPr>
      </w:pPr>
      <w:r w:rsidRPr="00C2718E">
        <w:rPr>
          <w:rFonts w:ascii="Arial" w:hAnsi="Arial" w:cs="Arial"/>
          <w:sz w:val="20"/>
          <w:szCs w:val="20"/>
        </w:rPr>
        <w:t>The findings of this study indicate a profound transformation in how Indian consumers interact with digital banking services in the aftermath of demonetization. Prior to this monetary policy shift, digital banking solutions were largely limited to urban, technologically literate users. However, post-2016, there has been a substantial increase in digital engagement across a much broader segment of the population. As evidenced in Table 1, the usage of Unified Payments Interface (UPI) surged from a modest 0.02 billion transactions to over 185.8 billion by the fiscal year 2025. Likewise, the number of mobile banking users more than doubled, and digital payments accounted for approximately 60% of all financial transactions, up from just 22% before the policy change.</w:t>
      </w:r>
    </w:p>
    <w:p w:rsidR="00C2718E" w:rsidRDefault="00C2718E" w:rsidP="007A5C1B">
      <w:pPr>
        <w:pStyle w:val="NormalWeb"/>
        <w:spacing w:before="0" w:beforeAutospacing="0" w:after="0" w:afterAutospacing="0" w:line="360" w:lineRule="auto"/>
        <w:jc w:val="both"/>
        <w:rPr>
          <w:rFonts w:ascii="Arial" w:hAnsi="Arial" w:cs="Arial"/>
          <w:sz w:val="20"/>
          <w:szCs w:val="20"/>
        </w:rPr>
      </w:pPr>
      <w:r w:rsidRPr="00C2718E">
        <w:rPr>
          <w:rFonts w:ascii="Arial" w:hAnsi="Arial" w:cs="Arial"/>
          <w:sz w:val="20"/>
          <w:szCs w:val="20"/>
        </w:rPr>
        <w:t xml:space="preserve">This sharp increase reflects not just a temporary shift driven by necessity during the cash shortage, but a sustained behavioral transition rooted in the perceived benefits of speed, convenience, and accessibility associated with </w:t>
      </w:r>
      <w:r w:rsidR="00887308">
        <w:rPr>
          <w:rFonts w:ascii="Arial" w:hAnsi="Arial" w:cs="Arial"/>
          <w:sz w:val="20"/>
          <w:szCs w:val="20"/>
        </w:rPr>
        <w:t>E-Banking</w:t>
      </w:r>
      <w:r w:rsidRPr="00C2718E">
        <w:rPr>
          <w:rFonts w:ascii="Arial" w:hAnsi="Arial" w:cs="Arial"/>
          <w:sz w:val="20"/>
          <w:szCs w:val="20"/>
        </w:rPr>
        <w:t xml:space="preserve"> platforms.</w:t>
      </w:r>
    </w:p>
    <w:p w:rsidR="007A5C1B" w:rsidRPr="00C2718E" w:rsidRDefault="007A5C1B" w:rsidP="007A5C1B">
      <w:pPr>
        <w:pStyle w:val="NormalWeb"/>
        <w:spacing w:before="0" w:beforeAutospacing="0" w:after="0" w:afterAutospacing="0" w:line="360" w:lineRule="auto"/>
        <w:jc w:val="both"/>
        <w:rPr>
          <w:rFonts w:ascii="Arial" w:hAnsi="Arial" w:cs="Arial"/>
          <w:sz w:val="20"/>
          <w:szCs w:val="20"/>
        </w:rPr>
      </w:pPr>
    </w:p>
    <w:p w:rsidR="00C2718E" w:rsidRPr="00C2718E" w:rsidRDefault="00C2718E" w:rsidP="007A5C1B">
      <w:pPr>
        <w:pStyle w:val="Heading4"/>
        <w:spacing w:before="0" w:line="360" w:lineRule="auto"/>
        <w:jc w:val="both"/>
        <w:rPr>
          <w:rFonts w:ascii="Arial" w:hAnsi="Arial" w:cs="Arial"/>
          <w:i w:val="0"/>
          <w:color w:val="auto"/>
          <w:sz w:val="20"/>
          <w:szCs w:val="20"/>
        </w:rPr>
      </w:pPr>
      <w:r w:rsidRPr="00C2718E">
        <w:rPr>
          <w:rStyle w:val="Strong"/>
          <w:rFonts w:ascii="Arial" w:hAnsi="Arial" w:cs="Arial"/>
          <w:bCs w:val="0"/>
          <w:i w:val="0"/>
          <w:color w:val="auto"/>
          <w:sz w:val="20"/>
          <w:szCs w:val="20"/>
        </w:rPr>
        <w:t>6.2 Financial Inclusion in Rural India</w:t>
      </w:r>
    </w:p>
    <w:p w:rsidR="00C2718E" w:rsidRPr="00C2718E" w:rsidRDefault="00C2718E" w:rsidP="007A5C1B">
      <w:pPr>
        <w:pStyle w:val="NormalWeb"/>
        <w:spacing w:before="0" w:beforeAutospacing="0" w:line="360" w:lineRule="auto"/>
        <w:jc w:val="both"/>
        <w:rPr>
          <w:rFonts w:ascii="Arial" w:hAnsi="Arial" w:cs="Arial"/>
          <w:sz w:val="20"/>
          <w:szCs w:val="20"/>
        </w:rPr>
      </w:pPr>
      <w:r w:rsidRPr="00C2718E">
        <w:rPr>
          <w:rFonts w:ascii="Arial" w:hAnsi="Arial" w:cs="Arial"/>
          <w:sz w:val="20"/>
          <w:szCs w:val="20"/>
        </w:rPr>
        <w:t>According to the data presented in Table 2 and illustrated in Fig. 2, the number of digital banking users in rural India expanded from 50 million in 2016 to a remarkable 900 million by 2025. The most dramatic growth periods occurred in the immediate aftermath of demonetization and again during 2021–2023, driven by government-led financial inclusion initiatives such as Digital India and PMJDY, alongside increased availability of smartphones and affordable internet.</w:t>
      </w:r>
    </w:p>
    <w:p w:rsidR="00C2718E" w:rsidRPr="00C2718E" w:rsidRDefault="00C2718E" w:rsidP="00C2718E">
      <w:pPr>
        <w:pStyle w:val="NormalWeb"/>
        <w:spacing w:line="360" w:lineRule="auto"/>
        <w:jc w:val="both"/>
        <w:rPr>
          <w:rFonts w:ascii="Arial" w:hAnsi="Arial" w:cs="Arial"/>
          <w:sz w:val="20"/>
          <w:szCs w:val="20"/>
        </w:rPr>
      </w:pPr>
      <w:r w:rsidRPr="00C2718E">
        <w:rPr>
          <w:rStyle w:val="Strong"/>
          <w:rFonts w:ascii="Arial" w:hAnsi="Arial" w:cs="Arial"/>
          <w:sz w:val="20"/>
          <w:szCs w:val="20"/>
        </w:rPr>
        <w:t>Interpretation:</w:t>
      </w:r>
      <w:r w:rsidRPr="00C2718E">
        <w:rPr>
          <w:rFonts w:ascii="Arial" w:hAnsi="Arial" w:cs="Arial"/>
          <w:sz w:val="20"/>
          <w:szCs w:val="20"/>
        </w:rPr>
        <w:br/>
        <w:t>Initially triggered by a lack of alternatives during the cash crunch, this increase in rural digital adoption has evolved into long-term behavioral change. The sustained growth suggests that policy interventions, combined with expanding digital infrastructure, have successfully bridged significant gaps in access between rural and urban banking services.</w:t>
      </w:r>
    </w:p>
    <w:p w:rsidR="00C2718E" w:rsidRPr="00C2718E" w:rsidRDefault="00C2718E" w:rsidP="007A5C1B">
      <w:pPr>
        <w:pStyle w:val="Heading4"/>
        <w:spacing w:before="0" w:line="360" w:lineRule="auto"/>
        <w:jc w:val="both"/>
        <w:rPr>
          <w:rFonts w:ascii="Arial" w:hAnsi="Arial" w:cs="Arial"/>
          <w:i w:val="0"/>
          <w:color w:val="auto"/>
          <w:sz w:val="20"/>
          <w:szCs w:val="20"/>
        </w:rPr>
      </w:pPr>
      <w:r w:rsidRPr="00C2718E">
        <w:rPr>
          <w:rStyle w:val="Strong"/>
          <w:rFonts w:ascii="Arial" w:hAnsi="Arial" w:cs="Arial"/>
          <w:bCs w:val="0"/>
          <w:i w:val="0"/>
          <w:color w:val="auto"/>
          <w:sz w:val="20"/>
          <w:szCs w:val="20"/>
        </w:rPr>
        <w:t>6.3 Changing Consumer Preferences in Financial Transactions</w:t>
      </w:r>
    </w:p>
    <w:p w:rsidR="007A5C1B" w:rsidRDefault="00C2718E" w:rsidP="007A5C1B">
      <w:pPr>
        <w:pStyle w:val="NormalWeb"/>
        <w:spacing w:before="0" w:beforeAutospacing="0" w:after="0" w:afterAutospacing="0" w:line="360" w:lineRule="auto"/>
        <w:jc w:val="both"/>
        <w:rPr>
          <w:rFonts w:ascii="Arial" w:hAnsi="Arial" w:cs="Arial"/>
          <w:sz w:val="20"/>
          <w:szCs w:val="20"/>
        </w:rPr>
      </w:pPr>
      <w:r w:rsidRPr="00C2718E">
        <w:rPr>
          <w:rFonts w:ascii="Arial" w:hAnsi="Arial" w:cs="Arial"/>
          <w:sz w:val="20"/>
          <w:szCs w:val="20"/>
        </w:rPr>
        <w:t xml:space="preserve">A clear shift has occurred in consumer preferences, with many now favoring mobile-based payment methods and UPI due to their ease of use, low costs, and real-time transaction capabilities. Young consumers and small entrepreneurs, in particular, have embraced these digital tools as practical alternatives to cash or card payments. As noted by Atwal and Kaur (2025), digital payment platforms like Google Pay, </w:t>
      </w:r>
      <w:proofErr w:type="spellStart"/>
      <w:r w:rsidRPr="00C2718E">
        <w:rPr>
          <w:rFonts w:ascii="Arial" w:hAnsi="Arial" w:cs="Arial"/>
          <w:sz w:val="20"/>
          <w:szCs w:val="20"/>
        </w:rPr>
        <w:t>PhonePe</w:t>
      </w:r>
      <w:proofErr w:type="spellEnd"/>
      <w:r w:rsidRPr="00C2718E">
        <w:rPr>
          <w:rFonts w:ascii="Arial" w:hAnsi="Arial" w:cs="Arial"/>
          <w:sz w:val="20"/>
          <w:szCs w:val="20"/>
        </w:rPr>
        <w:t>, and Paytm gained widespread popularity and became essential for daily transactions.</w:t>
      </w:r>
    </w:p>
    <w:p w:rsidR="00C2718E" w:rsidRPr="00C2718E" w:rsidRDefault="00C2718E" w:rsidP="007A5C1B">
      <w:pPr>
        <w:pStyle w:val="NormalWeb"/>
        <w:spacing w:before="0" w:beforeAutospacing="0" w:after="0" w:afterAutospacing="0" w:line="360" w:lineRule="auto"/>
        <w:jc w:val="both"/>
        <w:rPr>
          <w:rFonts w:ascii="Arial" w:hAnsi="Arial" w:cs="Arial"/>
          <w:sz w:val="20"/>
          <w:szCs w:val="20"/>
        </w:rPr>
      </w:pPr>
      <w:r w:rsidRPr="00C2718E">
        <w:rPr>
          <w:rFonts w:ascii="Arial" w:hAnsi="Arial" w:cs="Arial"/>
          <w:sz w:val="20"/>
          <w:szCs w:val="20"/>
        </w:rPr>
        <w:lastRenderedPageBreak/>
        <w:t>Nonetheless, ATM withdrawals remain substantial, with 18 billion transactions recorded in FY 2025, highlighting that despite progress, India has not yet become a fully cashless economy.</w:t>
      </w:r>
    </w:p>
    <w:p w:rsidR="00C2718E" w:rsidRPr="00C2718E" w:rsidRDefault="00C2718E" w:rsidP="00C2718E">
      <w:pPr>
        <w:pStyle w:val="NormalWeb"/>
        <w:spacing w:line="360" w:lineRule="auto"/>
        <w:jc w:val="both"/>
        <w:rPr>
          <w:rFonts w:ascii="Arial" w:hAnsi="Arial" w:cs="Arial"/>
          <w:sz w:val="20"/>
          <w:szCs w:val="20"/>
        </w:rPr>
      </w:pPr>
      <w:r w:rsidRPr="00C2718E">
        <w:rPr>
          <w:rStyle w:val="Strong"/>
          <w:rFonts w:ascii="Arial" w:hAnsi="Arial" w:cs="Arial"/>
          <w:sz w:val="20"/>
          <w:szCs w:val="20"/>
        </w:rPr>
        <w:t>Interpretation:</w:t>
      </w:r>
      <w:r w:rsidRPr="00C2718E">
        <w:rPr>
          <w:rFonts w:ascii="Arial" w:hAnsi="Arial" w:cs="Arial"/>
          <w:sz w:val="20"/>
          <w:szCs w:val="20"/>
        </w:rPr>
        <w:br/>
        <w:t>Digital transactions are increasingly preferred, yet cash remains relevant. The continued coexistence of both payment modes reflects diverse consumer trust levels, income patterns, and infrastructure availability across regions.</w:t>
      </w:r>
    </w:p>
    <w:p w:rsidR="00C2718E" w:rsidRPr="00C2718E" w:rsidRDefault="00C2718E" w:rsidP="007A5C1B">
      <w:pPr>
        <w:pStyle w:val="Heading4"/>
        <w:spacing w:before="0" w:line="360" w:lineRule="auto"/>
        <w:jc w:val="both"/>
        <w:rPr>
          <w:rFonts w:ascii="Arial" w:hAnsi="Arial" w:cs="Arial"/>
          <w:i w:val="0"/>
          <w:color w:val="auto"/>
          <w:sz w:val="20"/>
          <w:szCs w:val="20"/>
        </w:rPr>
      </w:pPr>
      <w:r w:rsidRPr="00C2718E">
        <w:rPr>
          <w:rStyle w:val="Strong"/>
          <w:rFonts w:ascii="Arial" w:hAnsi="Arial" w:cs="Arial"/>
          <w:bCs w:val="0"/>
          <w:i w:val="0"/>
          <w:color w:val="auto"/>
          <w:sz w:val="20"/>
          <w:szCs w:val="20"/>
        </w:rPr>
        <w:t>6.4 Strategic Adjustments by Retail Banks</w:t>
      </w:r>
    </w:p>
    <w:p w:rsidR="00C2718E" w:rsidRPr="00C2718E" w:rsidRDefault="00C2718E" w:rsidP="007A5C1B">
      <w:pPr>
        <w:pStyle w:val="NormalWeb"/>
        <w:spacing w:before="0" w:beforeAutospacing="0" w:line="360" w:lineRule="auto"/>
        <w:jc w:val="both"/>
        <w:rPr>
          <w:rFonts w:ascii="Arial" w:hAnsi="Arial" w:cs="Arial"/>
          <w:sz w:val="20"/>
          <w:szCs w:val="20"/>
        </w:rPr>
      </w:pPr>
      <w:r w:rsidRPr="00C2718E">
        <w:rPr>
          <w:rFonts w:ascii="Arial" w:hAnsi="Arial" w:cs="Arial"/>
          <w:sz w:val="20"/>
          <w:szCs w:val="20"/>
        </w:rPr>
        <w:t>Retail banks responded swiftly to evolving consumer needs by improving digital banking experiences through user-centric mobile applications and robust cybersecurity measures. Table 3 outlines strategic innovations such as biometric authentication, two-factor login systems, and user-friendly interfaces. Public and private banks also intensified outreach through awareness programs aimed at educating users about digital banking tools and safety protocols.</w:t>
      </w:r>
    </w:p>
    <w:p w:rsidR="00C2718E" w:rsidRPr="00C2718E" w:rsidRDefault="00C2718E" w:rsidP="00C2718E">
      <w:pPr>
        <w:pStyle w:val="NormalWeb"/>
        <w:spacing w:line="360" w:lineRule="auto"/>
        <w:jc w:val="both"/>
        <w:rPr>
          <w:rFonts w:ascii="Arial" w:hAnsi="Arial" w:cs="Arial"/>
          <w:sz w:val="20"/>
          <w:szCs w:val="20"/>
        </w:rPr>
      </w:pPr>
      <w:r w:rsidRPr="00C2718E">
        <w:rPr>
          <w:rStyle w:val="Strong"/>
          <w:rFonts w:ascii="Arial" w:hAnsi="Arial" w:cs="Arial"/>
          <w:sz w:val="20"/>
          <w:szCs w:val="20"/>
        </w:rPr>
        <w:t>Interpretation:</w:t>
      </w:r>
      <w:r w:rsidRPr="00C2718E">
        <w:rPr>
          <w:rFonts w:ascii="Arial" w:hAnsi="Arial" w:cs="Arial"/>
          <w:sz w:val="20"/>
          <w:szCs w:val="20"/>
        </w:rPr>
        <w:br/>
        <w:t>These developments signal a broader strategic pivot within the banking sector—from traditional, branch-based services to digital-first models. The emphasis is now on building trust, ensuring accessibility, and delivering seamless user experiences to retain and grow the customer base in a digital economy.</w:t>
      </w:r>
    </w:p>
    <w:p w:rsidR="00C2718E" w:rsidRPr="00C2718E" w:rsidRDefault="00C2718E" w:rsidP="007A5C1B">
      <w:pPr>
        <w:pStyle w:val="Heading4"/>
        <w:spacing w:before="0" w:line="360" w:lineRule="auto"/>
        <w:jc w:val="both"/>
        <w:rPr>
          <w:rFonts w:ascii="Arial" w:hAnsi="Arial" w:cs="Arial"/>
          <w:i w:val="0"/>
          <w:color w:val="auto"/>
          <w:sz w:val="20"/>
          <w:szCs w:val="20"/>
        </w:rPr>
      </w:pPr>
      <w:r w:rsidRPr="00C2718E">
        <w:rPr>
          <w:rStyle w:val="Strong"/>
          <w:rFonts w:ascii="Arial" w:hAnsi="Arial" w:cs="Arial"/>
          <w:bCs w:val="0"/>
          <w:i w:val="0"/>
          <w:color w:val="auto"/>
          <w:sz w:val="20"/>
          <w:szCs w:val="20"/>
        </w:rPr>
        <w:t>6.5 Ongoing Barriers to Adoption</w:t>
      </w:r>
    </w:p>
    <w:p w:rsidR="00C2718E" w:rsidRPr="00C2718E" w:rsidRDefault="00C2718E" w:rsidP="007A5C1B">
      <w:pPr>
        <w:pStyle w:val="NormalWeb"/>
        <w:spacing w:before="0" w:beforeAutospacing="0" w:line="360" w:lineRule="auto"/>
        <w:jc w:val="both"/>
        <w:rPr>
          <w:rFonts w:ascii="Arial" w:hAnsi="Arial" w:cs="Arial"/>
          <w:sz w:val="20"/>
          <w:szCs w:val="20"/>
        </w:rPr>
      </w:pPr>
      <w:r w:rsidRPr="00C2718E">
        <w:rPr>
          <w:rFonts w:ascii="Arial" w:hAnsi="Arial" w:cs="Arial"/>
          <w:sz w:val="20"/>
          <w:szCs w:val="20"/>
        </w:rPr>
        <w:t>While the digital transition has brought many benefits, several challenges persist. Digital literacy remains a significant hurdle, especially among older populations and those with limited formal education. Internet connectivity continues to be unreliable in certain rural and remote areas. Additionally, the proliferation of digital services has increased the risk of cyber fraud and data breaches, causing concern among new users unfamiliar with online security practices.</w:t>
      </w:r>
    </w:p>
    <w:p w:rsidR="00C2718E" w:rsidRPr="00C2718E" w:rsidRDefault="00C2718E" w:rsidP="00C2718E">
      <w:pPr>
        <w:pStyle w:val="NormalWeb"/>
        <w:spacing w:line="360" w:lineRule="auto"/>
        <w:jc w:val="both"/>
        <w:rPr>
          <w:rFonts w:ascii="Arial" w:hAnsi="Arial" w:cs="Arial"/>
          <w:sz w:val="20"/>
          <w:szCs w:val="20"/>
        </w:rPr>
      </w:pPr>
      <w:r w:rsidRPr="00C2718E">
        <w:rPr>
          <w:rStyle w:val="Strong"/>
          <w:rFonts w:ascii="Arial" w:hAnsi="Arial" w:cs="Arial"/>
          <w:sz w:val="20"/>
          <w:szCs w:val="20"/>
        </w:rPr>
        <w:t>Interpretation:</w:t>
      </w:r>
      <w:r w:rsidRPr="00C2718E">
        <w:rPr>
          <w:rFonts w:ascii="Arial" w:hAnsi="Arial" w:cs="Arial"/>
          <w:sz w:val="20"/>
          <w:szCs w:val="20"/>
        </w:rPr>
        <w:br/>
        <w:t>To sustain the momentum of digital banking adoption, systemic efforts are needed to strengthen digital infrastructure, enhance public understanding of cybersecurity, and ensure equitable access to technological resources across socio-economic groups.</w:t>
      </w:r>
    </w:p>
    <w:p w:rsidR="00C2718E" w:rsidRPr="00C2718E" w:rsidRDefault="00C2718E" w:rsidP="007A5C1B">
      <w:pPr>
        <w:pStyle w:val="Heading3"/>
        <w:spacing w:before="0" w:line="360" w:lineRule="auto"/>
        <w:jc w:val="both"/>
        <w:rPr>
          <w:rFonts w:ascii="Arial" w:hAnsi="Arial" w:cs="Arial"/>
          <w:color w:val="auto"/>
          <w:sz w:val="20"/>
          <w:szCs w:val="20"/>
        </w:rPr>
      </w:pPr>
      <w:r w:rsidRPr="00C2718E">
        <w:rPr>
          <w:rStyle w:val="Strong"/>
          <w:rFonts w:ascii="Arial" w:hAnsi="Arial" w:cs="Arial"/>
          <w:bCs w:val="0"/>
          <w:color w:val="auto"/>
          <w:sz w:val="20"/>
          <w:szCs w:val="20"/>
        </w:rPr>
        <w:t>7. Summary of Findings</w:t>
      </w:r>
    </w:p>
    <w:p w:rsidR="00C2718E" w:rsidRPr="00C2718E" w:rsidRDefault="00C2718E" w:rsidP="007A5C1B">
      <w:pPr>
        <w:pStyle w:val="NormalWeb"/>
        <w:numPr>
          <w:ilvl w:val="0"/>
          <w:numId w:val="39"/>
        </w:numPr>
        <w:spacing w:before="0" w:beforeAutospacing="0" w:line="360" w:lineRule="auto"/>
        <w:jc w:val="both"/>
        <w:rPr>
          <w:rFonts w:ascii="Arial" w:hAnsi="Arial" w:cs="Arial"/>
          <w:sz w:val="20"/>
          <w:szCs w:val="20"/>
        </w:rPr>
      </w:pPr>
      <w:r w:rsidRPr="00C2718E">
        <w:rPr>
          <w:rStyle w:val="Strong"/>
          <w:rFonts w:ascii="Arial" w:hAnsi="Arial" w:cs="Arial"/>
          <w:sz w:val="20"/>
          <w:szCs w:val="20"/>
        </w:rPr>
        <w:t>Demonetization was a key trigger</w:t>
      </w:r>
      <w:r w:rsidRPr="00C2718E">
        <w:rPr>
          <w:rFonts w:ascii="Arial" w:hAnsi="Arial" w:cs="Arial"/>
          <w:sz w:val="20"/>
          <w:szCs w:val="20"/>
        </w:rPr>
        <w:t xml:space="preserve"> for widespread adoption of </w:t>
      </w:r>
      <w:r w:rsidR="00887308">
        <w:rPr>
          <w:rFonts w:ascii="Arial" w:hAnsi="Arial" w:cs="Arial"/>
          <w:sz w:val="20"/>
          <w:szCs w:val="20"/>
        </w:rPr>
        <w:t>E-Banking</w:t>
      </w:r>
      <w:r w:rsidRPr="00C2718E">
        <w:rPr>
          <w:rFonts w:ascii="Arial" w:hAnsi="Arial" w:cs="Arial"/>
          <w:sz w:val="20"/>
          <w:szCs w:val="20"/>
        </w:rPr>
        <w:t xml:space="preserve"> services, compelling consumers to explore and eventually embrace digital alternatives such as UPI, mobile wallets, and online banking.</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lastRenderedPageBreak/>
        <w:t>There was exponential growth in digital banking</w:t>
      </w:r>
      <w:r w:rsidRPr="00C2718E">
        <w:rPr>
          <w:rFonts w:ascii="Arial" w:hAnsi="Arial" w:cs="Arial"/>
          <w:sz w:val="20"/>
          <w:szCs w:val="20"/>
        </w:rPr>
        <w:t>, particularly in UPI usage, which rose to over 185 billion transactions by FY 2025, making it the backbone of the digital payment ecosystem.</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t>Rural India witnessed a transformative shift</w:t>
      </w:r>
      <w:r w:rsidRPr="00C2718E">
        <w:rPr>
          <w:rFonts w:ascii="Arial" w:hAnsi="Arial" w:cs="Arial"/>
          <w:sz w:val="20"/>
          <w:szCs w:val="20"/>
        </w:rPr>
        <w:t>, with digital banking users increasing from 50 million in 2016 to 900 million by 2025—signaling major strides in financial inclusion.</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t>Retail banks responded proactively</w:t>
      </w:r>
      <w:r w:rsidRPr="00C2718E">
        <w:rPr>
          <w:rFonts w:ascii="Arial" w:hAnsi="Arial" w:cs="Arial"/>
          <w:sz w:val="20"/>
          <w:szCs w:val="20"/>
        </w:rPr>
        <w:t xml:space="preserve"> by enhancing digital platforms, strengthening cybersecurity frameworks, and launching mass awareness campaigns to improve digital literacy.</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t>Consumer preferences have changed permanently</w:t>
      </w:r>
      <w:r w:rsidRPr="00C2718E">
        <w:rPr>
          <w:rFonts w:ascii="Arial" w:hAnsi="Arial" w:cs="Arial"/>
          <w:sz w:val="20"/>
          <w:szCs w:val="20"/>
        </w:rPr>
        <w:t xml:space="preserve"> for a large segment of the population, particularly among tech-savvy individuals, youth, and small businesses.</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t>Challenges still persist</w:t>
      </w:r>
      <w:r w:rsidRPr="00C2718E">
        <w:rPr>
          <w:rFonts w:ascii="Arial" w:hAnsi="Arial" w:cs="Arial"/>
          <w:sz w:val="20"/>
          <w:szCs w:val="20"/>
        </w:rPr>
        <w:t>, including gaps in digital literacy, security concerns, and infrastructure limitations in rural areas, which need to be addressed for inclusive and sustainable growth.</w:t>
      </w:r>
    </w:p>
    <w:p w:rsidR="00C2718E" w:rsidRPr="00C2718E" w:rsidRDefault="00C2718E" w:rsidP="00C2718E">
      <w:pPr>
        <w:pStyle w:val="NormalWeb"/>
        <w:numPr>
          <w:ilvl w:val="0"/>
          <w:numId w:val="39"/>
        </w:numPr>
        <w:spacing w:line="360" w:lineRule="auto"/>
        <w:jc w:val="both"/>
        <w:rPr>
          <w:rFonts w:ascii="Arial" w:hAnsi="Arial" w:cs="Arial"/>
          <w:sz w:val="20"/>
          <w:szCs w:val="20"/>
        </w:rPr>
      </w:pPr>
      <w:r w:rsidRPr="00C2718E">
        <w:rPr>
          <w:rStyle w:val="Strong"/>
          <w:rFonts w:ascii="Arial" w:hAnsi="Arial" w:cs="Arial"/>
          <w:sz w:val="20"/>
          <w:szCs w:val="20"/>
        </w:rPr>
        <w:t>Cash continues to play a role</w:t>
      </w:r>
      <w:r w:rsidRPr="00C2718E">
        <w:rPr>
          <w:rFonts w:ascii="Arial" w:hAnsi="Arial" w:cs="Arial"/>
          <w:sz w:val="20"/>
          <w:szCs w:val="20"/>
        </w:rPr>
        <w:t xml:space="preserve"> in India’s economy, suggesting that while digital payments are increasingly dominant, a hybrid model of financial transactions is likely to persist in the foreseeable future.</w:t>
      </w:r>
    </w:p>
    <w:p w:rsidR="00751261" w:rsidRPr="00751261" w:rsidRDefault="00C2718E" w:rsidP="00751261">
      <w:pPr>
        <w:pStyle w:val="Heading4"/>
        <w:spacing w:before="0"/>
        <w:rPr>
          <w:rFonts w:ascii="Arial" w:hAnsi="Arial" w:cs="Arial"/>
          <w:i w:val="0"/>
          <w:color w:val="auto"/>
          <w:sz w:val="20"/>
          <w:szCs w:val="20"/>
        </w:rPr>
      </w:pPr>
      <w:r>
        <w:rPr>
          <w:rStyle w:val="Strong"/>
          <w:rFonts w:ascii="Arial" w:hAnsi="Arial" w:cs="Arial"/>
          <w:i w:val="0"/>
          <w:color w:val="auto"/>
          <w:sz w:val="20"/>
          <w:szCs w:val="20"/>
        </w:rPr>
        <w:t>8</w:t>
      </w:r>
      <w:r w:rsidR="00751261">
        <w:rPr>
          <w:rStyle w:val="Strong"/>
          <w:rFonts w:ascii="Arial" w:hAnsi="Arial" w:cs="Arial"/>
          <w:i w:val="0"/>
          <w:color w:val="auto"/>
          <w:sz w:val="20"/>
          <w:szCs w:val="20"/>
        </w:rPr>
        <w:t xml:space="preserve">. </w:t>
      </w:r>
      <w:r w:rsidR="00751261" w:rsidRPr="00751261">
        <w:rPr>
          <w:rStyle w:val="Strong"/>
          <w:rFonts w:ascii="Arial" w:hAnsi="Arial" w:cs="Arial"/>
          <w:i w:val="0"/>
          <w:color w:val="auto"/>
          <w:sz w:val="20"/>
          <w:szCs w:val="20"/>
        </w:rPr>
        <w:t>Conclusion</w:t>
      </w:r>
    </w:p>
    <w:p w:rsidR="00C2718E" w:rsidRDefault="00C2718E" w:rsidP="007A5C1B">
      <w:pPr>
        <w:pStyle w:val="NormalWeb"/>
        <w:spacing w:before="0" w:beforeAutospacing="0" w:after="0" w:afterAutospacing="0" w:line="360" w:lineRule="auto"/>
        <w:jc w:val="both"/>
        <w:rPr>
          <w:rFonts w:ascii="Arial" w:hAnsi="Arial" w:cs="Arial"/>
          <w:sz w:val="20"/>
        </w:rPr>
      </w:pPr>
      <w:r w:rsidRPr="00C2718E">
        <w:rPr>
          <w:rFonts w:ascii="Arial" w:hAnsi="Arial" w:cs="Arial"/>
          <w:sz w:val="20"/>
        </w:rPr>
        <w:t>The demonetization policy implemented by the Indian government in November 2016 stands as a defining moment in the evolution of the nation's financial ecosystem. While the primary goal was to combat unaccounted wealth and counterfeit currency, the policy inadvertently initiated a widespread behavioral shift, pushing both consumers and businesses toward the use of digital banking channels. The sudden shortage of physical currency compelled the population to adopt digital modes of payment, resulting in a sharp and rapid increase in the use of mobile wallets, online banking, and UPI-based transactions.</w:t>
      </w:r>
    </w:p>
    <w:p w:rsidR="00C2718E" w:rsidRPr="00C2718E" w:rsidRDefault="00C2718E" w:rsidP="007A5C1B">
      <w:pPr>
        <w:pStyle w:val="NormalWeb"/>
        <w:spacing w:before="0" w:beforeAutospacing="0" w:after="0" w:afterAutospacing="0" w:line="360" w:lineRule="auto"/>
        <w:jc w:val="both"/>
        <w:rPr>
          <w:rFonts w:ascii="Arial" w:hAnsi="Arial" w:cs="Arial"/>
          <w:sz w:val="20"/>
        </w:rPr>
      </w:pPr>
      <w:r w:rsidRPr="00C2718E">
        <w:rPr>
          <w:rFonts w:ascii="Arial" w:hAnsi="Arial" w:cs="Arial"/>
          <w:sz w:val="20"/>
        </w:rPr>
        <w:t xml:space="preserve">This unexpected move toward digitalization was reinforced by supportive government strategies aimed at fostering a cash-light economy. Initiatives such as the </w:t>
      </w:r>
      <w:r w:rsidRPr="00C2718E">
        <w:rPr>
          <w:rStyle w:val="Emphasis"/>
          <w:rFonts w:ascii="Arial" w:hAnsi="Arial" w:cs="Arial"/>
          <w:sz w:val="20"/>
        </w:rPr>
        <w:t>Digital India</w:t>
      </w:r>
      <w:r w:rsidRPr="00C2718E">
        <w:rPr>
          <w:rFonts w:ascii="Arial" w:hAnsi="Arial" w:cs="Arial"/>
          <w:sz w:val="20"/>
        </w:rPr>
        <w:t xml:space="preserve"> </w:t>
      </w:r>
      <w:proofErr w:type="spellStart"/>
      <w:r w:rsidRPr="00C2718E">
        <w:rPr>
          <w:rFonts w:ascii="Arial" w:hAnsi="Arial" w:cs="Arial"/>
          <w:sz w:val="20"/>
        </w:rPr>
        <w:t>programme</w:t>
      </w:r>
      <w:proofErr w:type="spellEnd"/>
      <w:r w:rsidRPr="00C2718E">
        <w:rPr>
          <w:rFonts w:ascii="Arial" w:hAnsi="Arial" w:cs="Arial"/>
          <w:sz w:val="20"/>
        </w:rPr>
        <w:t xml:space="preserve">, awareness campaigns for financial literacy, and incentives for non-cash payments created a conducive environment for the expansion of </w:t>
      </w:r>
      <w:r w:rsidR="00887308">
        <w:rPr>
          <w:rFonts w:ascii="Arial" w:hAnsi="Arial" w:cs="Arial"/>
          <w:sz w:val="20"/>
        </w:rPr>
        <w:t>E-Banking</w:t>
      </w:r>
      <w:r w:rsidRPr="00C2718E">
        <w:rPr>
          <w:rFonts w:ascii="Arial" w:hAnsi="Arial" w:cs="Arial"/>
          <w:sz w:val="20"/>
        </w:rPr>
        <w:t>. Simultaneously, banks responded by modernizing their digital offerings, strengthening cybersecurity systems, and improving user interface designs to cater to a growing and diverse digital clientele.</w:t>
      </w:r>
    </w:p>
    <w:p w:rsidR="00C2718E" w:rsidRPr="00C2718E" w:rsidRDefault="00C2718E" w:rsidP="007A5C1B">
      <w:pPr>
        <w:pStyle w:val="NormalWeb"/>
        <w:spacing w:before="0" w:beforeAutospacing="0" w:after="0" w:afterAutospacing="0" w:line="360" w:lineRule="auto"/>
        <w:jc w:val="both"/>
        <w:rPr>
          <w:rFonts w:ascii="Arial" w:hAnsi="Arial" w:cs="Arial"/>
          <w:sz w:val="20"/>
        </w:rPr>
      </w:pPr>
      <w:r w:rsidRPr="00C2718E">
        <w:rPr>
          <w:rFonts w:ascii="Arial" w:hAnsi="Arial" w:cs="Arial"/>
          <w:sz w:val="20"/>
        </w:rPr>
        <w:t xml:space="preserve">The findings of this study indicate that what began as a forced shift in transaction behavior has since matured into a long-term preference for digital financial services. Consumers now increasingly appreciate the convenience, speed, and transparency that electronic banking offers. Importantly, this transformation is not limited to urban areas; </w:t>
      </w:r>
      <w:r w:rsidRPr="00C2718E">
        <w:rPr>
          <w:rFonts w:ascii="Arial" w:hAnsi="Arial" w:cs="Arial"/>
          <w:sz w:val="20"/>
        </w:rPr>
        <w:lastRenderedPageBreak/>
        <w:t xml:space="preserve">rural regions have also shown notable growth in digital banking adoption, driven by enhanced smartphone availability, affordable data services, and government-led financial inclusion efforts such as the Pradhan Mantri Jan </w:t>
      </w:r>
      <w:proofErr w:type="spellStart"/>
      <w:r w:rsidRPr="00C2718E">
        <w:rPr>
          <w:rFonts w:ascii="Arial" w:hAnsi="Arial" w:cs="Arial"/>
          <w:sz w:val="20"/>
        </w:rPr>
        <w:t>Dhan</w:t>
      </w:r>
      <w:proofErr w:type="spellEnd"/>
      <w:r w:rsidRPr="00C2718E">
        <w:rPr>
          <w:rFonts w:ascii="Arial" w:hAnsi="Arial" w:cs="Arial"/>
          <w:sz w:val="20"/>
        </w:rPr>
        <w:t xml:space="preserve"> Yojana (PMJDY).</w:t>
      </w:r>
    </w:p>
    <w:p w:rsidR="00C2718E" w:rsidRPr="00C2718E" w:rsidRDefault="00C2718E" w:rsidP="007A5C1B">
      <w:pPr>
        <w:pStyle w:val="NormalWeb"/>
        <w:spacing w:before="0" w:beforeAutospacing="0" w:after="0" w:afterAutospacing="0" w:line="360" w:lineRule="auto"/>
        <w:jc w:val="both"/>
        <w:rPr>
          <w:rFonts w:ascii="Arial" w:hAnsi="Arial" w:cs="Arial"/>
          <w:sz w:val="20"/>
        </w:rPr>
      </w:pPr>
      <w:r w:rsidRPr="00C2718E">
        <w:rPr>
          <w:rFonts w:ascii="Arial" w:hAnsi="Arial" w:cs="Arial"/>
          <w:sz w:val="20"/>
        </w:rPr>
        <w:t>Nonetheless, the digital banking revolution has surfaced a new set of challenges. Large sections of the population, particularly older adults, individuals with low literacy levels, and rural residents, continue to encounter obstacles like insufficient digital skills, poor internet connectivity, and skepticism about the security of online platforms. Moreover, the rise in cyber threats and data breaches underscores the urgency for robust regulatory oversight and continuous public education on secure digital practices.</w:t>
      </w:r>
    </w:p>
    <w:p w:rsidR="00C2718E" w:rsidRDefault="00C2718E" w:rsidP="007A5C1B">
      <w:pPr>
        <w:pStyle w:val="NormalWeb"/>
        <w:spacing w:before="0" w:beforeAutospacing="0" w:after="0" w:afterAutospacing="0" w:line="360" w:lineRule="auto"/>
        <w:jc w:val="both"/>
        <w:rPr>
          <w:rFonts w:ascii="Arial" w:hAnsi="Arial" w:cs="Arial"/>
          <w:sz w:val="20"/>
        </w:rPr>
      </w:pPr>
      <w:r w:rsidRPr="00C2718E">
        <w:rPr>
          <w:rFonts w:ascii="Arial" w:hAnsi="Arial" w:cs="Arial"/>
          <w:sz w:val="20"/>
        </w:rPr>
        <w:t xml:space="preserve">In summary, demonetization acted as a pivotal trigger for the digital overhaul of India’s retail banking sector. Although the transition to a fully digital and inclusive financial system remains a work in progress, the momentum gained since 2016 has established a strong platform for future development. Continued efforts to close the digital divide—through targeted infrastructure investments, user training, and trust-building initiatives—will be crucial in ensuring that the advantages of </w:t>
      </w:r>
      <w:r w:rsidR="00887308">
        <w:rPr>
          <w:rFonts w:ascii="Arial" w:hAnsi="Arial" w:cs="Arial"/>
          <w:sz w:val="20"/>
        </w:rPr>
        <w:t>E-Banking</w:t>
      </w:r>
      <w:r w:rsidRPr="00C2718E">
        <w:rPr>
          <w:rFonts w:ascii="Arial" w:hAnsi="Arial" w:cs="Arial"/>
          <w:sz w:val="20"/>
        </w:rPr>
        <w:t xml:space="preserve"> reach every segment of society.</w:t>
      </w:r>
    </w:p>
    <w:p w:rsidR="00A337ED" w:rsidRDefault="00A337ED" w:rsidP="00C2718E">
      <w:pPr>
        <w:pStyle w:val="NormalWeb"/>
        <w:spacing w:line="360" w:lineRule="auto"/>
        <w:jc w:val="both"/>
        <w:rPr>
          <w:rFonts w:ascii="Arial" w:hAnsi="Arial" w:cs="Arial"/>
          <w:sz w:val="20"/>
        </w:rPr>
      </w:pPr>
    </w:p>
    <w:p w:rsidR="00A337ED" w:rsidRPr="00394842" w:rsidRDefault="00A337ED" w:rsidP="00A337ED">
      <w:pPr>
        <w:rPr>
          <w:highlight w:val="yellow"/>
        </w:rPr>
      </w:pPr>
      <w:r w:rsidRPr="00394842">
        <w:rPr>
          <w:highlight w:val="yellow"/>
        </w:rPr>
        <w:t>Disclaimer (Artificial intelligence)</w:t>
      </w:r>
    </w:p>
    <w:p w:rsidR="00A337ED" w:rsidRPr="00394842" w:rsidRDefault="00A337ED" w:rsidP="00A337ED">
      <w:pPr>
        <w:rPr>
          <w:highlight w:val="yellow"/>
        </w:rPr>
      </w:pPr>
    </w:p>
    <w:p w:rsidR="00A337ED" w:rsidRPr="00394842" w:rsidRDefault="00A337ED" w:rsidP="00A337ED">
      <w:pPr>
        <w:rPr>
          <w:highlight w:val="yellow"/>
        </w:rPr>
      </w:pPr>
      <w:r w:rsidRPr="00394842">
        <w:rPr>
          <w:highlight w:val="yellow"/>
        </w:rPr>
        <w:t xml:space="preserve">Option 1: </w:t>
      </w:r>
    </w:p>
    <w:p w:rsidR="00A337ED" w:rsidRPr="00394842" w:rsidRDefault="00A337ED" w:rsidP="00A337ED">
      <w:pPr>
        <w:rPr>
          <w:highlight w:val="yellow"/>
        </w:rPr>
      </w:pPr>
    </w:p>
    <w:p w:rsidR="00A337ED" w:rsidRPr="00394842" w:rsidRDefault="00A337ED" w:rsidP="00A337ED">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rsidR="00A337ED" w:rsidRDefault="00D76B6F" w:rsidP="00A337ED">
      <w:pPr>
        <w:rPr>
          <w:highlight w:val="yellow"/>
        </w:rPr>
      </w:pPr>
      <w:r>
        <w:t xml:space="preserve">I affirm that </w:t>
      </w:r>
      <w:r>
        <w:rPr>
          <w:rStyle w:val="Strong"/>
        </w:rPr>
        <w:t>no generative AI tools</w:t>
      </w:r>
      <w:r>
        <w:t xml:space="preserve">—including large language models like </w:t>
      </w:r>
      <w:proofErr w:type="spellStart"/>
      <w:r>
        <w:t>ChatGPT</w:t>
      </w:r>
      <w:proofErr w:type="spellEnd"/>
      <w:r>
        <w:t>, Copilot, or similar technologies—were used in the writing, editing, or preparation of this manuscript. All content, analysis, and interpretations presented in this work are the result of my original research and intellectual effort.</w:t>
      </w:r>
    </w:p>
    <w:p w:rsidR="000C0952" w:rsidRPr="00394842" w:rsidRDefault="000C0952" w:rsidP="00A337ED">
      <w:pPr>
        <w:rPr>
          <w:highlight w:val="yellow"/>
        </w:rPr>
      </w:pPr>
    </w:p>
    <w:p w:rsidR="00A337ED" w:rsidRPr="00394842" w:rsidRDefault="00A337ED" w:rsidP="00A337ED">
      <w:pPr>
        <w:rPr>
          <w:highlight w:val="yellow"/>
        </w:rPr>
      </w:pPr>
      <w:r w:rsidRPr="00394842">
        <w:rPr>
          <w:highlight w:val="yellow"/>
        </w:rPr>
        <w:t xml:space="preserve">Option 2: </w:t>
      </w:r>
    </w:p>
    <w:p w:rsidR="00A337ED" w:rsidRPr="00394842" w:rsidRDefault="00A337ED" w:rsidP="00A337ED">
      <w:pPr>
        <w:rPr>
          <w:highlight w:val="yellow"/>
        </w:rPr>
      </w:pPr>
    </w:p>
    <w:p w:rsidR="00A337ED" w:rsidRPr="00394842" w:rsidRDefault="00A337ED" w:rsidP="00A337ED">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337ED" w:rsidRPr="00394842" w:rsidRDefault="00A337ED" w:rsidP="00A337ED">
      <w:pPr>
        <w:rPr>
          <w:highlight w:val="yellow"/>
        </w:rPr>
      </w:pPr>
    </w:p>
    <w:p w:rsidR="00A337ED" w:rsidRPr="00394842" w:rsidRDefault="00A337ED" w:rsidP="00A337ED">
      <w:pPr>
        <w:rPr>
          <w:highlight w:val="yellow"/>
        </w:rPr>
      </w:pPr>
      <w:r w:rsidRPr="00394842">
        <w:rPr>
          <w:highlight w:val="yellow"/>
        </w:rPr>
        <w:t>Details of the AI usage are given below:</w:t>
      </w:r>
    </w:p>
    <w:p w:rsidR="00A337ED" w:rsidRPr="00394842" w:rsidRDefault="00A337ED" w:rsidP="00A337ED">
      <w:pPr>
        <w:rPr>
          <w:highlight w:val="yellow"/>
        </w:rPr>
      </w:pPr>
      <w:r w:rsidRPr="00394842">
        <w:rPr>
          <w:highlight w:val="yellow"/>
        </w:rPr>
        <w:t>1.</w:t>
      </w:r>
    </w:p>
    <w:p w:rsidR="00A337ED" w:rsidRPr="00394842" w:rsidRDefault="00A337ED" w:rsidP="00A337ED">
      <w:pPr>
        <w:rPr>
          <w:highlight w:val="yellow"/>
        </w:rPr>
      </w:pPr>
      <w:r w:rsidRPr="00394842">
        <w:rPr>
          <w:highlight w:val="yellow"/>
        </w:rPr>
        <w:t>2.</w:t>
      </w:r>
    </w:p>
    <w:p w:rsidR="00A337ED" w:rsidRPr="00D047BB" w:rsidRDefault="00A337ED" w:rsidP="00A337ED">
      <w:r w:rsidRPr="00394842">
        <w:rPr>
          <w:highlight w:val="yellow"/>
        </w:rPr>
        <w:t>3.</w:t>
      </w:r>
    </w:p>
    <w:p w:rsidR="007A5C1B" w:rsidRDefault="007A5C1B" w:rsidP="00C2718E">
      <w:pPr>
        <w:spacing w:line="360" w:lineRule="auto"/>
        <w:jc w:val="both"/>
        <w:rPr>
          <w:rFonts w:ascii="Arial" w:hAnsi="Arial" w:cs="Arial"/>
          <w:b/>
          <w:bCs/>
        </w:rPr>
      </w:pPr>
    </w:p>
    <w:p w:rsidR="00751261" w:rsidRPr="00C2718E" w:rsidRDefault="00C2718E" w:rsidP="00C2718E">
      <w:pPr>
        <w:spacing w:line="360" w:lineRule="auto"/>
        <w:jc w:val="both"/>
        <w:rPr>
          <w:rFonts w:ascii="Arial" w:hAnsi="Arial" w:cs="Arial"/>
          <w:b/>
          <w:bCs/>
        </w:rPr>
      </w:pPr>
      <w:r w:rsidRPr="00C2718E">
        <w:rPr>
          <w:rFonts w:ascii="Arial" w:hAnsi="Arial" w:cs="Arial"/>
          <w:b/>
          <w:bCs/>
        </w:rPr>
        <w:t>9</w:t>
      </w:r>
      <w:r w:rsidR="00751261" w:rsidRPr="00C2718E">
        <w:rPr>
          <w:rFonts w:ascii="Arial" w:hAnsi="Arial" w:cs="Arial"/>
          <w:b/>
          <w:bCs/>
        </w:rPr>
        <w:t>. References:</w:t>
      </w:r>
    </w:p>
    <w:p w:rsidR="00AE3C95" w:rsidRPr="00DA6784" w:rsidRDefault="00AE3C95" w:rsidP="00DA6784">
      <w:pPr>
        <w:pStyle w:val="ListParagraph"/>
        <w:numPr>
          <w:ilvl w:val="0"/>
          <w:numId w:val="34"/>
        </w:numPr>
        <w:spacing w:after="0" w:line="360" w:lineRule="auto"/>
        <w:jc w:val="both"/>
        <w:rPr>
          <w:rFonts w:ascii="Arial" w:hAnsi="Arial" w:cs="Arial"/>
          <w:sz w:val="20"/>
          <w:szCs w:val="20"/>
        </w:rPr>
      </w:pPr>
      <w:r w:rsidRPr="00DA6784">
        <w:rPr>
          <w:rFonts w:ascii="Arial" w:hAnsi="Arial" w:cs="Arial"/>
          <w:sz w:val="20"/>
          <w:szCs w:val="20"/>
        </w:rPr>
        <w:t xml:space="preserve">Kumar, P., &amp; </w:t>
      </w:r>
      <w:proofErr w:type="spellStart"/>
      <w:r w:rsidRPr="00DA6784">
        <w:rPr>
          <w:rFonts w:ascii="Arial" w:hAnsi="Arial" w:cs="Arial"/>
          <w:sz w:val="20"/>
          <w:szCs w:val="20"/>
        </w:rPr>
        <w:t>Chaubey</w:t>
      </w:r>
      <w:proofErr w:type="spellEnd"/>
      <w:r w:rsidRPr="00DA6784">
        <w:rPr>
          <w:rFonts w:ascii="Arial" w:hAnsi="Arial" w:cs="Arial"/>
          <w:sz w:val="20"/>
          <w:szCs w:val="20"/>
        </w:rPr>
        <w:t xml:space="preserve">, D. S. (2017). Demonetization and its impact on adoption of digital payment: Opportunities, issues and challenges. </w:t>
      </w:r>
      <w:r w:rsidRPr="00DA6784">
        <w:rPr>
          <w:rStyle w:val="Emphasis"/>
          <w:rFonts w:ascii="Arial" w:hAnsi="Arial" w:cs="Arial"/>
          <w:sz w:val="20"/>
          <w:szCs w:val="20"/>
        </w:rPr>
        <w:t xml:space="preserve">Abhinav National </w:t>
      </w:r>
      <w:r w:rsidRPr="00DA6784">
        <w:rPr>
          <w:rStyle w:val="Emphasis"/>
          <w:rFonts w:ascii="Arial" w:hAnsi="Arial" w:cs="Arial"/>
          <w:sz w:val="20"/>
          <w:szCs w:val="20"/>
        </w:rPr>
        <w:lastRenderedPageBreak/>
        <w:t>Monthly Refereed Journal of Research in Commerce &amp; Management</w:t>
      </w:r>
      <w:r w:rsidRPr="00DA6784">
        <w:rPr>
          <w:rFonts w:ascii="Arial" w:hAnsi="Arial" w:cs="Arial"/>
          <w:sz w:val="20"/>
          <w:szCs w:val="20"/>
        </w:rPr>
        <w:t xml:space="preserve">, </w:t>
      </w:r>
      <w:r w:rsidRPr="00DA6784">
        <w:rPr>
          <w:rStyle w:val="Emphasis"/>
          <w:rFonts w:ascii="Arial" w:hAnsi="Arial" w:cs="Arial"/>
          <w:sz w:val="20"/>
          <w:szCs w:val="20"/>
        </w:rPr>
        <w:t>6</w:t>
      </w:r>
      <w:r w:rsidRPr="00DA6784">
        <w:rPr>
          <w:rFonts w:ascii="Arial" w:hAnsi="Arial" w:cs="Arial"/>
          <w:sz w:val="20"/>
          <w:szCs w:val="20"/>
        </w:rPr>
        <w:t>(6), 1–6. Retrieved from</w:t>
      </w:r>
      <w:r w:rsidR="00D0250C" w:rsidRPr="00DA6784">
        <w:rPr>
          <w:rFonts w:ascii="Arial" w:hAnsi="Arial" w:cs="Arial"/>
          <w:sz w:val="20"/>
          <w:szCs w:val="20"/>
        </w:rPr>
        <w:t xml:space="preserve"> </w:t>
      </w:r>
      <w:hyperlink r:id="rId11" w:history="1">
        <w:r w:rsidR="00D0250C" w:rsidRPr="00DA6784">
          <w:rPr>
            <w:rStyle w:val="Hyperlink"/>
            <w:rFonts w:ascii="Arial" w:eastAsia="Times New Roman" w:hAnsi="Arial" w:cs="Arial"/>
            <w:color w:val="548DD4" w:themeColor="text2" w:themeTint="99"/>
            <w:lang w:bidi="hi-IN"/>
          </w:rPr>
          <w:t>https://www.researchgate.net/publication/317283897</w:t>
        </w:r>
      </w:hyperlink>
      <w:r w:rsidR="00D0250C" w:rsidRPr="00DA6784">
        <w:rPr>
          <w:rStyle w:val="Hyperlink"/>
          <w:rFonts w:ascii="Arial" w:eastAsia="Times New Roman" w:hAnsi="Arial" w:cs="Arial"/>
          <w:color w:val="548DD4" w:themeColor="text2" w:themeTint="99"/>
          <w:lang w:bidi="hi-IN"/>
        </w:rPr>
        <w:t xml:space="preserve"> </w:t>
      </w:r>
    </w:p>
    <w:p w:rsidR="00D0250C" w:rsidRPr="00DA6784" w:rsidRDefault="00D0250C" w:rsidP="00DA6784">
      <w:pPr>
        <w:pStyle w:val="ListParagraph"/>
        <w:numPr>
          <w:ilvl w:val="0"/>
          <w:numId w:val="34"/>
        </w:numPr>
        <w:spacing w:after="0" w:line="360" w:lineRule="auto"/>
        <w:jc w:val="both"/>
        <w:rPr>
          <w:rFonts w:ascii="Arial" w:hAnsi="Arial" w:cs="Arial"/>
          <w:sz w:val="20"/>
          <w:szCs w:val="20"/>
        </w:rPr>
      </w:pPr>
      <w:r w:rsidRPr="00DA6784">
        <w:rPr>
          <w:rFonts w:ascii="Arial" w:hAnsi="Arial" w:cs="Arial"/>
          <w:sz w:val="20"/>
          <w:szCs w:val="20"/>
        </w:rPr>
        <w:t xml:space="preserve">Vani, Z., &amp; Kumari, A. (2025). A study on level of digital financial service inclusion among the rural area. </w:t>
      </w:r>
      <w:r w:rsidRPr="00DA6784">
        <w:rPr>
          <w:rStyle w:val="Emphasis"/>
          <w:rFonts w:ascii="Arial" w:hAnsi="Arial" w:cs="Arial"/>
          <w:sz w:val="20"/>
          <w:szCs w:val="20"/>
        </w:rPr>
        <w:t>International Journal of Advances in Engineering and Management (IJAEM)</w:t>
      </w:r>
      <w:r w:rsidRPr="00DA6784">
        <w:rPr>
          <w:rFonts w:ascii="Arial" w:hAnsi="Arial" w:cs="Arial"/>
          <w:sz w:val="20"/>
          <w:szCs w:val="20"/>
        </w:rPr>
        <w:t xml:space="preserve">, </w:t>
      </w:r>
      <w:r w:rsidRPr="00DA6784">
        <w:rPr>
          <w:rStyle w:val="Emphasis"/>
          <w:rFonts w:ascii="Arial" w:hAnsi="Arial" w:cs="Arial"/>
          <w:sz w:val="20"/>
          <w:szCs w:val="20"/>
        </w:rPr>
        <w:t>7</w:t>
      </w:r>
      <w:r w:rsidRPr="00DA6784">
        <w:rPr>
          <w:rFonts w:ascii="Arial" w:hAnsi="Arial" w:cs="Arial"/>
          <w:sz w:val="20"/>
          <w:szCs w:val="20"/>
        </w:rPr>
        <w:t>(4), 258–268.</w:t>
      </w:r>
      <w:r w:rsidRPr="00DA6784">
        <w:rPr>
          <w:rStyle w:val="Hyperlink"/>
          <w:rFonts w:ascii="Arial" w:eastAsia="Times New Roman" w:hAnsi="Arial" w:cs="Arial"/>
          <w:color w:val="548DD4" w:themeColor="text2" w:themeTint="99"/>
          <w:lang w:bidi="hi-IN"/>
        </w:rPr>
        <w:t xml:space="preserve"> </w:t>
      </w:r>
      <w:hyperlink r:id="rId12" w:history="1">
        <w:r w:rsidRPr="00DA6784">
          <w:rPr>
            <w:rStyle w:val="Hyperlink"/>
            <w:rFonts w:ascii="Arial" w:eastAsia="Times New Roman" w:hAnsi="Arial" w:cs="Arial"/>
            <w:color w:val="548DD4" w:themeColor="text2" w:themeTint="99"/>
            <w:sz w:val="20"/>
            <w:szCs w:val="20"/>
            <w:lang w:bidi="hi-IN"/>
          </w:rPr>
          <w:t>https://doi.org/10.35629/5252-0704258268</w:t>
        </w:r>
      </w:hyperlink>
    </w:p>
    <w:p w:rsidR="005236F7" w:rsidRPr="00DA6784" w:rsidRDefault="005236F7" w:rsidP="00DA6784">
      <w:pPr>
        <w:pStyle w:val="NormalWeb"/>
        <w:numPr>
          <w:ilvl w:val="0"/>
          <w:numId w:val="34"/>
        </w:numPr>
        <w:spacing w:before="0" w:beforeAutospacing="0" w:after="0" w:afterAutospacing="0" w:line="360" w:lineRule="auto"/>
        <w:jc w:val="both"/>
        <w:rPr>
          <w:rFonts w:ascii="Arial" w:hAnsi="Arial" w:cs="Arial"/>
          <w:sz w:val="20"/>
          <w:szCs w:val="20"/>
        </w:rPr>
      </w:pPr>
      <w:r w:rsidRPr="00DA6784">
        <w:rPr>
          <w:rFonts w:ascii="Arial" w:hAnsi="Arial" w:cs="Arial"/>
          <w:sz w:val="20"/>
          <w:szCs w:val="20"/>
        </w:rPr>
        <w:t xml:space="preserve">Ahmad, M. (2018). </w:t>
      </w:r>
      <w:r w:rsidRPr="00DA6784">
        <w:rPr>
          <w:rStyle w:val="Emphasis"/>
          <w:rFonts w:ascii="Arial" w:hAnsi="Arial" w:cs="Arial"/>
          <w:sz w:val="20"/>
          <w:szCs w:val="20"/>
        </w:rPr>
        <w:t>Review of the Technology Acceptance Model (TAM) in internet banking and mobile banking</w:t>
      </w:r>
      <w:r w:rsidRPr="00DA6784">
        <w:rPr>
          <w:rFonts w:ascii="Arial" w:hAnsi="Arial" w:cs="Arial"/>
          <w:sz w:val="20"/>
          <w:szCs w:val="20"/>
        </w:rPr>
        <w:t xml:space="preserve">. International Journal of Information Communication Technology and Digital Convergence, Vol. 3, No. 1, June 2018, pp. 23-41. Retrieved from </w:t>
      </w:r>
      <w:hyperlink r:id="rId13" w:tgtFrame="_new" w:history="1">
        <w:r w:rsidRPr="00DA6784">
          <w:rPr>
            <w:rStyle w:val="Hyperlink"/>
            <w:rFonts w:ascii="Arial" w:hAnsi="Arial" w:cs="Arial"/>
            <w:color w:val="548DD4" w:themeColor="text2" w:themeTint="99"/>
            <w:sz w:val="20"/>
            <w:szCs w:val="20"/>
          </w:rPr>
          <w:t>https://www.researchgate.net/publication/325570809</w:t>
        </w:r>
      </w:hyperlink>
    </w:p>
    <w:p w:rsidR="00AF61CF" w:rsidRPr="00DA6784" w:rsidRDefault="00AF61CF" w:rsidP="00DA6784">
      <w:pPr>
        <w:pStyle w:val="NormalWeb"/>
        <w:numPr>
          <w:ilvl w:val="0"/>
          <w:numId w:val="34"/>
        </w:numPr>
        <w:spacing w:before="0" w:beforeAutospacing="0" w:after="0" w:afterAutospacing="0" w:line="360" w:lineRule="auto"/>
        <w:jc w:val="both"/>
        <w:rPr>
          <w:rFonts w:ascii="Arial" w:hAnsi="Arial" w:cs="Arial"/>
          <w:sz w:val="20"/>
          <w:szCs w:val="20"/>
        </w:rPr>
      </w:pPr>
      <w:r w:rsidRPr="00DA6784">
        <w:rPr>
          <w:rFonts w:ascii="Arial" w:hAnsi="Arial" w:cs="Arial"/>
          <w:sz w:val="20"/>
          <w:szCs w:val="20"/>
        </w:rPr>
        <w:t xml:space="preserve">Sharma, S., Anamika, A., Anuradha, &amp; Kapoor, S. (2024). The transition from cash to digital wallets: A paradigm shift in the Indian economy. </w:t>
      </w:r>
      <w:r w:rsidRPr="00DA6784">
        <w:rPr>
          <w:rStyle w:val="Emphasis"/>
          <w:rFonts w:ascii="Arial" w:hAnsi="Arial" w:cs="Arial"/>
          <w:sz w:val="20"/>
          <w:szCs w:val="20"/>
        </w:rPr>
        <w:t>Frontiers in Health Informatics, 13</w:t>
      </w:r>
      <w:r w:rsidRPr="00DA6784">
        <w:rPr>
          <w:rFonts w:ascii="Arial" w:hAnsi="Arial" w:cs="Arial"/>
          <w:sz w:val="20"/>
          <w:szCs w:val="20"/>
        </w:rPr>
        <w:t>(8), 2184–2198.</w:t>
      </w:r>
    </w:p>
    <w:p w:rsidR="00AF61CF" w:rsidRPr="00DA6784" w:rsidRDefault="001E3F88" w:rsidP="00DA6784">
      <w:pPr>
        <w:pStyle w:val="NormalWeb"/>
        <w:spacing w:before="0" w:beforeAutospacing="0" w:after="0" w:afterAutospacing="0" w:line="360" w:lineRule="auto"/>
        <w:ind w:left="720"/>
        <w:jc w:val="both"/>
        <w:rPr>
          <w:rStyle w:val="Hyperlink"/>
          <w:rFonts w:ascii="Arial" w:hAnsi="Arial" w:cs="Arial"/>
          <w:color w:val="548DD4" w:themeColor="text2" w:themeTint="99"/>
        </w:rPr>
      </w:pPr>
      <w:hyperlink r:id="rId14" w:history="1">
        <w:r w:rsidR="00AF61CF" w:rsidRPr="00DA6784">
          <w:rPr>
            <w:rStyle w:val="Hyperlink"/>
            <w:rFonts w:ascii="Arial" w:hAnsi="Arial" w:cs="Arial"/>
            <w:color w:val="548DD4" w:themeColor="text2" w:themeTint="99"/>
            <w:sz w:val="20"/>
            <w:szCs w:val="20"/>
          </w:rPr>
          <w:t>https://www.healthinformaticsjournal.com/index.php/IJMI/article/view/1851/1736</w:t>
        </w:r>
      </w:hyperlink>
      <w:r w:rsidR="00AF61CF" w:rsidRPr="00DA6784">
        <w:rPr>
          <w:rStyle w:val="Hyperlink"/>
          <w:rFonts w:ascii="Arial" w:hAnsi="Arial" w:cs="Arial"/>
          <w:color w:val="548DD4" w:themeColor="text2" w:themeTint="99"/>
        </w:rPr>
        <w:t xml:space="preserve"> </w:t>
      </w:r>
    </w:p>
    <w:p w:rsidR="00AF61CF" w:rsidRPr="00DA6784" w:rsidRDefault="00AF61CF" w:rsidP="00DA6784">
      <w:pPr>
        <w:pStyle w:val="NormalWeb"/>
        <w:numPr>
          <w:ilvl w:val="0"/>
          <w:numId w:val="34"/>
        </w:numPr>
        <w:spacing w:before="0" w:beforeAutospacing="0" w:after="0" w:afterAutospacing="0" w:line="360" w:lineRule="auto"/>
        <w:jc w:val="both"/>
        <w:rPr>
          <w:rFonts w:ascii="Arial" w:hAnsi="Arial" w:cs="Arial"/>
          <w:sz w:val="20"/>
          <w:szCs w:val="20"/>
        </w:rPr>
      </w:pPr>
      <w:proofErr w:type="spellStart"/>
      <w:r w:rsidRPr="00DA6784">
        <w:rPr>
          <w:rFonts w:ascii="Arial" w:hAnsi="Arial" w:cs="Arial"/>
          <w:sz w:val="20"/>
          <w:szCs w:val="20"/>
        </w:rPr>
        <w:t>Gokula</w:t>
      </w:r>
      <w:proofErr w:type="spellEnd"/>
      <w:r w:rsidRPr="00DA6784">
        <w:rPr>
          <w:rFonts w:ascii="Arial" w:hAnsi="Arial" w:cs="Arial"/>
          <w:sz w:val="20"/>
          <w:szCs w:val="20"/>
        </w:rPr>
        <w:t xml:space="preserve"> Priya, M., &amp; Shalini, P. (2025). A comparative study on urban and rural areas adopting digital payment system. </w:t>
      </w:r>
      <w:r w:rsidRPr="00DA6784">
        <w:rPr>
          <w:rStyle w:val="Emphasis"/>
          <w:rFonts w:ascii="Arial" w:hAnsi="Arial" w:cs="Arial"/>
          <w:sz w:val="20"/>
          <w:szCs w:val="20"/>
        </w:rPr>
        <w:t>International Research Journal, March, 2025, 12</w:t>
      </w:r>
      <w:r w:rsidRPr="00DA6784">
        <w:rPr>
          <w:rFonts w:ascii="Arial" w:hAnsi="Arial" w:cs="Arial"/>
          <w:sz w:val="20"/>
          <w:szCs w:val="20"/>
        </w:rPr>
        <w:t xml:space="preserve">(3), </w:t>
      </w:r>
      <w:hyperlink r:id="rId15" w:history="1">
        <w:r w:rsidRPr="00DA6784">
          <w:rPr>
            <w:rStyle w:val="Hyperlink"/>
            <w:rFonts w:ascii="Arial" w:hAnsi="Arial" w:cs="Arial"/>
            <w:color w:val="548DD4" w:themeColor="text2" w:themeTint="99"/>
            <w:sz w:val="20"/>
            <w:szCs w:val="20"/>
          </w:rPr>
          <w:t>https://tijer.org/tijer/papers/TIJERD001001.pdf</w:t>
        </w:r>
      </w:hyperlink>
      <w:r w:rsidRPr="00DA6784">
        <w:rPr>
          <w:rFonts w:ascii="Arial" w:hAnsi="Arial" w:cs="Arial"/>
          <w:sz w:val="20"/>
          <w:szCs w:val="20"/>
        </w:rPr>
        <w:t xml:space="preserve"> </w:t>
      </w:r>
    </w:p>
    <w:p w:rsidR="00AF61CF" w:rsidRPr="00DA6784" w:rsidRDefault="00AF61CF" w:rsidP="00DA6784">
      <w:pPr>
        <w:pStyle w:val="NormalWeb"/>
        <w:numPr>
          <w:ilvl w:val="0"/>
          <w:numId w:val="34"/>
        </w:numPr>
        <w:spacing w:before="0" w:beforeAutospacing="0" w:after="0" w:afterAutospacing="0" w:line="360" w:lineRule="auto"/>
        <w:jc w:val="both"/>
        <w:rPr>
          <w:rFonts w:ascii="Arial" w:hAnsi="Arial" w:cs="Arial"/>
          <w:sz w:val="20"/>
          <w:szCs w:val="20"/>
        </w:rPr>
      </w:pPr>
      <w:r w:rsidRPr="00DA6784">
        <w:rPr>
          <w:rFonts w:ascii="Arial" w:hAnsi="Arial" w:cs="Arial"/>
          <w:sz w:val="20"/>
          <w:szCs w:val="20"/>
        </w:rPr>
        <w:t xml:space="preserve">Jafri, J. A., </w:t>
      </w:r>
      <w:proofErr w:type="spellStart"/>
      <w:r w:rsidRPr="00DA6784">
        <w:rPr>
          <w:rFonts w:ascii="Arial" w:hAnsi="Arial" w:cs="Arial"/>
          <w:sz w:val="20"/>
          <w:szCs w:val="20"/>
        </w:rPr>
        <w:t>Mohd</w:t>
      </w:r>
      <w:proofErr w:type="spellEnd"/>
      <w:r w:rsidRPr="00DA6784">
        <w:rPr>
          <w:rFonts w:ascii="Arial" w:hAnsi="Arial" w:cs="Arial"/>
          <w:sz w:val="20"/>
          <w:szCs w:val="20"/>
        </w:rPr>
        <w:t xml:space="preserve"> Amin, S. I., Abdul Rahman, A., &amp; </w:t>
      </w:r>
      <w:proofErr w:type="spellStart"/>
      <w:r w:rsidRPr="00DA6784">
        <w:rPr>
          <w:rFonts w:ascii="Arial" w:hAnsi="Arial" w:cs="Arial"/>
          <w:sz w:val="20"/>
          <w:szCs w:val="20"/>
        </w:rPr>
        <w:t>Mohd</w:t>
      </w:r>
      <w:proofErr w:type="spellEnd"/>
      <w:r w:rsidRPr="00DA6784">
        <w:rPr>
          <w:rFonts w:ascii="Arial" w:hAnsi="Arial" w:cs="Arial"/>
          <w:sz w:val="20"/>
          <w:szCs w:val="20"/>
        </w:rPr>
        <w:t xml:space="preserve"> Nor, S. (2024). A systematic literature review of the role of trust and security on Fintech adoption in banking. </w:t>
      </w:r>
      <w:proofErr w:type="spellStart"/>
      <w:r w:rsidRPr="00DA6784">
        <w:rPr>
          <w:rStyle w:val="Emphasis"/>
          <w:rFonts w:ascii="Arial" w:hAnsi="Arial" w:cs="Arial"/>
          <w:sz w:val="20"/>
          <w:szCs w:val="20"/>
        </w:rPr>
        <w:t>Heliyon</w:t>
      </w:r>
      <w:proofErr w:type="spellEnd"/>
      <w:r w:rsidRPr="00DA6784">
        <w:rPr>
          <w:rStyle w:val="Emphasis"/>
          <w:rFonts w:ascii="Arial" w:hAnsi="Arial" w:cs="Arial"/>
          <w:sz w:val="20"/>
          <w:szCs w:val="20"/>
        </w:rPr>
        <w:t>, 10</w:t>
      </w:r>
      <w:r w:rsidRPr="00DA6784">
        <w:rPr>
          <w:rFonts w:ascii="Arial" w:hAnsi="Arial" w:cs="Arial"/>
          <w:sz w:val="20"/>
          <w:szCs w:val="20"/>
        </w:rPr>
        <w:t xml:space="preserve">(1), e22980. </w:t>
      </w:r>
      <w:hyperlink r:id="rId16" w:tgtFrame="_new" w:history="1">
        <w:r w:rsidRPr="00DA6784">
          <w:rPr>
            <w:rStyle w:val="Hyperlink"/>
            <w:rFonts w:ascii="Arial" w:hAnsi="Arial" w:cs="Arial"/>
            <w:color w:val="548DD4" w:themeColor="text2" w:themeTint="99"/>
            <w:sz w:val="20"/>
            <w:szCs w:val="20"/>
          </w:rPr>
          <w:t>https://doi.org/10.1016/j.heliyon.2023.e22980</w:t>
        </w:r>
      </w:hyperlink>
    </w:p>
    <w:p w:rsidR="00C2718E" w:rsidRPr="00CA0308" w:rsidRDefault="00C2718E" w:rsidP="00DA6784">
      <w:pPr>
        <w:pStyle w:val="NormalWeb"/>
        <w:numPr>
          <w:ilvl w:val="0"/>
          <w:numId w:val="34"/>
        </w:numPr>
        <w:spacing w:before="0" w:beforeAutospacing="0" w:after="0" w:afterAutospacing="0" w:line="360" w:lineRule="auto"/>
        <w:jc w:val="both"/>
        <w:rPr>
          <w:rStyle w:val="Hyperlink"/>
          <w:rFonts w:ascii="Arial" w:hAnsi="Arial" w:cs="Arial"/>
          <w:color w:val="548DD4" w:themeColor="text2" w:themeTint="99"/>
          <w:sz w:val="20"/>
          <w:szCs w:val="20"/>
          <w:u w:val="none"/>
        </w:rPr>
      </w:pPr>
      <w:r w:rsidRPr="00DA6784">
        <w:rPr>
          <w:rFonts w:ascii="Arial" w:hAnsi="Arial" w:cs="Arial"/>
          <w:sz w:val="20"/>
          <w:szCs w:val="20"/>
        </w:rPr>
        <w:t xml:space="preserve">Atwal, H., &amp; Kaur, P. (2025). </w:t>
      </w:r>
      <w:r w:rsidRPr="00DA6784">
        <w:rPr>
          <w:rStyle w:val="Emphasis"/>
          <w:rFonts w:ascii="Arial" w:hAnsi="Arial" w:cs="Arial"/>
          <w:sz w:val="20"/>
          <w:szCs w:val="20"/>
        </w:rPr>
        <w:t>Impact of demonetization on digital payment system</w:t>
      </w:r>
      <w:r w:rsidRPr="00DA6784">
        <w:rPr>
          <w:rFonts w:ascii="Arial" w:hAnsi="Arial" w:cs="Arial"/>
          <w:sz w:val="20"/>
          <w:szCs w:val="20"/>
        </w:rPr>
        <w:t xml:space="preserve">. </w:t>
      </w:r>
      <w:r w:rsidRPr="00DA6784">
        <w:rPr>
          <w:rStyle w:val="Strong"/>
          <w:rFonts w:ascii="Arial" w:hAnsi="Arial" w:cs="Arial"/>
          <w:sz w:val="20"/>
          <w:szCs w:val="20"/>
        </w:rPr>
        <w:t>International Journal of Research in Management</w:t>
      </w:r>
      <w:r w:rsidRPr="00DA6784">
        <w:rPr>
          <w:rFonts w:ascii="Arial" w:hAnsi="Arial" w:cs="Arial"/>
          <w:sz w:val="20"/>
          <w:szCs w:val="20"/>
        </w:rPr>
        <w:t xml:space="preserve">, 7(1), [Page- 260-272]. </w:t>
      </w:r>
      <w:hyperlink r:id="rId17" w:tgtFrame="_new" w:history="1">
        <w:r w:rsidRPr="00DA6784">
          <w:rPr>
            <w:rStyle w:val="Hyperlink"/>
            <w:rFonts w:ascii="Arial" w:hAnsi="Arial" w:cs="Arial"/>
            <w:color w:val="548DD4" w:themeColor="text2" w:themeTint="99"/>
            <w:sz w:val="20"/>
            <w:szCs w:val="20"/>
          </w:rPr>
          <w:t>https://doi.org/10.33545/26648792.2025.v7.i1c.289</w:t>
        </w:r>
      </w:hyperlink>
    </w:p>
    <w:p w:rsidR="00CA0308" w:rsidRPr="00CA0308" w:rsidRDefault="00CA0308" w:rsidP="00CA0308">
      <w:pPr>
        <w:pStyle w:val="NormalWeb"/>
        <w:numPr>
          <w:ilvl w:val="0"/>
          <w:numId w:val="34"/>
        </w:numPr>
        <w:spacing w:line="360" w:lineRule="auto"/>
        <w:jc w:val="both"/>
        <w:rPr>
          <w:rFonts w:ascii="Arial" w:hAnsi="Arial" w:cs="Arial"/>
          <w:sz w:val="20"/>
          <w:szCs w:val="20"/>
        </w:rPr>
      </w:pPr>
      <w:r w:rsidRPr="00CA0308">
        <w:rPr>
          <w:rFonts w:ascii="Arial" w:hAnsi="Arial" w:cs="Arial"/>
          <w:sz w:val="20"/>
          <w:szCs w:val="20"/>
        </w:rPr>
        <w:t xml:space="preserve">Prasad, S., Jain, Y. S., Surana, P., Shill, S., </w:t>
      </w:r>
      <w:proofErr w:type="spellStart"/>
      <w:r w:rsidRPr="00CA0308">
        <w:rPr>
          <w:rFonts w:ascii="Arial" w:hAnsi="Arial" w:cs="Arial"/>
          <w:sz w:val="20"/>
          <w:szCs w:val="20"/>
        </w:rPr>
        <w:t>Kankariya</w:t>
      </w:r>
      <w:proofErr w:type="spellEnd"/>
      <w:r w:rsidRPr="00CA0308">
        <w:rPr>
          <w:rFonts w:ascii="Arial" w:hAnsi="Arial" w:cs="Arial"/>
          <w:sz w:val="20"/>
          <w:szCs w:val="20"/>
        </w:rPr>
        <w:t xml:space="preserve">, J., &amp; Poddar, D. (2024). </w:t>
      </w:r>
      <w:r w:rsidRPr="00CA0308">
        <w:rPr>
          <w:rStyle w:val="Emphasis"/>
          <w:rFonts w:ascii="Arial" w:hAnsi="Arial" w:cs="Arial"/>
          <w:sz w:val="20"/>
          <w:szCs w:val="20"/>
        </w:rPr>
        <w:t>Impact of digital payment adoption on financial inclusion in rural India</w:t>
      </w:r>
      <w:r w:rsidRPr="00CA0308">
        <w:rPr>
          <w:rFonts w:ascii="Arial" w:hAnsi="Arial" w:cs="Arial"/>
          <w:b/>
          <w:sz w:val="20"/>
          <w:szCs w:val="20"/>
        </w:rPr>
        <w:t>. International Journal of Development Research</w:t>
      </w:r>
      <w:r w:rsidRPr="00CA0308">
        <w:rPr>
          <w:rFonts w:ascii="Arial" w:hAnsi="Arial" w:cs="Arial"/>
          <w:sz w:val="20"/>
          <w:szCs w:val="20"/>
        </w:rPr>
        <w:t xml:space="preserve">, 14(1), 26578–26583. </w:t>
      </w:r>
      <w:hyperlink r:id="rId18" w:history="1">
        <w:r w:rsidRPr="00173823">
          <w:rPr>
            <w:rStyle w:val="Hyperlink"/>
            <w:rFonts w:ascii="Arial" w:hAnsi="Arial" w:cs="Arial"/>
            <w:sz w:val="20"/>
            <w:szCs w:val="20"/>
          </w:rPr>
          <w:t>https://www.journalijdr.com/impact-digital-payment-adoption-financial-inclusion-rural-india</w:t>
        </w:r>
      </w:hyperlink>
      <w:r>
        <w:rPr>
          <w:rFonts w:ascii="Arial" w:hAnsi="Arial" w:cs="Arial"/>
          <w:sz w:val="20"/>
          <w:szCs w:val="20"/>
        </w:rPr>
        <w:t xml:space="preserve"> </w:t>
      </w:r>
    </w:p>
    <w:p w:rsidR="00B45543" w:rsidRPr="00CA0308" w:rsidRDefault="00B45543" w:rsidP="00B45543">
      <w:pPr>
        <w:pStyle w:val="ListParagraph"/>
        <w:numPr>
          <w:ilvl w:val="0"/>
          <w:numId w:val="34"/>
        </w:numPr>
        <w:spacing w:line="360" w:lineRule="auto"/>
        <w:jc w:val="both"/>
        <w:rPr>
          <w:rFonts w:ascii="Arial" w:hAnsi="Arial" w:cs="Arial"/>
          <w:sz w:val="20"/>
          <w:szCs w:val="20"/>
        </w:rPr>
      </w:pPr>
      <w:r w:rsidRPr="00CA0308">
        <w:rPr>
          <w:rFonts w:ascii="Arial" w:hAnsi="Arial" w:cs="Arial"/>
          <w:sz w:val="20"/>
          <w:szCs w:val="20"/>
        </w:rPr>
        <w:t xml:space="preserve">Ghosh, P. K. (2022). A Study on Impact of </w:t>
      </w:r>
      <w:proofErr w:type="spellStart"/>
      <w:r w:rsidRPr="00CA0308">
        <w:rPr>
          <w:rFonts w:ascii="Arial" w:hAnsi="Arial" w:cs="Arial"/>
          <w:sz w:val="20"/>
          <w:szCs w:val="20"/>
        </w:rPr>
        <w:t>Covid</w:t>
      </w:r>
      <w:proofErr w:type="spellEnd"/>
      <w:r w:rsidRPr="00CA0308">
        <w:rPr>
          <w:rFonts w:ascii="Arial" w:hAnsi="Arial" w:cs="Arial"/>
          <w:sz w:val="20"/>
          <w:szCs w:val="20"/>
        </w:rPr>
        <w:t xml:space="preserve">- 19 Pandemic on Indian Banking Sector (pp. 83–94). </w:t>
      </w:r>
      <w:proofErr w:type="spellStart"/>
      <w:r w:rsidRPr="00CA0308">
        <w:rPr>
          <w:rFonts w:ascii="Arial" w:hAnsi="Arial" w:cs="Arial"/>
          <w:sz w:val="20"/>
          <w:szCs w:val="20"/>
        </w:rPr>
        <w:t>lincoln</w:t>
      </w:r>
      <w:proofErr w:type="spellEnd"/>
      <w:r w:rsidRPr="00CA0308">
        <w:rPr>
          <w:rFonts w:ascii="Arial" w:hAnsi="Arial" w:cs="Arial"/>
          <w:sz w:val="20"/>
          <w:szCs w:val="20"/>
        </w:rPr>
        <w:t xml:space="preserve"> university college </w:t>
      </w:r>
      <w:proofErr w:type="spellStart"/>
      <w:r w:rsidRPr="00CA0308">
        <w:rPr>
          <w:rFonts w:ascii="Arial" w:hAnsi="Arial" w:cs="Arial"/>
          <w:sz w:val="20"/>
          <w:szCs w:val="20"/>
        </w:rPr>
        <w:t>malaysia</w:t>
      </w:r>
      <w:proofErr w:type="spellEnd"/>
      <w:r w:rsidRPr="00CA0308">
        <w:rPr>
          <w:rFonts w:ascii="Arial" w:hAnsi="Arial" w:cs="Arial"/>
          <w:sz w:val="20"/>
          <w:szCs w:val="20"/>
        </w:rPr>
        <w:t xml:space="preserve">. </w:t>
      </w:r>
      <w:hyperlink r:id="rId19" w:history="1">
        <w:r w:rsidRPr="00CA0308">
          <w:rPr>
            <w:rStyle w:val="Hyperlink"/>
            <w:rFonts w:ascii="Arial" w:hAnsi="Arial" w:cs="Arial"/>
            <w:sz w:val="20"/>
            <w:szCs w:val="20"/>
          </w:rPr>
          <w:t>https://doi.org/10.31674/book.2022sseg.010</w:t>
        </w:r>
      </w:hyperlink>
      <w:r w:rsidRPr="00CA0308">
        <w:rPr>
          <w:rFonts w:ascii="Arial" w:hAnsi="Arial" w:cs="Arial"/>
          <w:sz w:val="20"/>
          <w:szCs w:val="20"/>
        </w:rPr>
        <w:t xml:space="preserve"> </w:t>
      </w:r>
    </w:p>
    <w:p w:rsidR="00CA0308" w:rsidRPr="00CA0308" w:rsidRDefault="00CA0308" w:rsidP="00CA0308">
      <w:pPr>
        <w:pStyle w:val="NormalWeb"/>
        <w:numPr>
          <w:ilvl w:val="0"/>
          <w:numId w:val="34"/>
        </w:numPr>
        <w:spacing w:line="360" w:lineRule="auto"/>
        <w:jc w:val="both"/>
        <w:rPr>
          <w:rFonts w:ascii="Arial" w:hAnsi="Arial" w:cs="Arial"/>
          <w:sz w:val="20"/>
          <w:szCs w:val="20"/>
        </w:rPr>
      </w:pPr>
      <w:r w:rsidRPr="00CA0308">
        <w:rPr>
          <w:rFonts w:ascii="Arial" w:hAnsi="Arial" w:cs="Arial"/>
          <w:sz w:val="20"/>
          <w:szCs w:val="20"/>
        </w:rPr>
        <w:t xml:space="preserve">Pandey, P. (2025). </w:t>
      </w:r>
      <w:r w:rsidRPr="00CA0308">
        <w:rPr>
          <w:rStyle w:val="Emphasis"/>
          <w:rFonts w:ascii="Arial" w:hAnsi="Arial" w:cs="Arial"/>
          <w:sz w:val="20"/>
          <w:szCs w:val="20"/>
        </w:rPr>
        <w:t>Transforming Indian banking: A study of digitalization, customer experience and operational efficiency</w:t>
      </w:r>
      <w:r w:rsidRPr="00CA0308">
        <w:rPr>
          <w:rFonts w:ascii="Arial" w:hAnsi="Arial" w:cs="Arial"/>
          <w:sz w:val="20"/>
          <w:szCs w:val="20"/>
        </w:rPr>
        <w:t>. Advances in Consumer Research, 47(2), 88–101.</w:t>
      </w:r>
      <w:hyperlink r:id="rId20" w:history="1">
        <w:r w:rsidRPr="00173823">
          <w:rPr>
            <w:rStyle w:val="Hyperlink"/>
            <w:rFonts w:ascii="Arial" w:hAnsi="Arial" w:cs="Arial"/>
            <w:sz w:val="20"/>
            <w:szCs w:val="20"/>
          </w:rPr>
          <w:t>https://acr-journal.com/article/transforming-indian-banking-a-study-of-digitalization-customer-experience-and-operational-efficiency-883/</w:t>
        </w:r>
      </w:hyperlink>
      <w:r w:rsidRPr="00CA0308">
        <w:rPr>
          <w:rFonts w:ascii="Arial" w:hAnsi="Arial" w:cs="Arial"/>
          <w:sz w:val="20"/>
          <w:szCs w:val="20"/>
        </w:rPr>
        <w:t xml:space="preserve"> </w:t>
      </w:r>
    </w:p>
    <w:p w:rsidR="00CA0308" w:rsidRPr="00CA0308" w:rsidRDefault="00CA0308" w:rsidP="00CA0308">
      <w:pPr>
        <w:pStyle w:val="ListParagraph"/>
        <w:numPr>
          <w:ilvl w:val="0"/>
          <w:numId w:val="34"/>
        </w:numPr>
        <w:spacing w:line="360" w:lineRule="auto"/>
        <w:jc w:val="both"/>
        <w:rPr>
          <w:rFonts w:ascii="Arial" w:hAnsi="Arial" w:cs="Arial"/>
          <w:sz w:val="20"/>
          <w:szCs w:val="20"/>
        </w:rPr>
      </w:pPr>
      <w:bookmarkStart w:id="0" w:name="_GoBack"/>
      <w:bookmarkEnd w:id="0"/>
      <w:proofErr w:type="spellStart"/>
      <w:r w:rsidRPr="00CA0308">
        <w:rPr>
          <w:rFonts w:ascii="Arial" w:hAnsi="Arial" w:cs="Arial"/>
          <w:sz w:val="20"/>
          <w:szCs w:val="20"/>
        </w:rPr>
        <w:lastRenderedPageBreak/>
        <w:t>Hussaini</w:t>
      </w:r>
      <w:proofErr w:type="spellEnd"/>
      <w:r w:rsidRPr="00CA0308">
        <w:rPr>
          <w:rFonts w:ascii="Arial" w:hAnsi="Arial" w:cs="Arial"/>
          <w:sz w:val="20"/>
          <w:szCs w:val="20"/>
        </w:rPr>
        <w:t xml:space="preserve">, S. W. (2021). Impact of Demonetization on Indian Banking Sector. International Journal of Advanced Research in Science, Communication and Technology, 7(2), 722–726. </w:t>
      </w:r>
      <w:hyperlink r:id="rId21" w:history="1">
        <w:r w:rsidRPr="00CA0308">
          <w:rPr>
            <w:rStyle w:val="Hyperlink"/>
            <w:rFonts w:ascii="Arial" w:hAnsi="Arial" w:cs="Arial"/>
            <w:sz w:val="20"/>
            <w:szCs w:val="20"/>
          </w:rPr>
          <w:t>https://doi.org/10.48175/ijarsct-1791</w:t>
        </w:r>
      </w:hyperlink>
      <w:r w:rsidRPr="00CA0308">
        <w:rPr>
          <w:rFonts w:ascii="Arial" w:hAnsi="Arial" w:cs="Arial"/>
          <w:sz w:val="20"/>
          <w:szCs w:val="20"/>
        </w:rPr>
        <w:t xml:space="preserve"> </w:t>
      </w:r>
    </w:p>
    <w:p w:rsidR="00751261" w:rsidRDefault="00751261" w:rsidP="00CC3C31">
      <w:pPr>
        <w:spacing w:after="160" w:line="360" w:lineRule="auto"/>
        <w:jc w:val="both"/>
        <w:rPr>
          <w:rFonts w:ascii="Arial" w:hAnsi="Arial" w:cs="Arial"/>
        </w:rPr>
      </w:pPr>
    </w:p>
    <w:p w:rsidR="00A27251" w:rsidRDefault="00A27251" w:rsidP="00CC3C31">
      <w:pPr>
        <w:spacing w:after="160" w:line="360" w:lineRule="auto"/>
        <w:jc w:val="both"/>
        <w:rPr>
          <w:rFonts w:ascii="Arial" w:hAnsi="Arial" w:cs="Arial"/>
        </w:rPr>
      </w:pPr>
    </w:p>
    <w:p w:rsidR="00A27251" w:rsidRDefault="00A27251" w:rsidP="00A27251">
      <w:pPr>
        <w:pStyle w:val="Heading3"/>
        <w:rPr>
          <w:rFonts w:ascii="Times New Roman" w:hAnsi="Times New Roman"/>
        </w:rPr>
      </w:pPr>
    </w:p>
    <w:sectPr w:rsidR="00A27251" w:rsidSect="008C347A">
      <w:headerReference w:type="even" r:id="rId22"/>
      <w:headerReference w:type="default" r:id="rId23"/>
      <w:footerReference w:type="even" r:id="rId24"/>
      <w:footerReference w:type="default" r:id="rId25"/>
      <w:headerReference w:type="first" r:id="rId26"/>
      <w:footerReference w:type="first" r:id="rId27"/>
      <w:pgSz w:w="11906" w:h="16838" w:code="9"/>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89F" w:rsidRDefault="006D589F" w:rsidP="00C37E61">
      <w:r>
        <w:separator/>
      </w:r>
    </w:p>
  </w:endnote>
  <w:endnote w:type="continuationSeparator" w:id="0">
    <w:p w:rsidR="006D589F" w:rsidRDefault="006D58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0B5" w:rsidRDefault="008D0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0B5" w:rsidRDefault="008D0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8D00B5" w:rsidRDefault="00754C9A" w:rsidP="008D0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89F" w:rsidRDefault="006D589F" w:rsidP="00C37E61">
      <w:r>
        <w:separator/>
      </w:r>
    </w:p>
  </w:footnote>
  <w:footnote w:type="continuationSeparator" w:id="0">
    <w:p w:rsidR="006D589F" w:rsidRDefault="006D58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0B5" w:rsidRDefault="001E3F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50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0B5" w:rsidRDefault="001E3F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50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1E3F88"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50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E270FA"/>
    <w:multiLevelType w:val="hybridMultilevel"/>
    <w:tmpl w:val="A5B6A5D2"/>
    <w:lvl w:ilvl="0" w:tplc="D1C656B0">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3B54106"/>
    <w:multiLevelType w:val="multilevel"/>
    <w:tmpl w:val="7726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12041"/>
    <w:multiLevelType w:val="hybridMultilevel"/>
    <w:tmpl w:val="228497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851E6B"/>
    <w:multiLevelType w:val="multilevel"/>
    <w:tmpl w:val="6510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8508E1"/>
    <w:multiLevelType w:val="multilevel"/>
    <w:tmpl w:val="8BC6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653B9F"/>
    <w:multiLevelType w:val="multilevel"/>
    <w:tmpl w:val="07D6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E78CA"/>
    <w:multiLevelType w:val="multilevel"/>
    <w:tmpl w:val="6696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34C55"/>
    <w:multiLevelType w:val="multilevel"/>
    <w:tmpl w:val="2698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27E0A"/>
    <w:multiLevelType w:val="hybridMultilevel"/>
    <w:tmpl w:val="EBFE23AC"/>
    <w:lvl w:ilvl="0" w:tplc="EDB4BADA">
      <w:start w:val="1"/>
      <w:numFmt w:val="decimal"/>
      <w:lvlText w:val="%1."/>
      <w:lvlJc w:val="left"/>
      <w:pPr>
        <w:ind w:left="720" w:hanging="360"/>
      </w:pPr>
      <w:rPr>
        <w:rFonts w:ascii="Times New Roman" w:eastAsia="Times New Roman" w:hAnsi="Times New Roman" w:cs="Times New Roman"/>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75F2846"/>
    <w:multiLevelType w:val="multilevel"/>
    <w:tmpl w:val="6966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6BC1669"/>
    <w:multiLevelType w:val="multilevel"/>
    <w:tmpl w:val="DF9C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59750D"/>
    <w:multiLevelType w:val="hybridMultilevel"/>
    <w:tmpl w:val="B18AA59C"/>
    <w:lvl w:ilvl="0" w:tplc="DB5E3D44">
      <w:start w:val="1"/>
      <w:numFmt w:val="decimal"/>
      <w:lvlText w:val="%1."/>
      <w:lvlJc w:val="left"/>
      <w:pPr>
        <w:ind w:left="720" w:hanging="360"/>
      </w:pPr>
      <w:rPr>
        <w:rFonts w:ascii="Arial" w:hAnsi="Arial" w:cs="Arial"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6"/>
  </w:num>
  <w:num w:numId="7">
    <w:abstractNumId w:val="1"/>
  </w:num>
  <w:num w:numId="8">
    <w:abstractNumId w:val="16"/>
  </w:num>
  <w:num w:numId="9">
    <w:abstractNumId w:val="37"/>
  </w:num>
  <w:num w:numId="10">
    <w:abstractNumId w:val="2"/>
  </w:num>
  <w:num w:numId="11">
    <w:abstractNumId w:val="29"/>
  </w:num>
  <w:num w:numId="12">
    <w:abstractNumId w:val="3"/>
  </w:num>
  <w:num w:numId="13">
    <w:abstractNumId w:val="27"/>
  </w:num>
  <w:num w:numId="14">
    <w:abstractNumId w:val="11"/>
  </w:num>
  <w:num w:numId="15">
    <w:abstractNumId w:val="32"/>
  </w:num>
  <w:num w:numId="16">
    <w:abstractNumId w:val="5"/>
  </w:num>
  <w:num w:numId="17">
    <w:abstractNumId w:val="33"/>
  </w:num>
  <w:num w:numId="18">
    <w:abstractNumId w:val="18"/>
  </w:num>
  <w:num w:numId="19">
    <w:abstractNumId w:val="40"/>
  </w:num>
  <w:num w:numId="20">
    <w:abstractNumId w:val="14"/>
  </w:num>
  <w:num w:numId="21">
    <w:abstractNumId w:val="12"/>
  </w:num>
  <w:num w:numId="22">
    <w:abstractNumId w:val="17"/>
  </w:num>
  <w:num w:numId="23">
    <w:abstractNumId w:val="30"/>
  </w:num>
  <w:num w:numId="24">
    <w:abstractNumId w:val="38"/>
  </w:num>
  <w:num w:numId="25">
    <w:abstractNumId w:val="4"/>
  </w:num>
  <w:num w:numId="26">
    <w:abstractNumId w:val="24"/>
  </w:num>
  <w:num w:numId="27">
    <w:abstractNumId w:val="31"/>
  </w:num>
  <w:num w:numId="28">
    <w:abstractNumId w:val="39"/>
  </w:num>
  <w:num w:numId="29">
    <w:abstractNumId w:val="36"/>
  </w:num>
  <w:num w:numId="30">
    <w:abstractNumId w:val="13"/>
  </w:num>
  <w:num w:numId="31">
    <w:abstractNumId w:val="35"/>
  </w:num>
  <w:num w:numId="32">
    <w:abstractNumId w:val="15"/>
  </w:num>
  <w:num w:numId="33">
    <w:abstractNumId w:val="26"/>
  </w:num>
  <w:num w:numId="34">
    <w:abstractNumId w:val="7"/>
  </w:num>
  <w:num w:numId="35">
    <w:abstractNumId w:val="25"/>
  </w:num>
  <w:num w:numId="36">
    <w:abstractNumId w:val="22"/>
  </w:num>
  <w:num w:numId="37">
    <w:abstractNumId w:val="8"/>
  </w:num>
  <w:num w:numId="38">
    <w:abstractNumId w:val="28"/>
  </w:num>
  <w:num w:numId="39">
    <w:abstractNumId w:val="21"/>
  </w:num>
  <w:num w:numId="40">
    <w:abstractNumId w:val="19"/>
  </w:num>
  <w:num w:numId="41">
    <w:abstractNumId w:val="20"/>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ytDQ1NDW3NDKxNLFU0lEKTi0uzszPAykwrAUAZG0TUywAAAA="/>
  </w:docVars>
  <w:rsids>
    <w:rsidRoot w:val="00AA6219"/>
    <w:rsid w:val="00000F8F"/>
    <w:rsid w:val="00030174"/>
    <w:rsid w:val="0004579C"/>
    <w:rsid w:val="000922FB"/>
    <w:rsid w:val="000A47FA"/>
    <w:rsid w:val="000A65D3"/>
    <w:rsid w:val="000B1E33"/>
    <w:rsid w:val="000C0952"/>
    <w:rsid w:val="000D38AA"/>
    <w:rsid w:val="000D689F"/>
    <w:rsid w:val="000E7B7B"/>
    <w:rsid w:val="000E7D62"/>
    <w:rsid w:val="00103357"/>
    <w:rsid w:val="00123C9F"/>
    <w:rsid w:val="00126190"/>
    <w:rsid w:val="00130F17"/>
    <w:rsid w:val="001320BF"/>
    <w:rsid w:val="00160843"/>
    <w:rsid w:val="00163BC4"/>
    <w:rsid w:val="001858BD"/>
    <w:rsid w:val="00191062"/>
    <w:rsid w:val="00192B72"/>
    <w:rsid w:val="001A29D8"/>
    <w:rsid w:val="001A5CAA"/>
    <w:rsid w:val="001B0427"/>
    <w:rsid w:val="001D3A51"/>
    <w:rsid w:val="001E10D2"/>
    <w:rsid w:val="001E25B4"/>
    <w:rsid w:val="001E3F88"/>
    <w:rsid w:val="001E44FE"/>
    <w:rsid w:val="00200595"/>
    <w:rsid w:val="00204835"/>
    <w:rsid w:val="00210A3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0DA"/>
    <w:rsid w:val="00315186"/>
    <w:rsid w:val="0033343E"/>
    <w:rsid w:val="003512C2"/>
    <w:rsid w:val="00371FB6"/>
    <w:rsid w:val="003763C1"/>
    <w:rsid w:val="00376BBE"/>
    <w:rsid w:val="0039224F"/>
    <w:rsid w:val="003A43A4"/>
    <w:rsid w:val="003A7E18"/>
    <w:rsid w:val="003C4C86"/>
    <w:rsid w:val="003C6258"/>
    <w:rsid w:val="003E2904"/>
    <w:rsid w:val="003E62AC"/>
    <w:rsid w:val="00401927"/>
    <w:rsid w:val="00403949"/>
    <w:rsid w:val="0041027F"/>
    <w:rsid w:val="00412475"/>
    <w:rsid w:val="00423789"/>
    <w:rsid w:val="00440F43"/>
    <w:rsid w:val="00441659"/>
    <w:rsid w:val="00441B6F"/>
    <w:rsid w:val="00446221"/>
    <w:rsid w:val="00450E62"/>
    <w:rsid w:val="004539DB"/>
    <w:rsid w:val="00471A80"/>
    <w:rsid w:val="004865A3"/>
    <w:rsid w:val="004D305E"/>
    <w:rsid w:val="004D4277"/>
    <w:rsid w:val="00502516"/>
    <w:rsid w:val="00505033"/>
    <w:rsid w:val="00505F06"/>
    <w:rsid w:val="00506828"/>
    <w:rsid w:val="005236F7"/>
    <w:rsid w:val="0053056E"/>
    <w:rsid w:val="00540EEF"/>
    <w:rsid w:val="00554FDA"/>
    <w:rsid w:val="005627B8"/>
    <w:rsid w:val="005C784C"/>
    <w:rsid w:val="005D17F6"/>
    <w:rsid w:val="005E5539"/>
    <w:rsid w:val="005F38C0"/>
    <w:rsid w:val="006025AD"/>
    <w:rsid w:val="00602BF5"/>
    <w:rsid w:val="00617FDD"/>
    <w:rsid w:val="00633614"/>
    <w:rsid w:val="00633F68"/>
    <w:rsid w:val="00636EB2"/>
    <w:rsid w:val="006375B8"/>
    <w:rsid w:val="0066510A"/>
    <w:rsid w:val="00671AC3"/>
    <w:rsid w:val="00673F9F"/>
    <w:rsid w:val="00686953"/>
    <w:rsid w:val="00687DEA"/>
    <w:rsid w:val="00687E67"/>
    <w:rsid w:val="006967F7"/>
    <w:rsid w:val="006A250C"/>
    <w:rsid w:val="006B21D3"/>
    <w:rsid w:val="006B57D0"/>
    <w:rsid w:val="006C18D0"/>
    <w:rsid w:val="006C2D29"/>
    <w:rsid w:val="006C5AAC"/>
    <w:rsid w:val="006D30FF"/>
    <w:rsid w:val="006D589F"/>
    <w:rsid w:val="006D6940"/>
    <w:rsid w:val="006F11EC"/>
    <w:rsid w:val="006F78E7"/>
    <w:rsid w:val="0070082C"/>
    <w:rsid w:val="00734E0F"/>
    <w:rsid w:val="007369E6"/>
    <w:rsid w:val="00746E59"/>
    <w:rsid w:val="00751261"/>
    <w:rsid w:val="00754C9A"/>
    <w:rsid w:val="0075599A"/>
    <w:rsid w:val="00761D52"/>
    <w:rsid w:val="0077749E"/>
    <w:rsid w:val="00790ADA"/>
    <w:rsid w:val="007A5C1B"/>
    <w:rsid w:val="007D2288"/>
    <w:rsid w:val="007E088F"/>
    <w:rsid w:val="007F7B32"/>
    <w:rsid w:val="00804BC2"/>
    <w:rsid w:val="0081431A"/>
    <w:rsid w:val="00816848"/>
    <w:rsid w:val="0083216F"/>
    <w:rsid w:val="00860000"/>
    <w:rsid w:val="00863BD3"/>
    <w:rsid w:val="008641ED"/>
    <w:rsid w:val="00866D66"/>
    <w:rsid w:val="008671C6"/>
    <w:rsid w:val="00875803"/>
    <w:rsid w:val="00887308"/>
    <w:rsid w:val="008A1F8F"/>
    <w:rsid w:val="008B459E"/>
    <w:rsid w:val="008C347A"/>
    <w:rsid w:val="008D00B5"/>
    <w:rsid w:val="008E13AE"/>
    <w:rsid w:val="008E1506"/>
    <w:rsid w:val="008E710C"/>
    <w:rsid w:val="008F0BBD"/>
    <w:rsid w:val="008F69D6"/>
    <w:rsid w:val="00902823"/>
    <w:rsid w:val="00915CA6"/>
    <w:rsid w:val="00924A16"/>
    <w:rsid w:val="00927834"/>
    <w:rsid w:val="009500A6"/>
    <w:rsid w:val="00951047"/>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251"/>
    <w:rsid w:val="00A337ED"/>
    <w:rsid w:val="00A347C0"/>
    <w:rsid w:val="00A47A3A"/>
    <w:rsid w:val="00A51431"/>
    <w:rsid w:val="00A539AD"/>
    <w:rsid w:val="00A94063"/>
    <w:rsid w:val="00AA6219"/>
    <w:rsid w:val="00AA74E0"/>
    <w:rsid w:val="00AB3E37"/>
    <w:rsid w:val="00AB703F"/>
    <w:rsid w:val="00AC6BB8"/>
    <w:rsid w:val="00AC7BF8"/>
    <w:rsid w:val="00AE008F"/>
    <w:rsid w:val="00AE3C95"/>
    <w:rsid w:val="00AF61CF"/>
    <w:rsid w:val="00B01FCD"/>
    <w:rsid w:val="00B062D5"/>
    <w:rsid w:val="00B17007"/>
    <w:rsid w:val="00B1776C"/>
    <w:rsid w:val="00B45543"/>
    <w:rsid w:val="00B52583"/>
    <w:rsid w:val="00B52896"/>
    <w:rsid w:val="00B64A4B"/>
    <w:rsid w:val="00B95236"/>
    <w:rsid w:val="00B96BD9"/>
    <w:rsid w:val="00BA1B01"/>
    <w:rsid w:val="00BA2641"/>
    <w:rsid w:val="00BB37AA"/>
    <w:rsid w:val="00BB418A"/>
    <w:rsid w:val="00BC161B"/>
    <w:rsid w:val="00BC3B01"/>
    <w:rsid w:val="00BC53A0"/>
    <w:rsid w:val="00BE62AD"/>
    <w:rsid w:val="00BF121F"/>
    <w:rsid w:val="00BF1F80"/>
    <w:rsid w:val="00BF3B6E"/>
    <w:rsid w:val="00C166EF"/>
    <w:rsid w:val="00C17EB0"/>
    <w:rsid w:val="00C2718E"/>
    <w:rsid w:val="00C27F5F"/>
    <w:rsid w:val="00C30A0F"/>
    <w:rsid w:val="00C37E61"/>
    <w:rsid w:val="00C53C5B"/>
    <w:rsid w:val="00C62D96"/>
    <w:rsid w:val="00C70F1B"/>
    <w:rsid w:val="00C71A47"/>
    <w:rsid w:val="00C7464C"/>
    <w:rsid w:val="00C85588"/>
    <w:rsid w:val="00C92A16"/>
    <w:rsid w:val="00CA0308"/>
    <w:rsid w:val="00CC3C31"/>
    <w:rsid w:val="00CD6755"/>
    <w:rsid w:val="00CD6856"/>
    <w:rsid w:val="00CE0089"/>
    <w:rsid w:val="00CE793C"/>
    <w:rsid w:val="00CF193C"/>
    <w:rsid w:val="00D0250C"/>
    <w:rsid w:val="00D173F1"/>
    <w:rsid w:val="00D74CB0"/>
    <w:rsid w:val="00D76B6F"/>
    <w:rsid w:val="00D8295D"/>
    <w:rsid w:val="00DA678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98F"/>
    <w:rsid w:val="00EF581D"/>
    <w:rsid w:val="00EF7FD8"/>
    <w:rsid w:val="00F06F59"/>
    <w:rsid w:val="00F071D5"/>
    <w:rsid w:val="00F17988"/>
    <w:rsid w:val="00F42AC0"/>
    <w:rsid w:val="00F446A4"/>
    <w:rsid w:val="00F469F0"/>
    <w:rsid w:val="00F53273"/>
    <w:rsid w:val="00F5398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4A2496EF-77FA-4211-ABCD-5DEA7CCC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F61C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C18D0"/>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6C18D0"/>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semiHidden/>
    <w:unhideWhenUsed/>
    <w:qFormat/>
    <w:rsid w:val="00C62D9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446A4"/>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6C18D0"/>
    <w:pPr>
      <w:spacing w:before="100" w:beforeAutospacing="1" w:after="100" w:afterAutospacing="1"/>
    </w:pPr>
    <w:rPr>
      <w:rFonts w:ascii="Times New Roman" w:hAnsi="Times New Roman"/>
      <w:sz w:val="24"/>
      <w:szCs w:val="24"/>
      <w:lang w:bidi="hi-IN"/>
    </w:rPr>
  </w:style>
  <w:style w:type="character" w:styleId="Strong">
    <w:name w:val="Strong"/>
    <w:basedOn w:val="DefaultParagraphFont"/>
    <w:uiPriority w:val="22"/>
    <w:qFormat/>
    <w:rsid w:val="006C18D0"/>
    <w:rPr>
      <w:b/>
      <w:bCs/>
    </w:rPr>
  </w:style>
  <w:style w:type="character" w:customStyle="1" w:styleId="Heading4Char">
    <w:name w:val="Heading 4 Char"/>
    <w:basedOn w:val="DefaultParagraphFont"/>
    <w:link w:val="Heading4"/>
    <w:uiPriority w:val="9"/>
    <w:rsid w:val="006C18D0"/>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6C18D0"/>
    <w:rPr>
      <w:rFonts w:asciiTheme="majorHAnsi" w:eastAsiaTheme="majorEastAsia" w:hAnsiTheme="majorHAnsi" w:cstheme="majorBidi"/>
      <w:color w:val="365F91" w:themeColor="accent1" w:themeShade="BF"/>
      <w:sz w:val="22"/>
      <w:szCs w:val="22"/>
    </w:rPr>
  </w:style>
  <w:style w:type="character" w:customStyle="1" w:styleId="Heading3Char">
    <w:name w:val="Heading 3 Char"/>
    <w:basedOn w:val="DefaultParagraphFont"/>
    <w:link w:val="Heading3"/>
    <w:semiHidden/>
    <w:rsid w:val="00AF61CF"/>
    <w:rPr>
      <w:rFonts w:asciiTheme="majorHAnsi" w:eastAsiaTheme="majorEastAsia" w:hAnsiTheme="majorHAnsi" w:cstheme="majorBidi"/>
      <w:color w:val="243F60" w:themeColor="accent1" w:themeShade="7F"/>
      <w:sz w:val="24"/>
      <w:szCs w:val="24"/>
    </w:rPr>
  </w:style>
  <w:style w:type="character" w:customStyle="1" w:styleId="ms-1">
    <w:name w:val="ms-1"/>
    <w:basedOn w:val="DefaultParagraphFont"/>
    <w:rsid w:val="00C92A16"/>
  </w:style>
  <w:style w:type="character" w:customStyle="1" w:styleId="max-w-15ch">
    <w:name w:val="max-w-[15ch]"/>
    <w:basedOn w:val="DefaultParagraphFont"/>
    <w:rsid w:val="00C92A16"/>
  </w:style>
  <w:style w:type="character" w:customStyle="1" w:styleId="Heading6Char">
    <w:name w:val="Heading 6 Char"/>
    <w:basedOn w:val="DefaultParagraphFont"/>
    <w:link w:val="Heading6"/>
    <w:semiHidden/>
    <w:rsid w:val="00C62D9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9909062">
      <w:bodyDiv w:val="1"/>
      <w:marLeft w:val="0"/>
      <w:marRight w:val="0"/>
      <w:marTop w:val="0"/>
      <w:marBottom w:val="0"/>
      <w:divBdr>
        <w:top w:val="none" w:sz="0" w:space="0" w:color="auto"/>
        <w:left w:val="none" w:sz="0" w:space="0" w:color="auto"/>
        <w:bottom w:val="none" w:sz="0" w:space="0" w:color="auto"/>
        <w:right w:val="none" w:sz="0" w:space="0" w:color="auto"/>
      </w:divBdr>
      <w:divsChild>
        <w:div w:id="1688215488">
          <w:marLeft w:val="0"/>
          <w:marRight w:val="0"/>
          <w:marTop w:val="0"/>
          <w:marBottom w:val="0"/>
          <w:divBdr>
            <w:top w:val="none" w:sz="0" w:space="0" w:color="auto"/>
            <w:left w:val="none" w:sz="0" w:space="0" w:color="auto"/>
            <w:bottom w:val="none" w:sz="0" w:space="0" w:color="auto"/>
            <w:right w:val="none" w:sz="0" w:space="0" w:color="auto"/>
          </w:divBdr>
          <w:divsChild>
            <w:div w:id="1933513355">
              <w:marLeft w:val="0"/>
              <w:marRight w:val="0"/>
              <w:marTop w:val="0"/>
              <w:marBottom w:val="0"/>
              <w:divBdr>
                <w:top w:val="none" w:sz="0" w:space="0" w:color="auto"/>
                <w:left w:val="none" w:sz="0" w:space="0" w:color="auto"/>
                <w:bottom w:val="none" w:sz="0" w:space="0" w:color="auto"/>
                <w:right w:val="none" w:sz="0" w:space="0" w:color="auto"/>
              </w:divBdr>
              <w:divsChild>
                <w:div w:id="1235361530">
                  <w:marLeft w:val="0"/>
                  <w:marRight w:val="0"/>
                  <w:marTop w:val="0"/>
                  <w:marBottom w:val="0"/>
                  <w:divBdr>
                    <w:top w:val="none" w:sz="0" w:space="0" w:color="auto"/>
                    <w:left w:val="none" w:sz="0" w:space="0" w:color="auto"/>
                    <w:bottom w:val="none" w:sz="0" w:space="0" w:color="auto"/>
                    <w:right w:val="none" w:sz="0" w:space="0" w:color="auto"/>
                  </w:divBdr>
                  <w:divsChild>
                    <w:div w:id="1481114496">
                      <w:marLeft w:val="0"/>
                      <w:marRight w:val="0"/>
                      <w:marTop w:val="0"/>
                      <w:marBottom w:val="0"/>
                      <w:divBdr>
                        <w:top w:val="none" w:sz="0" w:space="0" w:color="auto"/>
                        <w:left w:val="none" w:sz="0" w:space="0" w:color="auto"/>
                        <w:bottom w:val="none" w:sz="0" w:space="0" w:color="auto"/>
                        <w:right w:val="none" w:sz="0" w:space="0" w:color="auto"/>
                      </w:divBdr>
                      <w:divsChild>
                        <w:div w:id="163781896">
                          <w:marLeft w:val="0"/>
                          <w:marRight w:val="0"/>
                          <w:marTop w:val="0"/>
                          <w:marBottom w:val="0"/>
                          <w:divBdr>
                            <w:top w:val="none" w:sz="0" w:space="0" w:color="auto"/>
                            <w:left w:val="none" w:sz="0" w:space="0" w:color="auto"/>
                            <w:bottom w:val="none" w:sz="0" w:space="0" w:color="auto"/>
                            <w:right w:val="none" w:sz="0" w:space="0" w:color="auto"/>
                          </w:divBdr>
                          <w:divsChild>
                            <w:div w:id="201330572">
                              <w:marLeft w:val="0"/>
                              <w:marRight w:val="0"/>
                              <w:marTop w:val="0"/>
                              <w:marBottom w:val="0"/>
                              <w:divBdr>
                                <w:top w:val="none" w:sz="0" w:space="0" w:color="auto"/>
                                <w:left w:val="none" w:sz="0" w:space="0" w:color="auto"/>
                                <w:bottom w:val="none" w:sz="0" w:space="0" w:color="auto"/>
                                <w:right w:val="none" w:sz="0" w:space="0" w:color="auto"/>
                              </w:divBdr>
                              <w:divsChild>
                                <w:div w:id="1684018174">
                                  <w:marLeft w:val="0"/>
                                  <w:marRight w:val="0"/>
                                  <w:marTop w:val="0"/>
                                  <w:marBottom w:val="0"/>
                                  <w:divBdr>
                                    <w:top w:val="none" w:sz="0" w:space="0" w:color="auto"/>
                                    <w:left w:val="none" w:sz="0" w:space="0" w:color="auto"/>
                                    <w:bottom w:val="none" w:sz="0" w:space="0" w:color="auto"/>
                                    <w:right w:val="none" w:sz="0" w:space="0" w:color="auto"/>
                                  </w:divBdr>
                                  <w:divsChild>
                                    <w:div w:id="701321815">
                                      <w:marLeft w:val="0"/>
                                      <w:marRight w:val="0"/>
                                      <w:marTop w:val="0"/>
                                      <w:marBottom w:val="0"/>
                                      <w:divBdr>
                                        <w:top w:val="none" w:sz="0" w:space="0" w:color="auto"/>
                                        <w:left w:val="none" w:sz="0" w:space="0" w:color="auto"/>
                                        <w:bottom w:val="none" w:sz="0" w:space="0" w:color="auto"/>
                                        <w:right w:val="none" w:sz="0" w:space="0" w:color="auto"/>
                                      </w:divBdr>
                                      <w:divsChild>
                                        <w:div w:id="1286229892">
                                          <w:marLeft w:val="0"/>
                                          <w:marRight w:val="0"/>
                                          <w:marTop w:val="0"/>
                                          <w:marBottom w:val="0"/>
                                          <w:divBdr>
                                            <w:top w:val="none" w:sz="0" w:space="0" w:color="auto"/>
                                            <w:left w:val="none" w:sz="0" w:space="0" w:color="auto"/>
                                            <w:bottom w:val="none" w:sz="0" w:space="0" w:color="auto"/>
                                            <w:right w:val="none" w:sz="0" w:space="0" w:color="auto"/>
                                          </w:divBdr>
                                          <w:divsChild>
                                            <w:div w:id="637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20210">
          <w:marLeft w:val="0"/>
          <w:marRight w:val="0"/>
          <w:marTop w:val="0"/>
          <w:marBottom w:val="0"/>
          <w:divBdr>
            <w:top w:val="none" w:sz="0" w:space="0" w:color="auto"/>
            <w:left w:val="none" w:sz="0" w:space="0" w:color="auto"/>
            <w:bottom w:val="none" w:sz="0" w:space="0" w:color="auto"/>
            <w:right w:val="none" w:sz="0" w:space="0" w:color="auto"/>
          </w:divBdr>
          <w:divsChild>
            <w:div w:id="364796167">
              <w:marLeft w:val="0"/>
              <w:marRight w:val="0"/>
              <w:marTop w:val="0"/>
              <w:marBottom w:val="0"/>
              <w:divBdr>
                <w:top w:val="none" w:sz="0" w:space="0" w:color="auto"/>
                <w:left w:val="none" w:sz="0" w:space="0" w:color="auto"/>
                <w:bottom w:val="none" w:sz="0" w:space="0" w:color="auto"/>
                <w:right w:val="none" w:sz="0" w:space="0" w:color="auto"/>
              </w:divBdr>
              <w:divsChild>
                <w:div w:id="91974073">
                  <w:marLeft w:val="0"/>
                  <w:marRight w:val="0"/>
                  <w:marTop w:val="0"/>
                  <w:marBottom w:val="0"/>
                  <w:divBdr>
                    <w:top w:val="none" w:sz="0" w:space="0" w:color="auto"/>
                    <w:left w:val="none" w:sz="0" w:space="0" w:color="auto"/>
                    <w:bottom w:val="none" w:sz="0" w:space="0" w:color="auto"/>
                    <w:right w:val="none" w:sz="0" w:space="0" w:color="auto"/>
                  </w:divBdr>
                  <w:divsChild>
                    <w:div w:id="1058357286">
                      <w:marLeft w:val="0"/>
                      <w:marRight w:val="0"/>
                      <w:marTop w:val="0"/>
                      <w:marBottom w:val="0"/>
                      <w:divBdr>
                        <w:top w:val="none" w:sz="0" w:space="0" w:color="auto"/>
                        <w:left w:val="none" w:sz="0" w:space="0" w:color="auto"/>
                        <w:bottom w:val="none" w:sz="0" w:space="0" w:color="auto"/>
                        <w:right w:val="none" w:sz="0" w:space="0" w:color="auto"/>
                      </w:divBdr>
                      <w:divsChild>
                        <w:div w:id="1368288348">
                          <w:marLeft w:val="0"/>
                          <w:marRight w:val="0"/>
                          <w:marTop w:val="0"/>
                          <w:marBottom w:val="0"/>
                          <w:divBdr>
                            <w:top w:val="none" w:sz="0" w:space="0" w:color="auto"/>
                            <w:left w:val="none" w:sz="0" w:space="0" w:color="auto"/>
                            <w:bottom w:val="none" w:sz="0" w:space="0" w:color="auto"/>
                            <w:right w:val="none" w:sz="0" w:space="0" w:color="auto"/>
                          </w:divBdr>
                          <w:divsChild>
                            <w:div w:id="634141489">
                              <w:marLeft w:val="0"/>
                              <w:marRight w:val="0"/>
                              <w:marTop w:val="0"/>
                              <w:marBottom w:val="0"/>
                              <w:divBdr>
                                <w:top w:val="none" w:sz="0" w:space="0" w:color="auto"/>
                                <w:left w:val="none" w:sz="0" w:space="0" w:color="auto"/>
                                <w:bottom w:val="none" w:sz="0" w:space="0" w:color="auto"/>
                                <w:right w:val="none" w:sz="0" w:space="0" w:color="auto"/>
                              </w:divBdr>
                              <w:divsChild>
                                <w:div w:id="675183639">
                                  <w:marLeft w:val="0"/>
                                  <w:marRight w:val="0"/>
                                  <w:marTop w:val="0"/>
                                  <w:marBottom w:val="0"/>
                                  <w:divBdr>
                                    <w:top w:val="none" w:sz="0" w:space="0" w:color="auto"/>
                                    <w:left w:val="none" w:sz="0" w:space="0" w:color="auto"/>
                                    <w:bottom w:val="none" w:sz="0" w:space="0" w:color="auto"/>
                                    <w:right w:val="none" w:sz="0" w:space="0" w:color="auto"/>
                                  </w:divBdr>
                                  <w:divsChild>
                                    <w:div w:id="1453207840">
                                      <w:marLeft w:val="0"/>
                                      <w:marRight w:val="0"/>
                                      <w:marTop w:val="0"/>
                                      <w:marBottom w:val="0"/>
                                      <w:divBdr>
                                        <w:top w:val="none" w:sz="0" w:space="0" w:color="auto"/>
                                        <w:left w:val="none" w:sz="0" w:space="0" w:color="auto"/>
                                        <w:bottom w:val="none" w:sz="0" w:space="0" w:color="auto"/>
                                        <w:right w:val="none" w:sz="0" w:space="0" w:color="auto"/>
                                      </w:divBdr>
                                      <w:divsChild>
                                        <w:div w:id="700547013">
                                          <w:marLeft w:val="0"/>
                                          <w:marRight w:val="0"/>
                                          <w:marTop w:val="0"/>
                                          <w:marBottom w:val="0"/>
                                          <w:divBdr>
                                            <w:top w:val="none" w:sz="0" w:space="0" w:color="auto"/>
                                            <w:left w:val="none" w:sz="0" w:space="0" w:color="auto"/>
                                            <w:bottom w:val="none" w:sz="0" w:space="0" w:color="auto"/>
                                            <w:right w:val="none" w:sz="0" w:space="0" w:color="auto"/>
                                          </w:divBdr>
                                          <w:divsChild>
                                            <w:div w:id="1795051236">
                                              <w:marLeft w:val="0"/>
                                              <w:marRight w:val="0"/>
                                              <w:marTop w:val="0"/>
                                              <w:marBottom w:val="0"/>
                                              <w:divBdr>
                                                <w:top w:val="none" w:sz="0" w:space="0" w:color="auto"/>
                                                <w:left w:val="none" w:sz="0" w:space="0" w:color="auto"/>
                                                <w:bottom w:val="none" w:sz="0" w:space="0" w:color="auto"/>
                                                <w:right w:val="none" w:sz="0" w:space="0" w:color="auto"/>
                                              </w:divBdr>
                                              <w:divsChild>
                                                <w:div w:id="1335450586">
                                                  <w:marLeft w:val="0"/>
                                                  <w:marRight w:val="0"/>
                                                  <w:marTop w:val="0"/>
                                                  <w:marBottom w:val="0"/>
                                                  <w:divBdr>
                                                    <w:top w:val="none" w:sz="0" w:space="0" w:color="auto"/>
                                                    <w:left w:val="none" w:sz="0" w:space="0" w:color="auto"/>
                                                    <w:bottom w:val="none" w:sz="0" w:space="0" w:color="auto"/>
                                                    <w:right w:val="none" w:sz="0" w:space="0" w:color="auto"/>
                                                  </w:divBdr>
                                                  <w:divsChild>
                                                    <w:div w:id="1431195168">
                                                      <w:marLeft w:val="0"/>
                                                      <w:marRight w:val="0"/>
                                                      <w:marTop w:val="0"/>
                                                      <w:marBottom w:val="0"/>
                                                      <w:divBdr>
                                                        <w:top w:val="none" w:sz="0" w:space="0" w:color="auto"/>
                                                        <w:left w:val="none" w:sz="0" w:space="0" w:color="auto"/>
                                                        <w:bottom w:val="none" w:sz="0" w:space="0" w:color="auto"/>
                                                        <w:right w:val="none" w:sz="0" w:space="0" w:color="auto"/>
                                                      </w:divBdr>
                                                      <w:divsChild>
                                                        <w:div w:id="1643149806">
                                                          <w:marLeft w:val="0"/>
                                                          <w:marRight w:val="0"/>
                                                          <w:marTop w:val="0"/>
                                                          <w:marBottom w:val="0"/>
                                                          <w:divBdr>
                                                            <w:top w:val="none" w:sz="0" w:space="0" w:color="auto"/>
                                                            <w:left w:val="none" w:sz="0" w:space="0" w:color="auto"/>
                                                            <w:bottom w:val="none" w:sz="0" w:space="0" w:color="auto"/>
                                                            <w:right w:val="none" w:sz="0" w:space="0" w:color="auto"/>
                                                          </w:divBdr>
                                                          <w:divsChild>
                                                            <w:div w:id="1749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6192042">
      <w:bodyDiv w:val="1"/>
      <w:marLeft w:val="0"/>
      <w:marRight w:val="0"/>
      <w:marTop w:val="0"/>
      <w:marBottom w:val="0"/>
      <w:divBdr>
        <w:top w:val="none" w:sz="0" w:space="0" w:color="auto"/>
        <w:left w:val="none" w:sz="0" w:space="0" w:color="auto"/>
        <w:bottom w:val="none" w:sz="0" w:space="0" w:color="auto"/>
        <w:right w:val="none" w:sz="0" w:space="0" w:color="auto"/>
      </w:divBdr>
    </w:div>
    <w:div w:id="21026645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168076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359089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13695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1044267">
      <w:bodyDiv w:val="1"/>
      <w:marLeft w:val="0"/>
      <w:marRight w:val="0"/>
      <w:marTop w:val="0"/>
      <w:marBottom w:val="0"/>
      <w:divBdr>
        <w:top w:val="none" w:sz="0" w:space="0" w:color="auto"/>
        <w:left w:val="none" w:sz="0" w:space="0" w:color="auto"/>
        <w:bottom w:val="none" w:sz="0" w:space="0" w:color="auto"/>
        <w:right w:val="none" w:sz="0" w:space="0" w:color="auto"/>
      </w:divBdr>
    </w:div>
    <w:div w:id="1343388478">
      <w:bodyDiv w:val="1"/>
      <w:marLeft w:val="0"/>
      <w:marRight w:val="0"/>
      <w:marTop w:val="0"/>
      <w:marBottom w:val="0"/>
      <w:divBdr>
        <w:top w:val="none" w:sz="0" w:space="0" w:color="auto"/>
        <w:left w:val="none" w:sz="0" w:space="0" w:color="auto"/>
        <w:bottom w:val="none" w:sz="0" w:space="0" w:color="auto"/>
        <w:right w:val="none" w:sz="0" w:space="0" w:color="auto"/>
      </w:divBdr>
    </w:div>
    <w:div w:id="1463160320">
      <w:bodyDiv w:val="1"/>
      <w:marLeft w:val="0"/>
      <w:marRight w:val="0"/>
      <w:marTop w:val="0"/>
      <w:marBottom w:val="0"/>
      <w:divBdr>
        <w:top w:val="none" w:sz="0" w:space="0" w:color="auto"/>
        <w:left w:val="none" w:sz="0" w:space="0" w:color="auto"/>
        <w:bottom w:val="none" w:sz="0" w:space="0" w:color="auto"/>
        <w:right w:val="none" w:sz="0" w:space="0" w:color="auto"/>
      </w:divBdr>
      <w:divsChild>
        <w:div w:id="2146584099">
          <w:marLeft w:val="0"/>
          <w:marRight w:val="0"/>
          <w:marTop w:val="0"/>
          <w:marBottom w:val="0"/>
          <w:divBdr>
            <w:top w:val="none" w:sz="0" w:space="0" w:color="auto"/>
            <w:left w:val="none" w:sz="0" w:space="0" w:color="auto"/>
            <w:bottom w:val="none" w:sz="0" w:space="0" w:color="auto"/>
            <w:right w:val="none" w:sz="0" w:space="0" w:color="auto"/>
          </w:divBdr>
          <w:divsChild>
            <w:div w:id="12674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0624">
      <w:bodyDiv w:val="1"/>
      <w:marLeft w:val="0"/>
      <w:marRight w:val="0"/>
      <w:marTop w:val="0"/>
      <w:marBottom w:val="0"/>
      <w:divBdr>
        <w:top w:val="none" w:sz="0" w:space="0" w:color="auto"/>
        <w:left w:val="none" w:sz="0" w:space="0" w:color="auto"/>
        <w:bottom w:val="none" w:sz="0" w:space="0" w:color="auto"/>
        <w:right w:val="none" w:sz="0" w:space="0" w:color="auto"/>
      </w:divBdr>
      <w:divsChild>
        <w:div w:id="567153673">
          <w:marLeft w:val="0"/>
          <w:marRight w:val="0"/>
          <w:marTop w:val="0"/>
          <w:marBottom w:val="0"/>
          <w:divBdr>
            <w:top w:val="none" w:sz="0" w:space="0" w:color="auto"/>
            <w:left w:val="none" w:sz="0" w:space="0" w:color="auto"/>
            <w:bottom w:val="none" w:sz="0" w:space="0" w:color="auto"/>
            <w:right w:val="none" w:sz="0" w:space="0" w:color="auto"/>
          </w:divBdr>
          <w:divsChild>
            <w:div w:id="901018843">
              <w:marLeft w:val="0"/>
              <w:marRight w:val="0"/>
              <w:marTop w:val="0"/>
              <w:marBottom w:val="0"/>
              <w:divBdr>
                <w:top w:val="none" w:sz="0" w:space="0" w:color="auto"/>
                <w:left w:val="none" w:sz="0" w:space="0" w:color="auto"/>
                <w:bottom w:val="none" w:sz="0" w:space="0" w:color="auto"/>
                <w:right w:val="none" w:sz="0" w:space="0" w:color="auto"/>
              </w:divBdr>
              <w:divsChild>
                <w:div w:id="2144035571">
                  <w:marLeft w:val="0"/>
                  <w:marRight w:val="0"/>
                  <w:marTop w:val="0"/>
                  <w:marBottom w:val="0"/>
                  <w:divBdr>
                    <w:top w:val="none" w:sz="0" w:space="0" w:color="auto"/>
                    <w:left w:val="none" w:sz="0" w:space="0" w:color="auto"/>
                    <w:bottom w:val="none" w:sz="0" w:space="0" w:color="auto"/>
                    <w:right w:val="none" w:sz="0" w:space="0" w:color="auto"/>
                  </w:divBdr>
                  <w:divsChild>
                    <w:div w:id="1154302153">
                      <w:marLeft w:val="0"/>
                      <w:marRight w:val="0"/>
                      <w:marTop w:val="0"/>
                      <w:marBottom w:val="0"/>
                      <w:divBdr>
                        <w:top w:val="none" w:sz="0" w:space="0" w:color="auto"/>
                        <w:left w:val="none" w:sz="0" w:space="0" w:color="auto"/>
                        <w:bottom w:val="none" w:sz="0" w:space="0" w:color="auto"/>
                        <w:right w:val="none" w:sz="0" w:space="0" w:color="auto"/>
                      </w:divBdr>
                      <w:divsChild>
                        <w:div w:id="724989812">
                          <w:marLeft w:val="0"/>
                          <w:marRight w:val="0"/>
                          <w:marTop w:val="0"/>
                          <w:marBottom w:val="0"/>
                          <w:divBdr>
                            <w:top w:val="none" w:sz="0" w:space="0" w:color="auto"/>
                            <w:left w:val="none" w:sz="0" w:space="0" w:color="auto"/>
                            <w:bottom w:val="none" w:sz="0" w:space="0" w:color="auto"/>
                            <w:right w:val="none" w:sz="0" w:space="0" w:color="auto"/>
                          </w:divBdr>
                          <w:divsChild>
                            <w:div w:id="2001694322">
                              <w:marLeft w:val="0"/>
                              <w:marRight w:val="0"/>
                              <w:marTop w:val="0"/>
                              <w:marBottom w:val="0"/>
                              <w:divBdr>
                                <w:top w:val="none" w:sz="0" w:space="0" w:color="auto"/>
                                <w:left w:val="none" w:sz="0" w:space="0" w:color="auto"/>
                                <w:bottom w:val="none" w:sz="0" w:space="0" w:color="auto"/>
                                <w:right w:val="none" w:sz="0" w:space="0" w:color="auto"/>
                              </w:divBdr>
                              <w:divsChild>
                                <w:div w:id="48770395">
                                  <w:marLeft w:val="0"/>
                                  <w:marRight w:val="0"/>
                                  <w:marTop w:val="0"/>
                                  <w:marBottom w:val="0"/>
                                  <w:divBdr>
                                    <w:top w:val="none" w:sz="0" w:space="0" w:color="auto"/>
                                    <w:left w:val="none" w:sz="0" w:space="0" w:color="auto"/>
                                    <w:bottom w:val="none" w:sz="0" w:space="0" w:color="auto"/>
                                    <w:right w:val="none" w:sz="0" w:space="0" w:color="auto"/>
                                  </w:divBdr>
                                  <w:divsChild>
                                    <w:div w:id="7044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52334">
          <w:marLeft w:val="0"/>
          <w:marRight w:val="0"/>
          <w:marTop w:val="0"/>
          <w:marBottom w:val="0"/>
          <w:divBdr>
            <w:top w:val="none" w:sz="0" w:space="0" w:color="auto"/>
            <w:left w:val="none" w:sz="0" w:space="0" w:color="auto"/>
            <w:bottom w:val="none" w:sz="0" w:space="0" w:color="auto"/>
            <w:right w:val="none" w:sz="0" w:space="0" w:color="auto"/>
          </w:divBdr>
          <w:divsChild>
            <w:div w:id="2092965480">
              <w:marLeft w:val="0"/>
              <w:marRight w:val="0"/>
              <w:marTop w:val="0"/>
              <w:marBottom w:val="0"/>
              <w:divBdr>
                <w:top w:val="none" w:sz="0" w:space="0" w:color="auto"/>
                <w:left w:val="none" w:sz="0" w:space="0" w:color="auto"/>
                <w:bottom w:val="none" w:sz="0" w:space="0" w:color="auto"/>
                <w:right w:val="none" w:sz="0" w:space="0" w:color="auto"/>
              </w:divBdr>
              <w:divsChild>
                <w:div w:id="2127040670">
                  <w:marLeft w:val="0"/>
                  <w:marRight w:val="0"/>
                  <w:marTop w:val="0"/>
                  <w:marBottom w:val="0"/>
                  <w:divBdr>
                    <w:top w:val="none" w:sz="0" w:space="0" w:color="auto"/>
                    <w:left w:val="none" w:sz="0" w:space="0" w:color="auto"/>
                    <w:bottom w:val="none" w:sz="0" w:space="0" w:color="auto"/>
                    <w:right w:val="none" w:sz="0" w:space="0" w:color="auto"/>
                  </w:divBdr>
                  <w:divsChild>
                    <w:div w:id="1373309572">
                      <w:marLeft w:val="0"/>
                      <w:marRight w:val="0"/>
                      <w:marTop w:val="0"/>
                      <w:marBottom w:val="0"/>
                      <w:divBdr>
                        <w:top w:val="none" w:sz="0" w:space="0" w:color="auto"/>
                        <w:left w:val="none" w:sz="0" w:space="0" w:color="auto"/>
                        <w:bottom w:val="none" w:sz="0" w:space="0" w:color="auto"/>
                        <w:right w:val="none" w:sz="0" w:space="0" w:color="auto"/>
                      </w:divBdr>
                      <w:divsChild>
                        <w:div w:id="211963264">
                          <w:marLeft w:val="0"/>
                          <w:marRight w:val="0"/>
                          <w:marTop w:val="0"/>
                          <w:marBottom w:val="0"/>
                          <w:divBdr>
                            <w:top w:val="none" w:sz="0" w:space="0" w:color="auto"/>
                            <w:left w:val="none" w:sz="0" w:space="0" w:color="auto"/>
                            <w:bottom w:val="none" w:sz="0" w:space="0" w:color="auto"/>
                            <w:right w:val="none" w:sz="0" w:space="0" w:color="auto"/>
                          </w:divBdr>
                          <w:divsChild>
                            <w:div w:id="799953989">
                              <w:marLeft w:val="0"/>
                              <w:marRight w:val="0"/>
                              <w:marTop w:val="0"/>
                              <w:marBottom w:val="0"/>
                              <w:divBdr>
                                <w:top w:val="none" w:sz="0" w:space="0" w:color="auto"/>
                                <w:left w:val="none" w:sz="0" w:space="0" w:color="auto"/>
                                <w:bottom w:val="none" w:sz="0" w:space="0" w:color="auto"/>
                                <w:right w:val="none" w:sz="0" w:space="0" w:color="auto"/>
                              </w:divBdr>
                              <w:divsChild>
                                <w:div w:id="9257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607499">
          <w:marLeft w:val="0"/>
          <w:marRight w:val="0"/>
          <w:marTop w:val="0"/>
          <w:marBottom w:val="0"/>
          <w:divBdr>
            <w:top w:val="none" w:sz="0" w:space="0" w:color="auto"/>
            <w:left w:val="none" w:sz="0" w:space="0" w:color="auto"/>
            <w:bottom w:val="none" w:sz="0" w:space="0" w:color="auto"/>
            <w:right w:val="none" w:sz="0" w:space="0" w:color="auto"/>
          </w:divBdr>
          <w:divsChild>
            <w:div w:id="379480799">
              <w:marLeft w:val="0"/>
              <w:marRight w:val="0"/>
              <w:marTop w:val="0"/>
              <w:marBottom w:val="0"/>
              <w:divBdr>
                <w:top w:val="none" w:sz="0" w:space="0" w:color="auto"/>
                <w:left w:val="none" w:sz="0" w:space="0" w:color="auto"/>
                <w:bottom w:val="none" w:sz="0" w:space="0" w:color="auto"/>
                <w:right w:val="none" w:sz="0" w:space="0" w:color="auto"/>
              </w:divBdr>
              <w:divsChild>
                <w:div w:id="291324720">
                  <w:marLeft w:val="0"/>
                  <w:marRight w:val="0"/>
                  <w:marTop w:val="0"/>
                  <w:marBottom w:val="0"/>
                  <w:divBdr>
                    <w:top w:val="none" w:sz="0" w:space="0" w:color="auto"/>
                    <w:left w:val="none" w:sz="0" w:space="0" w:color="auto"/>
                    <w:bottom w:val="none" w:sz="0" w:space="0" w:color="auto"/>
                    <w:right w:val="none" w:sz="0" w:space="0" w:color="auto"/>
                  </w:divBdr>
                  <w:divsChild>
                    <w:div w:id="2146392593">
                      <w:marLeft w:val="0"/>
                      <w:marRight w:val="0"/>
                      <w:marTop w:val="0"/>
                      <w:marBottom w:val="0"/>
                      <w:divBdr>
                        <w:top w:val="none" w:sz="0" w:space="0" w:color="auto"/>
                        <w:left w:val="none" w:sz="0" w:space="0" w:color="auto"/>
                        <w:bottom w:val="none" w:sz="0" w:space="0" w:color="auto"/>
                        <w:right w:val="none" w:sz="0" w:space="0" w:color="auto"/>
                      </w:divBdr>
                      <w:divsChild>
                        <w:div w:id="2067219164">
                          <w:marLeft w:val="0"/>
                          <w:marRight w:val="0"/>
                          <w:marTop w:val="0"/>
                          <w:marBottom w:val="0"/>
                          <w:divBdr>
                            <w:top w:val="none" w:sz="0" w:space="0" w:color="auto"/>
                            <w:left w:val="none" w:sz="0" w:space="0" w:color="auto"/>
                            <w:bottom w:val="none" w:sz="0" w:space="0" w:color="auto"/>
                            <w:right w:val="none" w:sz="0" w:space="0" w:color="auto"/>
                          </w:divBdr>
                        </w:div>
                      </w:divsChild>
                    </w:div>
                    <w:div w:id="1248274505">
                      <w:marLeft w:val="0"/>
                      <w:marRight w:val="0"/>
                      <w:marTop w:val="0"/>
                      <w:marBottom w:val="0"/>
                      <w:divBdr>
                        <w:top w:val="none" w:sz="0" w:space="0" w:color="auto"/>
                        <w:left w:val="none" w:sz="0" w:space="0" w:color="auto"/>
                        <w:bottom w:val="none" w:sz="0" w:space="0" w:color="auto"/>
                        <w:right w:val="none" w:sz="0" w:space="0" w:color="auto"/>
                      </w:divBdr>
                      <w:divsChild>
                        <w:div w:id="537359380">
                          <w:marLeft w:val="0"/>
                          <w:marRight w:val="0"/>
                          <w:marTop w:val="0"/>
                          <w:marBottom w:val="0"/>
                          <w:divBdr>
                            <w:top w:val="none" w:sz="0" w:space="0" w:color="auto"/>
                            <w:left w:val="none" w:sz="0" w:space="0" w:color="auto"/>
                            <w:bottom w:val="none" w:sz="0" w:space="0" w:color="auto"/>
                            <w:right w:val="none" w:sz="0" w:space="0" w:color="auto"/>
                          </w:divBdr>
                          <w:divsChild>
                            <w:div w:id="20094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325570809" TargetMode="External"/><Relationship Id="rId18" Type="http://schemas.openxmlformats.org/officeDocument/2006/relationships/hyperlink" Target="https://www.journalijdr.com/impact-digital-payment-adoption-financial-inclusion-rural-indi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48175/ijarsct-1791" TargetMode="External"/><Relationship Id="rId7" Type="http://schemas.openxmlformats.org/officeDocument/2006/relationships/endnotes" Target="endnotes.xml"/><Relationship Id="rId12" Type="http://schemas.openxmlformats.org/officeDocument/2006/relationships/hyperlink" Target="https://doi.org/10.35629/5252-0704258268" TargetMode="External"/><Relationship Id="rId17" Type="http://schemas.openxmlformats.org/officeDocument/2006/relationships/hyperlink" Target="https://doi.org/10.33545/26648792.2025.v7.i1c.28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heliyon.2023.e22980" TargetMode="External"/><Relationship Id="rId20" Type="http://schemas.openxmlformats.org/officeDocument/2006/relationships/hyperlink" Target="https://acr-journal.com/article/transforming-indian-banking-a-study-of-digitalization-customer-experience-and-operational-efficiency-88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1728389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ijer.org/tijer/papers/TIJERD001001.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31674/book.2022sseg.0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ealthinformaticsjournal.com/index.php/IJMI/article/view/1851/1736"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CA2B5-2A1F-4248-BEC7-BE9AED1E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513</TotalTime>
  <Pages>17</Pages>
  <Words>5367</Words>
  <Characters>30594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35890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34</cp:revision>
  <cp:lastPrinted>2025-10-06T01:41:00Z</cp:lastPrinted>
  <dcterms:created xsi:type="dcterms:W3CDTF">2025-09-15T14:33:00Z</dcterms:created>
  <dcterms:modified xsi:type="dcterms:W3CDTF">2025-10-07T08:32:00Z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0960a408-3448-4d62-b555-389d5b8cb92b</vt:lpwstr>
  </property>
</Properties>
</file>