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5DEC" w14:textId="0D37C812" w:rsidR="000A2D05" w:rsidRPr="00753AE3" w:rsidRDefault="00000000">
      <w:pPr>
        <w:pStyle w:val="Heading1"/>
        <w:jc w:val="center"/>
        <w:rPr>
          <w:rFonts w:ascii="Times New Roman" w:hAnsi="Times New Roman"/>
          <w:color w:val="000000"/>
          <w:sz w:val="24"/>
          <w:szCs w:val="24"/>
        </w:rPr>
      </w:pPr>
      <w:r w:rsidRPr="00753AE3">
        <w:rPr>
          <w:rFonts w:ascii="Times New Roman" w:hAnsi="Times New Roman"/>
          <w:color w:val="000000"/>
          <w:sz w:val="24"/>
          <w:szCs w:val="24"/>
        </w:rPr>
        <w:t>Emerging Trends and Innovative Approaches in Periodontal Therapy</w:t>
      </w:r>
      <w:r w:rsidR="00402D52" w:rsidRPr="00753AE3">
        <w:rPr>
          <w:rFonts w:ascii="Times New Roman" w:hAnsi="Times New Roman"/>
          <w:color w:val="000000"/>
          <w:sz w:val="24"/>
          <w:szCs w:val="24"/>
        </w:rPr>
        <w:t xml:space="preserve"> -  </w:t>
      </w:r>
      <w:r w:rsidR="000D6AD7" w:rsidRPr="00753AE3">
        <w:rPr>
          <w:rFonts w:ascii="Times New Roman" w:hAnsi="Times New Roman"/>
          <w:color w:val="000000"/>
          <w:sz w:val="24"/>
          <w:szCs w:val="24"/>
        </w:rPr>
        <w:t xml:space="preserve"> </w:t>
      </w:r>
      <w:r w:rsidR="00402D52" w:rsidRPr="00753AE3">
        <w:rPr>
          <w:rFonts w:ascii="Times New Roman" w:hAnsi="Times New Roman"/>
          <w:color w:val="000000"/>
          <w:sz w:val="24"/>
          <w:szCs w:val="24"/>
        </w:rPr>
        <w:t xml:space="preserve">A Narrative Review </w:t>
      </w:r>
    </w:p>
    <w:p w14:paraId="77252A88" w14:textId="77777777" w:rsidR="000A2D05" w:rsidRPr="00753AE3" w:rsidRDefault="000A2D05">
      <w:pPr>
        <w:jc w:val="both"/>
        <w:rPr>
          <w:rFonts w:ascii="Times New Roman" w:hAnsi="Times New Roman"/>
          <w:b/>
          <w:color w:val="000000"/>
          <w:sz w:val="24"/>
          <w:szCs w:val="24"/>
        </w:rPr>
      </w:pPr>
    </w:p>
    <w:p w14:paraId="67DD90B9" w14:textId="77777777" w:rsidR="000A2D05" w:rsidRPr="00753AE3" w:rsidRDefault="00000000">
      <w:pPr>
        <w:jc w:val="both"/>
        <w:rPr>
          <w:rFonts w:ascii="Times New Roman" w:hAnsi="Times New Roman"/>
          <w:b/>
          <w:color w:val="000000"/>
          <w:sz w:val="24"/>
          <w:szCs w:val="24"/>
        </w:rPr>
      </w:pPr>
      <w:r w:rsidRPr="00753AE3">
        <w:rPr>
          <w:rFonts w:ascii="Times New Roman" w:hAnsi="Times New Roman"/>
          <w:b/>
          <w:color w:val="000000"/>
          <w:sz w:val="24"/>
          <w:szCs w:val="24"/>
        </w:rPr>
        <w:t>Abstract</w:t>
      </w:r>
    </w:p>
    <w:p w14:paraId="3A060A02" w14:textId="77777777" w:rsidR="000A2D05" w:rsidRPr="00753AE3" w:rsidRDefault="00000000">
      <w:pPr>
        <w:autoSpaceDE w:val="0"/>
        <w:autoSpaceDN w:val="0"/>
        <w:spacing w:before="1" w:line="271" w:lineRule="auto"/>
        <w:ind w:left="23" w:right="730" w:firstLine="697"/>
        <w:jc w:val="both"/>
        <w:rPr>
          <w:rFonts w:ascii="Times New Roman" w:hAnsi="Times New Roman"/>
          <w:sz w:val="24"/>
          <w:szCs w:val="24"/>
        </w:rPr>
      </w:pPr>
      <w:r w:rsidRPr="00753AE3">
        <w:rPr>
          <w:rFonts w:ascii="Times New Roman" w:eastAsia="Times New Roman" w:hAnsi="Times New Roman"/>
          <w:sz w:val="24"/>
          <w:szCs w:val="24"/>
          <w:lang w:eastAsia="en-US"/>
        </w:rPr>
        <w:t>In this modern era of dentistry especially Periodontics, utilizing the recent technologies especially in the form of digitalized approach has faded away the conventional approach. Optical Coherent Tomography (OCT), Ultrasonography (USG) and MRI are non ionizing radiations to detect furcation involvement, measure gingival height and crestal bone level, quantifies soft-tissue inflammation and periodontal bone loss. Incorporating fluorescent, metallic, magnetic and electrochemical nanoparticles in periodontal screening aids in optimum diagnosis along with delivering antibacterial effect in the dysbiotic environment. The success of regeneration in GBR depends on the lack of micro motion of the membrane placed which would result in stability of the blood clot promoting the formation of alveolar bone. The membrane fixation techniques have been highlighted in the literature of which a novel suture technique “Nasal Spine Suture' was advised since it is safe, effective and prevents displacement of the graft placed beneath the membrane. We the periodontists, should welcome these modern approaches without compromising the traditional modalities to deliver a personalized and successful periodontal care inorder to improve the quality of life of the individuals.</w:t>
      </w:r>
    </w:p>
    <w:p w14:paraId="14BAD1C9" w14:textId="77777777" w:rsidR="000A2D05" w:rsidRPr="00753AE3" w:rsidRDefault="00000000">
      <w:pPr>
        <w:jc w:val="both"/>
        <w:rPr>
          <w:rFonts w:ascii="Times New Roman" w:hAnsi="Times New Roman"/>
          <w:b/>
          <w:bCs/>
          <w:color w:val="000000"/>
          <w:sz w:val="24"/>
          <w:szCs w:val="24"/>
        </w:rPr>
      </w:pPr>
      <w:r w:rsidRPr="00753AE3">
        <w:rPr>
          <w:rFonts w:ascii="Times New Roman" w:hAnsi="Times New Roman"/>
          <w:b/>
          <w:bCs/>
          <w:color w:val="000000"/>
          <w:sz w:val="24"/>
          <w:szCs w:val="24"/>
        </w:rPr>
        <w:t xml:space="preserve">Keywords: </w:t>
      </w:r>
      <w:r w:rsidRPr="00753AE3">
        <w:rPr>
          <w:rFonts w:ascii="Times New Roman" w:eastAsia="Times New Roman" w:hAnsi="Times New Roman"/>
          <w:b/>
          <w:bCs/>
          <w:sz w:val="24"/>
          <w:szCs w:val="24"/>
          <w:lang w:eastAsia="en-US"/>
        </w:rPr>
        <w:t>Inflammatory disease, Periodontitis, Nasal Spine Suture, Optical Coherent Tomography</w:t>
      </w:r>
    </w:p>
    <w:p w14:paraId="5E0EC470" w14:textId="77777777" w:rsidR="000A2D05" w:rsidRPr="00753AE3" w:rsidRDefault="00000000">
      <w:pPr>
        <w:autoSpaceDE w:val="0"/>
        <w:autoSpaceDN w:val="0"/>
        <w:spacing w:before="156" w:line="240" w:lineRule="auto"/>
        <w:jc w:val="both"/>
        <w:rPr>
          <w:rFonts w:ascii="Times New Roman" w:hAnsi="Times New Roman"/>
          <w:sz w:val="24"/>
          <w:szCs w:val="24"/>
        </w:rPr>
      </w:pPr>
      <w:r w:rsidRPr="00753AE3">
        <w:rPr>
          <w:rFonts w:ascii="Times New Roman" w:eastAsia="Times New Roman" w:hAnsi="Times New Roman"/>
          <w:b/>
          <w:bCs/>
          <w:spacing w:val="-2"/>
          <w:sz w:val="24"/>
          <w:szCs w:val="24"/>
          <w:lang w:eastAsia="en-US"/>
        </w:rPr>
        <w:t>1. INTRODUCTION:</w:t>
      </w:r>
    </w:p>
    <w:p w14:paraId="7792F445" w14:textId="77777777" w:rsidR="000A2D05" w:rsidRPr="00753AE3" w:rsidRDefault="00000000">
      <w:pPr>
        <w:autoSpaceDE w:val="0"/>
        <w:autoSpaceDN w:val="0"/>
        <w:spacing w:before="26"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Periodontitis is an inflammatory disease which occurs as a result of host bacterial interaction resulting in attachment loss and bone loss affecting the quality of life of the individual. The, optimal diagnosis and treatment planning are essential for the management of </w:t>
      </w:r>
      <w:r w:rsidRPr="00753AE3">
        <w:rPr>
          <w:rFonts w:ascii="Times New Roman" w:eastAsia="Times New Roman" w:hAnsi="Times New Roman"/>
          <w:spacing w:val="-2"/>
          <w:sz w:val="24"/>
          <w:szCs w:val="24"/>
          <w:lang w:eastAsia="en-US"/>
        </w:rPr>
        <w:t>periodontitis.</w:t>
      </w:r>
    </w:p>
    <w:p w14:paraId="5BB1F75F" w14:textId="77777777" w:rsidR="000A2D05" w:rsidRPr="00753AE3" w:rsidRDefault="00000000">
      <w:pPr>
        <w:autoSpaceDE w:val="0"/>
        <w:autoSpaceDN w:val="0"/>
        <w:spacing w:before="1" w:line="271" w:lineRule="auto"/>
        <w:ind w:left="23" w:right="733" w:firstLine="420"/>
        <w:jc w:val="both"/>
        <w:rPr>
          <w:rFonts w:ascii="Times New Roman" w:eastAsia="Times New Roman" w:hAnsi="Times New Roman"/>
          <w:spacing w:val="-2"/>
          <w:sz w:val="24"/>
          <w:szCs w:val="24"/>
          <w:lang w:eastAsia="en-US"/>
        </w:rPr>
      </w:pPr>
      <w:r w:rsidRPr="00753AE3">
        <w:rPr>
          <w:rFonts w:ascii="Times New Roman" w:hAnsi="Times New Roman"/>
          <w:noProof/>
          <w:sz w:val="24"/>
          <w:szCs w:val="24"/>
        </w:rPr>
        <w:drawing>
          <wp:anchor distT="0" distB="0" distL="0" distR="0" simplePos="0" relativeHeight="3" behindDoc="1" locked="0" layoutInCell="1" allowOverlap="1" wp14:anchorId="2F70823A" wp14:editId="0A40BE18">
            <wp:simplePos x="0" y="0"/>
            <wp:positionH relativeFrom="page">
              <wp:posOffset>2899410</wp:posOffset>
            </wp:positionH>
            <wp:positionV relativeFrom="page">
              <wp:posOffset>8042910</wp:posOffset>
            </wp:positionV>
            <wp:extent cx="2104389" cy="1329690"/>
            <wp:effectExtent l="0" t="0" r="0" b="0"/>
            <wp:wrapTopAndBottom/>
            <wp:docPr id="102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7" cstate="print"/>
                    <a:srcRect/>
                    <a:stretch/>
                  </pic:blipFill>
                  <pic:spPr>
                    <a:xfrm>
                      <a:off x="0" y="0"/>
                      <a:ext cx="2104389" cy="1329690"/>
                    </a:xfrm>
                    <a:prstGeom prst="rect">
                      <a:avLst/>
                    </a:prstGeom>
                    <a:ln>
                      <a:noFill/>
                    </a:ln>
                  </pic:spPr>
                </pic:pic>
              </a:graphicData>
            </a:graphic>
            <wp14:sizeRelH relativeFrom="page">
              <wp14:pctWidth>0</wp14:pctWidth>
            </wp14:sizeRelH>
            <wp14:sizeRelV relativeFrom="page">
              <wp14:pctHeight>0</wp14:pctHeight>
            </wp14:sizeRelV>
          </wp:anchor>
        </w:drawing>
      </w:r>
      <w:r w:rsidRPr="00753AE3">
        <w:rPr>
          <w:rFonts w:ascii="Times New Roman" w:eastAsia="Times New Roman" w:hAnsi="Times New Roman"/>
          <w:sz w:val="24"/>
          <w:szCs w:val="24"/>
          <w:lang w:eastAsia="en-US"/>
        </w:rPr>
        <w:t xml:space="preserve">The field of periodontics has seen an exponential growth both in the diagnosis and management of periodontitis. The proper understanding and application of these recent advances in the field of periodontics is essential to provide the quality dental care to the patients. This review would highlight the recent advances in the diagnostic and therapeutic periodontology and can be the eye opener to the budding as well as the pioneered dentists / </w:t>
      </w:r>
      <w:r w:rsidRPr="00753AE3">
        <w:rPr>
          <w:rFonts w:ascii="Times New Roman" w:eastAsia="Times New Roman" w:hAnsi="Times New Roman"/>
          <w:spacing w:val="-2"/>
          <w:sz w:val="24"/>
          <w:szCs w:val="24"/>
          <w:lang w:eastAsia="en-US"/>
        </w:rPr>
        <w:t xml:space="preserve">periodontists. </w:t>
      </w:r>
    </w:p>
    <w:p w14:paraId="556BDE8A" w14:textId="77777777" w:rsidR="000A2D05" w:rsidRPr="00753AE3" w:rsidRDefault="000A2D05">
      <w:pPr>
        <w:autoSpaceDE w:val="0"/>
        <w:autoSpaceDN w:val="0"/>
        <w:spacing w:before="1" w:line="271" w:lineRule="auto"/>
        <w:ind w:left="23" w:right="733" w:firstLine="420"/>
        <w:jc w:val="both"/>
        <w:rPr>
          <w:rFonts w:ascii="Times New Roman" w:eastAsia="Times New Roman" w:hAnsi="Times New Roman"/>
          <w:spacing w:val="-2"/>
          <w:sz w:val="24"/>
          <w:szCs w:val="24"/>
          <w:lang w:eastAsia="en-US"/>
        </w:rPr>
      </w:pPr>
    </w:p>
    <w:p w14:paraId="2645249C" w14:textId="77777777" w:rsidR="000A2D05" w:rsidRPr="00753AE3" w:rsidRDefault="00000000">
      <w:pPr>
        <w:autoSpaceDE w:val="0"/>
        <w:autoSpaceDN w:val="0"/>
        <w:spacing w:before="1" w:line="271" w:lineRule="auto"/>
        <w:ind w:left="23" w:right="733" w:firstLine="420"/>
        <w:jc w:val="center"/>
        <w:rPr>
          <w:rFonts w:ascii="Times New Roman" w:eastAsia="Times New Roman" w:hAnsi="Times New Roman"/>
          <w:b/>
          <w:bCs/>
          <w:spacing w:val="-2"/>
          <w:sz w:val="24"/>
          <w:szCs w:val="24"/>
          <w:lang w:eastAsia="en-US"/>
        </w:rPr>
      </w:pPr>
      <w:r w:rsidRPr="00753AE3">
        <w:rPr>
          <w:rFonts w:ascii="Times New Roman" w:eastAsia="Times New Roman" w:hAnsi="Times New Roman"/>
          <w:b/>
          <w:bCs/>
          <w:sz w:val="24"/>
          <w:szCs w:val="24"/>
          <w:lang w:eastAsia="en-US"/>
        </w:rPr>
        <w:t xml:space="preserve">Fig 1: Programmed Cell Death </w:t>
      </w:r>
      <w:proofErr w:type="gramStart"/>
      <w:r w:rsidRPr="00753AE3">
        <w:rPr>
          <w:rFonts w:ascii="Times New Roman" w:eastAsia="Times New Roman" w:hAnsi="Times New Roman"/>
          <w:b/>
          <w:bCs/>
          <w:sz w:val="24"/>
          <w:szCs w:val="24"/>
          <w:lang w:eastAsia="en-US"/>
        </w:rPr>
        <w:t>In</w:t>
      </w:r>
      <w:proofErr w:type="gramEnd"/>
      <w:r w:rsidRPr="00753AE3">
        <w:rPr>
          <w:rFonts w:ascii="Times New Roman" w:eastAsia="Times New Roman" w:hAnsi="Times New Roman"/>
          <w:b/>
          <w:bCs/>
          <w:sz w:val="24"/>
          <w:szCs w:val="24"/>
          <w:lang w:eastAsia="en-US"/>
        </w:rPr>
        <w:t xml:space="preserve"> Periodontal </w:t>
      </w:r>
      <w:r w:rsidRPr="00753AE3">
        <w:rPr>
          <w:rFonts w:ascii="Times New Roman" w:eastAsia="Times New Roman" w:hAnsi="Times New Roman"/>
          <w:b/>
          <w:bCs/>
          <w:spacing w:val="-2"/>
          <w:sz w:val="24"/>
          <w:szCs w:val="24"/>
          <w:lang w:eastAsia="en-US"/>
        </w:rPr>
        <w:t>Pathogenesis</w:t>
      </w:r>
    </w:p>
    <w:p w14:paraId="459A2B4B" w14:textId="77777777" w:rsidR="000A2D05" w:rsidRPr="00753AE3" w:rsidRDefault="000A2D05">
      <w:pPr>
        <w:autoSpaceDE w:val="0"/>
        <w:autoSpaceDN w:val="0"/>
        <w:spacing w:before="1" w:line="271" w:lineRule="auto"/>
        <w:ind w:left="23" w:right="733" w:firstLine="420"/>
        <w:jc w:val="both"/>
        <w:rPr>
          <w:rFonts w:ascii="Times New Roman" w:hAnsi="Times New Roman"/>
          <w:sz w:val="24"/>
          <w:szCs w:val="24"/>
        </w:rPr>
      </w:pPr>
    </w:p>
    <w:p w14:paraId="467BC60B"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pacing w:val="-2"/>
          <w:sz w:val="24"/>
          <w:szCs w:val="24"/>
          <w:lang w:eastAsia="en-US"/>
        </w:rPr>
        <w:t>2. PERIODONTAL PATHOGENESIS:</w:t>
      </w:r>
    </w:p>
    <w:p w14:paraId="1569801F" w14:textId="77777777" w:rsidR="000A2D05" w:rsidRPr="00753AE3" w:rsidRDefault="00000000">
      <w:pPr>
        <w:tabs>
          <w:tab w:val="left" w:pos="740"/>
        </w:tabs>
        <w:autoSpaceDE w:val="0"/>
        <w:autoSpaceDN w:val="0"/>
        <w:spacing w:before="26"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2.1 Role of </w:t>
      </w:r>
      <w:r w:rsidRPr="00753AE3">
        <w:rPr>
          <w:rFonts w:ascii="Times New Roman" w:eastAsia="Times New Roman" w:hAnsi="Times New Roman"/>
          <w:spacing w:val="-2"/>
          <w:sz w:val="24"/>
          <w:szCs w:val="24"/>
          <w:lang w:eastAsia="en-US"/>
        </w:rPr>
        <w:t>Viruses:</w:t>
      </w:r>
    </w:p>
    <w:p w14:paraId="0B64DCDD" w14:textId="77777777" w:rsidR="000A2D05" w:rsidRPr="00753AE3" w:rsidRDefault="00000000">
      <w:pPr>
        <w:autoSpaceDE w:val="0"/>
        <w:autoSpaceDN w:val="0"/>
        <w:spacing w:before="36"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The synergistic interaction between bacteria and viruses such as cytomegalovirus or herpes virus plays a major role in the pathogenesis of juvenile / aggressive periodontitis. It </w:t>
      </w:r>
      <w:proofErr w:type="gramStart"/>
      <w:r w:rsidRPr="00753AE3">
        <w:rPr>
          <w:rFonts w:ascii="Times New Roman" w:eastAsia="Times New Roman" w:hAnsi="Times New Roman"/>
          <w:sz w:val="24"/>
          <w:szCs w:val="24"/>
          <w:lang w:eastAsia="en-US"/>
        </w:rPr>
        <w:t>alter</w:t>
      </w:r>
      <w:proofErr w:type="gramEnd"/>
      <w:r w:rsidRPr="00753AE3">
        <w:rPr>
          <w:rFonts w:ascii="Times New Roman" w:eastAsia="Times New Roman" w:hAnsi="Times New Roman"/>
          <w:sz w:val="24"/>
          <w:szCs w:val="24"/>
          <w:lang w:eastAsia="en-US"/>
        </w:rPr>
        <w:t xml:space="preserve"> host susceptibility, by suppressing protective response of macrophages, releases pro inflammatory cytokines, allowing the up growth of microorganisms leading to periodontal destruction in aburst likeepisodicpattern. Thus, systemic/ topical antiviral therapy may also be needed in the management of periodontitis (1).</w:t>
      </w:r>
    </w:p>
    <w:p w14:paraId="3779B538"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2.2 Programmed Cell </w:t>
      </w:r>
      <w:r w:rsidRPr="00753AE3">
        <w:rPr>
          <w:rFonts w:ascii="Times New Roman" w:eastAsia="Times New Roman" w:hAnsi="Times New Roman"/>
          <w:spacing w:val="-2"/>
          <w:sz w:val="24"/>
          <w:szCs w:val="24"/>
          <w:lang w:eastAsia="en-US"/>
        </w:rPr>
        <w:t>Death:</w:t>
      </w:r>
    </w:p>
    <w:p w14:paraId="532A0241" w14:textId="77777777" w:rsidR="000A2D05" w:rsidRPr="00753AE3" w:rsidRDefault="00000000">
      <w:pPr>
        <w:autoSpaceDE w:val="0"/>
        <w:autoSpaceDN w:val="0"/>
        <w:spacing w:before="36" w:line="271" w:lineRule="auto"/>
        <w:ind w:left="23" w:right="734" w:firstLine="540"/>
        <w:jc w:val="both"/>
        <w:rPr>
          <w:rFonts w:ascii="Times New Roman" w:hAnsi="Times New Roman"/>
          <w:sz w:val="24"/>
          <w:szCs w:val="24"/>
        </w:rPr>
      </w:pPr>
      <w:r w:rsidRPr="00753AE3">
        <w:rPr>
          <w:rFonts w:ascii="Times New Roman" w:eastAsia="Times New Roman" w:hAnsi="Times New Roman"/>
          <w:sz w:val="24"/>
          <w:szCs w:val="24"/>
          <w:lang w:eastAsia="en-US"/>
        </w:rPr>
        <w:t>Ferroptosis is a new unveil which is dependent upon iron concentration; occur due to oxidative imbalance in the intracellular environment mediating the generation of reactive oxygen species resulting in periodontal damage (2). Cuproptosis is as similar find related to ferroptosis which depends upon copper concentration. Thus, it acts as a bidirectional sword and channeled focus would result in proper diagnosis and aid in tailoring periodontal therapy.</w:t>
      </w:r>
    </w:p>
    <w:p w14:paraId="0DA55A72" w14:textId="77777777" w:rsidR="000A2D05" w:rsidRPr="00753AE3" w:rsidRDefault="00000000">
      <w:pPr>
        <w:autoSpaceDE w:val="0"/>
        <w:autoSpaceDN w:val="0"/>
        <w:spacing w:line="240" w:lineRule="auto"/>
        <w:ind w:left="116" w:right="828"/>
        <w:jc w:val="both"/>
        <w:rPr>
          <w:rFonts w:ascii="Times New Roman" w:hAnsi="Times New Roman"/>
          <w:sz w:val="24"/>
          <w:szCs w:val="24"/>
        </w:rPr>
      </w:pPr>
      <w:r w:rsidRPr="00753AE3">
        <w:rPr>
          <w:rFonts w:ascii="Times New Roman" w:eastAsia="Times New Roman" w:hAnsi="Times New Roman"/>
          <w:b/>
          <w:bCs/>
          <w:spacing w:val="-2"/>
          <w:sz w:val="24"/>
          <w:szCs w:val="24"/>
          <w:lang w:eastAsia="en-US"/>
        </w:rPr>
        <w:t>3. CLASSIFICATION OF PERIODONTITIS:</w:t>
      </w:r>
    </w:p>
    <w:p w14:paraId="1B8B914C" w14:textId="77777777" w:rsidR="000A2D05" w:rsidRPr="00753AE3" w:rsidRDefault="00000000">
      <w:pPr>
        <w:autoSpaceDE w:val="0"/>
        <w:autoSpaceDN w:val="0"/>
        <w:spacing w:line="271" w:lineRule="auto"/>
        <w:ind w:left="23" w:right="733" w:firstLine="360"/>
        <w:jc w:val="both"/>
        <w:rPr>
          <w:rFonts w:ascii="Times New Roman" w:hAnsi="Times New Roman"/>
          <w:sz w:val="24"/>
          <w:szCs w:val="24"/>
        </w:rPr>
      </w:pPr>
      <w:r w:rsidRPr="00753AE3">
        <w:rPr>
          <w:rFonts w:ascii="Times New Roman" w:eastAsia="Times New Roman" w:hAnsi="Times New Roman"/>
          <w:sz w:val="24"/>
          <w:szCs w:val="24"/>
          <w:lang w:eastAsia="en-US"/>
        </w:rPr>
        <w:t>Periodontitis is the major global health concern and management requires a classification with profound case definitions for optimal stratification of patients to aid in diagnosis and management which was given by AAP and EFP in 2018.</w:t>
      </w:r>
    </w:p>
    <w:p w14:paraId="5451C7D5" w14:textId="77777777" w:rsidR="000A2D05" w:rsidRPr="00753AE3" w:rsidRDefault="00000000">
      <w:pPr>
        <w:autoSpaceDE w:val="0"/>
        <w:autoSpaceDN w:val="0"/>
        <w:spacing w:line="271" w:lineRule="auto"/>
        <w:ind w:left="23" w:right="731" w:firstLine="360"/>
        <w:jc w:val="both"/>
        <w:rPr>
          <w:rFonts w:ascii="Times New Roman" w:hAnsi="Times New Roman"/>
          <w:sz w:val="24"/>
          <w:szCs w:val="24"/>
        </w:rPr>
      </w:pPr>
      <w:r w:rsidRPr="00753AE3">
        <w:rPr>
          <w:rFonts w:ascii="Times New Roman" w:eastAsia="Times New Roman" w:hAnsi="Times New Roman"/>
          <w:sz w:val="24"/>
          <w:szCs w:val="24"/>
          <w:lang w:eastAsia="en-US"/>
        </w:rPr>
        <w:t>West et al. found this classification as novel, improved tool compared to conventional systems, but it has limited diagnostic accuracy due to heterogenic factors, low prediction rate of tooth loss and its unclear role in epidemiological studies. Moreover, it has advised SPT for periodontitis patients every 3-12 months and applying this is difficult even in richest countries like Norway where 72% of population are periodontitis patients. Thus, the clinical application of this classification is still difficult and has to be re-evaluated. (3)</w:t>
      </w:r>
    </w:p>
    <w:p w14:paraId="606C0B32"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pacing w:val="-2"/>
          <w:sz w:val="24"/>
          <w:szCs w:val="24"/>
          <w:lang w:eastAsia="en-US"/>
        </w:rPr>
        <w:t>4. PERIODONTAL DIAGNOSIS:</w:t>
      </w:r>
    </w:p>
    <w:p w14:paraId="2BF66EAF" w14:textId="77777777" w:rsidR="000A2D05" w:rsidRPr="00753AE3" w:rsidRDefault="00000000">
      <w:pPr>
        <w:autoSpaceDE w:val="0"/>
        <w:autoSpaceDN w:val="0"/>
        <w:spacing w:before="26" w:line="271" w:lineRule="auto"/>
        <w:ind w:left="23" w:right="731" w:firstLine="360"/>
        <w:jc w:val="both"/>
        <w:rPr>
          <w:rFonts w:ascii="Times New Roman" w:hAnsi="Times New Roman"/>
          <w:sz w:val="24"/>
          <w:szCs w:val="24"/>
        </w:rPr>
      </w:pPr>
      <w:r w:rsidRPr="00753AE3">
        <w:rPr>
          <w:rFonts w:ascii="Times New Roman" w:eastAsia="Times New Roman" w:hAnsi="Times New Roman"/>
          <w:sz w:val="24"/>
          <w:szCs w:val="24"/>
          <w:lang w:eastAsia="en-US"/>
        </w:rPr>
        <w:t>The 20</w:t>
      </w:r>
      <w:r w:rsidRPr="00753AE3">
        <w:rPr>
          <w:rFonts w:ascii="Times New Roman" w:eastAsia="Times New Roman" w:hAnsi="Times New Roman"/>
          <w:sz w:val="24"/>
          <w:szCs w:val="24"/>
          <w:vertAlign w:val="superscript"/>
          <w:lang w:eastAsia="en-US"/>
        </w:rPr>
        <w:t xml:space="preserve">th </w:t>
      </w:r>
      <w:r w:rsidRPr="00753AE3">
        <w:rPr>
          <w:rFonts w:ascii="Times New Roman" w:eastAsia="Times New Roman" w:hAnsi="Times New Roman"/>
          <w:sz w:val="24"/>
          <w:szCs w:val="24"/>
          <w:lang w:eastAsia="en-US"/>
        </w:rPr>
        <w:t>Workshop by EFP, on “Periodontal diagnosis” found conventional periodontal probing as the standard reference method. Similarly, Stodle et al. compared the accuracy of manual probing vs pressure sensitive or electronic probes and found manual probes still remains the standard and no additional benefit from contemporary tools (4,5).</w:t>
      </w:r>
    </w:p>
    <w:p w14:paraId="2800EA2C"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4.1 Recent advances in </w:t>
      </w:r>
      <w:r w:rsidRPr="00753AE3">
        <w:rPr>
          <w:rFonts w:ascii="Times New Roman" w:eastAsia="Times New Roman" w:hAnsi="Times New Roman"/>
          <w:spacing w:val="-2"/>
          <w:sz w:val="24"/>
          <w:szCs w:val="24"/>
          <w:lang w:eastAsia="en-US"/>
        </w:rPr>
        <w:t>Imaging:</w:t>
      </w:r>
    </w:p>
    <w:p w14:paraId="46244F1C" w14:textId="77777777" w:rsidR="000A2D05" w:rsidRPr="00753AE3" w:rsidRDefault="00000000">
      <w:pPr>
        <w:autoSpaceDE w:val="0"/>
        <w:autoSpaceDN w:val="0"/>
        <w:spacing w:before="36" w:line="271" w:lineRule="auto"/>
        <w:ind w:left="23" w:right="731"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Optical Coherent Tomography (OCT), Ultrasonography (USG) and MRI are non-ionizing radiations to detect furcation involvement, measure gingival height and crestal bone level, quantifies soft-tissue inflammation and periodontal bone loss. </w:t>
      </w:r>
      <w:proofErr w:type="gramStart"/>
      <w:r w:rsidRPr="00753AE3">
        <w:rPr>
          <w:rFonts w:ascii="Times New Roman" w:eastAsia="Times New Roman" w:hAnsi="Times New Roman"/>
          <w:sz w:val="24"/>
          <w:szCs w:val="24"/>
          <w:lang w:eastAsia="en-US"/>
        </w:rPr>
        <w:t>However</w:t>
      </w:r>
      <w:proofErr w:type="gramEnd"/>
      <w:r w:rsidRPr="00753AE3">
        <w:rPr>
          <w:rFonts w:ascii="Times New Roman" w:eastAsia="Times New Roman" w:hAnsi="Times New Roman"/>
          <w:sz w:val="24"/>
          <w:szCs w:val="24"/>
          <w:lang w:eastAsia="en-US"/>
        </w:rPr>
        <w:t xml:space="preserve"> limitations such as poor penetration associated with OCT, cost factor of MRI and limited studies associated with periim plant bone loss has to be elucidated by future clinical trials to optimize periodontal </w:t>
      </w:r>
      <w:r w:rsidRPr="00753AE3">
        <w:rPr>
          <w:rFonts w:ascii="Times New Roman" w:eastAsia="Times New Roman" w:hAnsi="Times New Roman"/>
          <w:spacing w:val="-2"/>
          <w:sz w:val="24"/>
          <w:szCs w:val="24"/>
          <w:lang w:eastAsia="en-US"/>
        </w:rPr>
        <w:t>diagnosis.</w:t>
      </w:r>
    </w:p>
    <w:p w14:paraId="79FBB6B1" w14:textId="77777777" w:rsidR="000A2D05" w:rsidRPr="00753AE3" w:rsidRDefault="00000000">
      <w:pPr>
        <w:autoSpaceDE w:val="0"/>
        <w:autoSpaceDN w:val="0"/>
        <w:spacing w:before="2" w:line="271" w:lineRule="auto"/>
        <w:ind w:left="23" w:right="732" w:firstLine="420"/>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lastRenderedPageBreak/>
        <w:t>As periodontal pocket formation is a soft tissue condition, radiographic assessment was not possible in earlier days. Now with the incorporation of radio-opaque contrast agents, pockets can be assessed by imaging technologies. Biocompatible micro particle fillers and gold, silver nanoparticles Zno, Zirconia are commonly used along with CBCT (6)</w:t>
      </w:r>
    </w:p>
    <w:p w14:paraId="489C961E" w14:textId="77777777" w:rsidR="000A2D05" w:rsidRPr="00753AE3" w:rsidRDefault="00000000">
      <w:pPr>
        <w:autoSpaceDE w:val="0"/>
        <w:autoSpaceDN w:val="0"/>
        <w:spacing w:before="2"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t>OCT uses infrared light with 1325nm wavelength which show improved efficacy due to deeper penetration (7) Apart from pocket imaging, gingival thickness and biological width can also be evaluated.</w:t>
      </w:r>
    </w:p>
    <w:p w14:paraId="3A37D371" w14:textId="77777777" w:rsidR="000A2D05" w:rsidRPr="00753AE3" w:rsidRDefault="00000000">
      <w:pPr>
        <w:autoSpaceDE w:val="0"/>
        <w:autoSpaceDN w:val="0"/>
        <w:spacing w:line="271" w:lineRule="auto"/>
        <w:ind w:left="23" w:right="733" w:firstLine="420"/>
        <w:jc w:val="both"/>
        <w:rPr>
          <w:rFonts w:ascii="Times New Roman" w:hAnsi="Times New Roman"/>
          <w:sz w:val="24"/>
          <w:szCs w:val="24"/>
        </w:rPr>
      </w:pPr>
      <w:r w:rsidRPr="00753AE3">
        <w:rPr>
          <w:rFonts w:ascii="Times New Roman" w:eastAsia="Times New Roman" w:hAnsi="Times New Roman"/>
          <w:sz w:val="24"/>
          <w:szCs w:val="24"/>
          <w:lang w:eastAsia="en-US"/>
        </w:rPr>
        <w:t>Fiber optic endoscopes principle combined with capillaroscopy can assess the blood circulation in the periodontium providing pocket images (8)</w:t>
      </w:r>
    </w:p>
    <w:p w14:paraId="0AB76807" w14:textId="77777777" w:rsidR="000A2D05" w:rsidRPr="00753AE3" w:rsidRDefault="00000000">
      <w:pPr>
        <w:autoSpaceDE w:val="0"/>
        <w:autoSpaceDN w:val="0"/>
        <w:spacing w:before="1" w:line="271" w:lineRule="auto"/>
        <w:ind w:left="23" w:right="736" w:firstLine="420"/>
        <w:jc w:val="both"/>
        <w:rPr>
          <w:rFonts w:ascii="Times New Roman" w:hAnsi="Times New Roman"/>
          <w:sz w:val="24"/>
          <w:szCs w:val="24"/>
        </w:rPr>
      </w:pPr>
      <w:r w:rsidRPr="00753AE3">
        <w:rPr>
          <w:rFonts w:ascii="Times New Roman" w:eastAsia="Times New Roman" w:hAnsi="Times New Roman"/>
          <w:sz w:val="24"/>
          <w:szCs w:val="24"/>
          <w:lang w:eastAsia="en-US"/>
        </w:rPr>
        <w:t>Photoacoustic imaging is the combination of optical and ultrasonic imaging which show better resolution images due to deeper penetration and low scattering of ultrasonic waves. (8)</w:t>
      </w:r>
    </w:p>
    <w:p w14:paraId="391E7D14"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pacing w:val="-2"/>
          <w:sz w:val="24"/>
          <w:szCs w:val="24"/>
          <w:lang w:eastAsia="en-US"/>
        </w:rPr>
        <w:t>4.2 BIOSENSORS:</w:t>
      </w:r>
    </w:p>
    <w:p w14:paraId="61B14C5E" w14:textId="77777777" w:rsidR="000A2D05" w:rsidRPr="00753AE3" w:rsidRDefault="00000000">
      <w:pPr>
        <w:autoSpaceDE w:val="0"/>
        <w:autoSpaceDN w:val="0"/>
        <w:spacing w:before="36" w:line="271" w:lineRule="auto"/>
        <w:ind w:left="23" w:right="672" w:firstLine="420"/>
        <w:jc w:val="both"/>
        <w:rPr>
          <w:rFonts w:ascii="Times New Roman" w:hAnsi="Times New Roman"/>
          <w:sz w:val="24"/>
          <w:szCs w:val="24"/>
        </w:rPr>
      </w:pPr>
      <w:r w:rsidRPr="00753AE3">
        <w:rPr>
          <w:rFonts w:ascii="Times New Roman" w:eastAsia="Times New Roman" w:hAnsi="Times New Roman"/>
          <w:sz w:val="24"/>
          <w:szCs w:val="24"/>
          <w:lang w:eastAsia="en-US"/>
        </w:rPr>
        <w:t>Point of care testing is one of the simple, cost effective and chair side diagnostic methods. Predicting periodontitis using biosensors especially by integrating nanoparticles, is a new trend. (10)</w:t>
      </w:r>
    </w:p>
    <w:p w14:paraId="69CBA5C3"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4.2.1 Nanoparticle </w:t>
      </w:r>
      <w:r w:rsidRPr="00753AE3">
        <w:rPr>
          <w:rFonts w:ascii="Times New Roman" w:eastAsia="Times New Roman" w:hAnsi="Times New Roman"/>
          <w:spacing w:val="-2"/>
          <w:sz w:val="24"/>
          <w:szCs w:val="24"/>
          <w:lang w:eastAsia="en-US"/>
        </w:rPr>
        <w:t>Biosensors</w:t>
      </w:r>
      <w:r w:rsidRPr="00753AE3">
        <w:rPr>
          <w:rFonts w:ascii="Times New Roman" w:eastAsia="Times New Roman" w:hAnsi="Times New Roman"/>
          <w:b/>
          <w:bCs/>
          <w:spacing w:val="-2"/>
          <w:sz w:val="24"/>
          <w:szCs w:val="24"/>
          <w:lang w:eastAsia="en-US"/>
        </w:rPr>
        <w:t>:</w:t>
      </w:r>
    </w:p>
    <w:p w14:paraId="44A30E18" w14:textId="77777777" w:rsidR="000A2D05" w:rsidRPr="00753AE3" w:rsidRDefault="00000000">
      <w:pPr>
        <w:autoSpaceDE w:val="0"/>
        <w:autoSpaceDN w:val="0"/>
        <w:spacing w:before="36"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t>Incorporating fluorescent, metallic, magnetic and electrochemical nanoparticles in periodontal screening aids in optimum diagnosis along with delivering antibacterial effect in the dysbiotic environment (11) The ideal prerequisite is the need of immobilization methods to maintain bio receptor in its place (12).</w:t>
      </w:r>
    </w:p>
    <w:p w14:paraId="3E6089E8" w14:textId="77777777" w:rsidR="000A2D05" w:rsidRPr="00753AE3" w:rsidRDefault="00000000">
      <w:pPr>
        <w:autoSpaceDE w:val="0"/>
        <w:autoSpaceDN w:val="0"/>
        <w:spacing w:before="1" w:line="271" w:lineRule="auto"/>
        <w:ind w:left="23" w:right="736" w:firstLine="420"/>
        <w:jc w:val="both"/>
        <w:rPr>
          <w:rFonts w:ascii="Times New Roman" w:hAnsi="Times New Roman"/>
          <w:sz w:val="24"/>
          <w:szCs w:val="24"/>
        </w:rPr>
      </w:pPr>
      <w:r w:rsidRPr="00753AE3">
        <w:rPr>
          <w:rFonts w:ascii="Times New Roman" w:eastAsia="Times New Roman" w:hAnsi="Times New Roman"/>
          <w:sz w:val="24"/>
          <w:szCs w:val="24"/>
          <w:lang w:eastAsia="en-US"/>
        </w:rPr>
        <w:t>Virulence agents such as proteases (gingipains) are commonly detected by the Nano sensors. Researchers have found the limit of detection (LOD) for gingipains as 1ng/mLideal to detect periodontitis (13).</w:t>
      </w:r>
    </w:p>
    <w:p w14:paraId="1897654C" w14:textId="77777777" w:rsidR="000A2D05" w:rsidRPr="00753AE3" w:rsidRDefault="00000000">
      <w:pPr>
        <w:autoSpaceDE w:val="0"/>
        <w:autoSpaceDN w:val="0"/>
        <w:spacing w:line="271" w:lineRule="auto"/>
        <w:ind w:left="23" w:right="730" w:firstLine="540"/>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Apart from gingipains, human neutrophil elastase and cathepsin G are also gaining popularity which detects the proteolytic activity using protease probes. The LOD for human neutrophil elastase and cathepsin G are 1pg/mL and 100fg/mL respectively. (14)</w:t>
      </w:r>
    </w:p>
    <w:p w14:paraId="0315CA30" w14:textId="77777777" w:rsidR="000A2D05" w:rsidRPr="00753AE3" w:rsidRDefault="00000000">
      <w:pPr>
        <w:autoSpaceDE w:val="0"/>
        <w:autoSpaceDN w:val="0"/>
        <w:spacing w:before="1" w:line="271" w:lineRule="auto"/>
        <w:ind w:left="23" w:right="733" w:firstLine="420"/>
        <w:jc w:val="center"/>
        <w:rPr>
          <w:rFonts w:ascii="Times New Roman" w:eastAsia="Times New Roman" w:hAnsi="Times New Roman"/>
          <w:noProof/>
          <w:sz w:val="24"/>
          <w:szCs w:val="24"/>
          <w:lang w:eastAsia="en-US"/>
        </w:rPr>
      </w:pPr>
      <w:r w:rsidRPr="00753AE3">
        <w:rPr>
          <w:rFonts w:ascii="Times New Roman" w:eastAsia="Times New Roman" w:hAnsi="Times New Roman"/>
          <w:noProof/>
          <w:sz w:val="24"/>
          <w:szCs w:val="24"/>
          <w:lang w:eastAsia="en-US"/>
        </w:rPr>
        <w:drawing>
          <wp:inline distT="0" distB="0" distL="0" distR="0" wp14:anchorId="70C95C15" wp14:editId="77DE88C3">
            <wp:extent cx="3281680" cy="2103120"/>
            <wp:effectExtent l="0" t="0" r="0" b="0"/>
            <wp:docPr id="102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8" cstate="print"/>
                    <a:srcRect/>
                    <a:stretch/>
                  </pic:blipFill>
                  <pic:spPr>
                    <a:xfrm>
                      <a:off x="0" y="0"/>
                      <a:ext cx="3281680" cy="2103120"/>
                    </a:xfrm>
                    <a:prstGeom prst="rect">
                      <a:avLst/>
                    </a:prstGeom>
                    <a:ln>
                      <a:noFill/>
                    </a:ln>
                  </pic:spPr>
                </pic:pic>
              </a:graphicData>
            </a:graphic>
          </wp:inline>
        </w:drawing>
      </w:r>
    </w:p>
    <w:p w14:paraId="75FA420A" w14:textId="77777777" w:rsidR="000A2D05" w:rsidRPr="00753AE3" w:rsidRDefault="00000000">
      <w:pPr>
        <w:autoSpaceDE w:val="0"/>
        <w:autoSpaceDN w:val="0"/>
        <w:spacing w:before="1" w:line="271" w:lineRule="auto"/>
        <w:ind w:left="23" w:right="733" w:firstLine="420"/>
        <w:jc w:val="center"/>
        <w:rPr>
          <w:rFonts w:ascii="Times New Roman" w:eastAsia="Times New Roman" w:hAnsi="Times New Roman"/>
          <w:b/>
          <w:bCs/>
          <w:spacing w:val="-2"/>
          <w:sz w:val="24"/>
          <w:szCs w:val="24"/>
          <w:lang w:eastAsia="en-US"/>
        </w:rPr>
      </w:pPr>
      <w:r w:rsidRPr="00753AE3">
        <w:rPr>
          <w:rFonts w:ascii="Times New Roman" w:eastAsia="Times New Roman" w:hAnsi="Times New Roman"/>
          <w:b/>
          <w:bCs/>
          <w:sz w:val="24"/>
          <w:szCs w:val="24"/>
          <w:lang w:eastAsia="en-US"/>
        </w:rPr>
        <w:t>Fig 2: Nano Biosensors</w:t>
      </w:r>
    </w:p>
    <w:p w14:paraId="1CC47917"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pacing w:val="-2"/>
          <w:sz w:val="24"/>
          <w:szCs w:val="24"/>
          <w:lang w:eastAsia="en-US"/>
        </w:rPr>
        <w:lastRenderedPageBreak/>
        <w:t>4.2.2 SWATH:</w:t>
      </w:r>
    </w:p>
    <w:p w14:paraId="386630B6" w14:textId="77777777" w:rsidR="000A2D05" w:rsidRPr="00753AE3" w:rsidRDefault="00000000">
      <w:pPr>
        <w:autoSpaceDE w:val="0"/>
        <w:autoSpaceDN w:val="0"/>
        <w:spacing w:before="36" w:line="271" w:lineRule="auto"/>
        <w:ind w:left="23" w:right="729"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Sequential Window Acquisition of all Theoretical – Mass Spectra is a new biomarker analytic technique using saliva. 377 proteins were identified out of which 8 salivary biomarkers such as beta 2 microglobulin, lysozyme C, protein S100-A8, neutrophil defensin 1, resistin, plastin 2, MMP-9, keratin, type II cytoskeletal 1 are associated with periodontitis. </w:t>
      </w:r>
      <w:r w:rsidRPr="00753AE3">
        <w:rPr>
          <w:rFonts w:ascii="Times New Roman" w:eastAsia="Times New Roman" w:hAnsi="Times New Roman"/>
          <w:spacing w:val="-4"/>
          <w:sz w:val="24"/>
          <w:szCs w:val="24"/>
          <w:lang w:eastAsia="en-US"/>
        </w:rPr>
        <w:t>(15)</w:t>
      </w:r>
    </w:p>
    <w:p w14:paraId="4367894A" w14:textId="77777777" w:rsidR="000A2D05" w:rsidRPr="00753AE3" w:rsidRDefault="00000000">
      <w:pPr>
        <w:autoSpaceDE w:val="0"/>
        <w:autoSpaceDN w:val="0"/>
        <w:spacing w:before="1" w:line="271" w:lineRule="auto"/>
        <w:ind w:left="23" w:right="726" w:firstLine="420"/>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 xml:space="preserve">Even though many biomarkers are widely used in the early detection of periodontitis, following five host derived biomarkers such as MMP-8, HB, MIP-1Alpha, MIP-1 </w:t>
      </w:r>
      <w:proofErr w:type="gramStart"/>
      <w:r w:rsidRPr="00753AE3">
        <w:rPr>
          <w:rFonts w:ascii="Times New Roman" w:eastAsia="Times New Roman" w:hAnsi="Times New Roman"/>
          <w:sz w:val="24"/>
          <w:szCs w:val="24"/>
          <w:lang w:eastAsia="en-US"/>
        </w:rPr>
        <w:t>Gamma,Il</w:t>
      </w:r>
      <w:proofErr w:type="gramEnd"/>
      <w:r w:rsidRPr="00753AE3">
        <w:rPr>
          <w:rFonts w:ascii="Times New Roman" w:eastAsia="Times New Roman" w:hAnsi="Times New Roman"/>
          <w:sz w:val="24"/>
          <w:szCs w:val="24"/>
          <w:lang w:eastAsia="en-US"/>
        </w:rPr>
        <w:t>-Beta has been highlighted in meta-analysis (16). Rakic et al. found MMP-8 as commonly addressed bone marker in saliva and show improved accuracy compared to cytokine markers and MMP -8. (17).</w:t>
      </w:r>
    </w:p>
    <w:p w14:paraId="760AA72F" w14:textId="77777777" w:rsidR="000A2D05" w:rsidRPr="00753AE3" w:rsidRDefault="00000000">
      <w:pPr>
        <w:autoSpaceDE w:val="0"/>
        <w:autoSpaceDN w:val="0"/>
        <w:spacing w:before="1" w:line="271" w:lineRule="auto"/>
        <w:ind w:right="726"/>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 xml:space="preserve">4.2.3 Advantages of Nanoparticle Biosenosrs: </w:t>
      </w:r>
    </w:p>
    <w:p w14:paraId="11BCA4F9" w14:textId="77777777" w:rsidR="000A2D05" w:rsidRPr="00753AE3" w:rsidRDefault="00000000">
      <w:pPr>
        <w:numPr>
          <w:ilvl w:val="0"/>
          <w:numId w:val="1"/>
        </w:numPr>
        <w:autoSpaceDE w:val="0"/>
        <w:autoSpaceDN w:val="0"/>
        <w:spacing w:before="1" w:line="271" w:lineRule="auto"/>
        <w:ind w:right="726"/>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Lesser sample needed</w:t>
      </w:r>
    </w:p>
    <w:p w14:paraId="0D119158" w14:textId="77777777" w:rsidR="000A2D05" w:rsidRPr="00753AE3" w:rsidRDefault="00000000">
      <w:pPr>
        <w:numPr>
          <w:ilvl w:val="0"/>
          <w:numId w:val="1"/>
        </w:numPr>
        <w:autoSpaceDE w:val="0"/>
        <w:autoSpaceDN w:val="0"/>
        <w:spacing w:before="1" w:line="271" w:lineRule="auto"/>
        <w:ind w:right="726"/>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Lower limit of detection</w:t>
      </w:r>
    </w:p>
    <w:p w14:paraId="760188E0" w14:textId="77777777" w:rsidR="000A2D05" w:rsidRPr="00753AE3" w:rsidRDefault="00000000">
      <w:pPr>
        <w:numPr>
          <w:ilvl w:val="0"/>
          <w:numId w:val="1"/>
        </w:numPr>
        <w:autoSpaceDE w:val="0"/>
        <w:autoSpaceDN w:val="0"/>
        <w:spacing w:before="1" w:line="271" w:lineRule="auto"/>
        <w:ind w:right="726"/>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 xml:space="preserve">Stability </w:t>
      </w:r>
    </w:p>
    <w:p w14:paraId="33ECE426" w14:textId="77777777" w:rsidR="000A2D05" w:rsidRPr="00753AE3" w:rsidRDefault="00000000">
      <w:pPr>
        <w:numPr>
          <w:ilvl w:val="0"/>
          <w:numId w:val="1"/>
        </w:numPr>
        <w:autoSpaceDE w:val="0"/>
        <w:autoSpaceDN w:val="0"/>
        <w:spacing w:before="1" w:line="271" w:lineRule="auto"/>
        <w:ind w:right="726"/>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 xml:space="preserve">Biocompatibility </w:t>
      </w:r>
    </w:p>
    <w:p w14:paraId="21F95980" w14:textId="77777777" w:rsidR="000A2D05" w:rsidRPr="00753AE3" w:rsidRDefault="00000000">
      <w:pPr>
        <w:numPr>
          <w:ilvl w:val="0"/>
          <w:numId w:val="1"/>
        </w:numPr>
        <w:autoSpaceDE w:val="0"/>
        <w:autoSpaceDN w:val="0"/>
        <w:spacing w:before="1" w:line="271" w:lineRule="auto"/>
        <w:ind w:right="726"/>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 xml:space="preserve">Reproducibility </w:t>
      </w:r>
      <w:r w:rsidRPr="00753AE3">
        <w:rPr>
          <w:rFonts w:ascii="Times New Roman" w:eastAsia="Times New Roman" w:hAnsi="Times New Roman"/>
          <w:noProof/>
          <w:sz w:val="24"/>
          <w:szCs w:val="24"/>
          <w:lang w:eastAsia="en-US"/>
        </w:rPr>
        <w:t xml:space="preserve">                               </w:t>
      </w:r>
    </w:p>
    <w:p w14:paraId="75EB5937" w14:textId="77777777" w:rsidR="000A2D05" w:rsidRPr="00753AE3" w:rsidRDefault="00000000">
      <w:pPr>
        <w:autoSpaceDE w:val="0"/>
        <w:autoSpaceDN w:val="0"/>
        <w:spacing w:before="144" w:line="240" w:lineRule="auto"/>
        <w:jc w:val="center"/>
        <w:rPr>
          <w:rFonts w:ascii="Times New Roman" w:hAnsi="Times New Roman"/>
          <w:sz w:val="24"/>
          <w:szCs w:val="24"/>
        </w:rPr>
      </w:pPr>
      <w:r w:rsidRPr="00753AE3">
        <w:rPr>
          <w:rFonts w:ascii="Times New Roman" w:eastAsia="Times New Roman" w:hAnsi="Times New Roman"/>
          <w:noProof/>
          <w:sz w:val="24"/>
          <w:szCs w:val="24"/>
          <w:lang w:eastAsia="en-US"/>
        </w:rPr>
        <w:drawing>
          <wp:inline distT="0" distB="0" distL="0" distR="0" wp14:anchorId="2F3199DA" wp14:editId="1CE80129">
            <wp:extent cx="3616960" cy="2580640"/>
            <wp:effectExtent l="0" t="0" r="0" b="0"/>
            <wp:docPr id="102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9" cstate="print"/>
                    <a:srcRect/>
                    <a:stretch/>
                  </pic:blipFill>
                  <pic:spPr>
                    <a:xfrm>
                      <a:off x="0" y="0"/>
                      <a:ext cx="3616960" cy="2580640"/>
                    </a:xfrm>
                    <a:prstGeom prst="rect">
                      <a:avLst/>
                    </a:prstGeom>
                    <a:ln>
                      <a:noFill/>
                    </a:ln>
                  </pic:spPr>
                </pic:pic>
              </a:graphicData>
            </a:graphic>
          </wp:inline>
        </w:drawing>
      </w:r>
    </w:p>
    <w:p w14:paraId="60CA8B63" w14:textId="77777777" w:rsidR="000A2D05" w:rsidRPr="00753AE3" w:rsidRDefault="000A2D05">
      <w:pPr>
        <w:autoSpaceDE w:val="0"/>
        <w:autoSpaceDN w:val="0"/>
        <w:spacing w:line="240" w:lineRule="auto"/>
        <w:jc w:val="center"/>
        <w:rPr>
          <w:rFonts w:ascii="Times New Roman" w:hAnsi="Times New Roman"/>
          <w:sz w:val="24"/>
          <w:szCs w:val="24"/>
        </w:rPr>
      </w:pPr>
    </w:p>
    <w:p w14:paraId="55525145" w14:textId="77777777" w:rsidR="000A2D05" w:rsidRPr="00753AE3" w:rsidRDefault="00000000">
      <w:pPr>
        <w:autoSpaceDE w:val="0"/>
        <w:autoSpaceDN w:val="0"/>
        <w:spacing w:before="1" w:line="271" w:lineRule="auto"/>
        <w:ind w:left="23" w:right="733" w:firstLine="420"/>
        <w:jc w:val="center"/>
        <w:rPr>
          <w:rFonts w:ascii="Times New Roman" w:eastAsia="Times New Roman" w:hAnsi="Times New Roman"/>
          <w:b/>
          <w:bCs/>
          <w:spacing w:val="-2"/>
          <w:sz w:val="24"/>
          <w:szCs w:val="24"/>
          <w:lang w:eastAsia="en-US"/>
        </w:rPr>
      </w:pPr>
      <w:r w:rsidRPr="00753AE3">
        <w:rPr>
          <w:rFonts w:ascii="Times New Roman" w:eastAsia="Times New Roman" w:hAnsi="Times New Roman"/>
          <w:b/>
          <w:bCs/>
          <w:sz w:val="24"/>
          <w:szCs w:val="24"/>
          <w:lang w:eastAsia="en-US"/>
        </w:rPr>
        <w:t>Fig 3: Challenges Of Nano Biosensors</w:t>
      </w:r>
    </w:p>
    <w:p w14:paraId="5304649D" w14:textId="77777777" w:rsidR="000A2D05" w:rsidRPr="00753AE3" w:rsidRDefault="000A2D05">
      <w:pPr>
        <w:autoSpaceDE w:val="0"/>
        <w:autoSpaceDN w:val="0"/>
        <w:spacing w:before="31" w:line="240" w:lineRule="auto"/>
        <w:jc w:val="both"/>
        <w:rPr>
          <w:rFonts w:ascii="Times New Roman" w:hAnsi="Times New Roman"/>
          <w:sz w:val="24"/>
          <w:szCs w:val="24"/>
        </w:rPr>
      </w:pPr>
    </w:p>
    <w:p w14:paraId="6A94CAAD"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z w:val="24"/>
          <w:szCs w:val="24"/>
          <w:lang w:eastAsia="en-US"/>
        </w:rPr>
        <w:t xml:space="preserve">5. ROLE OF ARTIFICIAL </w:t>
      </w:r>
      <w:r w:rsidRPr="00753AE3">
        <w:rPr>
          <w:rFonts w:ascii="Times New Roman" w:eastAsia="Times New Roman" w:hAnsi="Times New Roman"/>
          <w:b/>
          <w:bCs/>
          <w:spacing w:val="-2"/>
          <w:sz w:val="24"/>
          <w:szCs w:val="24"/>
          <w:lang w:eastAsia="en-US"/>
        </w:rPr>
        <w:t>INTELLIGENCE:</w:t>
      </w:r>
    </w:p>
    <w:p w14:paraId="69304169"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5.1 Intraoral Photographs/ </w:t>
      </w:r>
      <w:r w:rsidRPr="00753AE3">
        <w:rPr>
          <w:rFonts w:ascii="Times New Roman" w:eastAsia="Times New Roman" w:hAnsi="Times New Roman"/>
          <w:spacing w:val="-2"/>
          <w:sz w:val="24"/>
          <w:szCs w:val="24"/>
          <w:lang w:eastAsia="en-US"/>
        </w:rPr>
        <w:t>Imaging:</w:t>
      </w:r>
    </w:p>
    <w:p w14:paraId="7B4A4EEE" w14:textId="77777777" w:rsidR="000A2D05" w:rsidRPr="00753AE3" w:rsidRDefault="00000000">
      <w:pPr>
        <w:autoSpaceDE w:val="0"/>
        <w:autoSpaceDN w:val="0"/>
        <w:spacing w:before="36" w:line="271" w:lineRule="auto"/>
        <w:ind w:left="23" w:right="733" w:firstLine="420"/>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 xml:space="preserve">It helps in biofilm detection, screening of automatic gingivitis, monitoring intervention in periodontitis patients, bone loss in periodontitis and also in surgical planning by providing </w:t>
      </w:r>
      <w:r w:rsidRPr="00753AE3">
        <w:rPr>
          <w:rFonts w:ascii="Times New Roman" w:eastAsia="Times New Roman" w:hAnsi="Times New Roman"/>
          <w:sz w:val="24"/>
          <w:szCs w:val="24"/>
          <w:lang w:eastAsia="en-US"/>
        </w:rPr>
        <w:lastRenderedPageBreak/>
        <w:t>segmentation of anatomical structures (18). Chiang et al stated that AI models showed high accuracy in detecting alveolar bone loss. However, there is no evidence in the literature related to the role of AI in detecting progressive bone loss in periodontitis. (19)</w:t>
      </w:r>
    </w:p>
    <w:p w14:paraId="6CC2EEFA" w14:textId="77777777" w:rsidR="000A2D05" w:rsidRPr="00753AE3" w:rsidRDefault="00000000">
      <w:pPr>
        <w:autoSpaceDE w:val="0"/>
        <w:autoSpaceDN w:val="0"/>
        <w:spacing w:line="271" w:lineRule="auto"/>
        <w:ind w:left="23" w:right="729"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Various models such as CNN, Faster R-CNN, U-Net Efficient Net b0 and Dense Net are commonly used in periodontal diagnosis of which R CNN possess high sensitivity score </w:t>
      </w:r>
      <w:r w:rsidRPr="00753AE3">
        <w:rPr>
          <w:rFonts w:ascii="Times New Roman" w:eastAsia="Times New Roman" w:hAnsi="Times New Roman"/>
          <w:spacing w:val="-5"/>
          <w:sz w:val="24"/>
          <w:szCs w:val="24"/>
          <w:lang w:eastAsia="en-US"/>
        </w:rPr>
        <w:t xml:space="preserve">of </w:t>
      </w:r>
      <w:r w:rsidRPr="00753AE3">
        <w:rPr>
          <w:rFonts w:ascii="Times New Roman" w:eastAsia="Times New Roman" w:hAnsi="Times New Roman"/>
          <w:sz w:val="24"/>
          <w:szCs w:val="24"/>
          <w:lang w:eastAsia="en-US"/>
        </w:rPr>
        <w:t xml:space="preserve">90. ViT Base model is used to classify bone loss in periodontitis using periapical radiographs. </w:t>
      </w:r>
      <w:r w:rsidRPr="00753AE3">
        <w:rPr>
          <w:rFonts w:ascii="Times New Roman" w:eastAsia="Times New Roman" w:hAnsi="Times New Roman"/>
          <w:spacing w:val="-4"/>
          <w:sz w:val="24"/>
          <w:szCs w:val="24"/>
          <w:lang w:eastAsia="en-US"/>
        </w:rPr>
        <w:t>(20)</w:t>
      </w:r>
    </w:p>
    <w:p w14:paraId="0D56EA07"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5.2 Cellular </w:t>
      </w:r>
      <w:r w:rsidRPr="00753AE3">
        <w:rPr>
          <w:rFonts w:ascii="Times New Roman" w:eastAsia="Times New Roman" w:hAnsi="Times New Roman"/>
          <w:spacing w:val="-2"/>
          <w:sz w:val="24"/>
          <w:szCs w:val="24"/>
          <w:lang w:eastAsia="en-US"/>
        </w:rPr>
        <w:t>Techniques:</w:t>
      </w:r>
    </w:p>
    <w:p w14:paraId="5A5CD619" w14:textId="77777777" w:rsidR="000A2D05" w:rsidRPr="00753AE3" w:rsidRDefault="00000000">
      <w:pPr>
        <w:autoSpaceDE w:val="0"/>
        <w:autoSpaceDN w:val="0"/>
        <w:spacing w:before="36" w:line="271" w:lineRule="auto"/>
        <w:ind w:left="23" w:right="731"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AI assisted cellular analysis of PMNs by segmentation and classification methods can be done using DNN methods non-invasively of which </w:t>
      </w:r>
      <w:r w:rsidRPr="00753AE3">
        <w:rPr>
          <w:rFonts w:ascii="Times New Roman" w:eastAsia="Times New Roman" w:hAnsi="Times New Roman"/>
          <w:i/>
          <w:iCs/>
          <w:sz w:val="24"/>
          <w:szCs w:val="24"/>
          <w:lang w:eastAsia="en-US"/>
        </w:rPr>
        <w:t xml:space="preserve">You look Only Once </w:t>
      </w:r>
      <w:r w:rsidRPr="00753AE3">
        <w:rPr>
          <w:rFonts w:ascii="Times New Roman" w:eastAsia="Times New Roman" w:hAnsi="Times New Roman"/>
          <w:sz w:val="24"/>
          <w:szCs w:val="24"/>
          <w:lang w:eastAsia="en-US"/>
        </w:rPr>
        <w:t>provides rapid and real time detection of periodontitis (21). A newer and advanced version of this is YOLOv7-M which was proposed by Ragab et al. It showed improved accuracy and precision in detecting the alveolar bone loss and to classify the patients from the panoramic images according to the severity of periodontitis. (22)</w:t>
      </w:r>
    </w:p>
    <w:p w14:paraId="368E68D4"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5.3 Risk </w:t>
      </w:r>
      <w:r w:rsidRPr="00753AE3">
        <w:rPr>
          <w:rFonts w:ascii="Times New Roman" w:eastAsia="Times New Roman" w:hAnsi="Times New Roman"/>
          <w:spacing w:val="-2"/>
          <w:sz w:val="24"/>
          <w:szCs w:val="24"/>
          <w:lang w:eastAsia="en-US"/>
        </w:rPr>
        <w:t>Assessment:</w:t>
      </w:r>
    </w:p>
    <w:p w14:paraId="10586E80" w14:textId="77777777" w:rsidR="000A2D05" w:rsidRPr="00753AE3" w:rsidRDefault="00000000">
      <w:pPr>
        <w:autoSpaceDE w:val="0"/>
        <w:autoSpaceDN w:val="0"/>
        <w:spacing w:before="36" w:line="271" w:lineRule="auto"/>
        <w:ind w:left="23" w:right="671"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Few software systems have been approved by the FDA such as Videa Perio Assist (VPA), Overjet Dental Assist etc. VPA&amp; Overjet Dental Assist measures bone levels associated with each tooth automatically, provides a highly sensitive and specificity compared to expert dentists. </w:t>
      </w:r>
      <w:r w:rsidRPr="00753AE3">
        <w:rPr>
          <w:rFonts w:ascii="Times New Roman" w:eastAsia="Times New Roman" w:hAnsi="Times New Roman"/>
          <w:spacing w:val="-2"/>
          <w:sz w:val="24"/>
          <w:szCs w:val="24"/>
          <w:lang w:eastAsia="en-US"/>
        </w:rPr>
        <w:t>(23,24) AI tools also assist in the prediction of severity of periodontitis (25) and helps to determine the potentially compromised or hopeless teeth indicated for extraction (26).</w:t>
      </w:r>
    </w:p>
    <w:p w14:paraId="2B93E40A" w14:textId="77777777" w:rsidR="000A2D05" w:rsidRPr="00753AE3" w:rsidRDefault="00000000">
      <w:pPr>
        <w:autoSpaceDE w:val="0"/>
        <w:autoSpaceDN w:val="0"/>
        <w:spacing w:before="36" w:line="271" w:lineRule="auto"/>
        <w:ind w:left="23" w:right="671"/>
        <w:jc w:val="both"/>
        <w:rPr>
          <w:rFonts w:ascii="Times New Roman" w:hAnsi="Times New Roman"/>
          <w:sz w:val="24"/>
          <w:szCs w:val="24"/>
          <w:u w:color="000000"/>
        </w:rPr>
      </w:pPr>
      <w:r w:rsidRPr="00753AE3">
        <w:rPr>
          <w:rFonts w:ascii="Times New Roman" w:hAnsi="Times New Roman"/>
          <w:sz w:val="24"/>
          <w:szCs w:val="24"/>
          <w:u w:color="000000"/>
        </w:rPr>
        <w:t>5.4 Dental Education:</w:t>
      </w:r>
    </w:p>
    <w:p w14:paraId="63A02EAB" w14:textId="77777777" w:rsidR="000A2D05" w:rsidRPr="00753AE3" w:rsidRDefault="00000000">
      <w:pPr>
        <w:autoSpaceDE w:val="0"/>
        <w:autoSpaceDN w:val="0"/>
        <w:spacing w:before="36" w:line="271" w:lineRule="auto"/>
        <w:ind w:left="23" w:right="671"/>
        <w:jc w:val="both"/>
        <w:rPr>
          <w:rFonts w:ascii="Times New Roman" w:eastAsia="Times New Roman" w:hAnsi="Times New Roman"/>
          <w:sz w:val="24"/>
          <w:szCs w:val="24"/>
          <w:u w:val="single"/>
          <w:lang w:eastAsia="en-US"/>
        </w:rPr>
      </w:pPr>
      <w:r w:rsidRPr="00753AE3">
        <w:rPr>
          <w:rFonts w:ascii="Times New Roman" w:hAnsi="Times New Roman"/>
          <w:sz w:val="24"/>
          <w:szCs w:val="24"/>
          <w:u w:color="000000"/>
        </w:rPr>
        <w:t>It also plays a major role in shaping the future of budding dentist who found difficulty the conventional methods of learning dentistry. The AI integrated contemporary learning models such as "Dentronic" was proposed by Grischke et al. It enhances the reliability and reproducibility and efficiency of learning dentistry by incorporating simulation methods such as bleeding, salivary flow, jaw and tongue movements. Thereby, it improves the skill as well as empathy of the future dentists. (27)</w:t>
      </w:r>
    </w:p>
    <w:p w14:paraId="132B4A90" w14:textId="77777777" w:rsidR="000A2D05" w:rsidRPr="00753AE3" w:rsidRDefault="00000000">
      <w:pPr>
        <w:autoSpaceDE w:val="0"/>
        <w:autoSpaceDN w:val="0"/>
        <w:spacing w:before="36" w:line="271" w:lineRule="auto"/>
        <w:ind w:left="23" w:right="671"/>
        <w:jc w:val="both"/>
        <w:rPr>
          <w:rFonts w:ascii="Times New Roman" w:hAnsi="Times New Roman"/>
          <w:sz w:val="24"/>
          <w:szCs w:val="24"/>
        </w:rPr>
      </w:pPr>
      <w:r w:rsidRPr="00753AE3">
        <w:rPr>
          <w:rFonts w:ascii="Times New Roman" w:eastAsia="Times New Roman" w:hAnsi="Times New Roman"/>
          <w:sz w:val="24"/>
          <w:szCs w:val="24"/>
          <w:lang w:eastAsia="en-US"/>
        </w:rPr>
        <w:t xml:space="preserve">5.5 Patient Education: Smart </w:t>
      </w:r>
      <w:r w:rsidRPr="00753AE3">
        <w:rPr>
          <w:rFonts w:ascii="Times New Roman" w:eastAsia="Times New Roman" w:hAnsi="Times New Roman"/>
          <w:spacing w:val="-2"/>
          <w:sz w:val="24"/>
          <w:szCs w:val="24"/>
          <w:lang w:eastAsia="en-US"/>
        </w:rPr>
        <w:t>Phones:</w:t>
      </w:r>
    </w:p>
    <w:p w14:paraId="7ED83420" w14:textId="77777777" w:rsidR="000A2D05" w:rsidRPr="00753AE3" w:rsidRDefault="00000000">
      <w:pPr>
        <w:autoSpaceDE w:val="0"/>
        <w:autoSpaceDN w:val="0"/>
        <w:spacing w:before="37" w:line="271" w:lineRule="auto"/>
        <w:ind w:left="23" w:right="733" w:firstLine="420"/>
        <w:jc w:val="both"/>
        <w:rPr>
          <w:rFonts w:ascii="Times New Roman" w:hAnsi="Times New Roman"/>
          <w:sz w:val="24"/>
          <w:szCs w:val="24"/>
        </w:rPr>
      </w:pPr>
      <w:r w:rsidRPr="00753AE3">
        <w:rPr>
          <w:rFonts w:ascii="Times New Roman" w:eastAsia="Times New Roman" w:hAnsi="Times New Roman"/>
          <w:sz w:val="24"/>
          <w:szCs w:val="24"/>
          <w:lang w:eastAsia="en-US"/>
        </w:rPr>
        <w:t>Patient can utilize AI-based apps in their smartphones to take images of their mouth after periodontal treatment to check their periodontal status periodically. It can also deliver reminders and steps to follow proper plaque control measures to maintainoral hygiene and to improve clinical outcomes (28). Shen KL (29) found AI assisted counselling along with human counselling showed improved treatment outcomes compared to control group after non-surgical periodontal therapy.</w:t>
      </w:r>
    </w:p>
    <w:p w14:paraId="4754AA35" w14:textId="77777777" w:rsidR="000A2D05" w:rsidRPr="00753AE3" w:rsidRDefault="00000000">
      <w:pPr>
        <w:autoSpaceDE w:val="0"/>
        <w:autoSpaceDN w:val="0"/>
        <w:spacing w:line="240" w:lineRule="auto"/>
        <w:ind w:right="828"/>
        <w:jc w:val="both"/>
        <w:rPr>
          <w:rFonts w:ascii="Times New Roman" w:hAnsi="Times New Roman"/>
          <w:sz w:val="24"/>
          <w:szCs w:val="24"/>
        </w:rPr>
      </w:pPr>
      <w:r w:rsidRPr="00753AE3">
        <w:rPr>
          <w:rFonts w:ascii="Times New Roman" w:eastAsia="Times New Roman" w:hAnsi="Times New Roman"/>
          <w:b/>
          <w:bCs/>
          <w:sz w:val="24"/>
          <w:szCs w:val="24"/>
          <w:lang w:eastAsia="en-US"/>
        </w:rPr>
        <w:t xml:space="preserve">6. EXOSOMES IN PERIODONTAL DIAGNOSIS AND </w:t>
      </w:r>
      <w:r w:rsidRPr="00753AE3">
        <w:rPr>
          <w:rFonts w:ascii="Times New Roman" w:eastAsia="Times New Roman" w:hAnsi="Times New Roman"/>
          <w:b/>
          <w:bCs/>
          <w:spacing w:val="-2"/>
          <w:sz w:val="24"/>
          <w:szCs w:val="24"/>
          <w:lang w:eastAsia="en-US"/>
        </w:rPr>
        <w:t>TREATMENT:</w:t>
      </w:r>
    </w:p>
    <w:p w14:paraId="16129364" w14:textId="77777777" w:rsidR="000A2D05" w:rsidRPr="00753AE3" w:rsidRDefault="00000000">
      <w:pPr>
        <w:autoSpaceDE w:val="0"/>
        <w:autoSpaceDN w:val="0"/>
        <w:spacing w:before="26" w:line="271" w:lineRule="auto"/>
        <w:ind w:left="23" w:right="734" w:firstLine="420"/>
        <w:jc w:val="both"/>
        <w:rPr>
          <w:rFonts w:ascii="Times New Roman" w:hAnsi="Times New Roman"/>
          <w:sz w:val="24"/>
          <w:szCs w:val="24"/>
        </w:rPr>
      </w:pPr>
      <w:r w:rsidRPr="00753AE3">
        <w:rPr>
          <w:rFonts w:ascii="Times New Roman" w:eastAsia="Times New Roman" w:hAnsi="Times New Roman"/>
          <w:sz w:val="24"/>
          <w:szCs w:val="24"/>
          <w:lang w:eastAsia="en-US"/>
        </w:rPr>
        <w:t>It contains micro RNAs (miRNAs) which are secreted by every cell and acts as a communication between cells and play a major role in periodontal diagnosis and treatment. Plasma derived miRNAs, snoRs and programmed death ligand 1 in saliva are commonly expressed in periodontitis patients. Similarly, CD81 and CD9 exosomes are found be low in periodontitis patients compared to periodontally healthy patients (30, 31).</w:t>
      </w:r>
    </w:p>
    <w:p w14:paraId="61AD1887" w14:textId="77777777" w:rsidR="000A2D05" w:rsidRPr="00753AE3" w:rsidRDefault="00000000">
      <w:pPr>
        <w:autoSpaceDE w:val="0"/>
        <w:autoSpaceDN w:val="0"/>
        <w:spacing w:before="1" w:line="271" w:lineRule="auto"/>
        <w:ind w:left="23" w:right="671" w:firstLine="420"/>
        <w:jc w:val="both"/>
        <w:rPr>
          <w:rFonts w:ascii="Times New Roman" w:hAnsi="Times New Roman"/>
          <w:sz w:val="24"/>
          <w:szCs w:val="24"/>
        </w:rPr>
      </w:pPr>
      <w:r w:rsidRPr="00753AE3">
        <w:rPr>
          <w:rFonts w:ascii="Times New Roman" w:eastAsia="Times New Roman" w:hAnsi="Times New Roman"/>
          <w:sz w:val="24"/>
          <w:szCs w:val="24"/>
          <w:lang w:eastAsia="en-US"/>
        </w:rPr>
        <w:lastRenderedPageBreak/>
        <w:t>Exosomes derived from mesenchymal stemcells can maintain the Th17/Treg cell balance, facilitate conversion of macrophages from proinflammatory phenotype to anti-inflammatory, reduce apoptosis and increase phagocytic action of neutrophils, promote osteogenic differentiation, regulate osteoclastogenesis. Thus, it can modulate the host inflammatory response by specifically targeting each cell providing a customized periodontal therapy (32,33,34). miR-1246, miR-1260 band miR-378a show promising results in animal models. This method of treatment is found to be novel, ethical, effective and provide excellent results in immune regulation.</w:t>
      </w:r>
    </w:p>
    <w:p w14:paraId="4892CB88"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z w:val="24"/>
          <w:szCs w:val="24"/>
          <w:u w:val="single"/>
          <w:lang w:eastAsia="en-US"/>
        </w:rPr>
        <w:t xml:space="preserve">6.1 Plant Derived </w:t>
      </w:r>
      <w:r w:rsidRPr="00753AE3">
        <w:rPr>
          <w:rFonts w:ascii="Times New Roman" w:eastAsia="Times New Roman" w:hAnsi="Times New Roman"/>
          <w:spacing w:val="-2"/>
          <w:sz w:val="24"/>
          <w:szCs w:val="24"/>
          <w:u w:val="single"/>
          <w:lang w:eastAsia="en-US"/>
        </w:rPr>
        <w:t>Exosomes:</w:t>
      </w:r>
    </w:p>
    <w:p w14:paraId="42970E1A" w14:textId="6D2A8D7C" w:rsidR="000A2D05" w:rsidRPr="00753AE3" w:rsidRDefault="00F10397">
      <w:pPr>
        <w:autoSpaceDE w:val="0"/>
        <w:autoSpaceDN w:val="0"/>
        <w:spacing w:before="36" w:line="271" w:lineRule="auto"/>
        <w:ind w:left="23" w:right="730" w:firstLine="420"/>
        <w:jc w:val="both"/>
        <w:rPr>
          <w:rFonts w:ascii="Times New Roman" w:eastAsia="Times New Roman" w:hAnsi="Times New Roman"/>
          <w:sz w:val="24"/>
          <w:szCs w:val="24"/>
          <w:lang w:eastAsia="en-US"/>
        </w:rPr>
      </w:pPr>
      <w:r w:rsidRPr="00753AE3">
        <w:rPr>
          <w:rFonts w:ascii="Times New Roman" w:hAnsi="Times New Roman"/>
          <w:noProof/>
          <w:sz w:val="24"/>
          <w:szCs w:val="24"/>
        </w:rPr>
        <w:drawing>
          <wp:anchor distT="0" distB="0" distL="0" distR="0" simplePos="0" relativeHeight="6" behindDoc="1" locked="0" layoutInCell="1" allowOverlap="1" wp14:anchorId="0B8147E2" wp14:editId="6CECB27E">
            <wp:simplePos x="0" y="0"/>
            <wp:positionH relativeFrom="page">
              <wp:posOffset>1871980</wp:posOffset>
            </wp:positionH>
            <wp:positionV relativeFrom="margin">
              <wp:align>center</wp:align>
            </wp:positionV>
            <wp:extent cx="3760468" cy="3017518"/>
            <wp:effectExtent l="0" t="0" r="0" b="0"/>
            <wp:wrapTopAndBottom/>
            <wp:docPr id="102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0" cstate="print"/>
                    <a:srcRect/>
                    <a:stretch/>
                  </pic:blipFill>
                  <pic:spPr>
                    <a:xfrm>
                      <a:off x="0" y="0"/>
                      <a:ext cx="3760468" cy="3017518"/>
                    </a:xfrm>
                    <a:prstGeom prst="rect">
                      <a:avLst/>
                    </a:prstGeom>
                    <a:ln>
                      <a:noFill/>
                    </a:ln>
                  </pic:spPr>
                </pic:pic>
              </a:graphicData>
            </a:graphic>
            <wp14:sizeRelH relativeFrom="margin">
              <wp14:pctWidth>0</wp14:pctWidth>
            </wp14:sizeRelH>
            <wp14:sizeRelV relativeFrom="margin">
              <wp14:pctHeight>0</wp14:pctHeight>
            </wp14:sizeRelV>
          </wp:anchor>
        </w:drawing>
      </w:r>
      <w:r w:rsidRPr="00753AE3">
        <w:rPr>
          <w:rFonts w:ascii="Times New Roman" w:eastAsia="Times New Roman" w:hAnsi="Times New Roman"/>
          <w:sz w:val="24"/>
          <w:szCs w:val="24"/>
          <w:lang w:eastAsia="en-US"/>
        </w:rPr>
        <w:t>Plant derived exosome like nanoparticles (PELN) were introduced by Halperin et el. in 1967. PELN derived from ginger, grapes, orange, cabbage, mulberry and blue berries possesses anti-inflammatory property, microbial modulation by inhibiting P. gingivalis and promoting the growth of probiotics (35), immunomodulatory and tissue regenerative properties by promoting osteogenesis and tissue angiogenesis (36).</w:t>
      </w:r>
    </w:p>
    <w:p w14:paraId="3804D24A" w14:textId="6222D3F7" w:rsidR="000A2D05" w:rsidRPr="00753AE3" w:rsidRDefault="000A2D05">
      <w:pPr>
        <w:autoSpaceDE w:val="0"/>
        <w:autoSpaceDN w:val="0"/>
        <w:spacing w:before="36" w:line="271" w:lineRule="auto"/>
        <w:ind w:left="23" w:right="730" w:firstLine="420"/>
        <w:jc w:val="both"/>
        <w:rPr>
          <w:rFonts w:ascii="Times New Roman" w:eastAsia="Times New Roman" w:hAnsi="Times New Roman"/>
          <w:sz w:val="24"/>
          <w:szCs w:val="24"/>
          <w:lang w:eastAsia="en-US"/>
        </w:rPr>
      </w:pPr>
    </w:p>
    <w:p w14:paraId="2C04285E" w14:textId="7443290C" w:rsidR="000A2D05" w:rsidRPr="00753AE3" w:rsidRDefault="00000000">
      <w:pPr>
        <w:autoSpaceDE w:val="0"/>
        <w:autoSpaceDN w:val="0"/>
        <w:spacing w:before="1" w:line="271" w:lineRule="auto"/>
        <w:ind w:left="23" w:right="733" w:firstLine="420"/>
        <w:jc w:val="center"/>
        <w:rPr>
          <w:rFonts w:ascii="Times New Roman" w:eastAsia="Times New Roman" w:hAnsi="Times New Roman"/>
          <w:b/>
          <w:bCs/>
          <w:spacing w:val="-2"/>
          <w:sz w:val="24"/>
          <w:szCs w:val="24"/>
          <w:lang w:eastAsia="en-US"/>
        </w:rPr>
      </w:pPr>
      <w:r w:rsidRPr="00753AE3">
        <w:rPr>
          <w:rFonts w:ascii="Times New Roman" w:eastAsia="Times New Roman" w:hAnsi="Times New Roman"/>
          <w:b/>
          <w:bCs/>
          <w:sz w:val="24"/>
          <w:szCs w:val="24"/>
          <w:lang w:eastAsia="en-US"/>
        </w:rPr>
        <w:t xml:space="preserve">Fig 4: Plant Derived Exosome Like Nanoparticles </w:t>
      </w:r>
      <w:proofErr w:type="gramStart"/>
      <w:r w:rsidRPr="00753AE3">
        <w:rPr>
          <w:rFonts w:ascii="Times New Roman" w:eastAsia="Times New Roman" w:hAnsi="Times New Roman"/>
          <w:b/>
          <w:bCs/>
          <w:sz w:val="24"/>
          <w:szCs w:val="24"/>
          <w:lang w:eastAsia="en-US"/>
        </w:rPr>
        <w:t>In</w:t>
      </w:r>
      <w:proofErr w:type="gramEnd"/>
      <w:r w:rsidRPr="00753AE3">
        <w:rPr>
          <w:rFonts w:ascii="Times New Roman" w:eastAsia="Times New Roman" w:hAnsi="Times New Roman"/>
          <w:b/>
          <w:bCs/>
          <w:sz w:val="24"/>
          <w:szCs w:val="24"/>
          <w:lang w:eastAsia="en-US"/>
        </w:rPr>
        <w:t xml:space="preserve"> </w:t>
      </w:r>
      <w:proofErr w:type="gramStart"/>
      <w:r w:rsidRPr="00753AE3">
        <w:rPr>
          <w:rFonts w:ascii="Times New Roman" w:eastAsia="Times New Roman" w:hAnsi="Times New Roman"/>
          <w:b/>
          <w:bCs/>
          <w:sz w:val="24"/>
          <w:szCs w:val="24"/>
          <w:lang w:eastAsia="en-US"/>
        </w:rPr>
        <w:t>The</w:t>
      </w:r>
      <w:proofErr w:type="gramEnd"/>
      <w:r w:rsidRPr="00753AE3">
        <w:rPr>
          <w:rFonts w:ascii="Times New Roman" w:eastAsia="Times New Roman" w:hAnsi="Times New Roman"/>
          <w:b/>
          <w:bCs/>
          <w:sz w:val="24"/>
          <w:szCs w:val="24"/>
          <w:lang w:eastAsia="en-US"/>
        </w:rPr>
        <w:t xml:space="preserve"> Management </w:t>
      </w:r>
      <w:proofErr w:type="gramStart"/>
      <w:r w:rsidRPr="00753AE3">
        <w:rPr>
          <w:rFonts w:ascii="Times New Roman" w:eastAsia="Times New Roman" w:hAnsi="Times New Roman"/>
          <w:b/>
          <w:bCs/>
          <w:sz w:val="24"/>
          <w:szCs w:val="24"/>
          <w:lang w:eastAsia="en-US"/>
        </w:rPr>
        <w:t>Of</w:t>
      </w:r>
      <w:proofErr w:type="gramEnd"/>
      <w:r w:rsidRPr="00753AE3">
        <w:rPr>
          <w:rFonts w:ascii="Times New Roman" w:eastAsia="Times New Roman" w:hAnsi="Times New Roman"/>
          <w:b/>
          <w:bCs/>
          <w:sz w:val="24"/>
          <w:szCs w:val="24"/>
          <w:lang w:eastAsia="en-US"/>
        </w:rPr>
        <w:t xml:space="preserve"> Periodontitis</w:t>
      </w:r>
    </w:p>
    <w:p w14:paraId="368D5C91" w14:textId="77777777" w:rsidR="000A2D05" w:rsidRPr="00753AE3" w:rsidRDefault="000A2D05">
      <w:pPr>
        <w:autoSpaceDE w:val="0"/>
        <w:autoSpaceDN w:val="0"/>
        <w:spacing w:before="36" w:line="271" w:lineRule="auto"/>
        <w:ind w:left="23" w:right="730" w:firstLine="420"/>
        <w:jc w:val="both"/>
        <w:rPr>
          <w:rFonts w:ascii="Times New Roman" w:hAnsi="Times New Roman"/>
          <w:sz w:val="24"/>
          <w:szCs w:val="24"/>
        </w:rPr>
      </w:pPr>
    </w:p>
    <w:p w14:paraId="6824E5EA" w14:textId="77777777" w:rsidR="000A2D05" w:rsidRPr="00753AE3" w:rsidRDefault="000A2D05">
      <w:pPr>
        <w:autoSpaceDE w:val="0"/>
        <w:autoSpaceDN w:val="0"/>
        <w:spacing w:before="36" w:line="271" w:lineRule="auto"/>
        <w:ind w:left="23" w:right="730" w:firstLine="420"/>
        <w:jc w:val="both"/>
        <w:rPr>
          <w:rFonts w:ascii="Times New Roman" w:hAnsi="Times New Roman"/>
          <w:sz w:val="24"/>
          <w:szCs w:val="24"/>
        </w:rPr>
      </w:pPr>
    </w:p>
    <w:p w14:paraId="6A952789" w14:textId="77777777" w:rsidR="000A2D05" w:rsidRPr="00753AE3" w:rsidRDefault="000A2D05">
      <w:pPr>
        <w:autoSpaceDE w:val="0"/>
        <w:autoSpaceDN w:val="0"/>
        <w:spacing w:before="36" w:line="271" w:lineRule="auto"/>
        <w:ind w:left="23" w:right="730" w:firstLine="420"/>
        <w:jc w:val="both"/>
        <w:rPr>
          <w:rFonts w:ascii="Times New Roman" w:hAnsi="Times New Roman"/>
          <w:sz w:val="24"/>
          <w:szCs w:val="24"/>
        </w:rPr>
      </w:pPr>
    </w:p>
    <w:p w14:paraId="771A9153" w14:textId="77777777" w:rsidR="000A2D05" w:rsidRPr="00753AE3" w:rsidRDefault="000A2D05">
      <w:pPr>
        <w:autoSpaceDE w:val="0"/>
        <w:autoSpaceDN w:val="0"/>
        <w:spacing w:before="36" w:line="271" w:lineRule="auto"/>
        <w:ind w:left="23" w:right="730" w:firstLine="420"/>
        <w:jc w:val="both"/>
        <w:rPr>
          <w:rFonts w:ascii="Times New Roman" w:hAnsi="Times New Roman"/>
          <w:sz w:val="24"/>
          <w:szCs w:val="24"/>
        </w:rPr>
      </w:pPr>
    </w:p>
    <w:p w14:paraId="51462632" w14:textId="77777777" w:rsidR="000A2D05" w:rsidRPr="00753AE3" w:rsidRDefault="000A2D05">
      <w:pPr>
        <w:autoSpaceDE w:val="0"/>
        <w:autoSpaceDN w:val="0"/>
        <w:spacing w:before="36" w:line="271" w:lineRule="auto"/>
        <w:ind w:right="730"/>
        <w:jc w:val="both"/>
        <w:rPr>
          <w:rFonts w:ascii="Times New Roman" w:hAnsi="Times New Roman"/>
          <w:sz w:val="24"/>
          <w:szCs w:val="24"/>
        </w:rPr>
      </w:pPr>
    </w:p>
    <w:p w14:paraId="0B342E8C" w14:textId="77777777" w:rsidR="000A2D05" w:rsidRPr="00753AE3" w:rsidRDefault="00000000">
      <w:pPr>
        <w:autoSpaceDE w:val="0"/>
        <w:autoSpaceDN w:val="0"/>
        <w:spacing w:before="1" w:line="271" w:lineRule="auto"/>
        <w:ind w:left="23" w:right="733" w:firstLine="420"/>
        <w:jc w:val="center"/>
        <w:rPr>
          <w:rFonts w:ascii="Times New Roman" w:eastAsia="Times New Roman" w:hAnsi="Times New Roman"/>
          <w:b/>
          <w:bCs/>
          <w:spacing w:val="-2"/>
          <w:sz w:val="24"/>
          <w:szCs w:val="24"/>
          <w:lang w:eastAsia="en-US"/>
        </w:rPr>
      </w:pPr>
      <w:r w:rsidRPr="00753AE3">
        <w:rPr>
          <w:rFonts w:ascii="Times New Roman" w:eastAsia="Times New Roman" w:hAnsi="Times New Roman"/>
          <w:b/>
          <w:bCs/>
          <w:sz w:val="24"/>
          <w:szCs w:val="24"/>
          <w:lang w:eastAsia="en-US"/>
        </w:rPr>
        <w:lastRenderedPageBreak/>
        <w:t xml:space="preserve">Fig 5: Comparison Of Plant Derived Exosome Like Nanoparticles </w:t>
      </w:r>
      <w:proofErr w:type="gramStart"/>
      <w:r w:rsidRPr="00753AE3">
        <w:rPr>
          <w:rFonts w:ascii="Times New Roman" w:eastAsia="Times New Roman" w:hAnsi="Times New Roman"/>
          <w:b/>
          <w:bCs/>
          <w:sz w:val="24"/>
          <w:szCs w:val="24"/>
          <w:lang w:eastAsia="en-US"/>
        </w:rPr>
        <w:t>And</w:t>
      </w:r>
      <w:proofErr w:type="gramEnd"/>
      <w:r w:rsidRPr="00753AE3">
        <w:rPr>
          <w:rFonts w:ascii="Times New Roman" w:eastAsia="Times New Roman" w:hAnsi="Times New Roman"/>
          <w:b/>
          <w:bCs/>
          <w:sz w:val="24"/>
          <w:szCs w:val="24"/>
          <w:lang w:eastAsia="en-US"/>
        </w:rPr>
        <w:t xml:space="preserve"> Liposomes</w:t>
      </w:r>
      <w:r w:rsidRPr="00753AE3">
        <w:rPr>
          <w:rFonts w:ascii="Times New Roman" w:hAnsi="Times New Roman"/>
          <w:noProof/>
          <w:sz w:val="24"/>
          <w:szCs w:val="24"/>
        </w:rPr>
        <w:drawing>
          <wp:anchor distT="0" distB="0" distL="0" distR="0" simplePos="0" relativeHeight="2" behindDoc="1" locked="0" layoutInCell="1" allowOverlap="1" wp14:anchorId="557FC275" wp14:editId="2153E08B">
            <wp:simplePos x="0" y="0"/>
            <wp:positionH relativeFrom="page">
              <wp:posOffset>1874520</wp:posOffset>
            </wp:positionH>
            <wp:positionV relativeFrom="page">
              <wp:posOffset>457200</wp:posOffset>
            </wp:positionV>
            <wp:extent cx="3402965" cy="3166109"/>
            <wp:effectExtent l="0" t="0" r="0" b="0"/>
            <wp:wrapTopAndBottom/>
            <wp:docPr id="103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1" cstate="print"/>
                    <a:srcRect/>
                    <a:stretch/>
                  </pic:blipFill>
                  <pic:spPr>
                    <a:xfrm>
                      <a:off x="0" y="0"/>
                      <a:ext cx="3402965" cy="3166109"/>
                    </a:xfrm>
                    <a:prstGeom prst="rect">
                      <a:avLst/>
                    </a:prstGeom>
                    <a:ln>
                      <a:noFill/>
                    </a:ln>
                  </pic:spPr>
                </pic:pic>
              </a:graphicData>
            </a:graphic>
            <wp14:sizeRelV relativeFrom="margin">
              <wp14:pctHeight>0</wp14:pctHeight>
            </wp14:sizeRelV>
          </wp:anchor>
        </w:drawing>
      </w:r>
    </w:p>
    <w:p w14:paraId="6BEA774A" w14:textId="77777777" w:rsidR="000A2D05" w:rsidRPr="00753AE3" w:rsidRDefault="000A2D05">
      <w:pPr>
        <w:autoSpaceDE w:val="0"/>
        <w:autoSpaceDN w:val="0"/>
        <w:spacing w:before="37" w:line="240" w:lineRule="auto"/>
        <w:jc w:val="both"/>
        <w:rPr>
          <w:rFonts w:ascii="Times New Roman" w:hAnsi="Times New Roman"/>
          <w:sz w:val="24"/>
          <w:szCs w:val="24"/>
        </w:rPr>
      </w:pPr>
    </w:p>
    <w:p w14:paraId="1CEF4832"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pacing w:val="-2"/>
          <w:sz w:val="24"/>
          <w:szCs w:val="24"/>
          <w:lang w:eastAsia="en-US"/>
        </w:rPr>
        <w:t>7. PERIODONTALVACCINATION:</w:t>
      </w:r>
    </w:p>
    <w:p w14:paraId="22B178D0" w14:textId="77777777" w:rsidR="000A2D05" w:rsidRPr="00753AE3" w:rsidRDefault="00000000">
      <w:pPr>
        <w:autoSpaceDE w:val="0"/>
        <w:autoSpaceDN w:val="0"/>
        <w:spacing w:before="26" w:line="271" w:lineRule="auto"/>
        <w:ind w:left="23" w:right="733" w:firstLine="420"/>
        <w:jc w:val="both"/>
        <w:rPr>
          <w:rFonts w:ascii="Times New Roman" w:hAnsi="Times New Roman"/>
          <w:sz w:val="24"/>
          <w:szCs w:val="24"/>
        </w:rPr>
      </w:pPr>
      <w:r w:rsidRPr="00753AE3">
        <w:rPr>
          <w:rFonts w:ascii="Times New Roman" w:eastAsia="Times New Roman" w:hAnsi="Times New Roman"/>
          <w:sz w:val="24"/>
          <w:szCs w:val="24"/>
          <w:lang w:eastAsia="en-US"/>
        </w:rPr>
        <w:t>Mucosal vaccines are found to be the current trend which shows improved results than systemic vaccines, however studies have been conducted only in rodents rather than non-human primates such as dogs, mini pigs etc.</w:t>
      </w:r>
    </w:p>
    <w:p w14:paraId="48194C85" w14:textId="0D996A01" w:rsidR="00F10397" w:rsidRPr="00753AE3" w:rsidRDefault="00000000" w:rsidP="00F10397">
      <w:pPr>
        <w:autoSpaceDE w:val="0"/>
        <w:autoSpaceDN w:val="0"/>
        <w:spacing w:line="271" w:lineRule="auto"/>
        <w:ind w:left="23" w:right="736" w:firstLine="420"/>
        <w:jc w:val="both"/>
        <w:rPr>
          <w:rFonts w:ascii="Times New Roman" w:hAnsi="Times New Roman"/>
          <w:sz w:val="24"/>
          <w:szCs w:val="24"/>
        </w:rPr>
      </w:pPr>
      <w:r w:rsidRPr="00753AE3">
        <w:rPr>
          <w:rFonts w:ascii="Times New Roman" w:eastAsia="Times New Roman" w:hAnsi="Times New Roman"/>
          <w:sz w:val="24"/>
          <w:szCs w:val="24"/>
          <w:lang w:eastAsia="en-US"/>
        </w:rPr>
        <w:t>Other common routes of administration using whole cell vaccine, sub unit vaccine and DNA vaccine in the literature are found to be intranasal and oral, targeting antigens of periodontal pathogens such as P. gingivalis, A. actinomycetemcomitans and F. nucleatum. (37)</w:t>
      </w:r>
      <w:r w:rsidRPr="00753AE3">
        <w:rPr>
          <w:rFonts w:ascii="Times New Roman" w:hAnsi="Times New Roman"/>
          <w:sz w:val="24"/>
          <w:szCs w:val="24"/>
        </w:rPr>
        <w:t xml:space="preserve"> </w:t>
      </w:r>
      <w:r w:rsidRPr="00753AE3">
        <w:rPr>
          <w:rFonts w:ascii="Times New Roman" w:eastAsia="Times New Roman" w:hAnsi="Times New Roman"/>
          <w:sz w:val="24"/>
          <w:szCs w:val="24"/>
          <w:lang w:eastAsia="en-US"/>
        </w:rPr>
        <w:t xml:space="preserve">Efficacy of period on tal vaccines depend sup on the delivery systems, of which </w:t>
      </w:r>
      <w:proofErr w:type="gramStart"/>
      <w:r w:rsidRPr="00753AE3">
        <w:rPr>
          <w:rFonts w:ascii="Times New Roman" w:eastAsia="Times New Roman" w:hAnsi="Times New Roman"/>
          <w:spacing w:val="-2"/>
          <w:sz w:val="24"/>
          <w:szCs w:val="24"/>
          <w:lang w:eastAsia="en-US"/>
        </w:rPr>
        <w:t>bacterial,</w:t>
      </w:r>
      <w:r w:rsidRPr="00753AE3">
        <w:rPr>
          <w:rFonts w:ascii="Times New Roman" w:eastAsia="Times New Roman" w:hAnsi="Times New Roman"/>
          <w:sz w:val="24"/>
          <w:szCs w:val="24"/>
          <w:lang w:eastAsia="en-US"/>
        </w:rPr>
        <w:t>viral</w:t>
      </w:r>
      <w:proofErr w:type="gramEnd"/>
      <w:r w:rsidRPr="00753AE3">
        <w:rPr>
          <w:rFonts w:ascii="Times New Roman" w:eastAsia="Times New Roman" w:hAnsi="Times New Roman"/>
          <w:sz w:val="24"/>
          <w:szCs w:val="24"/>
          <w:lang w:eastAsia="en-US"/>
        </w:rPr>
        <w:t xml:space="preserve"> carriers and liposomes are commonly used. A breakthrough in the delivery system </w:t>
      </w:r>
      <w:proofErr w:type="gramStart"/>
      <w:r w:rsidRPr="00753AE3">
        <w:rPr>
          <w:rFonts w:ascii="Times New Roman" w:eastAsia="Times New Roman" w:hAnsi="Times New Roman"/>
          <w:sz w:val="24"/>
          <w:szCs w:val="24"/>
          <w:lang w:eastAsia="en-US"/>
        </w:rPr>
        <w:t>are</w:t>
      </w:r>
      <w:proofErr w:type="gramEnd"/>
      <w:r w:rsidRPr="00753AE3">
        <w:rPr>
          <w:rFonts w:ascii="Times New Roman" w:eastAsia="Times New Roman" w:hAnsi="Times New Roman"/>
          <w:sz w:val="24"/>
          <w:szCs w:val="24"/>
          <w:lang w:eastAsia="en-US"/>
        </w:rPr>
        <w:t>, mucoadhesive patches and microneedles which showed improved drug release compared to liposomes (38).</w:t>
      </w:r>
    </w:p>
    <w:p w14:paraId="7FDA7027"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z w:val="24"/>
          <w:szCs w:val="24"/>
          <w:lang w:eastAsia="en-US"/>
        </w:rPr>
        <w:t xml:space="preserve">8. RECENT INNOVATIONS IN ORAL HYGIENE </w:t>
      </w:r>
      <w:r w:rsidRPr="00753AE3">
        <w:rPr>
          <w:rFonts w:ascii="Times New Roman" w:eastAsia="Times New Roman" w:hAnsi="Times New Roman"/>
          <w:b/>
          <w:bCs/>
          <w:spacing w:val="-2"/>
          <w:sz w:val="24"/>
          <w:szCs w:val="24"/>
          <w:lang w:eastAsia="en-US"/>
        </w:rPr>
        <w:t>TOOLS:</w:t>
      </w:r>
    </w:p>
    <w:p w14:paraId="7A0D7316" w14:textId="77777777" w:rsidR="000A2D05" w:rsidRPr="00753AE3" w:rsidRDefault="00000000">
      <w:pPr>
        <w:tabs>
          <w:tab w:val="left" w:pos="740"/>
        </w:tabs>
        <w:autoSpaceDE w:val="0"/>
        <w:autoSpaceDN w:val="0"/>
        <w:spacing w:before="25"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8.1 Modifications in Manual Tooth </w:t>
      </w:r>
      <w:r w:rsidRPr="00753AE3">
        <w:rPr>
          <w:rFonts w:ascii="Times New Roman" w:eastAsia="Times New Roman" w:hAnsi="Times New Roman"/>
          <w:spacing w:val="-2"/>
          <w:sz w:val="24"/>
          <w:szCs w:val="24"/>
          <w:lang w:eastAsia="en-US"/>
        </w:rPr>
        <w:t>Brushes:</w:t>
      </w:r>
    </w:p>
    <w:p w14:paraId="71051AFC" w14:textId="77777777" w:rsidR="000A2D05" w:rsidRPr="00753AE3" w:rsidRDefault="00000000">
      <w:pPr>
        <w:autoSpaceDE w:val="0"/>
        <w:autoSpaceDN w:val="0"/>
        <w:spacing w:before="37" w:line="271" w:lineRule="auto"/>
        <w:ind w:left="23" w:right="728" w:firstLine="420"/>
        <w:jc w:val="both"/>
        <w:rPr>
          <w:rFonts w:ascii="Times New Roman" w:hAnsi="Times New Roman"/>
          <w:sz w:val="24"/>
          <w:szCs w:val="24"/>
        </w:rPr>
      </w:pPr>
      <w:r w:rsidRPr="00753AE3">
        <w:rPr>
          <w:rFonts w:ascii="Times New Roman" w:eastAsia="Times New Roman" w:hAnsi="Times New Roman"/>
          <w:sz w:val="24"/>
          <w:szCs w:val="24"/>
          <w:lang w:eastAsia="en-US"/>
        </w:rPr>
        <w:t>The most common modification of bristle shapes is crisscross type which showedhighest reduction of plaque and gingival inflammation in orthodontic patients and periodontal maintenance patients (39). Bristles infused with charcoal are also available which showed significant results in plaque removal along with less wear compared to nylon bristles. (40)</w:t>
      </w:r>
    </w:p>
    <w:p w14:paraId="6BE92975"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8.2 Customized Tooth </w:t>
      </w:r>
      <w:r w:rsidRPr="00753AE3">
        <w:rPr>
          <w:rFonts w:ascii="Times New Roman" w:eastAsia="Times New Roman" w:hAnsi="Times New Roman"/>
          <w:spacing w:val="-2"/>
          <w:sz w:val="24"/>
          <w:szCs w:val="24"/>
          <w:lang w:eastAsia="en-US"/>
        </w:rPr>
        <w:t>Brushes:</w:t>
      </w:r>
    </w:p>
    <w:p w14:paraId="6AE86DB4" w14:textId="77777777" w:rsidR="000A2D05" w:rsidRPr="00753AE3" w:rsidRDefault="00000000">
      <w:pPr>
        <w:autoSpaceDE w:val="0"/>
        <w:autoSpaceDN w:val="0"/>
        <w:spacing w:before="36" w:line="271" w:lineRule="auto"/>
        <w:ind w:left="23" w:right="734" w:firstLine="420"/>
        <w:jc w:val="both"/>
        <w:rPr>
          <w:rFonts w:ascii="Times New Roman" w:hAnsi="Times New Roman"/>
          <w:sz w:val="24"/>
          <w:szCs w:val="24"/>
        </w:rPr>
      </w:pPr>
      <w:r w:rsidRPr="00753AE3">
        <w:rPr>
          <w:rFonts w:ascii="Times New Roman" w:eastAsia="Times New Roman" w:hAnsi="Times New Roman"/>
          <w:sz w:val="24"/>
          <w:szCs w:val="24"/>
          <w:lang w:eastAsia="en-US"/>
        </w:rPr>
        <w:t>Tooth brushes customized to the children with special health care needs and adults affected with cerebral palsy are widely becoming popular to ensure maintenance of oral hygiene. (41, 42)</w:t>
      </w:r>
    </w:p>
    <w:p w14:paraId="71C58A7F"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8.3 Modifications </w:t>
      </w:r>
      <w:proofErr w:type="gramStart"/>
      <w:r w:rsidRPr="00753AE3">
        <w:rPr>
          <w:rFonts w:ascii="Times New Roman" w:eastAsia="Times New Roman" w:hAnsi="Times New Roman"/>
          <w:sz w:val="24"/>
          <w:szCs w:val="24"/>
          <w:lang w:eastAsia="en-US"/>
        </w:rPr>
        <w:t>In</w:t>
      </w:r>
      <w:proofErr w:type="gramEnd"/>
      <w:r w:rsidRPr="00753AE3">
        <w:rPr>
          <w:rFonts w:ascii="Times New Roman" w:eastAsia="Times New Roman" w:hAnsi="Times New Roman"/>
          <w:sz w:val="24"/>
          <w:szCs w:val="24"/>
          <w:lang w:eastAsia="en-US"/>
        </w:rPr>
        <w:t xml:space="preserve"> Powered Tooth </w:t>
      </w:r>
      <w:r w:rsidRPr="00753AE3">
        <w:rPr>
          <w:rFonts w:ascii="Times New Roman" w:eastAsia="Times New Roman" w:hAnsi="Times New Roman"/>
          <w:spacing w:val="-2"/>
          <w:sz w:val="24"/>
          <w:szCs w:val="24"/>
          <w:lang w:eastAsia="en-US"/>
        </w:rPr>
        <w:t>Brushes:</w:t>
      </w:r>
    </w:p>
    <w:p w14:paraId="425F30EF" w14:textId="77777777" w:rsidR="000A2D05" w:rsidRPr="00753AE3" w:rsidRDefault="00000000">
      <w:pPr>
        <w:autoSpaceDE w:val="0"/>
        <w:autoSpaceDN w:val="0"/>
        <w:spacing w:before="36"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lastRenderedPageBreak/>
        <w:t>Powered tooth brushes with different modes are available which include gum line and interdental modes and showed effective plaque removal compared to conventional powered brushes (43). Apart from the modes, the heads of tooth brushes are also available as double heads providing effective plaque removal (44).</w:t>
      </w:r>
    </w:p>
    <w:p w14:paraId="58E511F8"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8.4 Modifications </w:t>
      </w:r>
      <w:proofErr w:type="gramStart"/>
      <w:r w:rsidRPr="00753AE3">
        <w:rPr>
          <w:rFonts w:ascii="Times New Roman" w:eastAsia="Times New Roman" w:hAnsi="Times New Roman"/>
          <w:sz w:val="24"/>
          <w:szCs w:val="24"/>
          <w:lang w:eastAsia="en-US"/>
        </w:rPr>
        <w:t>In</w:t>
      </w:r>
      <w:proofErr w:type="gramEnd"/>
      <w:r w:rsidRPr="00753AE3">
        <w:rPr>
          <w:rFonts w:ascii="Times New Roman" w:eastAsia="Times New Roman" w:hAnsi="Times New Roman"/>
          <w:sz w:val="24"/>
          <w:szCs w:val="24"/>
          <w:lang w:eastAsia="en-US"/>
        </w:rPr>
        <w:t xml:space="preserve"> Dental </w:t>
      </w:r>
      <w:r w:rsidRPr="00753AE3">
        <w:rPr>
          <w:rFonts w:ascii="Times New Roman" w:eastAsia="Times New Roman" w:hAnsi="Times New Roman"/>
          <w:spacing w:val="-2"/>
          <w:sz w:val="24"/>
          <w:szCs w:val="24"/>
          <w:lang w:eastAsia="en-US"/>
        </w:rPr>
        <w:t>Floss:</w:t>
      </w:r>
    </w:p>
    <w:p w14:paraId="66EF4C6E" w14:textId="77777777" w:rsidR="000A2D05" w:rsidRPr="00753AE3" w:rsidRDefault="00000000">
      <w:pPr>
        <w:autoSpaceDE w:val="0"/>
        <w:autoSpaceDN w:val="0"/>
        <w:spacing w:before="36" w:line="271" w:lineRule="auto"/>
        <w:ind w:left="23" w:right="734" w:firstLine="420"/>
        <w:jc w:val="both"/>
        <w:rPr>
          <w:rFonts w:ascii="Times New Roman" w:eastAsia="Times New Roman" w:hAnsi="Times New Roman"/>
          <w:sz w:val="24"/>
          <w:szCs w:val="24"/>
          <w:lang w:eastAsia="en-US"/>
        </w:rPr>
      </w:pPr>
      <w:r w:rsidRPr="00753AE3">
        <w:rPr>
          <w:rFonts w:ascii="Times New Roman" w:hAnsi="Times New Roman"/>
          <w:noProof/>
          <w:sz w:val="24"/>
          <w:szCs w:val="24"/>
        </w:rPr>
        <w:drawing>
          <wp:anchor distT="0" distB="0" distL="0" distR="0" simplePos="0" relativeHeight="5" behindDoc="1" locked="0" layoutInCell="1" allowOverlap="1" wp14:anchorId="29D9E666" wp14:editId="2768AFD9">
            <wp:simplePos x="0" y="0"/>
            <wp:positionH relativeFrom="page">
              <wp:posOffset>2171700</wp:posOffset>
            </wp:positionH>
            <wp:positionV relativeFrom="page">
              <wp:posOffset>4149090</wp:posOffset>
            </wp:positionV>
            <wp:extent cx="3063240" cy="2308860"/>
            <wp:effectExtent l="0" t="0" r="0" b="0"/>
            <wp:wrapTopAndBottom/>
            <wp:docPr id="103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2" cstate="print"/>
                    <a:srcRect/>
                    <a:stretch/>
                  </pic:blipFill>
                  <pic:spPr>
                    <a:xfrm>
                      <a:off x="0" y="0"/>
                      <a:ext cx="3063240" cy="2308860"/>
                    </a:xfrm>
                    <a:prstGeom prst="rect">
                      <a:avLst/>
                    </a:prstGeom>
                    <a:ln>
                      <a:noFill/>
                    </a:ln>
                  </pic:spPr>
                </pic:pic>
              </a:graphicData>
            </a:graphic>
            <wp14:sizeRelH relativeFrom="margin">
              <wp14:pctWidth>0</wp14:pctWidth>
            </wp14:sizeRelH>
            <wp14:sizeRelV relativeFrom="margin">
              <wp14:pctHeight>0</wp14:pctHeight>
            </wp14:sizeRelV>
          </wp:anchor>
        </w:drawing>
      </w:r>
      <w:r w:rsidRPr="00753AE3">
        <w:rPr>
          <w:rFonts w:ascii="Times New Roman" w:eastAsia="Times New Roman" w:hAnsi="Times New Roman"/>
          <w:sz w:val="24"/>
          <w:szCs w:val="24"/>
          <w:lang w:eastAsia="en-US"/>
        </w:rPr>
        <w:t xml:space="preserve">Apart from waxed, unwaxed and flavored dental flosses, knotted floss was introduced to initiate the habit of flossing in beginners. Knotted dental floss provides significant plaque removal compared to conventional floss in plaque removal (45). Different types of knots are available of which ellipsoidal knots showed improved efficacy in plaque </w:t>
      </w:r>
      <w:proofErr w:type="gramStart"/>
      <w:r w:rsidRPr="00753AE3">
        <w:rPr>
          <w:rFonts w:ascii="Times New Roman" w:eastAsia="Times New Roman" w:hAnsi="Times New Roman"/>
          <w:sz w:val="24"/>
          <w:szCs w:val="24"/>
          <w:lang w:eastAsia="en-US"/>
        </w:rPr>
        <w:t>removal.Apart</w:t>
      </w:r>
      <w:proofErr w:type="gramEnd"/>
      <w:r w:rsidRPr="00753AE3">
        <w:rPr>
          <w:rFonts w:ascii="Times New Roman" w:eastAsia="Times New Roman" w:hAnsi="Times New Roman"/>
          <w:sz w:val="24"/>
          <w:szCs w:val="24"/>
          <w:lang w:eastAsia="en-US"/>
        </w:rPr>
        <w:t xml:space="preserve"> from this, dental health education using cartoons, tooth brushing assisted by smart apps especially with artificial intelligence and antimicrobial chewing gums (46) are recent trends to improve oral health. These modifications will promote periodontal health especially in orthodontic and prosthodontic patients.</w:t>
      </w:r>
    </w:p>
    <w:p w14:paraId="0554030A" w14:textId="77777777" w:rsidR="000A2D05" w:rsidRPr="00753AE3" w:rsidRDefault="000A2D05">
      <w:pPr>
        <w:autoSpaceDE w:val="0"/>
        <w:autoSpaceDN w:val="0"/>
        <w:spacing w:line="271" w:lineRule="auto"/>
        <w:ind w:left="23" w:right="733" w:firstLine="420"/>
        <w:jc w:val="both"/>
        <w:rPr>
          <w:rFonts w:ascii="Times New Roman" w:hAnsi="Times New Roman"/>
          <w:sz w:val="24"/>
          <w:szCs w:val="24"/>
        </w:rPr>
      </w:pPr>
    </w:p>
    <w:p w14:paraId="03053967" w14:textId="77777777" w:rsidR="000A2D05" w:rsidRPr="00753AE3" w:rsidRDefault="00000000">
      <w:pPr>
        <w:autoSpaceDE w:val="0"/>
        <w:autoSpaceDN w:val="0"/>
        <w:spacing w:line="271" w:lineRule="auto"/>
        <w:ind w:left="23" w:right="733" w:firstLine="420"/>
        <w:jc w:val="center"/>
        <w:rPr>
          <w:rFonts w:ascii="Times New Roman" w:hAnsi="Times New Roman"/>
          <w:sz w:val="24"/>
          <w:szCs w:val="24"/>
        </w:rPr>
      </w:pPr>
      <w:r w:rsidRPr="00753AE3">
        <w:rPr>
          <w:rFonts w:ascii="Times New Roman" w:eastAsia="Times New Roman" w:hAnsi="Times New Roman"/>
          <w:b/>
          <w:bCs/>
          <w:sz w:val="24"/>
          <w:szCs w:val="24"/>
          <w:lang w:eastAsia="en-US"/>
        </w:rPr>
        <w:t>Fig 6: Modifications of Oral Hygiene Tools</w:t>
      </w:r>
    </w:p>
    <w:p w14:paraId="7A77E2AE" w14:textId="77777777" w:rsidR="000A2D05" w:rsidRPr="00753AE3" w:rsidRDefault="00000000">
      <w:pPr>
        <w:autoSpaceDE w:val="0"/>
        <w:autoSpaceDN w:val="0"/>
        <w:spacing w:line="240" w:lineRule="auto"/>
        <w:jc w:val="both"/>
        <w:rPr>
          <w:rFonts w:ascii="Times New Roman" w:hAnsi="Times New Roman"/>
          <w:sz w:val="24"/>
          <w:szCs w:val="24"/>
        </w:rPr>
      </w:pPr>
      <w:r w:rsidRPr="00753AE3">
        <w:rPr>
          <w:rFonts w:ascii="Times New Roman" w:eastAsia="Times New Roman" w:hAnsi="Times New Roman"/>
          <w:b/>
          <w:bCs/>
          <w:spacing w:val="-2"/>
          <w:sz w:val="24"/>
          <w:szCs w:val="24"/>
          <w:lang w:eastAsia="en-US"/>
        </w:rPr>
        <w:t>9. PERIODONTALREGENERATION:</w:t>
      </w:r>
    </w:p>
    <w:p w14:paraId="64402B3E" w14:textId="77777777" w:rsidR="000A2D05" w:rsidRPr="00753AE3" w:rsidRDefault="00000000">
      <w:pPr>
        <w:tabs>
          <w:tab w:val="left" w:pos="740"/>
        </w:tabs>
        <w:autoSpaceDE w:val="0"/>
        <w:autoSpaceDN w:val="0"/>
        <w:spacing w:line="240" w:lineRule="auto"/>
        <w:jc w:val="both"/>
        <w:rPr>
          <w:rFonts w:ascii="Times New Roman" w:eastAsia="Times New Roman" w:hAnsi="Times New Roman"/>
          <w:spacing w:val="-2"/>
          <w:sz w:val="24"/>
          <w:szCs w:val="24"/>
          <w:lang w:eastAsia="en-US"/>
        </w:rPr>
      </w:pPr>
      <w:r w:rsidRPr="00753AE3">
        <w:rPr>
          <w:rFonts w:ascii="Times New Roman" w:eastAsia="Times New Roman" w:hAnsi="Times New Roman"/>
          <w:sz w:val="24"/>
          <w:szCs w:val="24"/>
          <w:lang w:eastAsia="en-US"/>
        </w:rPr>
        <w:t xml:space="preserve">9.1 Advances in bone </w:t>
      </w:r>
      <w:r w:rsidRPr="00753AE3">
        <w:rPr>
          <w:rFonts w:ascii="Times New Roman" w:eastAsia="Times New Roman" w:hAnsi="Times New Roman"/>
          <w:spacing w:val="-2"/>
          <w:sz w:val="24"/>
          <w:szCs w:val="24"/>
          <w:lang w:eastAsia="en-US"/>
        </w:rPr>
        <w:t>grafts:</w:t>
      </w:r>
    </w:p>
    <w:p w14:paraId="0CC7C803" w14:textId="77777777" w:rsidR="000A2D05" w:rsidRPr="00753AE3" w:rsidRDefault="00000000">
      <w:pPr>
        <w:autoSpaceDE w:val="0"/>
        <w:autoSpaceDN w:val="0"/>
        <w:spacing w:before="36" w:line="271" w:lineRule="auto"/>
        <w:ind w:left="23" w:right="733" w:firstLine="360"/>
        <w:jc w:val="both"/>
        <w:rPr>
          <w:rFonts w:ascii="Times New Roman" w:hAnsi="Times New Roman"/>
          <w:sz w:val="24"/>
          <w:szCs w:val="24"/>
        </w:rPr>
      </w:pPr>
      <w:r w:rsidRPr="00753AE3">
        <w:rPr>
          <w:rFonts w:ascii="Times New Roman" w:eastAsia="Times New Roman" w:hAnsi="Times New Roman"/>
          <w:sz w:val="24"/>
          <w:szCs w:val="24"/>
          <w:lang w:eastAsia="en-US"/>
        </w:rPr>
        <w:t xml:space="preserve">Regeneration of alveolar bone defects in the absence of bony walls along with simultaneousim plant placement is quite question able. </w:t>
      </w:r>
      <w:proofErr w:type="gramStart"/>
      <w:r w:rsidRPr="00753AE3">
        <w:rPr>
          <w:rFonts w:ascii="Times New Roman" w:eastAsia="Times New Roman" w:hAnsi="Times New Roman"/>
          <w:sz w:val="24"/>
          <w:szCs w:val="24"/>
          <w:lang w:eastAsia="en-US"/>
        </w:rPr>
        <w:t>Hence,abone</w:t>
      </w:r>
      <w:proofErr w:type="gramEnd"/>
      <w:r w:rsidRPr="00753AE3">
        <w:rPr>
          <w:rFonts w:ascii="Times New Roman" w:eastAsia="Times New Roman" w:hAnsi="Times New Roman"/>
          <w:sz w:val="24"/>
          <w:szCs w:val="24"/>
          <w:lang w:eastAsia="en-US"/>
        </w:rPr>
        <w:t xml:space="preserve"> graft should beself-contained and stable in such cases to promote regeneration.</w:t>
      </w:r>
    </w:p>
    <w:p w14:paraId="54D720FD" w14:textId="51845A1D" w:rsidR="000A2D05" w:rsidRPr="00753AE3" w:rsidRDefault="00000000" w:rsidP="00F10397">
      <w:pPr>
        <w:autoSpaceDE w:val="0"/>
        <w:autoSpaceDN w:val="0"/>
        <w:spacing w:before="1" w:line="271" w:lineRule="auto"/>
        <w:ind w:left="23" w:right="735" w:firstLine="360"/>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Here comes the role of novel bone graft Poly Lactide Co Glycolic Acid coated biphasic calcium phosphate material which can turn into a porous and stable hard tissue scaffold on exposure to body fluids which overcome the limitation of the conventional bone grafts (47).</w:t>
      </w:r>
    </w:p>
    <w:p w14:paraId="5C196180"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9.2 Mesenchymal Cells- Conditioned </w:t>
      </w:r>
      <w:r w:rsidRPr="00753AE3">
        <w:rPr>
          <w:rFonts w:ascii="Times New Roman" w:eastAsia="Times New Roman" w:hAnsi="Times New Roman"/>
          <w:spacing w:val="-2"/>
          <w:sz w:val="24"/>
          <w:szCs w:val="24"/>
          <w:lang w:eastAsia="en-US"/>
        </w:rPr>
        <w:t>Medium:</w:t>
      </w:r>
    </w:p>
    <w:p w14:paraId="54BE524D" w14:textId="77777777" w:rsidR="000A2D05" w:rsidRPr="00753AE3" w:rsidRDefault="00000000">
      <w:pPr>
        <w:autoSpaceDE w:val="0"/>
        <w:autoSpaceDN w:val="0"/>
        <w:spacing w:before="36"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t>Cell free approaches have overcome challenges associated with stem cells in promoting regeneration. Mesenchymal stem cell - conditioned medium is the indirect treatment approach with potential immunomodulation and regeneration effect.</w:t>
      </w:r>
    </w:p>
    <w:p w14:paraId="246835E8" w14:textId="77777777" w:rsidR="000A2D05" w:rsidRPr="00753AE3" w:rsidRDefault="00000000">
      <w:pPr>
        <w:autoSpaceDE w:val="0"/>
        <w:autoSpaceDN w:val="0"/>
        <w:spacing w:before="1"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lastRenderedPageBreak/>
        <w:t xml:space="preserve">Conditioned medium from mesenchymal stem cells </w:t>
      </w:r>
      <w:proofErr w:type="gramStart"/>
      <w:r w:rsidRPr="00753AE3">
        <w:rPr>
          <w:rFonts w:ascii="Times New Roman" w:eastAsia="Times New Roman" w:hAnsi="Times New Roman"/>
          <w:sz w:val="24"/>
          <w:szCs w:val="24"/>
          <w:lang w:eastAsia="en-US"/>
        </w:rPr>
        <w:t>contain</w:t>
      </w:r>
      <w:proofErr w:type="gramEnd"/>
      <w:r w:rsidRPr="00753AE3">
        <w:rPr>
          <w:rFonts w:ascii="Times New Roman" w:eastAsia="Times New Roman" w:hAnsi="Times New Roman"/>
          <w:sz w:val="24"/>
          <w:szCs w:val="24"/>
          <w:lang w:eastAsia="en-US"/>
        </w:rPr>
        <w:t xml:space="preserve"> a mixture of cytokines, growth factors and enzymes. It is simple, more economical and can be produced in large numbers and stored effectively (48).</w:t>
      </w:r>
    </w:p>
    <w:p w14:paraId="4CE8C844"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9.3 Platelet Rich </w:t>
      </w:r>
      <w:r w:rsidRPr="00753AE3">
        <w:rPr>
          <w:rFonts w:ascii="Times New Roman" w:eastAsia="Times New Roman" w:hAnsi="Times New Roman"/>
          <w:spacing w:val="-2"/>
          <w:sz w:val="24"/>
          <w:szCs w:val="24"/>
          <w:lang w:eastAsia="en-US"/>
        </w:rPr>
        <w:t>Fibrin:</w:t>
      </w:r>
    </w:p>
    <w:p w14:paraId="1957C161" w14:textId="77777777" w:rsidR="000A2D05" w:rsidRPr="00753AE3" w:rsidRDefault="00000000">
      <w:pPr>
        <w:autoSpaceDE w:val="0"/>
        <w:autoSpaceDN w:val="0"/>
        <w:spacing w:before="36" w:line="271" w:lineRule="auto"/>
        <w:ind w:left="23" w:right="729" w:firstLine="420"/>
        <w:jc w:val="both"/>
        <w:rPr>
          <w:rFonts w:ascii="Times New Roman" w:hAnsi="Times New Roman"/>
          <w:sz w:val="24"/>
          <w:szCs w:val="24"/>
        </w:rPr>
      </w:pPr>
      <w:r w:rsidRPr="00753AE3">
        <w:rPr>
          <w:rFonts w:ascii="Times New Roman" w:eastAsia="Times New Roman" w:hAnsi="Times New Roman"/>
          <w:sz w:val="24"/>
          <w:szCs w:val="24"/>
          <w:lang w:eastAsia="en-US"/>
        </w:rPr>
        <w:t>Miron et al. concluded that PRF still proves to be ideal for periodontal regeneration in intrabony defects compared to open flap debridement alone or in combination with bone grafts, enamel matrix derivative, PRP (49).</w:t>
      </w:r>
    </w:p>
    <w:p w14:paraId="56A2768F" w14:textId="77777777" w:rsidR="000A2D05" w:rsidRPr="00753AE3" w:rsidRDefault="00000000">
      <w:pPr>
        <w:tabs>
          <w:tab w:val="left" w:pos="740"/>
        </w:tabs>
        <w:autoSpaceDE w:val="0"/>
        <w:autoSpaceDN w:val="0"/>
        <w:spacing w:before="1"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9.3.1 Horizontal </w:t>
      </w:r>
      <w:r w:rsidRPr="00753AE3">
        <w:rPr>
          <w:rFonts w:ascii="Times New Roman" w:eastAsia="Times New Roman" w:hAnsi="Times New Roman"/>
          <w:spacing w:val="-2"/>
          <w:sz w:val="24"/>
          <w:szCs w:val="24"/>
          <w:lang w:eastAsia="en-US"/>
        </w:rPr>
        <w:t>centrifugation:</w:t>
      </w:r>
    </w:p>
    <w:p w14:paraId="31AB415D" w14:textId="77777777" w:rsidR="000A2D05" w:rsidRPr="00753AE3" w:rsidRDefault="00000000">
      <w:pPr>
        <w:autoSpaceDE w:val="0"/>
        <w:autoSpaceDN w:val="0"/>
        <w:spacing w:before="36" w:line="271" w:lineRule="auto"/>
        <w:ind w:left="23" w:right="735" w:firstLine="360"/>
        <w:jc w:val="both"/>
        <w:rPr>
          <w:rFonts w:ascii="Times New Roman" w:hAnsi="Times New Roman"/>
          <w:sz w:val="24"/>
          <w:szCs w:val="24"/>
        </w:rPr>
      </w:pPr>
      <w:r w:rsidRPr="00753AE3">
        <w:rPr>
          <w:rFonts w:ascii="Times New Roman" w:eastAsia="Times New Roman" w:hAnsi="Times New Roman"/>
          <w:sz w:val="24"/>
          <w:szCs w:val="24"/>
          <w:lang w:eastAsia="en-US"/>
        </w:rPr>
        <w:t>It is found to provide improved clinical outcomes due to higher concentration of the cells because of unrestricted movement of cells, more uniform distribution of the cells in the tube with increased release of growth factors ideal for the preparation of C-PRF and E-PRF.</w:t>
      </w:r>
    </w:p>
    <w:p w14:paraId="11F75877"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9.3.1.1 Extended </w:t>
      </w:r>
      <w:r w:rsidRPr="00753AE3">
        <w:rPr>
          <w:rFonts w:ascii="Times New Roman" w:eastAsia="Times New Roman" w:hAnsi="Times New Roman"/>
          <w:spacing w:val="-4"/>
          <w:sz w:val="24"/>
          <w:szCs w:val="24"/>
          <w:lang w:eastAsia="en-US"/>
        </w:rPr>
        <w:t>PRF:</w:t>
      </w:r>
    </w:p>
    <w:p w14:paraId="5909923D" w14:textId="77777777" w:rsidR="000A2D05" w:rsidRPr="00753AE3" w:rsidRDefault="00000000">
      <w:pPr>
        <w:autoSpaceDE w:val="0"/>
        <w:autoSpaceDN w:val="0"/>
        <w:spacing w:line="271" w:lineRule="auto"/>
        <w:ind w:left="23" w:right="732" w:firstLine="420"/>
        <w:jc w:val="both"/>
        <w:rPr>
          <w:rFonts w:ascii="Times New Roman" w:eastAsia="Times New Roman" w:hAnsi="Times New Roman"/>
          <w:sz w:val="24"/>
          <w:szCs w:val="24"/>
          <w:lang w:eastAsia="en-US"/>
        </w:rPr>
      </w:pPr>
      <w:r w:rsidRPr="00753AE3">
        <w:rPr>
          <w:rFonts w:ascii="Times New Roman" w:hAnsi="Times New Roman"/>
          <w:noProof/>
          <w:sz w:val="24"/>
          <w:szCs w:val="24"/>
        </w:rPr>
        <w:drawing>
          <wp:anchor distT="0" distB="0" distL="0" distR="0" simplePos="0" relativeHeight="4" behindDoc="1" locked="0" layoutInCell="1" allowOverlap="1" wp14:anchorId="762ED4AC" wp14:editId="7DA1B734">
            <wp:simplePos x="0" y="0"/>
            <wp:positionH relativeFrom="page">
              <wp:posOffset>2775675</wp:posOffset>
            </wp:positionH>
            <wp:positionV relativeFrom="page">
              <wp:posOffset>6678023</wp:posOffset>
            </wp:positionV>
            <wp:extent cx="2465615" cy="2857500"/>
            <wp:effectExtent l="0" t="0" r="0" b="0"/>
            <wp:wrapTopAndBottom/>
            <wp:docPr id="103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3" cstate="print"/>
                    <a:srcRect/>
                    <a:stretch/>
                  </pic:blipFill>
                  <pic:spPr>
                    <a:xfrm>
                      <a:off x="0" y="0"/>
                      <a:ext cx="2465615" cy="2857500"/>
                    </a:xfrm>
                    <a:prstGeom prst="rect">
                      <a:avLst/>
                    </a:prstGeom>
                    <a:ln>
                      <a:noFill/>
                    </a:ln>
                  </pic:spPr>
                </pic:pic>
              </a:graphicData>
            </a:graphic>
            <wp14:sizeRelH relativeFrom="margin">
              <wp14:pctWidth>0</wp14:pctWidth>
            </wp14:sizeRelH>
            <wp14:sizeRelV relativeFrom="margin">
              <wp14:pctHeight>0</wp14:pctHeight>
            </wp14:sizeRelV>
          </wp:anchor>
        </w:drawing>
      </w:r>
      <w:r w:rsidRPr="00753AE3">
        <w:rPr>
          <w:rFonts w:ascii="Times New Roman" w:eastAsia="Times New Roman" w:hAnsi="Times New Roman"/>
          <w:sz w:val="24"/>
          <w:szCs w:val="24"/>
          <w:lang w:eastAsia="en-US"/>
        </w:rPr>
        <w:t xml:space="preserve">To overcome the shorter resorption period of PRF, extended PRF uses bio heat technology which focuses on the degradation rate rather than release of growth factors. This was given by Kawase et al who heated PRF membrane to extend the resorption period (50). This resulted in the idea of heating the platelet poor plasma layer which is rich in albumin to extend the degradation time of PRF (51). Since it can be left unexposed with out </w:t>
      </w:r>
      <w:proofErr w:type="gramStart"/>
      <w:r w:rsidRPr="00753AE3">
        <w:rPr>
          <w:rFonts w:ascii="Times New Roman" w:eastAsia="Times New Roman" w:hAnsi="Times New Roman"/>
          <w:sz w:val="24"/>
          <w:szCs w:val="24"/>
          <w:lang w:eastAsia="en-US"/>
        </w:rPr>
        <w:t>suturing,it</w:t>
      </w:r>
      <w:proofErr w:type="gramEnd"/>
      <w:r w:rsidRPr="00753AE3">
        <w:rPr>
          <w:rFonts w:ascii="Times New Roman" w:eastAsia="Times New Roman" w:hAnsi="Times New Roman"/>
          <w:sz w:val="24"/>
          <w:szCs w:val="24"/>
          <w:lang w:eastAsia="en-US"/>
        </w:rPr>
        <w:t xml:space="preserve"> can be </w:t>
      </w:r>
      <w:proofErr w:type="gramStart"/>
      <w:r w:rsidRPr="00753AE3">
        <w:rPr>
          <w:rFonts w:ascii="Times New Roman" w:eastAsia="Times New Roman" w:hAnsi="Times New Roman"/>
          <w:sz w:val="24"/>
          <w:szCs w:val="24"/>
          <w:lang w:eastAsia="en-US"/>
        </w:rPr>
        <w:t>use</w:t>
      </w:r>
      <w:proofErr w:type="gramEnd"/>
      <w:r w:rsidRPr="00753AE3">
        <w:rPr>
          <w:rFonts w:ascii="Times New Roman" w:eastAsia="Times New Roman" w:hAnsi="Times New Roman"/>
          <w:sz w:val="24"/>
          <w:szCs w:val="24"/>
          <w:lang w:eastAsia="en-US"/>
        </w:rPr>
        <w:t xml:space="preserve"> das bio filler in the</w:t>
      </w:r>
      <w:r w:rsidRPr="00753AE3">
        <w:rPr>
          <w:rFonts w:ascii="Times New Roman" w:eastAsia="Times New Roman" w:hAnsi="Times New Roman"/>
          <w:spacing w:val="-5"/>
          <w:sz w:val="24"/>
          <w:szCs w:val="24"/>
          <w:lang w:eastAsia="en-US"/>
        </w:rPr>
        <w:t xml:space="preserve"> </w:t>
      </w:r>
      <w:r w:rsidRPr="00753AE3">
        <w:rPr>
          <w:rFonts w:ascii="Times New Roman" w:eastAsia="Times New Roman" w:hAnsi="Times New Roman"/>
          <w:sz w:val="24"/>
          <w:szCs w:val="24"/>
          <w:lang w:eastAsia="en-US"/>
        </w:rPr>
        <w:t>extraction socket as a socket preservation, lateral sinus lift procedures, guided tissue regeneration and guided bone regeneration and in the reconstruction of papilla. Thus, it can be considered as an alternative to collagen membrane.</w:t>
      </w:r>
    </w:p>
    <w:p w14:paraId="5F3C1329" w14:textId="77777777" w:rsidR="000A2D05" w:rsidRPr="00753AE3" w:rsidRDefault="00000000">
      <w:pPr>
        <w:autoSpaceDE w:val="0"/>
        <w:autoSpaceDN w:val="0"/>
        <w:spacing w:line="271" w:lineRule="auto"/>
        <w:ind w:left="23" w:right="733" w:firstLine="420"/>
        <w:jc w:val="center"/>
        <w:rPr>
          <w:rFonts w:ascii="Times New Roman" w:hAnsi="Times New Roman"/>
          <w:sz w:val="24"/>
          <w:szCs w:val="24"/>
        </w:rPr>
      </w:pPr>
      <w:r w:rsidRPr="00753AE3">
        <w:rPr>
          <w:rFonts w:ascii="Times New Roman" w:eastAsia="Times New Roman" w:hAnsi="Times New Roman"/>
          <w:b/>
          <w:bCs/>
          <w:sz w:val="24"/>
          <w:szCs w:val="24"/>
          <w:lang w:eastAsia="en-US"/>
        </w:rPr>
        <w:t>Fig 7: Steps in the preparation of extended PRF</w:t>
      </w:r>
    </w:p>
    <w:p w14:paraId="1EB80668" w14:textId="77777777" w:rsidR="000A2D05" w:rsidRPr="00753AE3" w:rsidRDefault="00000000">
      <w:pPr>
        <w:autoSpaceDE w:val="0"/>
        <w:autoSpaceDN w:val="0"/>
        <w:spacing w:line="271" w:lineRule="auto"/>
        <w:ind w:right="733"/>
        <w:rPr>
          <w:rFonts w:ascii="Times New Roman" w:hAnsi="Times New Roman"/>
          <w:sz w:val="24"/>
          <w:szCs w:val="24"/>
        </w:rPr>
      </w:pPr>
      <w:r w:rsidRPr="00753AE3">
        <w:rPr>
          <w:rFonts w:ascii="Times New Roman" w:eastAsia="Times New Roman" w:hAnsi="Times New Roman"/>
          <w:sz w:val="24"/>
          <w:szCs w:val="24"/>
          <w:lang w:eastAsia="en-US"/>
        </w:rPr>
        <w:t xml:space="preserve">9.4 Personalized </w:t>
      </w:r>
      <w:r w:rsidRPr="00753AE3">
        <w:rPr>
          <w:rFonts w:ascii="Times New Roman" w:eastAsia="Times New Roman" w:hAnsi="Times New Roman"/>
          <w:spacing w:val="-2"/>
          <w:sz w:val="24"/>
          <w:szCs w:val="24"/>
          <w:lang w:eastAsia="en-US"/>
        </w:rPr>
        <w:t>scaffolds:</w:t>
      </w:r>
    </w:p>
    <w:p w14:paraId="14DA7696" w14:textId="77777777" w:rsidR="000A2D05" w:rsidRPr="00753AE3" w:rsidRDefault="00000000">
      <w:pPr>
        <w:autoSpaceDE w:val="0"/>
        <w:autoSpaceDN w:val="0"/>
        <w:spacing w:before="36" w:line="271" w:lineRule="auto"/>
        <w:ind w:left="23" w:right="731"/>
        <w:jc w:val="both"/>
        <w:rPr>
          <w:rFonts w:ascii="Times New Roman" w:hAnsi="Times New Roman"/>
          <w:sz w:val="24"/>
          <w:szCs w:val="24"/>
        </w:rPr>
      </w:pPr>
      <w:r w:rsidRPr="00753AE3">
        <w:rPr>
          <w:rFonts w:ascii="Times New Roman" w:eastAsia="Times New Roman" w:hAnsi="Times New Roman"/>
          <w:sz w:val="24"/>
          <w:szCs w:val="24"/>
          <w:lang w:eastAsia="en-US"/>
        </w:rPr>
        <w:t>Electrospinning and 3D printing are commonly addressed technologies for thefabrication of personalized scaffolds.</w:t>
      </w:r>
      <w:r w:rsidRPr="00753AE3">
        <w:rPr>
          <w:rFonts w:ascii="Times New Roman" w:hAnsi="Times New Roman"/>
          <w:sz w:val="24"/>
          <w:szCs w:val="24"/>
        </w:rPr>
        <w:t xml:space="preserve"> </w:t>
      </w:r>
      <w:r w:rsidRPr="00753AE3">
        <w:rPr>
          <w:rFonts w:ascii="Times New Roman" w:eastAsia="Times New Roman" w:hAnsi="Times New Roman"/>
          <w:sz w:val="24"/>
          <w:szCs w:val="24"/>
          <w:lang w:eastAsia="en-US"/>
        </w:rPr>
        <w:t xml:space="preserve">Ferreira et al. (52) fabricated a scaffold (electrospinning) loaded with tetracycline in the management of three-walled osseous defects in rats and found significant </w:t>
      </w:r>
      <w:r w:rsidRPr="00753AE3">
        <w:rPr>
          <w:rFonts w:ascii="Times New Roman" w:eastAsia="Times New Roman" w:hAnsi="Times New Roman"/>
          <w:sz w:val="24"/>
          <w:szCs w:val="24"/>
          <w:lang w:eastAsia="en-US"/>
        </w:rPr>
        <w:lastRenderedPageBreak/>
        <w:t>new bone formation. 3D bio printing is also a novel approach that involves incorporation of cells and signaling molecules to ensure optimum regeneration of the defects.</w:t>
      </w:r>
    </w:p>
    <w:p w14:paraId="1C0411D1"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pacing w:val="-2"/>
          <w:sz w:val="24"/>
          <w:szCs w:val="24"/>
          <w:lang w:eastAsia="en-US"/>
        </w:rPr>
        <w:t>10. ADVANCES IN PERIODONTAL SURGERIES:</w:t>
      </w:r>
    </w:p>
    <w:p w14:paraId="632C30AD" w14:textId="77777777" w:rsidR="000A2D05" w:rsidRPr="00753AE3" w:rsidRDefault="00000000">
      <w:pPr>
        <w:tabs>
          <w:tab w:val="left" w:pos="740"/>
        </w:tabs>
        <w:autoSpaceDE w:val="0"/>
        <w:autoSpaceDN w:val="0"/>
        <w:spacing w:before="26"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10.1 Sinus Lift </w:t>
      </w:r>
      <w:r w:rsidRPr="00753AE3">
        <w:rPr>
          <w:rFonts w:ascii="Times New Roman" w:eastAsia="Times New Roman" w:hAnsi="Times New Roman"/>
          <w:spacing w:val="-2"/>
          <w:sz w:val="24"/>
          <w:szCs w:val="24"/>
          <w:lang w:eastAsia="en-US"/>
        </w:rPr>
        <w:t>Procedure:</w:t>
      </w:r>
    </w:p>
    <w:p w14:paraId="31544E11" w14:textId="77777777" w:rsidR="000A2D05" w:rsidRPr="00753AE3" w:rsidRDefault="00000000">
      <w:pPr>
        <w:autoSpaceDE w:val="0"/>
        <w:autoSpaceDN w:val="0"/>
        <w:spacing w:before="36" w:line="271" w:lineRule="auto"/>
        <w:ind w:left="23" w:right="676" w:firstLine="420"/>
        <w:jc w:val="both"/>
        <w:rPr>
          <w:rFonts w:ascii="Times New Roman" w:hAnsi="Times New Roman"/>
          <w:sz w:val="24"/>
          <w:szCs w:val="24"/>
        </w:rPr>
      </w:pPr>
      <w:r w:rsidRPr="00753AE3">
        <w:rPr>
          <w:rFonts w:ascii="Times New Roman" w:eastAsia="Times New Roman" w:hAnsi="Times New Roman"/>
          <w:sz w:val="24"/>
          <w:szCs w:val="24"/>
          <w:lang w:eastAsia="en-US"/>
        </w:rPr>
        <w:t xml:space="preserve">Lateral wall access is commonly used sinuslift procedure which is an invasive procedure. The novel technique (MOVE - Modified Osseo densification Visco-Elastic) to lift the sinus along with the implant placement in posterior maxilla was introduced by Neiva et al. 2019. (53). It involves two </w:t>
      </w:r>
      <w:r w:rsidRPr="00753AE3">
        <w:rPr>
          <w:rFonts w:ascii="Times New Roman" w:eastAsia="Times New Roman" w:hAnsi="Times New Roman"/>
          <w:spacing w:val="-2"/>
          <w:sz w:val="24"/>
          <w:szCs w:val="24"/>
          <w:lang w:eastAsia="en-US"/>
        </w:rPr>
        <w:t xml:space="preserve">steps, </w:t>
      </w:r>
      <w:r w:rsidRPr="00753AE3">
        <w:rPr>
          <w:rFonts w:ascii="Times New Roman" w:eastAsia="Times New Roman" w:hAnsi="Times New Roman"/>
          <w:sz w:val="24"/>
          <w:szCs w:val="24"/>
          <w:lang w:eastAsia="en-US"/>
        </w:rPr>
        <w:t xml:space="preserve">Elevation of Schneiderian membrane by osseodensification drills followed by the </w:t>
      </w:r>
      <w:r w:rsidRPr="00753AE3">
        <w:rPr>
          <w:rFonts w:ascii="Times New Roman" w:eastAsia="Times New Roman" w:hAnsi="Times New Roman"/>
          <w:spacing w:val="-5"/>
          <w:sz w:val="24"/>
          <w:szCs w:val="24"/>
          <w:lang w:eastAsia="en-US"/>
        </w:rPr>
        <w:t xml:space="preserve">use of </w:t>
      </w:r>
      <w:r w:rsidRPr="00753AE3">
        <w:rPr>
          <w:rFonts w:ascii="Times New Roman" w:eastAsia="Times New Roman" w:hAnsi="Times New Roman"/>
          <w:sz w:val="24"/>
          <w:szCs w:val="24"/>
          <w:lang w:eastAsia="en-US"/>
        </w:rPr>
        <w:t xml:space="preserve">Viscoelastic putty to deliver the forces uniformly on the </w:t>
      </w:r>
      <w:r w:rsidRPr="00753AE3">
        <w:rPr>
          <w:rFonts w:ascii="Times New Roman" w:eastAsia="Times New Roman" w:hAnsi="Times New Roman"/>
          <w:spacing w:val="-2"/>
          <w:sz w:val="24"/>
          <w:szCs w:val="24"/>
          <w:lang w:eastAsia="en-US"/>
        </w:rPr>
        <w:t>membrane.</w:t>
      </w:r>
    </w:p>
    <w:p w14:paraId="0A43A743"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10.2 Advances In </w:t>
      </w:r>
      <w:r w:rsidRPr="00753AE3">
        <w:rPr>
          <w:rFonts w:ascii="Times New Roman" w:eastAsia="Times New Roman" w:hAnsi="Times New Roman"/>
          <w:spacing w:val="-4"/>
          <w:sz w:val="24"/>
          <w:szCs w:val="24"/>
          <w:lang w:eastAsia="en-US"/>
        </w:rPr>
        <w:t>MIST:</w:t>
      </w:r>
    </w:p>
    <w:p w14:paraId="60747AF2" w14:textId="77777777" w:rsidR="000A2D05" w:rsidRPr="00753AE3" w:rsidRDefault="00000000">
      <w:pPr>
        <w:autoSpaceDE w:val="0"/>
        <w:autoSpaceDN w:val="0"/>
        <w:spacing w:before="36" w:line="271" w:lineRule="auto"/>
        <w:ind w:left="23" w:right="732" w:firstLine="420"/>
        <w:jc w:val="both"/>
        <w:rPr>
          <w:rFonts w:ascii="Times New Roman" w:hAnsi="Times New Roman"/>
          <w:sz w:val="24"/>
          <w:szCs w:val="24"/>
        </w:rPr>
      </w:pPr>
      <w:r w:rsidRPr="00753AE3">
        <w:rPr>
          <w:rFonts w:ascii="Times New Roman" w:eastAsia="Times New Roman" w:hAnsi="Times New Roman"/>
          <w:sz w:val="24"/>
          <w:szCs w:val="24"/>
          <w:lang w:eastAsia="en-US"/>
        </w:rPr>
        <w:t>One of the novel techniques in MIST is, Triangle Papilla Access Approach by Iharaet al. in which the defect is accessed using surgical microscope by placing incisions only on the buccal side in a triangular fashion. It allows proper debridement of the defect facilitating accurate positioning of the flap without compromising blood supply (54).</w:t>
      </w:r>
    </w:p>
    <w:p w14:paraId="6F9D8C4C" w14:textId="77777777" w:rsidR="000A2D05" w:rsidRPr="00753AE3" w:rsidRDefault="00000000">
      <w:pPr>
        <w:tabs>
          <w:tab w:val="left" w:pos="740"/>
        </w:tabs>
        <w:autoSpaceDE w:val="0"/>
        <w:autoSpaceDN w:val="0"/>
        <w:spacing w:line="240" w:lineRule="auto"/>
        <w:jc w:val="both"/>
        <w:rPr>
          <w:rFonts w:ascii="Times New Roman" w:hAnsi="Times New Roman"/>
          <w:sz w:val="24"/>
          <w:szCs w:val="24"/>
        </w:rPr>
      </w:pPr>
      <w:r w:rsidRPr="00753AE3">
        <w:rPr>
          <w:rFonts w:ascii="Times New Roman" w:eastAsia="Times New Roman" w:hAnsi="Times New Roman"/>
          <w:sz w:val="24"/>
          <w:szCs w:val="24"/>
          <w:lang w:eastAsia="en-US"/>
        </w:rPr>
        <w:t xml:space="preserve">10.3 Nasal Spine </w:t>
      </w:r>
      <w:r w:rsidRPr="00753AE3">
        <w:rPr>
          <w:rFonts w:ascii="Times New Roman" w:eastAsia="Times New Roman" w:hAnsi="Times New Roman"/>
          <w:spacing w:val="-2"/>
          <w:sz w:val="24"/>
          <w:szCs w:val="24"/>
          <w:lang w:eastAsia="en-US"/>
        </w:rPr>
        <w:t>Suture:</w:t>
      </w:r>
    </w:p>
    <w:p w14:paraId="0A1C3F84" w14:textId="77777777" w:rsidR="000A2D05" w:rsidRPr="00753AE3" w:rsidRDefault="00000000">
      <w:pPr>
        <w:autoSpaceDE w:val="0"/>
        <w:autoSpaceDN w:val="0"/>
        <w:spacing w:before="36" w:line="271" w:lineRule="auto"/>
        <w:ind w:left="23" w:right="731" w:firstLine="360"/>
        <w:jc w:val="both"/>
        <w:rPr>
          <w:rFonts w:ascii="Times New Roman" w:hAnsi="Times New Roman"/>
          <w:sz w:val="24"/>
          <w:szCs w:val="24"/>
        </w:rPr>
      </w:pPr>
      <w:r w:rsidRPr="00753AE3">
        <w:rPr>
          <w:rFonts w:ascii="Times New Roman" w:eastAsia="Times New Roman" w:hAnsi="Times New Roman"/>
          <w:sz w:val="24"/>
          <w:szCs w:val="24"/>
          <w:lang w:eastAsia="en-US"/>
        </w:rPr>
        <w:t>The success of regeneration in GBR depends on the lack of micro motion of the membrane placed which would result in stability of the blood clot promoting the formation of alveolar bone. The membrane fixation techniques have been highlighted in the literature of which a novel suture technique “Nasal Spine Suture' was advised since it is safe, effective and prevents displacement of the graft placed beneath the membrane (55).</w:t>
      </w:r>
    </w:p>
    <w:p w14:paraId="78BD60D3" w14:textId="77777777" w:rsidR="000A2D05" w:rsidRPr="00753AE3" w:rsidRDefault="00000000">
      <w:pPr>
        <w:tabs>
          <w:tab w:val="left" w:pos="740"/>
        </w:tabs>
        <w:autoSpaceDE w:val="0"/>
        <w:autoSpaceDN w:val="0"/>
        <w:spacing w:line="240" w:lineRule="auto"/>
        <w:jc w:val="both"/>
        <w:outlineLvl w:val="1"/>
        <w:rPr>
          <w:rFonts w:ascii="Times New Roman" w:hAnsi="Times New Roman"/>
          <w:sz w:val="24"/>
          <w:szCs w:val="24"/>
        </w:rPr>
      </w:pPr>
      <w:r w:rsidRPr="00753AE3">
        <w:rPr>
          <w:rFonts w:ascii="Times New Roman" w:eastAsia="Times New Roman" w:hAnsi="Times New Roman"/>
          <w:b/>
          <w:bCs/>
          <w:spacing w:val="-2"/>
          <w:sz w:val="24"/>
          <w:szCs w:val="24"/>
          <w:lang w:eastAsia="en-US"/>
        </w:rPr>
        <w:t>11. CONCLUSION:</w:t>
      </w:r>
    </w:p>
    <w:p w14:paraId="14386F7F" w14:textId="77777777" w:rsidR="000A2D05" w:rsidRPr="00753AE3" w:rsidRDefault="00000000">
      <w:pPr>
        <w:autoSpaceDE w:val="0"/>
        <w:autoSpaceDN w:val="0"/>
        <w:spacing w:before="26" w:line="271" w:lineRule="auto"/>
        <w:ind w:left="23" w:right="733" w:firstLine="420"/>
        <w:jc w:val="both"/>
        <w:rPr>
          <w:rFonts w:ascii="Times New Roman" w:hAnsi="Times New Roman"/>
          <w:sz w:val="24"/>
          <w:szCs w:val="24"/>
        </w:rPr>
      </w:pPr>
      <w:r w:rsidRPr="00753AE3">
        <w:rPr>
          <w:rFonts w:ascii="Times New Roman" w:eastAsia="Times New Roman" w:hAnsi="Times New Roman"/>
          <w:sz w:val="24"/>
          <w:szCs w:val="24"/>
          <w:lang w:eastAsia="en-US"/>
        </w:rPr>
        <w:t>Periodontics is one of the older branches in dentistry, yet it has seen greater revolutionary changes in diagnosis and treatment including non-surgical and surgical approaches. Surgical techniques in periodontal therapy especially in the management of gingival recession have been modified by various authors to improve the percentage of root coverage.</w:t>
      </w:r>
    </w:p>
    <w:p w14:paraId="541A23E4" w14:textId="7E3A85CF" w:rsidR="00F10397" w:rsidRPr="00753AE3" w:rsidRDefault="00000000">
      <w:pPr>
        <w:autoSpaceDE w:val="0"/>
        <w:autoSpaceDN w:val="0"/>
        <w:spacing w:before="1" w:line="271" w:lineRule="auto"/>
        <w:ind w:left="23" w:right="730" w:firstLine="420"/>
        <w:jc w:val="both"/>
        <w:rPr>
          <w:rFonts w:ascii="Times New Roman" w:eastAsia="Times New Roman" w:hAnsi="Times New Roman"/>
          <w:sz w:val="24"/>
          <w:szCs w:val="24"/>
          <w:lang w:eastAsia="en-US"/>
        </w:rPr>
      </w:pPr>
      <w:r w:rsidRPr="00753AE3">
        <w:rPr>
          <w:rFonts w:ascii="Times New Roman" w:eastAsia="Times New Roman" w:hAnsi="Times New Roman"/>
          <w:sz w:val="24"/>
          <w:szCs w:val="24"/>
          <w:lang w:eastAsia="en-US"/>
        </w:rPr>
        <w:t>In this modern era, utilizing the recent technologies especially in the form of digitalized approach has faded away the conventional approach. We the periodontists are in a situation to welcome these modern approaches without compromising the conventional modalities to deliver a personalized and successful periodontal care to fulfill the patient’s expectation.</w:t>
      </w:r>
    </w:p>
    <w:p w14:paraId="7A0A54AA" w14:textId="22250BE2" w:rsidR="000A2D05" w:rsidRPr="00753AE3" w:rsidRDefault="000A2D05" w:rsidP="00F10397">
      <w:pPr>
        <w:spacing w:after="0" w:line="240" w:lineRule="auto"/>
        <w:rPr>
          <w:rFonts w:ascii="Times New Roman" w:eastAsia="Times New Roman" w:hAnsi="Times New Roman"/>
          <w:sz w:val="24"/>
          <w:szCs w:val="24"/>
          <w:lang w:eastAsia="en-US"/>
        </w:rPr>
      </w:pPr>
    </w:p>
    <w:p w14:paraId="41B71037"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40AEE447"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7292E903"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2FC6EE71"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5092454A"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3A9D2F61"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2813A074"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463940B3"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05583B0C" w14:textId="77777777" w:rsidR="00F10397" w:rsidRPr="00753AE3" w:rsidRDefault="00F10397" w:rsidP="00F10397">
      <w:pPr>
        <w:spacing w:after="0" w:line="240" w:lineRule="auto"/>
        <w:rPr>
          <w:rFonts w:ascii="Times New Roman" w:eastAsia="Times New Roman" w:hAnsi="Times New Roman"/>
          <w:sz w:val="24"/>
          <w:szCs w:val="24"/>
          <w:lang w:eastAsia="en-US"/>
        </w:rPr>
      </w:pPr>
    </w:p>
    <w:p w14:paraId="795F01C7" w14:textId="77777777" w:rsidR="000A2D05" w:rsidRPr="00753AE3" w:rsidRDefault="000A2D05">
      <w:pPr>
        <w:autoSpaceDE w:val="0"/>
        <w:autoSpaceDN w:val="0"/>
        <w:spacing w:before="122" w:line="240" w:lineRule="auto"/>
        <w:jc w:val="both"/>
        <w:rPr>
          <w:rFonts w:ascii="Times New Roman" w:hAnsi="Times New Roman"/>
          <w:sz w:val="24"/>
          <w:szCs w:val="24"/>
        </w:rPr>
      </w:pPr>
    </w:p>
    <w:p w14:paraId="4CD43198" w14:textId="77777777" w:rsidR="000A2D05" w:rsidRPr="00753AE3" w:rsidRDefault="00000000">
      <w:pPr>
        <w:jc w:val="both"/>
        <w:rPr>
          <w:rFonts w:ascii="Times New Roman" w:hAnsi="Times New Roman"/>
          <w:sz w:val="24"/>
          <w:szCs w:val="24"/>
          <w:highlight w:val="yellow"/>
        </w:rPr>
      </w:pPr>
      <w:r w:rsidRPr="00753AE3">
        <w:rPr>
          <w:rFonts w:ascii="Times New Roman" w:hAnsi="Times New Roman"/>
          <w:sz w:val="24"/>
          <w:szCs w:val="24"/>
          <w:highlight w:val="yellow"/>
        </w:rPr>
        <w:lastRenderedPageBreak/>
        <w:t>Disclaimer (Artificial intelligence)</w:t>
      </w:r>
    </w:p>
    <w:p w14:paraId="037F6944" w14:textId="77777777" w:rsidR="000A2D05" w:rsidRPr="00753AE3" w:rsidRDefault="000A2D05">
      <w:pPr>
        <w:jc w:val="both"/>
        <w:rPr>
          <w:rFonts w:ascii="Times New Roman" w:hAnsi="Times New Roman"/>
          <w:sz w:val="24"/>
          <w:szCs w:val="24"/>
          <w:highlight w:val="yellow"/>
        </w:rPr>
      </w:pPr>
    </w:p>
    <w:p w14:paraId="49F60F66" w14:textId="77777777" w:rsidR="000A2D05" w:rsidRPr="00753AE3" w:rsidRDefault="000A2D05">
      <w:pPr>
        <w:jc w:val="both"/>
        <w:rPr>
          <w:rFonts w:ascii="Times New Roman" w:hAnsi="Times New Roman"/>
          <w:sz w:val="24"/>
          <w:szCs w:val="24"/>
          <w:highlight w:val="yellow"/>
        </w:rPr>
      </w:pPr>
    </w:p>
    <w:p w14:paraId="7FB990A5" w14:textId="77777777" w:rsidR="000A2D05" w:rsidRPr="00753AE3" w:rsidRDefault="00000000">
      <w:pPr>
        <w:jc w:val="both"/>
        <w:rPr>
          <w:rFonts w:ascii="Times New Roman" w:hAnsi="Times New Roman"/>
          <w:sz w:val="24"/>
          <w:szCs w:val="24"/>
          <w:highlight w:val="yellow"/>
        </w:rPr>
      </w:pPr>
      <w:r w:rsidRPr="00753AE3">
        <w:rPr>
          <w:rFonts w:ascii="Times New Roman" w:hAnsi="Times New Roman"/>
          <w:sz w:val="24"/>
          <w:szCs w:val="24"/>
          <w:highlight w:val="yellow"/>
        </w:rPr>
        <w:t>Option 2:</w:t>
      </w:r>
    </w:p>
    <w:p w14:paraId="0CEF0CEB" w14:textId="77777777" w:rsidR="000A2D05" w:rsidRPr="00753AE3" w:rsidRDefault="000A2D05">
      <w:pPr>
        <w:jc w:val="both"/>
        <w:rPr>
          <w:rFonts w:ascii="Times New Roman" w:hAnsi="Times New Roman"/>
          <w:sz w:val="24"/>
          <w:szCs w:val="24"/>
          <w:highlight w:val="yellow"/>
        </w:rPr>
      </w:pPr>
    </w:p>
    <w:p w14:paraId="49CF5A54" w14:textId="77777777" w:rsidR="000A2D05" w:rsidRPr="00753AE3" w:rsidRDefault="00000000">
      <w:pPr>
        <w:jc w:val="both"/>
        <w:rPr>
          <w:rFonts w:ascii="Times New Roman" w:hAnsi="Times New Roman"/>
          <w:sz w:val="24"/>
          <w:szCs w:val="24"/>
          <w:highlight w:val="yellow"/>
        </w:rPr>
      </w:pPr>
      <w:r w:rsidRPr="00753AE3">
        <w:rPr>
          <w:rFonts w:ascii="Times New Roman" w:hAnsi="Times New Roman"/>
          <w:sz w:val="24"/>
          <w:szCs w:val="24"/>
          <w:highlight w:val="yellow"/>
        </w:rPr>
        <w:t xml:space="preserve">Author(s) hereby </w:t>
      </w:r>
      <w:proofErr w:type="gramStart"/>
      <w:r w:rsidRPr="00753AE3">
        <w:rPr>
          <w:rFonts w:ascii="Times New Roman" w:hAnsi="Times New Roman"/>
          <w:sz w:val="24"/>
          <w:szCs w:val="24"/>
          <w:highlight w:val="yellow"/>
        </w:rPr>
        <w:t>declare</w:t>
      </w:r>
      <w:proofErr w:type="gramEnd"/>
      <w:r w:rsidRPr="00753AE3">
        <w:rPr>
          <w:rFonts w:ascii="Times New Roman" w:hAnsi="Times New Roman"/>
          <w:sz w:val="24"/>
          <w:szCs w:val="24"/>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C922E1" w14:textId="77777777" w:rsidR="000A2D05" w:rsidRPr="00753AE3" w:rsidRDefault="000A2D05">
      <w:pPr>
        <w:jc w:val="both"/>
        <w:rPr>
          <w:rFonts w:ascii="Times New Roman" w:hAnsi="Times New Roman"/>
          <w:sz w:val="24"/>
          <w:szCs w:val="24"/>
          <w:highlight w:val="yellow"/>
        </w:rPr>
      </w:pPr>
    </w:p>
    <w:p w14:paraId="694BEDD3" w14:textId="77777777" w:rsidR="000A2D05" w:rsidRPr="00753AE3" w:rsidRDefault="00000000">
      <w:pPr>
        <w:jc w:val="both"/>
        <w:rPr>
          <w:rFonts w:ascii="Times New Roman" w:hAnsi="Times New Roman"/>
          <w:sz w:val="24"/>
          <w:szCs w:val="24"/>
          <w:highlight w:val="yellow"/>
        </w:rPr>
      </w:pPr>
      <w:r w:rsidRPr="00753AE3">
        <w:rPr>
          <w:rFonts w:ascii="Times New Roman" w:hAnsi="Times New Roman"/>
          <w:sz w:val="24"/>
          <w:szCs w:val="24"/>
          <w:highlight w:val="yellow"/>
        </w:rPr>
        <w:t>Details of the AI usage are given below:</w:t>
      </w:r>
    </w:p>
    <w:p w14:paraId="20EF9A8F" w14:textId="77777777" w:rsidR="000A2D05" w:rsidRPr="00753AE3" w:rsidRDefault="00000000">
      <w:pPr>
        <w:jc w:val="both"/>
        <w:rPr>
          <w:rFonts w:ascii="Times New Roman" w:hAnsi="Times New Roman"/>
          <w:sz w:val="24"/>
          <w:szCs w:val="24"/>
          <w:highlight w:val="yellow"/>
        </w:rPr>
      </w:pPr>
      <w:r w:rsidRPr="00753AE3">
        <w:rPr>
          <w:rFonts w:ascii="Times New Roman" w:hAnsi="Times New Roman"/>
          <w:sz w:val="24"/>
          <w:szCs w:val="24"/>
          <w:highlight w:val="yellow"/>
        </w:rPr>
        <w:t>1 Writing of manuscript: Napkin AI - text-to-image generators used in order to decrease the no of words in the manuscript and also to improve the readability of the script.</w:t>
      </w:r>
    </w:p>
    <w:p w14:paraId="230930CD" w14:textId="77777777" w:rsidR="000A2D05" w:rsidRPr="00753AE3" w:rsidRDefault="000A2D05">
      <w:pPr>
        <w:jc w:val="both"/>
        <w:rPr>
          <w:rFonts w:ascii="Times New Roman" w:hAnsi="Times New Roman"/>
          <w:sz w:val="24"/>
          <w:szCs w:val="24"/>
        </w:rPr>
      </w:pPr>
    </w:p>
    <w:p w14:paraId="32A1DB93" w14:textId="77777777" w:rsidR="000A2D05" w:rsidRPr="00753AE3" w:rsidRDefault="00000000">
      <w:pPr>
        <w:rPr>
          <w:rFonts w:ascii="Times New Roman" w:hAnsi="Times New Roman"/>
          <w:sz w:val="24"/>
          <w:szCs w:val="24"/>
        </w:rPr>
      </w:pPr>
      <w:r w:rsidRPr="00753AE3">
        <w:rPr>
          <w:rFonts w:ascii="Times New Roman" w:hAnsi="Times New Roman"/>
          <w:sz w:val="24"/>
          <w:szCs w:val="24"/>
        </w:rPr>
        <w:t>Figure no: 3 and 5 are generated using Napkin AI 2024-2025 version, Large Language Model – (Text to visuals)</w:t>
      </w:r>
    </w:p>
    <w:p w14:paraId="06716B9A" w14:textId="77777777" w:rsidR="000A2D05" w:rsidRPr="00753AE3" w:rsidRDefault="000A2D05">
      <w:pPr>
        <w:rPr>
          <w:rFonts w:ascii="Times New Roman" w:hAnsi="Times New Roman"/>
          <w:sz w:val="24"/>
          <w:szCs w:val="24"/>
        </w:rPr>
      </w:pPr>
    </w:p>
    <w:p w14:paraId="48399437" w14:textId="77777777" w:rsidR="000A2D05" w:rsidRPr="00753AE3" w:rsidRDefault="00000000">
      <w:pPr>
        <w:numPr>
          <w:ilvl w:val="0"/>
          <w:numId w:val="4"/>
        </w:numPr>
        <w:rPr>
          <w:rFonts w:ascii="Times New Roman" w:hAnsi="Times New Roman"/>
          <w:sz w:val="24"/>
          <w:szCs w:val="24"/>
        </w:rPr>
      </w:pPr>
      <w:r w:rsidRPr="00753AE3">
        <w:rPr>
          <w:rFonts w:ascii="Times New Roman" w:hAnsi="Times New Roman"/>
          <w:sz w:val="24"/>
          <w:szCs w:val="24"/>
        </w:rPr>
        <w:t>Figure no: 3 Challenges of Nano biosensors:</w:t>
      </w:r>
    </w:p>
    <w:p w14:paraId="63F7CE55" w14:textId="77777777" w:rsidR="000A2D05" w:rsidRPr="00753AE3" w:rsidRDefault="00000000">
      <w:pPr>
        <w:rPr>
          <w:rFonts w:ascii="Times New Roman" w:hAnsi="Times New Roman"/>
          <w:sz w:val="24"/>
          <w:szCs w:val="24"/>
        </w:rPr>
      </w:pPr>
      <w:r w:rsidRPr="00753AE3">
        <w:rPr>
          <w:rFonts w:ascii="Times New Roman" w:hAnsi="Times New Roman"/>
          <w:sz w:val="24"/>
          <w:szCs w:val="24"/>
        </w:rPr>
        <w:t>Details of prompt:</w:t>
      </w:r>
    </w:p>
    <w:p w14:paraId="34B3703E" w14:textId="77777777" w:rsidR="000A2D05" w:rsidRPr="00753AE3" w:rsidRDefault="00000000">
      <w:pPr>
        <w:rPr>
          <w:rFonts w:ascii="Times New Roman" w:hAnsi="Times New Roman"/>
          <w:sz w:val="24"/>
          <w:szCs w:val="24"/>
          <w:lang w:val="en-IN"/>
        </w:rPr>
      </w:pPr>
      <w:r w:rsidRPr="00753AE3">
        <w:rPr>
          <w:rFonts w:ascii="Times New Roman" w:hAnsi="Times New Roman"/>
          <w:sz w:val="24"/>
          <w:szCs w:val="24"/>
          <w:lang w:val="en-IN"/>
        </w:rPr>
        <w:t>Limitations:</w:t>
      </w:r>
    </w:p>
    <w:p w14:paraId="62E5BA6F" w14:textId="77777777" w:rsidR="000A2D05" w:rsidRPr="00753AE3" w:rsidRDefault="00000000">
      <w:pPr>
        <w:numPr>
          <w:ilvl w:val="0"/>
          <w:numId w:val="3"/>
        </w:numPr>
        <w:rPr>
          <w:rFonts w:ascii="Times New Roman" w:hAnsi="Times New Roman"/>
          <w:sz w:val="24"/>
          <w:szCs w:val="24"/>
          <w:lang w:val="en-IN"/>
        </w:rPr>
      </w:pPr>
      <w:r w:rsidRPr="00753AE3">
        <w:rPr>
          <w:rFonts w:ascii="Times New Roman" w:hAnsi="Times New Roman"/>
          <w:sz w:val="24"/>
          <w:szCs w:val="24"/>
          <w:lang w:val="en-IN"/>
        </w:rPr>
        <w:t>Lack of validation</w:t>
      </w:r>
    </w:p>
    <w:p w14:paraId="222E3235" w14:textId="77777777" w:rsidR="000A2D05" w:rsidRPr="00753AE3" w:rsidRDefault="00000000">
      <w:pPr>
        <w:numPr>
          <w:ilvl w:val="0"/>
          <w:numId w:val="3"/>
        </w:numPr>
        <w:rPr>
          <w:rFonts w:ascii="Times New Roman" w:hAnsi="Times New Roman"/>
          <w:sz w:val="24"/>
          <w:szCs w:val="24"/>
          <w:lang w:val="en-IN"/>
        </w:rPr>
      </w:pPr>
      <w:r w:rsidRPr="00753AE3">
        <w:rPr>
          <w:rFonts w:ascii="Times New Roman" w:hAnsi="Times New Roman"/>
          <w:sz w:val="24"/>
          <w:szCs w:val="24"/>
          <w:lang w:val="en-IN"/>
        </w:rPr>
        <w:t>Presence of confounding factors - Age.</w:t>
      </w:r>
    </w:p>
    <w:p w14:paraId="6148D4B9" w14:textId="77777777" w:rsidR="000A2D05" w:rsidRPr="00753AE3" w:rsidRDefault="00000000">
      <w:pPr>
        <w:numPr>
          <w:ilvl w:val="0"/>
          <w:numId w:val="3"/>
        </w:numPr>
        <w:rPr>
          <w:rFonts w:ascii="Times New Roman" w:hAnsi="Times New Roman"/>
          <w:sz w:val="24"/>
          <w:szCs w:val="24"/>
          <w:lang w:val="en-IN"/>
        </w:rPr>
      </w:pPr>
      <w:r w:rsidRPr="00753AE3">
        <w:rPr>
          <w:rFonts w:ascii="Times New Roman" w:hAnsi="Times New Roman"/>
          <w:sz w:val="24"/>
          <w:szCs w:val="24"/>
          <w:lang w:val="en-IN"/>
        </w:rPr>
        <w:t>Manipulation of nanoparticles.</w:t>
      </w:r>
    </w:p>
    <w:p w14:paraId="4215A342" w14:textId="77777777" w:rsidR="000A2D05" w:rsidRPr="00753AE3" w:rsidRDefault="00000000">
      <w:pPr>
        <w:numPr>
          <w:ilvl w:val="0"/>
          <w:numId w:val="3"/>
        </w:numPr>
        <w:rPr>
          <w:rFonts w:ascii="Times New Roman" w:hAnsi="Times New Roman"/>
          <w:sz w:val="24"/>
          <w:szCs w:val="24"/>
          <w:lang w:val="en-IN"/>
        </w:rPr>
      </w:pPr>
      <w:r w:rsidRPr="00753AE3">
        <w:rPr>
          <w:rFonts w:ascii="Times New Roman" w:hAnsi="Times New Roman"/>
          <w:sz w:val="24"/>
          <w:szCs w:val="24"/>
          <w:lang w:val="en-IN"/>
        </w:rPr>
        <w:t>Lack of invivo studies</w:t>
      </w:r>
    </w:p>
    <w:p w14:paraId="532503F3" w14:textId="77777777" w:rsidR="000A2D05" w:rsidRPr="00753AE3" w:rsidRDefault="000A2D05">
      <w:pPr>
        <w:rPr>
          <w:rFonts w:ascii="Times New Roman" w:hAnsi="Times New Roman"/>
          <w:sz w:val="24"/>
          <w:szCs w:val="24"/>
        </w:rPr>
      </w:pPr>
    </w:p>
    <w:p w14:paraId="4E156D79" w14:textId="77777777" w:rsidR="000A2D05" w:rsidRPr="00753AE3" w:rsidRDefault="000A2D05">
      <w:pPr>
        <w:rPr>
          <w:rFonts w:ascii="Times New Roman" w:hAnsi="Times New Roman"/>
          <w:sz w:val="24"/>
          <w:szCs w:val="24"/>
          <w:lang w:val="en-IN"/>
        </w:rPr>
      </w:pPr>
    </w:p>
    <w:p w14:paraId="27159FE3" w14:textId="77777777" w:rsidR="000A2D05" w:rsidRPr="00753AE3" w:rsidRDefault="000A2D05">
      <w:pPr>
        <w:rPr>
          <w:rFonts w:ascii="Times New Roman" w:hAnsi="Times New Roman"/>
          <w:sz w:val="24"/>
          <w:szCs w:val="24"/>
          <w:lang w:val="en-IN"/>
        </w:rPr>
      </w:pPr>
    </w:p>
    <w:p w14:paraId="03A394A5" w14:textId="77777777" w:rsidR="000A2D05" w:rsidRPr="00753AE3" w:rsidRDefault="000A2D05">
      <w:pPr>
        <w:rPr>
          <w:rFonts w:ascii="Times New Roman" w:hAnsi="Times New Roman"/>
          <w:sz w:val="24"/>
          <w:szCs w:val="24"/>
          <w:lang w:val="en-IN"/>
        </w:rPr>
      </w:pPr>
    </w:p>
    <w:p w14:paraId="358A34DD" w14:textId="77777777" w:rsidR="000A2D05" w:rsidRPr="00753AE3" w:rsidRDefault="000A2D05">
      <w:pPr>
        <w:rPr>
          <w:rFonts w:ascii="Times New Roman" w:hAnsi="Times New Roman"/>
          <w:sz w:val="24"/>
          <w:szCs w:val="24"/>
          <w:lang w:val="en-IN"/>
        </w:rPr>
      </w:pPr>
    </w:p>
    <w:p w14:paraId="121AE199" w14:textId="77777777" w:rsidR="000A2D05" w:rsidRPr="00753AE3" w:rsidRDefault="00000000">
      <w:pPr>
        <w:jc w:val="center"/>
        <w:rPr>
          <w:rFonts w:ascii="Times New Roman" w:hAnsi="Times New Roman"/>
          <w:sz w:val="24"/>
          <w:szCs w:val="24"/>
          <w:lang w:val="en-IN"/>
        </w:rPr>
      </w:pPr>
      <w:r w:rsidRPr="00753AE3">
        <w:rPr>
          <w:rFonts w:ascii="Times New Roman" w:eastAsia="Times New Roman" w:hAnsi="Times New Roman"/>
          <w:noProof/>
          <w:sz w:val="24"/>
          <w:szCs w:val="24"/>
          <w:lang w:eastAsia="en-US"/>
        </w:rPr>
        <w:lastRenderedPageBreak/>
        <w:drawing>
          <wp:inline distT="0" distB="0" distL="0" distR="0" wp14:anchorId="3FFE354F" wp14:editId="164FF570">
            <wp:extent cx="3616960" cy="2580640"/>
            <wp:effectExtent l="0" t="0" r="0" b="0"/>
            <wp:docPr id="103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9" cstate="print"/>
                    <a:srcRect/>
                    <a:stretch/>
                  </pic:blipFill>
                  <pic:spPr>
                    <a:xfrm>
                      <a:off x="0" y="0"/>
                      <a:ext cx="3616960" cy="2580640"/>
                    </a:xfrm>
                    <a:prstGeom prst="rect">
                      <a:avLst/>
                    </a:prstGeom>
                    <a:ln>
                      <a:noFill/>
                    </a:ln>
                  </pic:spPr>
                </pic:pic>
              </a:graphicData>
            </a:graphic>
          </wp:inline>
        </w:drawing>
      </w:r>
    </w:p>
    <w:p w14:paraId="2C4D5FDC" w14:textId="77777777" w:rsidR="000A2D05" w:rsidRPr="00753AE3" w:rsidRDefault="00000000">
      <w:pPr>
        <w:jc w:val="center"/>
        <w:rPr>
          <w:rFonts w:ascii="Times New Roman" w:hAnsi="Times New Roman"/>
          <w:sz w:val="24"/>
          <w:szCs w:val="24"/>
          <w:lang w:val="en-IN"/>
        </w:rPr>
      </w:pPr>
      <w:r w:rsidRPr="00753AE3">
        <w:rPr>
          <w:rFonts w:ascii="Times New Roman" w:hAnsi="Times New Roman"/>
          <w:sz w:val="24"/>
          <w:szCs w:val="24"/>
          <w:lang w:val="en-IN"/>
        </w:rPr>
        <w:t>Image received for the mentioned prompt</w:t>
      </w:r>
    </w:p>
    <w:p w14:paraId="2F633405" w14:textId="77777777" w:rsidR="000A2D05" w:rsidRPr="00753AE3" w:rsidRDefault="00000000">
      <w:pPr>
        <w:rPr>
          <w:rFonts w:ascii="Times New Roman" w:hAnsi="Times New Roman"/>
          <w:sz w:val="24"/>
          <w:szCs w:val="24"/>
        </w:rPr>
      </w:pPr>
      <w:r w:rsidRPr="00753AE3">
        <w:rPr>
          <w:rFonts w:ascii="Times New Roman" w:hAnsi="Times New Roman"/>
          <w:sz w:val="24"/>
          <w:szCs w:val="24"/>
        </w:rPr>
        <w:t xml:space="preserve">2. Figure no: 5 </w:t>
      </w:r>
      <w:r w:rsidRPr="00753AE3">
        <w:rPr>
          <w:rFonts w:ascii="Times New Roman" w:eastAsia="Times New Roman" w:hAnsi="Times New Roman"/>
          <w:b/>
          <w:bCs/>
          <w:sz w:val="24"/>
          <w:szCs w:val="24"/>
          <w:lang w:eastAsia="en-US"/>
        </w:rPr>
        <w:t xml:space="preserve">Comparison </w:t>
      </w:r>
      <w:proofErr w:type="gramStart"/>
      <w:r w:rsidRPr="00753AE3">
        <w:rPr>
          <w:rFonts w:ascii="Times New Roman" w:eastAsia="Times New Roman" w:hAnsi="Times New Roman"/>
          <w:b/>
          <w:bCs/>
          <w:sz w:val="24"/>
          <w:szCs w:val="24"/>
          <w:lang w:eastAsia="en-US"/>
        </w:rPr>
        <w:t>Of</w:t>
      </w:r>
      <w:proofErr w:type="gramEnd"/>
      <w:r w:rsidRPr="00753AE3">
        <w:rPr>
          <w:rFonts w:ascii="Times New Roman" w:eastAsia="Times New Roman" w:hAnsi="Times New Roman"/>
          <w:b/>
          <w:bCs/>
          <w:sz w:val="24"/>
          <w:szCs w:val="24"/>
          <w:lang w:eastAsia="en-US"/>
        </w:rPr>
        <w:t xml:space="preserve"> Plant Derived Exosome Like Nanoparticles </w:t>
      </w:r>
      <w:proofErr w:type="gramStart"/>
      <w:r w:rsidRPr="00753AE3">
        <w:rPr>
          <w:rFonts w:ascii="Times New Roman" w:eastAsia="Times New Roman" w:hAnsi="Times New Roman"/>
          <w:b/>
          <w:bCs/>
          <w:sz w:val="24"/>
          <w:szCs w:val="24"/>
          <w:lang w:eastAsia="en-US"/>
        </w:rPr>
        <w:t>And</w:t>
      </w:r>
      <w:proofErr w:type="gramEnd"/>
      <w:r w:rsidRPr="00753AE3">
        <w:rPr>
          <w:rFonts w:ascii="Times New Roman" w:eastAsia="Times New Roman" w:hAnsi="Times New Roman"/>
          <w:b/>
          <w:bCs/>
          <w:sz w:val="24"/>
          <w:szCs w:val="24"/>
          <w:lang w:eastAsia="en-US"/>
        </w:rPr>
        <w:t xml:space="preserve"> Liposomes</w:t>
      </w:r>
    </w:p>
    <w:p w14:paraId="0BCF6708" w14:textId="77777777" w:rsidR="000A2D05" w:rsidRPr="00753AE3" w:rsidRDefault="00000000">
      <w:pPr>
        <w:rPr>
          <w:rFonts w:ascii="Times New Roman" w:hAnsi="Times New Roman"/>
          <w:sz w:val="24"/>
          <w:szCs w:val="24"/>
        </w:rPr>
      </w:pPr>
      <w:r w:rsidRPr="00753AE3">
        <w:rPr>
          <w:rFonts w:ascii="Times New Roman" w:hAnsi="Times New Roman"/>
          <w:sz w:val="24"/>
          <w:szCs w:val="24"/>
        </w:rPr>
        <w:t>Details of prompt:</w:t>
      </w:r>
    </w:p>
    <w:p w14:paraId="2EB04EC3" w14:textId="77777777" w:rsidR="000A2D05" w:rsidRPr="00753AE3" w:rsidRDefault="00000000">
      <w:pPr>
        <w:rPr>
          <w:rFonts w:ascii="Times New Roman" w:hAnsi="Times New Roman"/>
          <w:sz w:val="24"/>
          <w:szCs w:val="24"/>
          <w:lang w:val="en-IN"/>
        </w:rPr>
      </w:pPr>
      <w:r w:rsidRPr="00753AE3">
        <w:rPr>
          <w:rFonts w:ascii="Times New Roman" w:hAnsi="Times New Roman"/>
          <w:sz w:val="24"/>
          <w:szCs w:val="24"/>
          <w:lang w:val="en-IN"/>
        </w:rPr>
        <w:t>Challenges:</w:t>
      </w:r>
    </w:p>
    <w:p w14:paraId="3CCA52CD" w14:textId="77777777" w:rsidR="000A2D05" w:rsidRPr="00753AE3" w:rsidRDefault="00000000">
      <w:pPr>
        <w:numPr>
          <w:ilvl w:val="0"/>
          <w:numId w:val="2"/>
        </w:numPr>
        <w:rPr>
          <w:rFonts w:ascii="Times New Roman" w:hAnsi="Times New Roman"/>
          <w:sz w:val="24"/>
          <w:szCs w:val="24"/>
          <w:lang w:val="en-IN"/>
        </w:rPr>
      </w:pPr>
      <w:r w:rsidRPr="00753AE3">
        <w:rPr>
          <w:rFonts w:ascii="Times New Roman" w:hAnsi="Times New Roman"/>
          <w:sz w:val="24"/>
          <w:szCs w:val="24"/>
          <w:lang w:val="en-IN"/>
        </w:rPr>
        <w:t>Even Though PELNs can be used as a drug carrier in the treatment of periodontitis, being nanocarriers it may not load larger quantity of drugs which pushes us to use synthetic liposomes as a carrier.</w:t>
      </w:r>
    </w:p>
    <w:p w14:paraId="38D752A6" w14:textId="77777777" w:rsidR="000A2D05" w:rsidRPr="00753AE3" w:rsidRDefault="00000000">
      <w:pPr>
        <w:numPr>
          <w:ilvl w:val="0"/>
          <w:numId w:val="2"/>
        </w:numPr>
        <w:rPr>
          <w:rFonts w:ascii="Times New Roman" w:hAnsi="Times New Roman"/>
          <w:sz w:val="24"/>
          <w:szCs w:val="24"/>
          <w:lang w:val="en-IN"/>
        </w:rPr>
      </w:pPr>
      <w:r w:rsidRPr="00753AE3">
        <w:rPr>
          <w:rFonts w:ascii="Times New Roman" w:hAnsi="Times New Roman"/>
          <w:sz w:val="24"/>
          <w:szCs w:val="24"/>
          <w:lang w:val="en-IN"/>
        </w:rPr>
        <w:t>Phytochemical contents vary during the isolation process which cannot be standardized.</w:t>
      </w:r>
    </w:p>
    <w:p w14:paraId="378A6B6B" w14:textId="77777777" w:rsidR="000A2D05" w:rsidRPr="00753AE3" w:rsidRDefault="00000000">
      <w:pPr>
        <w:numPr>
          <w:ilvl w:val="0"/>
          <w:numId w:val="2"/>
        </w:numPr>
        <w:rPr>
          <w:rFonts w:ascii="Times New Roman" w:hAnsi="Times New Roman"/>
          <w:sz w:val="24"/>
          <w:szCs w:val="24"/>
          <w:lang w:val="en-IN"/>
        </w:rPr>
      </w:pPr>
      <w:r w:rsidRPr="00753AE3">
        <w:rPr>
          <w:rFonts w:ascii="Times New Roman" w:hAnsi="Times New Roman"/>
          <w:sz w:val="24"/>
          <w:szCs w:val="24"/>
          <w:lang w:val="en-IN"/>
        </w:rPr>
        <w:t>Need of encapsulation technique.</w:t>
      </w:r>
    </w:p>
    <w:p w14:paraId="5447BBCA" w14:textId="77777777" w:rsidR="000A2D05" w:rsidRPr="00753AE3" w:rsidRDefault="00000000">
      <w:pPr>
        <w:numPr>
          <w:ilvl w:val="0"/>
          <w:numId w:val="2"/>
        </w:numPr>
        <w:rPr>
          <w:rFonts w:ascii="Times New Roman" w:hAnsi="Times New Roman"/>
          <w:sz w:val="24"/>
          <w:szCs w:val="24"/>
          <w:lang w:val="en-IN"/>
        </w:rPr>
      </w:pPr>
      <w:r w:rsidRPr="00753AE3">
        <w:rPr>
          <w:rFonts w:ascii="Times New Roman" w:hAnsi="Times New Roman"/>
          <w:sz w:val="24"/>
          <w:szCs w:val="24"/>
          <w:lang w:val="en-IN"/>
        </w:rPr>
        <w:t>Lack of literature evidence to support the mechanism behind.</w:t>
      </w:r>
    </w:p>
    <w:p w14:paraId="5EFC1F01" w14:textId="77777777" w:rsidR="000A2D05" w:rsidRPr="00753AE3" w:rsidRDefault="00000000">
      <w:pPr>
        <w:ind w:left="360"/>
        <w:rPr>
          <w:rFonts w:ascii="Times New Roman" w:hAnsi="Times New Roman"/>
          <w:sz w:val="24"/>
          <w:szCs w:val="24"/>
          <w:lang w:val="en-IN"/>
        </w:rPr>
      </w:pPr>
      <w:r w:rsidRPr="00753AE3">
        <w:rPr>
          <w:rFonts w:ascii="Times New Roman" w:hAnsi="Times New Roman"/>
          <w:sz w:val="24"/>
          <w:szCs w:val="24"/>
          <w:lang w:val="en-IN"/>
        </w:rPr>
        <w:t>Image received for the mentioned prompt:</w:t>
      </w:r>
    </w:p>
    <w:p w14:paraId="093E556A" w14:textId="77777777" w:rsidR="000A2D05" w:rsidRPr="00753AE3" w:rsidRDefault="000A2D05">
      <w:pPr>
        <w:rPr>
          <w:rFonts w:ascii="Times New Roman" w:hAnsi="Times New Roman"/>
          <w:sz w:val="24"/>
          <w:szCs w:val="24"/>
        </w:rPr>
      </w:pPr>
    </w:p>
    <w:p w14:paraId="375F7423" w14:textId="77777777" w:rsidR="000A2D05" w:rsidRPr="00753AE3" w:rsidRDefault="00000000">
      <w:pPr>
        <w:rPr>
          <w:rFonts w:ascii="Times New Roman" w:hAnsi="Times New Roman"/>
          <w:sz w:val="24"/>
          <w:szCs w:val="24"/>
        </w:rPr>
        <w:sectPr w:rsidR="000A2D05" w:rsidRPr="00753AE3">
          <w:headerReference w:type="even" r:id="rId14"/>
          <w:headerReference w:type="default" r:id="rId15"/>
          <w:footerReference w:type="even" r:id="rId16"/>
          <w:footerReference w:type="default" r:id="rId17"/>
          <w:headerReference w:type="first" r:id="rId18"/>
          <w:pgSz w:w="11910" w:h="16840"/>
          <w:pgMar w:top="1360" w:right="708" w:bottom="280" w:left="1417" w:header="720" w:footer="720" w:gutter="0"/>
          <w:pgBorders>
            <w:top w:val="single" w:sz="4" w:space="24" w:color="000000"/>
            <w:left w:val="single" w:sz="4" w:space="24" w:color="000000"/>
            <w:bottom w:val="single" w:sz="4" w:space="24" w:color="000000"/>
            <w:right w:val="single" w:sz="4" w:space="24" w:color="000000"/>
          </w:pgBorders>
          <w:cols w:space="720"/>
        </w:sectPr>
      </w:pPr>
      <w:r w:rsidRPr="00753AE3">
        <w:rPr>
          <w:rFonts w:ascii="Times New Roman" w:hAnsi="Times New Roman"/>
          <w:sz w:val="24"/>
          <w:szCs w:val="24"/>
        </w:rPr>
        <w:t xml:space="preserve">                         </w:t>
      </w:r>
      <w:r w:rsidRPr="00753AE3">
        <w:rPr>
          <w:rFonts w:ascii="Times New Roman" w:hAnsi="Times New Roman"/>
          <w:noProof/>
          <w:sz w:val="24"/>
          <w:szCs w:val="24"/>
        </w:rPr>
        <w:drawing>
          <wp:inline distT="0" distB="0" distL="0" distR="0" wp14:anchorId="14878615" wp14:editId="2E2F968B">
            <wp:extent cx="3129280" cy="2286000"/>
            <wp:effectExtent l="0" t="0" r="0" b="0"/>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9" cstate="print"/>
                    <a:srcRect/>
                    <a:stretch/>
                  </pic:blipFill>
                  <pic:spPr>
                    <a:xfrm>
                      <a:off x="0" y="0"/>
                      <a:ext cx="3129280" cy="2286000"/>
                    </a:xfrm>
                    <a:prstGeom prst="rect">
                      <a:avLst/>
                    </a:prstGeom>
                    <a:ln>
                      <a:noFill/>
                    </a:ln>
                  </pic:spPr>
                </pic:pic>
              </a:graphicData>
            </a:graphic>
          </wp:inline>
        </w:drawing>
      </w:r>
    </w:p>
    <w:p w14:paraId="63F73822"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lastRenderedPageBreak/>
        <w:t>REFERENCE:</w:t>
      </w:r>
    </w:p>
    <w:p w14:paraId="1E314CE4"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1. Slots J, Rams TE. Herpesvirus-Bacteria pathogenic interaction in juvenile (aggressive) periodontitis. A novel etiologic concept of the disease. Periodontol 2000. 2024 Feb;94(1):532-538.</w:t>
      </w:r>
      <w:r w:rsidRPr="00753AE3">
        <w:rPr>
          <w:rFonts w:ascii="Times New Roman" w:hAnsi="Times New Roman"/>
          <w:sz w:val="24"/>
          <w:szCs w:val="24"/>
        </w:rPr>
        <w:cr/>
        <w:t>2. Mukherjee S. The role of crevicular fluid iron in periodontal disease. J Periodontol. (1985) 56:22–7.</w:t>
      </w:r>
      <w:r w:rsidRPr="00753AE3">
        <w:rPr>
          <w:rFonts w:ascii="Times New Roman" w:hAnsi="Times New Roman"/>
          <w:sz w:val="24"/>
          <w:szCs w:val="24"/>
        </w:rPr>
        <w:cr/>
        <w:t>3. Raittio E, Grytten J, Lopez R, Blich CC, Vettore MV, Baelum V. Applying current European periodontitis clinical practice guidelines is not feasible even for the richest countries in the world. Community Dent Oral Epidemiol. 2025 Feb;53(1):1-6.</w:t>
      </w:r>
    </w:p>
    <w:p w14:paraId="645F86D1"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4. Stødle IH, Imber JC, Shanbhag SV, Salvi GE, Verket A, Stähli A. Methods for Clinical Assessment in Periodontal Diagnostics: A Systematic Review. J Clin Periodontol. 2025 Aug;52 Suppl 29:58-73.</w:t>
      </w:r>
    </w:p>
    <w:p w14:paraId="3FC3DE69"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5. Trindade D, et al. Prevalence of periodontitis in dentate people between 2011 and 2020: a systematic review and meta-analysis of epidemiological studies. J Clin Periodontol. 2023;50(5):604–26.</w:t>
      </w:r>
    </w:p>
    <w:p w14:paraId="58383DDB"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6. Velea O-A, Sinescu C, Zeicu C, et al. Evaluation of periodontal pockets using different biomaterials. A preliminary study. Rev Chim. </w:t>
      </w:r>
      <w:proofErr w:type="gramStart"/>
      <w:r w:rsidRPr="00753AE3">
        <w:rPr>
          <w:rFonts w:ascii="Times New Roman" w:hAnsi="Times New Roman"/>
          <w:sz w:val="24"/>
          <w:szCs w:val="24"/>
        </w:rPr>
        <w:t>2014;65:1063</w:t>
      </w:r>
      <w:proofErr w:type="gramEnd"/>
      <w:r w:rsidRPr="00753AE3">
        <w:rPr>
          <w:rFonts w:ascii="Times New Roman" w:hAnsi="Times New Roman"/>
          <w:sz w:val="24"/>
          <w:szCs w:val="24"/>
        </w:rPr>
        <w:t>‐1066.</w:t>
      </w:r>
    </w:p>
    <w:p w14:paraId="00A9E0FD"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7. Mota CC, Fernandes LO, Cimoes R, Gomes AS. Non-invasive periodontal probing through Fourierdomain optical coherence tomography. J Periodontol. </w:t>
      </w:r>
      <w:proofErr w:type="gramStart"/>
      <w:r w:rsidRPr="00753AE3">
        <w:rPr>
          <w:rFonts w:ascii="Times New Roman" w:hAnsi="Times New Roman"/>
          <w:sz w:val="24"/>
          <w:szCs w:val="24"/>
        </w:rPr>
        <w:t>2015;86:1087</w:t>
      </w:r>
      <w:proofErr w:type="gramEnd"/>
      <w:r w:rsidRPr="00753AE3">
        <w:rPr>
          <w:rFonts w:ascii="Times New Roman" w:hAnsi="Times New Roman"/>
          <w:sz w:val="24"/>
          <w:szCs w:val="24"/>
        </w:rPr>
        <w:t>‐1094.</w:t>
      </w:r>
    </w:p>
    <w:p w14:paraId="10290901"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8. Townsend D, D’aiuto F, Deanfield J. Preliminary study of video imaging of blood vessels in tissues lining the gingival sulcus in periodontally healthy individuals. J Periodontal Res. </w:t>
      </w:r>
      <w:proofErr w:type="gramStart"/>
      <w:r w:rsidRPr="00753AE3">
        <w:rPr>
          <w:rFonts w:ascii="Times New Roman" w:hAnsi="Times New Roman"/>
          <w:sz w:val="24"/>
          <w:szCs w:val="24"/>
        </w:rPr>
        <w:t>2014;49:670</w:t>
      </w:r>
      <w:proofErr w:type="gramEnd"/>
      <w:r w:rsidRPr="00753AE3">
        <w:rPr>
          <w:rFonts w:ascii="Times New Roman" w:hAnsi="Times New Roman"/>
          <w:sz w:val="24"/>
          <w:szCs w:val="24"/>
        </w:rPr>
        <w:t>‐679.</w:t>
      </w:r>
    </w:p>
    <w:p w14:paraId="114B1C98"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9. Lin CY, Chen F, Hariri A, et al. Photoacoustic imaging for noninvasive periodontal probing depth measurements. J Dent Res. </w:t>
      </w:r>
      <w:proofErr w:type="gramStart"/>
      <w:r w:rsidRPr="00753AE3">
        <w:rPr>
          <w:rFonts w:ascii="Times New Roman" w:hAnsi="Times New Roman"/>
          <w:sz w:val="24"/>
          <w:szCs w:val="24"/>
        </w:rPr>
        <w:t>2018;97:23</w:t>
      </w:r>
      <w:proofErr w:type="gramEnd"/>
      <w:r w:rsidRPr="00753AE3">
        <w:rPr>
          <w:rFonts w:ascii="Times New Roman" w:hAnsi="Times New Roman"/>
          <w:sz w:val="24"/>
          <w:szCs w:val="24"/>
        </w:rPr>
        <w:t>‐30.</w:t>
      </w:r>
    </w:p>
    <w:p w14:paraId="0994BF2A"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10. Gorgzadeh A, et al. A state-of-the-art review of the recent advances in exosome isolation and detection methods in viral infection. Virology Journal. 2024;21(1):34.</w:t>
      </w:r>
    </w:p>
    <w:p w14:paraId="2A76521D"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11. Ostadhossein F, et al. </w:t>
      </w:r>
      <w:proofErr w:type="gramStart"/>
      <w:r w:rsidRPr="00753AE3">
        <w:rPr>
          <w:rFonts w:ascii="Times New Roman" w:hAnsi="Times New Roman"/>
          <w:sz w:val="24"/>
          <w:szCs w:val="24"/>
        </w:rPr>
        <w:t>Dual purpose</w:t>
      </w:r>
      <w:proofErr w:type="gramEnd"/>
      <w:r w:rsidRPr="00753AE3">
        <w:rPr>
          <w:rFonts w:ascii="Times New Roman" w:hAnsi="Times New Roman"/>
          <w:sz w:val="24"/>
          <w:szCs w:val="24"/>
        </w:rPr>
        <w:t xml:space="preserve"> hafnium oxide nanoparticles offer imaging Streptococcus mutans dental biofilm and fight it in vivo via a drug free approach. Biomaterials. </w:t>
      </w:r>
      <w:proofErr w:type="gramStart"/>
      <w:r w:rsidRPr="00753AE3">
        <w:rPr>
          <w:rFonts w:ascii="Times New Roman" w:hAnsi="Times New Roman"/>
          <w:sz w:val="24"/>
          <w:szCs w:val="24"/>
        </w:rPr>
        <w:t>2018;181:252</w:t>
      </w:r>
      <w:proofErr w:type="gramEnd"/>
      <w:r w:rsidRPr="00753AE3">
        <w:rPr>
          <w:rFonts w:ascii="Times New Roman" w:hAnsi="Times New Roman"/>
          <w:sz w:val="24"/>
          <w:szCs w:val="24"/>
        </w:rPr>
        <w:t>–67.</w:t>
      </w:r>
    </w:p>
    <w:p w14:paraId="1838E5F0"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12. Malik P, et al. Nanobiosensors: concepts and variations. Int Sch Res Not. </w:t>
      </w:r>
      <w:proofErr w:type="gramStart"/>
      <w:r w:rsidRPr="00753AE3">
        <w:rPr>
          <w:rFonts w:ascii="Times New Roman" w:hAnsi="Times New Roman"/>
          <w:sz w:val="24"/>
          <w:szCs w:val="24"/>
        </w:rPr>
        <w:t>2013;2013:327</w:t>
      </w:r>
      <w:proofErr w:type="gramEnd"/>
      <w:r w:rsidRPr="00753AE3">
        <w:rPr>
          <w:rFonts w:ascii="Times New Roman" w:hAnsi="Times New Roman"/>
          <w:sz w:val="24"/>
          <w:szCs w:val="24"/>
        </w:rPr>
        <w:t>–435.</w:t>
      </w:r>
    </w:p>
    <w:p w14:paraId="59D9D747"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13. Palomar Q, et al. Detection of gingipain activity using solid state nanop ore sensors. Sens Actuators, B Chem. 2022;368:132209.</w:t>
      </w:r>
    </w:p>
    <w:p w14:paraId="1524B200" w14:textId="5204391C"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14. Wignarajah S, et al. Colorimetric assay for the detection of typical bio markers for periodontitis using a magnetic nanoparticle biosensor. Anal Chem. 2015;87(24):12161–8.</w:t>
      </w:r>
    </w:p>
    <w:p w14:paraId="3BCD54B6"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15. Blanco-Pintos T, Regueira-Iglesias A, Relvas M, Alonso-Sampedro M, Bravo SB, Balsa-Castro C, Tomás I. Diagnostic Accuracy of Novel Protein Biomarkers in Saliva to Detect </w:t>
      </w:r>
      <w:r w:rsidRPr="00753AE3">
        <w:rPr>
          <w:rFonts w:ascii="Times New Roman" w:hAnsi="Times New Roman"/>
          <w:sz w:val="24"/>
          <w:szCs w:val="24"/>
        </w:rPr>
        <w:lastRenderedPageBreak/>
        <w:t>Periodontitis Using Untargeted 'SWATH' Mass Spectrometry. J Clin Periodontol. 2025 Feb;52(2):199-214.</w:t>
      </w:r>
    </w:p>
    <w:p w14:paraId="4F37921F"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16. Cafiero C, Spagnuolo G. Predictive Periodontitis: The Most Promising Salivary Biomarkers for Early Diagnosis of Periodontitis. J Clin Med. 2021;10(7):1488.</w:t>
      </w:r>
    </w:p>
    <w:p w14:paraId="21ED9E75"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17. Rakic M, Calciolari E, Grant MM, Radovanovic S, Bostanci N, Preshaw PM. Host Markers of Periodontal Diseases: Meta-Analysis of Diagnostic Accuracy Studies. J Clin Periodontol. 2025 Apr 19.</w:t>
      </w:r>
      <w:r w:rsidRPr="00753AE3">
        <w:rPr>
          <w:rFonts w:ascii="Times New Roman" w:hAnsi="Times New Roman"/>
          <w:sz w:val="24"/>
          <w:szCs w:val="24"/>
        </w:rPr>
        <w:cr/>
        <w:t>18. Wu, C.-Z.; Yuan, Y.-H.; Liu, H.-H.; Li, S.-S.; Zhang, B.-W.; Chen, W.; An, Z.-J.; Chen, S.-Y.; Wu, Y.-Z.; Han, B. Epidemiologic relationship between periodontitis and type 2 diabetes mellitus. BMC Oral Health 2020, 20, 204.</w:t>
      </w:r>
    </w:p>
    <w:p w14:paraId="33E4B743"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19. Chiang HM, Jonzén K, Wu WY, Öhberg F, Garoff M, Lövgren A, Lundberg P. How Accurate Is AI in Detecting Marginal Jaw Bone Loss? A Systematic Review and Meta-Analysis. J Dent. 2025 Oct 6:106151.</w:t>
      </w:r>
      <w:r w:rsidRPr="00753AE3">
        <w:rPr>
          <w:rFonts w:ascii="Times New Roman" w:hAnsi="Times New Roman"/>
          <w:sz w:val="24"/>
          <w:szCs w:val="24"/>
        </w:rPr>
        <w:cr/>
        <w:t>20. You, W.; Hao, A.; Li, S.; Wang, Y.; Xia, B. Deep learning-based dental plaque detection on primary teeth: A comparison with clinical assessments. BMC Oral Health 2020, 20, 141.</w:t>
      </w:r>
      <w:r w:rsidRPr="00753AE3">
        <w:rPr>
          <w:rFonts w:ascii="Times New Roman" w:hAnsi="Times New Roman"/>
          <w:sz w:val="24"/>
          <w:szCs w:val="24"/>
        </w:rPr>
        <w:cr/>
        <w:t xml:space="preserve">21. </w:t>
      </w:r>
      <w:proofErr w:type="gramStart"/>
      <w:r w:rsidRPr="00753AE3">
        <w:rPr>
          <w:rFonts w:ascii="Times New Roman" w:hAnsi="Times New Roman"/>
          <w:sz w:val="24"/>
          <w:szCs w:val="24"/>
        </w:rPr>
        <w:t>Alam,M.M.</w:t>
      </w:r>
      <w:proofErr w:type="gramEnd"/>
      <w:r w:rsidRPr="00753AE3">
        <w:rPr>
          <w:rFonts w:ascii="Times New Roman" w:hAnsi="Times New Roman"/>
          <w:sz w:val="24"/>
          <w:szCs w:val="24"/>
        </w:rPr>
        <w:t>; Islam, M.T. Machine learning approach of automatic identification and counting of blood cells. Healthc. Technol. Lett. 2019, 6, 103–108.</w:t>
      </w:r>
    </w:p>
    <w:p w14:paraId="68574720"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22. Ragab MG, Abdulkadir SJ, Qaid N, Gondal TM, Alqushaibi A, Qureshi R, Shaukat F. Periodontitis bone loss detection in panoramic radiographs using modified YOLOv7. PeerJ Comput Sci. 2025 Sep 5;</w:t>
      </w:r>
      <w:proofErr w:type="gramStart"/>
      <w:r w:rsidRPr="00753AE3">
        <w:rPr>
          <w:rFonts w:ascii="Times New Roman" w:hAnsi="Times New Roman"/>
          <w:sz w:val="24"/>
          <w:szCs w:val="24"/>
        </w:rPr>
        <w:t>11:e</w:t>
      </w:r>
      <w:proofErr w:type="gramEnd"/>
      <w:r w:rsidRPr="00753AE3">
        <w:rPr>
          <w:rFonts w:ascii="Times New Roman" w:hAnsi="Times New Roman"/>
          <w:sz w:val="24"/>
          <w:szCs w:val="24"/>
        </w:rPr>
        <w:t>3102.</w:t>
      </w:r>
    </w:p>
    <w:p w14:paraId="775082E5"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23. Khan, A.; Khan, K.J.; Ghaza, M.A.; Dave, T.; Shahnoor, S.; Khan, A.M.; Oduoye, M.O.; Nafula, W.P.; Ubechu, S.C. Celebrating breakthrough in dental diagnostics: FDA approval of an AI model for diagnosis of periodontal diseases: A correspondence. Health Sci. Rep. 2023, 6, e1573.</w:t>
      </w:r>
      <w:r w:rsidRPr="00753AE3">
        <w:rPr>
          <w:rFonts w:ascii="Times New Roman" w:hAnsi="Times New Roman"/>
          <w:sz w:val="24"/>
          <w:szCs w:val="24"/>
        </w:rPr>
        <w:cr/>
        <w:t>24. Hajishengallis, E.; Hajishengallis, G. Neutrophil homeostasis and periodontal health in children and adults. J. Dent. Res. 2014, 93, 231–237.</w:t>
      </w:r>
    </w:p>
    <w:p w14:paraId="66BA7716"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25. Kim EH, Kim S, Kim HJ, </w:t>
      </w:r>
      <w:proofErr w:type="gramStart"/>
      <w:r w:rsidRPr="00753AE3">
        <w:rPr>
          <w:rFonts w:ascii="Times New Roman" w:hAnsi="Times New Roman"/>
          <w:sz w:val="24"/>
          <w:szCs w:val="24"/>
        </w:rPr>
        <w:t>et  al.</w:t>
      </w:r>
      <w:proofErr w:type="gramEnd"/>
      <w:r w:rsidRPr="00753AE3">
        <w:rPr>
          <w:rFonts w:ascii="Times New Roman" w:hAnsi="Times New Roman"/>
          <w:sz w:val="24"/>
          <w:szCs w:val="24"/>
        </w:rPr>
        <w:t xml:space="preserve"> Prediction of chronic periodontitis severity using machine learning models based on salivary bacterial copy number. Front Cell Infect Microbiol </w:t>
      </w:r>
      <w:proofErr w:type="gramStart"/>
      <w:r w:rsidRPr="00753AE3">
        <w:rPr>
          <w:rFonts w:ascii="Times New Roman" w:hAnsi="Times New Roman"/>
          <w:sz w:val="24"/>
          <w:szCs w:val="24"/>
        </w:rPr>
        <w:t>2020;10:571515</w:t>
      </w:r>
      <w:proofErr w:type="gramEnd"/>
      <w:r w:rsidRPr="00753AE3">
        <w:rPr>
          <w:rFonts w:ascii="Times New Roman" w:hAnsi="Times New Roman"/>
          <w:sz w:val="24"/>
          <w:szCs w:val="24"/>
        </w:rPr>
        <w:t>.</w:t>
      </w:r>
    </w:p>
    <w:p w14:paraId="1A77766A"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26. Lee JH, Kim DH, Jeong SN, </w:t>
      </w:r>
      <w:proofErr w:type="gramStart"/>
      <w:r w:rsidRPr="00753AE3">
        <w:rPr>
          <w:rFonts w:ascii="Times New Roman" w:hAnsi="Times New Roman"/>
          <w:sz w:val="24"/>
          <w:szCs w:val="24"/>
        </w:rPr>
        <w:t>et  al.</w:t>
      </w:r>
      <w:proofErr w:type="gramEnd"/>
      <w:r w:rsidRPr="00753AE3">
        <w:rPr>
          <w:rFonts w:ascii="Times New Roman" w:hAnsi="Times New Roman"/>
          <w:sz w:val="24"/>
          <w:szCs w:val="24"/>
        </w:rPr>
        <w:t xml:space="preserve"> Diagnosis and prediction of periodontally compromised teeth using a deep learning-based convolutional neural network algorithm. J Periodontal Implant Sci </w:t>
      </w:r>
      <w:proofErr w:type="gramStart"/>
      <w:r w:rsidRPr="00753AE3">
        <w:rPr>
          <w:rFonts w:ascii="Times New Roman" w:hAnsi="Times New Roman"/>
          <w:sz w:val="24"/>
          <w:szCs w:val="24"/>
        </w:rPr>
        <w:t>2018;48:114</w:t>
      </w:r>
      <w:proofErr w:type="gramEnd"/>
      <w:r w:rsidRPr="00753AE3">
        <w:rPr>
          <w:rFonts w:ascii="Times New Roman" w:hAnsi="Times New Roman"/>
          <w:sz w:val="24"/>
          <w:szCs w:val="24"/>
        </w:rPr>
        <w:t>–123.</w:t>
      </w:r>
    </w:p>
    <w:p w14:paraId="740677CD"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27. Grischke J, Johannsmeier L, Eich L, et al. Dentronics: Towards robotics and artificial intelligence in dentistry. Dent Mater </w:t>
      </w:r>
      <w:proofErr w:type="gramStart"/>
      <w:r w:rsidRPr="00753AE3">
        <w:rPr>
          <w:rFonts w:ascii="Times New Roman" w:hAnsi="Times New Roman"/>
          <w:sz w:val="24"/>
          <w:szCs w:val="24"/>
        </w:rPr>
        <w:t>2020;3:765</w:t>
      </w:r>
      <w:proofErr w:type="gramEnd"/>
      <w:r w:rsidRPr="00753AE3">
        <w:rPr>
          <w:rFonts w:ascii="Times New Roman" w:hAnsi="Times New Roman"/>
          <w:sz w:val="24"/>
          <w:szCs w:val="24"/>
        </w:rPr>
        <w:t>–778</w:t>
      </w:r>
    </w:p>
    <w:p w14:paraId="372EF5A0"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28. Jönsson B, Öhrn K, Oscarson N, Lindberg P. The effectiveness of an individually tailored oral health educational programme on oral hygiene behaviour in patients with periodontal disease: a blindedrandomized‐controlled clinical trial (one‐year follow‐up). Journal of clinical periodontology. 2009 Dec;36(12):1025-34.</w:t>
      </w:r>
    </w:p>
    <w:p w14:paraId="1F91C23C"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lastRenderedPageBreak/>
        <w:t>29. Shen KL, Huang CL, Lin YC, Du JK, Chen FL, Kabasawa Y, Chen CC, Huang HL. Effects of artificial intelligence‐assisted dental monitoring intervention in patients with periodontitis: a randomized controlled trial. Journal of Clinical Periodontology. 2022 Oct;49(10):988-98.</w:t>
      </w:r>
    </w:p>
    <w:p w14:paraId="35D539BC"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30. Tobon-Arroyave SI, Celis-Mejia N, Cordoba-Hidalgo MP, Isaza-Guzman DM. Decreased salivary concentration of CD9 and CD81 exosome-related tetraspanins may be associated with the periodontal clinical status. J Clin Periodontol. 2019;46(4):470–480.</w:t>
      </w:r>
    </w:p>
    <w:p w14:paraId="5014B524"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31. Zhang Y, Chen J, Fu H, Kuang S, He F, Zhang M, et al. Exosomes derived from 3D-cultured MSCs improve therapeutic effects in periodontitis and experimental colitis and restore the Th17 cell/Treg balance in inflamed periodontium. Int J Oral Sci. 2021;13(1):43.</w:t>
      </w:r>
    </w:p>
    <w:p w14:paraId="457609BC"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32. Shen Z, Kuang S, Zhang Y, Yang M, Qin W, Shi X, et al. Chitosan hydrogel incorporated with dental pulp stem cell-derived exosomes alleviates periodontitis in mice via a macrophage-dependent mechanism. Bioact Mater. 2020;5(4):1113–1126.</w:t>
      </w:r>
    </w:p>
    <w:p w14:paraId="5C603B1A"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33. Xia Y, Li X, Li Z, Zhang Y, Xu J, Zhao H, et al. Human bone marrow mesenchymal stem cell–derived extracellular vesicles restore Th17/Treg homeostasis in periodontitis via miR-1246. FASEB J. 2023;37(10</w:t>
      </w:r>
      <w:proofErr w:type="gramStart"/>
      <w:r w:rsidRPr="00753AE3">
        <w:rPr>
          <w:rFonts w:ascii="Times New Roman" w:hAnsi="Times New Roman"/>
          <w:sz w:val="24"/>
          <w:szCs w:val="24"/>
        </w:rPr>
        <w:t>):e</w:t>
      </w:r>
      <w:proofErr w:type="gramEnd"/>
      <w:r w:rsidRPr="00753AE3">
        <w:rPr>
          <w:rFonts w:ascii="Times New Roman" w:hAnsi="Times New Roman"/>
          <w:sz w:val="24"/>
          <w:szCs w:val="24"/>
        </w:rPr>
        <w:t>23180.</w:t>
      </w:r>
    </w:p>
    <w:p w14:paraId="72C82B0F"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34. Hade MD, Suire CN, Suo Z. Mesenchymal stem cell-derived exosomes: Applications in regenerative medicine. Cells. 2021;10(8):1959.</w:t>
      </w:r>
    </w:p>
    <w:p w14:paraId="0428DDC2"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35. Shimizu Y, Takeda-Kawaguchi T, Kuroda I, Hotta Y, Kawasaki H, Hariyama T, et al. Exosomes from dental pulp cells attenuate bone loss in mouse experimental periodontitis. J Periodontal Res. 2022;57(1):162–172.</w:t>
      </w:r>
    </w:p>
    <w:p w14:paraId="2ECFFFF8"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36. Sundaram K, Miller DP, Kumar A, Teng Y, Sayed M, Mu J, et al. Plant Derived Exosomal Nanoparticles Inhibit Pathogenicity of Porphyromonas Gingivalis. iScience (2019) 21:308–27.</w:t>
      </w:r>
    </w:p>
    <w:p w14:paraId="7C9B922D"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 xml:space="preserve">37. Shimizu Y, Iwasaki T, Tajima T, Yuba E, Kono K, Watarai S. Induction of Antibody Response in the Oral Cavity of Dogs Following Intraocular (Eye Drop) Immunization </w:t>
      </w:r>
      <w:proofErr w:type="gramStart"/>
      <w:r w:rsidRPr="00753AE3">
        <w:rPr>
          <w:rFonts w:ascii="Times New Roman" w:hAnsi="Times New Roman"/>
          <w:sz w:val="24"/>
          <w:szCs w:val="24"/>
        </w:rPr>
        <w:t>With</w:t>
      </w:r>
      <w:proofErr w:type="gramEnd"/>
      <w:r w:rsidRPr="00753AE3">
        <w:rPr>
          <w:rFonts w:ascii="Times New Roman" w:hAnsi="Times New Roman"/>
          <w:sz w:val="24"/>
          <w:szCs w:val="24"/>
        </w:rPr>
        <w:t xml:space="preserve"> Porphyromonas Gingivalis Cell Lysate Incorporated in pH-Sensitive Fusogenic Polymer-Modified Liposomes. J Vet Med Sci (2017) 79(2):290–8.</w:t>
      </w:r>
    </w:p>
    <w:p w14:paraId="7743B451"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38. Russell MW, Mestecky J. Mucosal Vaccines: An Overview. In: Mucosal Immunology, 4th ed. Amsterdam: Elsevier Inc (2015). p. 1039–46.</w:t>
      </w:r>
    </w:p>
    <w:p w14:paraId="7B697DE2"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39. Naik SP, Punathil S, Shetty P, Jayanti I, Jalaluddin M, Avijeeta A. Effectiveness of different bristle designs of toothbrushes and periodontal status among fixed orthodontic patients: a double-blind crossover design. J Contemp Dent Pract. (2018) 19(2):150–5.</w:t>
      </w:r>
    </w:p>
    <w:p w14:paraId="190F4E0D"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40. Kini V, Yadav S, Rijhwani JA, Farooqui A, Joshi AA, Phad SG. Comparison of plaque removal and wear between charcoal infused bristle and nylon bristle toothbrushes: a randomized clinical crossover study. J Contemp Dent Pract. (2019) 20(3):377–84.</w:t>
      </w:r>
    </w:p>
    <w:p w14:paraId="7B320171"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41. Rai T, Ym K, Rao A, Anupama Nayak P, Natarajan S, Joseph RM. Evaluation of the effectiveness of a custommade toothbrush in maintaining oral hygiene and gingival health in cerebral palsy patients. Spec Care Dentist. (2018) 38(6):367–72.</w:t>
      </w:r>
    </w:p>
    <w:p w14:paraId="486E3925"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lastRenderedPageBreak/>
        <w:t>42. Soncini JA, Tsamtsouris A. Individually modified toothbrushes and improvement of oral hygiene and gingival health in cerebral palsy children. J Pedod. (1989) 13(4):331–4.</w:t>
      </w:r>
    </w:p>
    <w:p w14:paraId="47932C43"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43. Mancinelli-Lyle D, Qaqish JG, Goyal CR, Schuller R. Effectiveness of a sonic f losser toothbrush with different size brush heads and manual toothbrush plus dental floss on plaque, gingival bleeding and inflammation in adults with naturally occurring gingivitis: a 4-week randomized controlled trial. Int J Dent Hyg. (2023) 21(3):624–33.</w:t>
      </w:r>
    </w:p>
    <w:p w14:paraId="7415EEC9"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44. Wang M, Zhao J, Zhang R, Li L, Shao J, Zheng Y, et al. Plaque removal efficacy of a compacted dual-head power toothbrush: a split-mouth randomized clinical trial. Am J Dent. (2022) 35(2):146–51.</w:t>
      </w:r>
    </w:p>
    <w:p w14:paraId="08769D2B"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45. Roa López A, Moreu Burgos G, Aguilar Salvatierra A, Fernández Delgado J, Bravo M, González Jaranay M. Efficacy of dental floss with ellipsoidal knots vs conventional dental floss for plaque removal: a split-mouth randomized trial. Int J Dent Hyg. 2021 May;19(2):209-214.</w:t>
      </w:r>
    </w:p>
    <w:p w14:paraId="49782FBF"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46. Weber J, Scholz KJ, Schenke IM, Pfab F, Cieplik F, Hiller KA, et al. Randomized controlled clinical trial on the efficacy of a novel antimicrobial chewing gum in reducing plaque and gingivitis in adolescent orthodontic patients. Clin Oral Investig. (2024) 28(5):272.</w:t>
      </w:r>
      <w:r w:rsidRPr="00753AE3">
        <w:rPr>
          <w:rFonts w:ascii="Times New Roman" w:hAnsi="Times New Roman"/>
          <w:sz w:val="24"/>
          <w:szCs w:val="24"/>
        </w:rPr>
        <w:cr/>
        <w:t xml:space="preserve">45. Levin L, Clark-Perry D. Use of a Novel </w:t>
      </w:r>
      <w:proofErr w:type="gramStart"/>
      <w:r w:rsidRPr="00753AE3">
        <w:rPr>
          <w:rFonts w:ascii="Times New Roman" w:hAnsi="Times New Roman"/>
          <w:sz w:val="24"/>
          <w:szCs w:val="24"/>
        </w:rPr>
        <w:t>In</w:t>
      </w:r>
      <w:proofErr w:type="gramEnd"/>
      <w:r w:rsidRPr="00753AE3">
        <w:rPr>
          <w:rFonts w:ascii="Times New Roman" w:hAnsi="Times New Roman"/>
          <w:sz w:val="24"/>
          <w:szCs w:val="24"/>
        </w:rPr>
        <w:t xml:space="preserve"> Situ Hardening Biphasic Alloplastic Bone Grafting Material for Guided Bone Regeneration Around Dental Implants: A Prospective Case Series. Clin Adv Periodontics. 2022 Mar;12(1):12-16.</w:t>
      </w:r>
      <w:r w:rsidRPr="00753AE3">
        <w:rPr>
          <w:rFonts w:ascii="Times New Roman" w:hAnsi="Times New Roman"/>
          <w:sz w:val="24"/>
          <w:szCs w:val="24"/>
        </w:rPr>
        <w:cr/>
        <w:t>46. Lin H, Chen H, Zhao X, Chen Z, Zhang P, Tian Y, Wang Y, Ding T, Wang L, Shen Y. Advances in mesenchymal stem cell conditioned medium-mediated periodontal tissue regeneration. J Transl Med. 2021 Nov 4;19(1):456.</w:t>
      </w:r>
      <w:r w:rsidRPr="00753AE3">
        <w:rPr>
          <w:rFonts w:ascii="Times New Roman" w:hAnsi="Times New Roman"/>
          <w:sz w:val="24"/>
          <w:szCs w:val="24"/>
        </w:rPr>
        <w:cr/>
        <w:t xml:space="preserve">47. Miron RJ, Moraschini V, Estrin N, Shibli JA, Cosgarea R, Jepsen K, JervøeStorm PM, Wang HL, Sculean A, Jepsen S. Autogenous platelet concentrates for treatment of intrabony defects-A systematic review with meta-analysis. Periodontol 2000. 2025 Feb;97(1):153-190. </w:t>
      </w:r>
      <w:r w:rsidRPr="00753AE3">
        <w:rPr>
          <w:rFonts w:ascii="Times New Roman" w:hAnsi="Times New Roman"/>
          <w:sz w:val="24"/>
          <w:szCs w:val="24"/>
        </w:rPr>
        <w:cr/>
        <w:t>48. Kawase T, Kamiya M, Kobayashi M, et al. The heat-compression technique for the conversion of platelet-rich fibrin preparation to a barrier membrane with a reduced rate of biodegradation. J Biomed Mater Res B Appl Biomater. 2015;103(4):825-831.</w:t>
      </w:r>
      <w:r w:rsidRPr="00753AE3">
        <w:rPr>
          <w:rFonts w:ascii="Times New Roman" w:hAnsi="Times New Roman"/>
          <w:sz w:val="24"/>
          <w:szCs w:val="24"/>
        </w:rPr>
        <w:cr/>
        <w:t>49. Fujioka-Kobayashi M, Schaller B, Mourão C, Zhang Y, Sculean A, Miron RJ. Biological characterization of an injectable platelet-rich fibrin mixture consisting of autologous albumin gel and liquid plate let-rich fibrin (Alb-PRF). Platelets. 2021;32(1):74-81.</w:t>
      </w:r>
      <w:r w:rsidRPr="00753AE3">
        <w:rPr>
          <w:rFonts w:ascii="Times New Roman" w:hAnsi="Times New Roman"/>
          <w:sz w:val="24"/>
          <w:szCs w:val="24"/>
        </w:rPr>
        <w:cr/>
        <w:t>50. Ferreira JA, Kantorski KZ, Dubey N, Daghrery A, Fenno JC, Mishina Y, Chan HL, Mendonça G, Bottino MC. Personalized and defect-specific antibiotic-laden scaffolds for periodontal infection ablation. ACS Applied Materials &amp; Interfaces. 2021 Oct 12;13(42):49642-57.</w:t>
      </w:r>
      <w:r w:rsidRPr="00753AE3">
        <w:rPr>
          <w:rFonts w:ascii="Times New Roman" w:hAnsi="Times New Roman"/>
          <w:sz w:val="24"/>
          <w:szCs w:val="24"/>
        </w:rPr>
        <w:cr/>
        <w:t>51. Puterman I, Weinstein B, Walton P, Fien M. The Modified Osseodensification Visco-Elastic (MOVE) Sinus Protocol: A Case Series to Illustrate the Combination of Osseodensification with Viscoelastic Bone Replacement Material. Clin Adv Periodontics. 2022 Sep;12(3):180-185.</w:t>
      </w:r>
    </w:p>
    <w:p w14:paraId="22CC83E9"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52. Ihara Y, Shibazaki S, Morikawa S, Nakagawa T. Novel triangle papilla access approach for interdental bone defect regeneration: A case study. Clin Adv Periodontics. 2025 Jan 15.</w:t>
      </w:r>
    </w:p>
    <w:p w14:paraId="1AED4D1A" w14:textId="77777777" w:rsidR="000A2D05" w:rsidRPr="00753AE3" w:rsidRDefault="00000000" w:rsidP="00491968">
      <w:pPr>
        <w:autoSpaceDE w:val="0"/>
        <w:autoSpaceDN w:val="0"/>
        <w:spacing w:before="8" w:line="240" w:lineRule="auto"/>
        <w:rPr>
          <w:rFonts w:ascii="Times New Roman" w:hAnsi="Times New Roman"/>
          <w:sz w:val="24"/>
          <w:szCs w:val="24"/>
        </w:rPr>
      </w:pPr>
      <w:r w:rsidRPr="00753AE3">
        <w:rPr>
          <w:rFonts w:ascii="Times New Roman" w:hAnsi="Times New Roman"/>
          <w:sz w:val="24"/>
          <w:szCs w:val="24"/>
        </w:rPr>
        <w:t>53. Bane WE, Blyleven GM, Lincicum AR, Stancoven BW, Inouye KA, Johnson TM. The nasal spine suture: A novel approach for membrane stabilization. Clin Adv Periodontics. 2024 Dec;14(4):300-309.randomized trial. Int J Dent Hyg. (2021) 19(2):209–14.</w:t>
      </w:r>
    </w:p>
    <w:p w14:paraId="1CB38E8D" w14:textId="77777777" w:rsidR="000A2D05" w:rsidRPr="00753AE3" w:rsidRDefault="000A2D05">
      <w:pPr>
        <w:tabs>
          <w:tab w:val="left" w:pos="2300"/>
        </w:tabs>
        <w:autoSpaceDE w:val="0"/>
        <w:autoSpaceDN w:val="0"/>
        <w:spacing w:before="85" w:line="216" w:lineRule="auto"/>
        <w:ind w:right="1268"/>
        <w:jc w:val="both"/>
        <w:rPr>
          <w:rFonts w:ascii="Times New Roman" w:hAnsi="Times New Roman"/>
          <w:sz w:val="24"/>
          <w:szCs w:val="24"/>
        </w:rPr>
      </w:pPr>
    </w:p>
    <w:sectPr w:rsidR="000A2D05" w:rsidRPr="00753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F70F" w14:textId="77777777" w:rsidR="0049223D" w:rsidRDefault="0049223D">
      <w:pPr>
        <w:spacing w:after="0" w:line="240" w:lineRule="auto"/>
      </w:pPr>
      <w:r>
        <w:separator/>
      </w:r>
    </w:p>
  </w:endnote>
  <w:endnote w:type="continuationSeparator" w:id="0">
    <w:p w14:paraId="28DD68FE" w14:textId="77777777" w:rsidR="0049223D" w:rsidRDefault="0049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3EB5" w14:textId="77777777" w:rsidR="000A2D05" w:rsidRDefault="000A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CBA7" w14:textId="77777777" w:rsidR="000A2D05" w:rsidRDefault="000A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D2CB" w14:textId="77777777" w:rsidR="0049223D" w:rsidRDefault="0049223D">
      <w:pPr>
        <w:spacing w:after="0" w:line="240" w:lineRule="auto"/>
      </w:pPr>
      <w:r>
        <w:separator/>
      </w:r>
    </w:p>
  </w:footnote>
  <w:footnote w:type="continuationSeparator" w:id="0">
    <w:p w14:paraId="00BF9527" w14:textId="77777777" w:rsidR="0049223D" w:rsidRDefault="0049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A219" w14:textId="77777777" w:rsidR="000A2D05" w:rsidRDefault="00000000">
    <w:pPr>
      <w:pStyle w:val="Header"/>
    </w:pPr>
    <w:r>
      <w:rPr>
        <w:noProof/>
      </w:rPr>
      <mc:AlternateContent>
        <mc:Choice Requires="wps">
          <w:drawing>
            <wp:anchor distT="0" distB="0" distL="0" distR="0" simplePos="0" relativeHeight="3" behindDoc="1" locked="0" layoutInCell="0" allowOverlap="1" wp14:anchorId="5D24FA54" wp14:editId="6EA45CA7">
              <wp:simplePos x="0" y="0"/>
              <wp:positionH relativeFrom="margin">
                <wp:align>center</wp:align>
              </wp:positionH>
              <wp:positionV relativeFrom="margin">
                <wp:align>center</wp:align>
              </wp:positionV>
              <wp:extent cx="7377429" cy="1383030"/>
              <wp:effectExtent l="0" t="2286000" r="0" b="2017395"/>
              <wp:wrapNone/>
              <wp:docPr id="4097"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377429" cy="1383030"/>
                      </a:xfrm>
                      <a:prstGeom prst="rect">
                        <a:avLst/>
                      </a:prstGeom>
                    </wps:spPr>
                    <wps:txbx>
                      <w:txbxContent>
                        <w:p w14:paraId="6884439D" w14:textId="77777777" w:rsidR="000A2D05" w:rsidRDefault="00000000">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w14:anchorId="5D24FA54" id="4098" o:spid="_x0000_s1026" style="position:absolute;margin-left:0;margin-top:0;width:580.9pt;height:108.9pt;rotation:-45;z-index:-503316477;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" o:allowincell="f" filled="f" stroked="f">
              <v:textbox style="mso-fit-shape-to-text:t">
                <w:txbxContent>
                  <w:p w14:paraId="6884439D" w14:textId="77777777" w:rsidR="000A2D05" w:rsidRDefault="00000000">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0221" w14:textId="77777777" w:rsidR="000A2D05" w:rsidRDefault="00000000">
    <w:pPr>
      <w:pStyle w:val="Header"/>
    </w:pPr>
    <w:r>
      <w:rPr>
        <w:noProof/>
      </w:rPr>
      <mc:AlternateContent>
        <mc:Choice Requires="wps">
          <w:drawing>
            <wp:anchor distT="0" distB="0" distL="0" distR="0" simplePos="0" relativeHeight="4" behindDoc="1" locked="0" layoutInCell="0" allowOverlap="1" wp14:anchorId="32836157" wp14:editId="753A0505">
              <wp:simplePos x="0" y="0"/>
              <wp:positionH relativeFrom="margin">
                <wp:align>center</wp:align>
              </wp:positionH>
              <wp:positionV relativeFrom="margin">
                <wp:align>center</wp:align>
              </wp:positionV>
              <wp:extent cx="7377429" cy="1383030"/>
              <wp:effectExtent l="0" t="2288540" r="0" b="2014854"/>
              <wp:wrapNone/>
              <wp:docPr id="4098" name="40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377429" cy="1383030"/>
                      </a:xfrm>
                      <a:prstGeom prst="rect">
                        <a:avLst/>
                      </a:prstGeom>
                    </wps:spPr>
                    <wps:txbx>
                      <w:txbxContent>
                        <w:p w14:paraId="11480ECA" w14:textId="77777777" w:rsidR="000A2D05" w:rsidRDefault="00000000">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w14:anchorId="32836157" id="4099" o:spid="_x0000_s1027" style="position:absolute;margin-left:0;margin-top:0;width:580.9pt;height:108.9pt;rotation:-45;z-index:-5033164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" o:allowincell="f" filled="f" stroked="f">
              <v:textbox style="mso-fit-shape-to-text:t">
                <w:txbxContent>
                  <w:p w14:paraId="11480ECA" w14:textId="77777777" w:rsidR="000A2D05" w:rsidRDefault="00000000">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E13A" w14:textId="77777777" w:rsidR="000A2D05" w:rsidRDefault="00000000">
    <w:pPr>
      <w:pStyle w:val="Header"/>
    </w:pPr>
    <w:r>
      <w:rPr>
        <w:noProof/>
      </w:rPr>
      <mc:AlternateContent>
        <mc:Choice Requires="wps">
          <w:drawing>
            <wp:anchor distT="0" distB="0" distL="0" distR="0" simplePos="0" relativeHeight="2" behindDoc="1" locked="0" layoutInCell="0" allowOverlap="1" wp14:anchorId="4DDF766B" wp14:editId="10CECC67">
              <wp:simplePos x="0" y="0"/>
              <wp:positionH relativeFrom="margin">
                <wp:align>center</wp:align>
              </wp:positionH>
              <wp:positionV relativeFrom="margin">
                <wp:align>center</wp:align>
              </wp:positionV>
              <wp:extent cx="7377429" cy="1383030"/>
              <wp:effectExtent l="0" t="2286000" r="0" b="2017395"/>
              <wp:wrapNone/>
              <wp:docPr id="4099"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377429" cy="1383030"/>
                      </a:xfrm>
                      <a:prstGeom prst="rect">
                        <a:avLst/>
                      </a:prstGeom>
                    </wps:spPr>
                    <wps:txbx>
                      <w:txbxContent>
                        <w:p w14:paraId="124ECAE8" w14:textId="77777777" w:rsidR="000A2D05" w:rsidRDefault="00000000">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w14:anchorId="4DDF766B" id="4100" o:spid="_x0000_s1028" style="position:absolute;margin-left:0;margin-top:0;width:580.9pt;height:108.9pt;rotation:-45;z-index:-50331647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" o:allowincell="f" filled="f" stroked="f">
              <v:textbox style="mso-fit-shape-to-text:t">
                <w:txbxContent>
                  <w:p w14:paraId="124ECAE8" w14:textId="77777777" w:rsidR="000A2D05" w:rsidRDefault="00000000">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B7EF08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901ADC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7DF834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196034"/>
    <w:multiLevelType w:val="multilevel"/>
    <w:tmpl w:val="482C38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543012255">
    <w:abstractNumId w:val="0"/>
  </w:num>
  <w:num w:numId="2" w16cid:durableId="1679770025">
    <w:abstractNumId w:val="3"/>
  </w:num>
  <w:num w:numId="3" w16cid:durableId="1802457236">
    <w:abstractNumId w:val="1"/>
  </w:num>
  <w:num w:numId="4" w16cid:durableId="70590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05"/>
    <w:rsid w:val="000A2D05"/>
    <w:rsid w:val="000D6AD7"/>
    <w:rsid w:val="00402D52"/>
    <w:rsid w:val="00491968"/>
    <w:rsid w:val="0049223D"/>
    <w:rsid w:val="00682016"/>
    <w:rsid w:val="00753AE3"/>
    <w:rsid w:val="00B53C30"/>
    <w:rsid w:val="00F10397"/>
    <w:rsid w:val="00F9023F"/>
    <w:rsid w:val="00FC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117B5"/>
  <w15:docId w15:val="{FCE84AD0-2298-483A-A258-7F191774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0"/>
    </w:pPr>
    <w:rPr>
      <w:rFonts w:ascii="Times New Roman" w:eastAsia="Times New Roman" w:hAnsi="Times New Roman"/>
      <w:sz w:val="24"/>
      <w:szCs w:val="24"/>
      <w:lang w:eastAsia="en-US"/>
    </w:rPr>
  </w:style>
  <w:style w:type="paragraph" w:customStyle="1" w:styleId="Heading10">
    <w:name w:val="&quot;Heading 1&quot;"/>
    <w:basedOn w:val="Normal"/>
    <w:qFormat/>
    <w:pPr>
      <w:spacing w:after="0"/>
      <w:ind w:left="742" w:hanging="340"/>
      <w:jc w:val="both"/>
      <w:outlineLvl w:val="1"/>
    </w:pPr>
    <w:rPr>
      <w:rFonts w:ascii="Times New Roman" w:eastAsia="Times New Roman" w:hAnsi="Times New Roman"/>
      <w:b/>
      <w:bCs/>
      <w:sz w:val="24"/>
      <w:szCs w:val="24"/>
      <w:lang w:eastAsia="en-US"/>
    </w:rPr>
  </w:style>
  <w:style w:type="paragraph" w:styleId="ListParagraph">
    <w:name w:val="List Paragraph"/>
    <w:basedOn w:val="Normal"/>
    <w:qFormat/>
    <w:pPr>
      <w:spacing w:after="0"/>
      <w:ind w:left="742"/>
    </w:pPr>
    <w:rPr>
      <w:rFonts w:ascii="Times New Roman" w:eastAsia="Times New Roman" w:hAnsi="Times New Roman"/>
      <w:sz w:val="21"/>
      <w:lang w:eastAsia="en-US"/>
    </w:rPr>
  </w:style>
  <w:style w:type="character" w:customStyle="1" w:styleId="Heading1Char">
    <w:name w:val="Heading 1 Char"/>
    <w:link w:val="Heading1"/>
    <w:uiPriority w:val="9"/>
    <w:rPr>
      <w:b/>
      <w:bCs/>
      <w:color w:val="365F91"/>
      <w:sz w:val="28"/>
      <w:szCs w:val="28"/>
    </w:rPr>
  </w:style>
  <w:style w:type="character" w:customStyle="1" w:styleId="Heading2Char">
    <w:name w:val="Heading 2 Char"/>
    <w:link w:val="Heading2"/>
    <w:uiPriority w:val="9"/>
    <w:rPr>
      <w:b/>
      <w:bCs/>
      <w:color w:val="4F81BD"/>
      <w:sz w:val="26"/>
      <w:szCs w:val="26"/>
    </w:r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4933</Words>
  <Characters>28124</Characters>
  <Application>Microsoft Office Word</Application>
  <DocSecurity>0</DocSecurity>
  <Lines>234</Lines>
  <Paragraphs>65</Paragraphs>
  <ScaleCrop>false</ScaleCrop>
  <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V2428</dc:creator>
  <cp:lastModifiedBy>PERI001</cp:lastModifiedBy>
  <cp:revision>18</cp:revision>
  <dcterms:created xsi:type="dcterms:W3CDTF">2025-10-16T07:36:00Z</dcterms:created>
  <dcterms:modified xsi:type="dcterms:W3CDTF">2025-10-17T06:08:00Z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2a8f0c7a75964ce3989b0bec5cb838cb</vt:lpwstr>
  </property>
</Properties>
</file>