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AECC5" w14:textId="37B2DE1A" w:rsidR="00A929E5" w:rsidRDefault="00A929E5" w:rsidP="005B6A1E">
      <w:pPr>
        <w:spacing w:line="360" w:lineRule="auto"/>
        <w:jc w:val="center"/>
        <w:rPr>
          <w:rFonts w:ascii="Times New Roman" w:hAnsi="Times New Roman" w:cs="Times New Roman"/>
          <w:b/>
          <w:bCs/>
          <w:sz w:val="28"/>
          <w:szCs w:val="28"/>
        </w:rPr>
      </w:pPr>
      <w:r w:rsidRPr="005B6A1E">
        <w:rPr>
          <w:rFonts w:ascii="Times New Roman" w:hAnsi="Times New Roman" w:cs="Times New Roman"/>
          <w:b/>
          <w:bCs/>
          <w:sz w:val="28"/>
          <w:szCs w:val="28"/>
        </w:rPr>
        <w:t>Tooth-Supported Maxillary Single Complete Overdenture with Complete Mandibular Rehabilitation: A Case Report</w:t>
      </w:r>
    </w:p>
    <w:p w14:paraId="7B3752DA" w14:textId="77777777" w:rsidR="00C06935" w:rsidRPr="005B6A1E" w:rsidRDefault="00C06935" w:rsidP="005B6A1E">
      <w:pPr>
        <w:spacing w:line="360" w:lineRule="auto"/>
        <w:rPr>
          <w:rFonts w:ascii="Times New Roman" w:hAnsi="Times New Roman" w:cs="Times New Roman"/>
          <w:b/>
          <w:bCs/>
          <w:sz w:val="24"/>
          <w:szCs w:val="24"/>
        </w:rPr>
      </w:pPr>
    </w:p>
    <w:p w14:paraId="3DDA1350" w14:textId="77777777" w:rsidR="00A929E5" w:rsidRPr="00A929E5" w:rsidRDefault="00A929E5" w:rsidP="00A929E5">
      <w:pPr>
        <w:spacing w:line="360" w:lineRule="auto"/>
        <w:rPr>
          <w:rFonts w:ascii="Times New Roman" w:hAnsi="Times New Roman" w:cs="Times New Roman"/>
          <w:b/>
          <w:bCs/>
          <w:sz w:val="24"/>
          <w:szCs w:val="24"/>
        </w:rPr>
      </w:pPr>
      <w:r w:rsidRPr="00A929E5">
        <w:rPr>
          <w:rFonts w:ascii="Times New Roman" w:hAnsi="Times New Roman" w:cs="Times New Roman"/>
          <w:b/>
          <w:bCs/>
          <w:sz w:val="24"/>
          <w:szCs w:val="24"/>
        </w:rPr>
        <w:t>Abstract</w:t>
      </w:r>
    </w:p>
    <w:p w14:paraId="7223C46B" w14:textId="64474FF9" w:rsidR="00A929E5" w:rsidRDefault="00A929E5" w:rsidP="00A929E5">
      <w:pPr>
        <w:spacing w:line="360" w:lineRule="auto"/>
        <w:rPr>
          <w:rFonts w:ascii="Times New Roman" w:hAnsi="Times New Roman" w:cs="Times New Roman"/>
          <w:sz w:val="24"/>
          <w:szCs w:val="24"/>
        </w:rPr>
      </w:pPr>
      <w:r w:rsidRPr="0096196B">
        <w:rPr>
          <w:rFonts w:ascii="Times New Roman" w:hAnsi="Times New Roman" w:cs="Times New Roman"/>
          <w:b/>
          <w:bCs/>
          <w:sz w:val="24"/>
          <w:szCs w:val="24"/>
        </w:rPr>
        <w:t>Introduction:</w:t>
      </w:r>
      <w:r w:rsidRPr="00A929E5">
        <w:rPr>
          <w:rFonts w:ascii="Times New Roman" w:hAnsi="Times New Roman" w:cs="Times New Roman"/>
          <w:sz w:val="24"/>
          <w:szCs w:val="24"/>
        </w:rPr>
        <w:t xml:space="preserve"> Overdentures provide a viable treatment option for patients with limited remaining teeth, offering improved retention, stability, and preservation of alveolar bone. </w:t>
      </w:r>
      <w:r w:rsidR="00F072AA" w:rsidRPr="0096196B">
        <w:rPr>
          <w:rFonts w:ascii="Times New Roman" w:hAnsi="Times New Roman" w:cs="Times New Roman"/>
          <w:b/>
          <w:bCs/>
          <w:sz w:val="24"/>
          <w:szCs w:val="24"/>
          <w:highlight w:val="yellow"/>
        </w:rPr>
        <w:t>Aim</w:t>
      </w:r>
      <w:r w:rsidR="00F072AA" w:rsidRPr="0096196B">
        <w:rPr>
          <w:rFonts w:ascii="Times New Roman" w:hAnsi="Times New Roman" w:cs="Times New Roman"/>
          <w:sz w:val="24"/>
          <w:szCs w:val="24"/>
          <w:highlight w:val="yellow"/>
        </w:rPr>
        <w:t xml:space="preserve">: </w:t>
      </w:r>
      <w:r w:rsidRPr="0096196B">
        <w:rPr>
          <w:rFonts w:ascii="Times New Roman" w:hAnsi="Times New Roman" w:cs="Times New Roman"/>
          <w:sz w:val="24"/>
          <w:szCs w:val="24"/>
          <w:highlight w:val="yellow"/>
        </w:rPr>
        <w:t>This</w:t>
      </w:r>
      <w:r w:rsidRPr="00A929E5">
        <w:rPr>
          <w:rFonts w:ascii="Times New Roman" w:hAnsi="Times New Roman" w:cs="Times New Roman"/>
          <w:sz w:val="24"/>
          <w:szCs w:val="24"/>
        </w:rPr>
        <w:t xml:space="preserve"> case report describes the rehabilitation of a patient with a maxillary tooth-supported single complete overdenture and a complete mandibular denture.</w:t>
      </w:r>
      <w:r w:rsidRPr="00A929E5">
        <w:rPr>
          <w:rFonts w:ascii="Times New Roman" w:hAnsi="Times New Roman" w:cs="Times New Roman"/>
          <w:sz w:val="24"/>
          <w:szCs w:val="24"/>
        </w:rPr>
        <w:br/>
      </w:r>
      <w:r w:rsidRPr="0096196B">
        <w:rPr>
          <w:rFonts w:ascii="Times New Roman" w:hAnsi="Times New Roman" w:cs="Times New Roman"/>
          <w:b/>
          <w:bCs/>
          <w:sz w:val="24"/>
          <w:szCs w:val="24"/>
        </w:rPr>
        <w:t>Case Presentation:</w:t>
      </w:r>
      <w:r w:rsidRPr="00A929E5">
        <w:rPr>
          <w:rFonts w:ascii="Times New Roman" w:hAnsi="Times New Roman" w:cs="Times New Roman"/>
          <w:sz w:val="24"/>
          <w:szCs w:val="24"/>
        </w:rPr>
        <w:t xml:space="preserve"> A </w:t>
      </w:r>
      <w:r w:rsidR="00C72FA0" w:rsidRPr="0096196B">
        <w:rPr>
          <w:rFonts w:ascii="Times New Roman" w:hAnsi="Times New Roman" w:cs="Times New Roman"/>
          <w:sz w:val="24"/>
          <w:szCs w:val="24"/>
          <w:highlight w:val="yellow"/>
        </w:rPr>
        <w:t>43-year-old</w:t>
      </w:r>
      <w:r w:rsidRPr="0096196B">
        <w:rPr>
          <w:rFonts w:ascii="Times New Roman" w:hAnsi="Times New Roman" w:cs="Times New Roman"/>
          <w:sz w:val="24"/>
          <w:szCs w:val="24"/>
          <w:highlight w:val="yellow"/>
        </w:rPr>
        <w:t xml:space="preserve"> female</w:t>
      </w:r>
      <w:r w:rsidRPr="00A929E5">
        <w:rPr>
          <w:rFonts w:ascii="Times New Roman" w:hAnsi="Times New Roman" w:cs="Times New Roman"/>
          <w:sz w:val="24"/>
          <w:szCs w:val="24"/>
        </w:rPr>
        <w:t xml:space="preserve"> presented with a severely resorbed maxillary arch and retained mandibular teeth. </w:t>
      </w:r>
      <w:r w:rsidR="0083062E" w:rsidRPr="0096196B">
        <w:rPr>
          <w:rFonts w:ascii="Times New Roman" w:hAnsi="Times New Roman" w:cs="Times New Roman"/>
          <w:sz w:val="24"/>
          <w:szCs w:val="24"/>
          <w:highlight w:val="yellow"/>
        </w:rPr>
        <w:t>The patient's dental history revealed gradual tooth loss over 15 years, with previous attempts at removable partial denture therapy proving unsatisfactory.</w:t>
      </w:r>
      <w:r w:rsidR="0083062E">
        <w:rPr>
          <w:rFonts w:ascii="Times New Roman" w:hAnsi="Times New Roman" w:cs="Times New Roman"/>
          <w:sz w:val="24"/>
          <w:szCs w:val="24"/>
        </w:rPr>
        <w:t xml:space="preserve"> </w:t>
      </w:r>
      <w:r w:rsidRPr="00A929E5">
        <w:rPr>
          <w:rFonts w:ascii="Times New Roman" w:hAnsi="Times New Roman" w:cs="Times New Roman"/>
          <w:sz w:val="24"/>
          <w:szCs w:val="24"/>
        </w:rPr>
        <w:t xml:space="preserve">The maxillary arch was restored with a tooth-supported overdenture using two remaining </w:t>
      </w:r>
      <w:r>
        <w:rPr>
          <w:rFonts w:ascii="Times New Roman" w:hAnsi="Times New Roman" w:cs="Times New Roman"/>
          <w:sz w:val="24"/>
          <w:szCs w:val="24"/>
        </w:rPr>
        <w:t>central incisors</w:t>
      </w:r>
      <w:r w:rsidRPr="00A929E5">
        <w:rPr>
          <w:rFonts w:ascii="Times New Roman" w:hAnsi="Times New Roman" w:cs="Times New Roman"/>
          <w:sz w:val="24"/>
          <w:szCs w:val="24"/>
        </w:rPr>
        <w:t xml:space="preserve">, while the mandibular arch was completely rehabilitated with </w:t>
      </w:r>
      <w:r>
        <w:rPr>
          <w:rFonts w:ascii="Times New Roman" w:hAnsi="Times New Roman" w:cs="Times New Roman"/>
          <w:sz w:val="24"/>
          <w:szCs w:val="24"/>
        </w:rPr>
        <w:t xml:space="preserve">post and core, </w:t>
      </w:r>
      <w:r w:rsidR="00C72FA0" w:rsidRPr="0096196B">
        <w:rPr>
          <w:rFonts w:ascii="Times New Roman" w:hAnsi="Times New Roman" w:cs="Times New Roman"/>
          <w:sz w:val="24"/>
          <w:szCs w:val="24"/>
          <w:highlight w:val="yellow"/>
        </w:rPr>
        <w:t>implant-supported</w:t>
      </w:r>
      <w:r w:rsidRPr="0096196B">
        <w:rPr>
          <w:rFonts w:ascii="Times New Roman" w:hAnsi="Times New Roman" w:cs="Times New Roman"/>
          <w:sz w:val="24"/>
          <w:szCs w:val="24"/>
          <w:highlight w:val="yellow"/>
        </w:rPr>
        <w:t xml:space="preserve"> fixed</w:t>
      </w:r>
      <w:r>
        <w:rPr>
          <w:rFonts w:ascii="Times New Roman" w:hAnsi="Times New Roman" w:cs="Times New Roman"/>
          <w:sz w:val="24"/>
          <w:szCs w:val="24"/>
        </w:rPr>
        <w:t xml:space="preserve"> prosthesis and fixed crowns. </w:t>
      </w:r>
      <w:r w:rsidRPr="00A929E5">
        <w:rPr>
          <w:rFonts w:ascii="Times New Roman" w:hAnsi="Times New Roman" w:cs="Times New Roman"/>
          <w:sz w:val="24"/>
          <w:szCs w:val="24"/>
        </w:rPr>
        <w:br/>
      </w:r>
      <w:r w:rsidRPr="0096196B">
        <w:rPr>
          <w:rFonts w:ascii="Times New Roman" w:hAnsi="Times New Roman" w:cs="Times New Roman"/>
          <w:b/>
          <w:bCs/>
          <w:sz w:val="24"/>
          <w:szCs w:val="24"/>
        </w:rPr>
        <w:t>Discussion:</w:t>
      </w:r>
      <w:r w:rsidRPr="00A929E5">
        <w:rPr>
          <w:rFonts w:ascii="Times New Roman" w:hAnsi="Times New Roman" w:cs="Times New Roman"/>
          <w:sz w:val="24"/>
          <w:szCs w:val="24"/>
        </w:rPr>
        <w:t xml:space="preserve"> The treatment improved masticatory efficiency, speech, and </w:t>
      </w:r>
      <w:r w:rsidR="00E5282C" w:rsidRPr="00E5282C">
        <w:rPr>
          <w:rFonts w:ascii="Times New Roman" w:hAnsi="Times New Roman" w:cs="Times New Roman"/>
          <w:sz w:val="24"/>
          <w:szCs w:val="24"/>
          <w:highlight w:val="yellow"/>
        </w:rPr>
        <w:t>a</w:t>
      </w:r>
      <w:r w:rsidRPr="00E5282C">
        <w:rPr>
          <w:rFonts w:ascii="Times New Roman" w:hAnsi="Times New Roman" w:cs="Times New Roman"/>
          <w:sz w:val="24"/>
          <w:szCs w:val="24"/>
          <w:highlight w:val="yellow"/>
        </w:rPr>
        <w:t>esthetics</w:t>
      </w:r>
      <w:r w:rsidRPr="00A929E5">
        <w:rPr>
          <w:rFonts w:ascii="Times New Roman" w:hAnsi="Times New Roman" w:cs="Times New Roman"/>
          <w:sz w:val="24"/>
          <w:szCs w:val="24"/>
        </w:rPr>
        <w:t xml:space="preserve"> while preserving residual ridge integrity. Tooth-supported overdentures offer advantages over conventional complete dentures, including better stability and proprioception.</w:t>
      </w:r>
      <w:r w:rsidR="004F2F58">
        <w:rPr>
          <w:rFonts w:ascii="Times New Roman" w:hAnsi="Times New Roman" w:cs="Times New Roman"/>
          <w:sz w:val="24"/>
          <w:szCs w:val="24"/>
        </w:rPr>
        <w:t xml:space="preserve"> </w:t>
      </w:r>
      <w:r w:rsidR="004F2F58" w:rsidRPr="0096196B">
        <w:rPr>
          <w:rFonts w:ascii="Times New Roman" w:hAnsi="Times New Roman" w:cs="Times New Roman"/>
          <w:sz w:val="24"/>
          <w:szCs w:val="24"/>
          <w:highlight w:val="yellow"/>
        </w:rPr>
        <w:t>The incorporation of attachments (e.g., ball, bar, or telescopic copings) enhances denture retention, reducing displacement during function.</w:t>
      </w:r>
      <w:r w:rsidR="004F2F58">
        <w:rPr>
          <w:rFonts w:ascii="Times New Roman" w:hAnsi="Times New Roman" w:cs="Times New Roman"/>
          <w:sz w:val="24"/>
          <w:szCs w:val="24"/>
        </w:rPr>
        <w:t xml:space="preserve"> </w:t>
      </w:r>
      <w:r w:rsidRPr="00A929E5">
        <w:rPr>
          <w:rFonts w:ascii="Times New Roman" w:hAnsi="Times New Roman" w:cs="Times New Roman"/>
          <w:sz w:val="24"/>
          <w:szCs w:val="24"/>
        </w:rPr>
        <w:br/>
      </w:r>
      <w:r w:rsidRPr="0096196B">
        <w:rPr>
          <w:rFonts w:ascii="Times New Roman" w:hAnsi="Times New Roman" w:cs="Times New Roman"/>
          <w:b/>
          <w:bCs/>
          <w:sz w:val="24"/>
          <w:szCs w:val="24"/>
        </w:rPr>
        <w:t>Conclusion:</w:t>
      </w:r>
      <w:r w:rsidRPr="00A929E5">
        <w:rPr>
          <w:rFonts w:ascii="Times New Roman" w:hAnsi="Times New Roman" w:cs="Times New Roman"/>
          <w:sz w:val="24"/>
          <w:szCs w:val="24"/>
        </w:rPr>
        <w:t> This case highlights the effectiveness of a tooth-supported maxillary overdenture combined with mandibular complete denture rehabilitation in improving oral function and patient satisfaction.</w:t>
      </w:r>
    </w:p>
    <w:p w14:paraId="4CD2EFD1" w14:textId="57AD60D4" w:rsidR="005B6A1E" w:rsidRPr="0096196B" w:rsidRDefault="005B6A1E" w:rsidP="00A929E5">
      <w:pPr>
        <w:spacing w:line="360" w:lineRule="auto"/>
        <w:rPr>
          <w:rFonts w:ascii="Times New Roman" w:hAnsi="Times New Roman" w:cs="Times New Roman"/>
          <w:i/>
          <w:iCs/>
          <w:sz w:val="24"/>
          <w:szCs w:val="24"/>
        </w:rPr>
      </w:pPr>
      <w:r w:rsidRPr="0096196B">
        <w:rPr>
          <w:rFonts w:ascii="Times New Roman" w:hAnsi="Times New Roman" w:cs="Times New Roman"/>
          <w:b/>
          <w:bCs/>
          <w:sz w:val="24"/>
          <w:szCs w:val="24"/>
        </w:rPr>
        <w:t>Keywords</w:t>
      </w:r>
      <w:r>
        <w:rPr>
          <w:rFonts w:ascii="Times New Roman" w:hAnsi="Times New Roman" w:cs="Times New Roman"/>
          <w:sz w:val="24"/>
          <w:szCs w:val="24"/>
        </w:rPr>
        <w:t xml:space="preserve"> – </w:t>
      </w:r>
      <w:r w:rsidRPr="0096196B">
        <w:rPr>
          <w:rFonts w:ascii="Times New Roman" w:hAnsi="Times New Roman" w:cs="Times New Roman"/>
          <w:i/>
          <w:iCs/>
          <w:sz w:val="24"/>
          <w:szCs w:val="24"/>
        </w:rPr>
        <w:t xml:space="preserve">overdenture, prosthesis, </w:t>
      </w:r>
      <w:r w:rsidR="00104C13" w:rsidRPr="00104C13">
        <w:rPr>
          <w:rFonts w:ascii="Times New Roman" w:hAnsi="Times New Roman" w:cs="Times New Roman"/>
          <w:i/>
          <w:iCs/>
          <w:sz w:val="24"/>
          <w:szCs w:val="24"/>
          <w:highlight w:val="yellow"/>
        </w:rPr>
        <w:t>edentulism</w:t>
      </w:r>
      <w:r w:rsidR="00104C13">
        <w:rPr>
          <w:rFonts w:ascii="Times New Roman" w:hAnsi="Times New Roman" w:cs="Times New Roman"/>
          <w:i/>
          <w:iCs/>
          <w:sz w:val="24"/>
          <w:szCs w:val="24"/>
        </w:rPr>
        <w:t xml:space="preserve">, </w:t>
      </w:r>
      <w:r w:rsidRPr="0096196B">
        <w:rPr>
          <w:rFonts w:ascii="Times New Roman" w:hAnsi="Times New Roman" w:cs="Times New Roman"/>
          <w:i/>
          <w:iCs/>
          <w:sz w:val="24"/>
          <w:szCs w:val="24"/>
        </w:rPr>
        <w:t>implants,</w:t>
      </w:r>
      <w:r w:rsidR="00C72FA0">
        <w:rPr>
          <w:rFonts w:ascii="Times New Roman" w:hAnsi="Times New Roman" w:cs="Times New Roman"/>
          <w:i/>
          <w:iCs/>
          <w:sz w:val="24"/>
          <w:szCs w:val="24"/>
        </w:rPr>
        <w:t xml:space="preserve"> </w:t>
      </w:r>
      <w:r w:rsidR="005B4B07" w:rsidRPr="005B4B07">
        <w:rPr>
          <w:rFonts w:ascii="Times New Roman" w:hAnsi="Times New Roman" w:cs="Times New Roman"/>
          <w:i/>
          <w:iCs/>
          <w:sz w:val="24"/>
          <w:szCs w:val="24"/>
          <w:highlight w:val="yellow"/>
        </w:rPr>
        <w:t>aesthetics</w:t>
      </w:r>
      <w:r w:rsidR="00C72FA0" w:rsidRPr="005B4B07">
        <w:rPr>
          <w:rFonts w:ascii="Times New Roman" w:hAnsi="Times New Roman" w:cs="Times New Roman"/>
          <w:i/>
          <w:iCs/>
          <w:sz w:val="24"/>
          <w:szCs w:val="24"/>
          <w:highlight w:val="yellow"/>
        </w:rPr>
        <w:t>,</w:t>
      </w:r>
      <w:r w:rsidR="00C72FA0">
        <w:rPr>
          <w:rFonts w:ascii="Times New Roman" w:hAnsi="Times New Roman" w:cs="Times New Roman"/>
          <w:i/>
          <w:iCs/>
          <w:sz w:val="24"/>
          <w:szCs w:val="24"/>
        </w:rPr>
        <w:t xml:space="preserve"> </w:t>
      </w:r>
    </w:p>
    <w:p w14:paraId="61332D56"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Introduction</w:t>
      </w:r>
    </w:p>
    <w:p w14:paraId="035F2ED0" w14:textId="5C52AD54"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The transition from natural dentition to complete edentulism presents significant functional and aesthetic challenges for patients [1]. While conventional complete dentures remain a common solution, they often lack optimal stability and retention, particularly in atrophic ridges [2]. </w:t>
      </w:r>
      <w:r w:rsidR="003D4D2B" w:rsidRPr="0096196B">
        <w:rPr>
          <w:rFonts w:ascii="Times New Roman" w:hAnsi="Times New Roman" w:cs="Times New Roman"/>
          <w:sz w:val="24"/>
          <w:szCs w:val="24"/>
          <w:highlight w:val="yellow"/>
        </w:rPr>
        <w:t xml:space="preserve">For edentulous patients who are not interested in </w:t>
      </w:r>
      <w:r w:rsidR="003D4D2B">
        <w:rPr>
          <w:rFonts w:ascii="Times New Roman" w:hAnsi="Times New Roman" w:cs="Times New Roman"/>
          <w:sz w:val="24"/>
          <w:szCs w:val="24"/>
          <w:highlight w:val="yellow"/>
        </w:rPr>
        <w:t xml:space="preserve">a </w:t>
      </w:r>
      <w:r w:rsidR="003D4D2B" w:rsidRPr="0096196B">
        <w:rPr>
          <w:rFonts w:ascii="Times New Roman" w:hAnsi="Times New Roman" w:cs="Times New Roman"/>
          <w:sz w:val="24"/>
          <w:szCs w:val="24"/>
          <w:highlight w:val="yellow"/>
        </w:rPr>
        <w:t xml:space="preserve">removable prosthesis, </w:t>
      </w:r>
      <w:r w:rsidR="003D4D2B">
        <w:rPr>
          <w:rFonts w:ascii="Times New Roman" w:hAnsi="Times New Roman" w:cs="Times New Roman"/>
          <w:sz w:val="24"/>
          <w:szCs w:val="24"/>
          <w:highlight w:val="yellow"/>
        </w:rPr>
        <w:t xml:space="preserve">an </w:t>
      </w:r>
      <w:r w:rsidR="003D4D2B" w:rsidRPr="0096196B">
        <w:rPr>
          <w:rFonts w:ascii="Times New Roman" w:hAnsi="Times New Roman" w:cs="Times New Roman"/>
          <w:sz w:val="24"/>
          <w:szCs w:val="24"/>
          <w:highlight w:val="yellow"/>
        </w:rPr>
        <w:t>implant-supported fixed prosthesis might be an appropriate treatment modality</w:t>
      </w:r>
      <w:r w:rsidR="003D4D2B">
        <w:rPr>
          <w:rFonts w:ascii="Times New Roman" w:hAnsi="Times New Roman" w:cs="Times New Roman"/>
          <w:sz w:val="24"/>
          <w:szCs w:val="24"/>
          <w:highlight w:val="yellow"/>
        </w:rPr>
        <w:t xml:space="preserve"> (</w:t>
      </w:r>
      <w:r w:rsidR="0072464D" w:rsidRPr="0072464D">
        <w:rPr>
          <w:rFonts w:ascii="Times New Roman" w:hAnsi="Times New Roman" w:cs="Times New Roman"/>
          <w:sz w:val="24"/>
          <w:szCs w:val="24"/>
          <w:highlight w:val="yellow"/>
        </w:rPr>
        <w:t>Ahlawat</w:t>
      </w:r>
      <w:r w:rsidR="0072464D">
        <w:rPr>
          <w:rFonts w:ascii="Times New Roman" w:hAnsi="Times New Roman" w:cs="Times New Roman"/>
          <w:sz w:val="24"/>
          <w:szCs w:val="24"/>
          <w:highlight w:val="yellow"/>
        </w:rPr>
        <w:t xml:space="preserve"> et al., 2022</w:t>
      </w:r>
      <w:r w:rsidR="003D4D2B">
        <w:rPr>
          <w:rFonts w:ascii="Times New Roman" w:hAnsi="Times New Roman" w:cs="Times New Roman"/>
          <w:sz w:val="24"/>
          <w:szCs w:val="24"/>
          <w:highlight w:val="yellow"/>
        </w:rPr>
        <w:t>)</w:t>
      </w:r>
      <w:r w:rsidR="003D4D2B" w:rsidRPr="0096196B">
        <w:rPr>
          <w:rFonts w:ascii="Times New Roman" w:hAnsi="Times New Roman" w:cs="Times New Roman"/>
          <w:sz w:val="24"/>
          <w:szCs w:val="24"/>
          <w:highlight w:val="yellow"/>
        </w:rPr>
        <w:t>.</w:t>
      </w:r>
      <w:r w:rsidR="003D4D2B">
        <w:rPr>
          <w:rFonts w:ascii="Times New Roman" w:hAnsi="Times New Roman" w:cs="Times New Roman"/>
          <w:sz w:val="24"/>
          <w:szCs w:val="24"/>
        </w:rPr>
        <w:t xml:space="preserve"> </w:t>
      </w:r>
      <w:r w:rsidRPr="00A929E5">
        <w:rPr>
          <w:rFonts w:ascii="Times New Roman" w:hAnsi="Times New Roman" w:cs="Times New Roman"/>
          <w:sz w:val="24"/>
          <w:szCs w:val="24"/>
        </w:rPr>
        <w:t xml:space="preserve">Overdentures, which </w:t>
      </w:r>
      <w:r w:rsidR="00E01217" w:rsidRPr="0096196B">
        <w:rPr>
          <w:rFonts w:ascii="Times New Roman" w:hAnsi="Times New Roman" w:cs="Times New Roman"/>
          <w:sz w:val="24"/>
          <w:szCs w:val="24"/>
          <w:highlight w:val="yellow"/>
        </w:rPr>
        <w:t xml:space="preserve">utilise </w:t>
      </w:r>
      <w:r w:rsidRPr="0096196B">
        <w:rPr>
          <w:rFonts w:ascii="Times New Roman" w:hAnsi="Times New Roman" w:cs="Times New Roman"/>
          <w:sz w:val="24"/>
          <w:szCs w:val="24"/>
          <w:highlight w:val="yellow"/>
        </w:rPr>
        <w:t>remaining</w:t>
      </w:r>
      <w:r w:rsidRPr="00A929E5">
        <w:rPr>
          <w:rFonts w:ascii="Times New Roman" w:hAnsi="Times New Roman" w:cs="Times New Roman"/>
          <w:sz w:val="24"/>
          <w:szCs w:val="24"/>
        </w:rPr>
        <w:t xml:space="preserve"> teeth or implants for support, have emerged as a superior treatment modality that provides enhanced retention while preserving alveolar </w:t>
      </w:r>
      <w:r w:rsidRPr="00A929E5">
        <w:rPr>
          <w:rFonts w:ascii="Times New Roman" w:hAnsi="Times New Roman" w:cs="Times New Roman"/>
          <w:sz w:val="24"/>
          <w:szCs w:val="24"/>
        </w:rPr>
        <w:lastRenderedPageBreak/>
        <w:t>bone [3].</w:t>
      </w:r>
      <w:r w:rsidR="00C452E8">
        <w:rPr>
          <w:rFonts w:ascii="Times New Roman" w:hAnsi="Times New Roman" w:cs="Times New Roman"/>
          <w:sz w:val="24"/>
          <w:szCs w:val="24"/>
        </w:rPr>
        <w:t xml:space="preserve"> </w:t>
      </w:r>
      <w:r w:rsidR="00C452E8" w:rsidRPr="0096196B">
        <w:rPr>
          <w:rFonts w:ascii="Times New Roman" w:hAnsi="Times New Roman" w:cs="Times New Roman"/>
          <w:sz w:val="24"/>
          <w:szCs w:val="24"/>
          <w:highlight w:val="yellow"/>
        </w:rPr>
        <w:t xml:space="preserve">The increasing prevalence and utilisation of implant-supported overdentures </w:t>
      </w:r>
      <w:r w:rsidR="00E35EEA">
        <w:rPr>
          <w:rFonts w:ascii="Times New Roman" w:hAnsi="Times New Roman" w:cs="Times New Roman"/>
          <w:sz w:val="24"/>
          <w:szCs w:val="24"/>
          <w:highlight w:val="yellow"/>
        </w:rPr>
        <w:t>have</w:t>
      </w:r>
      <w:r w:rsidR="00C452E8" w:rsidRPr="0096196B">
        <w:rPr>
          <w:rFonts w:ascii="Times New Roman" w:hAnsi="Times New Roman" w:cs="Times New Roman"/>
          <w:sz w:val="24"/>
          <w:szCs w:val="24"/>
          <w:highlight w:val="yellow"/>
        </w:rPr>
        <w:t xml:space="preserve"> opened the possibility of a wide variety of treatment options to support patient care, while also creating the need for primary care practitioners to have a greater awareness of commonly used prosthetic attachments</w:t>
      </w:r>
      <w:r w:rsidR="00C452E8">
        <w:rPr>
          <w:rFonts w:ascii="Times New Roman" w:hAnsi="Times New Roman" w:cs="Times New Roman"/>
          <w:sz w:val="24"/>
          <w:szCs w:val="24"/>
          <w:highlight w:val="yellow"/>
        </w:rPr>
        <w:t xml:space="preserve"> (</w:t>
      </w:r>
      <w:r w:rsidR="0019186A" w:rsidRPr="0019186A">
        <w:rPr>
          <w:rFonts w:ascii="Times New Roman" w:hAnsi="Times New Roman" w:cs="Times New Roman"/>
          <w:sz w:val="24"/>
          <w:szCs w:val="24"/>
          <w:highlight w:val="yellow"/>
        </w:rPr>
        <w:t>Gray</w:t>
      </w:r>
      <w:r w:rsidR="0019186A">
        <w:rPr>
          <w:rFonts w:ascii="Times New Roman" w:hAnsi="Times New Roman" w:cs="Times New Roman"/>
          <w:sz w:val="24"/>
          <w:szCs w:val="24"/>
          <w:highlight w:val="yellow"/>
        </w:rPr>
        <w:t xml:space="preserve"> </w:t>
      </w:r>
      <w:r w:rsidR="0019186A" w:rsidRPr="0019186A">
        <w:rPr>
          <w:rFonts w:ascii="Times New Roman" w:hAnsi="Times New Roman" w:cs="Times New Roman"/>
          <w:sz w:val="24"/>
          <w:szCs w:val="24"/>
          <w:highlight w:val="yellow"/>
        </w:rPr>
        <w:t>&amp; Patel, </w:t>
      </w:r>
      <w:r w:rsidR="0019186A">
        <w:rPr>
          <w:highlight w:val="yellow"/>
        </w:rPr>
        <w:t>2021</w:t>
      </w:r>
      <w:r w:rsidR="00C452E8">
        <w:rPr>
          <w:rFonts w:ascii="Times New Roman" w:hAnsi="Times New Roman" w:cs="Times New Roman"/>
          <w:sz w:val="24"/>
          <w:szCs w:val="24"/>
          <w:highlight w:val="yellow"/>
        </w:rPr>
        <w:t>)</w:t>
      </w:r>
      <w:r w:rsidR="00C452E8" w:rsidRPr="0096196B">
        <w:rPr>
          <w:rFonts w:ascii="Times New Roman" w:hAnsi="Times New Roman" w:cs="Times New Roman"/>
          <w:sz w:val="24"/>
          <w:szCs w:val="24"/>
          <w:highlight w:val="yellow"/>
        </w:rPr>
        <w:t>.</w:t>
      </w:r>
    </w:p>
    <w:p w14:paraId="75938A9F" w14:textId="4B6E7CF1"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Maxillary tooth-supported overdentures represent a particularly valuable yet </w:t>
      </w:r>
      <w:r w:rsidR="00B05D1B" w:rsidRPr="0096196B">
        <w:rPr>
          <w:rFonts w:ascii="Times New Roman" w:hAnsi="Times New Roman" w:cs="Times New Roman"/>
          <w:sz w:val="24"/>
          <w:szCs w:val="24"/>
          <w:highlight w:val="yellow"/>
        </w:rPr>
        <w:t xml:space="preserve">underutilised </w:t>
      </w:r>
      <w:r w:rsidRPr="0096196B">
        <w:rPr>
          <w:rFonts w:ascii="Times New Roman" w:hAnsi="Times New Roman" w:cs="Times New Roman"/>
          <w:sz w:val="24"/>
          <w:szCs w:val="24"/>
          <w:highlight w:val="yellow"/>
        </w:rPr>
        <w:t>treatment</w:t>
      </w:r>
      <w:r w:rsidRPr="00A929E5">
        <w:rPr>
          <w:rFonts w:ascii="Times New Roman" w:hAnsi="Times New Roman" w:cs="Times New Roman"/>
          <w:sz w:val="24"/>
          <w:szCs w:val="24"/>
        </w:rPr>
        <w:t xml:space="preserve"> option [4]. Though implant-supported overdentures have gained prominence in recent years, tooth-supported variants offer a cost-effective alternative with comparable functional benefits [5]. </w:t>
      </w:r>
      <w:r w:rsidR="00C67241" w:rsidRPr="0096196B">
        <w:rPr>
          <w:rFonts w:ascii="Times New Roman" w:hAnsi="Times New Roman" w:cs="Times New Roman"/>
          <w:sz w:val="24"/>
          <w:szCs w:val="24"/>
          <w:highlight w:val="yellow"/>
        </w:rPr>
        <w:t xml:space="preserve">In preventative prosthodontics, an overdenture supported by the tooth is essential for maintaining the natural teeth that are already present while also </w:t>
      </w:r>
      <w:r w:rsidR="00045B28" w:rsidRPr="0096196B">
        <w:rPr>
          <w:rFonts w:ascii="Times New Roman" w:hAnsi="Times New Roman" w:cs="Times New Roman"/>
          <w:sz w:val="24"/>
          <w:szCs w:val="24"/>
          <w:highlight w:val="yellow"/>
        </w:rPr>
        <w:t>minimising</w:t>
      </w:r>
      <w:r w:rsidR="00C67241" w:rsidRPr="0096196B">
        <w:rPr>
          <w:rFonts w:ascii="Times New Roman" w:hAnsi="Times New Roman" w:cs="Times New Roman"/>
          <w:sz w:val="24"/>
          <w:szCs w:val="24"/>
          <w:highlight w:val="yellow"/>
        </w:rPr>
        <w:t xml:space="preserve"> bone loss. Chewing capacity is increased, denture</w:t>
      </w:r>
      <w:r w:rsidR="00045B28" w:rsidRPr="0096196B">
        <w:rPr>
          <w:rFonts w:ascii="Times New Roman" w:hAnsi="Times New Roman" w:cs="Times New Roman"/>
          <w:sz w:val="24"/>
          <w:szCs w:val="24"/>
          <w:highlight w:val="yellow"/>
        </w:rPr>
        <w:t>-</w:t>
      </w:r>
      <w:r w:rsidR="00C67241" w:rsidRPr="0096196B">
        <w:rPr>
          <w:rFonts w:ascii="Times New Roman" w:hAnsi="Times New Roman" w:cs="Times New Roman"/>
          <w:sz w:val="24"/>
          <w:szCs w:val="24"/>
          <w:highlight w:val="yellow"/>
        </w:rPr>
        <w:t>bearing regions are maintained, and bone degeneration is slowed by prompt, planned treatment</w:t>
      </w:r>
      <w:r w:rsidR="00045B28" w:rsidRPr="0096196B">
        <w:rPr>
          <w:rFonts w:ascii="Times New Roman" w:hAnsi="Times New Roman" w:cs="Times New Roman"/>
          <w:sz w:val="24"/>
          <w:szCs w:val="24"/>
          <w:highlight w:val="yellow"/>
        </w:rPr>
        <w:t xml:space="preserve"> (</w:t>
      </w:r>
      <w:proofErr w:type="spellStart"/>
      <w:r w:rsidR="00884735" w:rsidRPr="0059503D">
        <w:rPr>
          <w:rFonts w:ascii="Times New Roman" w:hAnsi="Times New Roman" w:cs="Times New Roman"/>
          <w:sz w:val="24"/>
          <w:szCs w:val="24"/>
          <w:highlight w:val="yellow"/>
        </w:rPr>
        <w:t>Pachiou</w:t>
      </w:r>
      <w:proofErr w:type="spellEnd"/>
      <w:r w:rsidR="00884735">
        <w:rPr>
          <w:rFonts w:ascii="Times New Roman" w:hAnsi="Times New Roman" w:cs="Times New Roman"/>
          <w:sz w:val="24"/>
          <w:szCs w:val="24"/>
          <w:highlight w:val="yellow"/>
        </w:rPr>
        <w:t xml:space="preserve"> et al., 2023</w:t>
      </w:r>
      <w:r w:rsidR="00045B28" w:rsidRPr="0096196B">
        <w:rPr>
          <w:rFonts w:ascii="Times New Roman" w:hAnsi="Times New Roman" w:cs="Times New Roman"/>
          <w:sz w:val="24"/>
          <w:szCs w:val="24"/>
          <w:highlight w:val="yellow"/>
        </w:rPr>
        <w:t>)</w:t>
      </w:r>
      <w:r w:rsidR="00C67241" w:rsidRPr="0096196B">
        <w:rPr>
          <w:rFonts w:ascii="Times New Roman" w:hAnsi="Times New Roman" w:cs="Times New Roman"/>
          <w:sz w:val="24"/>
          <w:szCs w:val="24"/>
          <w:highlight w:val="yellow"/>
        </w:rPr>
        <w:t>.</w:t>
      </w:r>
      <w:r w:rsidR="004B5E5C">
        <w:rPr>
          <w:rFonts w:ascii="Times New Roman" w:hAnsi="Times New Roman" w:cs="Times New Roman"/>
          <w:sz w:val="24"/>
          <w:szCs w:val="24"/>
        </w:rPr>
        <w:t xml:space="preserve"> </w:t>
      </w:r>
      <w:r w:rsidRPr="00A929E5">
        <w:rPr>
          <w:rFonts w:ascii="Times New Roman" w:hAnsi="Times New Roman" w:cs="Times New Roman"/>
          <w:sz w:val="24"/>
          <w:szCs w:val="24"/>
        </w:rPr>
        <w:t>This case report details the successful rehabilitation of a patient with a maxillary tooth-supported overdenture opposing a complete mandibular denture, demonstrating the clinical viability of this treatment approach.</w:t>
      </w:r>
    </w:p>
    <w:p w14:paraId="3326ECD7" w14:textId="77777777" w:rsidR="00671D52" w:rsidRPr="00A929E5" w:rsidRDefault="00671D52" w:rsidP="00A929E5">
      <w:pPr>
        <w:spacing w:line="360" w:lineRule="auto"/>
        <w:rPr>
          <w:rFonts w:ascii="Times New Roman" w:hAnsi="Times New Roman" w:cs="Times New Roman"/>
          <w:sz w:val="24"/>
          <w:szCs w:val="24"/>
        </w:rPr>
      </w:pPr>
    </w:p>
    <w:p w14:paraId="3839E448"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Case Presentation</w:t>
      </w:r>
    </w:p>
    <w:p w14:paraId="1FF77500"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Patient History</w:t>
      </w:r>
    </w:p>
    <w:p w14:paraId="7350487B" w14:textId="68BC19F1"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A </w:t>
      </w:r>
      <w:r w:rsidR="00CB3C6A">
        <w:rPr>
          <w:rFonts w:ascii="Times New Roman" w:hAnsi="Times New Roman" w:cs="Times New Roman"/>
          <w:sz w:val="24"/>
          <w:szCs w:val="24"/>
        </w:rPr>
        <w:t>4</w:t>
      </w:r>
      <w:r w:rsidR="00671D52">
        <w:rPr>
          <w:rFonts w:ascii="Times New Roman" w:hAnsi="Times New Roman" w:cs="Times New Roman"/>
          <w:sz w:val="24"/>
          <w:szCs w:val="24"/>
        </w:rPr>
        <w:t>3</w:t>
      </w:r>
      <w:r w:rsidRPr="00A929E5">
        <w:rPr>
          <w:rFonts w:ascii="Times New Roman" w:hAnsi="Times New Roman" w:cs="Times New Roman"/>
          <w:sz w:val="24"/>
          <w:szCs w:val="24"/>
        </w:rPr>
        <w:t xml:space="preserve">-year-old </w:t>
      </w:r>
      <w:r w:rsidR="00671D52">
        <w:rPr>
          <w:rFonts w:ascii="Times New Roman" w:hAnsi="Times New Roman" w:cs="Times New Roman"/>
          <w:sz w:val="24"/>
          <w:szCs w:val="24"/>
        </w:rPr>
        <w:t>fe</w:t>
      </w:r>
      <w:r w:rsidRPr="00A929E5">
        <w:rPr>
          <w:rFonts w:ascii="Times New Roman" w:hAnsi="Times New Roman" w:cs="Times New Roman"/>
          <w:sz w:val="24"/>
          <w:szCs w:val="24"/>
        </w:rPr>
        <w:t>male presented with complaints of inadequate masticatory function and poor denture stability. The patient's dental history revealed gradual tooth loss over 15 years, with previous attempts at removable partial denture therapy proving unsatisfactory [6]. Medical history was non-contributory, with no contraindications to dental treatment.</w:t>
      </w:r>
    </w:p>
    <w:p w14:paraId="69F97B76" w14:textId="77777777" w:rsidR="00A929E5" w:rsidRPr="00671D52" w:rsidRDefault="00A929E5" w:rsidP="00A929E5">
      <w:pPr>
        <w:spacing w:line="360" w:lineRule="auto"/>
        <w:rPr>
          <w:rFonts w:ascii="Times New Roman" w:hAnsi="Times New Roman" w:cs="Times New Roman"/>
          <w:b/>
          <w:bCs/>
          <w:sz w:val="24"/>
          <w:szCs w:val="24"/>
        </w:rPr>
      </w:pPr>
      <w:r w:rsidRPr="00671D52">
        <w:rPr>
          <w:rFonts w:ascii="Times New Roman" w:hAnsi="Times New Roman" w:cs="Times New Roman"/>
          <w:b/>
          <w:bCs/>
          <w:sz w:val="24"/>
          <w:szCs w:val="24"/>
        </w:rPr>
        <w:t>Clinical Examination</w:t>
      </w:r>
    </w:p>
    <w:p w14:paraId="2302438C"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Intraoral examination revealed:</w:t>
      </w:r>
    </w:p>
    <w:p w14:paraId="28E617FE" w14:textId="133C1E13" w:rsidR="00A929E5" w:rsidRP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Maxillary arch: </w:t>
      </w:r>
      <w:r w:rsidR="0013185E">
        <w:rPr>
          <w:rFonts w:ascii="Times New Roman" w:hAnsi="Times New Roman" w:cs="Times New Roman"/>
          <w:sz w:val="24"/>
          <w:szCs w:val="24"/>
        </w:rPr>
        <w:t xml:space="preserve">only </w:t>
      </w:r>
      <w:r w:rsidR="00671D52">
        <w:rPr>
          <w:rFonts w:ascii="Times New Roman" w:hAnsi="Times New Roman" w:cs="Times New Roman"/>
          <w:sz w:val="24"/>
          <w:szCs w:val="24"/>
        </w:rPr>
        <w:t xml:space="preserve">grossly decayed </w:t>
      </w:r>
      <w:r w:rsidRPr="00A929E5">
        <w:rPr>
          <w:rFonts w:ascii="Times New Roman" w:hAnsi="Times New Roman" w:cs="Times New Roman"/>
          <w:sz w:val="24"/>
          <w:szCs w:val="24"/>
        </w:rPr>
        <w:t xml:space="preserve">two </w:t>
      </w:r>
      <w:r w:rsidR="00671D52">
        <w:rPr>
          <w:rFonts w:ascii="Times New Roman" w:hAnsi="Times New Roman" w:cs="Times New Roman"/>
          <w:sz w:val="24"/>
          <w:szCs w:val="24"/>
        </w:rPr>
        <w:t>central incisors</w:t>
      </w:r>
      <w:r w:rsidRPr="00A929E5">
        <w:rPr>
          <w:rFonts w:ascii="Times New Roman" w:hAnsi="Times New Roman" w:cs="Times New Roman"/>
          <w:sz w:val="24"/>
          <w:szCs w:val="24"/>
        </w:rPr>
        <w:t xml:space="preserve"> (1</w:t>
      </w:r>
      <w:r w:rsidR="00671D52">
        <w:rPr>
          <w:rFonts w:ascii="Times New Roman" w:hAnsi="Times New Roman" w:cs="Times New Roman"/>
          <w:sz w:val="24"/>
          <w:szCs w:val="24"/>
        </w:rPr>
        <w:t>1</w:t>
      </w:r>
      <w:r w:rsidRPr="00A929E5">
        <w:rPr>
          <w:rFonts w:ascii="Times New Roman" w:hAnsi="Times New Roman" w:cs="Times New Roman"/>
          <w:sz w:val="24"/>
          <w:szCs w:val="24"/>
        </w:rPr>
        <w:t>, 2</w:t>
      </w:r>
      <w:r w:rsidR="00671D52">
        <w:rPr>
          <w:rFonts w:ascii="Times New Roman" w:hAnsi="Times New Roman" w:cs="Times New Roman"/>
          <w:sz w:val="24"/>
          <w:szCs w:val="24"/>
        </w:rPr>
        <w:t>1</w:t>
      </w:r>
      <w:r w:rsidRPr="00A929E5">
        <w:rPr>
          <w:rFonts w:ascii="Times New Roman" w:hAnsi="Times New Roman" w:cs="Times New Roman"/>
          <w:sz w:val="24"/>
          <w:szCs w:val="24"/>
        </w:rPr>
        <w:t>)</w:t>
      </w:r>
      <w:r w:rsidR="00671D52">
        <w:rPr>
          <w:rFonts w:ascii="Times New Roman" w:hAnsi="Times New Roman" w:cs="Times New Roman"/>
          <w:sz w:val="24"/>
          <w:szCs w:val="24"/>
        </w:rPr>
        <w:t xml:space="preserve"> and caries with peri-</w:t>
      </w:r>
      <w:r w:rsidR="00671D52" w:rsidRPr="0096196B">
        <w:rPr>
          <w:rFonts w:ascii="Times New Roman" w:hAnsi="Times New Roman" w:cs="Times New Roman"/>
          <w:sz w:val="24"/>
          <w:szCs w:val="24"/>
          <w:highlight w:val="yellow"/>
        </w:rPr>
        <w:t xml:space="preserve">apical </w:t>
      </w:r>
      <w:r w:rsidR="00B05D1B" w:rsidRPr="0096196B">
        <w:rPr>
          <w:rFonts w:ascii="Times New Roman" w:hAnsi="Times New Roman" w:cs="Times New Roman"/>
          <w:sz w:val="24"/>
          <w:szCs w:val="24"/>
          <w:highlight w:val="yellow"/>
        </w:rPr>
        <w:t xml:space="preserve">abscess </w:t>
      </w:r>
      <w:r w:rsidR="00671D52" w:rsidRPr="0096196B">
        <w:rPr>
          <w:rFonts w:ascii="Times New Roman" w:hAnsi="Times New Roman" w:cs="Times New Roman"/>
          <w:sz w:val="24"/>
          <w:szCs w:val="24"/>
          <w:highlight w:val="yellow"/>
        </w:rPr>
        <w:t>in</w:t>
      </w:r>
      <w:r w:rsidR="0013185E">
        <w:rPr>
          <w:rFonts w:ascii="Times New Roman" w:hAnsi="Times New Roman" w:cs="Times New Roman"/>
          <w:sz w:val="24"/>
          <w:szCs w:val="24"/>
        </w:rPr>
        <w:t xml:space="preserve"> canine-</w:t>
      </w:r>
      <w:r w:rsidR="00671D52">
        <w:rPr>
          <w:rFonts w:ascii="Times New Roman" w:hAnsi="Times New Roman" w:cs="Times New Roman"/>
          <w:sz w:val="24"/>
          <w:szCs w:val="24"/>
        </w:rPr>
        <w:t xml:space="preserve"> 23</w:t>
      </w:r>
      <w:r w:rsidR="0013185E">
        <w:rPr>
          <w:rFonts w:ascii="Times New Roman" w:hAnsi="Times New Roman" w:cs="Times New Roman"/>
          <w:sz w:val="24"/>
          <w:szCs w:val="24"/>
        </w:rPr>
        <w:t xml:space="preserve"> is present. </w:t>
      </w:r>
    </w:p>
    <w:p w14:paraId="1E3345B7" w14:textId="400A823E" w:rsidR="00A929E5" w:rsidRP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Mandibular arch: </w:t>
      </w:r>
      <w:r w:rsidR="00671D52">
        <w:rPr>
          <w:rFonts w:ascii="Times New Roman" w:hAnsi="Times New Roman" w:cs="Times New Roman"/>
          <w:sz w:val="24"/>
          <w:szCs w:val="24"/>
        </w:rPr>
        <w:t xml:space="preserve">grossly decayed lower anteriors </w:t>
      </w:r>
      <w:r w:rsidR="0013185E">
        <w:rPr>
          <w:rFonts w:ascii="Times New Roman" w:hAnsi="Times New Roman" w:cs="Times New Roman"/>
          <w:sz w:val="24"/>
          <w:szCs w:val="24"/>
        </w:rPr>
        <w:t>and premolars 35 45 46</w:t>
      </w:r>
    </w:p>
    <w:p w14:paraId="30063A2C" w14:textId="77777777" w:rsidR="00A929E5" w:rsidRDefault="00A929E5" w:rsidP="00A929E5">
      <w:pPr>
        <w:numPr>
          <w:ilvl w:val="0"/>
          <w:numId w:val="17"/>
        </w:numPr>
        <w:spacing w:line="360" w:lineRule="auto"/>
        <w:rPr>
          <w:rFonts w:ascii="Times New Roman" w:hAnsi="Times New Roman" w:cs="Times New Roman"/>
          <w:sz w:val="24"/>
          <w:szCs w:val="24"/>
        </w:rPr>
      </w:pPr>
      <w:r w:rsidRPr="00A929E5">
        <w:rPr>
          <w:rFonts w:ascii="Times New Roman" w:hAnsi="Times New Roman" w:cs="Times New Roman"/>
          <w:sz w:val="24"/>
          <w:szCs w:val="24"/>
        </w:rPr>
        <w:t>Oral mucosa appeared healthy with no signs of pathology</w:t>
      </w:r>
    </w:p>
    <w:p w14:paraId="5F8D1F0A" w14:textId="5DA47968" w:rsidR="0013185E" w:rsidRDefault="0013185E" w:rsidP="00A929E5">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Loss of vertical dimension noted</w:t>
      </w:r>
    </w:p>
    <w:p w14:paraId="0A336707" w14:textId="16C7D13C" w:rsidR="00CB3C6A" w:rsidRDefault="005A1F05" w:rsidP="005A1F05">
      <w:pPr>
        <w:spacing w:line="360" w:lineRule="auto"/>
        <w:jc w:val="center"/>
        <w:rPr>
          <w:rFonts w:ascii="Times New Roman" w:hAnsi="Times New Roman" w:cs="Times New Roman"/>
          <w:sz w:val="24"/>
          <w:szCs w:val="24"/>
        </w:rPr>
      </w:pPr>
      <w:r>
        <w:rPr>
          <w:noProof/>
        </w:rPr>
        <w:lastRenderedPageBreak/>
        <w:drawing>
          <wp:inline distT="0" distB="0" distL="0" distR="0" wp14:anchorId="0AB2BA60" wp14:editId="7282CB1D">
            <wp:extent cx="5731510" cy="3027680"/>
            <wp:effectExtent l="0" t="0" r="2540" b="1270"/>
            <wp:docPr id="71216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62068" name=""/>
                    <pic:cNvPicPr/>
                  </pic:nvPicPr>
                  <pic:blipFill>
                    <a:blip r:embed="rId7"/>
                    <a:stretch>
                      <a:fillRect/>
                    </a:stretch>
                  </pic:blipFill>
                  <pic:spPr>
                    <a:xfrm>
                      <a:off x="0" y="0"/>
                      <a:ext cx="5731510" cy="3027680"/>
                    </a:xfrm>
                    <a:prstGeom prst="rect">
                      <a:avLst/>
                    </a:prstGeom>
                  </pic:spPr>
                </pic:pic>
              </a:graphicData>
            </a:graphic>
          </wp:inline>
        </w:drawing>
      </w:r>
    </w:p>
    <w:p w14:paraId="30F5EB99" w14:textId="77777777" w:rsidR="00CB3C6A" w:rsidRPr="00A929E5" w:rsidRDefault="00CB3C6A" w:rsidP="00CB3C6A">
      <w:pPr>
        <w:spacing w:line="360" w:lineRule="auto"/>
        <w:ind w:left="720"/>
        <w:rPr>
          <w:rFonts w:ascii="Times New Roman" w:hAnsi="Times New Roman" w:cs="Times New Roman"/>
          <w:sz w:val="24"/>
          <w:szCs w:val="24"/>
        </w:rPr>
      </w:pPr>
    </w:p>
    <w:p w14:paraId="6875BEC9" w14:textId="77777777" w:rsidR="00A929E5" w:rsidRPr="00CB3C6A" w:rsidRDefault="00A929E5" w:rsidP="00A929E5">
      <w:pPr>
        <w:spacing w:line="360" w:lineRule="auto"/>
        <w:rPr>
          <w:rFonts w:ascii="Times New Roman" w:hAnsi="Times New Roman" w:cs="Times New Roman"/>
          <w:b/>
          <w:bCs/>
          <w:sz w:val="24"/>
          <w:szCs w:val="24"/>
        </w:rPr>
      </w:pPr>
      <w:r w:rsidRPr="00CB3C6A">
        <w:rPr>
          <w:rFonts w:ascii="Times New Roman" w:hAnsi="Times New Roman" w:cs="Times New Roman"/>
          <w:b/>
          <w:bCs/>
          <w:sz w:val="24"/>
          <w:szCs w:val="24"/>
        </w:rPr>
        <w:t>Treatment Plan</w:t>
      </w:r>
    </w:p>
    <w:p w14:paraId="08252154"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After considering various treatment options, the following plan was formulated [10]:</w:t>
      </w:r>
    </w:p>
    <w:p w14:paraId="137C541B" w14:textId="77777777" w:rsidR="00A929E5" w:rsidRPr="00A929E5" w:rsidRDefault="00A929E5" w:rsidP="00A929E5">
      <w:pPr>
        <w:numPr>
          <w:ilvl w:val="0"/>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Maxillary Arch:</w:t>
      </w:r>
    </w:p>
    <w:p w14:paraId="23B35951" w14:textId="3BE781BA" w:rsidR="00A929E5" w:rsidRP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Endodontic treatment of remaining </w:t>
      </w:r>
      <w:r>
        <w:rPr>
          <w:rFonts w:ascii="Times New Roman" w:hAnsi="Times New Roman" w:cs="Times New Roman"/>
          <w:sz w:val="24"/>
          <w:szCs w:val="24"/>
        </w:rPr>
        <w:t>central incisors</w:t>
      </w:r>
      <w:r w:rsidR="000070E3">
        <w:rPr>
          <w:rFonts w:ascii="Times New Roman" w:hAnsi="Times New Roman" w:cs="Times New Roman"/>
          <w:sz w:val="24"/>
          <w:szCs w:val="24"/>
        </w:rPr>
        <w:t xml:space="preserve"> and extraction of </w:t>
      </w:r>
      <w:r w:rsidR="0013185E">
        <w:rPr>
          <w:rFonts w:ascii="Times New Roman" w:hAnsi="Times New Roman" w:cs="Times New Roman"/>
          <w:sz w:val="24"/>
          <w:szCs w:val="24"/>
        </w:rPr>
        <w:t>grossly decayed canine</w:t>
      </w:r>
      <w:r w:rsidR="007B7626">
        <w:rPr>
          <w:rFonts w:ascii="Times New Roman" w:hAnsi="Times New Roman" w:cs="Times New Roman"/>
          <w:sz w:val="24"/>
          <w:szCs w:val="24"/>
        </w:rPr>
        <w:t xml:space="preserve"> - </w:t>
      </w:r>
      <w:r w:rsidR="0013185E">
        <w:rPr>
          <w:rFonts w:ascii="Times New Roman" w:hAnsi="Times New Roman" w:cs="Times New Roman"/>
          <w:sz w:val="24"/>
          <w:szCs w:val="24"/>
        </w:rPr>
        <w:t>23</w:t>
      </w:r>
    </w:p>
    <w:p w14:paraId="3276332C" w14:textId="77777777" w:rsid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Preparation of abutments with custom cast copings</w:t>
      </w:r>
    </w:p>
    <w:p w14:paraId="163E6F82" w14:textId="17A55A24" w:rsidR="00CB3C6A" w:rsidRDefault="00CB3C6A" w:rsidP="00CB3C6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Transferring to </w:t>
      </w:r>
      <w:r w:rsidR="00B05D1B" w:rsidRPr="0096196B">
        <w:rPr>
          <w:rFonts w:ascii="Times New Roman" w:hAnsi="Times New Roman" w:cs="Times New Roman"/>
          <w:sz w:val="24"/>
          <w:szCs w:val="24"/>
          <w:highlight w:val="yellow"/>
        </w:rPr>
        <w:t xml:space="preserve">the </w:t>
      </w:r>
      <w:r w:rsidRPr="0096196B">
        <w:rPr>
          <w:rFonts w:ascii="Times New Roman" w:hAnsi="Times New Roman" w:cs="Times New Roman"/>
          <w:sz w:val="24"/>
          <w:szCs w:val="24"/>
          <w:highlight w:val="yellow"/>
        </w:rPr>
        <w:t>Hanau a</w:t>
      </w:r>
      <w:r>
        <w:rPr>
          <w:rFonts w:ascii="Times New Roman" w:hAnsi="Times New Roman" w:cs="Times New Roman"/>
          <w:sz w:val="24"/>
          <w:szCs w:val="24"/>
        </w:rPr>
        <w:t>rticulator</w:t>
      </w:r>
    </w:p>
    <w:p w14:paraId="50CE204C" w14:textId="42ABACBB" w:rsidR="00CB3C6A" w:rsidRDefault="00CB3C6A" w:rsidP="00CB3C6A">
      <w:pPr>
        <w:pStyle w:val="ListParagraph"/>
        <w:numPr>
          <w:ilvl w:val="1"/>
          <w:numId w:val="18"/>
        </w:numPr>
        <w:spacing w:line="360" w:lineRule="auto"/>
        <w:rPr>
          <w:rFonts w:ascii="Times New Roman" w:hAnsi="Times New Roman" w:cs="Times New Roman"/>
          <w:sz w:val="24"/>
          <w:szCs w:val="24"/>
        </w:rPr>
      </w:pPr>
      <w:r>
        <w:rPr>
          <w:rFonts w:ascii="Times New Roman" w:hAnsi="Times New Roman" w:cs="Times New Roman"/>
          <w:sz w:val="24"/>
          <w:szCs w:val="24"/>
        </w:rPr>
        <w:t>Face-bow transfer done</w:t>
      </w:r>
    </w:p>
    <w:p w14:paraId="77421150" w14:textId="045A8B7C" w:rsidR="00CB3C6A" w:rsidRPr="00CB3C6A" w:rsidRDefault="00CB3C6A" w:rsidP="00CB3C6A">
      <w:pPr>
        <w:pStyle w:val="ListParagraph"/>
        <w:numPr>
          <w:ilvl w:val="1"/>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Vertical dimension raised after raising </w:t>
      </w:r>
      <w:r w:rsidR="00B05D1B" w:rsidRPr="0096196B">
        <w:rPr>
          <w:rFonts w:ascii="Times New Roman" w:hAnsi="Times New Roman" w:cs="Times New Roman"/>
          <w:sz w:val="24"/>
          <w:szCs w:val="24"/>
          <w:highlight w:val="yellow"/>
        </w:rPr>
        <w:t xml:space="preserve">the </w:t>
      </w:r>
      <w:r w:rsidRPr="0096196B">
        <w:rPr>
          <w:rFonts w:ascii="Times New Roman" w:hAnsi="Times New Roman" w:cs="Times New Roman"/>
          <w:sz w:val="24"/>
          <w:szCs w:val="24"/>
          <w:highlight w:val="yellow"/>
        </w:rPr>
        <w:t xml:space="preserve">vertical rod in </w:t>
      </w:r>
      <w:r w:rsidR="00B05D1B" w:rsidRPr="0096196B">
        <w:rPr>
          <w:rFonts w:ascii="Times New Roman" w:hAnsi="Times New Roman" w:cs="Times New Roman"/>
          <w:sz w:val="24"/>
          <w:szCs w:val="24"/>
          <w:highlight w:val="yellow"/>
        </w:rPr>
        <w:t>the Hanau</w:t>
      </w:r>
      <w:r w:rsidR="00B05D1B">
        <w:rPr>
          <w:rFonts w:ascii="Times New Roman" w:hAnsi="Times New Roman" w:cs="Times New Roman"/>
          <w:sz w:val="24"/>
          <w:szCs w:val="24"/>
        </w:rPr>
        <w:t xml:space="preserve"> </w:t>
      </w:r>
      <w:r>
        <w:rPr>
          <w:rFonts w:ascii="Times New Roman" w:hAnsi="Times New Roman" w:cs="Times New Roman"/>
          <w:sz w:val="24"/>
          <w:szCs w:val="24"/>
        </w:rPr>
        <w:t>articulator by 2mm.</w:t>
      </w:r>
    </w:p>
    <w:p w14:paraId="7B95E20B" w14:textId="4B75E646" w:rsidR="00A929E5" w:rsidRPr="00A929E5" w:rsidRDefault="00A929E5" w:rsidP="00A929E5">
      <w:pPr>
        <w:numPr>
          <w:ilvl w:val="1"/>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Fabrication of maxillary complete overdenture with</w:t>
      </w:r>
      <w:r w:rsidR="000070E3">
        <w:rPr>
          <w:rFonts w:ascii="Times New Roman" w:hAnsi="Times New Roman" w:cs="Times New Roman"/>
          <w:sz w:val="24"/>
          <w:szCs w:val="24"/>
        </w:rPr>
        <w:t xml:space="preserve"> </w:t>
      </w:r>
      <w:r w:rsidRPr="00A929E5">
        <w:rPr>
          <w:rFonts w:ascii="Times New Roman" w:hAnsi="Times New Roman" w:cs="Times New Roman"/>
          <w:sz w:val="24"/>
          <w:szCs w:val="24"/>
        </w:rPr>
        <w:t>attachments</w:t>
      </w:r>
      <w:r w:rsidR="000070E3">
        <w:rPr>
          <w:rFonts w:ascii="Times New Roman" w:hAnsi="Times New Roman" w:cs="Times New Roman"/>
          <w:sz w:val="24"/>
          <w:szCs w:val="24"/>
        </w:rPr>
        <w:t>.</w:t>
      </w:r>
    </w:p>
    <w:p w14:paraId="400DAFA4" w14:textId="59890BEA" w:rsidR="00A929E5" w:rsidRDefault="00A929E5" w:rsidP="00A929E5">
      <w:pPr>
        <w:numPr>
          <w:ilvl w:val="0"/>
          <w:numId w:val="18"/>
        </w:numPr>
        <w:spacing w:line="360" w:lineRule="auto"/>
        <w:rPr>
          <w:rFonts w:ascii="Times New Roman" w:hAnsi="Times New Roman" w:cs="Times New Roman"/>
          <w:sz w:val="24"/>
          <w:szCs w:val="24"/>
        </w:rPr>
      </w:pPr>
      <w:r w:rsidRPr="00A929E5">
        <w:rPr>
          <w:rFonts w:ascii="Times New Roman" w:hAnsi="Times New Roman" w:cs="Times New Roman"/>
          <w:sz w:val="24"/>
          <w:szCs w:val="24"/>
        </w:rPr>
        <w:t>Mandibular Arch:</w:t>
      </w:r>
    </w:p>
    <w:p w14:paraId="55A10B83" w14:textId="376D7DE8" w:rsidR="00A929E5" w:rsidRDefault="000070E3" w:rsidP="000070E3">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Lower anteriors rehabilitated </w:t>
      </w:r>
      <w:r w:rsidR="0013185E">
        <w:rPr>
          <w:rFonts w:ascii="Times New Roman" w:hAnsi="Times New Roman" w:cs="Times New Roman"/>
          <w:sz w:val="24"/>
          <w:szCs w:val="24"/>
        </w:rPr>
        <w:t xml:space="preserve">after completion of root canal treatment. </w:t>
      </w:r>
    </w:p>
    <w:p w14:paraId="5C0356EE" w14:textId="1919AD99" w:rsidR="000070E3" w:rsidRDefault="000070E3" w:rsidP="000070E3">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Implant placement followed by screw retained prosthesis in partially edentulous posterior areas</w:t>
      </w:r>
      <w:r w:rsidR="007B7626">
        <w:rPr>
          <w:rFonts w:ascii="Times New Roman" w:hAnsi="Times New Roman" w:cs="Times New Roman"/>
          <w:sz w:val="24"/>
          <w:szCs w:val="24"/>
        </w:rPr>
        <w:t xml:space="preserve"> 34 36 46</w:t>
      </w:r>
      <w:r>
        <w:rPr>
          <w:rFonts w:ascii="Times New Roman" w:hAnsi="Times New Roman" w:cs="Times New Roman"/>
          <w:sz w:val="24"/>
          <w:szCs w:val="24"/>
        </w:rPr>
        <w:t xml:space="preserve">. </w:t>
      </w:r>
    </w:p>
    <w:p w14:paraId="2ECD39A0" w14:textId="116F085D" w:rsidR="00CB3C6A" w:rsidRDefault="00CB3C6A" w:rsidP="00CB3C6A">
      <w:pPr>
        <w:pStyle w:val="ListParagraph"/>
        <w:spacing w:line="360" w:lineRule="auto"/>
        <w:ind w:left="1800"/>
        <w:rPr>
          <w:rFonts w:ascii="Times New Roman" w:hAnsi="Times New Roman" w:cs="Times New Roman"/>
          <w:sz w:val="24"/>
          <w:szCs w:val="24"/>
        </w:rPr>
      </w:pPr>
    </w:p>
    <w:p w14:paraId="304ABCF9" w14:textId="0BC22264" w:rsidR="00CB3C6A" w:rsidRDefault="005A1F05" w:rsidP="005A1F05">
      <w:pPr>
        <w:pStyle w:val="ListParagraph"/>
        <w:spacing w:line="360" w:lineRule="auto"/>
        <w:ind w:left="0"/>
        <w:jc w:val="center"/>
        <w:rPr>
          <w:rFonts w:ascii="Times New Roman" w:hAnsi="Times New Roman" w:cs="Times New Roman"/>
          <w:sz w:val="24"/>
          <w:szCs w:val="24"/>
        </w:rPr>
      </w:pPr>
      <w:r>
        <w:rPr>
          <w:noProof/>
        </w:rPr>
        <w:lastRenderedPageBreak/>
        <w:drawing>
          <wp:inline distT="0" distB="0" distL="0" distR="0" wp14:anchorId="31AE1DBC" wp14:editId="71FACB4B">
            <wp:extent cx="4979200" cy="3015322"/>
            <wp:effectExtent l="0" t="0" r="0" b="0"/>
            <wp:docPr id="16109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7176" name=""/>
                    <pic:cNvPicPr/>
                  </pic:nvPicPr>
                  <pic:blipFill>
                    <a:blip r:embed="rId8"/>
                    <a:stretch>
                      <a:fillRect/>
                    </a:stretch>
                  </pic:blipFill>
                  <pic:spPr>
                    <a:xfrm>
                      <a:off x="0" y="0"/>
                      <a:ext cx="4990331" cy="3022063"/>
                    </a:xfrm>
                    <a:prstGeom prst="rect">
                      <a:avLst/>
                    </a:prstGeom>
                  </pic:spPr>
                </pic:pic>
              </a:graphicData>
            </a:graphic>
          </wp:inline>
        </w:drawing>
      </w:r>
    </w:p>
    <w:p w14:paraId="1A14A052" w14:textId="5AAF8F53" w:rsidR="00CB3C6A" w:rsidRDefault="005A1F05" w:rsidP="005A1F05">
      <w:pPr>
        <w:pStyle w:val="ListParagraph"/>
        <w:spacing w:line="360" w:lineRule="auto"/>
        <w:ind w:left="0"/>
        <w:jc w:val="center"/>
        <w:rPr>
          <w:rFonts w:ascii="Times New Roman" w:hAnsi="Times New Roman" w:cs="Times New Roman"/>
          <w:sz w:val="24"/>
          <w:szCs w:val="24"/>
        </w:rPr>
      </w:pPr>
      <w:bookmarkStart w:id="0" w:name="_GoBack"/>
      <w:r>
        <w:rPr>
          <w:noProof/>
        </w:rPr>
        <w:drawing>
          <wp:inline distT="0" distB="0" distL="0" distR="0" wp14:anchorId="1C1A4F47" wp14:editId="5216B4AC">
            <wp:extent cx="4915180" cy="2502243"/>
            <wp:effectExtent l="0" t="0" r="0" b="0"/>
            <wp:docPr id="31293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4333" name=""/>
                    <pic:cNvPicPr/>
                  </pic:nvPicPr>
                  <pic:blipFill>
                    <a:blip r:embed="rId9"/>
                    <a:stretch>
                      <a:fillRect/>
                    </a:stretch>
                  </pic:blipFill>
                  <pic:spPr>
                    <a:xfrm>
                      <a:off x="0" y="0"/>
                      <a:ext cx="4931221" cy="2510409"/>
                    </a:xfrm>
                    <a:prstGeom prst="rect">
                      <a:avLst/>
                    </a:prstGeom>
                  </pic:spPr>
                </pic:pic>
              </a:graphicData>
            </a:graphic>
          </wp:inline>
        </w:drawing>
      </w:r>
      <w:bookmarkEnd w:id="0"/>
    </w:p>
    <w:p w14:paraId="3CC2AE9C" w14:textId="20A5B997" w:rsidR="00CB3C6A" w:rsidRPr="007B7626" w:rsidRDefault="007B7626" w:rsidP="007B7626">
      <w:pPr>
        <w:spacing w:line="360" w:lineRule="auto"/>
        <w:rPr>
          <w:rFonts w:ascii="Times New Roman" w:hAnsi="Times New Roman" w:cs="Times New Roman"/>
          <w:sz w:val="24"/>
          <w:szCs w:val="24"/>
        </w:rPr>
      </w:pPr>
      <w:r>
        <w:rPr>
          <w:rFonts w:ascii="Times New Roman" w:hAnsi="Times New Roman" w:cs="Times New Roman"/>
          <w:sz w:val="24"/>
          <w:szCs w:val="24"/>
        </w:rPr>
        <w:t xml:space="preserve">Patient was recalled at regular intervals and evaluated the comfort, stability, retention and oral hygiene. After 3 years of </w:t>
      </w:r>
      <w:r w:rsidR="00B05D1B" w:rsidRPr="0096196B">
        <w:rPr>
          <w:rFonts w:ascii="Times New Roman" w:hAnsi="Times New Roman" w:cs="Times New Roman"/>
          <w:sz w:val="24"/>
          <w:szCs w:val="24"/>
          <w:highlight w:val="yellow"/>
        </w:rPr>
        <w:t>follow-up</w:t>
      </w:r>
      <w:r w:rsidRPr="0096196B">
        <w:rPr>
          <w:rFonts w:ascii="Times New Roman" w:hAnsi="Times New Roman" w:cs="Times New Roman"/>
          <w:sz w:val="24"/>
          <w:szCs w:val="24"/>
          <w:highlight w:val="yellow"/>
        </w:rPr>
        <w:t xml:space="preserve">, </w:t>
      </w:r>
      <w:r w:rsidR="00B05D1B" w:rsidRPr="0096196B">
        <w:rPr>
          <w:rFonts w:ascii="Times New Roman" w:hAnsi="Times New Roman" w:cs="Times New Roman"/>
          <w:sz w:val="24"/>
          <w:szCs w:val="24"/>
          <w:highlight w:val="yellow"/>
        </w:rPr>
        <w:t xml:space="preserve">the </w:t>
      </w:r>
      <w:r w:rsidRPr="0096196B">
        <w:rPr>
          <w:rFonts w:ascii="Times New Roman" w:hAnsi="Times New Roman" w:cs="Times New Roman"/>
          <w:sz w:val="24"/>
          <w:szCs w:val="24"/>
          <w:highlight w:val="yellow"/>
        </w:rPr>
        <w:t>patient</w:t>
      </w:r>
      <w:r>
        <w:rPr>
          <w:rFonts w:ascii="Times New Roman" w:hAnsi="Times New Roman" w:cs="Times New Roman"/>
          <w:sz w:val="24"/>
          <w:szCs w:val="24"/>
        </w:rPr>
        <w:t xml:space="preserve"> was satisfied with the results</w:t>
      </w:r>
      <w:r w:rsidR="00B05D1B">
        <w:rPr>
          <w:rFonts w:ascii="Times New Roman" w:hAnsi="Times New Roman" w:cs="Times New Roman"/>
          <w:sz w:val="24"/>
          <w:szCs w:val="24"/>
        </w:rPr>
        <w:t>,</w:t>
      </w:r>
      <w:r>
        <w:rPr>
          <w:rFonts w:ascii="Times New Roman" w:hAnsi="Times New Roman" w:cs="Times New Roman"/>
          <w:sz w:val="24"/>
          <w:szCs w:val="24"/>
        </w:rPr>
        <w:t xml:space="preserve"> and the prosthesis showed excellent stability and comfort. </w:t>
      </w:r>
    </w:p>
    <w:p w14:paraId="0D23C973" w14:textId="77777777"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Discussion</w:t>
      </w:r>
    </w:p>
    <w:p w14:paraId="0198871E" w14:textId="1FBF90E1" w:rsidR="00CB3C6A"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The rehabilitation of edentulous patients with overdentures has been well-documented as a superior alternative to conventional complete dentures, particularly in terms of stability, retention, and preservation of residual alveolar bone (1). This case report demonstrates the successful use of a tooth-supported maxillary overdenture in conjunction with a complete mandibular </w:t>
      </w:r>
      <w:r w:rsidR="000070E3">
        <w:rPr>
          <w:rFonts w:ascii="Times New Roman" w:hAnsi="Times New Roman" w:cs="Times New Roman"/>
          <w:sz w:val="24"/>
          <w:szCs w:val="24"/>
        </w:rPr>
        <w:t>rehabilitation</w:t>
      </w:r>
      <w:r w:rsidRPr="00A929E5">
        <w:rPr>
          <w:rFonts w:ascii="Times New Roman" w:hAnsi="Times New Roman" w:cs="Times New Roman"/>
          <w:sz w:val="24"/>
          <w:szCs w:val="24"/>
        </w:rPr>
        <w:t>, highlighting the clinical benefits of retaining natural tooth roots for prosthetic support.</w:t>
      </w:r>
    </w:p>
    <w:p w14:paraId="04D748F4" w14:textId="3E5C9A4E"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One of the most significant advantages of overdentures is the reduction in residual ridge resorption. When teeth are extracted, the alveolar bone undergoes progressive atrophy due to the loss of periodontal ligament stimulation (2). By retaining strategic roots, as in this case (maxillary canines), the mechanical loading is transferred more physiologically, slowing bone loss (3). Studies by Tallgren (1972) and Crum &amp; Loiselle (1972) have shown that patients with overdentures exhibit significantly less ridge resorption compared to those with conventional complete dentures (4,5).</w:t>
      </w:r>
    </w:p>
    <w:p w14:paraId="7E6D8D2B" w14:textId="10CD8969"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The incorporation of attachments (e.g., ball, bar, or telescopic copings) enhances denture retention, reducing displacement during function (6). In this case, custom cast copings were used, which provided both retention and proprioceptive feedback—a critical factor in patient adaptation (7). Feine et al. (2002) </w:t>
      </w:r>
      <w:r w:rsidR="00B05D1B" w:rsidRPr="0096196B">
        <w:rPr>
          <w:rFonts w:ascii="Times New Roman" w:hAnsi="Times New Roman" w:cs="Times New Roman"/>
          <w:sz w:val="24"/>
          <w:szCs w:val="24"/>
          <w:highlight w:val="yellow"/>
        </w:rPr>
        <w:t xml:space="preserve">emphasised </w:t>
      </w:r>
      <w:r w:rsidRPr="0096196B">
        <w:rPr>
          <w:rFonts w:ascii="Times New Roman" w:hAnsi="Times New Roman" w:cs="Times New Roman"/>
          <w:sz w:val="24"/>
          <w:szCs w:val="24"/>
          <w:highlight w:val="yellow"/>
        </w:rPr>
        <w:t>in</w:t>
      </w:r>
      <w:r w:rsidRPr="00A929E5">
        <w:rPr>
          <w:rFonts w:ascii="Times New Roman" w:hAnsi="Times New Roman" w:cs="Times New Roman"/>
          <w:sz w:val="24"/>
          <w:szCs w:val="24"/>
        </w:rPr>
        <w:t xml:space="preserve"> the McGill Consensus Statement that even two implant or tooth-supported abutments can dramatically improve overdenture stability (8).</w:t>
      </w:r>
    </w:p>
    <w:p w14:paraId="7A95D70C" w14:textId="381D336C"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Patients with overdentures demonstrate better chewing ability than those with conventional dentures (9). Kapur et al. (1999) conducted a </w:t>
      </w:r>
      <w:r w:rsidR="00B05D1B" w:rsidRPr="0096196B">
        <w:rPr>
          <w:rFonts w:ascii="Times New Roman" w:hAnsi="Times New Roman" w:cs="Times New Roman"/>
          <w:sz w:val="24"/>
          <w:szCs w:val="24"/>
          <w:highlight w:val="yellow"/>
        </w:rPr>
        <w:t xml:space="preserve">randomised </w:t>
      </w:r>
      <w:r w:rsidRPr="0096196B">
        <w:rPr>
          <w:rFonts w:ascii="Times New Roman" w:hAnsi="Times New Roman" w:cs="Times New Roman"/>
          <w:sz w:val="24"/>
          <w:szCs w:val="24"/>
          <w:highlight w:val="yellow"/>
        </w:rPr>
        <w:t>trial</w:t>
      </w:r>
      <w:r w:rsidRPr="00A929E5">
        <w:rPr>
          <w:rFonts w:ascii="Times New Roman" w:hAnsi="Times New Roman" w:cs="Times New Roman"/>
          <w:sz w:val="24"/>
          <w:szCs w:val="24"/>
        </w:rPr>
        <w:t xml:space="preserve"> comparing implant-supported overdentures to conventional dentures and found that overdenture wearers had significantly improved masticatory performance (10). Although this case used tooth-supported rather than implant-supported abutments, similar benefits were observed, with the patient reporting improved comfort and function.</w:t>
      </w:r>
    </w:p>
    <w:p w14:paraId="7B20E215" w14:textId="570CCA4A" w:rsidR="007B7626" w:rsidRPr="00A929E5" w:rsidRDefault="007B7626"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Several studies, including Burns et al. (1995) and Walton &amp; MacEntee (1994), have compared tooth-supported and implant-supported overdentures (17,18). While implants offer greater long-term predictability, tooth-supported overdentures remain a viable option when</w:t>
      </w:r>
      <w:r>
        <w:rPr>
          <w:rFonts w:ascii="Times New Roman" w:hAnsi="Times New Roman" w:cs="Times New Roman"/>
          <w:sz w:val="24"/>
          <w:szCs w:val="24"/>
        </w:rPr>
        <w:t xml:space="preserve"> a</w:t>
      </w:r>
      <w:r w:rsidRPr="00A929E5">
        <w:rPr>
          <w:rFonts w:ascii="Times New Roman" w:hAnsi="Times New Roman" w:cs="Times New Roman"/>
          <w:sz w:val="24"/>
          <w:szCs w:val="24"/>
        </w:rPr>
        <w:t xml:space="preserve">butment teeth have </w:t>
      </w:r>
      <w:r w:rsidR="00B05D1B">
        <w:rPr>
          <w:rFonts w:ascii="Times New Roman" w:hAnsi="Times New Roman" w:cs="Times New Roman"/>
          <w:sz w:val="24"/>
          <w:szCs w:val="24"/>
        </w:rPr>
        <w:t xml:space="preserve">a </w:t>
      </w:r>
      <w:r w:rsidRPr="00A929E5">
        <w:rPr>
          <w:rFonts w:ascii="Times New Roman" w:hAnsi="Times New Roman" w:cs="Times New Roman"/>
          <w:sz w:val="24"/>
          <w:szCs w:val="24"/>
        </w:rPr>
        <w:t>good prognosis (adequate bone support, no mobility).</w:t>
      </w:r>
    </w:p>
    <w:p w14:paraId="6167CDDC" w14:textId="77777777" w:rsidR="00A929E5" w:rsidRPr="00CB3C6A" w:rsidRDefault="00A929E5" w:rsidP="00A929E5">
      <w:pPr>
        <w:spacing w:line="360" w:lineRule="auto"/>
        <w:rPr>
          <w:rFonts w:ascii="Times New Roman" w:hAnsi="Times New Roman" w:cs="Times New Roman"/>
          <w:b/>
          <w:bCs/>
          <w:sz w:val="24"/>
          <w:szCs w:val="24"/>
        </w:rPr>
      </w:pPr>
      <w:r w:rsidRPr="00CB3C6A">
        <w:rPr>
          <w:rFonts w:ascii="Times New Roman" w:hAnsi="Times New Roman" w:cs="Times New Roman"/>
          <w:b/>
          <w:bCs/>
          <w:sz w:val="24"/>
          <w:szCs w:val="24"/>
        </w:rPr>
        <w:t>Challenges and Considerations</w:t>
      </w:r>
    </w:p>
    <w:p w14:paraId="66515D57"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1. Risk of Caries and Periodontal Disease in Abutment Teeth</w:t>
      </w:r>
    </w:p>
    <w:p w14:paraId="1A8DCBDE" w14:textId="1325C1D0"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A major concern with tooth-supported overdentures is the long-term survival of abutment teeth. Proper endodontic treatment, ferrule design, and oral hygiene maintenance are crucial (11). Langer &amp; Langer (2000) reported that telescopic crown-retained overdentures have a high success rate when abutments are well-maintained (12). In this case, the patient was placed on a strict recall schedule to monitor periodontal health.</w:t>
      </w:r>
    </w:p>
    <w:p w14:paraId="4CD2BBB2"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2. Occlusal Considerations in Complete Denture Rehabilitation</w:t>
      </w:r>
    </w:p>
    <w:p w14:paraId="40203054" w14:textId="534A8B80"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 xml:space="preserve">The mandibular complete denture opposing a maxillary overdenture requires careful occlusal balancing to avoid excessive forces on the remaining abutments (13). Zarb &amp; Bolender (2004) recommend using lingualized occlusion to distribute forces evenly and </w:t>
      </w:r>
      <w:r w:rsidR="00A00DF1" w:rsidRPr="0096196B">
        <w:rPr>
          <w:rFonts w:ascii="Times New Roman" w:hAnsi="Times New Roman" w:cs="Times New Roman"/>
          <w:sz w:val="24"/>
          <w:szCs w:val="24"/>
          <w:highlight w:val="yellow"/>
        </w:rPr>
        <w:t xml:space="preserve">minimise </w:t>
      </w:r>
      <w:r w:rsidRPr="0096196B">
        <w:rPr>
          <w:rFonts w:ascii="Times New Roman" w:hAnsi="Times New Roman" w:cs="Times New Roman"/>
          <w:sz w:val="24"/>
          <w:szCs w:val="24"/>
          <w:highlight w:val="yellow"/>
        </w:rPr>
        <w:t>lateral displacement</w:t>
      </w:r>
      <w:r w:rsidRPr="00A929E5">
        <w:rPr>
          <w:rFonts w:ascii="Times New Roman" w:hAnsi="Times New Roman" w:cs="Times New Roman"/>
          <w:sz w:val="24"/>
          <w:szCs w:val="24"/>
        </w:rPr>
        <w:t xml:space="preserve"> (14).</w:t>
      </w:r>
    </w:p>
    <w:p w14:paraId="2DEAEB98" w14:textId="77777777"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3. Cost-Effectiveness Compared to Implant Overdentures</w:t>
      </w:r>
    </w:p>
    <w:p w14:paraId="58C2B3CB" w14:textId="32A7B09C" w:rsidR="00A929E5" w:rsidRP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While implant-supported overdentures are considered the gold standard for edentulous patients, they may not be feasible for all individuals due to financial constraints or medical contraindications (15</w:t>
      </w:r>
      <w:r w:rsidR="00C06935">
        <w:rPr>
          <w:rFonts w:ascii="Times New Roman" w:hAnsi="Times New Roman" w:cs="Times New Roman"/>
          <w:sz w:val="24"/>
          <w:szCs w:val="24"/>
        </w:rPr>
        <w:t>,17</w:t>
      </w:r>
      <w:r w:rsidRPr="00A929E5">
        <w:rPr>
          <w:rFonts w:ascii="Times New Roman" w:hAnsi="Times New Roman" w:cs="Times New Roman"/>
          <w:sz w:val="24"/>
          <w:szCs w:val="24"/>
        </w:rPr>
        <w:t>). Brewer &amp; Morrow (1980) highlighted that tooth-supported overdentures provide a cost-effective alternative with comparable functional benefits (16</w:t>
      </w:r>
      <w:r w:rsidR="00C06935">
        <w:rPr>
          <w:rFonts w:ascii="Times New Roman" w:hAnsi="Times New Roman" w:cs="Times New Roman"/>
          <w:sz w:val="24"/>
          <w:szCs w:val="24"/>
        </w:rPr>
        <w:t>,18</w:t>
      </w:r>
      <w:r w:rsidRPr="00A929E5">
        <w:rPr>
          <w:rFonts w:ascii="Times New Roman" w:hAnsi="Times New Roman" w:cs="Times New Roman"/>
          <w:sz w:val="24"/>
          <w:szCs w:val="24"/>
        </w:rPr>
        <w:t>).</w:t>
      </w:r>
    </w:p>
    <w:p w14:paraId="1B10A8EA" w14:textId="77777777"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Conclusion</w:t>
      </w:r>
    </w:p>
    <w:p w14:paraId="5979EAD2" w14:textId="6DD6A276" w:rsidR="00A929E5" w:rsidRDefault="00A929E5" w:rsidP="00A929E5">
      <w:p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This case reinforces the viability of tooth-supported overdentures as a practical, cost-effective, and biomechanically </w:t>
      </w:r>
      <w:r w:rsidR="00A00DF1" w:rsidRPr="0096196B">
        <w:rPr>
          <w:rFonts w:ascii="Times New Roman" w:hAnsi="Times New Roman" w:cs="Times New Roman"/>
          <w:sz w:val="24"/>
          <w:szCs w:val="24"/>
          <w:highlight w:val="yellow"/>
        </w:rPr>
        <w:t xml:space="preserve">favourable </w:t>
      </w:r>
      <w:r w:rsidRPr="0096196B">
        <w:rPr>
          <w:rFonts w:ascii="Times New Roman" w:hAnsi="Times New Roman" w:cs="Times New Roman"/>
          <w:sz w:val="24"/>
          <w:szCs w:val="24"/>
          <w:highlight w:val="yellow"/>
        </w:rPr>
        <w:t>treatment</w:t>
      </w:r>
      <w:r w:rsidRPr="00A929E5">
        <w:rPr>
          <w:rFonts w:ascii="Times New Roman" w:hAnsi="Times New Roman" w:cs="Times New Roman"/>
          <w:sz w:val="24"/>
          <w:szCs w:val="24"/>
        </w:rPr>
        <w:t xml:space="preserve"> for partially edentulous patients. By preserving natural tooth roots, clinicians can enhance denture stability, reduce bone resorption, and improve patient satisfaction. Future research should focus on long-term survival rates of tooth-supported overdentures compared to implant-retained ones.</w:t>
      </w:r>
    </w:p>
    <w:p w14:paraId="2191D50C" w14:textId="77777777" w:rsidR="006B53FF" w:rsidRPr="006B53FF" w:rsidRDefault="006B53FF" w:rsidP="006B53FF">
      <w:pPr>
        <w:spacing w:line="360" w:lineRule="auto"/>
        <w:rPr>
          <w:rFonts w:ascii="Times New Roman" w:hAnsi="Times New Roman" w:cs="Times New Roman"/>
          <w:b/>
          <w:sz w:val="24"/>
          <w:szCs w:val="24"/>
        </w:rPr>
      </w:pPr>
      <w:r w:rsidRPr="006B53FF">
        <w:rPr>
          <w:rFonts w:ascii="Times New Roman" w:hAnsi="Times New Roman" w:cs="Times New Roman"/>
          <w:b/>
          <w:sz w:val="24"/>
          <w:szCs w:val="24"/>
        </w:rPr>
        <w:t xml:space="preserve">Consent </w:t>
      </w:r>
    </w:p>
    <w:p w14:paraId="155A828C" w14:textId="09EC224F" w:rsidR="00983D02" w:rsidRDefault="006B53FF" w:rsidP="006B53FF">
      <w:pPr>
        <w:spacing w:line="360" w:lineRule="auto"/>
        <w:rPr>
          <w:rFonts w:ascii="Times New Roman" w:hAnsi="Times New Roman" w:cs="Times New Roman"/>
          <w:sz w:val="24"/>
          <w:szCs w:val="24"/>
        </w:rPr>
      </w:pPr>
      <w:r w:rsidRPr="006B53FF">
        <w:rPr>
          <w:rFonts w:ascii="Times New Roman" w:hAnsi="Times New Roman" w:cs="Times New Roman"/>
          <w:sz w:val="24"/>
          <w:szCs w:val="24"/>
        </w:rPr>
        <w:t>As per international standards or university standards, patient(s) written consent has been collected and preserved by the author(s).</w:t>
      </w:r>
    </w:p>
    <w:p w14:paraId="42ECF70F" w14:textId="77777777" w:rsidR="006B53FF" w:rsidRDefault="006B53FF" w:rsidP="006B53FF">
      <w:pPr>
        <w:spacing w:line="360" w:lineRule="auto"/>
        <w:rPr>
          <w:rFonts w:ascii="Times New Roman" w:hAnsi="Times New Roman" w:cs="Times New Roman"/>
          <w:sz w:val="24"/>
          <w:szCs w:val="24"/>
        </w:rPr>
      </w:pPr>
    </w:p>
    <w:p w14:paraId="526CD12D" w14:textId="6FB936DA" w:rsidR="00983D02" w:rsidRPr="00C06935" w:rsidRDefault="00983D02" w:rsidP="00983D02">
      <w:pPr>
        <w:rPr>
          <w:rFonts w:ascii="Times New Roman" w:eastAsia="Calibri" w:hAnsi="Times New Roman" w:cs="Times New Roman"/>
          <w:b/>
          <w:bCs/>
          <w:sz w:val="24"/>
          <w:szCs w:val="24"/>
          <w:lang w:val="en-US"/>
        </w:rPr>
      </w:pPr>
      <w:bookmarkStart w:id="1" w:name="_Hlk197682619"/>
      <w:bookmarkStart w:id="2" w:name="_Hlk180402183"/>
      <w:bookmarkStart w:id="3" w:name="_Hlk183680988"/>
      <w:r w:rsidRPr="00C06935">
        <w:rPr>
          <w:rFonts w:ascii="Times New Roman" w:eastAsia="Calibri" w:hAnsi="Times New Roman" w:cs="Times New Roman"/>
          <w:b/>
          <w:bCs/>
          <w:sz w:val="24"/>
          <w:szCs w:val="24"/>
          <w:lang w:val="en-US"/>
        </w:rPr>
        <w:t xml:space="preserve">Disclaimer </w:t>
      </w:r>
      <w:r w:rsidR="00FE4628" w:rsidRPr="00C06935">
        <w:rPr>
          <w:rFonts w:ascii="Times New Roman" w:eastAsia="Calibri" w:hAnsi="Times New Roman" w:cs="Times New Roman"/>
          <w:b/>
          <w:bCs/>
          <w:sz w:val="24"/>
          <w:szCs w:val="24"/>
          <w:lang w:val="en-US"/>
        </w:rPr>
        <w:t xml:space="preserve">on </w:t>
      </w:r>
      <w:r w:rsidRPr="00C06935">
        <w:rPr>
          <w:rFonts w:ascii="Times New Roman" w:eastAsia="Calibri" w:hAnsi="Times New Roman" w:cs="Times New Roman"/>
          <w:b/>
          <w:bCs/>
          <w:sz w:val="24"/>
          <w:szCs w:val="24"/>
          <w:lang w:val="en-US"/>
        </w:rPr>
        <w:t>Artificial intelligence</w:t>
      </w:r>
    </w:p>
    <w:p w14:paraId="57066E08" w14:textId="7426F385" w:rsidR="00983D02" w:rsidRPr="00C06935" w:rsidRDefault="00983D02" w:rsidP="00C06935">
      <w:pPr>
        <w:spacing w:line="480" w:lineRule="auto"/>
        <w:rPr>
          <w:rFonts w:ascii="Times New Roman" w:eastAsia="Calibri" w:hAnsi="Times New Roman" w:cs="Times New Roman"/>
          <w:sz w:val="24"/>
          <w:szCs w:val="24"/>
          <w:lang w:val="en-US"/>
        </w:rPr>
      </w:pPr>
      <w:r w:rsidRPr="00C06935">
        <w:rPr>
          <w:rFonts w:ascii="Times New Roman" w:eastAsia="Calibri" w:hAnsi="Times New Roman" w:cs="Times New Roman"/>
          <w:sz w:val="24"/>
          <w:szCs w:val="24"/>
          <w:lang w:val="en-US"/>
        </w:rPr>
        <w:t>Author</w:t>
      </w:r>
      <w:r w:rsidR="00FE4628" w:rsidRPr="00C06935">
        <w:rPr>
          <w:rFonts w:ascii="Times New Roman" w:eastAsia="Calibri" w:hAnsi="Times New Roman" w:cs="Times New Roman"/>
          <w:sz w:val="24"/>
          <w:szCs w:val="24"/>
          <w:lang w:val="en-US"/>
        </w:rPr>
        <w:t xml:space="preserve">s </w:t>
      </w:r>
      <w:r w:rsidRPr="00C06935">
        <w:rPr>
          <w:rFonts w:ascii="Times New Roman" w:eastAsia="Calibri" w:hAnsi="Times New Roman" w:cs="Times New Roman"/>
          <w:sz w:val="24"/>
          <w:szCs w:val="24"/>
          <w:lang w:val="en-US"/>
        </w:rPr>
        <w:t xml:space="preserve">hereby declare that NO generative AI technologies such as Large Language Models (ChatGPT, COPILOT, etc.) and text-to-image generators have been used during the writing or editing of this manuscript. </w:t>
      </w:r>
    </w:p>
    <w:bookmarkEnd w:id="1"/>
    <w:bookmarkEnd w:id="2"/>
    <w:bookmarkEnd w:id="3"/>
    <w:p w14:paraId="0981C4F0" w14:textId="77777777" w:rsidR="00983D02" w:rsidRPr="00A929E5" w:rsidRDefault="00983D02" w:rsidP="00A929E5">
      <w:pPr>
        <w:spacing w:line="360" w:lineRule="auto"/>
        <w:rPr>
          <w:rFonts w:ascii="Times New Roman" w:hAnsi="Times New Roman" w:cs="Times New Roman"/>
          <w:sz w:val="24"/>
          <w:szCs w:val="24"/>
        </w:rPr>
      </w:pPr>
    </w:p>
    <w:p w14:paraId="55FC4ACB" w14:textId="79B2BFED" w:rsidR="00A929E5" w:rsidRPr="007B7626" w:rsidRDefault="00A929E5" w:rsidP="00A929E5">
      <w:pPr>
        <w:spacing w:line="360" w:lineRule="auto"/>
        <w:rPr>
          <w:rFonts w:ascii="Times New Roman" w:hAnsi="Times New Roman" w:cs="Times New Roman"/>
          <w:b/>
          <w:bCs/>
          <w:sz w:val="24"/>
          <w:szCs w:val="24"/>
        </w:rPr>
      </w:pPr>
      <w:r w:rsidRPr="007B7626">
        <w:rPr>
          <w:rFonts w:ascii="Times New Roman" w:hAnsi="Times New Roman" w:cs="Times New Roman"/>
          <w:b/>
          <w:bCs/>
          <w:sz w:val="24"/>
          <w:szCs w:val="24"/>
        </w:rPr>
        <w:t>References</w:t>
      </w:r>
    </w:p>
    <w:p w14:paraId="4ACE3718"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Carlsson GE. Clinical morbidity and sequelae of treatment with complete dentures.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1998;79(1):17-23.</w:t>
      </w:r>
    </w:p>
    <w:p w14:paraId="64247C64"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lastRenderedPageBreak/>
        <w:t xml:space="preserve">Crum RJ, Loiselle RJ. Oral perception and proprioception: a review.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1972;28(2):215-230.</w:t>
      </w:r>
    </w:p>
    <w:p w14:paraId="66C4FF03"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Brewer AA, Morrow RM. Overdentures. 2nd ed. St. Louis: CV Mosby; 1980.</w:t>
      </w:r>
    </w:p>
    <w:p w14:paraId="2E780B81"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Lord JL, Teel S. The overdenture: patient selection.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1974;32(1):41-51.</w:t>
      </w:r>
    </w:p>
    <w:p w14:paraId="4E5E1F8A" w14:textId="77777777" w:rsidR="00A929E5" w:rsidRP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Rissin</w:t>
      </w:r>
      <w:proofErr w:type="spellEnd"/>
      <w:r w:rsidRPr="00A929E5">
        <w:rPr>
          <w:rFonts w:ascii="Times New Roman" w:hAnsi="Times New Roman" w:cs="Times New Roman"/>
          <w:sz w:val="24"/>
          <w:szCs w:val="24"/>
        </w:rPr>
        <w:t xml:space="preserve"> L, et al. Clinical comparison of masticatory performance.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1978;39(5):508-511.</w:t>
      </w:r>
    </w:p>
    <w:p w14:paraId="0BECDC82"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Feine JS, et al. The McGill consensus statement. Int J </w:t>
      </w:r>
      <w:proofErr w:type="spellStart"/>
      <w:r w:rsidRPr="00A929E5">
        <w:rPr>
          <w:rFonts w:ascii="Times New Roman" w:hAnsi="Times New Roman" w:cs="Times New Roman"/>
          <w:sz w:val="24"/>
          <w:szCs w:val="24"/>
        </w:rPr>
        <w:t>Prosthodont</w:t>
      </w:r>
      <w:proofErr w:type="spellEnd"/>
      <w:r w:rsidRPr="00A929E5">
        <w:rPr>
          <w:rFonts w:ascii="Times New Roman" w:hAnsi="Times New Roman" w:cs="Times New Roman"/>
          <w:sz w:val="24"/>
          <w:szCs w:val="24"/>
        </w:rPr>
        <w:t>. 2002;15(4):413-414.</w:t>
      </w:r>
    </w:p>
    <w:p w14:paraId="18D425DF"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Kapur KK, et al. Randomized clinical trial.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1999;81(6):705-710.</w:t>
      </w:r>
    </w:p>
    <w:p w14:paraId="1DBD89CC" w14:textId="77777777" w:rsid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Langer Y, Langer A. Tooth-supported telescopic prostheses.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2000;84(2):129-132.</w:t>
      </w:r>
    </w:p>
    <w:p w14:paraId="3B06517E" w14:textId="35868F38" w:rsidR="00C06935" w:rsidRPr="00A929E5" w:rsidRDefault="00C06935" w:rsidP="00A929E5">
      <w:pPr>
        <w:numPr>
          <w:ilvl w:val="0"/>
          <w:numId w:val="19"/>
        </w:numPr>
        <w:spacing w:line="360" w:lineRule="auto"/>
        <w:rPr>
          <w:rFonts w:ascii="Times New Roman" w:hAnsi="Times New Roman" w:cs="Times New Roman"/>
          <w:sz w:val="24"/>
          <w:szCs w:val="24"/>
        </w:rPr>
      </w:pPr>
      <w:proofErr w:type="spellStart"/>
      <w:r w:rsidRPr="00C06935">
        <w:rPr>
          <w:rFonts w:ascii="Times New Roman" w:hAnsi="Times New Roman" w:cs="Times New Roman"/>
          <w:sz w:val="24"/>
          <w:szCs w:val="24"/>
        </w:rPr>
        <w:t>Sailer</w:t>
      </w:r>
      <w:proofErr w:type="spellEnd"/>
      <w:r w:rsidRPr="00C06935">
        <w:rPr>
          <w:rFonts w:ascii="Times New Roman" w:hAnsi="Times New Roman" w:cs="Times New Roman"/>
          <w:sz w:val="24"/>
          <w:szCs w:val="24"/>
        </w:rPr>
        <w:t xml:space="preserve"> I, </w:t>
      </w:r>
      <w:proofErr w:type="spellStart"/>
      <w:r w:rsidRPr="00C06935">
        <w:rPr>
          <w:rFonts w:ascii="Times New Roman" w:hAnsi="Times New Roman" w:cs="Times New Roman"/>
          <w:sz w:val="24"/>
          <w:szCs w:val="24"/>
        </w:rPr>
        <w:t>Karasan</w:t>
      </w:r>
      <w:proofErr w:type="spellEnd"/>
      <w:r w:rsidRPr="00C06935">
        <w:rPr>
          <w:rFonts w:ascii="Times New Roman" w:hAnsi="Times New Roman" w:cs="Times New Roman"/>
          <w:sz w:val="24"/>
          <w:szCs w:val="24"/>
        </w:rPr>
        <w:t xml:space="preserve"> D, </w:t>
      </w:r>
      <w:proofErr w:type="spellStart"/>
      <w:r w:rsidRPr="00C06935">
        <w:rPr>
          <w:rFonts w:ascii="Times New Roman" w:hAnsi="Times New Roman" w:cs="Times New Roman"/>
          <w:sz w:val="24"/>
          <w:szCs w:val="24"/>
        </w:rPr>
        <w:t>Todorovic</w:t>
      </w:r>
      <w:proofErr w:type="spellEnd"/>
      <w:r w:rsidRPr="00C06935">
        <w:rPr>
          <w:rFonts w:ascii="Times New Roman" w:hAnsi="Times New Roman" w:cs="Times New Roman"/>
          <w:sz w:val="24"/>
          <w:szCs w:val="24"/>
        </w:rPr>
        <w:t xml:space="preserve"> A, </w:t>
      </w:r>
      <w:proofErr w:type="spellStart"/>
      <w:r w:rsidRPr="00C06935">
        <w:rPr>
          <w:rFonts w:ascii="Times New Roman" w:hAnsi="Times New Roman" w:cs="Times New Roman"/>
          <w:sz w:val="24"/>
          <w:szCs w:val="24"/>
        </w:rPr>
        <w:t>Ligoutsikou</w:t>
      </w:r>
      <w:proofErr w:type="spellEnd"/>
      <w:r w:rsidRPr="00C06935">
        <w:rPr>
          <w:rFonts w:ascii="Times New Roman" w:hAnsi="Times New Roman" w:cs="Times New Roman"/>
          <w:sz w:val="24"/>
          <w:szCs w:val="24"/>
        </w:rPr>
        <w:t xml:space="preserve"> M, </w:t>
      </w:r>
      <w:proofErr w:type="spellStart"/>
      <w:r w:rsidRPr="00C06935">
        <w:rPr>
          <w:rFonts w:ascii="Times New Roman" w:hAnsi="Times New Roman" w:cs="Times New Roman"/>
          <w:sz w:val="24"/>
          <w:szCs w:val="24"/>
        </w:rPr>
        <w:t>Pjetursson</w:t>
      </w:r>
      <w:proofErr w:type="spellEnd"/>
      <w:r w:rsidRPr="00C06935">
        <w:rPr>
          <w:rFonts w:ascii="Times New Roman" w:hAnsi="Times New Roman" w:cs="Times New Roman"/>
          <w:sz w:val="24"/>
          <w:szCs w:val="24"/>
        </w:rPr>
        <w:t xml:space="preserve"> BE. Prosthetic failures in dental implant therapy. Periodontology 2000. 2022 Feb;88(1):130-44.</w:t>
      </w:r>
    </w:p>
    <w:p w14:paraId="0B5C09EA"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Zarb GA, Bolender CL. Prosthodontic Treatment. 12th ed. Mosby; 2004.</w:t>
      </w:r>
    </w:p>
    <w:p w14:paraId="64F50F53"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Tallgren A. The continuing reduction.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1972;28(2):120-132.</w:t>
      </w:r>
    </w:p>
    <w:p w14:paraId="2859E1A2" w14:textId="77777777" w:rsid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Burns DR, et al. Prospective clinical evaluation.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1995;73(4):354-363.</w:t>
      </w:r>
    </w:p>
    <w:p w14:paraId="275873D6" w14:textId="01921642" w:rsidR="00C06935" w:rsidRPr="00A929E5" w:rsidRDefault="00C06935" w:rsidP="00A929E5">
      <w:pPr>
        <w:numPr>
          <w:ilvl w:val="0"/>
          <w:numId w:val="19"/>
        </w:numPr>
        <w:spacing w:line="360" w:lineRule="auto"/>
        <w:rPr>
          <w:rFonts w:ascii="Times New Roman" w:hAnsi="Times New Roman" w:cs="Times New Roman"/>
          <w:sz w:val="24"/>
          <w:szCs w:val="24"/>
        </w:rPr>
      </w:pPr>
      <w:r w:rsidRPr="00C06935">
        <w:rPr>
          <w:rFonts w:ascii="Times New Roman" w:hAnsi="Times New Roman" w:cs="Times New Roman"/>
          <w:sz w:val="24"/>
          <w:szCs w:val="24"/>
        </w:rPr>
        <w:t>Rakhi Shinde, Anjali Bhoyar, Seema Sathe and Poorvi Jain. Assessment of KAP among the Dental Practitioners towards Prosthetic Phase of Implant in Vidarbha Region of India: A Questionnaire Study. J. Pharm. Res. Int. 2022 Aug</w:t>
      </w:r>
      <w:r>
        <w:rPr>
          <w:rFonts w:ascii="Times New Roman" w:hAnsi="Times New Roman" w:cs="Times New Roman"/>
          <w:sz w:val="24"/>
          <w:szCs w:val="24"/>
        </w:rPr>
        <w:t xml:space="preserve">. </w:t>
      </w:r>
    </w:p>
    <w:p w14:paraId="1B31CEB5"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Walton JN, MacEntee MI. Problems with prostheses.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1994;71(3):283-288.</w:t>
      </w:r>
    </w:p>
    <w:p w14:paraId="60D3BAD6" w14:textId="77777777" w:rsidR="00A929E5" w:rsidRP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DeVan</w:t>
      </w:r>
      <w:proofErr w:type="spellEnd"/>
      <w:r w:rsidRPr="00A929E5">
        <w:rPr>
          <w:rFonts w:ascii="Times New Roman" w:hAnsi="Times New Roman" w:cs="Times New Roman"/>
          <w:sz w:val="24"/>
          <w:szCs w:val="24"/>
        </w:rPr>
        <w:t xml:space="preserve"> MM. The nature of the partial denture foundation.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1952;2(2):210-218.</w:t>
      </w:r>
    </w:p>
    <w:p w14:paraId="35B38FB7"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Misch CE. Dental Implant Prosthetics. 2nd ed. Elsevier; 2015.</w:t>
      </w:r>
    </w:p>
    <w:p w14:paraId="449D2F81" w14:textId="77777777" w:rsidR="00A929E5" w:rsidRPr="00A929E5" w:rsidRDefault="00A929E5" w:rsidP="00A929E5">
      <w:pPr>
        <w:numPr>
          <w:ilvl w:val="0"/>
          <w:numId w:val="19"/>
        </w:numPr>
        <w:spacing w:line="360" w:lineRule="auto"/>
        <w:rPr>
          <w:rFonts w:ascii="Times New Roman" w:hAnsi="Times New Roman" w:cs="Times New Roman"/>
          <w:sz w:val="24"/>
          <w:szCs w:val="24"/>
        </w:rPr>
      </w:pPr>
      <w:r w:rsidRPr="00A929E5">
        <w:rPr>
          <w:rFonts w:ascii="Times New Roman" w:hAnsi="Times New Roman" w:cs="Times New Roman"/>
          <w:sz w:val="24"/>
          <w:szCs w:val="24"/>
        </w:rPr>
        <w:t xml:space="preserve">Atwood DA. Reduction of residual ridges. J </w:t>
      </w:r>
      <w:proofErr w:type="spellStart"/>
      <w:r w:rsidRPr="00A929E5">
        <w:rPr>
          <w:rFonts w:ascii="Times New Roman" w:hAnsi="Times New Roman" w:cs="Times New Roman"/>
          <w:sz w:val="24"/>
          <w:szCs w:val="24"/>
        </w:rPr>
        <w:t>Prosthet</w:t>
      </w:r>
      <w:proofErr w:type="spellEnd"/>
      <w:r w:rsidRPr="00A929E5">
        <w:rPr>
          <w:rFonts w:ascii="Times New Roman" w:hAnsi="Times New Roman" w:cs="Times New Roman"/>
          <w:sz w:val="24"/>
          <w:szCs w:val="24"/>
        </w:rPr>
        <w:t xml:space="preserve"> Dent. 1971;26(3):266-279.</w:t>
      </w:r>
    </w:p>
    <w:p w14:paraId="5D344167" w14:textId="77777777" w:rsidR="00A929E5" w:rsidRDefault="00A929E5" w:rsidP="00A929E5">
      <w:pPr>
        <w:numPr>
          <w:ilvl w:val="0"/>
          <w:numId w:val="19"/>
        </w:numPr>
        <w:spacing w:line="360" w:lineRule="auto"/>
        <w:rPr>
          <w:rFonts w:ascii="Times New Roman" w:hAnsi="Times New Roman" w:cs="Times New Roman"/>
          <w:sz w:val="24"/>
          <w:szCs w:val="24"/>
        </w:rPr>
      </w:pPr>
      <w:proofErr w:type="spellStart"/>
      <w:r w:rsidRPr="00A929E5">
        <w:rPr>
          <w:rFonts w:ascii="Times New Roman" w:hAnsi="Times New Roman" w:cs="Times New Roman"/>
          <w:sz w:val="24"/>
          <w:szCs w:val="24"/>
        </w:rPr>
        <w:t>Preiskel</w:t>
      </w:r>
      <w:proofErr w:type="spellEnd"/>
      <w:r w:rsidRPr="00A929E5">
        <w:rPr>
          <w:rFonts w:ascii="Times New Roman" w:hAnsi="Times New Roman" w:cs="Times New Roman"/>
          <w:sz w:val="24"/>
          <w:szCs w:val="24"/>
        </w:rPr>
        <w:t xml:space="preserve"> HW. Precision Attachments in Prosthodontics. Quintessence; 1985.</w:t>
      </w:r>
    </w:p>
    <w:p w14:paraId="485F0713" w14:textId="0FD1AF0F" w:rsidR="00186ACF" w:rsidRPr="0096196B" w:rsidRDefault="00186ACF" w:rsidP="00A929E5">
      <w:pPr>
        <w:numPr>
          <w:ilvl w:val="0"/>
          <w:numId w:val="19"/>
        </w:numPr>
        <w:spacing w:line="360" w:lineRule="auto"/>
        <w:rPr>
          <w:rFonts w:ascii="Times New Roman" w:hAnsi="Times New Roman" w:cs="Times New Roman"/>
          <w:sz w:val="24"/>
          <w:szCs w:val="24"/>
          <w:highlight w:val="yellow"/>
        </w:rPr>
      </w:pPr>
      <w:r w:rsidRPr="0096196B">
        <w:rPr>
          <w:rFonts w:ascii="Times New Roman" w:hAnsi="Times New Roman" w:cs="Times New Roman"/>
          <w:sz w:val="24"/>
          <w:szCs w:val="24"/>
          <w:highlight w:val="yellow"/>
        </w:rPr>
        <w:lastRenderedPageBreak/>
        <w:t>Gray, D., &amp; Patel, J. (2021). Implant-supported overdentures: part 1. </w:t>
      </w:r>
      <w:r w:rsidRPr="0096196B">
        <w:rPr>
          <w:rFonts w:ascii="Times New Roman" w:hAnsi="Times New Roman" w:cs="Times New Roman"/>
          <w:i/>
          <w:iCs/>
          <w:sz w:val="24"/>
          <w:szCs w:val="24"/>
          <w:highlight w:val="yellow"/>
        </w:rPr>
        <w:t>British Dental Journal</w:t>
      </w:r>
      <w:r w:rsidRPr="0096196B">
        <w:rPr>
          <w:rFonts w:ascii="Times New Roman" w:hAnsi="Times New Roman" w:cs="Times New Roman"/>
          <w:sz w:val="24"/>
          <w:szCs w:val="24"/>
          <w:highlight w:val="yellow"/>
        </w:rPr>
        <w:t>, </w:t>
      </w:r>
      <w:r w:rsidRPr="0096196B">
        <w:rPr>
          <w:rFonts w:ascii="Times New Roman" w:hAnsi="Times New Roman" w:cs="Times New Roman"/>
          <w:i/>
          <w:iCs/>
          <w:sz w:val="24"/>
          <w:szCs w:val="24"/>
          <w:highlight w:val="yellow"/>
        </w:rPr>
        <w:t>231</w:t>
      </w:r>
      <w:r w:rsidRPr="0096196B">
        <w:rPr>
          <w:rFonts w:ascii="Times New Roman" w:hAnsi="Times New Roman" w:cs="Times New Roman"/>
          <w:sz w:val="24"/>
          <w:szCs w:val="24"/>
          <w:highlight w:val="yellow"/>
        </w:rPr>
        <w:t>(2), 94-100.</w:t>
      </w:r>
    </w:p>
    <w:p w14:paraId="2709DB45" w14:textId="1E529487" w:rsidR="00186ACF" w:rsidRPr="0096196B" w:rsidRDefault="00884735" w:rsidP="00A929E5">
      <w:pPr>
        <w:numPr>
          <w:ilvl w:val="0"/>
          <w:numId w:val="19"/>
        </w:numPr>
        <w:spacing w:line="360" w:lineRule="auto"/>
        <w:rPr>
          <w:rFonts w:ascii="Times New Roman" w:hAnsi="Times New Roman" w:cs="Times New Roman"/>
          <w:sz w:val="24"/>
          <w:szCs w:val="24"/>
          <w:highlight w:val="yellow"/>
        </w:rPr>
      </w:pPr>
      <w:proofErr w:type="spellStart"/>
      <w:r w:rsidRPr="0096196B">
        <w:rPr>
          <w:rFonts w:ascii="Times New Roman" w:hAnsi="Times New Roman" w:cs="Times New Roman"/>
          <w:sz w:val="24"/>
          <w:szCs w:val="24"/>
          <w:highlight w:val="yellow"/>
        </w:rPr>
        <w:t>Pachiou</w:t>
      </w:r>
      <w:proofErr w:type="spellEnd"/>
      <w:r w:rsidRPr="0096196B">
        <w:rPr>
          <w:rFonts w:ascii="Times New Roman" w:hAnsi="Times New Roman" w:cs="Times New Roman"/>
          <w:sz w:val="24"/>
          <w:szCs w:val="24"/>
          <w:highlight w:val="yellow"/>
        </w:rPr>
        <w:t xml:space="preserve">, A., </w:t>
      </w:r>
      <w:proofErr w:type="spellStart"/>
      <w:r w:rsidRPr="0096196B">
        <w:rPr>
          <w:rFonts w:ascii="Times New Roman" w:hAnsi="Times New Roman" w:cs="Times New Roman"/>
          <w:sz w:val="24"/>
          <w:szCs w:val="24"/>
          <w:highlight w:val="yellow"/>
        </w:rPr>
        <w:t>Roussou</w:t>
      </w:r>
      <w:proofErr w:type="spellEnd"/>
      <w:r w:rsidRPr="0096196B">
        <w:rPr>
          <w:rFonts w:ascii="Times New Roman" w:hAnsi="Times New Roman" w:cs="Times New Roman"/>
          <w:sz w:val="24"/>
          <w:szCs w:val="24"/>
          <w:highlight w:val="yellow"/>
        </w:rPr>
        <w:t>, I., &amp; Kourtis, S. (2023). Personalized Denture Characterization in Tooth-Supported Overdentures: Aesthetic and Functional Considerations. </w:t>
      </w:r>
      <w:r w:rsidRPr="0096196B">
        <w:rPr>
          <w:rFonts w:ascii="Times New Roman" w:hAnsi="Times New Roman" w:cs="Times New Roman"/>
          <w:i/>
          <w:iCs/>
          <w:sz w:val="24"/>
          <w:szCs w:val="24"/>
          <w:highlight w:val="yellow"/>
        </w:rPr>
        <w:t>Asian Journal of Periodontology and Orthodontics</w:t>
      </w:r>
      <w:r w:rsidRPr="0096196B">
        <w:rPr>
          <w:rFonts w:ascii="Times New Roman" w:hAnsi="Times New Roman" w:cs="Times New Roman"/>
          <w:sz w:val="24"/>
          <w:szCs w:val="24"/>
          <w:highlight w:val="yellow"/>
        </w:rPr>
        <w:t>, </w:t>
      </w:r>
      <w:r w:rsidRPr="0096196B">
        <w:rPr>
          <w:rFonts w:ascii="Times New Roman" w:hAnsi="Times New Roman" w:cs="Times New Roman"/>
          <w:i/>
          <w:iCs/>
          <w:sz w:val="24"/>
          <w:szCs w:val="24"/>
          <w:highlight w:val="yellow"/>
        </w:rPr>
        <w:t>3</w:t>
      </w:r>
      <w:r w:rsidRPr="0096196B">
        <w:rPr>
          <w:rFonts w:ascii="Times New Roman" w:hAnsi="Times New Roman" w:cs="Times New Roman"/>
          <w:sz w:val="24"/>
          <w:szCs w:val="24"/>
          <w:highlight w:val="yellow"/>
        </w:rPr>
        <w:t>(1), 30-34.</w:t>
      </w:r>
    </w:p>
    <w:p w14:paraId="29C44D0F" w14:textId="5C155CAF" w:rsidR="00884735" w:rsidRDefault="0072464D" w:rsidP="00A929E5">
      <w:pPr>
        <w:numPr>
          <w:ilvl w:val="0"/>
          <w:numId w:val="19"/>
        </w:numPr>
        <w:spacing w:line="360" w:lineRule="auto"/>
        <w:rPr>
          <w:rFonts w:ascii="Times New Roman" w:hAnsi="Times New Roman" w:cs="Times New Roman"/>
          <w:sz w:val="24"/>
          <w:szCs w:val="24"/>
          <w:highlight w:val="yellow"/>
        </w:rPr>
      </w:pPr>
      <w:r w:rsidRPr="0072464D">
        <w:rPr>
          <w:rFonts w:ascii="Times New Roman" w:hAnsi="Times New Roman" w:cs="Times New Roman"/>
          <w:sz w:val="24"/>
          <w:szCs w:val="24"/>
          <w:highlight w:val="yellow"/>
        </w:rPr>
        <w:t xml:space="preserve">Ahlawat, A., </w:t>
      </w:r>
      <w:proofErr w:type="spellStart"/>
      <w:r w:rsidRPr="0072464D">
        <w:rPr>
          <w:rFonts w:ascii="Times New Roman" w:hAnsi="Times New Roman" w:cs="Times New Roman"/>
          <w:sz w:val="24"/>
          <w:szCs w:val="24"/>
          <w:highlight w:val="yellow"/>
        </w:rPr>
        <w:t>Rathee</w:t>
      </w:r>
      <w:proofErr w:type="spellEnd"/>
      <w:r w:rsidRPr="0072464D">
        <w:rPr>
          <w:rFonts w:ascii="Times New Roman" w:hAnsi="Times New Roman" w:cs="Times New Roman"/>
          <w:sz w:val="24"/>
          <w:szCs w:val="24"/>
          <w:highlight w:val="yellow"/>
        </w:rPr>
        <w:t xml:space="preserve">, M., Divakar, S., Singh, S., Chahal, S., &amp; </w:t>
      </w:r>
      <w:proofErr w:type="spellStart"/>
      <w:r w:rsidRPr="0072464D">
        <w:rPr>
          <w:rFonts w:ascii="Times New Roman" w:hAnsi="Times New Roman" w:cs="Times New Roman"/>
          <w:sz w:val="24"/>
          <w:szCs w:val="24"/>
          <w:highlight w:val="yellow"/>
        </w:rPr>
        <w:t>Wakure</w:t>
      </w:r>
      <w:proofErr w:type="spellEnd"/>
      <w:r w:rsidRPr="0072464D">
        <w:rPr>
          <w:rFonts w:ascii="Times New Roman" w:hAnsi="Times New Roman" w:cs="Times New Roman"/>
          <w:sz w:val="24"/>
          <w:szCs w:val="24"/>
          <w:highlight w:val="yellow"/>
        </w:rPr>
        <w:t xml:space="preserve">, P. (2022). Implant-supported hybrid prosthesis using All on Six concept for atrophic ridges with severe gag reflex: A case report. </w:t>
      </w:r>
      <w:r w:rsidRPr="0072464D">
        <w:rPr>
          <w:rFonts w:ascii="Times New Roman" w:hAnsi="Times New Roman" w:cs="Times New Roman"/>
          <w:i/>
          <w:iCs/>
          <w:sz w:val="24"/>
          <w:szCs w:val="24"/>
          <w:highlight w:val="yellow"/>
        </w:rPr>
        <w:t>Journal of Pharmaceutical Research International, 34</w:t>
      </w:r>
      <w:r w:rsidRPr="0072464D">
        <w:rPr>
          <w:rFonts w:ascii="Times New Roman" w:hAnsi="Times New Roman" w:cs="Times New Roman"/>
          <w:sz w:val="24"/>
          <w:szCs w:val="24"/>
          <w:highlight w:val="yellow"/>
        </w:rPr>
        <w:t>(16A), 8–14.</w:t>
      </w:r>
    </w:p>
    <w:p w14:paraId="7C74BE2C" w14:textId="77777777" w:rsidR="0072464D" w:rsidRPr="0096196B" w:rsidRDefault="0072464D" w:rsidP="0096196B">
      <w:pPr>
        <w:spacing w:line="360" w:lineRule="auto"/>
        <w:ind w:left="720"/>
        <w:rPr>
          <w:rFonts w:ascii="Times New Roman" w:hAnsi="Times New Roman" w:cs="Times New Roman"/>
          <w:sz w:val="24"/>
          <w:szCs w:val="24"/>
          <w:highlight w:val="yellow"/>
        </w:rPr>
      </w:pPr>
    </w:p>
    <w:p w14:paraId="01C27EAA" w14:textId="77777777" w:rsidR="006D4CB2" w:rsidRPr="00A929E5" w:rsidRDefault="006D4CB2" w:rsidP="00A929E5">
      <w:pPr>
        <w:spacing w:line="360" w:lineRule="auto"/>
        <w:rPr>
          <w:rFonts w:ascii="Times New Roman" w:hAnsi="Times New Roman" w:cs="Times New Roman"/>
          <w:sz w:val="24"/>
          <w:szCs w:val="24"/>
        </w:rPr>
      </w:pPr>
    </w:p>
    <w:sectPr w:rsidR="006D4CB2" w:rsidRPr="00A929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8F63F" w14:textId="77777777" w:rsidR="00BC0430" w:rsidRDefault="00BC0430" w:rsidP="006A23EB">
      <w:pPr>
        <w:spacing w:after="0" w:line="240" w:lineRule="auto"/>
      </w:pPr>
      <w:r>
        <w:separator/>
      </w:r>
    </w:p>
  </w:endnote>
  <w:endnote w:type="continuationSeparator" w:id="0">
    <w:p w14:paraId="294EB930" w14:textId="77777777" w:rsidR="00BC0430" w:rsidRDefault="00BC0430" w:rsidP="006A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3133" w14:textId="77777777" w:rsidR="006A23EB" w:rsidRDefault="006A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44B08" w14:textId="77777777" w:rsidR="006A23EB" w:rsidRDefault="006A23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953A" w14:textId="77777777" w:rsidR="006A23EB" w:rsidRDefault="006A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95EDB" w14:textId="77777777" w:rsidR="00BC0430" w:rsidRDefault="00BC0430" w:rsidP="006A23EB">
      <w:pPr>
        <w:spacing w:after="0" w:line="240" w:lineRule="auto"/>
      </w:pPr>
      <w:r>
        <w:separator/>
      </w:r>
    </w:p>
  </w:footnote>
  <w:footnote w:type="continuationSeparator" w:id="0">
    <w:p w14:paraId="0295E6A0" w14:textId="77777777" w:rsidR="00BC0430" w:rsidRDefault="00BC0430" w:rsidP="006A2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BCF0" w14:textId="6F7BE953" w:rsidR="006A23EB" w:rsidRDefault="00BC0430">
    <w:pPr>
      <w:pStyle w:val="Header"/>
    </w:pPr>
    <w:r>
      <w:rPr>
        <w:noProof/>
      </w:rPr>
      <w:pict w14:anchorId="246C7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41C80" w14:textId="6CF8D7AF" w:rsidR="006A23EB" w:rsidRDefault="00BC0430">
    <w:pPr>
      <w:pStyle w:val="Header"/>
    </w:pPr>
    <w:r>
      <w:rPr>
        <w:noProof/>
      </w:rPr>
      <w:pict w14:anchorId="7CF56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6BAA" w14:textId="6A07F026" w:rsidR="006A23EB" w:rsidRDefault="00BC0430">
    <w:pPr>
      <w:pStyle w:val="Header"/>
    </w:pPr>
    <w:r>
      <w:rPr>
        <w:noProof/>
      </w:rPr>
      <w:pict w14:anchorId="21B64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61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329E"/>
    <w:multiLevelType w:val="multilevel"/>
    <w:tmpl w:val="2878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830FC"/>
    <w:multiLevelType w:val="multilevel"/>
    <w:tmpl w:val="0356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15C1F"/>
    <w:multiLevelType w:val="multilevel"/>
    <w:tmpl w:val="B290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445B0"/>
    <w:multiLevelType w:val="multilevel"/>
    <w:tmpl w:val="7EB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C3EC6"/>
    <w:multiLevelType w:val="multilevel"/>
    <w:tmpl w:val="C792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70073"/>
    <w:multiLevelType w:val="multilevel"/>
    <w:tmpl w:val="CA3CE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8398A"/>
    <w:multiLevelType w:val="multilevel"/>
    <w:tmpl w:val="4C0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A1DB0"/>
    <w:multiLevelType w:val="multilevel"/>
    <w:tmpl w:val="3400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D6D46"/>
    <w:multiLevelType w:val="multilevel"/>
    <w:tmpl w:val="CDB2C7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1C2450"/>
    <w:multiLevelType w:val="multilevel"/>
    <w:tmpl w:val="6FBE3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3A2219"/>
    <w:multiLevelType w:val="hybridMultilevel"/>
    <w:tmpl w:val="C554C332"/>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33366AFB"/>
    <w:multiLevelType w:val="multilevel"/>
    <w:tmpl w:val="D9C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135BB"/>
    <w:multiLevelType w:val="multilevel"/>
    <w:tmpl w:val="2214C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640CA9"/>
    <w:multiLevelType w:val="multilevel"/>
    <w:tmpl w:val="B826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641A0"/>
    <w:multiLevelType w:val="multilevel"/>
    <w:tmpl w:val="8CD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A23F39"/>
    <w:multiLevelType w:val="hybridMultilevel"/>
    <w:tmpl w:val="7F821D06"/>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6" w15:restartNumberingAfterBreak="0">
    <w:nsid w:val="5B713F0E"/>
    <w:multiLevelType w:val="multilevel"/>
    <w:tmpl w:val="8992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B76055"/>
    <w:multiLevelType w:val="multilevel"/>
    <w:tmpl w:val="CCA6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5236BC"/>
    <w:multiLevelType w:val="hybridMultilevel"/>
    <w:tmpl w:val="FD2418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DA5EB4"/>
    <w:multiLevelType w:val="multilevel"/>
    <w:tmpl w:val="F3D8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8151DF"/>
    <w:multiLevelType w:val="multilevel"/>
    <w:tmpl w:val="3330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857BB0"/>
    <w:multiLevelType w:val="multilevel"/>
    <w:tmpl w:val="CE4C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07E2E"/>
    <w:multiLevelType w:val="multilevel"/>
    <w:tmpl w:val="09F0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7"/>
  </w:num>
  <w:num w:numId="4">
    <w:abstractNumId w:val="5"/>
  </w:num>
  <w:num w:numId="5">
    <w:abstractNumId w:val="19"/>
  </w:num>
  <w:num w:numId="6">
    <w:abstractNumId w:val="17"/>
  </w:num>
  <w:num w:numId="7">
    <w:abstractNumId w:val="6"/>
  </w:num>
  <w:num w:numId="8">
    <w:abstractNumId w:val="4"/>
  </w:num>
  <w:num w:numId="9">
    <w:abstractNumId w:val="22"/>
  </w:num>
  <w:num w:numId="10">
    <w:abstractNumId w:val="13"/>
  </w:num>
  <w:num w:numId="11">
    <w:abstractNumId w:val="1"/>
  </w:num>
  <w:num w:numId="12">
    <w:abstractNumId w:val="3"/>
  </w:num>
  <w:num w:numId="13">
    <w:abstractNumId w:val="0"/>
  </w:num>
  <w:num w:numId="14">
    <w:abstractNumId w:val="21"/>
  </w:num>
  <w:num w:numId="15">
    <w:abstractNumId w:val="12"/>
  </w:num>
  <w:num w:numId="16">
    <w:abstractNumId w:val="20"/>
  </w:num>
  <w:num w:numId="17">
    <w:abstractNumId w:val="2"/>
  </w:num>
  <w:num w:numId="18">
    <w:abstractNumId w:val="8"/>
  </w:num>
  <w:num w:numId="19">
    <w:abstractNumId w:val="16"/>
  </w:num>
  <w:num w:numId="20">
    <w:abstractNumId w:val="9"/>
  </w:num>
  <w:num w:numId="21">
    <w:abstractNumId w:val="15"/>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zsrQwNTS1MDYzMzJR0lEKTi0uzszPAykwqgUAirHN2iwAAAA="/>
  </w:docVars>
  <w:rsids>
    <w:rsidRoot w:val="00A929E5"/>
    <w:rsid w:val="0000635A"/>
    <w:rsid w:val="000070E3"/>
    <w:rsid w:val="00045B28"/>
    <w:rsid w:val="000D68A3"/>
    <w:rsid w:val="00104C13"/>
    <w:rsid w:val="0013185E"/>
    <w:rsid w:val="001551CA"/>
    <w:rsid w:val="00157A72"/>
    <w:rsid w:val="00186ACF"/>
    <w:rsid w:val="0019186A"/>
    <w:rsid w:val="003D4D2B"/>
    <w:rsid w:val="00461F77"/>
    <w:rsid w:val="004B5E5C"/>
    <w:rsid w:val="004D2350"/>
    <w:rsid w:val="004F2F58"/>
    <w:rsid w:val="005A1F05"/>
    <w:rsid w:val="005B4B07"/>
    <w:rsid w:val="005B6A1E"/>
    <w:rsid w:val="005D2D2F"/>
    <w:rsid w:val="00671D52"/>
    <w:rsid w:val="006A23EB"/>
    <w:rsid w:val="006B53FF"/>
    <w:rsid w:val="006D4CB2"/>
    <w:rsid w:val="0072464D"/>
    <w:rsid w:val="007351D6"/>
    <w:rsid w:val="007B7626"/>
    <w:rsid w:val="007D2211"/>
    <w:rsid w:val="00817B64"/>
    <w:rsid w:val="0083062E"/>
    <w:rsid w:val="00884735"/>
    <w:rsid w:val="0096196B"/>
    <w:rsid w:val="00967A30"/>
    <w:rsid w:val="00983D02"/>
    <w:rsid w:val="00A00DF1"/>
    <w:rsid w:val="00A045F8"/>
    <w:rsid w:val="00A85B3B"/>
    <w:rsid w:val="00A929E5"/>
    <w:rsid w:val="00AE21AB"/>
    <w:rsid w:val="00B05D1B"/>
    <w:rsid w:val="00B63480"/>
    <w:rsid w:val="00BC0430"/>
    <w:rsid w:val="00BE2199"/>
    <w:rsid w:val="00C06935"/>
    <w:rsid w:val="00C4243D"/>
    <w:rsid w:val="00C452E8"/>
    <w:rsid w:val="00C67241"/>
    <w:rsid w:val="00C72FA0"/>
    <w:rsid w:val="00CB3C6A"/>
    <w:rsid w:val="00CF6F19"/>
    <w:rsid w:val="00D06D67"/>
    <w:rsid w:val="00D4311B"/>
    <w:rsid w:val="00D93041"/>
    <w:rsid w:val="00DB3135"/>
    <w:rsid w:val="00DE608A"/>
    <w:rsid w:val="00E01217"/>
    <w:rsid w:val="00E3599C"/>
    <w:rsid w:val="00E35EEA"/>
    <w:rsid w:val="00E51B93"/>
    <w:rsid w:val="00E5282C"/>
    <w:rsid w:val="00F072AA"/>
    <w:rsid w:val="00F512A1"/>
    <w:rsid w:val="00F81A30"/>
    <w:rsid w:val="00F87408"/>
    <w:rsid w:val="00FE462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AF9F5E"/>
  <w15:chartTrackingRefBased/>
  <w15:docId w15:val="{C03546D8-CA19-441C-80DF-03F237B1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9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29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29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29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29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29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9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9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9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9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29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29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29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9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9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9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9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9E5"/>
    <w:rPr>
      <w:rFonts w:eastAsiaTheme="majorEastAsia" w:cstheme="majorBidi"/>
      <w:color w:val="272727" w:themeColor="text1" w:themeTint="D8"/>
    </w:rPr>
  </w:style>
  <w:style w:type="paragraph" w:styleId="Title">
    <w:name w:val="Title"/>
    <w:basedOn w:val="Normal"/>
    <w:next w:val="Normal"/>
    <w:link w:val="TitleChar"/>
    <w:uiPriority w:val="10"/>
    <w:qFormat/>
    <w:rsid w:val="00A929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9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9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9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9E5"/>
    <w:pPr>
      <w:spacing w:before="160"/>
      <w:jc w:val="center"/>
    </w:pPr>
    <w:rPr>
      <w:i/>
      <w:iCs/>
      <w:color w:val="404040" w:themeColor="text1" w:themeTint="BF"/>
    </w:rPr>
  </w:style>
  <w:style w:type="character" w:customStyle="1" w:styleId="QuoteChar">
    <w:name w:val="Quote Char"/>
    <w:basedOn w:val="DefaultParagraphFont"/>
    <w:link w:val="Quote"/>
    <w:uiPriority w:val="29"/>
    <w:rsid w:val="00A929E5"/>
    <w:rPr>
      <w:i/>
      <w:iCs/>
      <w:color w:val="404040" w:themeColor="text1" w:themeTint="BF"/>
    </w:rPr>
  </w:style>
  <w:style w:type="paragraph" w:styleId="ListParagraph">
    <w:name w:val="List Paragraph"/>
    <w:basedOn w:val="Normal"/>
    <w:uiPriority w:val="34"/>
    <w:qFormat/>
    <w:rsid w:val="00A929E5"/>
    <w:pPr>
      <w:ind w:left="720"/>
      <w:contextualSpacing/>
    </w:pPr>
  </w:style>
  <w:style w:type="character" w:styleId="IntenseEmphasis">
    <w:name w:val="Intense Emphasis"/>
    <w:basedOn w:val="DefaultParagraphFont"/>
    <w:uiPriority w:val="21"/>
    <w:qFormat/>
    <w:rsid w:val="00A929E5"/>
    <w:rPr>
      <w:i/>
      <w:iCs/>
      <w:color w:val="0F4761" w:themeColor="accent1" w:themeShade="BF"/>
    </w:rPr>
  </w:style>
  <w:style w:type="paragraph" w:styleId="IntenseQuote">
    <w:name w:val="Intense Quote"/>
    <w:basedOn w:val="Normal"/>
    <w:next w:val="Normal"/>
    <w:link w:val="IntenseQuoteChar"/>
    <w:uiPriority w:val="30"/>
    <w:qFormat/>
    <w:rsid w:val="00A929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9E5"/>
    <w:rPr>
      <w:i/>
      <w:iCs/>
      <w:color w:val="0F4761" w:themeColor="accent1" w:themeShade="BF"/>
    </w:rPr>
  </w:style>
  <w:style w:type="character" w:styleId="IntenseReference">
    <w:name w:val="Intense Reference"/>
    <w:basedOn w:val="DefaultParagraphFont"/>
    <w:uiPriority w:val="32"/>
    <w:qFormat/>
    <w:rsid w:val="00A929E5"/>
    <w:rPr>
      <w:b/>
      <w:bCs/>
      <w:smallCaps/>
      <w:color w:val="0F4761" w:themeColor="accent1" w:themeShade="BF"/>
      <w:spacing w:val="5"/>
    </w:rPr>
  </w:style>
  <w:style w:type="paragraph" w:styleId="Header">
    <w:name w:val="header"/>
    <w:basedOn w:val="Normal"/>
    <w:link w:val="HeaderChar"/>
    <w:uiPriority w:val="99"/>
    <w:unhideWhenUsed/>
    <w:rsid w:val="006A2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3EB"/>
  </w:style>
  <w:style w:type="paragraph" w:styleId="Footer">
    <w:name w:val="footer"/>
    <w:basedOn w:val="Normal"/>
    <w:link w:val="FooterChar"/>
    <w:uiPriority w:val="99"/>
    <w:unhideWhenUsed/>
    <w:rsid w:val="006A2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3EB"/>
  </w:style>
  <w:style w:type="paragraph" w:styleId="Revision">
    <w:name w:val="Revision"/>
    <w:hidden/>
    <w:uiPriority w:val="99"/>
    <w:semiHidden/>
    <w:rsid w:val="00C72F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804038">
      <w:bodyDiv w:val="1"/>
      <w:marLeft w:val="0"/>
      <w:marRight w:val="0"/>
      <w:marTop w:val="0"/>
      <w:marBottom w:val="0"/>
      <w:divBdr>
        <w:top w:val="none" w:sz="0" w:space="0" w:color="auto"/>
        <w:left w:val="none" w:sz="0" w:space="0" w:color="auto"/>
        <w:bottom w:val="none" w:sz="0" w:space="0" w:color="auto"/>
        <w:right w:val="none" w:sz="0" w:space="0" w:color="auto"/>
      </w:divBdr>
      <w:divsChild>
        <w:div w:id="2141801183">
          <w:marLeft w:val="0"/>
          <w:marRight w:val="0"/>
          <w:marTop w:val="100"/>
          <w:marBottom w:val="100"/>
          <w:divBdr>
            <w:top w:val="none" w:sz="0" w:space="0" w:color="auto"/>
            <w:left w:val="none" w:sz="0" w:space="0" w:color="auto"/>
            <w:bottom w:val="none" w:sz="0" w:space="0" w:color="auto"/>
            <w:right w:val="none" w:sz="0" w:space="0" w:color="auto"/>
          </w:divBdr>
          <w:divsChild>
            <w:div w:id="640502825">
              <w:marLeft w:val="0"/>
              <w:marRight w:val="0"/>
              <w:marTop w:val="0"/>
              <w:marBottom w:val="180"/>
              <w:divBdr>
                <w:top w:val="none" w:sz="0" w:space="0" w:color="auto"/>
                <w:left w:val="none" w:sz="0" w:space="0" w:color="auto"/>
                <w:bottom w:val="none" w:sz="0" w:space="0" w:color="auto"/>
                <w:right w:val="none" w:sz="0" w:space="0" w:color="auto"/>
              </w:divBdr>
              <w:divsChild>
                <w:div w:id="1872570422">
                  <w:marLeft w:val="0"/>
                  <w:marRight w:val="0"/>
                  <w:marTop w:val="0"/>
                  <w:marBottom w:val="0"/>
                  <w:divBdr>
                    <w:top w:val="none" w:sz="0" w:space="0" w:color="auto"/>
                    <w:left w:val="none" w:sz="0" w:space="0" w:color="auto"/>
                    <w:bottom w:val="none" w:sz="0" w:space="0" w:color="auto"/>
                    <w:right w:val="none" w:sz="0" w:space="0" w:color="auto"/>
                  </w:divBdr>
                </w:div>
              </w:divsChild>
            </w:div>
            <w:div w:id="1058700530">
              <w:marLeft w:val="0"/>
              <w:marRight w:val="0"/>
              <w:marTop w:val="0"/>
              <w:marBottom w:val="240"/>
              <w:divBdr>
                <w:top w:val="none" w:sz="0" w:space="0" w:color="auto"/>
                <w:left w:val="none" w:sz="0" w:space="0" w:color="auto"/>
                <w:bottom w:val="none" w:sz="0" w:space="0" w:color="auto"/>
                <w:right w:val="none" w:sz="0" w:space="0" w:color="auto"/>
              </w:divBdr>
              <w:divsChild>
                <w:div w:id="1722942029">
                  <w:marLeft w:val="0"/>
                  <w:marRight w:val="0"/>
                  <w:marTop w:val="0"/>
                  <w:marBottom w:val="0"/>
                  <w:divBdr>
                    <w:top w:val="none" w:sz="0" w:space="0" w:color="auto"/>
                    <w:left w:val="none" w:sz="0" w:space="0" w:color="auto"/>
                    <w:bottom w:val="none" w:sz="0" w:space="0" w:color="auto"/>
                    <w:right w:val="none" w:sz="0" w:space="0" w:color="auto"/>
                  </w:divBdr>
                </w:div>
              </w:divsChild>
            </w:div>
            <w:div w:id="659306766">
              <w:marLeft w:val="0"/>
              <w:marRight w:val="0"/>
              <w:marTop w:val="0"/>
              <w:marBottom w:val="180"/>
              <w:divBdr>
                <w:top w:val="none" w:sz="0" w:space="0" w:color="auto"/>
                <w:left w:val="none" w:sz="0" w:space="0" w:color="auto"/>
                <w:bottom w:val="none" w:sz="0" w:space="0" w:color="auto"/>
                <w:right w:val="none" w:sz="0" w:space="0" w:color="auto"/>
              </w:divBdr>
              <w:divsChild>
                <w:div w:id="2055606">
                  <w:marLeft w:val="0"/>
                  <w:marRight w:val="0"/>
                  <w:marTop w:val="0"/>
                  <w:marBottom w:val="0"/>
                  <w:divBdr>
                    <w:top w:val="none" w:sz="0" w:space="0" w:color="auto"/>
                    <w:left w:val="none" w:sz="0" w:space="0" w:color="auto"/>
                    <w:bottom w:val="none" w:sz="0" w:space="0" w:color="auto"/>
                    <w:right w:val="none" w:sz="0" w:space="0" w:color="auto"/>
                  </w:divBdr>
                </w:div>
              </w:divsChild>
            </w:div>
            <w:div w:id="1621259619">
              <w:marLeft w:val="0"/>
              <w:marRight w:val="0"/>
              <w:marTop w:val="0"/>
              <w:marBottom w:val="240"/>
              <w:divBdr>
                <w:top w:val="none" w:sz="0" w:space="0" w:color="auto"/>
                <w:left w:val="none" w:sz="0" w:space="0" w:color="auto"/>
                <w:bottom w:val="none" w:sz="0" w:space="0" w:color="auto"/>
                <w:right w:val="none" w:sz="0" w:space="0" w:color="auto"/>
              </w:divBdr>
              <w:divsChild>
                <w:div w:id="1575969701">
                  <w:marLeft w:val="0"/>
                  <w:marRight w:val="0"/>
                  <w:marTop w:val="0"/>
                  <w:marBottom w:val="0"/>
                  <w:divBdr>
                    <w:top w:val="none" w:sz="0" w:space="0" w:color="auto"/>
                    <w:left w:val="none" w:sz="0" w:space="0" w:color="auto"/>
                    <w:bottom w:val="none" w:sz="0" w:space="0" w:color="auto"/>
                    <w:right w:val="none" w:sz="0" w:space="0" w:color="auto"/>
                  </w:divBdr>
                </w:div>
              </w:divsChild>
            </w:div>
            <w:div w:id="575742715">
              <w:marLeft w:val="0"/>
              <w:marRight w:val="0"/>
              <w:marTop w:val="0"/>
              <w:marBottom w:val="0"/>
              <w:divBdr>
                <w:top w:val="none" w:sz="0" w:space="0" w:color="auto"/>
                <w:left w:val="none" w:sz="0" w:space="0" w:color="auto"/>
                <w:bottom w:val="none" w:sz="0" w:space="0" w:color="auto"/>
                <w:right w:val="none" w:sz="0" w:space="0" w:color="auto"/>
              </w:divBdr>
              <w:divsChild>
                <w:div w:id="7681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4376">
          <w:marLeft w:val="0"/>
          <w:marRight w:val="0"/>
          <w:marTop w:val="0"/>
          <w:marBottom w:val="300"/>
          <w:divBdr>
            <w:top w:val="none" w:sz="0" w:space="0" w:color="auto"/>
            <w:left w:val="none" w:sz="0" w:space="0" w:color="auto"/>
            <w:bottom w:val="none" w:sz="0" w:space="0" w:color="auto"/>
            <w:right w:val="none" w:sz="0" w:space="0" w:color="auto"/>
          </w:divBdr>
          <w:divsChild>
            <w:div w:id="17535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08404">
      <w:bodyDiv w:val="1"/>
      <w:marLeft w:val="0"/>
      <w:marRight w:val="0"/>
      <w:marTop w:val="0"/>
      <w:marBottom w:val="0"/>
      <w:divBdr>
        <w:top w:val="none" w:sz="0" w:space="0" w:color="auto"/>
        <w:left w:val="none" w:sz="0" w:space="0" w:color="auto"/>
        <w:bottom w:val="none" w:sz="0" w:space="0" w:color="auto"/>
        <w:right w:val="none" w:sz="0" w:space="0" w:color="auto"/>
      </w:divBdr>
    </w:div>
    <w:div w:id="1627540451">
      <w:bodyDiv w:val="1"/>
      <w:marLeft w:val="0"/>
      <w:marRight w:val="0"/>
      <w:marTop w:val="0"/>
      <w:marBottom w:val="0"/>
      <w:divBdr>
        <w:top w:val="none" w:sz="0" w:space="0" w:color="auto"/>
        <w:left w:val="none" w:sz="0" w:space="0" w:color="auto"/>
        <w:bottom w:val="none" w:sz="0" w:space="0" w:color="auto"/>
        <w:right w:val="none" w:sz="0" w:space="0" w:color="auto"/>
      </w:divBdr>
    </w:div>
    <w:div w:id="1683311948">
      <w:bodyDiv w:val="1"/>
      <w:marLeft w:val="0"/>
      <w:marRight w:val="0"/>
      <w:marTop w:val="0"/>
      <w:marBottom w:val="0"/>
      <w:divBdr>
        <w:top w:val="none" w:sz="0" w:space="0" w:color="auto"/>
        <w:left w:val="none" w:sz="0" w:space="0" w:color="auto"/>
        <w:bottom w:val="none" w:sz="0" w:space="0" w:color="auto"/>
        <w:right w:val="none" w:sz="0" w:space="0" w:color="auto"/>
      </w:divBdr>
      <w:divsChild>
        <w:div w:id="1728726524">
          <w:marLeft w:val="0"/>
          <w:marRight w:val="0"/>
          <w:marTop w:val="100"/>
          <w:marBottom w:val="100"/>
          <w:divBdr>
            <w:top w:val="none" w:sz="0" w:space="0" w:color="auto"/>
            <w:left w:val="none" w:sz="0" w:space="0" w:color="auto"/>
            <w:bottom w:val="none" w:sz="0" w:space="0" w:color="auto"/>
            <w:right w:val="none" w:sz="0" w:space="0" w:color="auto"/>
          </w:divBdr>
          <w:divsChild>
            <w:div w:id="1872187602">
              <w:marLeft w:val="0"/>
              <w:marRight w:val="0"/>
              <w:marTop w:val="0"/>
              <w:marBottom w:val="180"/>
              <w:divBdr>
                <w:top w:val="none" w:sz="0" w:space="0" w:color="auto"/>
                <w:left w:val="none" w:sz="0" w:space="0" w:color="auto"/>
                <w:bottom w:val="none" w:sz="0" w:space="0" w:color="auto"/>
                <w:right w:val="none" w:sz="0" w:space="0" w:color="auto"/>
              </w:divBdr>
              <w:divsChild>
                <w:div w:id="1533376843">
                  <w:marLeft w:val="0"/>
                  <w:marRight w:val="0"/>
                  <w:marTop w:val="0"/>
                  <w:marBottom w:val="0"/>
                  <w:divBdr>
                    <w:top w:val="none" w:sz="0" w:space="0" w:color="auto"/>
                    <w:left w:val="none" w:sz="0" w:space="0" w:color="auto"/>
                    <w:bottom w:val="none" w:sz="0" w:space="0" w:color="auto"/>
                    <w:right w:val="none" w:sz="0" w:space="0" w:color="auto"/>
                  </w:divBdr>
                </w:div>
              </w:divsChild>
            </w:div>
            <w:div w:id="1217087275">
              <w:marLeft w:val="0"/>
              <w:marRight w:val="0"/>
              <w:marTop w:val="0"/>
              <w:marBottom w:val="240"/>
              <w:divBdr>
                <w:top w:val="none" w:sz="0" w:space="0" w:color="auto"/>
                <w:left w:val="none" w:sz="0" w:space="0" w:color="auto"/>
                <w:bottom w:val="none" w:sz="0" w:space="0" w:color="auto"/>
                <w:right w:val="none" w:sz="0" w:space="0" w:color="auto"/>
              </w:divBdr>
              <w:divsChild>
                <w:div w:id="518737944">
                  <w:marLeft w:val="0"/>
                  <w:marRight w:val="0"/>
                  <w:marTop w:val="0"/>
                  <w:marBottom w:val="0"/>
                  <w:divBdr>
                    <w:top w:val="none" w:sz="0" w:space="0" w:color="auto"/>
                    <w:left w:val="none" w:sz="0" w:space="0" w:color="auto"/>
                    <w:bottom w:val="none" w:sz="0" w:space="0" w:color="auto"/>
                    <w:right w:val="none" w:sz="0" w:space="0" w:color="auto"/>
                  </w:divBdr>
                </w:div>
              </w:divsChild>
            </w:div>
            <w:div w:id="866211931">
              <w:marLeft w:val="0"/>
              <w:marRight w:val="0"/>
              <w:marTop w:val="0"/>
              <w:marBottom w:val="180"/>
              <w:divBdr>
                <w:top w:val="none" w:sz="0" w:space="0" w:color="auto"/>
                <w:left w:val="none" w:sz="0" w:space="0" w:color="auto"/>
                <w:bottom w:val="none" w:sz="0" w:space="0" w:color="auto"/>
                <w:right w:val="none" w:sz="0" w:space="0" w:color="auto"/>
              </w:divBdr>
              <w:divsChild>
                <w:div w:id="1344748416">
                  <w:marLeft w:val="0"/>
                  <w:marRight w:val="0"/>
                  <w:marTop w:val="0"/>
                  <w:marBottom w:val="0"/>
                  <w:divBdr>
                    <w:top w:val="none" w:sz="0" w:space="0" w:color="auto"/>
                    <w:left w:val="none" w:sz="0" w:space="0" w:color="auto"/>
                    <w:bottom w:val="none" w:sz="0" w:space="0" w:color="auto"/>
                    <w:right w:val="none" w:sz="0" w:space="0" w:color="auto"/>
                  </w:divBdr>
                </w:div>
              </w:divsChild>
            </w:div>
            <w:div w:id="2051493742">
              <w:marLeft w:val="0"/>
              <w:marRight w:val="0"/>
              <w:marTop w:val="0"/>
              <w:marBottom w:val="240"/>
              <w:divBdr>
                <w:top w:val="none" w:sz="0" w:space="0" w:color="auto"/>
                <w:left w:val="none" w:sz="0" w:space="0" w:color="auto"/>
                <w:bottom w:val="none" w:sz="0" w:space="0" w:color="auto"/>
                <w:right w:val="none" w:sz="0" w:space="0" w:color="auto"/>
              </w:divBdr>
              <w:divsChild>
                <w:div w:id="1155800059">
                  <w:marLeft w:val="0"/>
                  <w:marRight w:val="0"/>
                  <w:marTop w:val="0"/>
                  <w:marBottom w:val="0"/>
                  <w:divBdr>
                    <w:top w:val="none" w:sz="0" w:space="0" w:color="auto"/>
                    <w:left w:val="none" w:sz="0" w:space="0" w:color="auto"/>
                    <w:bottom w:val="none" w:sz="0" w:space="0" w:color="auto"/>
                    <w:right w:val="none" w:sz="0" w:space="0" w:color="auto"/>
                  </w:divBdr>
                </w:div>
              </w:divsChild>
            </w:div>
            <w:div w:id="1582521153">
              <w:marLeft w:val="0"/>
              <w:marRight w:val="0"/>
              <w:marTop w:val="0"/>
              <w:marBottom w:val="0"/>
              <w:divBdr>
                <w:top w:val="none" w:sz="0" w:space="0" w:color="auto"/>
                <w:left w:val="none" w:sz="0" w:space="0" w:color="auto"/>
                <w:bottom w:val="none" w:sz="0" w:space="0" w:color="auto"/>
                <w:right w:val="none" w:sz="0" w:space="0" w:color="auto"/>
              </w:divBdr>
              <w:divsChild>
                <w:div w:id="454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1686">
          <w:marLeft w:val="0"/>
          <w:marRight w:val="0"/>
          <w:marTop w:val="0"/>
          <w:marBottom w:val="300"/>
          <w:divBdr>
            <w:top w:val="none" w:sz="0" w:space="0" w:color="auto"/>
            <w:left w:val="none" w:sz="0" w:space="0" w:color="auto"/>
            <w:bottom w:val="none" w:sz="0" w:space="0" w:color="auto"/>
            <w:right w:val="none" w:sz="0" w:space="0" w:color="auto"/>
          </w:divBdr>
          <w:divsChild>
            <w:div w:id="21162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8</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2292</dc:creator>
  <cp:keywords/>
  <dc:description/>
  <cp:lastModifiedBy>SDI 1089</cp:lastModifiedBy>
  <cp:revision>37</cp:revision>
  <dcterms:created xsi:type="dcterms:W3CDTF">2025-07-15T18:22:00Z</dcterms:created>
  <dcterms:modified xsi:type="dcterms:W3CDTF">2025-10-13T13:05:00Z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2b0b7507-8c79-4d53-a29a-8611b1e4588b</vt:lpwstr>
  </property>
</Properties>
</file>