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A5181" w14:textId="1B9F9AEA" w:rsidR="00FA4364" w:rsidRPr="007C68E7" w:rsidRDefault="00FA4364" w:rsidP="007C68E7">
      <w:pPr>
        <w:pStyle w:val="NormalWeb"/>
        <w:spacing w:before="0" w:beforeAutospacing="0" w:after="0" w:afterAutospacing="0" w:line="360" w:lineRule="auto"/>
        <w:jc w:val="both"/>
        <w:rPr>
          <w:rFonts w:ascii="Times New Roman" w:hAnsi="Times New Roman" w:cs="Times New Roman"/>
          <w:b/>
          <w:bCs/>
          <w:lang w:val="en-GB"/>
        </w:rPr>
      </w:pPr>
      <w:bookmarkStart w:id="0" w:name="OLE_LINK1"/>
      <w:r w:rsidRPr="007C68E7">
        <w:rPr>
          <w:rFonts w:ascii="Times New Roman" w:hAnsi="Times New Roman" w:cs="Times New Roman"/>
          <w:b/>
          <w:bCs/>
          <w:color w:val="000000"/>
        </w:rPr>
        <w:t xml:space="preserve">Effect of Different Intra-Orifice Barrier Materials on the Fracture Strength of Endodontically Treated </w:t>
      </w:r>
      <w:proofErr w:type="gramStart"/>
      <w:r w:rsidRPr="007C68E7">
        <w:rPr>
          <w:rFonts w:ascii="Times New Roman" w:hAnsi="Times New Roman" w:cs="Times New Roman"/>
          <w:b/>
          <w:bCs/>
          <w:color w:val="000000"/>
        </w:rPr>
        <w:t xml:space="preserve">Teeth </w:t>
      </w:r>
      <w:r w:rsidR="00F3065A">
        <w:rPr>
          <w:rFonts w:ascii="Times New Roman" w:hAnsi="Times New Roman" w:cs="Times New Roman"/>
          <w:b/>
          <w:bCs/>
          <w:color w:val="000000"/>
        </w:rPr>
        <w:t>:</w:t>
      </w:r>
      <w:proofErr w:type="gramEnd"/>
      <w:r w:rsidRPr="007C68E7">
        <w:rPr>
          <w:rFonts w:ascii="Times New Roman" w:hAnsi="Times New Roman" w:cs="Times New Roman"/>
          <w:b/>
          <w:bCs/>
          <w:color w:val="000000"/>
        </w:rPr>
        <w:t xml:space="preserve"> An </w:t>
      </w:r>
      <w:r w:rsidRPr="007C68E7">
        <w:rPr>
          <w:rFonts w:ascii="Times New Roman" w:hAnsi="Times New Roman" w:cs="Times New Roman"/>
          <w:b/>
          <w:bCs/>
          <w:i/>
          <w:iCs/>
          <w:color w:val="000000"/>
        </w:rPr>
        <w:t xml:space="preserve">In Vitro </w:t>
      </w:r>
      <w:r w:rsidRPr="007C68E7">
        <w:rPr>
          <w:rFonts w:ascii="Times New Roman" w:hAnsi="Times New Roman" w:cs="Times New Roman"/>
          <w:b/>
          <w:bCs/>
          <w:color w:val="000000"/>
        </w:rPr>
        <w:t>Study</w:t>
      </w:r>
    </w:p>
    <w:p w14:paraId="1CA1A94A" w14:textId="77777777" w:rsidR="0038784E" w:rsidRPr="007C68E7" w:rsidRDefault="0038784E" w:rsidP="007C68E7">
      <w:pPr>
        <w:spacing w:line="360" w:lineRule="auto"/>
        <w:rPr>
          <w:rFonts w:ascii="Times New Roman"/>
          <w:b/>
          <w:bCs/>
          <w:sz w:val="24"/>
        </w:rPr>
      </w:pPr>
    </w:p>
    <w:p w14:paraId="28C62418" w14:textId="77777777" w:rsidR="00F424B5" w:rsidRPr="007C68E7" w:rsidRDefault="00F424B5" w:rsidP="007C68E7">
      <w:pPr>
        <w:spacing w:line="360" w:lineRule="auto"/>
        <w:rPr>
          <w:rFonts w:ascii="Times New Roman"/>
          <w:sz w:val="24"/>
        </w:rPr>
      </w:pPr>
    </w:p>
    <w:p w14:paraId="7F73D084" w14:textId="3BF32881" w:rsidR="00F424B5" w:rsidRPr="007C68E7" w:rsidRDefault="00F424B5" w:rsidP="007C68E7">
      <w:pPr>
        <w:spacing w:line="360" w:lineRule="auto"/>
        <w:rPr>
          <w:rFonts w:ascii="Times New Roman"/>
          <w:sz w:val="24"/>
        </w:rPr>
      </w:pPr>
      <w:r w:rsidRPr="007C68E7">
        <w:rPr>
          <w:rFonts w:ascii="Times New Roman"/>
          <w:sz w:val="24"/>
        </w:rPr>
        <w:t xml:space="preserve">Abstract </w:t>
      </w:r>
    </w:p>
    <w:p w14:paraId="1DD24A11" w14:textId="77777777" w:rsidR="002406D8" w:rsidRPr="00287973" w:rsidRDefault="002406D8" w:rsidP="00287973">
      <w:pPr>
        <w:spacing w:before="240" w:after="240" w:line="360" w:lineRule="auto"/>
        <w:rPr>
          <w:rFonts w:ascii="Times New Roman" w:eastAsia="Times New Roman"/>
          <w:color w:val="000000" w:themeColor="text1"/>
          <w:sz w:val="24"/>
        </w:rPr>
      </w:pPr>
      <w:r w:rsidRPr="00287973">
        <w:rPr>
          <w:rFonts w:ascii="Times New Roman" w:eastAsia="Times New Roman"/>
          <w:b/>
          <w:bCs/>
          <w:color w:val="000000" w:themeColor="text1"/>
          <w:sz w:val="24"/>
        </w:rPr>
        <w:t>Background:</w:t>
      </w:r>
    </w:p>
    <w:p w14:paraId="27703356" w14:textId="1A117209"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color w:val="000000" w:themeColor="text1"/>
          <w:sz w:val="24"/>
        </w:rPr>
        <w:t>Endodontically treated teeth are structurally compromised due to loss of tooth structure during access cavity</w:t>
      </w:r>
      <w:r w:rsidR="00573F47" w:rsidRPr="00287973">
        <w:rPr>
          <w:rFonts w:ascii="Times New Roman" w:eastAsia="Times New Roman"/>
          <w:color w:val="000000" w:themeColor="text1"/>
          <w:sz w:val="24"/>
        </w:rPr>
        <w:t>,</w:t>
      </w:r>
      <w:r w:rsidR="00CA43CB" w:rsidRPr="00287973">
        <w:rPr>
          <w:rFonts w:ascii="Times New Roman" w:eastAsia="Times New Roman"/>
          <w:color w:val="000000" w:themeColor="text1"/>
          <w:sz w:val="24"/>
        </w:rPr>
        <w:t xml:space="preserve"> </w:t>
      </w:r>
      <w:r w:rsidRPr="00287973">
        <w:rPr>
          <w:rFonts w:ascii="Times New Roman" w:eastAsia="Times New Roman"/>
          <w:color w:val="000000" w:themeColor="text1"/>
          <w:sz w:val="24"/>
        </w:rPr>
        <w:t xml:space="preserve">root canal </w:t>
      </w:r>
      <w:r w:rsidR="00CA43CB" w:rsidRPr="00287973">
        <w:rPr>
          <w:rFonts w:ascii="Times New Roman" w:eastAsia="Times New Roman"/>
          <w:color w:val="000000" w:themeColor="text1"/>
          <w:sz w:val="24"/>
        </w:rPr>
        <w:t>preparation and dehydration of dentine</w:t>
      </w:r>
      <w:r w:rsidRPr="00287973">
        <w:rPr>
          <w:rFonts w:ascii="Times New Roman" w:eastAsia="Times New Roman"/>
          <w:color w:val="000000" w:themeColor="text1"/>
          <w:sz w:val="24"/>
        </w:rPr>
        <w:t xml:space="preserve">. The </w:t>
      </w:r>
      <w:proofErr w:type="spellStart"/>
      <w:r w:rsidR="00573F47" w:rsidRPr="00287973">
        <w:rPr>
          <w:rFonts w:ascii="Times New Roman" w:eastAsia="Times New Roman"/>
          <w:color w:val="000000" w:themeColor="text1"/>
          <w:sz w:val="24"/>
        </w:rPr>
        <w:t>pericervical</w:t>
      </w:r>
      <w:proofErr w:type="spellEnd"/>
      <w:r w:rsidRPr="00287973">
        <w:rPr>
          <w:rFonts w:ascii="Times New Roman" w:eastAsia="Times New Roman"/>
          <w:color w:val="000000" w:themeColor="text1"/>
          <w:sz w:val="24"/>
        </w:rPr>
        <w:t xml:space="preserve"> dentin (PCD), located approximately 4 mm above and below the crestal bone, plays a critical role in stress distribution and tooth strength. Reinforcement of this region using intra-orifice barrier materials may improve fracture resistance and longevity of treated teeth.</w:t>
      </w:r>
    </w:p>
    <w:p w14:paraId="166E36D2" w14:textId="77777777"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b/>
          <w:bCs/>
          <w:color w:val="000000" w:themeColor="text1"/>
          <w:sz w:val="24"/>
        </w:rPr>
        <w:t>Aim:</w:t>
      </w:r>
    </w:p>
    <w:p w14:paraId="1D39E232" w14:textId="0B124BC4" w:rsidR="002406D8" w:rsidRPr="00287973" w:rsidRDefault="00E26A14" w:rsidP="00287973">
      <w:pPr>
        <w:spacing w:before="240" w:after="240" w:line="360" w:lineRule="auto"/>
        <w:jc w:val="left"/>
        <w:rPr>
          <w:rFonts w:ascii="Times New Roman" w:eastAsia="Times New Roman"/>
          <w:color w:val="000000" w:themeColor="text1"/>
          <w:sz w:val="24"/>
        </w:rPr>
      </w:pPr>
      <w:r>
        <w:rPr>
          <w:rFonts w:ascii="Times New Roman" w:eastAsia="Times New Roman"/>
          <w:color w:val="000000" w:themeColor="text1"/>
          <w:sz w:val="24"/>
        </w:rPr>
        <w:t>The present study</w:t>
      </w:r>
      <w:r w:rsidR="002406D8" w:rsidRPr="00287973">
        <w:rPr>
          <w:rFonts w:ascii="Times New Roman" w:eastAsia="Times New Roman"/>
          <w:color w:val="000000" w:themeColor="text1"/>
          <w:sz w:val="24"/>
        </w:rPr>
        <w:t xml:space="preserve"> evaluate</w:t>
      </w:r>
      <w:r>
        <w:rPr>
          <w:rFonts w:ascii="Times New Roman" w:eastAsia="Times New Roman"/>
          <w:color w:val="000000" w:themeColor="text1"/>
          <w:sz w:val="24"/>
        </w:rPr>
        <w:t>s</w:t>
      </w:r>
      <w:r w:rsidR="002406D8" w:rsidRPr="00287973">
        <w:rPr>
          <w:rFonts w:ascii="Times New Roman" w:eastAsia="Times New Roman"/>
          <w:color w:val="000000" w:themeColor="text1"/>
          <w:sz w:val="24"/>
        </w:rPr>
        <w:t xml:space="preserve"> the effect of different intra-orifice barrier materials on the fracture strength of endodontically treated teeth by reinforcing the </w:t>
      </w:r>
      <w:proofErr w:type="spellStart"/>
      <w:r w:rsidR="002406D8" w:rsidRPr="00287973">
        <w:rPr>
          <w:rFonts w:ascii="Times New Roman" w:eastAsia="Times New Roman"/>
          <w:color w:val="000000" w:themeColor="text1"/>
          <w:sz w:val="24"/>
        </w:rPr>
        <w:t>pericervical</w:t>
      </w:r>
      <w:proofErr w:type="spellEnd"/>
      <w:r w:rsidR="002406D8" w:rsidRPr="00287973">
        <w:rPr>
          <w:rFonts w:ascii="Times New Roman" w:eastAsia="Times New Roman"/>
          <w:color w:val="000000" w:themeColor="text1"/>
          <w:sz w:val="24"/>
        </w:rPr>
        <w:t xml:space="preserve"> dentin.</w:t>
      </w:r>
    </w:p>
    <w:p w14:paraId="13810706" w14:textId="7048F6E5"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color w:val="000000" w:themeColor="text1"/>
          <w:sz w:val="24"/>
        </w:rPr>
        <w:t xml:space="preserve">Study Design: Invitro </w:t>
      </w:r>
      <w:r w:rsidR="00573F47" w:rsidRPr="00287973">
        <w:rPr>
          <w:rFonts w:ascii="Times New Roman" w:eastAsia="Times New Roman"/>
          <w:color w:val="000000" w:themeColor="text1"/>
          <w:sz w:val="24"/>
        </w:rPr>
        <w:t xml:space="preserve">experimental </w:t>
      </w:r>
      <w:r w:rsidRPr="00287973">
        <w:rPr>
          <w:rFonts w:ascii="Times New Roman" w:eastAsia="Times New Roman"/>
          <w:color w:val="000000" w:themeColor="text1"/>
          <w:sz w:val="24"/>
        </w:rPr>
        <w:t>Study</w:t>
      </w:r>
    </w:p>
    <w:p w14:paraId="6BACFB54" w14:textId="47E4AF1E"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color w:val="000000" w:themeColor="text1"/>
          <w:sz w:val="24"/>
        </w:rPr>
        <w:t xml:space="preserve">Place and Duration of Study: Department of Conservative Dentistry and Endodontics, KVG dental college and hospital, </w:t>
      </w:r>
      <w:proofErr w:type="spellStart"/>
      <w:r w:rsidRPr="00287973">
        <w:rPr>
          <w:rFonts w:ascii="Times New Roman" w:eastAsia="Times New Roman"/>
          <w:color w:val="000000" w:themeColor="text1"/>
          <w:sz w:val="24"/>
        </w:rPr>
        <w:t>Sullia</w:t>
      </w:r>
      <w:proofErr w:type="spellEnd"/>
      <w:r w:rsidRPr="00287973">
        <w:rPr>
          <w:rFonts w:ascii="Times New Roman" w:eastAsia="Times New Roman"/>
          <w:color w:val="000000" w:themeColor="text1"/>
          <w:sz w:val="24"/>
        </w:rPr>
        <w:t xml:space="preserve"> India </w:t>
      </w:r>
      <w:r w:rsidR="00360529" w:rsidRPr="00287973">
        <w:rPr>
          <w:rFonts w:ascii="Times New Roman" w:eastAsia="Times New Roman"/>
          <w:color w:val="000000" w:themeColor="text1"/>
          <w:sz w:val="24"/>
        </w:rPr>
        <w:t>574327, between</w:t>
      </w:r>
      <w:r w:rsidRPr="00287973">
        <w:rPr>
          <w:rFonts w:ascii="Times New Roman" w:eastAsia="Times New Roman"/>
          <w:color w:val="000000" w:themeColor="text1"/>
          <w:sz w:val="24"/>
        </w:rPr>
        <w:t xml:space="preserve"> November 2024 and December 2024.</w:t>
      </w:r>
    </w:p>
    <w:p w14:paraId="50A74BB7" w14:textId="77777777" w:rsidR="002406D8" w:rsidRPr="00287973" w:rsidRDefault="002406D8" w:rsidP="00287973">
      <w:pPr>
        <w:spacing w:before="240" w:after="240" w:line="360" w:lineRule="auto"/>
        <w:jc w:val="left"/>
        <w:rPr>
          <w:rFonts w:ascii="Times New Roman" w:eastAsia="Times New Roman"/>
          <w:color w:val="000000" w:themeColor="text1"/>
          <w:sz w:val="24"/>
        </w:rPr>
      </w:pPr>
    </w:p>
    <w:p w14:paraId="3D10841F" w14:textId="77777777"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b/>
          <w:bCs/>
          <w:color w:val="000000" w:themeColor="text1"/>
          <w:sz w:val="24"/>
        </w:rPr>
        <w:t>Materials and Methods:</w:t>
      </w:r>
    </w:p>
    <w:p w14:paraId="70E76B7D" w14:textId="7BCD5A57" w:rsidR="002406D8" w:rsidRPr="00287973" w:rsidRDefault="002406D8" w:rsidP="00287973">
      <w:pPr>
        <w:pStyle w:val="p1"/>
        <w:spacing w:line="360" w:lineRule="auto"/>
        <w:rPr>
          <w:color w:val="191919"/>
        </w:rPr>
      </w:pPr>
      <w:r w:rsidRPr="00287973">
        <w:rPr>
          <w:color w:val="000000" w:themeColor="text1"/>
        </w:rPr>
        <w:t xml:space="preserve">A total of 24 extracted human single-rooted teeth were decoronated </w:t>
      </w:r>
      <w:r w:rsidR="00CA43CB" w:rsidRPr="00287973">
        <w:rPr>
          <w:color w:val="191919"/>
        </w:rPr>
        <w:t xml:space="preserve">to adjust working length at 14mm and prepared </w:t>
      </w:r>
      <w:r w:rsidR="00CA43CB" w:rsidRPr="00287973">
        <w:rPr>
          <w:color w:val="000000" w:themeColor="text1"/>
        </w:rPr>
        <w:t>using standardized endodontic procedures</w:t>
      </w:r>
      <w:r w:rsidR="00CA43CB" w:rsidRPr="00287973">
        <w:rPr>
          <w:color w:val="191919"/>
        </w:rPr>
        <w:t xml:space="preserve"> up to F3. They were obturated using gutta-percha and resin sealer AH-Plus</w:t>
      </w:r>
      <w:r w:rsidR="00CA43CB" w:rsidRPr="00287973">
        <w:rPr>
          <w:color w:val="000000" w:themeColor="text1"/>
        </w:rPr>
        <w:t xml:space="preserve"> and</w:t>
      </w:r>
      <w:r w:rsidRPr="00287973">
        <w:rPr>
          <w:color w:val="000000" w:themeColor="text1"/>
        </w:rPr>
        <w:t xml:space="preserve"> samples were randomly divided into four groups (n = 6 per group):</w:t>
      </w:r>
      <w:r w:rsidR="00360529" w:rsidRPr="00287973">
        <w:rPr>
          <w:color w:val="000000" w:themeColor="text1"/>
        </w:rPr>
        <w:t xml:space="preserve"> </w:t>
      </w:r>
      <w:r w:rsidRPr="00287973">
        <w:rPr>
          <w:color w:val="000000" w:themeColor="text1"/>
        </w:rPr>
        <w:t>Group I</w:t>
      </w:r>
      <w:r w:rsidRPr="00287973">
        <w:rPr>
          <w:b/>
          <w:bCs/>
          <w:color w:val="000000" w:themeColor="text1"/>
        </w:rPr>
        <w:t>:</w:t>
      </w:r>
      <w:r w:rsidRPr="00287973">
        <w:rPr>
          <w:color w:val="000000" w:themeColor="text1"/>
        </w:rPr>
        <w:t xml:space="preserve"> </w:t>
      </w:r>
      <w:proofErr w:type="spellStart"/>
      <w:r w:rsidRPr="00287973">
        <w:rPr>
          <w:color w:val="000000" w:themeColor="text1"/>
        </w:rPr>
        <w:t>Amalgomer</w:t>
      </w:r>
      <w:proofErr w:type="spellEnd"/>
      <w:r w:rsidRPr="00287973">
        <w:rPr>
          <w:color w:val="000000" w:themeColor="text1"/>
        </w:rPr>
        <w:t xml:space="preserve"> CR</w:t>
      </w:r>
      <w:r w:rsidR="00360529" w:rsidRPr="00287973">
        <w:rPr>
          <w:color w:val="000000" w:themeColor="text1"/>
        </w:rPr>
        <w:t>,</w:t>
      </w:r>
      <w:r w:rsidR="00592867">
        <w:rPr>
          <w:color w:val="000000" w:themeColor="text1"/>
        </w:rPr>
        <w:t>(</w:t>
      </w:r>
      <w:r w:rsidR="00592867" w:rsidRPr="00592867">
        <w:t xml:space="preserve"> </w:t>
      </w:r>
      <w:r w:rsidR="00592867">
        <w:t>Advanced Healthcare Ltd (AHL)UK)</w:t>
      </w:r>
      <w:r w:rsidR="00592867">
        <w:rPr>
          <w:color w:val="000000" w:themeColor="text1"/>
        </w:rPr>
        <w:t xml:space="preserve">, </w:t>
      </w:r>
      <w:r w:rsidRPr="00287973">
        <w:rPr>
          <w:color w:val="000000" w:themeColor="text1"/>
        </w:rPr>
        <w:t>Group II: Nano Hybrid Composite</w:t>
      </w:r>
      <w:r w:rsidR="00592867">
        <w:rPr>
          <w:color w:val="000000" w:themeColor="text1"/>
        </w:rPr>
        <w:t xml:space="preserve"> (</w:t>
      </w:r>
      <w:proofErr w:type="spellStart"/>
      <w:r w:rsidR="00592867">
        <w:t>Shofu</w:t>
      </w:r>
      <w:proofErr w:type="spellEnd"/>
      <w:r w:rsidR="00592867">
        <w:t xml:space="preserve"> </w:t>
      </w:r>
      <w:proofErr w:type="spellStart"/>
      <w:r w:rsidR="00592867">
        <w:t>Beautifil</w:t>
      </w:r>
      <w:proofErr w:type="spellEnd"/>
      <w:r w:rsidR="00592867">
        <w:t xml:space="preserve"> II</w:t>
      </w:r>
      <w:r w:rsidR="00360529" w:rsidRPr="00287973">
        <w:rPr>
          <w:color w:val="000000" w:themeColor="text1"/>
        </w:rPr>
        <w:t>,</w:t>
      </w:r>
      <w:r w:rsidR="00592867" w:rsidRPr="00592867">
        <w:t xml:space="preserve"> </w:t>
      </w:r>
      <w:proofErr w:type="spellStart"/>
      <w:r w:rsidR="00592867">
        <w:t>Shofu</w:t>
      </w:r>
      <w:proofErr w:type="spellEnd"/>
      <w:r w:rsidR="00592867">
        <w:t xml:space="preserve"> Dental Corporation ,Japan)</w:t>
      </w:r>
      <w:r w:rsidR="00360529" w:rsidRPr="00287973">
        <w:rPr>
          <w:color w:val="000000" w:themeColor="text1"/>
        </w:rPr>
        <w:t xml:space="preserve"> </w:t>
      </w:r>
      <w:r w:rsidR="00592867">
        <w:rPr>
          <w:color w:val="000000" w:themeColor="text1"/>
        </w:rPr>
        <w:t xml:space="preserve">with </w:t>
      </w:r>
      <w:proofErr w:type="spellStart"/>
      <w:r w:rsidR="00592867" w:rsidRPr="007C68E7">
        <w:rPr>
          <w:color w:val="0E0E0E"/>
        </w:rPr>
        <w:t>Interlig</w:t>
      </w:r>
      <w:proofErr w:type="spellEnd"/>
      <w:r w:rsidR="00592867" w:rsidRPr="007C68E7">
        <w:rPr>
          <w:color w:val="0E0E0E"/>
        </w:rPr>
        <w:t xml:space="preserve"> (Angelus, Brazil) </w:t>
      </w:r>
      <w:r w:rsidRPr="00287973">
        <w:rPr>
          <w:color w:val="000000" w:themeColor="text1"/>
        </w:rPr>
        <w:t>Group III</w:t>
      </w:r>
      <w:r w:rsidRPr="00287973">
        <w:rPr>
          <w:b/>
          <w:bCs/>
          <w:color w:val="000000" w:themeColor="text1"/>
        </w:rPr>
        <w:t>:</w:t>
      </w:r>
      <w:r w:rsidRPr="00287973">
        <w:rPr>
          <w:color w:val="000000" w:themeColor="text1"/>
        </w:rPr>
        <w:t xml:space="preserve"> </w:t>
      </w:r>
      <w:proofErr w:type="spellStart"/>
      <w:r w:rsidRPr="00287973">
        <w:rPr>
          <w:color w:val="000000" w:themeColor="text1"/>
        </w:rPr>
        <w:t>Biodentine</w:t>
      </w:r>
      <w:proofErr w:type="spellEnd"/>
      <w:r w:rsidR="00360529" w:rsidRPr="00287973">
        <w:rPr>
          <w:color w:val="000000" w:themeColor="text1"/>
        </w:rPr>
        <w:t>,</w:t>
      </w:r>
      <w:r w:rsidR="00592867">
        <w:rPr>
          <w:color w:val="000000" w:themeColor="text1"/>
        </w:rPr>
        <w:t>(</w:t>
      </w:r>
      <w:r w:rsidR="00592867" w:rsidRPr="00592867">
        <w:t xml:space="preserve"> </w:t>
      </w:r>
      <w:proofErr w:type="spellStart"/>
      <w:r w:rsidR="00592867">
        <w:t>Septodont,France</w:t>
      </w:r>
      <w:proofErr w:type="spellEnd"/>
      <w:r w:rsidR="00592867">
        <w:t>)</w:t>
      </w:r>
      <w:r w:rsidRPr="00287973">
        <w:rPr>
          <w:color w:val="000000" w:themeColor="text1"/>
        </w:rPr>
        <w:t>Group IV</w:t>
      </w:r>
      <w:r w:rsidRPr="00287973">
        <w:rPr>
          <w:b/>
          <w:bCs/>
          <w:color w:val="000000" w:themeColor="text1"/>
        </w:rPr>
        <w:t>:</w:t>
      </w:r>
      <w:r w:rsidRPr="00287973">
        <w:rPr>
          <w:color w:val="000000" w:themeColor="text1"/>
        </w:rPr>
        <w:t xml:space="preserve"> Control (no reinforcement)</w:t>
      </w:r>
    </w:p>
    <w:p w14:paraId="79138AA6" w14:textId="77777777"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color w:val="000000" w:themeColor="text1"/>
          <w:sz w:val="24"/>
        </w:rPr>
        <w:t xml:space="preserve">After placement of the intra-orifice barrier materials according to manufacturer protocols, all </w:t>
      </w:r>
      <w:r w:rsidRPr="00287973">
        <w:rPr>
          <w:rFonts w:ascii="Times New Roman" w:eastAsia="Times New Roman"/>
          <w:color w:val="000000" w:themeColor="text1"/>
          <w:sz w:val="24"/>
        </w:rPr>
        <w:lastRenderedPageBreak/>
        <w:t>specimens were subjected to compressive load testing using a universal testing machine until fracture occurred. Fracture strength was recorded in Newtons (N). Statistical analysis was performed using one-way ANOVA followed by post hoc Tukey’s test (α = 0.05).</w:t>
      </w:r>
    </w:p>
    <w:p w14:paraId="72B3F376" w14:textId="77777777" w:rsidR="00360529" w:rsidRPr="00287973" w:rsidRDefault="00360529" w:rsidP="00287973">
      <w:pPr>
        <w:spacing w:before="240" w:after="240" w:line="360" w:lineRule="auto"/>
        <w:jc w:val="left"/>
        <w:rPr>
          <w:rFonts w:ascii="Times New Roman" w:eastAsia="Times New Roman"/>
          <w:color w:val="000000" w:themeColor="text1"/>
          <w:sz w:val="24"/>
        </w:rPr>
      </w:pPr>
    </w:p>
    <w:p w14:paraId="7DBB0640" w14:textId="77777777"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b/>
          <w:bCs/>
          <w:color w:val="000000" w:themeColor="text1"/>
          <w:sz w:val="24"/>
        </w:rPr>
        <w:t>Results:</w:t>
      </w:r>
    </w:p>
    <w:p w14:paraId="23BE88F2" w14:textId="19A728B9"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color w:val="000000" w:themeColor="text1"/>
          <w:sz w:val="24"/>
        </w:rPr>
        <w:t xml:space="preserve">Group II (Nano Hybrid Composite) showed significantly higher fracture strength compared to the other </w:t>
      </w:r>
      <w:r w:rsidR="009A4E45" w:rsidRPr="00287973">
        <w:rPr>
          <w:rFonts w:ascii="Times New Roman" w:eastAsia="Times New Roman"/>
          <w:color w:val="000000" w:themeColor="text1"/>
          <w:sz w:val="24"/>
        </w:rPr>
        <w:t xml:space="preserve">groups, followed by Group </w:t>
      </w:r>
      <w:proofErr w:type="gramStart"/>
      <w:r w:rsidR="009A4E45" w:rsidRPr="00287973">
        <w:rPr>
          <w:rFonts w:ascii="Times New Roman" w:eastAsia="Times New Roman"/>
          <w:color w:val="000000" w:themeColor="text1"/>
          <w:sz w:val="24"/>
        </w:rPr>
        <w:t>I(</w:t>
      </w:r>
      <w:proofErr w:type="spellStart"/>
      <w:proofErr w:type="gramEnd"/>
      <w:r w:rsidR="009A4E45" w:rsidRPr="00287973">
        <w:rPr>
          <w:rFonts w:ascii="Times New Roman" w:eastAsia="Times New Roman"/>
          <w:color w:val="000000" w:themeColor="text1"/>
          <w:sz w:val="24"/>
        </w:rPr>
        <w:t>Amalgomer</w:t>
      </w:r>
      <w:proofErr w:type="spellEnd"/>
      <w:r w:rsidR="009A4E45" w:rsidRPr="00287973">
        <w:rPr>
          <w:rFonts w:ascii="Times New Roman" w:eastAsia="Times New Roman"/>
          <w:color w:val="000000" w:themeColor="text1"/>
          <w:sz w:val="24"/>
        </w:rPr>
        <w:t xml:space="preserve"> CR) and Group III(</w:t>
      </w:r>
      <w:proofErr w:type="spellStart"/>
      <w:r w:rsidR="009A4E45" w:rsidRPr="00287973">
        <w:rPr>
          <w:rFonts w:ascii="Times New Roman" w:eastAsia="Times New Roman"/>
          <w:color w:val="000000" w:themeColor="text1"/>
          <w:sz w:val="24"/>
        </w:rPr>
        <w:t>Biodentine</w:t>
      </w:r>
      <w:proofErr w:type="spellEnd"/>
      <w:r w:rsidR="009A4E45" w:rsidRPr="00287973">
        <w:rPr>
          <w:rFonts w:ascii="Times New Roman" w:eastAsia="Times New Roman"/>
          <w:color w:val="000000" w:themeColor="text1"/>
          <w:sz w:val="24"/>
        </w:rPr>
        <w:t xml:space="preserve">). </w:t>
      </w:r>
      <w:r w:rsidR="00CA43CB" w:rsidRPr="00287973">
        <w:rPr>
          <w:rFonts w:ascii="Times New Roman" w:eastAsia="Times New Roman"/>
          <w:color w:val="000000" w:themeColor="text1"/>
          <w:sz w:val="24"/>
        </w:rPr>
        <w:t xml:space="preserve">Group IV (control) showed </w:t>
      </w:r>
      <w:r w:rsidR="009A4E45" w:rsidRPr="00287973">
        <w:rPr>
          <w:rFonts w:ascii="Times New Roman" w:eastAsia="Times New Roman"/>
          <w:color w:val="000000" w:themeColor="text1"/>
          <w:sz w:val="24"/>
        </w:rPr>
        <w:t>least</w:t>
      </w:r>
      <w:r w:rsidR="00CA43CB" w:rsidRPr="00287973">
        <w:rPr>
          <w:rFonts w:ascii="Times New Roman" w:eastAsia="Times New Roman"/>
          <w:color w:val="000000" w:themeColor="text1"/>
          <w:sz w:val="24"/>
        </w:rPr>
        <w:t xml:space="preserve"> fracture strength compared to the other groups</w:t>
      </w:r>
      <w:r w:rsidR="009A4E45" w:rsidRPr="00287973">
        <w:rPr>
          <w:rFonts w:ascii="Times New Roman" w:eastAsia="Times New Roman"/>
          <w:color w:val="000000" w:themeColor="text1"/>
          <w:sz w:val="24"/>
        </w:rPr>
        <w:t>. (p &lt; 0.05).</w:t>
      </w:r>
    </w:p>
    <w:p w14:paraId="5F98604A" w14:textId="77777777" w:rsidR="002406D8" w:rsidRPr="00287973" w:rsidRDefault="002406D8" w:rsidP="00287973">
      <w:pPr>
        <w:spacing w:before="240" w:after="240" w:line="360" w:lineRule="auto"/>
        <w:jc w:val="left"/>
        <w:rPr>
          <w:rFonts w:ascii="Times New Roman" w:eastAsia="Times New Roman"/>
          <w:color w:val="000000" w:themeColor="text1"/>
          <w:sz w:val="24"/>
        </w:rPr>
      </w:pPr>
    </w:p>
    <w:p w14:paraId="73B2CF72" w14:textId="77777777"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b/>
          <w:bCs/>
          <w:color w:val="000000" w:themeColor="text1"/>
          <w:sz w:val="24"/>
        </w:rPr>
        <w:t>Conclusion:</w:t>
      </w:r>
    </w:p>
    <w:p w14:paraId="2DCD3D14" w14:textId="3CD20A30"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color w:val="000000" w:themeColor="text1"/>
          <w:sz w:val="24"/>
        </w:rPr>
        <w:t xml:space="preserve">Reinforcing the </w:t>
      </w:r>
      <w:proofErr w:type="spellStart"/>
      <w:r w:rsidR="00B40CCD" w:rsidRPr="00287973">
        <w:rPr>
          <w:rFonts w:ascii="Times New Roman" w:eastAsia="Times New Roman"/>
          <w:color w:val="000000" w:themeColor="text1"/>
          <w:sz w:val="24"/>
        </w:rPr>
        <w:t>pericervical</w:t>
      </w:r>
      <w:proofErr w:type="spellEnd"/>
      <w:r w:rsidRPr="00287973">
        <w:rPr>
          <w:rFonts w:ascii="Times New Roman" w:eastAsia="Times New Roman"/>
          <w:color w:val="000000" w:themeColor="text1"/>
          <w:sz w:val="24"/>
        </w:rPr>
        <w:t xml:space="preserve"> dentin </w:t>
      </w:r>
      <w:r w:rsidR="00B40CCD" w:rsidRPr="00287973">
        <w:rPr>
          <w:rFonts w:ascii="Times New Roman" w:eastAsia="Times New Roman"/>
          <w:color w:val="000000" w:themeColor="text1"/>
          <w:sz w:val="24"/>
        </w:rPr>
        <w:t xml:space="preserve">region using intra-orifice barrier materials may improve fracture resistance and longevity of endodontically treated teeth. </w:t>
      </w:r>
      <w:r w:rsidRPr="00287973">
        <w:rPr>
          <w:rFonts w:ascii="Times New Roman" w:eastAsia="Times New Roman"/>
          <w:color w:val="000000" w:themeColor="text1"/>
          <w:sz w:val="24"/>
        </w:rPr>
        <w:t xml:space="preserve">Nano Hybrid Composite significantly improves the fracture resistance of endodontically treated teeth </w:t>
      </w:r>
      <w:r w:rsidR="00B40CCD" w:rsidRPr="00287973">
        <w:rPr>
          <w:rFonts w:ascii="Times New Roman" w:eastAsia="Times New Roman"/>
          <w:color w:val="000000" w:themeColor="text1"/>
          <w:sz w:val="24"/>
        </w:rPr>
        <w:t xml:space="preserve">among studied groups </w:t>
      </w:r>
      <w:r w:rsidRPr="00287973">
        <w:rPr>
          <w:rFonts w:ascii="Times New Roman" w:eastAsia="Times New Roman"/>
          <w:color w:val="000000" w:themeColor="text1"/>
          <w:sz w:val="24"/>
        </w:rPr>
        <w:t>in vitro. This suggests that the choice of intra-orifice barrier material is critical for improving the structural integrity of treated teeth and may provide better clinical outcomes in restorative endodontics.</w:t>
      </w:r>
    </w:p>
    <w:p w14:paraId="35ACFB10" w14:textId="77777777" w:rsidR="002406D8" w:rsidRPr="00287973" w:rsidRDefault="002406D8" w:rsidP="00287973">
      <w:pPr>
        <w:spacing w:before="240" w:after="240" w:line="360" w:lineRule="auto"/>
        <w:jc w:val="left"/>
        <w:rPr>
          <w:rFonts w:ascii="Times New Roman" w:eastAsia="Times New Roman"/>
          <w:color w:val="000000" w:themeColor="text1"/>
          <w:sz w:val="24"/>
        </w:rPr>
      </w:pPr>
    </w:p>
    <w:p w14:paraId="482863A3" w14:textId="77777777" w:rsidR="002406D8" w:rsidRPr="00287973" w:rsidRDefault="002406D8" w:rsidP="00287973">
      <w:pPr>
        <w:spacing w:before="240" w:after="240" w:line="360" w:lineRule="auto"/>
        <w:jc w:val="left"/>
        <w:rPr>
          <w:rFonts w:ascii="Times New Roman" w:eastAsia="Times New Roman"/>
          <w:color w:val="000000" w:themeColor="text1"/>
          <w:sz w:val="24"/>
        </w:rPr>
      </w:pPr>
      <w:r w:rsidRPr="00287973">
        <w:rPr>
          <w:rFonts w:ascii="Times New Roman" w:eastAsia="Times New Roman"/>
          <w:b/>
          <w:bCs/>
          <w:color w:val="000000" w:themeColor="text1"/>
          <w:sz w:val="24"/>
        </w:rPr>
        <w:t>Keywords:</w:t>
      </w:r>
    </w:p>
    <w:p w14:paraId="5083415A" w14:textId="77777777" w:rsidR="002406D8" w:rsidRPr="00287973" w:rsidRDefault="002406D8" w:rsidP="00287973">
      <w:pPr>
        <w:spacing w:before="240" w:after="240" w:line="360" w:lineRule="auto"/>
        <w:jc w:val="left"/>
        <w:rPr>
          <w:rFonts w:ascii="Times New Roman" w:eastAsia="Times New Roman"/>
          <w:b/>
          <w:bCs/>
          <w:color w:val="2A4B7E"/>
          <w:sz w:val="24"/>
        </w:rPr>
      </w:pPr>
      <w:proofErr w:type="spellStart"/>
      <w:r w:rsidRPr="00287973">
        <w:rPr>
          <w:rFonts w:ascii="Times New Roman" w:eastAsia="Times New Roman"/>
          <w:color w:val="000000" w:themeColor="text1"/>
          <w:sz w:val="24"/>
        </w:rPr>
        <w:t>Pericervical</w:t>
      </w:r>
      <w:proofErr w:type="spellEnd"/>
      <w:r w:rsidRPr="00287973">
        <w:rPr>
          <w:rFonts w:ascii="Times New Roman" w:eastAsia="Times New Roman"/>
          <w:color w:val="000000" w:themeColor="text1"/>
          <w:sz w:val="24"/>
        </w:rPr>
        <w:t xml:space="preserve"> Dentin, Fracture Strength, Intra-Orifice Barrier, Endodontically Treated Tooth, Nano Hybrid Composite, </w:t>
      </w:r>
      <w:proofErr w:type="spellStart"/>
      <w:r w:rsidRPr="00287973">
        <w:rPr>
          <w:rFonts w:ascii="Times New Roman" w:eastAsia="Times New Roman"/>
          <w:color w:val="000000" w:themeColor="text1"/>
          <w:sz w:val="24"/>
        </w:rPr>
        <w:t>Biodentine</w:t>
      </w:r>
      <w:proofErr w:type="spellEnd"/>
      <w:r w:rsidRPr="00287973">
        <w:rPr>
          <w:rFonts w:ascii="Times New Roman" w:eastAsia="Times New Roman"/>
          <w:color w:val="000000" w:themeColor="text1"/>
          <w:sz w:val="24"/>
        </w:rPr>
        <w:t xml:space="preserve">, </w:t>
      </w:r>
      <w:proofErr w:type="spellStart"/>
      <w:r w:rsidRPr="00287973">
        <w:rPr>
          <w:rFonts w:ascii="Times New Roman" w:eastAsia="Times New Roman"/>
          <w:color w:val="000000" w:themeColor="text1"/>
          <w:sz w:val="24"/>
        </w:rPr>
        <w:t>Amalgomer</w:t>
      </w:r>
      <w:proofErr w:type="spellEnd"/>
      <w:r w:rsidRPr="00287973">
        <w:rPr>
          <w:rFonts w:ascii="Times New Roman" w:eastAsia="Times New Roman"/>
          <w:color w:val="000000" w:themeColor="text1"/>
          <w:sz w:val="24"/>
        </w:rPr>
        <w:t xml:space="preserve"> CR</w:t>
      </w:r>
      <w:r w:rsidRPr="00287973">
        <w:rPr>
          <w:rFonts w:ascii="Times New Roman" w:eastAsia="Times New Roman"/>
          <w:b/>
          <w:bCs/>
          <w:color w:val="2A4B7E"/>
          <w:sz w:val="24"/>
        </w:rPr>
        <w:t xml:space="preserve"> </w:t>
      </w:r>
    </w:p>
    <w:p w14:paraId="764A5CAD" w14:textId="77777777" w:rsidR="002406D8" w:rsidRPr="00287973" w:rsidRDefault="002406D8" w:rsidP="00287973">
      <w:pPr>
        <w:spacing w:line="360" w:lineRule="auto"/>
        <w:jc w:val="left"/>
        <w:rPr>
          <w:rFonts w:ascii="Times New Roman"/>
          <w:sz w:val="24"/>
        </w:rPr>
      </w:pPr>
    </w:p>
    <w:p w14:paraId="6D6E74F4" w14:textId="77777777" w:rsidR="00D13BA5" w:rsidRPr="00287973" w:rsidRDefault="00D13BA5" w:rsidP="00287973">
      <w:pPr>
        <w:spacing w:line="360" w:lineRule="auto"/>
        <w:jc w:val="left"/>
        <w:rPr>
          <w:rFonts w:ascii="Times New Roman"/>
          <w:sz w:val="24"/>
        </w:rPr>
      </w:pPr>
    </w:p>
    <w:p w14:paraId="179CDF8E" w14:textId="77777777" w:rsidR="00BE05DC" w:rsidRPr="00287973" w:rsidRDefault="00BE05DC" w:rsidP="00287973">
      <w:pPr>
        <w:spacing w:line="360" w:lineRule="auto"/>
        <w:jc w:val="left"/>
        <w:rPr>
          <w:rFonts w:ascii="Times New Roman"/>
          <w:sz w:val="24"/>
        </w:rPr>
      </w:pPr>
    </w:p>
    <w:p w14:paraId="41265311" w14:textId="77777777" w:rsidR="00BE05DC" w:rsidRPr="00287973" w:rsidRDefault="00BE05DC" w:rsidP="00287973">
      <w:pPr>
        <w:spacing w:line="360" w:lineRule="auto"/>
        <w:jc w:val="left"/>
        <w:rPr>
          <w:rFonts w:ascii="Times New Roman"/>
          <w:sz w:val="24"/>
        </w:rPr>
      </w:pPr>
    </w:p>
    <w:p w14:paraId="16BD746C" w14:textId="77777777" w:rsidR="00BE05DC" w:rsidRPr="00287973" w:rsidRDefault="00BE05DC" w:rsidP="00287973">
      <w:pPr>
        <w:spacing w:line="360" w:lineRule="auto"/>
        <w:jc w:val="left"/>
        <w:rPr>
          <w:rFonts w:ascii="Times New Roman"/>
          <w:sz w:val="24"/>
        </w:rPr>
      </w:pPr>
    </w:p>
    <w:p w14:paraId="0698A322" w14:textId="77777777" w:rsidR="00BE05DC" w:rsidRPr="00287973" w:rsidRDefault="00BE05DC" w:rsidP="00287973">
      <w:pPr>
        <w:spacing w:line="360" w:lineRule="auto"/>
        <w:jc w:val="left"/>
        <w:rPr>
          <w:rFonts w:ascii="Times New Roman"/>
          <w:sz w:val="24"/>
        </w:rPr>
      </w:pPr>
    </w:p>
    <w:p w14:paraId="11198380" w14:textId="77777777" w:rsidR="00BE05DC" w:rsidRPr="00287973" w:rsidRDefault="00BE05DC" w:rsidP="00287973">
      <w:pPr>
        <w:spacing w:line="360" w:lineRule="auto"/>
        <w:jc w:val="left"/>
        <w:rPr>
          <w:rFonts w:ascii="Times New Roman"/>
          <w:sz w:val="24"/>
        </w:rPr>
      </w:pPr>
    </w:p>
    <w:p w14:paraId="56C9C3CE" w14:textId="77777777" w:rsidR="00D13BA5" w:rsidRPr="00287973" w:rsidRDefault="00D13BA5" w:rsidP="00287973">
      <w:pPr>
        <w:spacing w:line="360" w:lineRule="auto"/>
        <w:jc w:val="left"/>
        <w:rPr>
          <w:rFonts w:ascii="Times New Roman"/>
          <w:sz w:val="24"/>
        </w:rPr>
      </w:pPr>
    </w:p>
    <w:p w14:paraId="207DE1F0" w14:textId="77777777" w:rsidR="00AA6593" w:rsidRPr="00287973" w:rsidRDefault="00AA6593" w:rsidP="00287973">
      <w:pPr>
        <w:spacing w:line="360" w:lineRule="auto"/>
        <w:jc w:val="left"/>
        <w:rPr>
          <w:rFonts w:ascii="Times New Roman"/>
          <w:sz w:val="24"/>
        </w:rPr>
      </w:pPr>
    </w:p>
    <w:p w14:paraId="0753074D" w14:textId="77777777" w:rsidR="00AA6593" w:rsidRPr="00287973" w:rsidRDefault="00AA6593" w:rsidP="00287973">
      <w:pPr>
        <w:spacing w:line="360" w:lineRule="auto"/>
        <w:jc w:val="left"/>
        <w:rPr>
          <w:rFonts w:ascii="Times New Roman"/>
          <w:sz w:val="24"/>
        </w:rPr>
      </w:pPr>
    </w:p>
    <w:p w14:paraId="4C9A9374" w14:textId="77777777" w:rsidR="00D13BA5" w:rsidRPr="007C68E7" w:rsidRDefault="00D13BA5" w:rsidP="00287973">
      <w:pPr>
        <w:spacing w:line="360" w:lineRule="auto"/>
        <w:jc w:val="left"/>
        <w:rPr>
          <w:rFonts w:ascii="Times New Roman" w:eastAsia="Times New Roman"/>
          <w:color w:val="3F6CAF"/>
          <w:sz w:val="24"/>
        </w:rPr>
      </w:pPr>
      <w:bookmarkStart w:id="1" w:name="OLE_LINK2"/>
      <w:r w:rsidRPr="007C68E7">
        <w:rPr>
          <w:rFonts w:ascii="Times New Roman" w:eastAsia="Times New Roman"/>
          <w:b/>
          <w:bCs/>
          <w:color w:val="3F6CAF"/>
          <w:sz w:val="24"/>
        </w:rPr>
        <w:t>Introduction</w:t>
      </w:r>
    </w:p>
    <w:p w14:paraId="6117AAC5" w14:textId="2947E3FF" w:rsidR="00D13BA5" w:rsidRPr="007C68E7" w:rsidRDefault="00D65DBE" w:rsidP="00287973">
      <w:pPr>
        <w:spacing w:after="150" w:line="360" w:lineRule="auto"/>
        <w:jc w:val="left"/>
        <w:rPr>
          <w:rFonts w:ascii="Times New Roman" w:eastAsia="Times New Roman"/>
          <w:color w:val="000000" w:themeColor="text1"/>
          <w:sz w:val="24"/>
        </w:rPr>
      </w:pPr>
      <w:bookmarkStart w:id="2" w:name="OLE_LINK3"/>
      <w:r>
        <w:rPr>
          <w:rFonts w:ascii="Times New Roman" w:eastAsia="Times New Roman"/>
          <w:color w:val="000000" w:themeColor="text1"/>
          <w:sz w:val="24"/>
        </w:rPr>
        <w:t>“</w:t>
      </w:r>
      <w:bookmarkStart w:id="3" w:name="_GoBack"/>
      <w:bookmarkEnd w:id="3"/>
      <w:r w:rsidR="00D13BA5" w:rsidRPr="007C68E7">
        <w:rPr>
          <w:rFonts w:ascii="Times New Roman" w:eastAsia="Times New Roman"/>
          <w:color w:val="000000" w:themeColor="text1"/>
          <w:sz w:val="24"/>
        </w:rPr>
        <w:t>Root canal therapy remains the gold standard for managing pulpal and periapical pathologies, aiming to eliminate infection and preserve the natural tooth structure. However, endodontically treated teeth (ETT) are structurally compromised due to a combination of factors such as extensive cavity preparation, loss of tooth structure, dehydration of dentin, and structural weakening from instrumentation procedures</w:t>
      </w:r>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 [1]. </w:t>
      </w:r>
      <w:bookmarkEnd w:id="2"/>
      <w:r>
        <w:rPr>
          <w:rFonts w:ascii="Times New Roman" w:eastAsia="Times New Roman"/>
          <w:color w:val="000000" w:themeColor="text1"/>
          <w:sz w:val="24"/>
        </w:rPr>
        <w:t>“</w:t>
      </w:r>
      <w:r w:rsidR="00D13BA5" w:rsidRPr="007C68E7">
        <w:rPr>
          <w:rFonts w:ascii="Times New Roman" w:eastAsia="Times New Roman"/>
          <w:color w:val="000000" w:themeColor="text1"/>
          <w:sz w:val="24"/>
        </w:rPr>
        <w:t>This makes them particularly prone to fracture, especially vertical root fractures (VRFs), which often originate in the cervical region of the root and propagate apically or coronally depending on applied functional stresses</w:t>
      </w:r>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 [2].</w:t>
      </w:r>
    </w:p>
    <w:p w14:paraId="63FF3B67" w14:textId="4AE6D0DC" w:rsidR="00D13BA5" w:rsidRPr="007C68E7" w:rsidRDefault="00D13BA5" w:rsidP="00287973">
      <w:pPr>
        <w:spacing w:before="240" w:after="240" w:line="360" w:lineRule="auto"/>
        <w:jc w:val="left"/>
        <w:rPr>
          <w:rFonts w:ascii="Times New Roman" w:eastAsia="Times New Roman"/>
          <w:color w:val="000000" w:themeColor="text1"/>
          <w:sz w:val="24"/>
        </w:rPr>
      </w:pPr>
      <w:bookmarkStart w:id="4" w:name="OLE_LINK4"/>
      <w:r w:rsidRPr="007C68E7">
        <w:rPr>
          <w:rFonts w:ascii="Times New Roman" w:eastAsia="Times New Roman"/>
          <w:color w:val="000000" w:themeColor="text1"/>
          <w:sz w:val="24"/>
        </w:rPr>
        <w:t xml:space="preserve">The </w:t>
      </w:r>
      <w:proofErr w:type="spellStart"/>
      <w:r w:rsidRPr="007C68E7">
        <w:rPr>
          <w:rFonts w:ascii="Times New Roman" w:eastAsia="Times New Roman"/>
          <w:color w:val="000000" w:themeColor="text1"/>
          <w:sz w:val="24"/>
        </w:rPr>
        <w:t>pericervical</w:t>
      </w:r>
      <w:proofErr w:type="spellEnd"/>
      <w:r w:rsidRPr="007C68E7">
        <w:rPr>
          <w:rFonts w:ascii="Times New Roman" w:eastAsia="Times New Roman"/>
          <w:color w:val="000000" w:themeColor="text1"/>
          <w:sz w:val="24"/>
        </w:rPr>
        <w:t xml:space="preserve"> dentin (PCD)—defined as the dentin extending approximately 4 mm above and below the crestal bone—plays a pivotal role in maintaining the structural integrity and biomechanical stability of the tooth by efficiently distributing occlusal stresses. Preservation and reinforcement of this critical zone </w:t>
      </w:r>
      <w:r w:rsidR="009A4E45" w:rsidRPr="007C68E7">
        <w:rPr>
          <w:rFonts w:ascii="Times New Roman" w:eastAsia="Times New Roman"/>
          <w:color w:val="000000" w:themeColor="text1"/>
          <w:sz w:val="24"/>
        </w:rPr>
        <w:t>is</w:t>
      </w:r>
      <w:r w:rsidRPr="007C68E7">
        <w:rPr>
          <w:rFonts w:ascii="Times New Roman" w:eastAsia="Times New Roman"/>
          <w:color w:val="000000" w:themeColor="text1"/>
          <w:sz w:val="24"/>
        </w:rPr>
        <w:t xml:space="preserve"> essential, as its excessive removal or inadequate support compromises the long-term survival of ETT. The conservative “soffit” preparation technique was introduced to specifically preserve the PCD without impeding adequate canal cleaning and shaping [3].</w:t>
      </w:r>
    </w:p>
    <w:p w14:paraId="5196D794" w14:textId="522FE666" w:rsidR="00D13BA5" w:rsidRPr="007C68E7" w:rsidRDefault="00D65DBE" w:rsidP="00287973">
      <w:pPr>
        <w:spacing w:before="240" w:after="240" w:line="360" w:lineRule="auto"/>
        <w:jc w:val="left"/>
        <w:rPr>
          <w:rFonts w:ascii="Times New Roman" w:eastAsia="Times New Roman"/>
          <w:color w:val="000000" w:themeColor="text1"/>
          <w:sz w:val="24"/>
        </w:rPr>
      </w:pPr>
      <w:bookmarkStart w:id="5" w:name="OLE_LINK5"/>
      <w:bookmarkEnd w:id="4"/>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Beyond structural preservation, the use of </w:t>
      </w:r>
      <w:proofErr w:type="spellStart"/>
      <w:r w:rsidR="00D13BA5" w:rsidRPr="007C68E7">
        <w:rPr>
          <w:rFonts w:ascii="Times New Roman" w:eastAsia="Times New Roman"/>
          <w:color w:val="000000" w:themeColor="text1"/>
          <w:sz w:val="24"/>
        </w:rPr>
        <w:t>intraorifice</w:t>
      </w:r>
      <w:proofErr w:type="spellEnd"/>
      <w:r w:rsidR="00D13BA5" w:rsidRPr="007C68E7">
        <w:rPr>
          <w:rFonts w:ascii="Times New Roman" w:eastAsia="Times New Roman"/>
          <w:color w:val="000000" w:themeColor="text1"/>
          <w:sz w:val="24"/>
        </w:rPr>
        <w:t xml:space="preserve"> barriers has been proposed to both reduce coronal microleakage and reinforce the </w:t>
      </w:r>
      <w:proofErr w:type="spellStart"/>
      <w:r w:rsidR="00D13BA5" w:rsidRPr="007C68E7">
        <w:rPr>
          <w:rFonts w:ascii="Times New Roman" w:eastAsia="Times New Roman"/>
          <w:color w:val="000000" w:themeColor="text1"/>
          <w:sz w:val="24"/>
        </w:rPr>
        <w:t>pericervical</w:t>
      </w:r>
      <w:proofErr w:type="spellEnd"/>
      <w:r w:rsidR="00D13BA5" w:rsidRPr="007C68E7">
        <w:rPr>
          <w:rFonts w:ascii="Times New Roman" w:eastAsia="Times New Roman"/>
          <w:color w:val="000000" w:themeColor="text1"/>
          <w:sz w:val="24"/>
        </w:rPr>
        <w:t xml:space="preserve"> region. </w:t>
      </w:r>
      <w:proofErr w:type="spellStart"/>
      <w:r w:rsidR="00D13BA5" w:rsidRPr="007C68E7">
        <w:rPr>
          <w:rFonts w:ascii="Times New Roman" w:eastAsia="Times New Roman"/>
          <w:color w:val="000000" w:themeColor="text1"/>
          <w:sz w:val="24"/>
        </w:rPr>
        <w:t>Roghanizad</w:t>
      </w:r>
      <w:proofErr w:type="spellEnd"/>
      <w:r w:rsidR="00D13BA5" w:rsidRPr="007C68E7">
        <w:rPr>
          <w:rFonts w:ascii="Times New Roman" w:eastAsia="Times New Roman"/>
          <w:color w:val="000000" w:themeColor="text1"/>
          <w:sz w:val="24"/>
        </w:rPr>
        <w:t xml:space="preserve"> and Jones first advocated for the replacement of the coronal 3 mm of gutta-percha with a restorative material, improving both fracture resistance and seal integrity</w:t>
      </w:r>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 [4]. </w:t>
      </w:r>
      <w:bookmarkEnd w:id="5"/>
      <w:r>
        <w:rPr>
          <w:rFonts w:ascii="Times New Roman" w:eastAsia="Times New Roman"/>
          <w:color w:val="000000" w:themeColor="text1"/>
          <w:sz w:val="24"/>
        </w:rPr>
        <w:t>“</w:t>
      </w:r>
      <w:r w:rsidR="00D13BA5" w:rsidRPr="007C68E7">
        <w:rPr>
          <w:rFonts w:ascii="Times New Roman" w:eastAsia="Times New Roman"/>
          <w:color w:val="000000" w:themeColor="text1"/>
          <w:sz w:val="24"/>
        </w:rPr>
        <w:t>Subsequent research demonstrated that adhesive restorative materials placed in the orifice serve not only as a microbial seal but also as reinforcement against fracture</w:t>
      </w:r>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 [5].</w:t>
      </w:r>
    </w:p>
    <w:p w14:paraId="22D91798" w14:textId="25D8EC7F" w:rsidR="00D13BA5" w:rsidRPr="007C68E7" w:rsidRDefault="00D65DBE" w:rsidP="00287973">
      <w:pPr>
        <w:spacing w:before="240" w:after="240" w:line="360" w:lineRule="auto"/>
        <w:jc w:val="left"/>
        <w:rPr>
          <w:rFonts w:ascii="Times New Roman" w:eastAsia="Times New Roman"/>
          <w:color w:val="000000" w:themeColor="text1"/>
          <w:sz w:val="24"/>
        </w:rPr>
      </w:pPr>
      <w:bookmarkStart w:id="6" w:name="OLE_LINK8"/>
      <w:bookmarkStart w:id="7" w:name="OLE_LINK7"/>
      <w:bookmarkStart w:id="8" w:name="OLE_LINK6"/>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Various restorative materials have been explored as </w:t>
      </w:r>
      <w:proofErr w:type="spellStart"/>
      <w:r w:rsidR="00D13BA5" w:rsidRPr="007C68E7">
        <w:rPr>
          <w:rFonts w:ascii="Times New Roman" w:eastAsia="Times New Roman"/>
          <w:color w:val="000000" w:themeColor="text1"/>
          <w:sz w:val="24"/>
        </w:rPr>
        <w:t>intraorifice</w:t>
      </w:r>
      <w:proofErr w:type="spellEnd"/>
      <w:r w:rsidR="00D13BA5" w:rsidRPr="007C68E7">
        <w:rPr>
          <w:rFonts w:ascii="Times New Roman" w:eastAsia="Times New Roman"/>
          <w:color w:val="000000" w:themeColor="text1"/>
          <w:sz w:val="24"/>
        </w:rPr>
        <w:t xml:space="preserve"> barriers, focusing on biomimetic principles that replicate natural dentin biomechanics while enhancing fracture resistance. </w:t>
      </w:r>
      <w:bookmarkEnd w:id="6"/>
      <w:r w:rsidR="00D13BA5" w:rsidRPr="007C68E7">
        <w:rPr>
          <w:rFonts w:ascii="Times New Roman" w:eastAsia="Times New Roman"/>
          <w:color w:val="000000" w:themeColor="text1"/>
          <w:sz w:val="24"/>
        </w:rPr>
        <w:t xml:space="preserve">Conventional full-coverage crowns, while providing </w:t>
      </w:r>
      <w:proofErr w:type="spellStart"/>
      <w:r w:rsidR="00D13BA5" w:rsidRPr="007C68E7">
        <w:rPr>
          <w:rFonts w:ascii="Times New Roman" w:eastAsia="Times New Roman"/>
          <w:color w:val="000000" w:themeColor="text1"/>
          <w:sz w:val="24"/>
        </w:rPr>
        <w:t>macromechanical</w:t>
      </w:r>
      <w:proofErr w:type="spellEnd"/>
      <w:r w:rsidR="00D13BA5" w:rsidRPr="007C68E7">
        <w:rPr>
          <w:rFonts w:ascii="Times New Roman" w:eastAsia="Times New Roman"/>
          <w:color w:val="000000" w:themeColor="text1"/>
          <w:sz w:val="24"/>
        </w:rPr>
        <w:t xml:space="preserve"> protection, often necessitate removal of sound tooth structure, paradoxically increasing susceptibility to fracture</w:t>
      </w:r>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 </w:t>
      </w:r>
      <w:bookmarkEnd w:id="7"/>
      <w:r w:rsidR="00D13BA5" w:rsidRPr="007C68E7">
        <w:rPr>
          <w:rFonts w:ascii="Times New Roman" w:eastAsia="Times New Roman"/>
          <w:color w:val="000000" w:themeColor="text1"/>
          <w:sz w:val="24"/>
        </w:rPr>
        <w:t xml:space="preserve">[6]. </w:t>
      </w:r>
      <w:bookmarkEnd w:id="8"/>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This has shifted the focus toward minimally invasive adhesive materials. Restorative materials such as glass-ionomer cements, composite resins, and calcium silicate-based cements have been evaluated for their role as </w:t>
      </w:r>
      <w:proofErr w:type="spellStart"/>
      <w:r w:rsidR="00D13BA5" w:rsidRPr="007C68E7">
        <w:rPr>
          <w:rFonts w:ascii="Times New Roman" w:eastAsia="Times New Roman"/>
          <w:color w:val="000000" w:themeColor="text1"/>
          <w:sz w:val="24"/>
        </w:rPr>
        <w:t>intraorifice</w:t>
      </w:r>
      <w:proofErr w:type="spellEnd"/>
      <w:r w:rsidR="00D13BA5" w:rsidRPr="007C68E7">
        <w:rPr>
          <w:rFonts w:ascii="Times New Roman" w:eastAsia="Times New Roman"/>
          <w:color w:val="000000" w:themeColor="text1"/>
          <w:sz w:val="24"/>
        </w:rPr>
        <w:t xml:space="preserve"> barriers, owing to their ability to bond with tooth structure and provide resistance to fracture-producing forces</w:t>
      </w:r>
      <w:r>
        <w:rPr>
          <w:rFonts w:ascii="Times New Roman" w:eastAsia="Times New Roman"/>
          <w:color w:val="000000" w:themeColor="text1"/>
          <w:sz w:val="24"/>
        </w:rPr>
        <w:t>”</w:t>
      </w:r>
      <w:r w:rsidR="00D13BA5" w:rsidRPr="007C68E7">
        <w:rPr>
          <w:rFonts w:ascii="Times New Roman" w:eastAsia="Times New Roman"/>
          <w:color w:val="000000" w:themeColor="text1"/>
          <w:sz w:val="24"/>
        </w:rPr>
        <w:t xml:space="preserve"> [7].</w:t>
      </w:r>
    </w:p>
    <w:p w14:paraId="43329DD0" w14:textId="41195C88" w:rsidR="00C406DC" w:rsidRPr="007C68E7" w:rsidRDefault="00D13BA5" w:rsidP="00287973">
      <w:pPr>
        <w:pStyle w:val="p1"/>
        <w:spacing w:line="360" w:lineRule="auto"/>
      </w:pPr>
      <w:r w:rsidRPr="007C68E7">
        <w:rPr>
          <w:color w:val="000000" w:themeColor="text1"/>
        </w:rPr>
        <w:lastRenderedPageBreak/>
        <w:t xml:space="preserve">Among the advanced materials proposed for reinforcing PCD, </w:t>
      </w:r>
      <w:proofErr w:type="spellStart"/>
      <w:r w:rsidRPr="007C68E7">
        <w:rPr>
          <w:color w:val="000000" w:themeColor="text1"/>
        </w:rPr>
        <w:t>Amalgomer</w:t>
      </w:r>
      <w:proofErr w:type="spellEnd"/>
      <w:r w:rsidRPr="007C68E7">
        <w:rPr>
          <w:color w:val="000000" w:themeColor="text1"/>
        </w:rPr>
        <w:t xml:space="preserve"> CR</w:t>
      </w:r>
      <w:r w:rsidR="00592867" w:rsidRPr="00592867">
        <w:t xml:space="preserve"> </w:t>
      </w:r>
      <w:r w:rsidR="00592867">
        <w:t>(Advanced Healthcare Ltd (AHL),UK)</w:t>
      </w:r>
      <w:r w:rsidRPr="007C68E7">
        <w:rPr>
          <w:color w:val="000000" w:themeColor="text1"/>
        </w:rPr>
        <w:t xml:space="preserve">—a ceramic-reinforced glass ionomer—offers improved mechanical properties and chemical adhesion to dentin [8]. </w:t>
      </w:r>
      <w:proofErr w:type="spellStart"/>
      <w:r w:rsidR="00C406DC" w:rsidRPr="007C68E7">
        <w:rPr>
          <w:i/>
          <w:iCs/>
        </w:rPr>
        <w:t>Beautifil</w:t>
      </w:r>
      <w:proofErr w:type="spellEnd"/>
      <w:r w:rsidR="00C406DC" w:rsidRPr="007C68E7">
        <w:rPr>
          <w:i/>
          <w:iCs/>
        </w:rPr>
        <w:t xml:space="preserve"> II</w:t>
      </w:r>
      <w:r w:rsidR="00C406DC" w:rsidRPr="007C68E7">
        <w:t xml:space="preserve">, ( </w:t>
      </w:r>
      <w:proofErr w:type="spellStart"/>
      <w:r w:rsidR="00C406DC" w:rsidRPr="007C68E7">
        <w:t>Shofu</w:t>
      </w:r>
      <w:proofErr w:type="spellEnd"/>
      <w:r w:rsidR="00C406DC" w:rsidRPr="007C68E7">
        <w:t xml:space="preserve">, Japan) </w:t>
      </w:r>
      <w:r w:rsidRPr="007C68E7">
        <w:rPr>
          <w:color w:val="000000" w:themeColor="text1"/>
        </w:rPr>
        <w:t>Nano Hybrid Composite with</w:t>
      </w:r>
      <w:r w:rsidR="00C406DC" w:rsidRPr="007C68E7">
        <w:rPr>
          <w:rStyle w:val="Heading2Char"/>
          <w:rFonts w:ascii="Times New Roman" w:hAnsi="Times New Roman" w:cs="Times New Roman"/>
          <w:b/>
          <w:bCs/>
          <w:sz w:val="24"/>
          <w:szCs w:val="24"/>
        </w:rPr>
        <w:t xml:space="preserve"> </w:t>
      </w:r>
      <w:proofErr w:type="spellStart"/>
      <w:r w:rsidR="00C406DC" w:rsidRPr="007C68E7">
        <w:rPr>
          <w:rStyle w:val="s1"/>
          <w:rFonts w:eastAsiaTheme="majorEastAsia"/>
        </w:rPr>
        <w:t>Giomer</w:t>
      </w:r>
      <w:proofErr w:type="spellEnd"/>
      <w:r w:rsidR="00C406DC" w:rsidRPr="007C68E7">
        <w:rPr>
          <w:rStyle w:val="s1"/>
          <w:rFonts w:eastAsiaTheme="majorEastAsia"/>
        </w:rPr>
        <w:t xml:space="preserve"> technology</w:t>
      </w:r>
      <w:r w:rsidR="00C406DC" w:rsidRPr="007C68E7">
        <w:t>, which combines the advantages of glass ionomer and resin composites</w:t>
      </w:r>
      <w:r w:rsidR="007C68E7" w:rsidRPr="007C68E7">
        <w:rPr>
          <w:color w:val="000000" w:themeColor="text1"/>
        </w:rPr>
        <w:t>[</w:t>
      </w:r>
      <w:r w:rsidR="007C68E7">
        <w:rPr>
          <w:color w:val="000000" w:themeColor="text1"/>
        </w:rPr>
        <w:t>9</w:t>
      </w:r>
      <w:r w:rsidR="007C68E7" w:rsidRPr="007C68E7">
        <w:rPr>
          <w:color w:val="000000" w:themeColor="text1"/>
        </w:rPr>
        <w:t>].</w:t>
      </w:r>
    </w:p>
    <w:p w14:paraId="7D6AD8FD" w14:textId="087B3BFD" w:rsidR="00D13BA5" w:rsidRPr="007C68E7" w:rsidRDefault="00D13BA5" w:rsidP="00287973">
      <w:pPr>
        <w:widowControl/>
        <w:wordWrap/>
        <w:autoSpaceDE/>
        <w:autoSpaceDN/>
        <w:spacing w:line="360" w:lineRule="auto"/>
        <w:jc w:val="left"/>
        <w:rPr>
          <w:rFonts w:ascii="Times New Roman" w:eastAsia="Times New Roman"/>
          <w:color w:val="0E0E0E"/>
          <w:kern w:val="0"/>
          <w:sz w:val="24"/>
          <w:lang w:val="en-IN" w:eastAsia="en-GB"/>
        </w:rPr>
      </w:pPr>
      <w:r w:rsidRPr="007C68E7">
        <w:rPr>
          <w:rFonts w:ascii="Times New Roman"/>
          <w:color w:val="000000" w:themeColor="text1"/>
          <w:sz w:val="24"/>
        </w:rPr>
        <w:t xml:space="preserve"> </w:t>
      </w:r>
      <w:r w:rsidR="00AA174C" w:rsidRPr="007C68E7">
        <w:rPr>
          <w:rFonts w:ascii="Times New Roman" w:eastAsia="Times New Roman"/>
          <w:color w:val="0E0E0E"/>
          <w:kern w:val="0"/>
          <w:sz w:val="24"/>
          <w:lang w:val="en-IN" w:eastAsia="en-GB"/>
        </w:rPr>
        <w:t>“</w:t>
      </w:r>
      <w:proofErr w:type="spellStart"/>
      <w:r w:rsidR="00AA174C" w:rsidRPr="007C68E7">
        <w:rPr>
          <w:rFonts w:ascii="Times New Roman" w:eastAsia="Times New Roman"/>
          <w:color w:val="0E0E0E"/>
          <w:kern w:val="0"/>
          <w:sz w:val="24"/>
          <w:lang w:val="en-IN" w:eastAsia="en-GB"/>
        </w:rPr>
        <w:t>Interlig</w:t>
      </w:r>
      <w:proofErr w:type="spellEnd"/>
      <w:r w:rsidR="00AA174C" w:rsidRPr="007C68E7">
        <w:rPr>
          <w:rFonts w:ascii="Times New Roman" w:eastAsia="Times New Roman"/>
          <w:color w:val="0E0E0E"/>
          <w:kern w:val="0"/>
          <w:sz w:val="24"/>
          <w:lang w:val="en-IN" w:eastAsia="en-GB"/>
        </w:rPr>
        <w:t xml:space="preserve"> (Angelus, Brazil) is a pre-impregnated woven </w:t>
      </w:r>
      <w:proofErr w:type="spellStart"/>
      <w:r w:rsidR="00AA174C" w:rsidRPr="007C68E7">
        <w:rPr>
          <w:rFonts w:ascii="Times New Roman" w:eastAsia="Times New Roman"/>
          <w:color w:val="0E0E0E"/>
          <w:kern w:val="0"/>
          <w:sz w:val="24"/>
          <w:lang w:val="en-IN" w:eastAsia="en-GB"/>
        </w:rPr>
        <w:t>fiber</w:t>
      </w:r>
      <w:proofErr w:type="spellEnd"/>
      <w:r w:rsidR="00AA174C" w:rsidRPr="007C68E7">
        <w:rPr>
          <w:rFonts w:ascii="Times New Roman" w:eastAsia="Times New Roman"/>
          <w:color w:val="0E0E0E"/>
          <w:kern w:val="0"/>
          <w:sz w:val="24"/>
          <w:lang w:val="en-IN" w:eastAsia="en-GB"/>
        </w:rPr>
        <w:t xml:space="preserve"> strip composed of ultra-high molecular weight polyethylene (UHMWPE) </w:t>
      </w:r>
      <w:proofErr w:type="spellStart"/>
      <w:r w:rsidR="00AA174C" w:rsidRPr="007C68E7">
        <w:rPr>
          <w:rFonts w:ascii="Times New Roman" w:eastAsia="Times New Roman"/>
          <w:color w:val="0E0E0E"/>
          <w:kern w:val="0"/>
          <w:sz w:val="24"/>
          <w:lang w:val="en-IN" w:eastAsia="en-GB"/>
        </w:rPr>
        <w:t>fibers</w:t>
      </w:r>
      <w:proofErr w:type="spellEnd"/>
      <w:r w:rsidR="00AA174C" w:rsidRPr="007C68E7">
        <w:rPr>
          <w:rFonts w:ascii="Times New Roman" w:eastAsia="Times New Roman"/>
          <w:color w:val="0E0E0E"/>
          <w:kern w:val="0"/>
          <w:sz w:val="24"/>
          <w:lang w:val="en-IN" w:eastAsia="en-GB"/>
        </w:rPr>
        <w:t xml:space="preserve"> in a braided form, which can be bonded with composite resin to reinforce tooth structure. Such reinforcement has been shown to enhance flexural strength and provide resistance to crack propagation [10]. </w:t>
      </w:r>
      <w:proofErr w:type="spellStart"/>
      <w:r w:rsidR="00AA174C" w:rsidRPr="007C68E7">
        <w:rPr>
          <w:rFonts w:ascii="Times New Roman" w:eastAsia="Times New Roman"/>
          <w:color w:val="0E0E0E"/>
          <w:kern w:val="0"/>
          <w:sz w:val="24"/>
          <w:lang w:val="en-IN" w:eastAsia="en-GB"/>
        </w:rPr>
        <w:t>Biodentine</w:t>
      </w:r>
      <w:proofErr w:type="spellEnd"/>
      <w:r w:rsidR="00AA174C" w:rsidRPr="007C68E7">
        <w:rPr>
          <w:rFonts w:ascii="Times New Roman" w:eastAsia="Times New Roman"/>
          <w:color w:val="0E0E0E"/>
          <w:kern w:val="0"/>
          <w:sz w:val="24"/>
          <w:lang w:val="en-IN" w:eastAsia="en-GB"/>
        </w:rPr>
        <w:t xml:space="preserve"> (</w:t>
      </w:r>
      <w:proofErr w:type="spellStart"/>
      <w:r w:rsidR="00AA174C" w:rsidRPr="007C68E7">
        <w:rPr>
          <w:rFonts w:ascii="Times New Roman" w:eastAsia="Times New Roman"/>
          <w:color w:val="0E0E0E"/>
          <w:kern w:val="0"/>
          <w:sz w:val="24"/>
          <w:lang w:val="en-IN" w:eastAsia="en-GB"/>
        </w:rPr>
        <w:t>Septodont</w:t>
      </w:r>
      <w:proofErr w:type="spellEnd"/>
      <w:r w:rsidR="00AA174C" w:rsidRPr="007C68E7">
        <w:rPr>
          <w:rFonts w:ascii="Times New Roman" w:eastAsia="Times New Roman"/>
          <w:color w:val="0E0E0E"/>
          <w:kern w:val="0"/>
          <w:sz w:val="24"/>
          <w:lang w:val="en-IN" w:eastAsia="en-GB"/>
        </w:rPr>
        <w:t>, France), a calcium silicate-based bioactive material, exhibits dentin-like mechanical properties and offers excellent sealing ability, promoting biological repair and reinforcement of the tooth structure [11].”</w:t>
      </w:r>
    </w:p>
    <w:p w14:paraId="071359A6" w14:textId="77777777" w:rsidR="00D13BA5" w:rsidRPr="007C68E7" w:rsidRDefault="00D13BA5" w:rsidP="00287973">
      <w:pPr>
        <w:spacing w:before="240" w:after="240"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 xml:space="preserve">Despite these advancements, there remains a paucity of consistent evidence comparing the efficacy of these materials in reinforcing the </w:t>
      </w:r>
      <w:proofErr w:type="spellStart"/>
      <w:r w:rsidRPr="007C68E7">
        <w:rPr>
          <w:rFonts w:ascii="Times New Roman" w:eastAsia="Times New Roman"/>
          <w:color w:val="000000" w:themeColor="text1"/>
          <w:sz w:val="24"/>
        </w:rPr>
        <w:t>pericervical</w:t>
      </w:r>
      <w:proofErr w:type="spellEnd"/>
      <w:r w:rsidRPr="007C68E7">
        <w:rPr>
          <w:rFonts w:ascii="Times New Roman" w:eastAsia="Times New Roman"/>
          <w:color w:val="000000" w:themeColor="text1"/>
          <w:sz w:val="24"/>
        </w:rPr>
        <w:t xml:space="preserve"> dentin and improving the fracture resistance of ETT. Therefore, this in vitro study was designed to evaluate and compare the effect of </w:t>
      </w:r>
      <w:proofErr w:type="spellStart"/>
      <w:r w:rsidRPr="007C68E7">
        <w:rPr>
          <w:rFonts w:ascii="Times New Roman" w:eastAsia="Times New Roman"/>
          <w:color w:val="000000" w:themeColor="text1"/>
          <w:sz w:val="24"/>
        </w:rPr>
        <w:t>Amalgomer</w:t>
      </w:r>
      <w:proofErr w:type="spellEnd"/>
      <w:r w:rsidRPr="007C68E7">
        <w:rPr>
          <w:rFonts w:ascii="Times New Roman" w:eastAsia="Times New Roman"/>
          <w:color w:val="000000" w:themeColor="text1"/>
          <w:sz w:val="24"/>
        </w:rPr>
        <w:t xml:space="preserve"> CR, Nano Hybrid Composite with fiber, and </w:t>
      </w:r>
      <w:proofErr w:type="spellStart"/>
      <w:r w:rsidRPr="007C68E7">
        <w:rPr>
          <w:rFonts w:ascii="Times New Roman" w:eastAsia="Times New Roman"/>
          <w:color w:val="000000" w:themeColor="text1"/>
          <w:sz w:val="24"/>
        </w:rPr>
        <w:t>Biodentine</w:t>
      </w:r>
      <w:proofErr w:type="spellEnd"/>
      <w:r w:rsidRPr="007C68E7">
        <w:rPr>
          <w:rFonts w:ascii="Times New Roman" w:eastAsia="Times New Roman"/>
          <w:color w:val="000000" w:themeColor="text1"/>
          <w:sz w:val="24"/>
        </w:rPr>
        <w:t xml:space="preserve"> as </w:t>
      </w:r>
      <w:proofErr w:type="spellStart"/>
      <w:r w:rsidRPr="007C68E7">
        <w:rPr>
          <w:rFonts w:ascii="Times New Roman" w:eastAsia="Times New Roman"/>
          <w:color w:val="000000" w:themeColor="text1"/>
          <w:sz w:val="24"/>
        </w:rPr>
        <w:t>intraorifice</w:t>
      </w:r>
      <w:proofErr w:type="spellEnd"/>
      <w:r w:rsidRPr="007C68E7">
        <w:rPr>
          <w:rFonts w:ascii="Times New Roman" w:eastAsia="Times New Roman"/>
          <w:color w:val="000000" w:themeColor="text1"/>
          <w:sz w:val="24"/>
        </w:rPr>
        <w:t xml:space="preserve"> barriers on the fracture strength of endodontically treated teeth.</w:t>
      </w:r>
    </w:p>
    <w:p w14:paraId="0C62F2D3" w14:textId="6E05BC22" w:rsidR="00D13BA5" w:rsidRPr="007C68E7" w:rsidRDefault="00D13BA5" w:rsidP="00287973">
      <w:pPr>
        <w:spacing w:before="240" w:after="240"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The null hypothesis of the study was that there is no significant difference in fracture resistance between teeth filled with gutta-percha</w:t>
      </w:r>
      <w:r w:rsidR="006C1DCA" w:rsidRPr="007C68E7">
        <w:rPr>
          <w:rFonts w:ascii="Times New Roman" w:eastAsia="Times New Roman"/>
          <w:color w:val="000000" w:themeColor="text1"/>
          <w:sz w:val="24"/>
        </w:rPr>
        <w:t xml:space="preserve"> and sealer</w:t>
      </w:r>
      <w:r w:rsidRPr="007C68E7">
        <w:rPr>
          <w:rFonts w:ascii="Times New Roman" w:eastAsia="Times New Roman"/>
          <w:color w:val="000000" w:themeColor="text1"/>
          <w:sz w:val="24"/>
        </w:rPr>
        <w:t xml:space="preserve"> alone </w:t>
      </w:r>
      <w:r w:rsidR="00B14497" w:rsidRPr="007C68E7">
        <w:rPr>
          <w:rFonts w:ascii="Times New Roman" w:eastAsia="Times New Roman"/>
          <w:color w:val="000000" w:themeColor="text1"/>
          <w:sz w:val="24"/>
        </w:rPr>
        <w:t xml:space="preserve">(Control group) </w:t>
      </w:r>
      <w:r w:rsidRPr="007C68E7">
        <w:rPr>
          <w:rFonts w:ascii="Times New Roman" w:eastAsia="Times New Roman"/>
          <w:color w:val="000000" w:themeColor="text1"/>
          <w:sz w:val="24"/>
        </w:rPr>
        <w:t xml:space="preserve">and those reinforced with </w:t>
      </w:r>
      <w:proofErr w:type="spellStart"/>
      <w:r w:rsidRPr="007C68E7">
        <w:rPr>
          <w:rFonts w:ascii="Times New Roman" w:eastAsia="Times New Roman"/>
          <w:color w:val="000000" w:themeColor="text1"/>
          <w:sz w:val="24"/>
        </w:rPr>
        <w:t>intraorifice</w:t>
      </w:r>
      <w:proofErr w:type="spellEnd"/>
      <w:r w:rsidRPr="007C68E7">
        <w:rPr>
          <w:rFonts w:ascii="Times New Roman" w:eastAsia="Times New Roman"/>
          <w:color w:val="000000" w:themeColor="text1"/>
          <w:sz w:val="24"/>
        </w:rPr>
        <w:t xml:space="preserve"> barrier materials. The alternate hypothesis proposed that reinforcement of PCD using these materials significantly increases the fracture resistance of endodontically treated teeth.</w:t>
      </w:r>
    </w:p>
    <w:bookmarkEnd w:id="1"/>
    <w:p w14:paraId="4B0A4100" w14:textId="77777777" w:rsidR="00D13BA5" w:rsidRPr="007C68E7" w:rsidRDefault="00D13BA5" w:rsidP="00287973">
      <w:pPr>
        <w:spacing w:after="150" w:line="360" w:lineRule="auto"/>
        <w:jc w:val="left"/>
        <w:rPr>
          <w:rFonts w:ascii="Times New Roman" w:eastAsia="Times New Roman"/>
          <w:color w:val="000000" w:themeColor="text1"/>
          <w:sz w:val="24"/>
        </w:rPr>
      </w:pPr>
    </w:p>
    <w:p w14:paraId="636C6741" w14:textId="77777777" w:rsidR="00D13BA5" w:rsidRPr="007C68E7" w:rsidRDefault="00D13BA5" w:rsidP="00287973">
      <w:pPr>
        <w:spacing w:line="360" w:lineRule="auto"/>
        <w:jc w:val="left"/>
        <w:rPr>
          <w:rFonts w:ascii="Times New Roman" w:eastAsia="Times New Roman"/>
          <w:color w:val="3F6CAF"/>
          <w:sz w:val="24"/>
        </w:rPr>
      </w:pPr>
      <w:r w:rsidRPr="007C68E7">
        <w:rPr>
          <w:rFonts w:ascii="Times New Roman" w:eastAsia="Times New Roman"/>
          <w:color w:val="000000" w:themeColor="text1"/>
          <w:sz w:val="24"/>
        </w:rPr>
        <w:t xml:space="preserve"> </w:t>
      </w:r>
      <w:r w:rsidRPr="007C68E7">
        <w:rPr>
          <w:rFonts w:ascii="Times New Roman" w:eastAsia="Times New Roman"/>
          <w:b/>
          <w:bCs/>
          <w:color w:val="3F6CAF"/>
          <w:sz w:val="24"/>
        </w:rPr>
        <w:t>Materials and methodology</w:t>
      </w:r>
    </w:p>
    <w:p w14:paraId="50C202AD" w14:textId="77777777" w:rsidR="00D13BA5" w:rsidRPr="007C68E7" w:rsidRDefault="00D13BA5" w:rsidP="00287973">
      <w:pPr>
        <w:spacing w:after="150" w:line="360" w:lineRule="auto"/>
        <w:jc w:val="left"/>
        <w:rPr>
          <w:rFonts w:ascii="Times New Roman" w:eastAsia="Times New Roman"/>
          <w:color w:val="000000" w:themeColor="text1"/>
          <w:sz w:val="24"/>
        </w:rPr>
      </w:pPr>
    </w:p>
    <w:p w14:paraId="7B62D879" w14:textId="77777777" w:rsidR="00D13BA5" w:rsidRPr="007C68E7" w:rsidRDefault="00D13BA5" w:rsidP="00287973">
      <w:pPr>
        <w:spacing w:after="150" w:line="360" w:lineRule="auto"/>
        <w:jc w:val="left"/>
        <w:rPr>
          <w:rFonts w:ascii="Times New Roman" w:eastAsia="Times New Roman"/>
          <w:color w:val="000000" w:themeColor="text1"/>
          <w:sz w:val="24"/>
        </w:rPr>
      </w:pPr>
    </w:p>
    <w:p w14:paraId="1A178183" w14:textId="77777777" w:rsidR="00D13BA5" w:rsidRPr="007C68E7" w:rsidRDefault="00D13BA5" w:rsidP="00287973">
      <w:pPr>
        <w:spacing w:after="150" w:line="360" w:lineRule="auto"/>
        <w:jc w:val="left"/>
        <w:rPr>
          <w:rFonts w:ascii="Times New Roman" w:eastAsia="Times New Roman"/>
          <w:color w:val="3F6CAF"/>
          <w:sz w:val="24"/>
        </w:rPr>
      </w:pPr>
      <w:r w:rsidRPr="007C68E7">
        <w:rPr>
          <w:rFonts w:ascii="Times New Roman" w:eastAsia="Times New Roman"/>
          <w:b/>
          <w:bCs/>
          <w:color w:val="3F6CAF"/>
          <w:sz w:val="24"/>
        </w:rPr>
        <w:t>Inclusion Criteria</w:t>
      </w:r>
    </w:p>
    <w:p w14:paraId="12D0331E" w14:textId="62A9712B" w:rsidR="00D13BA5" w:rsidRPr="007C68E7" w:rsidRDefault="00D13BA5" w:rsidP="00287973">
      <w:pPr>
        <w:spacing w:after="150"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Human single‑rooted mandibular premolars that were intact, non-carious, and extracted for orthodontic reasons were selected for the study. All teeth included had less than 10° curvature and were of approximately similar dimensions to maintain standardization.</w:t>
      </w:r>
    </w:p>
    <w:p w14:paraId="5845C609" w14:textId="77777777" w:rsidR="00D13BA5" w:rsidRPr="007C68E7" w:rsidRDefault="00D13BA5" w:rsidP="00287973">
      <w:pPr>
        <w:spacing w:line="360" w:lineRule="auto"/>
        <w:jc w:val="left"/>
        <w:rPr>
          <w:rFonts w:ascii="Times New Roman" w:eastAsia="Times New Roman"/>
          <w:color w:val="3F6CAF"/>
          <w:sz w:val="24"/>
        </w:rPr>
      </w:pPr>
      <w:r w:rsidRPr="007C68E7">
        <w:rPr>
          <w:rFonts w:ascii="Times New Roman" w:eastAsia="Times New Roman"/>
          <w:b/>
          <w:bCs/>
          <w:color w:val="3F6CAF"/>
          <w:sz w:val="24"/>
        </w:rPr>
        <w:lastRenderedPageBreak/>
        <w:t>Exclusion Criteria</w:t>
      </w:r>
    </w:p>
    <w:p w14:paraId="07CB33B2" w14:textId="77777777" w:rsidR="00D13BA5" w:rsidRPr="007C68E7" w:rsidRDefault="00D13BA5" w:rsidP="00287973">
      <w:pPr>
        <w:spacing w:after="150"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Teeth presenting with more than one canal, existing caries, cracks, open apices, or root curvature exceeding 10° were excluded from the study to ensure uniformity and eliminate confounding variables.</w:t>
      </w:r>
    </w:p>
    <w:p w14:paraId="198AE0C6" w14:textId="77777777" w:rsidR="00D13BA5" w:rsidRPr="007C68E7" w:rsidRDefault="00D13BA5" w:rsidP="00287973">
      <w:pPr>
        <w:spacing w:line="360" w:lineRule="auto"/>
        <w:jc w:val="left"/>
        <w:rPr>
          <w:rFonts w:ascii="Times New Roman" w:eastAsia="Times New Roman"/>
          <w:color w:val="3F6CAF"/>
          <w:sz w:val="24"/>
        </w:rPr>
      </w:pPr>
      <w:r w:rsidRPr="007C68E7">
        <w:rPr>
          <w:rFonts w:ascii="Times New Roman" w:eastAsia="Times New Roman"/>
          <w:b/>
          <w:bCs/>
          <w:color w:val="3F6CAF"/>
          <w:sz w:val="24"/>
        </w:rPr>
        <w:t>Preparation of Specimens</w:t>
      </w:r>
    </w:p>
    <w:p w14:paraId="694D5DE9" w14:textId="60F6C356" w:rsidR="00D076BC" w:rsidRPr="007C68E7" w:rsidRDefault="00D13BA5" w:rsidP="00287973">
      <w:pPr>
        <w:pStyle w:val="p1"/>
        <w:spacing w:line="360" w:lineRule="auto"/>
        <w:rPr>
          <w:color w:val="191919"/>
        </w:rPr>
      </w:pPr>
      <w:r w:rsidRPr="007C68E7">
        <w:rPr>
          <w:color w:val="000000" w:themeColor="text1"/>
        </w:rPr>
        <w:t>A total of twenty‑four mandibular premolar teeth were collected from the Department of Oral and Maxillofacial Surgery, KVG Dental College and hospital which were extracted for orthodontic purpose. The teeth were disinfected using 0.5% sodium hypochlorite (</w:t>
      </w:r>
      <w:proofErr w:type="spellStart"/>
      <w:r w:rsidRPr="007C68E7">
        <w:rPr>
          <w:color w:val="000000" w:themeColor="text1"/>
        </w:rPr>
        <w:t>NaOCl</w:t>
      </w:r>
      <w:proofErr w:type="spellEnd"/>
      <w:r w:rsidRPr="007C68E7">
        <w:rPr>
          <w:color w:val="000000" w:themeColor="text1"/>
        </w:rPr>
        <w:t>) solution for at least 30 minutes and stored in physiological saline</w:t>
      </w:r>
      <w:r w:rsidR="00360529" w:rsidRPr="007C68E7">
        <w:rPr>
          <w:color w:val="000000" w:themeColor="text1"/>
        </w:rPr>
        <w:t xml:space="preserve"> </w:t>
      </w:r>
      <w:r w:rsidRPr="007C68E7">
        <w:rPr>
          <w:color w:val="000000" w:themeColor="text1"/>
        </w:rPr>
        <w:t>until further processing.</w:t>
      </w:r>
      <w:r w:rsidRPr="007C68E7">
        <w:br/>
      </w:r>
      <w:r w:rsidRPr="007C68E7">
        <w:br/>
      </w:r>
      <w:r w:rsidRPr="007C68E7">
        <w:rPr>
          <w:color w:val="000000" w:themeColor="text1"/>
        </w:rPr>
        <w:t>The root length of each tooth was standardized to 14 mm by decoronating at the cementoenamel junction (CEJ). A glide path was established using #10 and #15 K stainless steel files</w:t>
      </w:r>
      <w:r w:rsidR="00592867">
        <w:rPr>
          <w:color w:val="000000" w:themeColor="text1"/>
        </w:rPr>
        <w:t>(</w:t>
      </w:r>
      <w:proofErr w:type="spellStart"/>
      <w:r w:rsidR="00592867">
        <w:rPr>
          <w:color w:val="000000" w:themeColor="text1"/>
        </w:rPr>
        <w:t>Mani,Japan</w:t>
      </w:r>
      <w:proofErr w:type="spellEnd"/>
      <w:r w:rsidR="00592867">
        <w:rPr>
          <w:color w:val="000000" w:themeColor="text1"/>
        </w:rPr>
        <w:t>)</w:t>
      </w:r>
      <w:r w:rsidRPr="007C68E7">
        <w:rPr>
          <w:color w:val="000000" w:themeColor="text1"/>
        </w:rPr>
        <w:t xml:space="preserve">, maintaining the working length 1 mm short of the apical foramen. The root canals were instrumented sequentially using a rotary </w:t>
      </w:r>
      <w:proofErr w:type="spellStart"/>
      <w:r w:rsidRPr="007C68E7">
        <w:rPr>
          <w:color w:val="000000" w:themeColor="text1"/>
        </w:rPr>
        <w:t>ProTaper</w:t>
      </w:r>
      <w:proofErr w:type="spellEnd"/>
      <w:r w:rsidRPr="007C68E7">
        <w:rPr>
          <w:color w:val="000000" w:themeColor="text1"/>
        </w:rPr>
        <w:t xml:space="preserve"> Universal system (Dentsply) from </w:t>
      </w:r>
      <w:proofErr w:type="spellStart"/>
      <w:r w:rsidRPr="007C68E7">
        <w:rPr>
          <w:color w:val="000000" w:themeColor="text1"/>
        </w:rPr>
        <w:t>Sx</w:t>
      </w:r>
      <w:proofErr w:type="spellEnd"/>
      <w:r w:rsidRPr="007C68E7">
        <w:rPr>
          <w:color w:val="000000" w:themeColor="text1"/>
        </w:rPr>
        <w:t xml:space="preserve"> to F3, following the crown‑down technique.</w:t>
      </w:r>
      <w:r w:rsidRPr="007C68E7">
        <w:br/>
      </w:r>
      <w:r w:rsidRPr="007C68E7">
        <w:br/>
      </w:r>
      <w:r w:rsidRPr="007C68E7">
        <w:rPr>
          <w:color w:val="000000" w:themeColor="text1"/>
        </w:rPr>
        <w:t xml:space="preserve">During instrumentation, canals were irrigated with 2 mL of 5% </w:t>
      </w:r>
      <w:proofErr w:type="spellStart"/>
      <w:r w:rsidRPr="007C68E7">
        <w:rPr>
          <w:color w:val="000000" w:themeColor="text1"/>
        </w:rPr>
        <w:t>NaOCl</w:t>
      </w:r>
      <w:proofErr w:type="spellEnd"/>
      <w:r w:rsidRPr="007C68E7">
        <w:rPr>
          <w:color w:val="000000" w:themeColor="text1"/>
        </w:rPr>
        <w:t xml:space="preserve"> </w:t>
      </w:r>
      <w:r w:rsidR="00592867">
        <w:rPr>
          <w:color w:val="000000" w:themeColor="text1"/>
        </w:rPr>
        <w:t>(</w:t>
      </w:r>
      <w:r w:rsidR="00592867">
        <w:t>Prime Dental Products)</w:t>
      </w:r>
      <w:r w:rsidRPr="007C68E7">
        <w:rPr>
          <w:color w:val="000000" w:themeColor="text1"/>
        </w:rPr>
        <w:t>and flushed with distilled water after each file change. Final rinsing was performed using 5 mL of 17% ethylenediaminetetraacetic acid (EDTA)</w:t>
      </w:r>
      <w:r w:rsidR="00317B9D" w:rsidRPr="00317B9D">
        <w:rPr>
          <w:b/>
          <w:bCs/>
        </w:rPr>
        <w:t xml:space="preserve"> </w:t>
      </w:r>
      <w:r w:rsidR="00317B9D">
        <w:rPr>
          <w:b/>
          <w:bCs/>
        </w:rPr>
        <w:t>(</w:t>
      </w:r>
      <w:r w:rsidR="00317B9D" w:rsidRPr="00317B9D">
        <w:t>Dental Avenue</w:t>
      </w:r>
      <w:r w:rsidR="00317B9D">
        <w:t xml:space="preserve"> / BLV Healthcare (India)</w:t>
      </w:r>
      <w:r w:rsidRPr="007C68E7">
        <w:rPr>
          <w:color w:val="000000" w:themeColor="text1"/>
        </w:rPr>
        <w:t xml:space="preserve"> solution to remove the smear layer. Canals were then dried using sterile absorbent paper points</w:t>
      </w:r>
      <w:r w:rsidR="00317B9D">
        <w:rPr>
          <w:color w:val="000000" w:themeColor="text1"/>
        </w:rPr>
        <w:t>(</w:t>
      </w:r>
      <w:r w:rsidR="00317B9D" w:rsidRPr="00317B9D">
        <w:t xml:space="preserve"> </w:t>
      </w:r>
      <w:r w:rsidR="00317B9D">
        <w:t>Dentsply).</w:t>
      </w:r>
      <w:r w:rsidR="00317B9D">
        <w:rPr>
          <w:color w:val="000000" w:themeColor="text1"/>
        </w:rPr>
        <w:t xml:space="preserve"> </w:t>
      </w:r>
      <w:r w:rsidRPr="007C68E7">
        <w:rPr>
          <w:color w:val="000000" w:themeColor="text1"/>
        </w:rPr>
        <w:t xml:space="preserve">AH Plus </w:t>
      </w:r>
      <w:r w:rsidR="00317B9D">
        <w:rPr>
          <w:color w:val="000000" w:themeColor="text1"/>
        </w:rPr>
        <w:t>(</w:t>
      </w:r>
      <w:r w:rsidR="00317B9D">
        <w:t>Dentsply Sirona)</w:t>
      </w:r>
      <w:r w:rsidRPr="007C68E7">
        <w:rPr>
          <w:color w:val="000000" w:themeColor="text1"/>
        </w:rPr>
        <w:t xml:space="preserve">sealer was applied using a </w:t>
      </w:r>
      <w:proofErr w:type="spellStart"/>
      <w:r w:rsidRPr="007C68E7">
        <w:rPr>
          <w:color w:val="000000" w:themeColor="text1"/>
        </w:rPr>
        <w:t>lentulospiral</w:t>
      </w:r>
      <w:proofErr w:type="spellEnd"/>
      <w:r w:rsidRPr="007C68E7">
        <w:rPr>
          <w:color w:val="000000" w:themeColor="text1"/>
        </w:rPr>
        <w:t>, and canals were obturated using single gutta‑percha cones</w:t>
      </w:r>
      <w:r w:rsidR="00317B9D">
        <w:rPr>
          <w:color w:val="000000" w:themeColor="text1"/>
        </w:rPr>
        <w:t>(</w:t>
      </w:r>
      <w:r w:rsidR="00317B9D">
        <w:t>Dentsply Sirona)</w:t>
      </w:r>
      <w:r w:rsidRPr="007C68E7">
        <w:rPr>
          <w:color w:val="000000" w:themeColor="text1"/>
        </w:rPr>
        <w:t xml:space="preserve"> corresponding to the canal size. The teeth were randomly allocated into four groups (n = 6 per group) for placement of intra‑orifice barriers.</w:t>
      </w:r>
      <w:r w:rsidRPr="007C68E7">
        <w:br/>
      </w:r>
      <w:r w:rsidRPr="007C68E7">
        <w:rPr>
          <w:color w:val="000000" w:themeColor="text1"/>
        </w:rPr>
        <w:t xml:space="preserve">All specimens in the experimental groups were prepared by removing the coronal 3 mm of gutta‑percha using a spoon excavator heated on a Bunsen burner. </w:t>
      </w:r>
      <w:proofErr w:type="spellStart"/>
      <w:r w:rsidRPr="007C68E7">
        <w:rPr>
          <w:color w:val="000000" w:themeColor="text1"/>
        </w:rPr>
        <w:t>Microbrushes</w:t>
      </w:r>
      <w:proofErr w:type="spellEnd"/>
      <w:r w:rsidRPr="007C68E7">
        <w:rPr>
          <w:color w:val="000000" w:themeColor="text1"/>
        </w:rPr>
        <w:t xml:space="preserve"> moistened with 70% alcohol</w:t>
      </w:r>
      <w:r w:rsidR="00317B9D">
        <w:rPr>
          <w:color w:val="000000" w:themeColor="text1"/>
        </w:rPr>
        <w:t>(</w:t>
      </w:r>
      <w:r w:rsidR="00317B9D">
        <w:t>Prime Dental)</w:t>
      </w:r>
      <w:r w:rsidRPr="007C68E7">
        <w:rPr>
          <w:color w:val="000000" w:themeColor="text1"/>
        </w:rPr>
        <w:t xml:space="preserve"> were employed to remove any residual sealer remnants from the canal walls.</w:t>
      </w:r>
      <w:r w:rsidRPr="007C68E7">
        <w:br/>
      </w:r>
      <w:r w:rsidRPr="007C68E7">
        <w:rPr>
          <w:color w:val="000000" w:themeColor="text1"/>
        </w:rPr>
        <w:t xml:space="preserve">The intra‑orifice materials were placed over the obturated roots </w:t>
      </w:r>
      <w:r w:rsidR="00820B82" w:rsidRPr="007C68E7">
        <w:rPr>
          <w:color w:val="000000" w:themeColor="text1"/>
        </w:rPr>
        <w:t xml:space="preserve"> after removing the coronal 3 mm of gutta‑percha</w:t>
      </w:r>
      <w:r w:rsidRPr="007C68E7">
        <w:rPr>
          <w:color w:val="000000" w:themeColor="text1"/>
        </w:rPr>
        <w:t xml:space="preserve"> as follows:</w:t>
      </w:r>
      <w:r w:rsidRPr="007C68E7">
        <w:br/>
      </w:r>
      <w:r w:rsidRPr="007C68E7">
        <w:rPr>
          <w:color w:val="000000" w:themeColor="text1"/>
        </w:rPr>
        <w:t xml:space="preserve">- Group I: </w:t>
      </w:r>
      <w:proofErr w:type="spellStart"/>
      <w:r w:rsidRPr="007C68E7">
        <w:rPr>
          <w:color w:val="000000" w:themeColor="text1"/>
        </w:rPr>
        <w:t>Amalgomer</w:t>
      </w:r>
      <w:proofErr w:type="spellEnd"/>
      <w:r w:rsidRPr="007C68E7">
        <w:rPr>
          <w:color w:val="000000" w:themeColor="text1"/>
        </w:rPr>
        <w:t xml:space="preserve"> CR</w:t>
      </w:r>
      <w:r w:rsidRPr="007C68E7">
        <w:br/>
      </w:r>
      <w:r w:rsidRPr="007C68E7">
        <w:rPr>
          <w:color w:val="000000" w:themeColor="text1"/>
        </w:rPr>
        <w:t>- Group II: Nano Hybrid Composite Resin</w:t>
      </w:r>
      <w:r w:rsidRPr="007C68E7">
        <w:br/>
      </w:r>
      <w:r w:rsidRPr="007C68E7">
        <w:rPr>
          <w:color w:val="000000" w:themeColor="text1"/>
        </w:rPr>
        <w:t xml:space="preserve">- Group III: </w:t>
      </w:r>
      <w:proofErr w:type="spellStart"/>
      <w:r w:rsidRPr="007C68E7">
        <w:rPr>
          <w:color w:val="000000" w:themeColor="text1"/>
        </w:rPr>
        <w:t>Biodentine</w:t>
      </w:r>
      <w:proofErr w:type="spellEnd"/>
      <w:r w:rsidRPr="007C68E7">
        <w:br/>
      </w:r>
      <w:r w:rsidRPr="007C68E7">
        <w:rPr>
          <w:color w:val="000000" w:themeColor="text1"/>
        </w:rPr>
        <w:lastRenderedPageBreak/>
        <w:t>- Group IV: Control Group (no intra-orifice barrier)</w:t>
      </w:r>
      <w:r w:rsidRPr="007C68E7">
        <w:br/>
      </w:r>
      <w:r w:rsidRPr="007C68E7">
        <w:br/>
      </w:r>
      <w:r w:rsidRPr="007C68E7">
        <w:rPr>
          <w:color w:val="000000" w:themeColor="text1"/>
        </w:rPr>
        <w:t>The prepared teeth were vertically embedded along their long axis in self-curing acrylic resin</w:t>
      </w:r>
      <w:r w:rsidR="0078394A">
        <w:rPr>
          <w:color w:val="000000" w:themeColor="text1"/>
        </w:rPr>
        <w:t>(</w:t>
      </w:r>
      <w:proofErr w:type="spellStart"/>
      <w:r w:rsidR="0078394A">
        <w:rPr>
          <w:color w:val="000000" w:themeColor="text1"/>
        </w:rPr>
        <w:t>DPI,India</w:t>
      </w:r>
      <w:proofErr w:type="spellEnd"/>
      <w:r w:rsidR="0078394A">
        <w:rPr>
          <w:color w:val="000000" w:themeColor="text1"/>
        </w:rPr>
        <w:t>)</w:t>
      </w:r>
      <w:r w:rsidRPr="007C68E7">
        <w:rPr>
          <w:color w:val="000000" w:themeColor="text1"/>
        </w:rPr>
        <w:t xml:space="preserve"> blocks to expose 3 mm of each root.</w:t>
      </w:r>
      <w:r w:rsidR="00D076BC" w:rsidRPr="007C68E7">
        <w:t xml:space="preserve"> </w:t>
      </w:r>
      <w:r w:rsidR="00D076BC" w:rsidRPr="007C68E7">
        <w:rPr>
          <w:color w:val="191919"/>
        </w:rPr>
        <w:t xml:space="preserve">In order to acquire periodontal ligament simulation as in a tooth socket, light body elastomeric impression material was used between the acrylic </w:t>
      </w:r>
      <w:proofErr w:type="spellStart"/>
      <w:r w:rsidR="00D076BC" w:rsidRPr="007C68E7">
        <w:rPr>
          <w:color w:val="191919"/>
        </w:rPr>
        <w:t>mold</w:t>
      </w:r>
      <w:proofErr w:type="spellEnd"/>
      <w:r w:rsidR="00D076BC" w:rsidRPr="007C68E7">
        <w:rPr>
          <w:color w:val="191919"/>
        </w:rPr>
        <w:t xml:space="preserve"> surface and root </w:t>
      </w:r>
    </w:p>
    <w:p w14:paraId="7FDDCCBD" w14:textId="03552241" w:rsidR="00D13BA5" w:rsidRPr="007C68E7" w:rsidRDefault="00D13BA5" w:rsidP="00287973">
      <w:pPr>
        <w:spacing w:after="150"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 xml:space="preserve"> The blocks were then mounted in the lower compartment of a universal testing </w:t>
      </w:r>
      <w:r w:rsidR="00543321" w:rsidRPr="007C68E7">
        <w:rPr>
          <w:rFonts w:ascii="Times New Roman" w:eastAsia="Times New Roman"/>
          <w:color w:val="000000" w:themeColor="text1"/>
          <w:sz w:val="24"/>
        </w:rPr>
        <w:t>machine.</w:t>
      </w:r>
      <w:r w:rsidR="00543321" w:rsidRPr="007C68E7">
        <w:rPr>
          <w:rFonts w:ascii="Times New Roman"/>
          <w:sz w:val="24"/>
        </w:rPr>
        <w:t xml:space="preserve"> (Instron </w:t>
      </w:r>
      <w:r w:rsidR="00D076BC" w:rsidRPr="007C68E7">
        <w:rPr>
          <w:rFonts w:ascii="Times New Roman"/>
          <w:sz w:val="24"/>
        </w:rPr>
        <w:t>3345, USA</w:t>
      </w:r>
      <w:r w:rsidR="00543321" w:rsidRPr="007C68E7">
        <w:rPr>
          <w:rFonts w:ascii="Times New Roman"/>
          <w:sz w:val="24"/>
        </w:rPr>
        <w:t>).</w:t>
      </w:r>
      <w:r w:rsidR="00D076BC" w:rsidRPr="007C68E7">
        <w:rPr>
          <w:rFonts w:ascii="Times New Roman"/>
          <w:sz w:val="24"/>
        </w:rPr>
        <w:t xml:space="preserve"> </w:t>
      </w:r>
      <w:r w:rsidRPr="007C68E7">
        <w:rPr>
          <w:rFonts w:ascii="Times New Roman" w:eastAsia="Times New Roman"/>
          <w:color w:val="000000" w:themeColor="text1"/>
          <w:sz w:val="24"/>
        </w:rPr>
        <w:t xml:space="preserve">A compressive force was applied along the long axis of the roots at a crosshead speed of 1 mm/min until fracture occurred. The </w:t>
      </w:r>
      <w:r w:rsidR="00D076BC" w:rsidRPr="007C68E7">
        <w:rPr>
          <w:rFonts w:ascii="Times New Roman" w:eastAsia="Times New Roman"/>
          <w:color w:val="000000" w:themeColor="text1"/>
          <w:sz w:val="24"/>
        </w:rPr>
        <w:t>force at which samples were breaking (</w:t>
      </w:r>
      <w:r w:rsidRPr="007C68E7">
        <w:rPr>
          <w:rFonts w:ascii="Times New Roman" w:eastAsia="Times New Roman"/>
          <w:color w:val="000000" w:themeColor="text1"/>
          <w:sz w:val="24"/>
        </w:rPr>
        <w:t>in Newtons) w</w:t>
      </w:r>
      <w:r w:rsidR="00D076BC" w:rsidRPr="007C68E7">
        <w:rPr>
          <w:rFonts w:ascii="Times New Roman" w:eastAsia="Times New Roman"/>
          <w:color w:val="000000" w:themeColor="text1"/>
          <w:sz w:val="24"/>
        </w:rPr>
        <w:t xml:space="preserve">ere </w:t>
      </w:r>
      <w:r w:rsidRPr="007C68E7">
        <w:rPr>
          <w:rFonts w:ascii="Times New Roman" w:eastAsia="Times New Roman"/>
          <w:color w:val="000000" w:themeColor="text1"/>
          <w:sz w:val="24"/>
        </w:rPr>
        <w:t xml:space="preserve">recorded </w:t>
      </w:r>
      <w:r w:rsidR="00D076BC" w:rsidRPr="007C68E7">
        <w:rPr>
          <w:rFonts w:ascii="Times New Roman" w:eastAsia="Times New Roman"/>
          <w:color w:val="000000" w:themeColor="text1"/>
          <w:sz w:val="24"/>
        </w:rPr>
        <w:t xml:space="preserve">and converted to </w:t>
      </w:r>
      <w:proofErr w:type="spellStart"/>
      <w:r w:rsidR="00D076BC" w:rsidRPr="007C68E7">
        <w:rPr>
          <w:rFonts w:ascii="Times New Roman" w:eastAsia="Times New Roman"/>
          <w:color w:val="000000" w:themeColor="text1"/>
          <w:sz w:val="24"/>
        </w:rPr>
        <w:t>Mpa</w:t>
      </w:r>
      <w:proofErr w:type="spellEnd"/>
      <w:r w:rsidRPr="007C68E7">
        <w:rPr>
          <w:rFonts w:ascii="Times New Roman" w:eastAsia="Times New Roman"/>
          <w:color w:val="000000" w:themeColor="text1"/>
          <w:sz w:val="24"/>
        </w:rPr>
        <w:t>.</w:t>
      </w:r>
    </w:p>
    <w:p w14:paraId="7B04736E" w14:textId="77777777" w:rsidR="00D13BA5" w:rsidRPr="007C68E7" w:rsidRDefault="00D13BA5" w:rsidP="00287973">
      <w:pPr>
        <w:spacing w:line="360" w:lineRule="auto"/>
        <w:jc w:val="left"/>
        <w:rPr>
          <w:rFonts w:ascii="Times New Roman" w:eastAsia="Times New Roman"/>
          <w:color w:val="3F6CAF"/>
          <w:sz w:val="24"/>
        </w:rPr>
      </w:pPr>
      <w:r w:rsidRPr="007C68E7">
        <w:rPr>
          <w:rFonts w:ascii="Times New Roman" w:eastAsia="Times New Roman"/>
          <w:b/>
          <w:bCs/>
          <w:color w:val="3F6CAF"/>
          <w:sz w:val="24"/>
        </w:rPr>
        <w:t>Statistical Analysis</w:t>
      </w:r>
    </w:p>
    <w:p w14:paraId="74CD3E11" w14:textId="77777777" w:rsidR="00D13BA5" w:rsidRPr="007C68E7" w:rsidRDefault="00D13BA5" w:rsidP="00287973">
      <w:pPr>
        <w:spacing w:after="150"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The mean and standard deviation (SD) of fracture resistance values for all groups were calculated. Statistical comparison among the groups was performed using One-Way Analysis of Variance (ANOVA). For intergroup comparisons, post hoc Tukey’s honestly significant difference (HSD) test was used to determine pairwise differences. The level of significance was set at P &lt; 0.05. All analyses were performed using SPSS Software version 23 (IBM, Armonk, NY, USA).</w:t>
      </w:r>
    </w:p>
    <w:p w14:paraId="00D2FCCE" w14:textId="77777777" w:rsidR="00D13BA5" w:rsidRPr="007C68E7" w:rsidRDefault="00D13BA5" w:rsidP="00287973">
      <w:pPr>
        <w:spacing w:after="150" w:line="360" w:lineRule="auto"/>
        <w:jc w:val="center"/>
        <w:rPr>
          <w:rFonts w:ascii="Times New Roman" w:eastAsia="Times New Roman"/>
          <w:color w:val="000000" w:themeColor="text1"/>
          <w:sz w:val="24"/>
        </w:rPr>
      </w:pPr>
    </w:p>
    <w:p w14:paraId="39390A3B" w14:textId="77777777" w:rsidR="00D13BA5" w:rsidRPr="007C68E7" w:rsidRDefault="00D13BA5" w:rsidP="00287973">
      <w:pPr>
        <w:spacing w:line="360" w:lineRule="auto"/>
        <w:jc w:val="left"/>
        <w:rPr>
          <w:rFonts w:ascii="Times New Roman" w:eastAsia="Times New Roman"/>
          <w:color w:val="3F6CAF"/>
          <w:sz w:val="24"/>
        </w:rPr>
      </w:pPr>
      <w:r w:rsidRPr="007C68E7">
        <w:rPr>
          <w:rFonts w:ascii="Times New Roman" w:eastAsia="Times New Roman"/>
          <w:b/>
          <w:bCs/>
          <w:color w:val="3F6CAF"/>
          <w:sz w:val="24"/>
        </w:rPr>
        <w:t>Results</w:t>
      </w:r>
    </w:p>
    <w:p w14:paraId="5C4A5765" w14:textId="77777777" w:rsidR="00D13BA5" w:rsidRPr="007C68E7" w:rsidRDefault="00D13BA5" w:rsidP="00287973">
      <w:pPr>
        <w:spacing w:after="150"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 xml:space="preserve">The study evaluated the fracture strength (in Newtons) of endodontically treated teeth reinforced with different intra-orifice barrier materials. </w:t>
      </w:r>
    </w:p>
    <w:p w14:paraId="2B079A74" w14:textId="77777777" w:rsidR="00D13BA5" w:rsidRDefault="00D13BA5" w:rsidP="00287973">
      <w:pPr>
        <w:spacing w:after="150"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Among the tested groups, Group II (Nano Hybrid Composite) demonstrated the highest mean fracture resistance (968.51 ± 127.20 N), followed by Group I (</w:t>
      </w:r>
      <w:proofErr w:type="spellStart"/>
      <w:r w:rsidRPr="007C68E7">
        <w:rPr>
          <w:rFonts w:ascii="Times New Roman" w:eastAsia="Times New Roman"/>
          <w:color w:val="000000" w:themeColor="text1"/>
          <w:sz w:val="24"/>
        </w:rPr>
        <w:t>Amalgomer</w:t>
      </w:r>
      <w:proofErr w:type="spellEnd"/>
      <w:r w:rsidRPr="007C68E7">
        <w:rPr>
          <w:rFonts w:ascii="Times New Roman" w:eastAsia="Times New Roman"/>
          <w:color w:val="000000" w:themeColor="text1"/>
          <w:sz w:val="24"/>
        </w:rPr>
        <w:t xml:space="preserve"> CR) (727.19 ± 71.88 N) and Group III (</w:t>
      </w:r>
      <w:proofErr w:type="spellStart"/>
      <w:r w:rsidRPr="007C68E7">
        <w:rPr>
          <w:rFonts w:ascii="Times New Roman" w:eastAsia="Times New Roman"/>
          <w:color w:val="000000" w:themeColor="text1"/>
          <w:sz w:val="24"/>
        </w:rPr>
        <w:t>Biodentine</w:t>
      </w:r>
      <w:proofErr w:type="spellEnd"/>
      <w:r w:rsidRPr="007C68E7">
        <w:rPr>
          <w:rFonts w:ascii="Times New Roman" w:eastAsia="Times New Roman"/>
          <w:color w:val="000000" w:themeColor="text1"/>
          <w:sz w:val="24"/>
        </w:rPr>
        <w:t>) (707.25 ± 96.75 N). The lowest mean fracture strength was recorded in Group IV (Control) (598.06 ± 56.69 N).</w:t>
      </w:r>
    </w:p>
    <w:p w14:paraId="44051176" w14:textId="77777777" w:rsidR="00287973" w:rsidRDefault="00287973" w:rsidP="00287973">
      <w:pPr>
        <w:spacing w:after="150" w:line="360" w:lineRule="auto"/>
        <w:jc w:val="left"/>
        <w:rPr>
          <w:rFonts w:ascii="Times New Roman" w:eastAsia="Times New Roman"/>
          <w:color w:val="000000" w:themeColor="text1"/>
          <w:sz w:val="24"/>
        </w:rPr>
      </w:pPr>
    </w:p>
    <w:p w14:paraId="4F33923D" w14:textId="77777777" w:rsidR="00287973" w:rsidRPr="007C68E7" w:rsidRDefault="00287973" w:rsidP="00287973">
      <w:pPr>
        <w:spacing w:after="150" w:line="360" w:lineRule="auto"/>
        <w:jc w:val="left"/>
        <w:rPr>
          <w:rFonts w:ascii="Times New Roman" w:eastAsia="Times New Roman"/>
          <w:color w:val="000000" w:themeColor="text1"/>
          <w:sz w:val="24"/>
        </w:rPr>
      </w:pPr>
    </w:p>
    <w:p w14:paraId="5DBD2908" w14:textId="77777777" w:rsidR="00D13BA5" w:rsidRPr="007C68E7" w:rsidRDefault="00D13BA5" w:rsidP="00287973">
      <w:pPr>
        <w:spacing w:after="150" w:line="360" w:lineRule="auto"/>
        <w:rPr>
          <w:rFonts w:ascii="Times New Roman" w:eastAsia="Times New Roman"/>
          <w:color w:val="000000" w:themeColor="text1"/>
          <w:sz w:val="24"/>
        </w:rPr>
      </w:pPr>
      <w:r w:rsidRPr="007C68E7">
        <w:rPr>
          <w:rFonts w:ascii="Times New Roman" w:eastAsia="Times New Roman"/>
          <w:color w:val="000000" w:themeColor="text1"/>
          <w:sz w:val="24"/>
        </w:rPr>
        <w:t>Table:1 showing the mean fracture strength values and standard deviation for each group</w:t>
      </w:r>
    </w:p>
    <w:tbl>
      <w:tblPr>
        <w:tblStyle w:val="TableGrid"/>
        <w:tblW w:w="910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44"/>
        <w:gridCol w:w="1354"/>
        <w:gridCol w:w="2374"/>
        <w:gridCol w:w="2328"/>
      </w:tblGrid>
      <w:tr w:rsidR="00D13BA5" w:rsidRPr="007C68E7" w14:paraId="64809A8C" w14:textId="77777777" w:rsidTr="00D57084">
        <w:trPr>
          <w:trHeight w:val="345"/>
        </w:trPr>
        <w:tc>
          <w:tcPr>
            <w:tcW w:w="3044" w:type="dxa"/>
            <w:tcBorders>
              <w:top w:val="single" w:sz="6" w:space="0" w:color="auto"/>
              <w:left w:val="single" w:sz="6" w:space="0" w:color="auto"/>
            </w:tcBorders>
            <w:tcMar>
              <w:left w:w="90" w:type="dxa"/>
              <w:right w:w="90" w:type="dxa"/>
            </w:tcMar>
          </w:tcPr>
          <w:p w14:paraId="3CDC1064"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Groups</w:t>
            </w:r>
          </w:p>
        </w:tc>
        <w:tc>
          <w:tcPr>
            <w:tcW w:w="1354" w:type="dxa"/>
            <w:tcBorders>
              <w:top w:val="single" w:sz="6" w:space="0" w:color="auto"/>
            </w:tcBorders>
            <w:tcMar>
              <w:left w:w="90" w:type="dxa"/>
              <w:right w:w="90" w:type="dxa"/>
            </w:tcMar>
          </w:tcPr>
          <w:p w14:paraId="616DA92A"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n</w:t>
            </w:r>
          </w:p>
        </w:tc>
        <w:tc>
          <w:tcPr>
            <w:tcW w:w="2374" w:type="dxa"/>
            <w:tcBorders>
              <w:top w:val="single" w:sz="6" w:space="0" w:color="auto"/>
            </w:tcBorders>
            <w:tcMar>
              <w:left w:w="90" w:type="dxa"/>
              <w:right w:w="90" w:type="dxa"/>
            </w:tcMar>
          </w:tcPr>
          <w:p w14:paraId="46FF8C1F"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Mean</w:t>
            </w:r>
          </w:p>
        </w:tc>
        <w:tc>
          <w:tcPr>
            <w:tcW w:w="2328" w:type="dxa"/>
            <w:tcBorders>
              <w:top w:val="single" w:sz="6" w:space="0" w:color="auto"/>
              <w:right w:val="single" w:sz="6" w:space="0" w:color="auto"/>
            </w:tcBorders>
            <w:tcMar>
              <w:left w:w="90" w:type="dxa"/>
              <w:right w:w="90" w:type="dxa"/>
            </w:tcMar>
          </w:tcPr>
          <w:p w14:paraId="54AF4F43"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SD</w:t>
            </w:r>
          </w:p>
        </w:tc>
      </w:tr>
      <w:tr w:rsidR="00D13BA5" w:rsidRPr="007C68E7" w14:paraId="4CC2F2B0" w14:textId="77777777" w:rsidTr="00D57084">
        <w:trPr>
          <w:trHeight w:val="345"/>
        </w:trPr>
        <w:tc>
          <w:tcPr>
            <w:tcW w:w="3044" w:type="dxa"/>
            <w:tcBorders>
              <w:left w:val="single" w:sz="6" w:space="0" w:color="auto"/>
            </w:tcBorders>
            <w:tcMar>
              <w:left w:w="90" w:type="dxa"/>
              <w:right w:w="90" w:type="dxa"/>
            </w:tcMar>
          </w:tcPr>
          <w:p w14:paraId="34B5EB90"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Group I </w:t>
            </w:r>
          </w:p>
          <w:p w14:paraId="421AD312"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lastRenderedPageBreak/>
              <w:t>(</w:t>
            </w:r>
            <w:proofErr w:type="spellStart"/>
            <w:r w:rsidRPr="007C68E7">
              <w:rPr>
                <w:rFonts w:ascii="Times New Roman" w:eastAsia="Times New Roman"/>
                <w:color w:val="000000" w:themeColor="text1"/>
                <w:sz w:val="24"/>
              </w:rPr>
              <w:t>Amalgomer</w:t>
            </w:r>
            <w:proofErr w:type="spellEnd"/>
            <w:r w:rsidRPr="007C68E7">
              <w:rPr>
                <w:rFonts w:ascii="Times New Roman" w:eastAsia="Times New Roman"/>
                <w:color w:val="000000" w:themeColor="text1"/>
                <w:sz w:val="24"/>
              </w:rPr>
              <w:t xml:space="preserve"> CR)</w:t>
            </w:r>
          </w:p>
        </w:tc>
        <w:tc>
          <w:tcPr>
            <w:tcW w:w="1354" w:type="dxa"/>
            <w:tcMar>
              <w:left w:w="90" w:type="dxa"/>
              <w:right w:w="90" w:type="dxa"/>
            </w:tcMar>
          </w:tcPr>
          <w:p w14:paraId="1A2038A0"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lastRenderedPageBreak/>
              <w:t>6</w:t>
            </w:r>
          </w:p>
        </w:tc>
        <w:tc>
          <w:tcPr>
            <w:tcW w:w="2374" w:type="dxa"/>
            <w:tcMar>
              <w:left w:w="90" w:type="dxa"/>
              <w:right w:w="90" w:type="dxa"/>
            </w:tcMar>
          </w:tcPr>
          <w:p w14:paraId="612918DB"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727.19 </w:t>
            </w:r>
          </w:p>
        </w:tc>
        <w:tc>
          <w:tcPr>
            <w:tcW w:w="2328" w:type="dxa"/>
            <w:tcBorders>
              <w:right w:val="single" w:sz="6" w:space="0" w:color="auto"/>
            </w:tcBorders>
            <w:tcMar>
              <w:left w:w="90" w:type="dxa"/>
              <w:right w:w="90" w:type="dxa"/>
            </w:tcMar>
          </w:tcPr>
          <w:p w14:paraId="00AB7562"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71.88 N</w:t>
            </w:r>
          </w:p>
        </w:tc>
      </w:tr>
      <w:tr w:rsidR="00D13BA5" w:rsidRPr="007C68E7" w14:paraId="2CCAF3FA" w14:textId="77777777" w:rsidTr="00D57084">
        <w:trPr>
          <w:trHeight w:val="345"/>
        </w:trPr>
        <w:tc>
          <w:tcPr>
            <w:tcW w:w="3044" w:type="dxa"/>
            <w:tcBorders>
              <w:left w:val="single" w:sz="6" w:space="0" w:color="auto"/>
            </w:tcBorders>
            <w:tcMar>
              <w:left w:w="90" w:type="dxa"/>
              <w:right w:w="90" w:type="dxa"/>
            </w:tcMar>
          </w:tcPr>
          <w:p w14:paraId="6DE52BB8"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Group II </w:t>
            </w:r>
          </w:p>
          <w:p w14:paraId="0BCB18B9"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(Nano Hybrid Composite)</w:t>
            </w:r>
          </w:p>
        </w:tc>
        <w:tc>
          <w:tcPr>
            <w:tcW w:w="1354" w:type="dxa"/>
            <w:tcMar>
              <w:left w:w="90" w:type="dxa"/>
              <w:right w:w="90" w:type="dxa"/>
            </w:tcMar>
          </w:tcPr>
          <w:p w14:paraId="098033D2"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6</w:t>
            </w:r>
          </w:p>
        </w:tc>
        <w:tc>
          <w:tcPr>
            <w:tcW w:w="2374" w:type="dxa"/>
            <w:tcMar>
              <w:left w:w="90" w:type="dxa"/>
              <w:right w:w="90" w:type="dxa"/>
            </w:tcMar>
          </w:tcPr>
          <w:p w14:paraId="1650C520"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968.51 </w:t>
            </w:r>
          </w:p>
        </w:tc>
        <w:tc>
          <w:tcPr>
            <w:tcW w:w="2328" w:type="dxa"/>
            <w:tcBorders>
              <w:right w:val="single" w:sz="6" w:space="0" w:color="auto"/>
            </w:tcBorders>
            <w:tcMar>
              <w:left w:w="90" w:type="dxa"/>
              <w:right w:w="90" w:type="dxa"/>
            </w:tcMar>
          </w:tcPr>
          <w:p w14:paraId="33A71B31"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127.20 N</w:t>
            </w:r>
          </w:p>
        </w:tc>
      </w:tr>
      <w:tr w:rsidR="00D13BA5" w:rsidRPr="007C68E7" w14:paraId="28C1C76E" w14:textId="77777777" w:rsidTr="00D57084">
        <w:trPr>
          <w:trHeight w:val="345"/>
        </w:trPr>
        <w:tc>
          <w:tcPr>
            <w:tcW w:w="3044" w:type="dxa"/>
            <w:tcBorders>
              <w:left w:val="single" w:sz="6" w:space="0" w:color="auto"/>
            </w:tcBorders>
            <w:tcMar>
              <w:left w:w="90" w:type="dxa"/>
              <w:right w:w="90" w:type="dxa"/>
            </w:tcMar>
          </w:tcPr>
          <w:p w14:paraId="00FE9B1C"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Group III </w:t>
            </w:r>
          </w:p>
          <w:p w14:paraId="42913A1E"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w:t>
            </w:r>
            <w:proofErr w:type="spellStart"/>
            <w:r w:rsidRPr="007C68E7">
              <w:rPr>
                <w:rFonts w:ascii="Times New Roman" w:eastAsia="Times New Roman"/>
                <w:color w:val="000000" w:themeColor="text1"/>
                <w:sz w:val="24"/>
              </w:rPr>
              <w:t>Biodentine</w:t>
            </w:r>
            <w:proofErr w:type="spellEnd"/>
            <w:r w:rsidRPr="007C68E7">
              <w:rPr>
                <w:rFonts w:ascii="Times New Roman" w:eastAsia="Times New Roman"/>
                <w:color w:val="000000" w:themeColor="text1"/>
                <w:sz w:val="24"/>
              </w:rPr>
              <w:t>)</w:t>
            </w:r>
          </w:p>
        </w:tc>
        <w:tc>
          <w:tcPr>
            <w:tcW w:w="1354" w:type="dxa"/>
            <w:tcMar>
              <w:left w:w="90" w:type="dxa"/>
              <w:right w:w="90" w:type="dxa"/>
            </w:tcMar>
          </w:tcPr>
          <w:p w14:paraId="586F6C89"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6</w:t>
            </w:r>
          </w:p>
        </w:tc>
        <w:tc>
          <w:tcPr>
            <w:tcW w:w="2374" w:type="dxa"/>
            <w:tcMar>
              <w:left w:w="90" w:type="dxa"/>
              <w:right w:w="90" w:type="dxa"/>
            </w:tcMar>
          </w:tcPr>
          <w:p w14:paraId="45A3AEB1"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707.25 </w:t>
            </w:r>
          </w:p>
        </w:tc>
        <w:tc>
          <w:tcPr>
            <w:tcW w:w="2328" w:type="dxa"/>
            <w:tcBorders>
              <w:right w:val="single" w:sz="6" w:space="0" w:color="auto"/>
            </w:tcBorders>
            <w:tcMar>
              <w:left w:w="90" w:type="dxa"/>
              <w:right w:w="90" w:type="dxa"/>
            </w:tcMar>
          </w:tcPr>
          <w:p w14:paraId="33719DDC"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96.75 N</w:t>
            </w:r>
          </w:p>
        </w:tc>
      </w:tr>
      <w:tr w:rsidR="00D13BA5" w:rsidRPr="007C68E7" w14:paraId="31F541AC" w14:textId="77777777" w:rsidTr="00D57084">
        <w:trPr>
          <w:trHeight w:val="345"/>
        </w:trPr>
        <w:tc>
          <w:tcPr>
            <w:tcW w:w="3044" w:type="dxa"/>
            <w:tcBorders>
              <w:left w:val="single" w:sz="6" w:space="0" w:color="auto"/>
              <w:bottom w:val="single" w:sz="6" w:space="0" w:color="auto"/>
            </w:tcBorders>
            <w:tcMar>
              <w:left w:w="90" w:type="dxa"/>
              <w:right w:w="90" w:type="dxa"/>
            </w:tcMar>
          </w:tcPr>
          <w:p w14:paraId="2D0C9DE1"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Group IV (Control)</w:t>
            </w:r>
          </w:p>
        </w:tc>
        <w:tc>
          <w:tcPr>
            <w:tcW w:w="1354" w:type="dxa"/>
            <w:tcBorders>
              <w:bottom w:val="single" w:sz="6" w:space="0" w:color="auto"/>
            </w:tcBorders>
            <w:tcMar>
              <w:left w:w="90" w:type="dxa"/>
              <w:right w:w="90" w:type="dxa"/>
            </w:tcMar>
          </w:tcPr>
          <w:p w14:paraId="58118F30"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6</w:t>
            </w:r>
          </w:p>
        </w:tc>
        <w:tc>
          <w:tcPr>
            <w:tcW w:w="2374" w:type="dxa"/>
            <w:tcBorders>
              <w:bottom w:val="single" w:sz="6" w:space="0" w:color="auto"/>
            </w:tcBorders>
            <w:tcMar>
              <w:left w:w="90" w:type="dxa"/>
              <w:right w:w="90" w:type="dxa"/>
            </w:tcMar>
          </w:tcPr>
          <w:p w14:paraId="34AF0519"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598.06 </w:t>
            </w:r>
          </w:p>
        </w:tc>
        <w:tc>
          <w:tcPr>
            <w:tcW w:w="2328" w:type="dxa"/>
            <w:tcBorders>
              <w:bottom w:val="single" w:sz="6" w:space="0" w:color="auto"/>
              <w:right w:val="single" w:sz="6" w:space="0" w:color="auto"/>
            </w:tcBorders>
            <w:tcMar>
              <w:left w:w="90" w:type="dxa"/>
              <w:right w:w="90" w:type="dxa"/>
            </w:tcMar>
          </w:tcPr>
          <w:p w14:paraId="39634FB2"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56.69 N</w:t>
            </w:r>
          </w:p>
        </w:tc>
      </w:tr>
    </w:tbl>
    <w:p w14:paraId="4A65D6FC" w14:textId="77777777" w:rsidR="00BE05DC" w:rsidRPr="007C68E7" w:rsidRDefault="00BE05DC" w:rsidP="007C68E7">
      <w:pPr>
        <w:spacing w:before="240" w:after="240" w:line="360" w:lineRule="auto"/>
        <w:rPr>
          <w:rFonts w:ascii="Times New Roman" w:eastAsia="Times New Roman"/>
          <w:color w:val="000000" w:themeColor="text1"/>
          <w:sz w:val="24"/>
        </w:rPr>
      </w:pPr>
    </w:p>
    <w:p w14:paraId="7B0D063D" w14:textId="1F4F9077" w:rsidR="00D13BA5" w:rsidRPr="007C68E7" w:rsidRDefault="00D13BA5" w:rsidP="007C68E7">
      <w:pPr>
        <w:spacing w:before="240" w:after="240" w:line="360" w:lineRule="auto"/>
        <w:rPr>
          <w:rFonts w:ascii="Times New Roman" w:eastAsia="Times New Roman"/>
          <w:color w:val="000000" w:themeColor="text1"/>
          <w:sz w:val="24"/>
        </w:rPr>
      </w:pPr>
      <w:r w:rsidRPr="007C68E7">
        <w:rPr>
          <w:rFonts w:ascii="Times New Roman" w:eastAsia="Times New Roman"/>
          <w:color w:val="000000" w:themeColor="text1"/>
          <w:sz w:val="24"/>
        </w:rPr>
        <w:t>Figure 1: The bar graph showing the mean fracture strength (in Newtons) for each group, with error bars representing the standard deviation.</w:t>
      </w:r>
    </w:p>
    <w:p w14:paraId="3DB54939" w14:textId="77777777" w:rsidR="00D13BA5" w:rsidRPr="007C68E7" w:rsidRDefault="00D13BA5" w:rsidP="007C68E7">
      <w:pPr>
        <w:spacing w:after="150" w:line="360" w:lineRule="auto"/>
        <w:rPr>
          <w:rFonts w:ascii="Times New Roman" w:eastAsia="Times New Roman"/>
          <w:color w:val="000000" w:themeColor="text1"/>
          <w:sz w:val="24"/>
        </w:rPr>
      </w:pPr>
    </w:p>
    <w:p w14:paraId="6EC6DB4F" w14:textId="77777777" w:rsidR="00D13BA5" w:rsidRPr="007C68E7" w:rsidRDefault="00D13BA5" w:rsidP="007C68E7">
      <w:pPr>
        <w:keepNext/>
        <w:keepLines/>
        <w:spacing w:before="200" w:line="360" w:lineRule="auto"/>
        <w:rPr>
          <w:rFonts w:ascii="Times New Roman" w:eastAsia="Calibri"/>
          <w:color w:val="4F81BD"/>
          <w:sz w:val="24"/>
        </w:rPr>
      </w:pPr>
      <w:r w:rsidRPr="007C68E7">
        <w:rPr>
          <w:rFonts w:ascii="Times New Roman" w:eastAsia="Calibri"/>
          <w:noProof/>
          <w:color w:val="4F81BD"/>
          <w:sz w:val="24"/>
          <w:lang w:eastAsia="en-US"/>
        </w:rPr>
        <w:drawing>
          <wp:anchor distT="0" distB="0" distL="114300" distR="114300" simplePos="0" relativeHeight="251659264" behindDoc="0" locked="0" layoutInCell="1" allowOverlap="1" wp14:anchorId="79C27FDC" wp14:editId="35B00DA3">
            <wp:simplePos x="0" y="0"/>
            <wp:positionH relativeFrom="column">
              <wp:posOffset>914400</wp:posOffset>
            </wp:positionH>
            <wp:positionV relativeFrom="paragraph">
              <wp:posOffset>36195</wp:posOffset>
            </wp:positionV>
            <wp:extent cx="3383280" cy="1958340"/>
            <wp:effectExtent l="0" t="0" r="7620" b="3810"/>
            <wp:wrapThrough wrapText="bothSides">
              <wp:wrapPolygon edited="0">
                <wp:start x="0" y="0"/>
                <wp:lineTo x="0" y="21432"/>
                <wp:lineTo x="21527" y="21432"/>
                <wp:lineTo x="21527" y="0"/>
                <wp:lineTo x="0" y="0"/>
              </wp:wrapPolygon>
            </wp:wrapThrough>
            <wp:docPr id="20544802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DD84A1A" w14:textId="77777777" w:rsidR="00D13BA5" w:rsidRPr="007C68E7" w:rsidRDefault="00D13BA5" w:rsidP="007C68E7">
      <w:pPr>
        <w:keepNext/>
        <w:keepLines/>
        <w:spacing w:before="200" w:line="360" w:lineRule="auto"/>
        <w:rPr>
          <w:rFonts w:ascii="Times New Roman" w:eastAsia="Calibri"/>
          <w:color w:val="4F81BD"/>
          <w:sz w:val="24"/>
        </w:rPr>
      </w:pPr>
    </w:p>
    <w:p w14:paraId="4D9FB092" w14:textId="77777777" w:rsidR="00D13BA5" w:rsidRPr="007C68E7" w:rsidRDefault="00D13BA5" w:rsidP="007C68E7">
      <w:pPr>
        <w:spacing w:after="150" w:line="360" w:lineRule="auto"/>
        <w:rPr>
          <w:rFonts w:ascii="Times New Roman" w:eastAsia="Times New Roman"/>
          <w:color w:val="000000" w:themeColor="text1"/>
          <w:sz w:val="24"/>
        </w:rPr>
      </w:pPr>
    </w:p>
    <w:p w14:paraId="0245A4D0" w14:textId="77777777" w:rsidR="00D13BA5" w:rsidRPr="007C68E7" w:rsidRDefault="00D13BA5" w:rsidP="007C68E7">
      <w:pPr>
        <w:spacing w:after="150" w:line="360" w:lineRule="auto"/>
        <w:rPr>
          <w:rFonts w:ascii="Times New Roman" w:eastAsia="Times New Roman"/>
          <w:color w:val="000000" w:themeColor="text1"/>
          <w:sz w:val="24"/>
        </w:rPr>
      </w:pPr>
    </w:p>
    <w:p w14:paraId="44D075E3" w14:textId="77777777" w:rsidR="00D13BA5" w:rsidRPr="007C68E7" w:rsidRDefault="00D13BA5" w:rsidP="007C68E7">
      <w:pPr>
        <w:spacing w:after="150" w:line="360" w:lineRule="auto"/>
        <w:rPr>
          <w:rFonts w:ascii="Times New Roman" w:eastAsia="Times New Roman"/>
          <w:color w:val="000000" w:themeColor="text1"/>
          <w:sz w:val="24"/>
        </w:rPr>
      </w:pPr>
    </w:p>
    <w:p w14:paraId="0C475365" w14:textId="77777777" w:rsidR="00D13BA5" w:rsidRPr="007C68E7" w:rsidRDefault="00D13BA5" w:rsidP="007C68E7">
      <w:pPr>
        <w:spacing w:after="150" w:line="360" w:lineRule="auto"/>
        <w:rPr>
          <w:rFonts w:ascii="Times New Roman" w:eastAsia="Times New Roman"/>
          <w:color w:val="000000" w:themeColor="text1"/>
          <w:sz w:val="24"/>
        </w:rPr>
      </w:pPr>
    </w:p>
    <w:p w14:paraId="1C927B62" w14:textId="77777777" w:rsidR="00360529" w:rsidRPr="007C68E7" w:rsidRDefault="00360529" w:rsidP="007C68E7">
      <w:pPr>
        <w:spacing w:after="150" w:line="360" w:lineRule="auto"/>
        <w:rPr>
          <w:rFonts w:ascii="Times New Roman" w:eastAsia="Times New Roman"/>
          <w:color w:val="000000" w:themeColor="text1"/>
          <w:sz w:val="24"/>
        </w:rPr>
      </w:pPr>
    </w:p>
    <w:p w14:paraId="5ED0EC10" w14:textId="77777777" w:rsidR="00360529" w:rsidRPr="007C68E7" w:rsidRDefault="00360529" w:rsidP="007C68E7">
      <w:pPr>
        <w:spacing w:after="150" w:line="360" w:lineRule="auto"/>
        <w:rPr>
          <w:rFonts w:ascii="Times New Roman" w:eastAsia="Times New Roman"/>
          <w:color w:val="000000" w:themeColor="text1"/>
          <w:sz w:val="24"/>
        </w:rPr>
      </w:pPr>
    </w:p>
    <w:p w14:paraId="27571093" w14:textId="77777777" w:rsidR="00D13BA5" w:rsidRPr="007C68E7" w:rsidRDefault="00D13BA5" w:rsidP="007C68E7">
      <w:pPr>
        <w:spacing w:after="150" w:line="360" w:lineRule="auto"/>
        <w:rPr>
          <w:rFonts w:ascii="Times New Roman" w:eastAsia="Times New Roman"/>
          <w:color w:val="000000" w:themeColor="text1"/>
          <w:sz w:val="24"/>
        </w:rPr>
      </w:pPr>
    </w:p>
    <w:p w14:paraId="5223AACC" w14:textId="77777777" w:rsidR="00D13BA5" w:rsidRPr="007C68E7" w:rsidRDefault="00D13BA5" w:rsidP="007C68E7">
      <w:pPr>
        <w:spacing w:after="150"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The bar graph illustrates the mean fracture strength of all groups, clearly showing the superior performance of the Nano Hybrid Composite, followed by </w:t>
      </w:r>
      <w:proofErr w:type="spellStart"/>
      <w:r w:rsidRPr="007C68E7">
        <w:rPr>
          <w:rFonts w:ascii="Times New Roman" w:eastAsia="Times New Roman"/>
          <w:color w:val="000000" w:themeColor="text1"/>
          <w:sz w:val="24"/>
        </w:rPr>
        <w:t>Amalgomer</w:t>
      </w:r>
      <w:proofErr w:type="spellEnd"/>
      <w:r w:rsidRPr="007C68E7">
        <w:rPr>
          <w:rFonts w:ascii="Times New Roman" w:eastAsia="Times New Roman"/>
          <w:color w:val="000000" w:themeColor="text1"/>
          <w:sz w:val="24"/>
        </w:rPr>
        <w:t xml:space="preserve"> CR, </w:t>
      </w:r>
      <w:proofErr w:type="spellStart"/>
      <w:r w:rsidRPr="007C68E7">
        <w:rPr>
          <w:rFonts w:ascii="Times New Roman" w:eastAsia="Times New Roman"/>
          <w:color w:val="000000" w:themeColor="text1"/>
          <w:sz w:val="24"/>
        </w:rPr>
        <w:t>Biodentine</w:t>
      </w:r>
      <w:proofErr w:type="spellEnd"/>
      <w:r w:rsidRPr="007C68E7">
        <w:rPr>
          <w:rFonts w:ascii="Times New Roman" w:eastAsia="Times New Roman"/>
          <w:color w:val="000000" w:themeColor="text1"/>
          <w:sz w:val="24"/>
        </w:rPr>
        <w:t>, and the control group.</w:t>
      </w:r>
    </w:p>
    <w:p w14:paraId="3D5C3451" w14:textId="77777777" w:rsidR="00D13BA5" w:rsidRPr="007C68E7" w:rsidRDefault="00D13BA5" w:rsidP="007C68E7">
      <w:pPr>
        <w:spacing w:after="150" w:line="360" w:lineRule="auto"/>
        <w:rPr>
          <w:rFonts w:ascii="Times New Roman" w:eastAsia="Times New Roman"/>
          <w:color w:val="000000" w:themeColor="text1"/>
          <w:sz w:val="24"/>
        </w:rPr>
      </w:pPr>
    </w:p>
    <w:p w14:paraId="154FE9F6" w14:textId="77777777" w:rsidR="00D13BA5" w:rsidRPr="007C68E7" w:rsidRDefault="00D13BA5" w:rsidP="007C68E7">
      <w:pPr>
        <w:spacing w:after="150" w:line="360" w:lineRule="auto"/>
        <w:rPr>
          <w:rFonts w:ascii="Times New Roman" w:eastAsia="Times New Roman"/>
          <w:color w:val="000000" w:themeColor="text1"/>
          <w:sz w:val="24"/>
        </w:rPr>
      </w:pPr>
    </w:p>
    <w:p w14:paraId="35CF3060" w14:textId="77777777" w:rsidR="00D13BA5" w:rsidRPr="007C68E7" w:rsidRDefault="00D13BA5" w:rsidP="007C68E7">
      <w:pPr>
        <w:spacing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Table:2 Showing the one-way ANOVA analysis revealed a highly significant difference between the groups in terms of fracture strength (P &lt; 0.0001).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0"/>
        <w:gridCol w:w="1800"/>
        <w:gridCol w:w="1800"/>
        <w:gridCol w:w="1800"/>
        <w:gridCol w:w="1800"/>
      </w:tblGrid>
      <w:tr w:rsidR="00D13BA5" w:rsidRPr="007C68E7" w14:paraId="4C8E775C" w14:textId="77777777" w:rsidTr="00D57084">
        <w:trPr>
          <w:trHeight w:val="300"/>
        </w:trPr>
        <w:tc>
          <w:tcPr>
            <w:tcW w:w="1800" w:type="dxa"/>
            <w:tcMar>
              <w:left w:w="105" w:type="dxa"/>
              <w:right w:w="105" w:type="dxa"/>
            </w:tcMar>
          </w:tcPr>
          <w:p w14:paraId="687F9A94"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Source</w:t>
            </w:r>
          </w:p>
        </w:tc>
        <w:tc>
          <w:tcPr>
            <w:tcW w:w="1800" w:type="dxa"/>
            <w:tcMar>
              <w:left w:w="105" w:type="dxa"/>
              <w:right w:w="105" w:type="dxa"/>
            </w:tcMar>
          </w:tcPr>
          <w:p w14:paraId="025A1974"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Sum of Squares</w:t>
            </w:r>
          </w:p>
        </w:tc>
        <w:tc>
          <w:tcPr>
            <w:tcW w:w="1800" w:type="dxa"/>
            <w:tcMar>
              <w:left w:w="105" w:type="dxa"/>
              <w:right w:w="105" w:type="dxa"/>
            </w:tcMar>
          </w:tcPr>
          <w:p w14:paraId="558F2A04"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df</w:t>
            </w:r>
          </w:p>
        </w:tc>
        <w:tc>
          <w:tcPr>
            <w:tcW w:w="1800" w:type="dxa"/>
            <w:tcMar>
              <w:left w:w="105" w:type="dxa"/>
              <w:right w:w="105" w:type="dxa"/>
            </w:tcMar>
          </w:tcPr>
          <w:p w14:paraId="704BC21B"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F</w:t>
            </w:r>
          </w:p>
        </w:tc>
        <w:tc>
          <w:tcPr>
            <w:tcW w:w="1800" w:type="dxa"/>
            <w:tcMar>
              <w:left w:w="105" w:type="dxa"/>
              <w:right w:w="105" w:type="dxa"/>
            </w:tcMar>
          </w:tcPr>
          <w:p w14:paraId="256270CF"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P-value</w:t>
            </w:r>
            <w:r w:rsidRPr="007C68E7">
              <w:rPr>
                <w:rFonts w:ascii="Times New Roman"/>
                <w:sz w:val="24"/>
              </w:rPr>
              <w:br/>
            </w:r>
          </w:p>
        </w:tc>
      </w:tr>
      <w:tr w:rsidR="00D13BA5" w:rsidRPr="007C68E7" w14:paraId="548ECF49" w14:textId="77777777" w:rsidTr="00D57084">
        <w:trPr>
          <w:trHeight w:val="555"/>
        </w:trPr>
        <w:tc>
          <w:tcPr>
            <w:tcW w:w="1800" w:type="dxa"/>
            <w:tcMar>
              <w:left w:w="105" w:type="dxa"/>
              <w:right w:w="105" w:type="dxa"/>
            </w:tcMar>
          </w:tcPr>
          <w:p w14:paraId="1085ED2D"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lastRenderedPageBreak/>
              <w:t>Between Groups</w:t>
            </w:r>
          </w:p>
        </w:tc>
        <w:tc>
          <w:tcPr>
            <w:tcW w:w="1800" w:type="dxa"/>
            <w:tcMar>
              <w:left w:w="105" w:type="dxa"/>
              <w:right w:w="105" w:type="dxa"/>
            </w:tcMar>
          </w:tcPr>
          <w:p w14:paraId="7CE88846"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439,079.92</w:t>
            </w:r>
          </w:p>
        </w:tc>
        <w:tc>
          <w:tcPr>
            <w:tcW w:w="1800" w:type="dxa"/>
            <w:tcMar>
              <w:left w:w="105" w:type="dxa"/>
              <w:right w:w="105" w:type="dxa"/>
            </w:tcMar>
          </w:tcPr>
          <w:p w14:paraId="7FC0D6B8"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3</w:t>
            </w:r>
          </w:p>
        </w:tc>
        <w:tc>
          <w:tcPr>
            <w:tcW w:w="1800" w:type="dxa"/>
            <w:tcMar>
              <w:left w:w="105" w:type="dxa"/>
              <w:right w:w="105" w:type="dxa"/>
            </w:tcMar>
          </w:tcPr>
          <w:p w14:paraId="23FA4343"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7.55 × 10³⁰</w:t>
            </w:r>
          </w:p>
        </w:tc>
        <w:tc>
          <w:tcPr>
            <w:tcW w:w="1800" w:type="dxa"/>
            <w:tcMar>
              <w:left w:w="105" w:type="dxa"/>
              <w:right w:w="105" w:type="dxa"/>
            </w:tcMar>
          </w:tcPr>
          <w:p w14:paraId="52F322E7"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&lt; 0.0001</w:t>
            </w:r>
          </w:p>
        </w:tc>
      </w:tr>
      <w:tr w:rsidR="00D13BA5" w:rsidRPr="007C68E7" w14:paraId="2C505F18" w14:textId="77777777" w:rsidTr="00D57084">
        <w:trPr>
          <w:trHeight w:val="645"/>
        </w:trPr>
        <w:tc>
          <w:tcPr>
            <w:tcW w:w="1800" w:type="dxa"/>
            <w:tcMar>
              <w:left w:w="105" w:type="dxa"/>
              <w:right w:w="105" w:type="dxa"/>
            </w:tcMar>
          </w:tcPr>
          <w:p w14:paraId="05B2F56C"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Residual</w:t>
            </w:r>
          </w:p>
        </w:tc>
        <w:tc>
          <w:tcPr>
            <w:tcW w:w="1800" w:type="dxa"/>
            <w:tcMar>
              <w:left w:w="105" w:type="dxa"/>
              <w:right w:w="105" w:type="dxa"/>
            </w:tcMar>
          </w:tcPr>
          <w:p w14:paraId="3D7DD1CE"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3.88 × 10⁻²⁵</w:t>
            </w:r>
          </w:p>
        </w:tc>
        <w:tc>
          <w:tcPr>
            <w:tcW w:w="1800" w:type="dxa"/>
            <w:tcMar>
              <w:left w:w="105" w:type="dxa"/>
              <w:right w:w="105" w:type="dxa"/>
            </w:tcMar>
          </w:tcPr>
          <w:p w14:paraId="1EE68DB3"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20</w:t>
            </w:r>
          </w:p>
        </w:tc>
        <w:tc>
          <w:tcPr>
            <w:tcW w:w="1800" w:type="dxa"/>
            <w:tcMar>
              <w:left w:w="105" w:type="dxa"/>
              <w:right w:w="105" w:type="dxa"/>
            </w:tcMar>
          </w:tcPr>
          <w:p w14:paraId="0DD6D8E8"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w:t>
            </w:r>
          </w:p>
        </w:tc>
        <w:tc>
          <w:tcPr>
            <w:tcW w:w="1800" w:type="dxa"/>
            <w:tcMar>
              <w:left w:w="105" w:type="dxa"/>
              <w:right w:w="105" w:type="dxa"/>
            </w:tcMar>
          </w:tcPr>
          <w:p w14:paraId="064BFDB3"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w:t>
            </w:r>
          </w:p>
        </w:tc>
      </w:tr>
    </w:tbl>
    <w:p w14:paraId="225CF5DC" w14:textId="77777777" w:rsidR="00D13BA5" w:rsidRPr="007C68E7" w:rsidRDefault="00D13BA5" w:rsidP="007C68E7">
      <w:pPr>
        <w:spacing w:line="360" w:lineRule="auto"/>
        <w:rPr>
          <w:rFonts w:ascii="Times New Roman" w:eastAsia="Cambria"/>
          <w:color w:val="000000" w:themeColor="text1"/>
          <w:sz w:val="24"/>
        </w:rPr>
      </w:pPr>
    </w:p>
    <w:p w14:paraId="1B5046A8" w14:textId="77777777" w:rsidR="00BE05DC" w:rsidRPr="007C68E7" w:rsidRDefault="00BE05DC" w:rsidP="007C68E7">
      <w:pPr>
        <w:spacing w:after="150" w:line="360" w:lineRule="auto"/>
        <w:rPr>
          <w:rFonts w:ascii="Times New Roman" w:eastAsia="Times New Roman"/>
          <w:color w:val="000000" w:themeColor="text1"/>
          <w:sz w:val="24"/>
        </w:rPr>
      </w:pPr>
    </w:p>
    <w:p w14:paraId="2857B3FB" w14:textId="77777777" w:rsidR="00BE05DC" w:rsidRPr="007C68E7" w:rsidRDefault="00BE05DC" w:rsidP="007C68E7">
      <w:pPr>
        <w:spacing w:after="150" w:line="360" w:lineRule="auto"/>
        <w:rPr>
          <w:rFonts w:ascii="Times New Roman" w:eastAsia="Times New Roman"/>
          <w:color w:val="000000" w:themeColor="text1"/>
          <w:sz w:val="24"/>
        </w:rPr>
      </w:pPr>
    </w:p>
    <w:p w14:paraId="6350C01A" w14:textId="71B36103" w:rsidR="00D13BA5" w:rsidRPr="007C68E7" w:rsidRDefault="00D13BA5" w:rsidP="007C68E7">
      <w:pPr>
        <w:spacing w:after="150" w:line="360" w:lineRule="auto"/>
        <w:rPr>
          <w:rFonts w:ascii="Times New Roman" w:eastAsia="Times New Roman"/>
          <w:color w:val="000000" w:themeColor="text1"/>
          <w:sz w:val="24"/>
        </w:rPr>
      </w:pPr>
      <w:r w:rsidRPr="007C68E7">
        <w:rPr>
          <w:rFonts w:ascii="Times New Roman" w:eastAsia="Times New Roman"/>
          <w:color w:val="000000" w:themeColor="text1"/>
          <w:sz w:val="24"/>
        </w:rPr>
        <w:t>Table 3: Showing intergroup comparison among studied groups.</w:t>
      </w:r>
    </w:p>
    <w:p w14:paraId="2BE694B7" w14:textId="77777777" w:rsidR="00D13BA5" w:rsidRPr="007C68E7" w:rsidRDefault="00D13BA5" w:rsidP="007C68E7">
      <w:pPr>
        <w:spacing w:after="150" w:line="360" w:lineRule="auto"/>
        <w:rPr>
          <w:rFonts w:ascii="Times New Roman" w:eastAsia="Times New Roman"/>
          <w:color w:val="000000" w:themeColor="text1"/>
          <w:sz w:val="24"/>
        </w:rPr>
      </w:pP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5"/>
        <w:gridCol w:w="1515"/>
        <w:gridCol w:w="960"/>
        <w:gridCol w:w="855"/>
        <w:gridCol w:w="1125"/>
        <w:gridCol w:w="1215"/>
        <w:gridCol w:w="1215"/>
      </w:tblGrid>
      <w:tr w:rsidR="00D13BA5" w:rsidRPr="007C68E7" w14:paraId="58029BCF" w14:textId="77777777" w:rsidTr="00D57084">
        <w:trPr>
          <w:trHeight w:val="300"/>
        </w:trPr>
        <w:tc>
          <w:tcPr>
            <w:tcW w:w="1665" w:type="dxa"/>
            <w:tcBorders>
              <w:top w:val="single" w:sz="6" w:space="0" w:color="auto"/>
              <w:left w:val="single" w:sz="6" w:space="0" w:color="auto"/>
            </w:tcBorders>
            <w:tcMar>
              <w:left w:w="90" w:type="dxa"/>
              <w:right w:w="90" w:type="dxa"/>
            </w:tcMar>
          </w:tcPr>
          <w:p w14:paraId="47E40034"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Group 1</w:t>
            </w:r>
          </w:p>
        </w:tc>
        <w:tc>
          <w:tcPr>
            <w:tcW w:w="1515" w:type="dxa"/>
            <w:tcBorders>
              <w:top w:val="single" w:sz="6" w:space="0" w:color="auto"/>
            </w:tcBorders>
            <w:tcMar>
              <w:left w:w="90" w:type="dxa"/>
              <w:right w:w="90" w:type="dxa"/>
            </w:tcMar>
          </w:tcPr>
          <w:p w14:paraId="10E8AEEC"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Group 2</w:t>
            </w:r>
          </w:p>
        </w:tc>
        <w:tc>
          <w:tcPr>
            <w:tcW w:w="960" w:type="dxa"/>
            <w:tcBorders>
              <w:top w:val="single" w:sz="6" w:space="0" w:color="auto"/>
            </w:tcBorders>
            <w:tcMar>
              <w:left w:w="90" w:type="dxa"/>
              <w:right w:w="90" w:type="dxa"/>
            </w:tcMar>
          </w:tcPr>
          <w:p w14:paraId="498B5A04"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Mean Diff (N)</w:t>
            </w:r>
          </w:p>
        </w:tc>
        <w:tc>
          <w:tcPr>
            <w:tcW w:w="855" w:type="dxa"/>
            <w:tcBorders>
              <w:top w:val="single" w:sz="6" w:space="0" w:color="auto"/>
            </w:tcBorders>
            <w:tcMar>
              <w:left w:w="90" w:type="dxa"/>
              <w:right w:w="90" w:type="dxa"/>
            </w:tcMar>
          </w:tcPr>
          <w:p w14:paraId="020933D5"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P-Adjusted</w:t>
            </w:r>
          </w:p>
        </w:tc>
        <w:tc>
          <w:tcPr>
            <w:tcW w:w="1125" w:type="dxa"/>
            <w:tcBorders>
              <w:top w:val="single" w:sz="6" w:space="0" w:color="auto"/>
            </w:tcBorders>
            <w:tcMar>
              <w:left w:w="90" w:type="dxa"/>
              <w:right w:w="90" w:type="dxa"/>
            </w:tcMar>
          </w:tcPr>
          <w:p w14:paraId="361626D4"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Lower Bound</w:t>
            </w:r>
          </w:p>
        </w:tc>
        <w:tc>
          <w:tcPr>
            <w:tcW w:w="1215" w:type="dxa"/>
            <w:tcBorders>
              <w:top w:val="single" w:sz="6" w:space="0" w:color="auto"/>
            </w:tcBorders>
            <w:tcMar>
              <w:left w:w="90" w:type="dxa"/>
              <w:right w:w="90" w:type="dxa"/>
            </w:tcMar>
          </w:tcPr>
          <w:p w14:paraId="0ADC728E"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Upper Bound</w:t>
            </w:r>
          </w:p>
        </w:tc>
        <w:tc>
          <w:tcPr>
            <w:tcW w:w="1215" w:type="dxa"/>
            <w:tcBorders>
              <w:top w:val="single" w:sz="6" w:space="0" w:color="auto"/>
              <w:right w:val="single" w:sz="6" w:space="0" w:color="auto"/>
            </w:tcBorders>
            <w:tcMar>
              <w:left w:w="90" w:type="dxa"/>
              <w:right w:w="90" w:type="dxa"/>
            </w:tcMar>
          </w:tcPr>
          <w:p w14:paraId="46236C68"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Reject (P &lt; 0.05)</w:t>
            </w:r>
          </w:p>
        </w:tc>
      </w:tr>
      <w:tr w:rsidR="00D13BA5" w:rsidRPr="007C68E7" w14:paraId="5F3C7414" w14:textId="77777777" w:rsidTr="00D57084">
        <w:trPr>
          <w:trHeight w:val="300"/>
        </w:trPr>
        <w:tc>
          <w:tcPr>
            <w:tcW w:w="1665" w:type="dxa"/>
            <w:tcBorders>
              <w:left w:val="single" w:sz="6" w:space="0" w:color="auto"/>
            </w:tcBorders>
            <w:tcMar>
              <w:left w:w="90" w:type="dxa"/>
              <w:right w:w="90" w:type="dxa"/>
            </w:tcMar>
          </w:tcPr>
          <w:p w14:paraId="77203FB8" w14:textId="77777777" w:rsidR="00D13BA5" w:rsidRPr="007C68E7" w:rsidRDefault="00D13BA5" w:rsidP="007C68E7">
            <w:pPr>
              <w:spacing w:line="360" w:lineRule="auto"/>
              <w:rPr>
                <w:rFonts w:ascii="Times New Roman" w:eastAsia="Cambria"/>
                <w:color w:val="000000" w:themeColor="text1"/>
                <w:sz w:val="24"/>
              </w:rPr>
            </w:pPr>
            <w:proofErr w:type="spellStart"/>
            <w:r w:rsidRPr="007C68E7">
              <w:rPr>
                <w:rFonts w:ascii="Times New Roman" w:eastAsia="Cambria"/>
                <w:color w:val="000000" w:themeColor="text1"/>
                <w:sz w:val="24"/>
              </w:rPr>
              <w:t>Amalgomer</w:t>
            </w:r>
            <w:proofErr w:type="spellEnd"/>
            <w:r w:rsidRPr="007C68E7">
              <w:rPr>
                <w:rFonts w:ascii="Times New Roman" w:eastAsia="Cambria"/>
                <w:color w:val="000000" w:themeColor="text1"/>
                <w:sz w:val="24"/>
              </w:rPr>
              <w:t xml:space="preserve"> CR</w:t>
            </w:r>
          </w:p>
        </w:tc>
        <w:tc>
          <w:tcPr>
            <w:tcW w:w="1515" w:type="dxa"/>
            <w:tcMar>
              <w:left w:w="90" w:type="dxa"/>
              <w:right w:w="90" w:type="dxa"/>
            </w:tcMar>
          </w:tcPr>
          <w:p w14:paraId="2B3968C9" w14:textId="77777777" w:rsidR="00D13BA5" w:rsidRPr="007C68E7" w:rsidRDefault="00D13BA5" w:rsidP="007C68E7">
            <w:pPr>
              <w:spacing w:line="360" w:lineRule="auto"/>
              <w:rPr>
                <w:rFonts w:ascii="Times New Roman" w:eastAsia="Cambria"/>
                <w:color w:val="000000" w:themeColor="text1"/>
                <w:sz w:val="24"/>
              </w:rPr>
            </w:pPr>
            <w:proofErr w:type="spellStart"/>
            <w:r w:rsidRPr="007C68E7">
              <w:rPr>
                <w:rFonts w:ascii="Times New Roman" w:eastAsia="Cambria"/>
                <w:color w:val="000000" w:themeColor="text1"/>
                <w:sz w:val="24"/>
              </w:rPr>
              <w:t>Biodentine</w:t>
            </w:r>
            <w:proofErr w:type="spellEnd"/>
          </w:p>
        </w:tc>
        <w:tc>
          <w:tcPr>
            <w:tcW w:w="960" w:type="dxa"/>
            <w:tcMar>
              <w:left w:w="90" w:type="dxa"/>
              <w:right w:w="90" w:type="dxa"/>
            </w:tcMar>
          </w:tcPr>
          <w:p w14:paraId="5475B2EC"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19.94</w:t>
            </w:r>
          </w:p>
        </w:tc>
        <w:tc>
          <w:tcPr>
            <w:tcW w:w="855" w:type="dxa"/>
            <w:tcMar>
              <w:left w:w="90" w:type="dxa"/>
              <w:right w:w="90" w:type="dxa"/>
            </w:tcMar>
          </w:tcPr>
          <w:p w14:paraId="425DE1A6"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0.9999</w:t>
            </w:r>
          </w:p>
        </w:tc>
        <w:tc>
          <w:tcPr>
            <w:tcW w:w="1125" w:type="dxa"/>
            <w:tcMar>
              <w:left w:w="90" w:type="dxa"/>
              <w:right w:w="90" w:type="dxa"/>
            </w:tcMar>
          </w:tcPr>
          <w:p w14:paraId="26A675F2"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-241.25</w:t>
            </w:r>
          </w:p>
        </w:tc>
        <w:tc>
          <w:tcPr>
            <w:tcW w:w="1215" w:type="dxa"/>
            <w:tcMar>
              <w:left w:w="90" w:type="dxa"/>
              <w:right w:w="90" w:type="dxa"/>
            </w:tcMar>
          </w:tcPr>
          <w:p w14:paraId="5B079A2E"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281.13</w:t>
            </w:r>
          </w:p>
        </w:tc>
        <w:tc>
          <w:tcPr>
            <w:tcW w:w="1215" w:type="dxa"/>
            <w:tcBorders>
              <w:right w:val="single" w:sz="6" w:space="0" w:color="auto"/>
            </w:tcBorders>
            <w:tcMar>
              <w:left w:w="90" w:type="dxa"/>
              <w:right w:w="90" w:type="dxa"/>
            </w:tcMar>
          </w:tcPr>
          <w:p w14:paraId="4DB2CBAC"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False</w:t>
            </w:r>
          </w:p>
        </w:tc>
      </w:tr>
      <w:tr w:rsidR="00D13BA5" w:rsidRPr="007C68E7" w14:paraId="50D0659F" w14:textId="77777777" w:rsidTr="00D57084">
        <w:trPr>
          <w:trHeight w:val="300"/>
        </w:trPr>
        <w:tc>
          <w:tcPr>
            <w:tcW w:w="1665" w:type="dxa"/>
            <w:tcBorders>
              <w:left w:val="single" w:sz="6" w:space="0" w:color="auto"/>
            </w:tcBorders>
            <w:tcMar>
              <w:left w:w="90" w:type="dxa"/>
              <w:right w:w="90" w:type="dxa"/>
            </w:tcMar>
          </w:tcPr>
          <w:p w14:paraId="2D3E0101" w14:textId="77777777" w:rsidR="00D13BA5" w:rsidRPr="007C68E7" w:rsidRDefault="00D13BA5" w:rsidP="007C68E7">
            <w:pPr>
              <w:spacing w:line="360" w:lineRule="auto"/>
              <w:rPr>
                <w:rFonts w:ascii="Times New Roman" w:eastAsia="Cambria"/>
                <w:color w:val="000000" w:themeColor="text1"/>
                <w:sz w:val="24"/>
              </w:rPr>
            </w:pPr>
            <w:proofErr w:type="spellStart"/>
            <w:r w:rsidRPr="007C68E7">
              <w:rPr>
                <w:rFonts w:ascii="Times New Roman" w:eastAsia="Cambria"/>
                <w:color w:val="000000" w:themeColor="text1"/>
                <w:sz w:val="24"/>
              </w:rPr>
              <w:t>Amalgomer</w:t>
            </w:r>
            <w:proofErr w:type="spellEnd"/>
            <w:r w:rsidRPr="007C68E7">
              <w:rPr>
                <w:rFonts w:ascii="Times New Roman" w:eastAsia="Cambria"/>
                <w:color w:val="000000" w:themeColor="text1"/>
                <w:sz w:val="24"/>
              </w:rPr>
              <w:t xml:space="preserve"> CR</w:t>
            </w:r>
          </w:p>
        </w:tc>
        <w:tc>
          <w:tcPr>
            <w:tcW w:w="1515" w:type="dxa"/>
            <w:tcMar>
              <w:left w:w="90" w:type="dxa"/>
              <w:right w:w="90" w:type="dxa"/>
            </w:tcMar>
          </w:tcPr>
          <w:p w14:paraId="3EB93FC2"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Control</w:t>
            </w:r>
          </w:p>
        </w:tc>
        <w:tc>
          <w:tcPr>
            <w:tcW w:w="960" w:type="dxa"/>
            <w:tcMar>
              <w:left w:w="90" w:type="dxa"/>
              <w:right w:w="90" w:type="dxa"/>
            </w:tcMar>
          </w:tcPr>
          <w:p w14:paraId="63CFB863"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129.13</w:t>
            </w:r>
          </w:p>
        </w:tc>
        <w:tc>
          <w:tcPr>
            <w:tcW w:w="855" w:type="dxa"/>
            <w:tcMar>
              <w:left w:w="90" w:type="dxa"/>
              <w:right w:w="90" w:type="dxa"/>
            </w:tcMar>
          </w:tcPr>
          <w:p w14:paraId="32E18FAC"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0.3801</w:t>
            </w:r>
          </w:p>
        </w:tc>
        <w:tc>
          <w:tcPr>
            <w:tcW w:w="1125" w:type="dxa"/>
            <w:tcMar>
              <w:left w:w="90" w:type="dxa"/>
              <w:right w:w="90" w:type="dxa"/>
            </w:tcMar>
          </w:tcPr>
          <w:p w14:paraId="12518DEF"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-142.06</w:t>
            </w:r>
          </w:p>
        </w:tc>
        <w:tc>
          <w:tcPr>
            <w:tcW w:w="1215" w:type="dxa"/>
            <w:tcMar>
              <w:left w:w="90" w:type="dxa"/>
              <w:right w:w="90" w:type="dxa"/>
            </w:tcMar>
          </w:tcPr>
          <w:p w14:paraId="5DBEB222"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400.32</w:t>
            </w:r>
          </w:p>
        </w:tc>
        <w:tc>
          <w:tcPr>
            <w:tcW w:w="1215" w:type="dxa"/>
            <w:tcBorders>
              <w:right w:val="single" w:sz="6" w:space="0" w:color="auto"/>
            </w:tcBorders>
            <w:tcMar>
              <w:left w:w="90" w:type="dxa"/>
              <w:right w:w="90" w:type="dxa"/>
            </w:tcMar>
          </w:tcPr>
          <w:p w14:paraId="77C4B7E9"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False</w:t>
            </w:r>
          </w:p>
        </w:tc>
      </w:tr>
      <w:tr w:rsidR="00D13BA5" w:rsidRPr="007C68E7" w14:paraId="7D643880" w14:textId="77777777" w:rsidTr="00D57084">
        <w:trPr>
          <w:trHeight w:val="300"/>
        </w:trPr>
        <w:tc>
          <w:tcPr>
            <w:tcW w:w="1665" w:type="dxa"/>
            <w:tcBorders>
              <w:left w:val="single" w:sz="6" w:space="0" w:color="auto"/>
            </w:tcBorders>
            <w:tcMar>
              <w:left w:w="90" w:type="dxa"/>
              <w:right w:w="90" w:type="dxa"/>
            </w:tcMar>
          </w:tcPr>
          <w:p w14:paraId="65D767E4" w14:textId="77777777" w:rsidR="00D13BA5" w:rsidRPr="007C68E7" w:rsidRDefault="00D13BA5" w:rsidP="007C68E7">
            <w:pPr>
              <w:spacing w:line="360" w:lineRule="auto"/>
              <w:rPr>
                <w:rFonts w:ascii="Times New Roman" w:eastAsia="Cambria"/>
                <w:color w:val="000000" w:themeColor="text1"/>
                <w:sz w:val="24"/>
              </w:rPr>
            </w:pPr>
            <w:proofErr w:type="spellStart"/>
            <w:r w:rsidRPr="007C68E7">
              <w:rPr>
                <w:rFonts w:ascii="Times New Roman" w:eastAsia="Cambria"/>
                <w:color w:val="000000" w:themeColor="text1"/>
                <w:sz w:val="24"/>
              </w:rPr>
              <w:t>Amalgomer</w:t>
            </w:r>
            <w:proofErr w:type="spellEnd"/>
            <w:r w:rsidRPr="007C68E7">
              <w:rPr>
                <w:rFonts w:ascii="Times New Roman" w:eastAsia="Cambria"/>
                <w:color w:val="000000" w:themeColor="text1"/>
                <w:sz w:val="24"/>
              </w:rPr>
              <w:t xml:space="preserve"> CR</w:t>
            </w:r>
          </w:p>
        </w:tc>
        <w:tc>
          <w:tcPr>
            <w:tcW w:w="1515" w:type="dxa"/>
            <w:tcMar>
              <w:left w:w="90" w:type="dxa"/>
              <w:right w:w="90" w:type="dxa"/>
            </w:tcMar>
          </w:tcPr>
          <w:p w14:paraId="13B97B95"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Nano Hybrid Composite</w:t>
            </w:r>
          </w:p>
        </w:tc>
        <w:tc>
          <w:tcPr>
            <w:tcW w:w="960" w:type="dxa"/>
            <w:tcMar>
              <w:left w:w="90" w:type="dxa"/>
              <w:right w:w="90" w:type="dxa"/>
            </w:tcMar>
          </w:tcPr>
          <w:p w14:paraId="4DC6D03B"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-241.32</w:t>
            </w:r>
          </w:p>
        </w:tc>
        <w:tc>
          <w:tcPr>
            <w:tcW w:w="855" w:type="dxa"/>
            <w:tcMar>
              <w:left w:w="90" w:type="dxa"/>
              <w:right w:w="90" w:type="dxa"/>
            </w:tcMar>
          </w:tcPr>
          <w:p w14:paraId="5F2F3DC0"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0.0043</w:t>
            </w:r>
          </w:p>
        </w:tc>
        <w:tc>
          <w:tcPr>
            <w:tcW w:w="1125" w:type="dxa"/>
            <w:tcMar>
              <w:left w:w="90" w:type="dxa"/>
              <w:right w:w="90" w:type="dxa"/>
            </w:tcMar>
          </w:tcPr>
          <w:p w14:paraId="3260D22E"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-512.51</w:t>
            </w:r>
          </w:p>
        </w:tc>
        <w:tc>
          <w:tcPr>
            <w:tcW w:w="1215" w:type="dxa"/>
            <w:tcMar>
              <w:left w:w="90" w:type="dxa"/>
              <w:right w:w="90" w:type="dxa"/>
            </w:tcMar>
          </w:tcPr>
          <w:p w14:paraId="476C09F9"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-18.13</w:t>
            </w:r>
          </w:p>
        </w:tc>
        <w:tc>
          <w:tcPr>
            <w:tcW w:w="1215" w:type="dxa"/>
            <w:tcBorders>
              <w:right w:val="single" w:sz="6" w:space="0" w:color="auto"/>
            </w:tcBorders>
            <w:tcMar>
              <w:left w:w="90" w:type="dxa"/>
              <w:right w:w="90" w:type="dxa"/>
            </w:tcMar>
          </w:tcPr>
          <w:p w14:paraId="16C77871"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True</w:t>
            </w:r>
          </w:p>
        </w:tc>
      </w:tr>
      <w:tr w:rsidR="00D13BA5" w:rsidRPr="007C68E7" w14:paraId="76AFDECF" w14:textId="77777777" w:rsidTr="00D57084">
        <w:trPr>
          <w:trHeight w:val="300"/>
        </w:trPr>
        <w:tc>
          <w:tcPr>
            <w:tcW w:w="1665" w:type="dxa"/>
            <w:tcBorders>
              <w:left w:val="single" w:sz="6" w:space="0" w:color="auto"/>
            </w:tcBorders>
            <w:tcMar>
              <w:left w:w="90" w:type="dxa"/>
              <w:right w:w="90" w:type="dxa"/>
            </w:tcMar>
          </w:tcPr>
          <w:p w14:paraId="08D88236" w14:textId="77777777" w:rsidR="00D13BA5" w:rsidRPr="007C68E7" w:rsidRDefault="00D13BA5" w:rsidP="007C68E7">
            <w:pPr>
              <w:spacing w:line="360" w:lineRule="auto"/>
              <w:rPr>
                <w:rFonts w:ascii="Times New Roman" w:eastAsia="Cambria"/>
                <w:color w:val="000000" w:themeColor="text1"/>
                <w:sz w:val="24"/>
              </w:rPr>
            </w:pPr>
            <w:proofErr w:type="spellStart"/>
            <w:r w:rsidRPr="007C68E7">
              <w:rPr>
                <w:rFonts w:ascii="Times New Roman" w:eastAsia="Cambria"/>
                <w:color w:val="000000" w:themeColor="text1"/>
                <w:sz w:val="24"/>
              </w:rPr>
              <w:t>Biodentine</w:t>
            </w:r>
            <w:proofErr w:type="spellEnd"/>
          </w:p>
        </w:tc>
        <w:tc>
          <w:tcPr>
            <w:tcW w:w="1515" w:type="dxa"/>
            <w:tcMar>
              <w:left w:w="90" w:type="dxa"/>
              <w:right w:w="90" w:type="dxa"/>
            </w:tcMar>
          </w:tcPr>
          <w:p w14:paraId="750800E5"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Control</w:t>
            </w:r>
          </w:p>
        </w:tc>
        <w:tc>
          <w:tcPr>
            <w:tcW w:w="960" w:type="dxa"/>
            <w:tcMar>
              <w:left w:w="90" w:type="dxa"/>
              <w:right w:w="90" w:type="dxa"/>
            </w:tcMar>
          </w:tcPr>
          <w:p w14:paraId="4F1742A2"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109.19</w:t>
            </w:r>
          </w:p>
        </w:tc>
        <w:tc>
          <w:tcPr>
            <w:tcW w:w="855" w:type="dxa"/>
            <w:tcMar>
              <w:left w:w="90" w:type="dxa"/>
              <w:right w:w="90" w:type="dxa"/>
            </w:tcMar>
          </w:tcPr>
          <w:p w14:paraId="4A641AD7"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0.5045</w:t>
            </w:r>
          </w:p>
        </w:tc>
        <w:tc>
          <w:tcPr>
            <w:tcW w:w="1125" w:type="dxa"/>
            <w:tcMar>
              <w:left w:w="90" w:type="dxa"/>
              <w:right w:w="90" w:type="dxa"/>
            </w:tcMar>
          </w:tcPr>
          <w:p w14:paraId="7D6689B6"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-162.00</w:t>
            </w:r>
          </w:p>
        </w:tc>
        <w:tc>
          <w:tcPr>
            <w:tcW w:w="1215" w:type="dxa"/>
            <w:tcMar>
              <w:left w:w="90" w:type="dxa"/>
              <w:right w:w="90" w:type="dxa"/>
            </w:tcMar>
          </w:tcPr>
          <w:p w14:paraId="61BE02A0"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380.38</w:t>
            </w:r>
          </w:p>
        </w:tc>
        <w:tc>
          <w:tcPr>
            <w:tcW w:w="1215" w:type="dxa"/>
            <w:tcBorders>
              <w:right w:val="single" w:sz="6" w:space="0" w:color="auto"/>
            </w:tcBorders>
            <w:tcMar>
              <w:left w:w="90" w:type="dxa"/>
              <w:right w:w="90" w:type="dxa"/>
            </w:tcMar>
          </w:tcPr>
          <w:p w14:paraId="5177A989"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False</w:t>
            </w:r>
          </w:p>
        </w:tc>
      </w:tr>
      <w:tr w:rsidR="00D13BA5" w:rsidRPr="007C68E7" w14:paraId="0AB0FD64" w14:textId="77777777" w:rsidTr="00D57084">
        <w:trPr>
          <w:trHeight w:val="300"/>
        </w:trPr>
        <w:tc>
          <w:tcPr>
            <w:tcW w:w="1665" w:type="dxa"/>
            <w:tcBorders>
              <w:left w:val="single" w:sz="6" w:space="0" w:color="auto"/>
            </w:tcBorders>
            <w:tcMar>
              <w:left w:w="90" w:type="dxa"/>
              <w:right w:w="90" w:type="dxa"/>
            </w:tcMar>
          </w:tcPr>
          <w:p w14:paraId="54039692" w14:textId="77777777" w:rsidR="00D13BA5" w:rsidRPr="007C68E7" w:rsidRDefault="00D13BA5" w:rsidP="007C68E7">
            <w:pPr>
              <w:spacing w:line="360" w:lineRule="auto"/>
              <w:rPr>
                <w:rFonts w:ascii="Times New Roman" w:eastAsia="Cambria"/>
                <w:color w:val="000000" w:themeColor="text1"/>
                <w:sz w:val="24"/>
              </w:rPr>
            </w:pPr>
            <w:proofErr w:type="spellStart"/>
            <w:r w:rsidRPr="007C68E7">
              <w:rPr>
                <w:rFonts w:ascii="Times New Roman" w:eastAsia="Cambria"/>
                <w:color w:val="000000" w:themeColor="text1"/>
                <w:sz w:val="24"/>
              </w:rPr>
              <w:t>Biodentine</w:t>
            </w:r>
            <w:proofErr w:type="spellEnd"/>
          </w:p>
        </w:tc>
        <w:tc>
          <w:tcPr>
            <w:tcW w:w="1515" w:type="dxa"/>
            <w:tcMar>
              <w:left w:w="90" w:type="dxa"/>
              <w:right w:w="90" w:type="dxa"/>
            </w:tcMar>
          </w:tcPr>
          <w:p w14:paraId="28B4441E"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Nano Hybrid Composite</w:t>
            </w:r>
          </w:p>
        </w:tc>
        <w:tc>
          <w:tcPr>
            <w:tcW w:w="960" w:type="dxa"/>
            <w:tcMar>
              <w:left w:w="90" w:type="dxa"/>
              <w:right w:w="90" w:type="dxa"/>
            </w:tcMar>
          </w:tcPr>
          <w:p w14:paraId="26A60E03"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-261.26</w:t>
            </w:r>
          </w:p>
        </w:tc>
        <w:tc>
          <w:tcPr>
            <w:tcW w:w="855" w:type="dxa"/>
            <w:tcMar>
              <w:left w:w="90" w:type="dxa"/>
              <w:right w:w="90" w:type="dxa"/>
            </w:tcMar>
          </w:tcPr>
          <w:p w14:paraId="4B745E22"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0.0025</w:t>
            </w:r>
          </w:p>
        </w:tc>
        <w:tc>
          <w:tcPr>
            <w:tcW w:w="1125" w:type="dxa"/>
            <w:tcMar>
              <w:left w:w="90" w:type="dxa"/>
              <w:right w:w="90" w:type="dxa"/>
            </w:tcMar>
          </w:tcPr>
          <w:p w14:paraId="4A4C1E69"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-532.45</w:t>
            </w:r>
          </w:p>
        </w:tc>
        <w:tc>
          <w:tcPr>
            <w:tcW w:w="1215" w:type="dxa"/>
            <w:tcMar>
              <w:left w:w="90" w:type="dxa"/>
              <w:right w:w="90" w:type="dxa"/>
            </w:tcMar>
          </w:tcPr>
          <w:p w14:paraId="653776BD"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-10.06</w:t>
            </w:r>
          </w:p>
        </w:tc>
        <w:tc>
          <w:tcPr>
            <w:tcW w:w="1215" w:type="dxa"/>
            <w:tcBorders>
              <w:right w:val="single" w:sz="6" w:space="0" w:color="auto"/>
            </w:tcBorders>
            <w:tcMar>
              <w:left w:w="90" w:type="dxa"/>
              <w:right w:w="90" w:type="dxa"/>
            </w:tcMar>
          </w:tcPr>
          <w:p w14:paraId="1BD30D46"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True</w:t>
            </w:r>
          </w:p>
        </w:tc>
      </w:tr>
      <w:tr w:rsidR="00D13BA5" w:rsidRPr="007C68E7" w14:paraId="14AB02C5" w14:textId="77777777" w:rsidTr="00D57084">
        <w:trPr>
          <w:trHeight w:val="300"/>
        </w:trPr>
        <w:tc>
          <w:tcPr>
            <w:tcW w:w="1665" w:type="dxa"/>
            <w:tcBorders>
              <w:left w:val="single" w:sz="6" w:space="0" w:color="auto"/>
              <w:bottom w:val="single" w:sz="6" w:space="0" w:color="auto"/>
            </w:tcBorders>
            <w:tcMar>
              <w:left w:w="90" w:type="dxa"/>
              <w:right w:w="90" w:type="dxa"/>
            </w:tcMar>
          </w:tcPr>
          <w:p w14:paraId="42F59954"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Control</w:t>
            </w:r>
          </w:p>
        </w:tc>
        <w:tc>
          <w:tcPr>
            <w:tcW w:w="1515" w:type="dxa"/>
            <w:tcBorders>
              <w:bottom w:val="single" w:sz="6" w:space="0" w:color="auto"/>
            </w:tcBorders>
            <w:tcMar>
              <w:left w:w="90" w:type="dxa"/>
              <w:right w:w="90" w:type="dxa"/>
            </w:tcMar>
          </w:tcPr>
          <w:p w14:paraId="6308079A"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Nano Hybrid Composite</w:t>
            </w:r>
          </w:p>
        </w:tc>
        <w:tc>
          <w:tcPr>
            <w:tcW w:w="960" w:type="dxa"/>
            <w:tcBorders>
              <w:bottom w:val="single" w:sz="6" w:space="0" w:color="auto"/>
            </w:tcBorders>
            <w:tcMar>
              <w:left w:w="90" w:type="dxa"/>
              <w:right w:w="90" w:type="dxa"/>
            </w:tcMar>
          </w:tcPr>
          <w:p w14:paraId="461881DA"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-370.45</w:t>
            </w:r>
          </w:p>
        </w:tc>
        <w:tc>
          <w:tcPr>
            <w:tcW w:w="855" w:type="dxa"/>
            <w:tcBorders>
              <w:bottom w:val="single" w:sz="6" w:space="0" w:color="auto"/>
            </w:tcBorders>
            <w:tcMar>
              <w:left w:w="90" w:type="dxa"/>
              <w:right w:w="90" w:type="dxa"/>
            </w:tcMar>
          </w:tcPr>
          <w:p w14:paraId="353A590B"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0.0001</w:t>
            </w:r>
          </w:p>
        </w:tc>
        <w:tc>
          <w:tcPr>
            <w:tcW w:w="1125" w:type="dxa"/>
            <w:tcBorders>
              <w:bottom w:val="single" w:sz="6" w:space="0" w:color="auto"/>
            </w:tcBorders>
            <w:tcMar>
              <w:left w:w="90" w:type="dxa"/>
              <w:right w:w="90" w:type="dxa"/>
            </w:tcMar>
          </w:tcPr>
          <w:p w14:paraId="1A76D477"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-641.64</w:t>
            </w:r>
          </w:p>
        </w:tc>
        <w:tc>
          <w:tcPr>
            <w:tcW w:w="1215" w:type="dxa"/>
            <w:tcBorders>
              <w:bottom w:val="single" w:sz="6" w:space="0" w:color="auto"/>
            </w:tcBorders>
            <w:tcMar>
              <w:left w:w="90" w:type="dxa"/>
              <w:right w:w="90" w:type="dxa"/>
            </w:tcMar>
          </w:tcPr>
          <w:p w14:paraId="5BC1880F"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-99.26</w:t>
            </w:r>
          </w:p>
        </w:tc>
        <w:tc>
          <w:tcPr>
            <w:tcW w:w="1215" w:type="dxa"/>
            <w:tcBorders>
              <w:bottom w:val="single" w:sz="6" w:space="0" w:color="auto"/>
              <w:right w:val="single" w:sz="6" w:space="0" w:color="auto"/>
            </w:tcBorders>
            <w:tcMar>
              <w:left w:w="90" w:type="dxa"/>
              <w:right w:w="90" w:type="dxa"/>
            </w:tcMar>
          </w:tcPr>
          <w:p w14:paraId="2A8D9572" w14:textId="77777777" w:rsidR="00D13BA5" w:rsidRPr="007C68E7" w:rsidRDefault="00D13BA5" w:rsidP="007C68E7">
            <w:pPr>
              <w:spacing w:line="360" w:lineRule="auto"/>
              <w:rPr>
                <w:rFonts w:ascii="Times New Roman" w:eastAsia="Cambria"/>
                <w:color w:val="000000" w:themeColor="text1"/>
                <w:sz w:val="24"/>
              </w:rPr>
            </w:pPr>
            <w:r w:rsidRPr="007C68E7">
              <w:rPr>
                <w:rFonts w:ascii="Times New Roman" w:eastAsia="Cambria"/>
                <w:color w:val="000000" w:themeColor="text1"/>
                <w:sz w:val="24"/>
              </w:rPr>
              <w:t>True</w:t>
            </w:r>
          </w:p>
        </w:tc>
      </w:tr>
    </w:tbl>
    <w:p w14:paraId="58E7583E" w14:textId="77777777" w:rsidR="00BE05DC" w:rsidRPr="007C68E7" w:rsidRDefault="00BE05DC" w:rsidP="007C68E7">
      <w:pPr>
        <w:keepNext/>
        <w:keepLines/>
        <w:spacing w:before="200" w:line="360" w:lineRule="auto"/>
        <w:rPr>
          <w:rFonts w:ascii="Times New Roman" w:eastAsia="Times New Roman"/>
          <w:color w:val="000000" w:themeColor="text1"/>
          <w:sz w:val="24"/>
        </w:rPr>
      </w:pPr>
    </w:p>
    <w:p w14:paraId="7F95F68F" w14:textId="215F1CFA" w:rsidR="00D13BA5" w:rsidRPr="007C68E7" w:rsidRDefault="00D13BA5" w:rsidP="007C68E7">
      <w:pPr>
        <w:keepNext/>
        <w:keepLines/>
        <w:spacing w:before="200"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The Nano Hybrid Composite group exhibited significantly higher fracture strength compared to </w:t>
      </w:r>
      <w:proofErr w:type="spellStart"/>
      <w:r w:rsidRPr="007C68E7">
        <w:rPr>
          <w:rFonts w:ascii="Times New Roman" w:eastAsia="Times New Roman"/>
          <w:color w:val="000000" w:themeColor="text1"/>
          <w:sz w:val="24"/>
        </w:rPr>
        <w:t>Amalgomer</w:t>
      </w:r>
      <w:proofErr w:type="spellEnd"/>
      <w:r w:rsidRPr="007C68E7">
        <w:rPr>
          <w:rFonts w:ascii="Times New Roman" w:eastAsia="Times New Roman"/>
          <w:color w:val="000000" w:themeColor="text1"/>
          <w:sz w:val="24"/>
        </w:rPr>
        <w:t xml:space="preserve"> CR (P = 0.0043), </w:t>
      </w:r>
      <w:proofErr w:type="spellStart"/>
      <w:r w:rsidRPr="007C68E7">
        <w:rPr>
          <w:rFonts w:ascii="Times New Roman" w:eastAsia="Times New Roman"/>
          <w:color w:val="000000" w:themeColor="text1"/>
          <w:sz w:val="24"/>
        </w:rPr>
        <w:t>Biodentine</w:t>
      </w:r>
      <w:proofErr w:type="spellEnd"/>
      <w:r w:rsidRPr="007C68E7">
        <w:rPr>
          <w:rFonts w:ascii="Times New Roman" w:eastAsia="Times New Roman"/>
          <w:color w:val="000000" w:themeColor="text1"/>
          <w:sz w:val="24"/>
        </w:rPr>
        <w:t xml:space="preserve"> (P = 0.0025), and Control (P = 0.0001). No significant differences were observed between </w:t>
      </w:r>
      <w:proofErr w:type="spellStart"/>
      <w:r w:rsidRPr="007C68E7">
        <w:rPr>
          <w:rFonts w:ascii="Times New Roman" w:eastAsia="Times New Roman"/>
          <w:color w:val="000000" w:themeColor="text1"/>
          <w:sz w:val="24"/>
        </w:rPr>
        <w:t>Amalgomer</w:t>
      </w:r>
      <w:proofErr w:type="spellEnd"/>
      <w:r w:rsidRPr="007C68E7">
        <w:rPr>
          <w:rFonts w:ascii="Times New Roman" w:eastAsia="Times New Roman"/>
          <w:color w:val="000000" w:themeColor="text1"/>
          <w:sz w:val="24"/>
        </w:rPr>
        <w:t xml:space="preserve"> CR, </w:t>
      </w:r>
      <w:proofErr w:type="spellStart"/>
      <w:r w:rsidRPr="007C68E7">
        <w:rPr>
          <w:rFonts w:ascii="Times New Roman" w:eastAsia="Times New Roman"/>
          <w:color w:val="000000" w:themeColor="text1"/>
          <w:sz w:val="24"/>
        </w:rPr>
        <w:t>Biodentine</w:t>
      </w:r>
      <w:proofErr w:type="spellEnd"/>
      <w:r w:rsidRPr="007C68E7">
        <w:rPr>
          <w:rFonts w:ascii="Times New Roman" w:eastAsia="Times New Roman"/>
          <w:color w:val="000000" w:themeColor="text1"/>
          <w:sz w:val="24"/>
        </w:rPr>
        <w:t xml:space="preserve">, and the Control group. This suggests that Nano Hybrid Composite with fiber reinforcement provides superior reinforcement of </w:t>
      </w:r>
      <w:proofErr w:type="spellStart"/>
      <w:r w:rsidRPr="007C68E7">
        <w:rPr>
          <w:rFonts w:ascii="Times New Roman" w:eastAsia="Times New Roman"/>
          <w:color w:val="000000" w:themeColor="text1"/>
          <w:sz w:val="24"/>
        </w:rPr>
        <w:t>pericervical</w:t>
      </w:r>
      <w:proofErr w:type="spellEnd"/>
      <w:r w:rsidRPr="007C68E7">
        <w:rPr>
          <w:rFonts w:ascii="Times New Roman" w:eastAsia="Times New Roman"/>
          <w:color w:val="000000" w:themeColor="text1"/>
          <w:sz w:val="24"/>
        </w:rPr>
        <w:t xml:space="preserve"> dentin, thereby improving the structural integrity of endodontically treated teeth. </w:t>
      </w:r>
    </w:p>
    <w:p w14:paraId="3720D897" w14:textId="77777777" w:rsidR="00D13BA5" w:rsidRPr="007C68E7" w:rsidRDefault="00D13BA5" w:rsidP="007C68E7">
      <w:pPr>
        <w:keepNext/>
        <w:keepLines/>
        <w:spacing w:before="200" w:line="360" w:lineRule="auto"/>
        <w:jc w:val="center"/>
        <w:rPr>
          <w:rFonts w:ascii="Times New Roman" w:eastAsia="Calibri"/>
          <w:color w:val="4F81BD"/>
          <w:sz w:val="24"/>
        </w:rPr>
      </w:pPr>
    </w:p>
    <w:p w14:paraId="0221F073" w14:textId="77777777" w:rsidR="00D13BA5" w:rsidRPr="007C68E7" w:rsidRDefault="00D13BA5" w:rsidP="007C68E7">
      <w:pPr>
        <w:spacing w:line="360" w:lineRule="auto"/>
        <w:rPr>
          <w:rFonts w:ascii="Times New Roman" w:eastAsia="Times New Roman"/>
          <w:color w:val="3F6CAF"/>
          <w:sz w:val="24"/>
        </w:rPr>
      </w:pPr>
      <w:r w:rsidRPr="007C68E7">
        <w:rPr>
          <w:rFonts w:ascii="Times New Roman" w:eastAsia="Times New Roman"/>
          <w:b/>
          <w:bCs/>
          <w:color w:val="3F6CAF"/>
          <w:sz w:val="24"/>
        </w:rPr>
        <w:t>Discussion</w:t>
      </w:r>
    </w:p>
    <w:p w14:paraId="7D30D24F" w14:textId="73E43C76" w:rsidR="001F5D3C" w:rsidRPr="007C68E7" w:rsidRDefault="00D13BA5" w:rsidP="00D73596">
      <w:pPr>
        <w:spacing w:after="150" w:line="360" w:lineRule="auto"/>
        <w:rPr>
          <w:rFonts w:ascii="Times New Roman"/>
          <w:sz w:val="24"/>
        </w:rPr>
      </w:pPr>
      <w:r w:rsidRPr="007C68E7">
        <w:rPr>
          <w:rFonts w:ascii="Times New Roman" w:eastAsia="Times New Roman"/>
          <w:color w:val="000000" w:themeColor="text1"/>
          <w:sz w:val="24"/>
        </w:rPr>
        <w:t xml:space="preserve">The present in vitro study evaluated the fracture strength of endodontically treated teeth reinforced with different </w:t>
      </w:r>
      <w:proofErr w:type="spellStart"/>
      <w:r w:rsidRPr="007C68E7">
        <w:rPr>
          <w:rFonts w:ascii="Times New Roman" w:eastAsia="Times New Roman"/>
          <w:color w:val="000000" w:themeColor="text1"/>
          <w:sz w:val="24"/>
        </w:rPr>
        <w:t>intraorifice</w:t>
      </w:r>
      <w:proofErr w:type="spellEnd"/>
      <w:r w:rsidRPr="007C68E7">
        <w:rPr>
          <w:rFonts w:ascii="Times New Roman" w:eastAsia="Times New Roman"/>
          <w:color w:val="000000" w:themeColor="text1"/>
          <w:sz w:val="24"/>
        </w:rPr>
        <w:t xml:space="preserve"> barrier materials, with a specific focus on the reinforcement of the </w:t>
      </w:r>
      <w:proofErr w:type="spellStart"/>
      <w:r w:rsidRPr="007C68E7">
        <w:rPr>
          <w:rFonts w:ascii="Times New Roman" w:eastAsia="Times New Roman"/>
          <w:color w:val="000000" w:themeColor="text1"/>
          <w:sz w:val="24"/>
        </w:rPr>
        <w:t>pericervical</w:t>
      </w:r>
      <w:proofErr w:type="spellEnd"/>
      <w:r w:rsidRPr="007C68E7">
        <w:rPr>
          <w:rFonts w:ascii="Times New Roman" w:eastAsia="Times New Roman"/>
          <w:color w:val="000000" w:themeColor="text1"/>
          <w:sz w:val="24"/>
        </w:rPr>
        <w:t xml:space="preserve"> dentin (PCD). The results demonstrated that the Nano</w:t>
      </w:r>
      <w:r w:rsidRPr="007C68E7">
        <w:rPr>
          <w:rFonts w:ascii="Times New Roman" w:eastAsia="Times New Roman"/>
          <w:b/>
          <w:bCs/>
          <w:color w:val="000000" w:themeColor="text1"/>
          <w:sz w:val="24"/>
        </w:rPr>
        <w:t xml:space="preserve"> </w:t>
      </w:r>
      <w:r w:rsidRPr="007C68E7">
        <w:rPr>
          <w:rFonts w:ascii="Times New Roman" w:eastAsia="Times New Roman"/>
          <w:color w:val="000000" w:themeColor="text1"/>
          <w:sz w:val="24"/>
        </w:rPr>
        <w:t xml:space="preserve">Hybrid Composite with fiber reinforcement (Group II) provided the highest fracture resistance, followed by </w:t>
      </w:r>
      <w:proofErr w:type="spellStart"/>
      <w:r w:rsidRPr="007C68E7">
        <w:rPr>
          <w:rFonts w:ascii="Times New Roman" w:eastAsia="Times New Roman"/>
          <w:color w:val="000000" w:themeColor="text1"/>
          <w:sz w:val="24"/>
        </w:rPr>
        <w:t>Amalgomer</w:t>
      </w:r>
      <w:proofErr w:type="spellEnd"/>
      <w:r w:rsidRPr="007C68E7">
        <w:rPr>
          <w:rFonts w:ascii="Times New Roman" w:eastAsia="Times New Roman"/>
          <w:color w:val="000000" w:themeColor="text1"/>
          <w:sz w:val="24"/>
        </w:rPr>
        <w:t xml:space="preserve"> CR (Group I) and </w:t>
      </w:r>
      <w:proofErr w:type="spellStart"/>
      <w:r w:rsidRPr="007C68E7">
        <w:rPr>
          <w:rFonts w:ascii="Times New Roman" w:eastAsia="Times New Roman"/>
          <w:color w:val="000000" w:themeColor="text1"/>
          <w:sz w:val="24"/>
        </w:rPr>
        <w:t>Biodentine</w:t>
      </w:r>
      <w:proofErr w:type="spellEnd"/>
      <w:r w:rsidRPr="007C68E7">
        <w:rPr>
          <w:rFonts w:ascii="Times New Roman" w:eastAsia="Times New Roman"/>
          <w:color w:val="000000" w:themeColor="text1"/>
          <w:sz w:val="24"/>
        </w:rPr>
        <w:t xml:space="preserve"> (Group III), with the control group (Group IV) showing the lowest fracture strength.</w:t>
      </w:r>
      <w:r w:rsidR="001F5D3C" w:rsidRPr="007C68E7">
        <w:rPr>
          <w:rFonts w:ascii="Times New Roman" w:eastAsia="Times New Roman"/>
          <w:color w:val="000000" w:themeColor="text1"/>
          <w:sz w:val="24"/>
        </w:rPr>
        <w:t xml:space="preserve"> </w:t>
      </w:r>
      <w:r w:rsidR="00D65DBE">
        <w:rPr>
          <w:rFonts w:ascii="Times New Roman" w:eastAsia="Times New Roman"/>
          <w:color w:val="000000" w:themeColor="text1"/>
          <w:sz w:val="24"/>
        </w:rPr>
        <w:t>“</w:t>
      </w:r>
      <w:r w:rsidR="001F5D3C" w:rsidRPr="007C68E7">
        <w:rPr>
          <w:rFonts w:ascii="Times New Roman"/>
          <w:sz w:val="24"/>
        </w:rPr>
        <w:t xml:space="preserve">The superior performance of Nano Hybrid Composite can be attributed to its enhanced flexural strength, modulus of elasticity, and fiber reinforcement, which collectively mimic the biomechanical behavior of natural dentin. Fiber reinforcement within composites aids in stress distribution and crack deflection, thereby reducing catastrophic fracture propagation. These results are consistent with the findings of </w:t>
      </w:r>
      <w:proofErr w:type="spellStart"/>
      <w:r w:rsidR="001F5D3C" w:rsidRPr="007C68E7">
        <w:rPr>
          <w:rFonts w:ascii="Times New Roman"/>
          <w:sz w:val="24"/>
        </w:rPr>
        <w:t>Garoushi</w:t>
      </w:r>
      <w:proofErr w:type="spellEnd"/>
      <w:r w:rsidR="001F5D3C" w:rsidRPr="007C68E7">
        <w:rPr>
          <w:rFonts w:ascii="Times New Roman"/>
          <w:sz w:val="24"/>
        </w:rPr>
        <w:t xml:space="preserve"> et al. and more recent studies, which confirmed that fiber-reinforced composites significantly improve load-bearing capacity in structurally compromised </w:t>
      </w:r>
      <w:r w:rsidR="007C68E7" w:rsidRPr="007C68E7">
        <w:rPr>
          <w:rFonts w:ascii="Times New Roman"/>
          <w:sz w:val="24"/>
        </w:rPr>
        <w:t>teeth</w:t>
      </w:r>
      <w:r w:rsidR="00D65DBE">
        <w:rPr>
          <w:rFonts w:ascii="Times New Roman"/>
          <w:sz w:val="24"/>
        </w:rPr>
        <w:t>”</w:t>
      </w:r>
      <w:r w:rsidR="007C68E7" w:rsidRPr="007C68E7">
        <w:rPr>
          <w:rFonts w:ascii="Times New Roman"/>
          <w:sz w:val="24"/>
        </w:rPr>
        <w:t xml:space="preserve"> </w:t>
      </w:r>
      <w:r w:rsidR="007C68E7" w:rsidRPr="007C68E7">
        <w:rPr>
          <w:rFonts w:ascii="Times New Roman" w:eastAsia="Times New Roman"/>
          <w:color w:val="000000" w:themeColor="text1"/>
          <w:sz w:val="24"/>
        </w:rPr>
        <w:t>[</w:t>
      </w:r>
      <w:r w:rsidR="007C68E7">
        <w:rPr>
          <w:rFonts w:ascii="Times New Roman" w:eastAsia="Times New Roman"/>
          <w:color w:val="000000" w:themeColor="text1"/>
          <w:sz w:val="24"/>
        </w:rPr>
        <w:t>12,13</w:t>
      </w:r>
      <w:r w:rsidR="007C68E7" w:rsidRPr="007C68E7">
        <w:rPr>
          <w:rFonts w:ascii="Times New Roman" w:eastAsia="Times New Roman"/>
          <w:color w:val="000000" w:themeColor="text1"/>
          <w:sz w:val="24"/>
        </w:rPr>
        <w:t>].</w:t>
      </w:r>
    </w:p>
    <w:p w14:paraId="7BCE22D1" w14:textId="039F067F" w:rsidR="00423C98" w:rsidRPr="007C68E7" w:rsidRDefault="00D65DBE" w:rsidP="00D73596">
      <w:pPr>
        <w:pStyle w:val="p1"/>
        <w:spacing w:line="360" w:lineRule="auto"/>
      </w:pPr>
      <w:r>
        <w:t>“</w:t>
      </w:r>
      <w:proofErr w:type="spellStart"/>
      <w:r w:rsidR="00FA2901" w:rsidRPr="007C68E7">
        <w:t>Amalgomer</w:t>
      </w:r>
      <w:proofErr w:type="spellEnd"/>
      <w:r w:rsidR="00FA2901" w:rsidRPr="007C68E7">
        <w:t xml:space="preserve"> CR, a ceramic-reinforced glass ionomer, provided moderate reinforcement. Its chemical adhesion to dentin and improved mechanical properties compared to conventional glass ionomers may explain its better performance than the control group. The material’s fluoride release and </w:t>
      </w:r>
      <w:proofErr w:type="spellStart"/>
      <w:r w:rsidR="00FA2901" w:rsidRPr="007C68E7">
        <w:t>favorable</w:t>
      </w:r>
      <w:proofErr w:type="spellEnd"/>
      <w:r w:rsidR="00FA2901" w:rsidRPr="007C68E7">
        <w:t xml:space="preserve"> handling further support its use in clinical scenarios. However, despite its advantages, </w:t>
      </w:r>
      <w:proofErr w:type="spellStart"/>
      <w:r w:rsidR="00FA2901" w:rsidRPr="007C68E7">
        <w:t>Amalgomer</w:t>
      </w:r>
      <w:proofErr w:type="spellEnd"/>
      <w:r w:rsidR="00FA2901" w:rsidRPr="007C68E7">
        <w:t xml:space="preserve"> CR demonstrated lower reinforcement capacity than Nano Hybrid Composite, consistent with previous reports that </w:t>
      </w:r>
      <w:proofErr w:type="spellStart"/>
      <w:r w:rsidR="00FA2901" w:rsidRPr="007C68E7">
        <w:t>fiber</w:t>
      </w:r>
      <w:proofErr w:type="spellEnd"/>
      <w:r w:rsidR="00FA2901" w:rsidRPr="007C68E7">
        <w:t>-reinforced composites outperform glass ionomer–based restoratives under functional loads</w:t>
      </w:r>
      <w:r>
        <w:t xml:space="preserve">” </w:t>
      </w:r>
      <w:r w:rsidR="007C68E7" w:rsidRPr="007C68E7">
        <w:rPr>
          <w:color w:val="000000" w:themeColor="text1"/>
        </w:rPr>
        <w:t>[</w:t>
      </w:r>
      <w:r w:rsidR="007C68E7">
        <w:rPr>
          <w:color w:val="000000" w:themeColor="text1"/>
        </w:rPr>
        <w:t>14</w:t>
      </w:r>
      <w:r w:rsidR="007C68E7" w:rsidRPr="007C68E7">
        <w:rPr>
          <w:color w:val="000000" w:themeColor="text1"/>
        </w:rPr>
        <w:t>].</w:t>
      </w:r>
    </w:p>
    <w:p w14:paraId="40B2F5AA" w14:textId="22CD0FCC" w:rsidR="00FA2901" w:rsidRPr="007C68E7" w:rsidRDefault="00D65DBE" w:rsidP="00D73596">
      <w:pPr>
        <w:pStyle w:val="p1"/>
        <w:spacing w:line="360" w:lineRule="auto"/>
      </w:pPr>
      <w:r>
        <w:t>“</w:t>
      </w:r>
      <w:proofErr w:type="spellStart"/>
      <w:r w:rsidR="00FA2901" w:rsidRPr="007C68E7">
        <w:t>Biodentine</w:t>
      </w:r>
      <w:proofErr w:type="spellEnd"/>
      <w:r w:rsidR="00FA2901" w:rsidRPr="007C68E7">
        <w:t xml:space="preserve">, although bioactive and possessing dentin-like properties, demonstrated relatively lower reinforcement capacity compared to Nano Hybrid Composite and </w:t>
      </w:r>
      <w:proofErr w:type="spellStart"/>
      <w:r w:rsidR="00FA2901" w:rsidRPr="007C68E7">
        <w:t>Amalgomer</w:t>
      </w:r>
      <w:proofErr w:type="spellEnd"/>
      <w:r w:rsidR="00FA2901" w:rsidRPr="007C68E7">
        <w:t xml:space="preserve"> CR. This outcome may be due to its lower modulus of elasticity and limited </w:t>
      </w:r>
      <w:r w:rsidR="00FA2901" w:rsidRPr="007C68E7">
        <w:lastRenderedPageBreak/>
        <w:t>flexural strength, which restrict its ability to withstand high occlusal forces in load-bearing regions</w:t>
      </w:r>
      <w:r>
        <w:t xml:space="preserve">” </w:t>
      </w:r>
      <w:r w:rsidR="007C68E7" w:rsidRPr="007C68E7">
        <w:rPr>
          <w:color w:val="000000" w:themeColor="text1"/>
        </w:rPr>
        <w:t>[</w:t>
      </w:r>
      <w:r w:rsidR="007C68E7">
        <w:rPr>
          <w:color w:val="000000" w:themeColor="text1"/>
        </w:rPr>
        <w:t>15</w:t>
      </w:r>
      <w:r w:rsidR="007C68E7" w:rsidRPr="007C68E7">
        <w:rPr>
          <w:color w:val="000000" w:themeColor="text1"/>
        </w:rPr>
        <w:t>].</w:t>
      </w:r>
      <w:r>
        <w:rPr>
          <w:color w:val="000000" w:themeColor="text1"/>
        </w:rPr>
        <w:t xml:space="preserve"> “</w:t>
      </w:r>
      <w:r w:rsidR="00FA2901" w:rsidRPr="007C68E7">
        <w:t xml:space="preserve">While </w:t>
      </w:r>
      <w:proofErr w:type="spellStart"/>
      <w:r w:rsidR="00FA2901" w:rsidRPr="007C68E7">
        <w:t>Biodentine’s</w:t>
      </w:r>
      <w:proofErr w:type="spellEnd"/>
      <w:r w:rsidR="00FA2901" w:rsidRPr="007C68E7">
        <w:t xml:space="preserve"> primary advantages lie in its bioactivity, sealing ability, and dentin bridge formation, its mechanical properties are not optimal for cervical reinforcement in high-stress areas. Recent studies have also highlighted that </w:t>
      </w:r>
      <w:proofErr w:type="spellStart"/>
      <w:r w:rsidR="00FA2901" w:rsidRPr="007C68E7">
        <w:t>Biodentine</w:t>
      </w:r>
      <w:proofErr w:type="spellEnd"/>
      <w:r w:rsidR="00FA2901" w:rsidRPr="007C68E7">
        <w:t xml:space="preserve"> performs better in biologically driven applications such as pulp capping and perforation repair, rather than as a reinforcement material in stress-bearing zones</w:t>
      </w:r>
      <w:r>
        <w:t>”</w:t>
      </w:r>
      <w:r w:rsidR="00FA2901" w:rsidRPr="007C68E7">
        <w:t xml:space="preserve"> </w:t>
      </w:r>
      <w:r w:rsidR="007C68E7" w:rsidRPr="007C68E7">
        <w:rPr>
          <w:color w:val="000000" w:themeColor="text1"/>
        </w:rPr>
        <w:t>[</w:t>
      </w:r>
      <w:r w:rsidR="007C68E7">
        <w:rPr>
          <w:color w:val="000000" w:themeColor="text1"/>
        </w:rPr>
        <w:t>16</w:t>
      </w:r>
      <w:r w:rsidR="007C68E7" w:rsidRPr="007C68E7">
        <w:rPr>
          <w:color w:val="000000" w:themeColor="text1"/>
        </w:rPr>
        <w:t>].</w:t>
      </w:r>
    </w:p>
    <w:p w14:paraId="66A3F9EA" w14:textId="79CD7F16" w:rsidR="00FA2901" w:rsidRPr="007C68E7" w:rsidRDefault="00D65DBE" w:rsidP="00D73596">
      <w:pPr>
        <w:pStyle w:val="p1"/>
        <w:spacing w:line="360" w:lineRule="auto"/>
      </w:pPr>
      <w:r>
        <w:t>“</w:t>
      </w:r>
      <w:r w:rsidR="00FA2901" w:rsidRPr="007C68E7">
        <w:t xml:space="preserve">The control group showed the least fracture strength, underscoring the necessity of reinforcing the </w:t>
      </w:r>
      <w:proofErr w:type="spellStart"/>
      <w:r w:rsidR="00FA2901" w:rsidRPr="007C68E7">
        <w:t>pericervical</w:t>
      </w:r>
      <w:proofErr w:type="spellEnd"/>
      <w:r w:rsidR="00FA2901" w:rsidRPr="007C68E7">
        <w:t xml:space="preserve"> dentin in endodontically treated teeth. This finding is consistent with previous studies, which concluded that unreinforced ETT are significantly more prone to fracture compared to those reinforced with restorative materials</w:t>
      </w:r>
      <w:r>
        <w:t>”</w:t>
      </w:r>
      <w:r w:rsidR="00FA2901" w:rsidRPr="007C68E7">
        <w:t xml:space="preserve"> </w:t>
      </w:r>
      <w:r w:rsidR="007C68E7" w:rsidRPr="007C68E7">
        <w:rPr>
          <w:color w:val="000000" w:themeColor="text1"/>
        </w:rPr>
        <w:t>[</w:t>
      </w:r>
      <w:r w:rsidR="007C68E7">
        <w:rPr>
          <w:color w:val="000000" w:themeColor="text1"/>
        </w:rPr>
        <w:t>17</w:t>
      </w:r>
      <w:r w:rsidR="007C68E7" w:rsidRPr="007C68E7">
        <w:rPr>
          <w:color w:val="000000" w:themeColor="text1"/>
        </w:rPr>
        <w:t>].</w:t>
      </w:r>
    </w:p>
    <w:p w14:paraId="02AA069A" w14:textId="3E312FEB" w:rsidR="00D13BA5" w:rsidRPr="007C68E7" w:rsidRDefault="00D13BA5" w:rsidP="00D73596">
      <w:pPr>
        <w:spacing w:before="240" w:after="240"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These findings underscore the importance of selecting an appropriate </w:t>
      </w:r>
      <w:proofErr w:type="spellStart"/>
      <w:r w:rsidRPr="007C68E7">
        <w:rPr>
          <w:rFonts w:ascii="Times New Roman" w:eastAsia="Times New Roman"/>
          <w:color w:val="000000" w:themeColor="text1"/>
          <w:sz w:val="24"/>
        </w:rPr>
        <w:t>intraorifice</w:t>
      </w:r>
      <w:proofErr w:type="spellEnd"/>
      <w:r w:rsidRPr="007C68E7">
        <w:rPr>
          <w:rFonts w:ascii="Times New Roman" w:eastAsia="Times New Roman"/>
          <w:color w:val="000000" w:themeColor="text1"/>
          <w:sz w:val="24"/>
        </w:rPr>
        <w:t xml:space="preserve"> barrier material to reinforce the </w:t>
      </w:r>
      <w:proofErr w:type="spellStart"/>
      <w:r w:rsidRPr="007C68E7">
        <w:rPr>
          <w:rFonts w:ascii="Times New Roman" w:eastAsia="Times New Roman"/>
          <w:color w:val="000000" w:themeColor="text1"/>
          <w:sz w:val="24"/>
        </w:rPr>
        <w:t>pericervical</w:t>
      </w:r>
      <w:proofErr w:type="spellEnd"/>
      <w:r w:rsidRPr="007C68E7">
        <w:rPr>
          <w:rFonts w:ascii="Times New Roman" w:eastAsia="Times New Roman"/>
          <w:color w:val="000000" w:themeColor="text1"/>
          <w:sz w:val="24"/>
        </w:rPr>
        <w:t xml:space="preserve"> dentin and improve the fracture resistance of ETT. Nano Hybrid Composite with fiber reinforcement appears to be the most effective choice among the materials tested, providing a favorable combination of adhesion, mechanical strength, and esthetics.</w:t>
      </w:r>
    </w:p>
    <w:p w14:paraId="4FCBE4C9" w14:textId="77777777" w:rsidR="00D13BA5" w:rsidRPr="007C68E7" w:rsidRDefault="00D13BA5" w:rsidP="00D73596">
      <w:pPr>
        <w:spacing w:after="150" w:line="360" w:lineRule="auto"/>
        <w:rPr>
          <w:rFonts w:ascii="Times New Roman" w:eastAsia="Times New Roman"/>
          <w:color w:val="000000" w:themeColor="text1"/>
          <w:sz w:val="24"/>
        </w:rPr>
      </w:pPr>
      <w:r w:rsidRPr="007C68E7">
        <w:rPr>
          <w:rFonts w:ascii="Times New Roman" w:eastAsia="Times New Roman"/>
          <w:b/>
          <w:bCs/>
          <w:color w:val="3F6CAF"/>
          <w:sz w:val="24"/>
        </w:rPr>
        <w:t>Conclusion</w:t>
      </w:r>
    </w:p>
    <w:p w14:paraId="5C14DE9E" w14:textId="77777777" w:rsidR="00D13BA5" w:rsidRPr="007C68E7" w:rsidRDefault="00D13BA5" w:rsidP="00D73596">
      <w:pPr>
        <w:spacing w:after="150"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Within the limitations of this in vitro study, it can be concluded that reinforcement of the </w:t>
      </w:r>
      <w:proofErr w:type="spellStart"/>
      <w:r w:rsidRPr="007C68E7">
        <w:rPr>
          <w:rFonts w:ascii="Times New Roman" w:eastAsia="Times New Roman"/>
          <w:color w:val="000000" w:themeColor="text1"/>
          <w:sz w:val="24"/>
        </w:rPr>
        <w:t>pericervical</w:t>
      </w:r>
      <w:proofErr w:type="spellEnd"/>
      <w:r w:rsidRPr="007C68E7">
        <w:rPr>
          <w:rFonts w:ascii="Times New Roman" w:eastAsia="Times New Roman"/>
          <w:color w:val="000000" w:themeColor="text1"/>
          <w:sz w:val="24"/>
        </w:rPr>
        <w:t xml:space="preserve"> dentin significantly improves the fracture resistance of endodontically treated teeth. Among the tested </w:t>
      </w:r>
      <w:proofErr w:type="spellStart"/>
      <w:r w:rsidRPr="007C68E7">
        <w:rPr>
          <w:rFonts w:ascii="Times New Roman" w:eastAsia="Times New Roman"/>
          <w:color w:val="000000" w:themeColor="text1"/>
          <w:sz w:val="24"/>
        </w:rPr>
        <w:t>intraorifice</w:t>
      </w:r>
      <w:proofErr w:type="spellEnd"/>
      <w:r w:rsidRPr="007C68E7">
        <w:rPr>
          <w:rFonts w:ascii="Times New Roman" w:eastAsia="Times New Roman"/>
          <w:color w:val="000000" w:themeColor="text1"/>
          <w:sz w:val="24"/>
        </w:rPr>
        <w:t xml:space="preserve"> barrier materials, the Nano Hybrid Composite with fiber reinforcement demonstrated the highest fracture strength, followed by </w:t>
      </w:r>
      <w:proofErr w:type="spellStart"/>
      <w:r w:rsidRPr="007C68E7">
        <w:rPr>
          <w:rFonts w:ascii="Times New Roman" w:eastAsia="Times New Roman"/>
          <w:color w:val="000000" w:themeColor="text1"/>
          <w:sz w:val="24"/>
        </w:rPr>
        <w:t>Amalgomer</w:t>
      </w:r>
      <w:proofErr w:type="spellEnd"/>
      <w:r w:rsidRPr="007C68E7">
        <w:rPr>
          <w:rFonts w:ascii="Times New Roman" w:eastAsia="Times New Roman"/>
          <w:color w:val="000000" w:themeColor="text1"/>
          <w:sz w:val="24"/>
        </w:rPr>
        <w:t xml:space="preserve"> CR and </w:t>
      </w:r>
      <w:proofErr w:type="spellStart"/>
      <w:r w:rsidRPr="007C68E7">
        <w:rPr>
          <w:rFonts w:ascii="Times New Roman" w:eastAsia="Times New Roman"/>
          <w:color w:val="000000" w:themeColor="text1"/>
          <w:sz w:val="24"/>
        </w:rPr>
        <w:t>Biodentine</w:t>
      </w:r>
      <w:proofErr w:type="spellEnd"/>
      <w:r w:rsidRPr="007C68E7">
        <w:rPr>
          <w:rFonts w:ascii="Times New Roman" w:eastAsia="Times New Roman"/>
          <w:color w:val="000000" w:themeColor="text1"/>
          <w:sz w:val="24"/>
        </w:rPr>
        <w:t xml:space="preserve">. The control group (without reinforcement) showed the lowest fracture resistance, highlighting the importance of reinforcing the critical </w:t>
      </w:r>
      <w:proofErr w:type="spellStart"/>
      <w:r w:rsidRPr="007C68E7">
        <w:rPr>
          <w:rFonts w:ascii="Times New Roman" w:eastAsia="Times New Roman"/>
          <w:color w:val="000000" w:themeColor="text1"/>
          <w:sz w:val="24"/>
        </w:rPr>
        <w:t>pericervical</w:t>
      </w:r>
      <w:proofErr w:type="spellEnd"/>
      <w:r w:rsidRPr="007C68E7">
        <w:rPr>
          <w:rFonts w:ascii="Times New Roman" w:eastAsia="Times New Roman"/>
          <w:color w:val="000000" w:themeColor="text1"/>
          <w:sz w:val="24"/>
        </w:rPr>
        <w:t xml:space="preserve"> region.</w:t>
      </w:r>
    </w:p>
    <w:p w14:paraId="27AD3DF3" w14:textId="77777777" w:rsidR="00D13BA5" w:rsidRPr="007C68E7" w:rsidRDefault="00D13BA5" w:rsidP="00D73596">
      <w:pPr>
        <w:spacing w:before="240" w:after="240"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These results suggest that the use of fiber-reinforced nano-hybrid composite as an </w:t>
      </w:r>
      <w:proofErr w:type="spellStart"/>
      <w:r w:rsidRPr="007C68E7">
        <w:rPr>
          <w:rFonts w:ascii="Times New Roman" w:eastAsia="Times New Roman"/>
          <w:color w:val="000000" w:themeColor="text1"/>
          <w:sz w:val="24"/>
        </w:rPr>
        <w:t>intraorifice</w:t>
      </w:r>
      <w:proofErr w:type="spellEnd"/>
      <w:r w:rsidRPr="007C68E7">
        <w:rPr>
          <w:rFonts w:ascii="Times New Roman" w:eastAsia="Times New Roman"/>
          <w:color w:val="000000" w:themeColor="text1"/>
          <w:sz w:val="24"/>
        </w:rPr>
        <w:t xml:space="preserve"> barrier is a promising strategy to enhance the structural integrity and longevity of endodontically treated teeth. Further clinical studies are warranted to validate these findings and establish their long-term effectiveness under intraoral conditions.</w:t>
      </w:r>
    </w:p>
    <w:p w14:paraId="3C2E51FE" w14:textId="77777777" w:rsidR="00D13BA5" w:rsidRPr="007C68E7" w:rsidRDefault="00D13BA5" w:rsidP="00D73596">
      <w:pPr>
        <w:pStyle w:val="Heading3"/>
        <w:spacing w:before="0" w:after="150" w:line="360" w:lineRule="auto"/>
        <w:rPr>
          <w:rFonts w:ascii="Times New Roman" w:eastAsia="Times New Roman" w:cs="Times New Roman"/>
          <w:color w:val="0070C0"/>
          <w:sz w:val="24"/>
          <w:szCs w:val="24"/>
        </w:rPr>
      </w:pPr>
      <w:r w:rsidRPr="007C68E7">
        <w:rPr>
          <w:rFonts w:ascii="Times New Roman" w:eastAsia="Times New Roman" w:cs="Times New Roman"/>
          <w:b/>
          <w:bCs/>
          <w:color w:val="0070C0"/>
          <w:sz w:val="24"/>
          <w:szCs w:val="24"/>
        </w:rPr>
        <w:t>Limitations of the Study</w:t>
      </w:r>
    </w:p>
    <w:p w14:paraId="580C5863" w14:textId="470B79F3" w:rsidR="00D13BA5" w:rsidRDefault="00D13BA5" w:rsidP="00D73596">
      <w:pPr>
        <w:spacing w:before="240" w:after="240" w:line="360" w:lineRule="auto"/>
        <w:rPr>
          <w:rFonts w:ascii="Times New Roman" w:eastAsia="Times New Roman"/>
          <w:color w:val="000000" w:themeColor="text1"/>
          <w:sz w:val="24"/>
        </w:rPr>
      </w:pPr>
      <w:r w:rsidRPr="007C68E7">
        <w:rPr>
          <w:rFonts w:ascii="Times New Roman" w:eastAsia="Times New Roman"/>
          <w:color w:val="000000" w:themeColor="text1"/>
          <w:sz w:val="24"/>
        </w:rPr>
        <w:t xml:space="preserve">This study is limited by its in vitro design, which does not fully replicate intraoral conditions such as cyclic loading, temperature variations, or the presence of oral fluids. Additionally, long-term clinical performance and the effect of aging were not evaluated. Further in vivo studies </w:t>
      </w:r>
      <w:r w:rsidRPr="007C68E7">
        <w:rPr>
          <w:rFonts w:ascii="Times New Roman" w:eastAsia="Times New Roman"/>
          <w:color w:val="000000" w:themeColor="text1"/>
          <w:sz w:val="24"/>
        </w:rPr>
        <w:lastRenderedPageBreak/>
        <w:t xml:space="preserve">and long-term clinical trials are necessary to confirm these findings and establish the clinical applicability of these materials in reinforcing </w:t>
      </w:r>
      <w:proofErr w:type="spellStart"/>
      <w:r w:rsidRPr="007C68E7">
        <w:rPr>
          <w:rFonts w:ascii="Times New Roman" w:eastAsia="Times New Roman"/>
          <w:color w:val="000000" w:themeColor="text1"/>
          <w:sz w:val="24"/>
        </w:rPr>
        <w:t>pericervical</w:t>
      </w:r>
      <w:proofErr w:type="spellEnd"/>
      <w:r w:rsidRPr="007C68E7">
        <w:rPr>
          <w:rFonts w:ascii="Times New Roman" w:eastAsia="Times New Roman"/>
          <w:color w:val="000000" w:themeColor="text1"/>
          <w:sz w:val="24"/>
        </w:rPr>
        <w:t xml:space="preserve"> dentin.</w:t>
      </w:r>
    </w:p>
    <w:p w14:paraId="1E522D21" w14:textId="519A1A43" w:rsidR="00F3065A" w:rsidRDefault="00F3065A" w:rsidP="00D73596">
      <w:pPr>
        <w:spacing w:before="240" w:after="240" w:line="360" w:lineRule="auto"/>
        <w:rPr>
          <w:rFonts w:ascii="Times New Roman" w:eastAsia="Times New Roman"/>
          <w:color w:val="000000" w:themeColor="text1"/>
          <w:sz w:val="24"/>
        </w:rPr>
      </w:pPr>
    </w:p>
    <w:p w14:paraId="051BB418" w14:textId="77777777" w:rsidR="00F3065A" w:rsidRPr="007C68E7" w:rsidRDefault="00F3065A" w:rsidP="00F3065A">
      <w:pPr>
        <w:spacing w:line="360" w:lineRule="auto"/>
        <w:jc w:val="left"/>
        <w:rPr>
          <w:rFonts w:ascii="Times New Roman" w:eastAsia="Times New Roman"/>
          <w:color w:val="000000" w:themeColor="text1"/>
          <w:sz w:val="24"/>
        </w:rPr>
      </w:pPr>
      <w:r w:rsidRPr="007C68E7">
        <w:rPr>
          <w:rFonts w:ascii="Times New Roman" w:eastAsia="Times New Roman"/>
          <w:b/>
          <w:bCs/>
          <w:color w:val="3F6CAF"/>
          <w:sz w:val="24"/>
        </w:rPr>
        <w:t>Ethical Approval and Informed Consent</w:t>
      </w:r>
    </w:p>
    <w:p w14:paraId="12D8A1E3" w14:textId="77777777" w:rsidR="00F3065A" w:rsidRPr="007C68E7" w:rsidRDefault="00F3065A" w:rsidP="00F3065A">
      <w:pPr>
        <w:spacing w:line="360" w:lineRule="auto"/>
        <w:jc w:val="left"/>
        <w:rPr>
          <w:rFonts w:ascii="Times New Roman" w:eastAsia="Times New Roman"/>
          <w:color w:val="000000" w:themeColor="text1"/>
          <w:sz w:val="24"/>
        </w:rPr>
      </w:pPr>
      <w:r w:rsidRPr="007C68E7">
        <w:rPr>
          <w:rFonts w:ascii="Times New Roman" w:eastAsia="Times New Roman"/>
          <w:color w:val="000000" w:themeColor="text1"/>
          <w:sz w:val="24"/>
        </w:rPr>
        <w:t>The approval to conduct the experimental in vitro study was obtained from the Ethics Committee of the Institutional Review Board. The study strictly adhered to the guiding principles of the Declaration of Helsinki to ensure ethical research conduct.</w:t>
      </w:r>
    </w:p>
    <w:p w14:paraId="1FEE5CED" w14:textId="77777777" w:rsidR="00F3065A" w:rsidRPr="007C68E7" w:rsidRDefault="00F3065A" w:rsidP="00D73596">
      <w:pPr>
        <w:spacing w:before="240" w:after="240" w:line="360" w:lineRule="auto"/>
        <w:rPr>
          <w:rFonts w:ascii="Times New Roman" w:eastAsia="Times New Roman"/>
          <w:color w:val="000000" w:themeColor="text1"/>
          <w:sz w:val="24"/>
        </w:rPr>
      </w:pPr>
    </w:p>
    <w:p w14:paraId="5F44158D" w14:textId="77777777" w:rsidR="00F07900" w:rsidRPr="00270720" w:rsidRDefault="00F07900" w:rsidP="00F07900">
      <w:pPr>
        <w:rPr>
          <w:highlight w:val="yellow"/>
        </w:rPr>
      </w:pPr>
      <w:r w:rsidRPr="00270720">
        <w:rPr>
          <w:highlight w:val="yellow"/>
        </w:rPr>
        <w:t>Disclaimer (Artificial intelligence)</w:t>
      </w:r>
    </w:p>
    <w:p w14:paraId="51FBBA1C" w14:textId="77777777" w:rsidR="00F07900" w:rsidRPr="00270720" w:rsidRDefault="00F07900" w:rsidP="00F07900">
      <w:pPr>
        <w:rPr>
          <w:highlight w:val="yellow"/>
        </w:rPr>
      </w:pPr>
    </w:p>
    <w:p w14:paraId="411FA6A1" w14:textId="77777777" w:rsidR="00F07900" w:rsidRPr="00270720" w:rsidRDefault="00F07900" w:rsidP="00F07900">
      <w:pPr>
        <w:rPr>
          <w:highlight w:val="yellow"/>
        </w:rPr>
      </w:pPr>
    </w:p>
    <w:p w14:paraId="76483BE3" w14:textId="77777777" w:rsidR="00F07900" w:rsidRPr="00270720" w:rsidRDefault="00F07900" w:rsidP="00F07900">
      <w:pPr>
        <w:rPr>
          <w:highlight w:val="yellow"/>
        </w:rPr>
      </w:pPr>
      <w:r w:rsidRPr="00270720">
        <w:rPr>
          <w:highlight w:val="yellow"/>
        </w:rPr>
        <w:t>Details of the AI usage are given below:</w:t>
      </w:r>
    </w:p>
    <w:p w14:paraId="4C2E65A8" w14:textId="77777777" w:rsidR="00F07900" w:rsidRPr="00270720" w:rsidRDefault="00F07900" w:rsidP="00F07900">
      <w:pPr>
        <w:rPr>
          <w:highlight w:val="yellow"/>
        </w:rPr>
      </w:pPr>
      <w:r w:rsidRPr="00270720">
        <w:rPr>
          <w:highlight w:val="yellow"/>
        </w:rPr>
        <w:t>1.</w:t>
      </w:r>
      <w:r w:rsidRPr="002F08D0">
        <w:rPr>
          <w:highlight w:val="yellow"/>
        </w:rPr>
        <w:t xml:space="preserve"> </w:t>
      </w:r>
      <w:r w:rsidRPr="00270720">
        <w:rPr>
          <w:highlight w:val="yellow"/>
        </w:rPr>
        <w:t xml:space="preserve">Option 1: </w:t>
      </w:r>
    </w:p>
    <w:p w14:paraId="2AFEB0FA" w14:textId="77777777" w:rsidR="00F07900" w:rsidRPr="00270720" w:rsidRDefault="00F07900" w:rsidP="00F07900">
      <w:pPr>
        <w:rPr>
          <w:highlight w:val="yellow"/>
        </w:rPr>
      </w:pPr>
    </w:p>
    <w:p w14:paraId="07D84396" w14:textId="77777777" w:rsidR="00F07900" w:rsidRPr="00270720" w:rsidRDefault="00F07900" w:rsidP="00F0790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62563C8" w14:textId="77777777" w:rsidR="00D13BA5" w:rsidRPr="007C68E7" w:rsidRDefault="00D13BA5" w:rsidP="007C68E7">
      <w:pPr>
        <w:spacing w:line="360" w:lineRule="auto"/>
        <w:rPr>
          <w:rFonts w:ascii="Times New Roman" w:eastAsia="Times New Roman"/>
          <w:color w:val="3F6CAF"/>
          <w:sz w:val="24"/>
        </w:rPr>
      </w:pPr>
    </w:p>
    <w:p w14:paraId="1371EA9E" w14:textId="77777777" w:rsidR="00D13BA5" w:rsidRPr="007C68E7" w:rsidRDefault="00D13BA5" w:rsidP="007C68E7">
      <w:pPr>
        <w:spacing w:line="360" w:lineRule="auto"/>
        <w:rPr>
          <w:rFonts w:ascii="Times New Roman" w:eastAsia="Times New Roman"/>
          <w:color w:val="3F6CAF"/>
          <w:sz w:val="24"/>
        </w:rPr>
      </w:pPr>
      <w:r w:rsidRPr="007C68E7">
        <w:rPr>
          <w:rFonts w:ascii="Times New Roman" w:eastAsia="Times New Roman"/>
          <w:b/>
          <w:bCs/>
          <w:color w:val="3F6CAF"/>
          <w:sz w:val="24"/>
        </w:rPr>
        <w:t>References</w:t>
      </w:r>
    </w:p>
    <w:p w14:paraId="144265B9" w14:textId="77777777" w:rsidR="00D13BA5" w:rsidRPr="007C68E7" w:rsidRDefault="00D13BA5" w:rsidP="007C68E7">
      <w:pPr>
        <w:spacing w:after="150" w:line="360" w:lineRule="auto"/>
        <w:rPr>
          <w:rFonts w:ascii="Times New Roman" w:eastAsia="Times New Roman"/>
          <w:color w:val="000000" w:themeColor="text1"/>
          <w:sz w:val="24"/>
        </w:rPr>
      </w:pPr>
    </w:p>
    <w:p w14:paraId="593F592F" w14:textId="2BC8EF7B" w:rsidR="007B0E37" w:rsidRPr="00E02AA8" w:rsidRDefault="007B0E37" w:rsidP="00E02AA8">
      <w:pPr>
        <w:pStyle w:val="ListParagraph"/>
        <w:widowControl/>
        <w:numPr>
          <w:ilvl w:val="0"/>
          <w:numId w:val="3"/>
        </w:numPr>
        <w:wordWrap/>
        <w:autoSpaceDE/>
        <w:autoSpaceDN/>
        <w:spacing w:before="240" w:after="240" w:line="360" w:lineRule="auto"/>
        <w:jc w:val="left"/>
        <w:rPr>
          <w:rFonts w:ascii="Times New Roman" w:eastAsia="Times New Roman"/>
          <w:color w:val="000000" w:themeColor="text1"/>
          <w:sz w:val="24"/>
        </w:rPr>
      </w:pPr>
      <w:r w:rsidRPr="00E02AA8">
        <w:rPr>
          <w:rFonts w:ascii="Times New Roman"/>
          <w:color w:val="1B1B1B"/>
          <w:sz w:val="24"/>
          <w:shd w:val="clear" w:color="auto" w:fill="FFFFFF"/>
        </w:rPr>
        <w:t xml:space="preserve">Karunakar P, Reddy MSR, Karteek BS, Reddy CLC, Swetha C, Pranavi GS. Comparison of peri-cervical dentin on conservative and conventional access cavity designs with </w:t>
      </w:r>
      <w:proofErr w:type="spellStart"/>
      <w:r w:rsidRPr="00E02AA8">
        <w:rPr>
          <w:rFonts w:ascii="Times New Roman"/>
          <w:color w:val="1B1B1B"/>
          <w:sz w:val="24"/>
          <w:shd w:val="clear" w:color="auto" w:fill="FFFFFF"/>
        </w:rPr>
        <w:t>waveone</w:t>
      </w:r>
      <w:proofErr w:type="spellEnd"/>
      <w:r w:rsidRPr="00E02AA8">
        <w:rPr>
          <w:rFonts w:ascii="Times New Roman"/>
          <w:color w:val="1B1B1B"/>
          <w:sz w:val="24"/>
          <w:shd w:val="clear" w:color="auto" w:fill="FFFFFF"/>
        </w:rPr>
        <w:t xml:space="preserve"> gold and </w:t>
      </w:r>
      <w:proofErr w:type="spellStart"/>
      <w:r w:rsidRPr="00E02AA8">
        <w:rPr>
          <w:rFonts w:ascii="Times New Roman"/>
          <w:color w:val="1B1B1B"/>
          <w:sz w:val="24"/>
          <w:shd w:val="clear" w:color="auto" w:fill="FFFFFF"/>
        </w:rPr>
        <w:t>hyflex</w:t>
      </w:r>
      <w:proofErr w:type="spellEnd"/>
      <w:r w:rsidRPr="00E02AA8">
        <w:rPr>
          <w:rFonts w:ascii="Times New Roman"/>
          <w:color w:val="1B1B1B"/>
          <w:sz w:val="24"/>
          <w:shd w:val="clear" w:color="auto" w:fill="FFFFFF"/>
        </w:rPr>
        <w:t xml:space="preserve"> electrical discharge machining instrumentation using cone-beam computed tomography - An </w:t>
      </w:r>
      <w:r w:rsidRPr="00E02AA8">
        <w:rPr>
          <w:rFonts w:ascii="Times New Roman"/>
          <w:i/>
          <w:iCs/>
          <w:color w:val="1B1B1B"/>
          <w:sz w:val="24"/>
          <w:shd w:val="clear" w:color="auto" w:fill="FFFFFF"/>
        </w:rPr>
        <w:t>in vitro</w:t>
      </w:r>
      <w:r w:rsidRPr="00E02AA8">
        <w:rPr>
          <w:rFonts w:ascii="Times New Roman"/>
          <w:color w:val="1B1B1B"/>
          <w:sz w:val="24"/>
          <w:shd w:val="clear" w:color="auto" w:fill="FFFFFF"/>
        </w:rPr>
        <w:t xml:space="preserve"> study. J </w:t>
      </w:r>
      <w:proofErr w:type="spellStart"/>
      <w:r w:rsidRPr="00E02AA8">
        <w:rPr>
          <w:rFonts w:ascii="Times New Roman"/>
          <w:color w:val="1B1B1B"/>
          <w:sz w:val="24"/>
          <w:shd w:val="clear" w:color="auto" w:fill="FFFFFF"/>
        </w:rPr>
        <w:t>Conserv</w:t>
      </w:r>
      <w:proofErr w:type="spellEnd"/>
      <w:r w:rsidRPr="00E02AA8">
        <w:rPr>
          <w:rFonts w:ascii="Times New Roman"/>
          <w:color w:val="1B1B1B"/>
          <w:sz w:val="24"/>
          <w:shd w:val="clear" w:color="auto" w:fill="FFFFFF"/>
        </w:rPr>
        <w:t xml:space="preserve"> Dent </w:t>
      </w:r>
      <w:proofErr w:type="spellStart"/>
      <w:r w:rsidRPr="00E02AA8">
        <w:rPr>
          <w:rFonts w:ascii="Times New Roman"/>
          <w:color w:val="1B1B1B"/>
          <w:sz w:val="24"/>
          <w:shd w:val="clear" w:color="auto" w:fill="FFFFFF"/>
        </w:rPr>
        <w:t>Endod</w:t>
      </w:r>
      <w:proofErr w:type="spellEnd"/>
      <w:r w:rsidRPr="00E02AA8">
        <w:rPr>
          <w:rFonts w:ascii="Times New Roman"/>
          <w:color w:val="1B1B1B"/>
          <w:sz w:val="24"/>
          <w:shd w:val="clear" w:color="auto" w:fill="FFFFFF"/>
        </w:rPr>
        <w:t xml:space="preserve">. 2025 Apr;28(4):331-335. </w:t>
      </w:r>
      <w:proofErr w:type="spellStart"/>
      <w:r w:rsidRPr="00E02AA8">
        <w:rPr>
          <w:rFonts w:ascii="Times New Roman"/>
          <w:color w:val="1B1B1B"/>
          <w:sz w:val="24"/>
          <w:shd w:val="clear" w:color="auto" w:fill="FFFFFF"/>
        </w:rPr>
        <w:t>doi</w:t>
      </w:r>
      <w:proofErr w:type="spellEnd"/>
      <w:r w:rsidRPr="00E02AA8">
        <w:rPr>
          <w:rFonts w:ascii="Times New Roman"/>
          <w:color w:val="1B1B1B"/>
          <w:sz w:val="24"/>
          <w:shd w:val="clear" w:color="auto" w:fill="FFFFFF"/>
        </w:rPr>
        <w:t xml:space="preserve">: 10.4103/JCDE.JCDE_11_25. </w:t>
      </w:r>
    </w:p>
    <w:p w14:paraId="754AF2E8" w14:textId="77777777" w:rsidR="00841BE8" w:rsidRPr="00841BE8" w:rsidRDefault="00841BE8" w:rsidP="00E02AA8">
      <w:pPr>
        <w:pStyle w:val="ListParagraph"/>
        <w:widowControl/>
        <w:numPr>
          <w:ilvl w:val="0"/>
          <w:numId w:val="3"/>
        </w:numPr>
        <w:wordWrap/>
        <w:autoSpaceDE/>
        <w:autoSpaceDN/>
        <w:spacing w:before="240" w:after="240" w:line="360" w:lineRule="auto"/>
        <w:jc w:val="left"/>
        <w:rPr>
          <w:rFonts w:ascii="Times New Roman" w:eastAsia="Times New Roman"/>
          <w:color w:val="000000" w:themeColor="text1"/>
          <w:sz w:val="24"/>
        </w:rPr>
      </w:pPr>
      <w:proofErr w:type="spellStart"/>
      <w:r>
        <w:rPr>
          <w:rFonts w:ascii="Arial" w:hAnsi="Arial" w:cs="Arial"/>
          <w:color w:val="222222"/>
          <w:szCs w:val="20"/>
          <w:shd w:val="clear" w:color="auto" w:fill="FFFFFF"/>
        </w:rPr>
        <w:t>PradeepKumar</w:t>
      </w:r>
      <w:proofErr w:type="spellEnd"/>
      <w:r>
        <w:rPr>
          <w:rFonts w:ascii="Arial" w:hAnsi="Arial" w:cs="Arial"/>
          <w:color w:val="222222"/>
          <w:szCs w:val="20"/>
          <w:shd w:val="clear" w:color="auto" w:fill="FFFFFF"/>
        </w:rPr>
        <w:t xml:space="preserve">, A. R., </w:t>
      </w:r>
      <w:proofErr w:type="spellStart"/>
      <w:r>
        <w:rPr>
          <w:rFonts w:ascii="Arial" w:hAnsi="Arial" w:cs="Arial"/>
          <w:color w:val="222222"/>
          <w:szCs w:val="20"/>
          <w:shd w:val="clear" w:color="auto" w:fill="FFFFFF"/>
        </w:rPr>
        <w:t>Shemesh</w:t>
      </w:r>
      <w:proofErr w:type="spellEnd"/>
      <w:r>
        <w:rPr>
          <w:rFonts w:ascii="Arial" w:hAnsi="Arial" w:cs="Arial"/>
          <w:color w:val="222222"/>
          <w:szCs w:val="20"/>
          <w:shd w:val="clear" w:color="auto" w:fill="FFFFFF"/>
        </w:rPr>
        <w:t xml:space="preserve">, H., </w:t>
      </w:r>
      <w:proofErr w:type="spellStart"/>
      <w:r>
        <w:rPr>
          <w:rFonts w:ascii="Arial" w:hAnsi="Arial" w:cs="Arial"/>
          <w:color w:val="222222"/>
          <w:szCs w:val="20"/>
          <w:shd w:val="clear" w:color="auto" w:fill="FFFFFF"/>
        </w:rPr>
        <w:t>Nivedhitha</w:t>
      </w:r>
      <w:proofErr w:type="spellEnd"/>
      <w:r>
        <w:rPr>
          <w:rFonts w:ascii="Arial" w:hAnsi="Arial" w:cs="Arial"/>
          <w:color w:val="222222"/>
          <w:szCs w:val="20"/>
          <w:shd w:val="clear" w:color="auto" w:fill="FFFFFF"/>
        </w:rPr>
        <w:t xml:space="preserve">, M. S., </w:t>
      </w:r>
      <w:proofErr w:type="spellStart"/>
      <w:r>
        <w:rPr>
          <w:rFonts w:ascii="Arial" w:hAnsi="Arial" w:cs="Arial"/>
          <w:color w:val="222222"/>
          <w:szCs w:val="20"/>
          <w:shd w:val="clear" w:color="auto" w:fill="FFFFFF"/>
        </w:rPr>
        <w:t>Hashir</w:t>
      </w:r>
      <w:proofErr w:type="spellEnd"/>
      <w:r>
        <w:rPr>
          <w:rFonts w:ascii="Arial" w:hAnsi="Arial" w:cs="Arial"/>
          <w:color w:val="222222"/>
          <w:szCs w:val="20"/>
          <w:shd w:val="clear" w:color="auto" w:fill="FFFFFF"/>
        </w:rPr>
        <w:t xml:space="preserve">, M. M. J., </w:t>
      </w:r>
      <w:proofErr w:type="spellStart"/>
      <w:r>
        <w:rPr>
          <w:rFonts w:ascii="Arial" w:hAnsi="Arial" w:cs="Arial"/>
          <w:color w:val="222222"/>
          <w:szCs w:val="20"/>
          <w:shd w:val="clear" w:color="auto" w:fill="FFFFFF"/>
        </w:rPr>
        <w:t>Arockiam</w:t>
      </w:r>
      <w:proofErr w:type="spellEnd"/>
      <w:r>
        <w:rPr>
          <w:rFonts w:ascii="Arial" w:hAnsi="Arial" w:cs="Arial"/>
          <w:color w:val="222222"/>
          <w:szCs w:val="20"/>
          <w:shd w:val="clear" w:color="auto" w:fill="FFFFFF"/>
        </w:rPr>
        <w:t xml:space="preserve">, S., </w:t>
      </w:r>
      <w:proofErr w:type="spellStart"/>
      <w:r>
        <w:rPr>
          <w:rFonts w:ascii="Arial" w:hAnsi="Arial" w:cs="Arial"/>
          <w:color w:val="222222"/>
          <w:szCs w:val="20"/>
          <w:shd w:val="clear" w:color="auto" w:fill="FFFFFF"/>
        </w:rPr>
        <w:t>Maheswari</w:t>
      </w:r>
      <w:proofErr w:type="spellEnd"/>
      <w:r>
        <w:rPr>
          <w:rFonts w:ascii="Arial" w:hAnsi="Arial" w:cs="Arial"/>
          <w:color w:val="222222"/>
          <w:szCs w:val="20"/>
          <w:shd w:val="clear" w:color="auto" w:fill="FFFFFF"/>
        </w:rPr>
        <w:t xml:space="preserve">, T. N. U., &amp; </w:t>
      </w:r>
      <w:proofErr w:type="spellStart"/>
      <w:r>
        <w:rPr>
          <w:rFonts w:ascii="Arial" w:hAnsi="Arial" w:cs="Arial"/>
          <w:color w:val="222222"/>
          <w:szCs w:val="20"/>
          <w:shd w:val="clear" w:color="auto" w:fill="FFFFFF"/>
        </w:rPr>
        <w:t>Natanasabapathy</w:t>
      </w:r>
      <w:proofErr w:type="spellEnd"/>
      <w:r>
        <w:rPr>
          <w:rFonts w:ascii="Arial" w:hAnsi="Arial" w:cs="Arial"/>
          <w:color w:val="222222"/>
          <w:szCs w:val="20"/>
          <w:shd w:val="clear" w:color="auto" w:fill="FFFFFF"/>
        </w:rPr>
        <w:t>, V. (2021). Diagnosis of vertical root fractures by cone-beam computed tomography in root-filled teeth with confirmation by direct visualization: a systematic review and meta-analysis. </w:t>
      </w:r>
      <w:r>
        <w:rPr>
          <w:rFonts w:ascii="Arial" w:hAnsi="Arial" w:cs="Arial"/>
          <w:i/>
          <w:iCs/>
          <w:color w:val="222222"/>
          <w:szCs w:val="20"/>
          <w:shd w:val="clear" w:color="auto" w:fill="FFFFFF"/>
        </w:rPr>
        <w:t>Journal of Endodontics</w:t>
      </w:r>
      <w:r>
        <w:rPr>
          <w:rFonts w:ascii="Arial" w:hAnsi="Arial" w:cs="Arial"/>
          <w:color w:val="222222"/>
          <w:szCs w:val="20"/>
          <w:shd w:val="clear" w:color="auto" w:fill="FFFFFF"/>
        </w:rPr>
        <w:t>, </w:t>
      </w:r>
      <w:r>
        <w:rPr>
          <w:rFonts w:ascii="Arial" w:hAnsi="Arial" w:cs="Arial"/>
          <w:i/>
          <w:iCs/>
          <w:color w:val="222222"/>
          <w:szCs w:val="20"/>
          <w:shd w:val="clear" w:color="auto" w:fill="FFFFFF"/>
        </w:rPr>
        <w:t>47</w:t>
      </w:r>
      <w:r>
        <w:rPr>
          <w:rFonts w:ascii="Arial" w:hAnsi="Arial" w:cs="Arial"/>
          <w:color w:val="222222"/>
          <w:szCs w:val="20"/>
          <w:shd w:val="clear" w:color="auto" w:fill="FFFFFF"/>
        </w:rPr>
        <w:t>(8), 1198-1214.</w:t>
      </w:r>
    </w:p>
    <w:p w14:paraId="0CAAE1A9" w14:textId="0643E23D" w:rsidR="007B0E37" w:rsidRPr="00E02AA8" w:rsidRDefault="007B0E37" w:rsidP="00E02AA8">
      <w:pPr>
        <w:pStyle w:val="ListParagraph"/>
        <w:widowControl/>
        <w:numPr>
          <w:ilvl w:val="0"/>
          <w:numId w:val="3"/>
        </w:numPr>
        <w:wordWrap/>
        <w:autoSpaceDE/>
        <w:autoSpaceDN/>
        <w:spacing w:before="240" w:after="240" w:line="360" w:lineRule="auto"/>
        <w:jc w:val="left"/>
        <w:rPr>
          <w:rFonts w:ascii="Times New Roman" w:eastAsia="Times New Roman"/>
          <w:color w:val="000000" w:themeColor="text1"/>
          <w:sz w:val="24"/>
        </w:rPr>
      </w:pPr>
      <w:r w:rsidRPr="00E02AA8">
        <w:rPr>
          <w:rFonts w:ascii="Times New Roman" w:eastAsia="Times New Roman"/>
          <w:color w:val="000000" w:themeColor="text1"/>
          <w:sz w:val="24"/>
        </w:rPr>
        <w:t xml:space="preserve">Pooja R. Kesharani, Shalini D. Aggarwal, Nishtha K. Patel, </w:t>
      </w:r>
      <w:proofErr w:type="spellStart"/>
      <w:r w:rsidRPr="00E02AA8">
        <w:rPr>
          <w:rFonts w:ascii="Times New Roman" w:eastAsia="Times New Roman"/>
          <w:color w:val="000000" w:themeColor="text1"/>
          <w:sz w:val="24"/>
        </w:rPr>
        <w:t>Jhanvi</w:t>
      </w:r>
      <w:proofErr w:type="spellEnd"/>
      <w:r w:rsidRPr="00E02AA8">
        <w:rPr>
          <w:rFonts w:ascii="Times New Roman" w:eastAsia="Times New Roman"/>
          <w:color w:val="000000" w:themeColor="text1"/>
          <w:sz w:val="24"/>
        </w:rPr>
        <w:t xml:space="preserve"> Patel, Ankita Bansal, </w:t>
      </w:r>
      <w:proofErr w:type="spellStart"/>
      <w:r w:rsidRPr="00E02AA8">
        <w:rPr>
          <w:rFonts w:ascii="Times New Roman" w:eastAsia="Times New Roman"/>
          <w:color w:val="000000" w:themeColor="text1"/>
          <w:sz w:val="24"/>
        </w:rPr>
        <w:t>Naman</w:t>
      </w:r>
      <w:proofErr w:type="spellEnd"/>
      <w:r w:rsidRPr="00E02AA8">
        <w:rPr>
          <w:rFonts w:ascii="Times New Roman" w:eastAsia="Times New Roman"/>
          <w:color w:val="000000" w:themeColor="text1"/>
          <w:sz w:val="24"/>
        </w:rPr>
        <w:t xml:space="preserve"> </w:t>
      </w:r>
      <w:proofErr w:type="spellStart"/>
      <w:proofErr w:type="gramStart"/>
      <w:r w:rsidRPr="00E02AA8">
        <w:rPr>
          <w:rFonts w:ascii="Times New Roman" w:eastAsia="Times New Roman"/>
          <w:color w:val="000000" w:themeColor="text1"/>
          <w:sz w:val="24"/>
        </w:rPr>
        <w:t>Patel,Evaluation</w:t>
      </w:r>
      <w:proofErr w:type="spellEnd"/>
      <w:proofErr w:type="gramEnd"/>
      <w:r w:rsidRPr="00E02AA8">
        <w:rPr>
          <w:rFonts w:ascii="Times New Roman" w:eastAsia="Times New Roman"/>
          <w:color w:val="000000" w:themeColor="text1"/>
          <w:sz w:val="24"/>
        </w:rPr>
        <w:t xml:space="preserve"> of dentin thickness preservation and the efficiency of instrumentation between traditional and guided endodontic access in mandibular central </w:t>
      </w:r>
      <w:proofErr w:type="spellStart"/>
      <w:r w:rsidRPr="00E02AA8">
        <w:rPr>
          <w:rFonts w:ascii="Times New Roman" w:eastAsia="Times New Roman"/>
          <w:color w:val="000000" w:themeColor="text1"/>
          <w:sz w:val="24"/>
        </w:rPr>
        <w:t>incisors,Journal</w:t>
      </w:r>
      <w:proofErr w:type="spellEnd"/>
      <w:r w:rsidRPr="00E02AA8">
        <w:rPr>
          <w:rFonts w:ascii="Times New Roman" w:eastAsia="Times New Roman"/>
          <w:color w:val="000000" w:themeColor="text1"/>
          <w:sz w:val="24"/>
        </w:rPr>
        <w:t xml:space="preserve"> of Oral Biology and Craniofacial </w:t>
      </w:r>
      <w:proofErr w:type="spellStart"/>
      <w:r w:rsidRPr="00E02AA8">
        <w:rPr>
          <w:rFonts w:ascii="Times New Roman" w:eastAsia="Times New Roman"/>
          <w:color w:val="000000" w:themeColor="text1"/>
          <w:sz w:val="24"/>
        </w:rPr>
        <w:t>Research,Volume</w:t>
      </w:r>
      <w:proofErr w:type="spellEnd"/>
      <w:r w:rsidRPr="00E02AA8">
        <w:rPr>
          <w:rFonts w:ascii="Times New Roman" w:eastAsia="Times New Roman"/>
          <w:color w:val="000000" w:themeColor="text1"/>
          <w:sz w:val="24"/>
        </w:rPr>
        <w:t xml:space="preserve"> 15, Issue 4,</w:t>
      </w:r>
      <w:r w:rsidR="0078394A" w:rsidRPr="00E02AA8">
        <w:rPr>
          <w:rFonts w:ascii="Times New Roman" w:eastAsia="Times New Roman"/>
          <w:color w:val="000000" w:themeColor="text1"/>
          <w:sz w:val="24"/>
        </w:rPr>
        <w:t>2025, Pages</w:t>
      </w:r>
      <w:r w:rsidRPr="00E02AA8">
        <w:rPr>
          <w:rFonts w:ascii="Times New Roman" w:eastAsia="Times New Roman"/>
          <w:color w:val="000000" w:themeColor="text1"/>
          <w:sz w:val="24"/>
        </w:rPr>
        <w:t xml:space="preserve"> 749-</w:t>
      </w:r>
      <w:r w:rsidR="0078394A" w:rsidRPr="00E02AA8">
        <w:rPr>
          <w:rFonts w:ascii="Times New Roman" w:eastAsia="Times New Roman"/>
          <w:color w:val="000000" w:themeColor="text1"/>
          <w:sz w:val="24"/>
        </w:rPr>
        <w:t>756, ISSN</w:t>
      </w:r>
      <w:r w:rsidRPr="00E02AA8">
        <w:rPr>
          <w:rFonts w:ascii="Times New Roman" w:eastAsia="Times New Roman"/>
          <w:color w:val="000000" w:themeColor="text1"/>
          <w:sz w:val="24"/>
        </w:rPr>
        <w:t xml:space="preserve"> 2212-</w:t>
      </w:r>
      <w:r w:rsidR="0078394A" w:rsidRPr="00E02AA8">
        <w:rPr>
          <w:rFonts w:ascii="Times New Roman" w:eastAsia="Times New Roman"/>
          <w:color w:val="000000" w:themeColor="text1"/>
          <w:sz w:val="24"/>
        </w:rPr>
        <w:t>4268, https://doi.org/10.1016/j.jobcr.2025.04.011</w:t>
      </w:r>
    </w:p>
    <w:p w14:paraId="705B92D8" w14:textId="77777777" w:rsidR="007B0E37" w:rsidRPr="00E02AA8" w:rsidRDefault="007B0E37" w:rsidP="00E02AA8">
      <w:pPr>
        <w:pStyle w:val="ListParagraph"/>
        <w:widowControl/>
        <w:numPr>
          <w:ilvl w:val="0"/>
          <w:numId w:val="3"/>
        </w:numPr>
        <w:wordWrap/>
        <w:autoSpaceDE/>
        <w:autoSpaceDN/>
        <w:spacing w:before="240" w:after="240" w:line="360" w:lineRule="auto"/>
        <w:jc w:val="left"/>
        <w:rPr>
          <w:rFonts w:ascii="Times New Roman" w:eastAsia="Times New Roman"/>
          <w:color w:val="000000" w:themeColor="text1"/>
          <w:sz w:val="24"/>
        </w:rPr>
      </w:pPr>
      <w:proofErr w:type="spellStart"/>
      <w:r w:rsidRPr="00E02AA8">
        <w:rPr>
          <w:rFonts w:ascii="Times New Roman"/>
          <w:color w:val="1B1B1B"/>
          <w:sz w:val="24"/>
          <w:shd w:val="clear" w:color="auto" w:fill="FFFFFF"/>
        </w:rPr>
        <w:lastRenderedPageBreak/>
        <w:t>Haridoss</w:t>
      </w:r>
      <w:proofErr w:type="spellEnd"/>
      <w:r w:rsidRPr="00E02AA8">
        <w:rPr>
          <w:rFonts w:ascii="Times New Roman"/>
          <w:color w:val="1B1B1B"/>
          <w:sz w:val="24"/>
          <w:shd w:val="clear" w:color="auto" w:fill="FFFFFF"/>
        </w:rPr>
        <w:t xml:space="preserve"> S, R MR, K A, E V, Swaminathan K. Quantitative assessment of </w:t>
      </w:r>
      <w:proofErr w:type="spellStart"/>
      <w:r w:rsidRPr="00E02AA8">
        <w:rPr>
          <w:rFonts w:ascii="Times New Roman"/>
          <w:color w:val="1B1B1B"/>
          <w:sz w:val="24"/>
          <w:shd w:val="clear" w:color="auto" w:fill="FFFFFF"/>
        </w:rPr>
        <w:t>pericervical</w:t>
      </w:r>
      <w:proofErr w:type="spellEnd"/>
      <w:r w:rsidRPr="00E02AA8">
        <w:rPr>
          <w:rFonts w:ascii="Times New Roman"/>
          <w:color w:val="1B1B1B"/>
          <w:sz w:val="24"/>
          <w:shd w:val="clear" w:color="auto" w:fill="FFFFFF"/>
        </w:rPr>
        <w:t xml:space="preserve"> dentin in mandibular second primary molars through stress distribution analysis: A finite element study. J Oral Biol </w:t>
      </w:r>
      <w:proofErr w:type="spellStart"/>
      <w:r w:rsidRPr="00E02AA8">
        <w:rPr>
          <w:rFonts w:ascii="Times New Roman"/>
          <w:color w:val="1B1B1B"/>
          <w:sz w:val="24"/>
          <w:shd w:val="clear" w:color="auto" w:fill="FFFFFF"/>
        </w:rPr>
        <w:t>Craniofac</w:t>
      </w:r>
      <w:proofErr w:type="spellEnd"/>
      <w:r w:rsidRPr="00E02AA8">
        <w:rPr>
          <w:rFonts w:ascii="Times New Roman"/>
          <w:color w:val="1B1B1B"/>
          <w:sz w:val="24"/>
          <w:shd w:val="clear" w:color="auto" w:fill="FFFFFF"/>
        </w:rPr>
        <w:t xml:space="preserve"> Res. 2025 May-Jun;15(3):478-483. </w:t>
      </w:r>
      <w:proofErr w:type="spellStart"/>
      <w:r w:rsidRPr="00E02AA8">
        <w:rPr>
          <w:rFonts w:ascii="Times New Roman"/>
          <w:color w:val="1B1B1B"/>
          <w:sz w:val="24"/>
          <w:shd w:val="clear" w:color="auto" w:fill="FFFFFF"/>
        </w:rPr>
        <w:t>doi</w:t>
      </w:r>
      <w:proofErr w:type="spellEnd"/>
      <w:r w:rsidRPr="00E02AA8">
        <w:rPr>
          <w:rFonts w:ascii="Times New Roman"/>
          <w:color w:val="1B1B1B"/>
          <w:sz w:val="24"/>
          <w:shd w:val="clear" w:color="auto" w:fill="FFFFFF"/>
        </w:rPr>
        <w:t xml:space="preserve">: 10.1016/j.jobcr.2025.02.011. </w:t>
      </w:r>
      <w:proofErr w:type="spellStart"/>
      <w:r w:rsidRPr="00E02AA8">
        <w:rPr>
          <w:rFonts w:ascii="Times New Roman"/>
          <w:color w:val="1B1B1B"/>
          <w:sz w:val="24"/>
          <w:shd w:val="clear" w:color="auto" w:fill="FFFFFF"/>
        </w:rPr>
        <w:t>Epub</w:t>
      </w:r>
      <w:proofErr w:type="spellEnd"/>
      <w:r w:rsidRPr="00E02AA8">
        <w:rPr>
          <w:rFonts w:ascii="Times New Roman"/>
          <w:color w:val="1B1B1B"/>
          <w:sz w:val="24"/>
          <w:shd w:val="clear" w:color="auto" w:fill="FFFFFF"/>
        </w:rPr>
        <w:t xml:space="preserve"> 2025 Mar 11. PMID: 40144643; PMCID: PMC11938138.</w:t>
      </w:r>
    </w:p>
    <w:p w14:paraId="6E067236" w14:textId="77777777" w:rsidR="001536CF" w:rsidRPr="00E02AA8" w:rsidRDefault="001536CF" w:rsidP="00E02AA8">
      <w:pPr>
        <w:pStyle w:val="ListParagraph"/>
        <w:widowControl/>
        <w:numPr>
          <w:ilvl w:val="0"/>
          <w:numId w:val="3"/>
        </w:numPr>
        <w:wordWrap/>
        <w:autoSpaceDE/>
        <w:autoSpaceDN/>
        <w:spacing w:before="240" w:after="240" w:line="360" w:lineRule="auto"/>
        <w:jc w:val="left"/>
        <w:rPr>
          <w:rFonts w:ascii="Times New Roman" w:eastAsia="Times New Roman"/>
          <w:color w:val="000000" w:themeColor="text1"/>
          <w:sz w:val="24"/>
        </w:rPr>
      </w:pPr>
      <w:r w:rsidRPr="00E02AA8">
        <w:rPr>
          <w:rFonts w:ascii="Times New Roman"/>
          <w:color w:val="1B1B1B"/>
          <w:sz w:val="24"/>
          <w:shd w:val="clear" w:color="auto" w:fill="FFFFFF"/>
        </w:rPr>
        <w:t xml:space="preserve">Wong JG, Caputo AA, Li P, White SN. Microleakage of adhesive resinous materials in root canals. J </w:t>
      </w:r>
      <w:proofErr w:type="spellStart"/>
      <w:r w:rsidRPr="00E02AA8">
        <w:rPr>
          <w:rFonts w:ascii="Times New Roman"/>
          <w:color w:val="1B1B1B"/>
          <w:sz w:val="24"/>
          <w:shd w:val="clear" w:color="auto" w:fill="FFFFFF"/>
        </w:rPr>
        <w:t>Conserv</w:t>
      </w:r>
      <w:proofErr w:type="spellEnd"/>
      <w:r w:rsidRPr="00E02AA8">
        <w:rPr>
          <w:rFonts w:ascii="Times New Roman"/>
          <w:color w:val="1B1B1B"/>
          <w:sz w:val="24"/>
          <w:shd w:val="clear" w:color="auto" w:fill="FFFFFF"/>
        </w:rPr>
        <w:t xml:space="preserve"> Dent. 2013 May;16(3):213-8. </w:t>
      </w:r>
      <w:proofErr w:type="spellStart"/>
      <w:r w:rsidRPr="00E02AA8">
        <w:rPr>
          <w:rFonts w:ascii="Times New Roman"/>
          <w:color w:val="1B1B1B"/>
          <w:sz w:val="24"/>
          <w:shd w:val="clear" w:color="auto" w:fill="FFFFFF"/>
        </w:rPr>
        <w:t>doi</w:t>
      </w:r>
      <w:proofErr w:type="spellEnd"/>
      <w:r w:rsidRPr="00E02AA8">
        <w:rPr>
          <w:rFonts w:ascii="Times New Roman"/>
          <w:color w:val="1B1B1B"/>
          <w:sz w:val="24"/>
          <w:shd w:val="clear" w:color="auto" w:fill="FFFFFF"/>
        </w:rPr>
        <w:t>: 10.4103/0972-0707.111316. PMID: 23833453; PMCID: PMC3698583.</w:t>
      </w:r>
    </w:p>
    <w:p w14:paraId="177DF632" w14:textId="641E0082" w:rsidR="00D13BA5" w:rsidRPr="00E02AA8" w:rsidRDefault="00AA174C" w:rsidP="00E02AA8">
      <w:pPr>
        <w:pStyle w:val="ListParagraph"/>
        <w:widowControl/>
        <w:numPr>
          <w:ilvl w:val="0"/>
          <w:numId w:val="3"/>
        </w:numPr>
        <w:wordWrap/>
        <w:autoSpaceDE/>
        <w:autoSpaceDN/>
        <w:spacing w:before="240" w:after="240" w:line="360" w:lineRule="auto"/>
        <w:jc w:val="left"/>
        <w:rPr>
          <w:rFonts w:ascii="Times New Roman" w:eastAsia="Times New Roman"/>
          <w:color w:val="000000" w:themeColor="text1"/>
          <w:sz w:val="24"/>
        </w:rPr>
      </w:pPr>
      <w:proofErr w:type="spellStart"/>
      <w:r w:rsidRPr="00E02AA8">
        <w:rPr>
          <w:rFonts w:ascii="Times New Roman"/>
          <w:color w:val="212121"/>
          <w:sz w:val="24"/>
          <w:shd w:val="clear" w:color="auto" w:fill="FFFFFF"/>
        </w:rPr>
        <w:t>Suksaphar</w:t>
      </w:r>
      <w:proofErr w:type="spellEnd"/>
      <w:r w:rsidRPr="00E02AA8">
        <w:rPr>
          <w:rFonts w:ascii="Times New Roman"/>
          <w:color w:val="212121"/>
          <w:sz w:val="24"/>
          <w:shd w:val="clear" w:color="auto" w:fill="FFFFFF"/>
        </w:rPr>
        <w:t xml:space="preserve"> W, </w:t>
      </w:r>
      <w:proofErr w:type="spellStart"/>
      <w:r w:rsidRPr="00E02AA8">
        <w:rPr>
          <w:rFonts w:ascii="Times New Roman"/>
          <w:color w:val="212121"/>
          <w:sz w:val="24"/>
          <w:shd w:val="clear" w:color="auto" w:fill="FFFFFF"/>
        </w:rPr>
        <w:t>Banomyong</w:t>
      </w:r>
      <w:proofErr w:type="spellEnd"/>
      <w:r w:rsidRPr="00E02AA8">
        <w:rPr>
          <w:rFonts w:ascii="Times New Roman"/>
          <w:color w:val="212121"/>
          <w:sz w:val="24"/>
          <w:shd w:val="clear" w:color="auto" w:fill="FFFFFF"/>
        </w:rPr>
        <w:t xml:space="preserve"> D, </w:t>
      </w:r>
      <w:proofErr w:type="spellStart"/>
      <w:r w:rsidRPr="00E02AA8">
        <w:rPr>
          <w:rFonts w:ascii="Times New Roman"/>
          <w:color w:val="212121"/>
          <w:sz w:val="24"/>
          <w:shd w:val="clear" w:color="auto" w:fill="FFFFFF"/>
        </w:rPr>
        <w:t>Jirathanyanatt</w:t>
      </w:r>
      <w:proofErr w:type="spellEnd"/>
      <w:r w:rsidRPr="00E02AA8">
        <w:rPr>
          <w:rFonts w:ascii="Times New Roman"/>
          <w:color w:val="212121"/>
          <w:sz w:val="24"/>
          <w:shd w:val="clear" w:color="auto" w:fill="FFFFFF"/>
        </w:rPr>
        <w:t xml:space="preserve"> T, </w:t>
      </w:r>
      <w:proofErr w:type="spellStart"/>
      <w:r w:rsidRPr="00E02AA8">
        <w:rPr>
          <w:rFonts w:ascii="Times New Roman"/>
          <w:color w:val="212121"/>
          <w:sz w:val="24"/>
          <w:shd w:val="clear" w:color="auto" w:fill="FFFFFF"/>
        </w:rPr>
        <w:t>Ngoenwiwatkul</w:t>
      </w:r>
      <w:proofErr w:type="spellEnd"/>
      <w:r w:rsidRPr="00E02AA8">
        <w:rPr>
          <w:rFonts w:ascii="Times New Roman"/>
          <w:color w:val="212121"/>
          <w:sz w:val="24"/>
          <w:shd w:val="clear" w:color="auto" w:fill="FFFFFF"/>
        </w:rPr>
        <w:t xml:space="preserve"> Y. Survival rates against fracture of endodontically treated posterior teeth restored with full-coverage crowns or resin composite restorations: a systematic review. </w:t>
      </w:r>
      <w:proofErr w:type="spellStart"/>
      <w:r w:rsidRPr="00E02AA8">
        <w:rPr>
          <w:rFonts w:ascii="Times New Roman"/>
          <w:color w:val="212121"/>
          <w:sz w:val="24"/>
          <w:shd w:val="clear" w:color="auto" w:fill="FFFFFF"/>
        </w:rPr>
        <w:t>Restor</w:t>
      </w:r>
      <w:proofErr w:type="spellEnd"/>
      <w:r w:rsidRPr="00E02AA8">
        <w:rPr>
          <w:rFonts w:ascii="Times New Roman"/>
          <w:color w:val="212121"/>
          <w:sz w:val="24"/>
          <w:shd w:val="clear" w:color="auto" w:fill="FFFFFF"/>
        </w:rPr>
        <w:t xml:space="preserve"> Dent </w:t>
      </w:r>
      <w:proofErr w:type="spellStart"/>
      <w:r w:rsidRPr="00E02AA8">
        <w:rPr>
          <w:rFonts w:ascii="Times New Roman"/>
          <w:color w:val="212121"/>
          <w:sz w:val="24"/>
          <w:shd w:val="clear" w:color="auto" w:fill="FFFFFF"/>
        </w:rPr>
        <w:t>Endod</w:t>
      </w:r>
      <w:proofErr w:type="spellEnd"/>
      <w:r w:rsidRPr="00E02AA8">
        <w:rPr>
          <w:rFonts w:ascii="Times New Roman"/>
          <w:color w:val="212121"/>
          <w:sz w:val="24"/>
          <w:shd w:val="clear" w:color="auto" w:fill="FFFFFF"/>
        </w:rPr>
        <w:t xml:space="preserve">. 2017 Aug;42(3):157-167. </w:t>
      </w:r>
      <w:proofErr w:type="spellStart"/>
      <w:r w:rsidRPr="00E02AA8">
        <w:rPr>
          <w:rFonts w:ascii="Times New Roman"/>
          <w:color w:val="212121"/>
          <w:sz w:val="24"/>
          <w:shd w:val="clear" w:color="auto" w:fill="FFFFFF"/>
        </w:rPr>
        <w:t>doi</w:t>
      </w:r>
      <w:proofErr w:type="spellEnd"/>
      <w:r w:rsidRPr="00E02AA8">
        <w:rPr>
          <w:rFonts w:ascii="Times New Roman"/>
          <w:color w:val="212121"/>
          <w:sz w:val="24"/>
          <w:shd w:val="clear" w:color="auto" w:fill="FFFFFF"/>
        </w:rPr>
        <w:t xml:space="preserve">: 10.5395/rde.2017.42.3.157. </w:t>
      </w:r>
      <w:proofErr w:type="spellStart"/>
      <w:r w:rsidRPr="00E02AA8">
        <w:rPr>
          <w:rFonts w:ascii="Times New Roman"/>
          <w:color w:val="212121"/>
          <w:sz w:val="24"/>
          <w:shd w:val="clear" w:color="auto" w:fill="FFFFFF"/>
        </w:rPr>
        <w:t>Epub</w:t>
      </w:r>
      <w:proofErr w:type="spellEnd"/>
      <w:r w:rsidRPr="00E02AA8">
        <w:rPr>
          <w:rFonts w:ascii="Times New Roman"/>
          <w:color w:val="212121"/>
          <w:sz w:val="24"/>
          <w:shd w:val="clear" w:color="auto" w:fill="FFFFFF"/>
        </w:rPr>
        <w:t xml:space="preserve"> 2017 Jul 31. PMID: 28808632; PMCID: PMC5553015.</w:t>
      </w:r>
    </w:p>
    <w:p w14:paraId="6B25B9AC" w14:textId="6FC02FD0" w:rsidR="00D13BA5" w:rsidRPr="00E02AA8" w:rsidRDefault="00AA174C" w:rsidP="00E02AA8">
      <w:pPr>
        <w:pStyle w:val="ListParagraph"/>
        <w:widowControl/>
        <w:numPr>
          <w:ilvl w:val="0"/>
          <w:numId w:val="3"/>
        </w:numPr>
        <w:wordWrap/>
        <w:autoSpaceDE/>
        <w:autoSpaceDN/>
        <w:spacing w:before="240" w:after="240" w:line="360" w:lineRule="auto"/>
        <w:jc w:val="left"/>
        <w:rPr>
          <w:rFonts w:ascii="Times New Roman" w:eastAsia="Times New Roman"/>
          <w:color w:val="000000" w:themeColor="text1"/>
          <w:sz w:val="24"/>
        </w:rPr>
      </w:pPr>
      <w:proofErr w:type="spellStart"/>
      <w:r w:rsidRPr="00E02AA8">
        <w:rPr>
          <w:rFonts w:ascii="Times New Roman"/>
          <w:color w:val="212121"/>
          <w:sz w:val="24"/>
          <w:shd w:val="clear" w:color="auto" w:fill="FFFFFF"/>
        </w:rPr>
        <w:t>D'souza</w:t>
      </w:r>
      <w:proofErr w:type="spellEnd"/>
      <w:r w:rsidRPr="00E02AA8">
        <w:rPr>
          <w:rFonts w:ascii="Times New Roman"/>
          <w:color w:val="212121"/>
          <w:sz w:val="24"/>
          <w:shd w:val="clear" w:color="auto" w:fill="FFFFFF"/>
        </w:rPr>
        <w:t xml:space="preserve"> JM, de </w:t>
      </w:r>
      <w:proofErr w:type="spellStart"/>
      <w:r w:rsidRPr="00E02AA8">
        <w:rPr>
          <w:rFonts w:ascii="Times New Roman"/>
          <w:color w:val="212121"/>
          <w:sz w:val="24"/>
          <w:shd w:val="clear" w:color="auto" w:fill="FFFFFF"/>
        </w:rPr>
        <w:t>Ataide</w:t>
      </w:r>
      <w:proofErr w:type="spellEnd"/>
      <w:r w:rsidRPr="00E02AA8">
        <w:rPr>
          <w:rFonts w:ascii="Times New Roman"/>
          <w:color w:val="212121"/>
          <w:sz w:val="24"/>
          <w:shd w:val="clear" w:color="auto" w:fill="FFFFFF"/>
        </w:rPr>
        <w:t xml:space="preserve"> IN, Lambor R. Effect of Newer </w:t>
      </w:r>
      <w:proofErr w:type="spellStart"/>
      <w:r w:rsidRPr="00E02AA8">
        <w:rPr>
          <w:rFonts w:ascii="Times New Roman"/>
          <w:color w:val="212121"/>
          <w:sz w:val="24"/>
          <w:shd w:val="clear" w:color="auto" w:fill="FFFFFF"/>
        </w:rPr>
        <w:t>Intraorifice</w:t>
      </w:r>
      <w:proofErr w:type="spellEnd"/>
      <w:r w:rsidRPr="00E02AA8">
        <w:rPr>
          <w:rFonts w:ascii="Times New Roman"/>
          <w:color w:val="212121"/>
          <w:sz w:val="24"/>
          <w:shd w:val="clear" w:color="auto" w:fill="FFFFFF"/>
        </w:rPr>
        <w:t xml:space="preserve"> Barriers on the Fracture Resistance of Endodontically Treated Teeth: An In Vitro Study. Cureus. 2024 Sep 15;16(9</w:t>
      </w:r>
      <w:proofErr w:type="gramStart"/>
      <w:r w:rsidRPr="00E02AA8">
        <w:rPr>
          <w:rFonts w:ascii="Times New Roman"/>
          <w:color w:val="212121"/>
          <w:sz w:val="24"/>
          <w:shd w:val="clear" w:color="auto" w:fill="FFFFFF"/>
        </w:rPr>
        <w:t>):e</w:t>
      </w:r>
      <w:proofErr w:type="gramEnd"/>
      <w:r w:rsidRPr="00E02AA8">
        <w:rPr>
          <w:rFonts w:ascii="Times New Roman"/>
          <w:color w:val="212121"/>
          <w:sz w:val="24"/>
          <w:shd w:val="clear" w:color="auto" w:fill="FFFFFF"/>
        </w:rPr>
        <w:t xml:space="preserve">69463. </w:t>
      </w:r>
      <w:proofErr w:type="spellStart"/>
      <w:r w:rsidRPr="00E02AA8">
        <w:rPr>
          <w:rFonts w:ascii="Times New Roman"/>
          <w:color w:val="212121"/>
          <w:sz w:val="24"/>
          <w:shd w:val="clear" w:color="auto" w:fill="FFFFFF"/>
        </w:rPr>
        <w:t>doi</w:t>
      </w:r>
      <w:proofErr w:type="spellEnd"/>
      <w:r w:rsidRPr="00E02AA8">
        <w:rPr>
          <w:rFonts w:ascii="Times New Roman"/>
          <w:color w:val="212121"/>
          <w:sz w:val="24"/>
          <w:shd w:val="clear" w:color="auto" w:fill="FFFFFF"/>
        </w:rPr>
        <w:t xml:space="preserve">: 10.7759/cureus.69463. PMID: </w:t>
      </w:r>
      <w:r w:rsidR="0078394A" w:rsidRPr="00E02AA8">
        <w:rPr>
          <w:rFonts w:ascii="Times New Roman"/>
          <w:color w:val="212121"/>
          <w:sz w:val="24"/>
          <w:shd w:val="clear" w:color="auto" w:fill="FFFFFF"/>
        </w:rPr>
        <w:t>39411613.</w:t>
      </w:r>
    </w:p>
    <w:p w14:paraId="6EA420B5" w14:textId="7AEB432F" w:rsidR="001536CF" w:rsidRPr="00E02AA8" w:rsidRDefault="001536CF" w:rsidP="00E02AA8">
      <w:pPr>
        <w:widowControl/>
        <w:numPr>
          <w:ilvl w:val="0"/>
          <w:numId w:val="3"/>
        </w:numPr>
        <w:wordWrap/>
        <w:autoSpaceDE/>
        <w:autoSpaceDN/>
        <w:spacing w:beforeAutospacing="1" w:afterAutospacing="1" w:line="360" w:lineRule="auto"/>
        <w:jc w:val="left"/>
        <w:rPr>
          <w:rFonts w:ascii="Times New Roman" w:eastAsia="Times New Roman"/>
          <w:kern w:val="0"/>
          <w:sz w:val="24"/>
          <w:lang w:val="en-IN" w:eastAsia="en-GB"/>
        </w:rPr>
      </w:pPr>
      <w:r w:rsidRPr="00E02AA8">
        <w:rPr>
          <w:rFonts w:ascii="Times New Roman" w:eastAsia="Times New Roman"/>
          <w:color w:val="000000" w:themeColor="text1"/>
          <w:sz w:val="24"/>
        </w:rPr>
        <w:t>Baskar, Hari &amp; Hari, Abirami &amp; Anirudhan, Subha. (2023). Comparative Evaluation of Flexural Strength, Modulus of Elasticity, and Microleakage of Three Different Glass Ionomer Restorative Materials in Class V Preparations – An In vitro Study. Indian Journal of Dental Sciences. 15. 67. 10.4103/ijds.ijds_54_22.</w:t>
      </w:r>
    </w:p>
    <w:p w14:paraId="1495693C" w14:textId="771F8705" w:rsidR="001536CF" w:rsidRPr="0078394A" w:rsidRDefault="00AA174C" w:rsidP="0078394A">
      <w:pPr>
        <w:widowControl/>
        <w:numPr>
          <w:ilvl w:val="0"/>
          <w:numId w:val="3"/>
        </w:numPr>
        <w:wordWrap/>
        <w:autoSpaceDE/>
        <w:autoSpaceDN/>
        <w:spacing w:beforeAutospacing="1" w:afterAutospacing="1" w:line="360" w:lineRule="auto"/>
        <w:jc w:val="left"/>
        <w:rPr>
          <w:rFonts w:ascii="Times New Roman" w:eastAsia="Times New Roman"/>
          <w:kern w:val="0"/>
          <w:sz w:val="24"/>
          <w:lang w:val="en-IN" w:eastAsia="en-GB"/>
        </w:rPr>
      </w:pPr>
      <w:proofErr w:type="spellStart"/>
      <w:r w:rsidRPr="00E02AA8">
        <w:rPr>
          <w:rFonts w:ascii="Times New Roman" w:eastAsia="Times New Roman"/>
          <w:kern w:val="0"/>
          <w:sz w:val="24"/>
          <w:lang w:val="en-IN" w:eastAsia="en-GB"/>
        </w:rPr>
        <w:t>Ikemura</w:t>
      </w:r>
      <w:proofErr w:type="spellEnd"/>
      <w:r w:rsidRPr="00E02AA8">
        <w:rPr>
          <w:rFonts w:ascii="Times New Roman" w:eastAsia="Times New Roman"/>
          <w:kern w:val="0"/>
          <w:sz w:val="24"/>
          <w:lang w:val="en-IN" w:eastAsia="en-GB"/>
        </w:rPr>
        <w:t xml:space="preserve"> K, Endo T. </w:t>
      </w:r>
      <w:r w:rsidRPr="00E02AA8">
        <w:rPr>
          <w:rFonts w:ascii="Times New Roman" w:eastAsia="Times New Roman"/>
          <w:i/>
          <w:iCs/>
          <w:kern w:val="0"/>
          <w:sz w:val="24"/>
          <w:lang w:val="en-IN" w:eastAsia="en-GB"/>
        </w:rPr>
        <w:t>A review of the development of radical polymerization initiators used for dental adhesive resins.</w:t>
      </w:r>
      <w:r w:rsidRPr="00E02AA8">
        <w:rPr>
          <w:rFonts w:ascii="Times New Roman" w:eastAsia="Times New Roman"/>
          <w:kern w:val="0"/>
          <w:sz w:val="24"/>
          <w:lang w:val="en-IN" w:eastAsia="en-GB"/>
        </w:rPr>
        <w:t xml:space="preserve"> Dent Mater J. 2010;29(5):481-501</w:t>
      </w:r>
    </w:p>
    <w:p w14:paraId="69C47C42" w14:textId="51B28B7D" w:rsidR="00AA174C" w:rsidRPr="00E02AA8" w:rsidRDefault="00AA174C" w:rsidP="00E02AA8">
      <w:pPr>
        <w:pStyle w:val="p1"/>
        <w:numPr>
          <w:ilvl w:val="0"/>
          <w:numId w:val="3"/>
        </w:numPr>
        <w:spacing w:line="360" w:lineRule="auto"/>
      </w:pPr>
      <w:proofErr w:type="spellStart"/>
      <w:r w:rsidRPr="00E02AA8">
        <w:t>Garoushi</w:t>
      </w:r>
      <w:proofErr w:type="spellEnd"/>
      <w:r w:rsidRPr="00E02AA8">
        <w:t xml:space="preserve"> S, </w:t>
      </w:r>
      <w:proofErr w:type="spellStart"/>
      <w:r w:rsidRPr="00E02AA8">
        <w:t>Vallittu</w:t>
      </w:r>
      <w:proofErr w:type="spellEnd"/>
      <w:r w:rsidRPr="00E02AA8">
        <w:t xml:space="preserve"> PK, Lassila LV. </w:t>
      </w:r>
      <w:r w:rsidRPr="00E02AA8">
        <w:rPr>
          <w:i/>
          <w:iCs/>
        </w:rPr>
        <w:t xml:space="preserve">Short </w:t>
      </w:r>
      <w:proofErr w:type="spellStart"/>
      <w:r w:rsidRPr="00E02AA8">
        <w:rPr>
          <w:i/>
          <w:iCs/>
        </w:rPr>
        <w:t>fiber</w:t>
      </w:r>
      <w:proofErr w:type="spellEnd"/>
      <w:r w:rsidRPr="00E02AA8">
        <w:rPr>
          <w:i/>
          <w:iCs/>
        </w:rPr>
        <w:t xml:space="preserve"> reinforced composite: a new approach to reinforce directly large cavities.</w:t>
      </w:r>
      <w:r w:rsidRPr="00E02AA8">
        <w:t xml:space="preserve"> Dent Mater. 2007;23(1):49–55.</w:t>
      </w:r>
    </w:p>
    <w:p w14:paraId="2EA19579" w14:textId="77777777" w:rsidR="00D83690" w:rsidRPr="00D83690" w:rsidRDefault="00D83690" w:rsidP="00E02AA8">
      <w:pPr>
        <w:pStyle w:val="p1"/>
        <w:numPr>
          <w:ilvl w:val="0"/>
          <w:numId w:val="3"/>
        </w:numPr>
        <w:spacing w:line="360" w:lineRule="auto"/>
      </w:pPr>
      <w:r>
        <w:rPr>
          <w:rFonts w:ascii="Arial" w:hAnsi="Arial" w:cs="Arial"/>
          <w:color w:val="222222"/>
          <w:sz w:val="20"/>
          <w:szCs w:val="20"/>
          <w:shd w:val="clear" w:color="auto" w:fill="FFFFFF"/>
        </w:rPr>
        <w:t>Mahmoud, S. H., El-</w:t>
      </w:r>
      <w:proofErr w:type="spellStart"/>
      <w:r>
        <w:rPr>
          <w:rFonts w:ascii="Arial" w:hAnsi="Arial" w:cs="Arial"/>
          <w:color w:val="222222"/>
          <w:sz w:val="20"/>
          <w:szCs w:val="20"/>
          <w:shd w:val="clear" w:color="auto" w:fill="FFFFFF"/>
        </w:rPr>
        <w:t>Negoly</w:t>
      </w:r>
      <w:proofErr w:type="spellEnd"/>
      <w:r>
        <w:rPr>
          <w:rFonts w:ascii="Arial" w:hAnsi="Arial" w:cs="Arial"/>
          <w:color w:val="222222"/>
          <w:sz w:val="20"/>
          <w:szCs w:val="20"/>
          <w:shd w:val="clear" w:color="auto" w:fill="FFFFFF"/>
        </w:rPr>
        <w:t>, S. A., El-Din, A. M. Z., El-</w:t>
      </w:r>
      <w:proofErr w:type="spellStart"/>
      <w:r>
        <w:rPr>
          <w:rFonts w:ascii="Arial" w:hAnsi="Arial" w:cs="Arial"/>
          <w:color w:val="222222"/>
          <w:sz w:val="20"/>
          <w:szCs w:val="20"/>
          <w:shd w:val="clear" w:color="auto" w:fill="FFFFFF"/>
        </w:rPr>
        <w:t>Zekrid</w:t>
      </w:r>
      <w:proofErr w:type="spellEnd"/>
      <w:r>
        <w:rPr>
          <w:rFonts w:ascii="Arial" w:hAnsi="Arial" w:cs="Arial"/>
          <w:color w:val="222222"/>
          <w:sz w:val="20"/>
          <w:szCs w:val="20"/>
          <w:shd w:val="clear" w:color="auto" w:fill="FFFFFF"/>
        </w:rPr>
        <w:t xml:space="preserve">, M. H., </w:t>
      </w:r>
      <w:proofErr w:type="spellStart"/>
      <w:r>
        <w:rPr>
          <w:rFonts w:ascii="Arial" w:hAnsi="Arial" w:cs="Arial"/>
          <w:color w:val="222222"/>
          <w:sz w:val="20"/>
          <w:szCs w:val="20"/>
          <w:shd w:val="clear" w:color="auto" w:fill="FFFFFF"/>
        </w:rPr>
        <w:t>Grawish</w:t>
      </w:r>
      <w:proofErr w:type="spellEnd"/>
      <w:r>
        <w:rPr>
          <w:rFonts w:ascii="Arial" w:hAnsi="Arial" w:cs="Arial"/>
          <w:color w:val="222222"/>
          <w:sz w:val="20"/>
          <w:szCs w:val="20"/>
          <w:shd w:val="clear" w:color="auto" w:fill="FFFFFF"/>
        </w:rPr>
        <w:t xml:space="preserve">, L. M., </w:t>
      </w:r>
      <w:proofErr w:type="spellStart"/>
      <w:r>
        <w:rPr>
          <w:rFonts w:ascii="Arial" w:hAnsi="Arial" w:cs="Arial"/>
          <w:color w:val="222222"/>
          <w:sz w:val="20"/>
          <w:szCs w:val="20"/>
          <w:shd w:val="clear" w:color="auto" w:fill="FFFFFF"/>
        </w:rPr>
        <w:t>Grawish</w:t>
      </w:r>
      <w:proofErr w:type="spellEnd"/>
      <w:r>
        <w:rPr>
          <w:rFonts w:ascii="Arial" w:hAnsi="Arial" w:cs="Arial"/>
          <w:color w:val="222222"/>
          <w:sz w:val="20"/>
          <w:szCs w:val="20"/>
          <w:shd w:val="clear" w:color="auto" w:fill="FFFFFF"/>
        </w:rPr>
        <w:t xml:space="preserve">, H. M., &amp; </w:t>
      </w:r>
      <w:proofErr w:type="spellStart"/>
      <w:r>
        <w:rPr>
          <w:rFonts w:ascii="Arial" w:hAnsi="Arial" w:cs="Arial"/>
          <w:color w:val="222222"/>
          <w:sz w:val="20"/>
          <w:szCs w:val="20"/>
          <w:shd w:val="clear" w:color="auto" w:fill="FFFFFF"/>
        </w:rPr>
        <w:t>Grawish</w:t>
      </w:r>
      <w:proofErr w:type="spellEnd"/>
      <w:r>
        <w:rPr>
          <w:rFonts w:ascii="Arial" w:hAnsi="Arial" w:cs="Arial"/>
          <w:color w:val="222222"/>
          <w:sz w:val="20"/>
          <w:szCs w:val="20"/>
          <w:shd w:val="clear" w:color="auto" w:fill="FFFFFF"/>
        </w:rPr>
        <w:t xml:space="preserve">, M. E. (2018). </w:t>
      </w:r>
      <w:proofErr w:type="spellStart"/>
      <w:r>
        <w:rPr>
          <w:rFonts w:ascii="Arial" w:hAnsi="Arial" w:cs="Arial"/>
          <w:color w:val="222222"/>
          <w:sz w:val="20"/>
          <w:szCs w:val="20"/>
          <w:shd w:val="clear" w:color="auto" w:fill="FFFFFF"/>
        </w:rPr>
        <w:t>Biodentine</w:t>
      </w:r>
      <w:proofErr w:type="spellEnd"/>
      <w:r>
        <w:rPr>
          <w:rFonts w:ascii="Arial" w:hAnsi="Arial" w:cs="Arial"/>
          <w:color w:val="222222"/>
          <w:sz w:val="20"/>
          <w:szCs w:val="20"/>
          <w:shd w:val="clear" w:color="auto" w:fill="FFFFFF"/>
        </w:rPr>
        <w:t xml:space="preserve"> versus mineral trioxide aggregate as a direct pulp capping material for human mature permanent teeth–A systematic review. </w:t>
      </w:r>
      <w:r>
        <w:rPr>
          <w:rFonts w:ascii="Arial" w:hAnsi="Arial" w:cs="Arial"/>
          <w:i/>
          <w:iCs/>
          <w:color w:val="222222"/>
          <w:sz w:val="20"/>
          <w:szCs w:val="20"/>
          <w:shd w:val="clear" w:color="auto" w:fill="FFFFFF"/>
        </w:rPr>
        <w:t>Journal of Conservative Dentistry and Endodontics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(5), 466-473.</w:t>
      </w:r>
      <w:r w:rsidRPr="00E02AA8">
        <w:rPr>
          <w:color w:val="212121"/>
          <w:shd w:val="clear" w:color="auto" w:fill="FFFFFF"/>
        </w:rPr>
        <w:t xml:space="preserve"> </w:t>
      </w:r>
    </w:p>
    <w:p w14:paraId="4D666C0B" w14:textId="129D10FE" w:rsidR="001536CF" w:rsidRPr="00E02AA8" w:rsidRDefault="001536CF" w:rsidP="00E02AA8">
      <w:pPr>
        <w:pStyle w:val="p1"/>
        <w:numPr>
          <w:ilvl w:val="0"/>
          <w:numId w:val="3"/>
        </w:numPr>
        <w:spacing w:line="360" w:lineRule="auto"/>
      </w:pPr>
      <w:r w:rsidRPr="00E02AA8">
        <w:rPr>
          <w:color w:val="212121"/>
          <w:shd w:val="clear" w:color="auto" w:fill="FFFFFF"/>
        </w:rPr>
        <w:t xml:space="preserve">Mehta S, </w:t>
      </w:r>
      <w:proofErr w:type="spellStart"/>
      <w:r w:rsidRPr="00E02AA8">
        <w:rPr>
          <w:color w:val="212121"/>
          <w:shd w:val="clear" w:color="auto" w:fill="FFFFFF"/>
        </w:rPr>
        <w:t>Ramugade</w:t>
      </w:r>
      <w:proofErr w:type="spellEnd"/>
      <w:r w:rsidRPr="00E02AA8">
        <w:rPr>
          <w:color w:val="212121"/>
          <w:shd w:val="clear" w:color="auto" w:fill="FFFFFF"/>
        </w:rPr>
        <w:t xml:space="preserve"> M, Abrar S, </w:t>
      </w:r>
      <w:proofErr w:type="spellStart"/>
      <w:r w:rsidRPr="00E02AA8">
        <w:rPr>
          <w:color w:val="212121"/>
          <w:shd w:val="clear" w:color="auto" w:fill="FFFFFF"/>
        </w:rPr>
        <w:t>Sapkale</w:t>
      </w:r>
      <w:proofErr w:type="spellEnd"/>
      <w:r w:rsidRPr="00E02AA8">
        <w:rPr>
          <w:color w:val="212121"/>
          <w:shd w:val="clear" w:color="auto" w:fill="FFFFFF"/>
        </w:rPr>
        <w:t xml:space="preserve"> K, Giuliani V, Burbano Balseca MJ. Evaluation of coronal microleakage of intra-orifice barrier materials in endodontically treated teeth: A systematic review. J </w:t>
      </w:r>
      <w:proofErr w:type="spellStart"/>
      <w:r w:rsidRPr="00E02AA8">
        <w:rPr>
          <w:color w:val="212121"/>
          <w:shd w:val="clear" w:color="auto" w:fill="FFFFFF"/>
        </w:rPr>
        <w:t>Conserv</w:t>
      </w:r>
      <w:proofErr w:type="spellEnd"/>
      <w:r w:rsidRPr="00E02AA8">
        <w:rPr>
          <w:color w:val="212121"/>
          <w:shd w:val="clear" w:color="auto" w:fill="FFFFFF"/>
        </w:rPr>
        <w:t xml:space="preserve"> Dent. 2022 Nov-Dec;25(6):588-595. </w:t>
      </w:r>
      <w:proofErr w:type="spellStart"/>
      <w:r w:rsidRPr="00E02AA8">
        <w:rPr>
          <w:color w:val="212121"/>
          <w:shd w:val="clear" w:color="auto" w:fill="FFFFFF"/>
        </w:rPr>
        <w:t>doi</w:t>
      </w:r>
      <w:proofErr w:type="spellEnd"/>
      <w:r w:rsidRPr="00E02AA8">
        <w:rPr>
          <w:color w:val="212121"/>
          <w:shd w:val="clear" w:color="auto" w:fill="FFFFFF"/>
        </w:rPr>
        <w:t xml:space="preserve">: 10.4103/jcd.jcd_377_22. </w:t>
      </w:r>
      <w:proofErr w:type="spellStart"/>
      <w:r w:rsidRPr="00E02AA8">
        <w:rPr>
          <w:color w:val="212121"/>
          <w:shd w:val="clear" w:color="auto" w:fill="FFFFFF"/>
        </w:rPr>
        <w:t>Epub</w:t>
      </w:r>
      <w:proofErr w:type="spellEnd"/>
      <w:r w:rsidRPr="00E02AA8">
        <w:rPr>
          <w:color w:val="212121"/>
          <w:shd w:val="clear" w:color="auto" w:fill="FFFFFF"/>
        </w:rPr>
        <w:t xml:space="preserve"> 2022 Oct 13. PMID: 36591578; PMCID: PMC9795687.</w:t>
      </w:r>
    </w:p>
    <w:p w14:paraId="7FE73CC5" w14:textId="0B674AE8" w:rsidR="0078394A" w:rsidRPr="00E02AA8" w:rsidRDefault="00423C98" w:rsidP="0078394A">
      <w:pPr>
        <w:pStyle w:val="p1"/>
        <w:numPr>
          <w:ilvl w:val="0"/>
          <w:numId w:val="3"/>
        </w:numPr>
        <w:spacing w:line="360" w:lineRule="auto"/>
      </w:pPr>
      <w:proofErr w:type="spellStart"/>
      <w:r w:rsidRPr="00E02AA8">
        <w:lastRenderedPageBreak/>
        <w:t>Garoushi</w:t>
      </w:r>
      <w:proofErr w:type="spellEnd"/>
      <w:r w:rsidRPr="00E02AA8">
        <w:t xml:space="preserve"> S, </w:t>
      </w:r>
      <w:proofErr w:type="spellStart"/>
      <w:r w:rsidRPr="00E02AA8">
        <w:t>Gargoum</w:t>
      </w:r>
      <w:proofErr w:type="spellEnd"/>
      <w:r w:rsidRPr="00E02AA8">
        <w:t xml:space="preserve"> A, </w:t>
      </w:r>
      <w:proofErr w:type="spellStart"/>
      <w:r w:rsidRPr="00E02AA8">
        <w:t>Vallittu</w:t>
      </w:r>
      <w:proofErr w:type="spellEnd"/>
      <w:r w:rsidRPr="00E02AA8">
        <w:t xml:space="preserve"> PK, </w:t>
      </w:r>
      <w:proofErr w:type="spellStart"/>
      <w:r w:rsidRPr="00E02AA8">
        <w:t>Lassila</w:t>
      </w:r>
      <w:proofErr w:type="spellEnd"/>
      <w:r w:rsidRPr="00E02AA8">
        <w:t xml:space="preserve"> LV. </w:t>
      </w:r>
      <w:r w:rsidRPr="00E02AA8">
        <w:rPr>
          <w:i/>
          <w:iCs/>
        </w:rPr>
        <w:t xml:space="preserve">Short </w:t>
      </w:r>
      <w:proofErr w:type="spellStart"/>
      <w:r w:rsidRPr="00E02AA8">
        <w:rPr>
          <w:i/>
          <w:iCs/>
        </w:rPr>
        <w:t>fiber</w:t>
      </w:r>
      <w:proofErr w:type="spellEnd"/>
      <w:r w:rsidRPr="00E02AA8">
        <w:rPr>
          <w:i/>
          <w:iCs/>
        </w:rPr>
        <w:t>-reinforced composite restorations: a review of the current literature.</w:t>
      </w:r>
      <w:r w:rsidRPr="00E02AA8">
        <w:t xml:space="preserve"> J </w:t>
      </w:r>
      <w:proofErr w:type="spellStart"/>
      <w:r w:rsidRPr="00E02AA8">
        <w:t>Investig</w:t>
      </w:r>
      <w:proofErr w:type="spellEnd"/>
      <w:r w:rsidRPr="00E02AA8">
        <w:t xml:space="preserve"> Clin Dent. 2018;9(3):e12330.</w:t>
      </w:r>
    </w:p>
    <w:bookmarkEnd w:id="0"/>
    <w:p w14:paraId="22CD2066" w14:textId="77777777" w:rsidR="00423C98" w:rsidRPr="00E02AA8" w:rsidRDefault="00423C98" w:rsidP="00E02AA8">
      <w:pPr>
        <w:widowControl/>
        <w:numPr>
          <w:ilvl w:val="0"/>
          <w:numId w:val="3"/>
        </w:numPr>
        <w:pBdr>
          <w:top w:val="single" w:sz="6" w:space="0" w:color="C2C2C2"/>
        </w:pBdr>
        <w:shd w:val="clear" w:color="auto" w:fill="FFFFFF"/>
        <w:wordWrap/>
        <w:autoSpaceDE/>
        <w:autoSpaceDN/>
        <w:spacing w:after="100" w:afterAutospacing="1" w:line="360" w:lineRule="auto"/>
        <w:jc w:val="left"/>
        <w:rPr>
          <w:rFonts w:ascii="Times New Roman" w:eastAsia="Times New Roman"/>
          <w:color w:val="353535"/>
          <w:kern w:val="0"/>
          <w:sz w:val="24"/>
          <w:lang w:val="en-IN" w:eastAsia="en-GB"/>
        </w:rPr>
      </w:pPr>
      <w:r w:rsidRPr="00E02AA8">
        <w:rPr>
          <w:rFonts w:ascii="Times New Roman" w:eastAsia="Times New Roman"/>
          <w:color w:val="353535"/>
          <w:kern w:val="0"/>
          <w:sz w:val="24"/>
          <w:lang w:val="en-IN" w:eastAsia="en-GB"/>
        </w:rPr>
        <w:t>Kaur, Gurmeen</w:t>
      </w:r>
      <w:r w:rsidRPr="00E02AA8">
        <w:rPr>
          <w:rFonts w:ascii="Times New Roman" w:eastAsia="Times New Roman"/>
          <w:color w:val="353535"/>
          <w:kern w:val="0"/>
          <w:sz w:val="24"/>
          <w:vertAlign w:val="superscript"/>
          <w:lang w:val="en-IN" w:eastAsia="en-GB"/>
        </w:rPr>
        <w:t>1,</w:t>
      </w:r>
      <w:r w:rsidRPr="00E02AA8">
        <w:rPr>
          <w:rFonts w:ascii="Times New Roman" w:eastAsia="Times New Roman"/>
          <w:color w:val="353535"/>
          <w:kern w:val="0"/>
          <w:sz w:val="24"/>
          <w:lang w:val="en-IN" w:eastAsia="en-GB"/>
        </w:rPr>
        <w:t>; Shetty, Chitharanjan</w:t>
      </w:r>
      <w:r w:rsidRPr="00E02AA8">
        <w:rPr>
          <w:rFonts w:ascii="Times New Roman" w:eastAsia="Times New Roman"/>
          <w:color w:val="353535"/>
          <w:kern w:val="0"/>
          <w:sz w:val="24"/>
          <w:vertAlign w:val="superscript"/>
          <w:lang w:val="en-IN" w:eastAsia="en-GB"/>
        </w:rPr>
        <w:t>2</w:t>
      </w:r>
      <w:r w:rsidRPr="00E02AA8">
        <w:rPr>
          <w:rFonts w:ascii="Times New Roman" w:eastAsia="Times New Roman"/>
          <w:color w:val="353535"/>
          <w:kern w:val="0"/>
          <w:sz w:val="24"/>
          <w:lang w:val="en-IN" w:eastAsia="en-GB"/>
        </w:rPr>
        <w:t>; Hegde, Mithra N.</w:t>
      </w:r>
      <w:r w:rsidRPr="00E02AA8">
        <w:rPr>
          <w:rFonts w:ascii="Times New Roman" w:eastAsia="Times New Roman"/>
          <w:color w:val="353535"/>
          <w:kern w:val="0"/>
          <w:sz w:val="24"/>
          <w:vertAlign w:val="superscript"/>
          <w:lang w:val="en-IN" w:eastAsia="en-GB"/>
        </w:rPr>
        <w:t>2</w:t>
      </w:r>
      <w:r w:rsidRPr="00E02AA8">
        <w:rPr>
          <w:rFonts w:ascii="Times New Roman" w:eastAsia="Times New Roman"/>
          <w:color w:val="353535"/>
          <w:kern w:val="0"/>
          <w:sz w:val="24"/>
          <w:lang w:val="en-IN" w:eastAsia="en-GB"/>
        </w:rPr>
        <w:t xml:space="preserve">. Comparative Evaluation of Compressive Strength and Fracture Resistance of Posterior Restorative Materials </w:t>
      </w:r>
      <w:proofErr w:type="spellStart"/>
      <w:r w:rsidRPr="00E02AA8">
        <w:rPr>
          <w:rFonts w:ascii="Times New Roman" w:eastAsia="Times New Roman"/>
          <w:color w:val="353535"/>
          <w:kern w:val="0"/>
          <w:sz w:val="24"/>
          <w:lang w:val="en-IN" w:eastAsia="en-GB"/>
        </w:rPr>
        <w:t>Alkasite</w:t>
      </w:r>
      <w:proofErr w:type="spellEnd"/>
      <w:r w:rsidRPr="00E02AA8">
        <w:rPr>
          <w:rFonts w:ascii="Times New Roman" w:eastAsia="Times New Roman"/>
          <w:color w:val="353535"/>
          <w:kern w:val="0"/>
          <w:sz w:val="24"/>
          <w:lang w:val="en-IN" w:eastAsia="en-GB"/>
        </w:rPr>
        <w:t xml:space="preserve"> and Newer Glass Ionomers with Amalgam: An In Vitro Study. Journal of International Oral Health 14(6):p 566-573, Nov–Dec 2022. | DOI: 10.4103/jioh.jioh_95_22</w:t>
      </w:r>
    </w:p>
    <w:p w14:paraId="1EFED594" w14:textId="77777777" w:rsidR="00F329B2" w:rsidRPr="00E02AA8" w:rsidRDefault="00F329B2" w:rsidP="00E02AA8">
      <w:pPr>
        <w:pStyle w:val="ListParagraph"/>
        <w:numPr>
          <w:ilvl w:val="0"/>
          <w:numId w:val="3"/>
        </w:numPr>
        <w:spacing w:after="150" w:line="360" w:lineRule="auto"/>
        <w:rPr>
          <w:rFonts w:ascii="Times New Roman" w:eastAsia="Times New Roman"/>
          <w:color w:val="000000" w:themeColor="text1"/>
          <w:sz w:val="24"/>
        </w:rPr>
      </w:pPr>
      <w:r w:rsidRPr="00E02AA8">
        <w:rPr>
          <w:rFonts w:ascii="Times New Roman"/>
          <w:color w:val="1B1B1B"/>
          <w:sz w:val="24"/>
          <w:shd w:val="clear" w:color="auto" w:fill="FFFFFF"/>
        </w:rPr>
        <w:t xml:space="preserve">Subash D, Shoba K, Aman S, Bharkavi SKI, Nimmi V, Abhilash R. Fracture Resistance of Endodontically Treated Teeth Restored with </w:t>
      </w:r>
      <w:proofErr w:type="spellStart"/>
      <w:r w:rsidRPr="00E02AA8">
        <w:rPr>
          <w:rFonts w:ascii="Times New Roman"/>
          <w:color w:val="1B1B1B"/>
          <w:sz w:val="24"/>
          <w:shd w:val="clear" w:color="auto" w:fill="FFFFFF"/>
        </w:rPr>
        <w:t>Biodentine</w:t>
      </w:r>
      <w:proofErr w:type="spellEnd"/>
      <w:r w:rsidRPr="00E02AA8">
        <w:rPr>
          <w:rFonts w:ascii="Times New Roman"/>
          <w:color w:val="1B1B1B"/>
          <w:sz w:val="24"/>
          <w:shd w:val="clear" w:color="auto" w:fill="FFFFFF"/>
        </w:rPr>
        <w:t>, Resin Modified GIC and Hybrid Composite Resin as a Core Material. J Clin Diagn Res. 2017 Sep;11(9</w:t>
      </w:r>
      <w:proofErr w:type="gramStart"/>
      <w:r w:rsidRPr="00E02AA8">
        <w:rPr>
          <w:rFonts w:ascii="Times New Roman"/>
          <w:color w:val="1B1B1B"/>
          <w:sz w:val="24"/>
          <w:shd w:val="clear" w:color="auto" w:fill="FFFFFF"/>
        </w:rPr>
        <w:t>):ZC</w:t>
      </w:r>
      <w:proofErr w:type="gramEnd"/>
      <w:r w:rsidRPr="00E02AA8">
        <w:rPr>
          <w:rFonts w:ascii="Times New Roman"/>
          <w:color w:val="1B1B1B"/>
          <w:sz w:val="24"/>
          <w:shd w:val="clear" w:color="auto" w:fill="FFFFFF"/>
        </w:rPr>
        <w:t xml:space="preserve">68-ZC70. </w:t>
      </w:r>
      <w:proofErr w:type="spellStart"/>
      <w:r w:rsidRPr="00E02AA8">
        <w:rPr>
          <w:rFonts w:ascii="Times New Roman"/>
          <w:color w:val="1B1B1B"/>
          <w:sz w:val="24"/>
          <w:shd w:val="clear" w:color="auto" w:fill="FFFFFF"/>
        </w:rPr>
        <w:t>doi</w:t>
      </w:r>
      <w:proofErr w:type="spellEnd"/>
      <w:r w:rsidRPr="00E02AA8">
        <w:rPr>
          <w:rFonts w:ascii="Times New Roman"/>
          <w:color w:val="1B1B1B"/>
          <w:sz w:val="24"/>
          <w:shd w:val="clear" w:color="auto" w:fill="FFFFFF"/>
        </w:rPr>
        <w:t xml:space="preserve">: 10.7860/JCDR/2017/28263.10625. </w:t>
      </w:r>
      <w:proofErr w:type="spellStart"/>
      <w:r w:rsidRPr="00E02AA8">
        <w:rPr>
          <w:rFonts w:ascii="Times New Roman"/>
          <w:color w:val="1B1B1B"/>
          <w:sz w:val="24"/>
          <w:shd w:val="clear" w:color="auto" w:fill="FFFFFF"/>
        </w:rPr>
        <w:t>Epub</w:t>
      </w:r>
      <w:proofErr w:type="spellEnd"/>
      <w:r w:rsidRPr="00E02AA8">
        <w:rPr>
          <w:rFonts w:ascii="Times New Roman"/>
          <w:color w:val="1B1B1B"/>
          <w:sz w:val="24"/>
          <w:shd w:val="clear" w:color="auto" w:fill="FFFFFF"/>
        </w:rPr>
        <w:t xml:space="preserve"> 2017 Sep 1. PMID: 29207837; PMCID: PMC5713859.</w:t>
      </w:r>
    </w:p>
    <w:p w14:paraId="196C778C" w14:textId="77777777" w:rsidR="00D83690" w:rsidRPr="00D83690" w:rsidRDefault="00CD1319" w:rsidP="007C68E7">
      <w:pPr>
        <w:pStyle w:val="ListParagraph"/>
        <w:numPr>
          <w:ilvl w:val="0"/>
          <w:numId w:val="3"/>
        </w:numPr>
        <w:spacing w:after="150" w:line="360" w:lineRule="auto"/>
        <w:rPr>
          <w:rFonts w:ascii="Times New Roman" w:eastAsia="Times New Roman"/>
          <w:color w:val="000000" w:themeColor="text1"/>
          <w:sz w:val="24"/>
        </w:rPr>
      </w:pPr>
      <w:proofErr w:type="spellStart"/>
      <w:r w:rsidRPr="00E02AA8">
        <w:rPr>
          <w:rFonts w:ascii="Times New Roman"/>
          <w:sz w:val="24"/>
        </w:rPr>
        <w:t>Parirokh</w:t>
      </w:r>
      <w:proofErr w:type="spellEnd"/>
      <w:r w:rsidRPr="00E02AA8">
        <w:rPr>
          <w:rFonts w:ascii="Times New Roman"/>
          <w:sz w:val="24"/>
        </w:rPr>
        <w:t xml:space="preserve"> M, </w:t>
      </w:r>
      <w:proofErr w:type="spellStart"/>
      <w:r w:rsidRPr="00E02AA8">
        <w:rPr>
          <w:rFonts w:ascii="Times New Roman"/>
          <w:sz w:val="24"/>
        </w:rPr>
        <w:t>Torabinejad</w:t>
      </w:r>
      <w:proofErr w:type="spellEnd"/>
      <w:r w:rsidRPr="00E02AA8">
        <w:rPr>
          <w:rFonts w:ascii="Times New Roman"/>
          <w:sz w:val="24"/>
        </w:rPr>
        <w:t xml:space="preserve"> M. Mineral trioxide aggregate and other bioactive endodontic cements: an updated overview. </w:t>
      </w:r>
      <w:r w:rsidRPr="00E02AA8">
        <w:rPr>
          <w:rFonts w:ascii="Times New Roman"/>
          <w:i/>
          <w:iCs/>
          <w:sz w:val="24"/>
        </w:rPr>
        <w:t>Part II: Other clinical applications and complications.</w:t>
      </w:r>
      <w:r w:rsidRPr="00E02AA8">
        <w:rPr>
          <w:rFonts w:ascii="Times New Roman"/>
          <w:sz w:val="24"/>
        </w:rPr>
        <w:t xml:space="preserve"> </w:t>
      </w:r>
      <w:r w:rsidRPr="00E02AA8">
        <w:rPr>
          <w:rFonts w:ascii="Times New Roman"/>
          <w:i/>
          <w:iCs/>
          <w:sz w:val="24"/>
        </w:rPr>
        <w:t>J Endod</w:t>
      </w:r>
      <w:r w:rsidRPr="00E02AA8">
        <w:rPr>
          <w:rFonts w:ascii="Times New Roman"/>
          <w:sz w:val="24"/>
        </w:rPr>
        <w:t>. 2018;44(12):1848–64</w:t>
      </w:r>
    </w:p>
    <w:p w14:paraId="11C1A318" w14:textId="608CDC06" w:rsidR="00D13BA5" w:rsidRPr="00BE5E8A" w:rsidRDefault="00D83690" w:rsidP="007C68E7">
      <w:pPr>
        <w:pStyle w:val="ListParagraph"/>
        <w:numPr>
          <w:ilvl w:val="0"/>
          <w:numId w:val="3"/>
        </w:numPr>
        <w:spacing w:after="150" w:line="360" w:lineRule="auto"/>
        <w:rPr>
          <w:rFonts w:ascii="Times New Roman" w:eastAsia="Times New Roman"/>
          <w:color w:val="000000" w:themeColor="text1"/>
          <w:sz w:val="24"/>
        </w:rPr>
      </w:pPr>
      <w:r w:rsidRPr="00D83690">
        <w:rPr>
          <w:rFonts w:ascii="Arial" w:hAnsi="Arial" w:cs="Arial"/>
          <w:color w:val="222222"/>
          <w:szCs w:val="20"/>
          <w:shd w:val="clear" w:color="auto" w:fill="FFFFFF"/>
        </w:rPr>
        <w:t xml:space="preserve">Subash, D., Shoba, K., Aman, S., </w:t>
      </w:r>
      <w:proofErr w:type="spellStart"/>
      <w:r w:rsidRPr="00D83690">
        <w:rPr>
          <w:rFonts w:ascii="Arial" w:hAnsi="Arial" w:cs="Arial"/>
          <w:color w:val="222222"/>
          <w:szCs w:val="20"/>
          <w:shd w:val="clear" w:color="auto" w:fill="FFFFFF"/>
        </w:rPr>
        <w:t>Bharkavi</w:t>
      </w:r>
      <w:proofErr w:type="spellEnd"/>
      <w:r w:rsidRPr="00D83690">
        <w:rPr>
          <w:rFonts w:ascii="Arial" w:hAnsi="Arial" w:cs="Arial"/>
          <w:color w:val="222222"/>
          <w:szCs w:val="20"/>
          <w:shd w:val="clear" w:color="auto" w:fill="FFFFFF"/>
        </w:rPr>
        <w:t xml:space="preserve">, S. K. I., </w:t>
      </w:r>
      <w:proofErr w:type="spellStart"/>
      <w:r w:rsidRPr="00D83690">
        <w:rPr>
          <w:rFonts w:ascii="Arial" w:hAnsi="Arial" w:cs="Arial"/>
          <w:color w:val="222222"/>
          <w:szCs w:val="20"/>
          <w:shd w:val="clear" w:color="auto" w:fill="FFFFFF"/>
        </w:rPr>
        <w:t>Nimmi</w:t>
      </w:r>
      <w:proofErr w:type="spellEnd"/>
      <w:r w:rsidRPr="00D83690">
        <w:rPr>
          <w:rFonts w:ascii="Arial" w:hAnsi="Arial" w:cs="Arial"/>
          <w:color w:val="222222"/>
          <w:szCs w:val="20"/>
          <w:shd w:val="clear" w:color="auto" w:fill="FFFFFF"/>
        </w:rPr>
        <w:t xml:space="preserve">, V., &amp; Abhilash, R. (2017). Fracture resistance of endodontically treated teeth restored with </w:t>
      </w:r>
      <w:proofErr w:type="spellStart"/>
      <w:r w:rsidRPr="00D83690">
        <w:rPr>
          <w:rFonts w:ascii="Arial" w:hAnsi="Arial" w:cs="Arial"/>
          <w:color w:val="222222"/>
          <w:szCs w:val="20"/>
          <w:shd w:val="clear" w:color="auto" w:fill="FFFFFF"/>
        </w:rPr>
        <w:t>biodentine</w:t>
      </w:r>
      <w:proofErr w:type="spellEnd"/>
      <w:r w:rsidRPr="00D83690">
        <w:rPr>
          <w:rFonts w:ascii="Arial" w:hAnsi="Arial" w:cs="Arial"/>
          <w:color w:val="222222"/>
          <w:szCs w:val="20"/>
          <w:shd w:val="clear" w:color="auto" w:fill="FFFFFF"/>
        </w:rPr>
        <w:t>, resin modified GIC and hybrid composite resin as a core material. </w:t>
      </w:r>
      <w:r w:rsidRPr="00D83690">
        <w:rPr>
          <w:rFonts w:ascii="Arial" w:hAnsi="Arial" w:cs="Arial"/>
          <w:i/>
          <w:iCs/>
          <w:color w:val="222222"/>
          <w:szCs w:val="20"/>
          <w:shd w:val="clear" w:color="auto" w:fill="FFFFFF"/>
        </w:rPr>
        <w:t>Journal of clinical and diagnostic research: JCDR</w:t>
      </w:r>
      <w:r w:rsidRPr="00D83690">
        <w:rPr>
          <w:rFonts w:ascii="Arial" w:hAnsi="Arial" w:cs="Arial"/>
          <w:color w:val="222222"/>
          <w:szCs w:val="20"/>
          <w:shd w:val="clear" w:color="auto" w:fill="FFFFFF"/>
        </w:rPr>
        <w:t>, </w:t>
      </w:r>
      <w:r w:rsidRPr="00D83690">
        <w:rPr>
          <w:rFonts w:ascii="Arial" w:hAnsi="Arial" w:cs="Arial"/>
          <w:i/>
          <w:iCs/>
          <w:color w:val="222222"/>
          <w:szCs w:val="20"/>
          <w:shd w:val="clear" w:color="auto" w:fill="FFFFFF"/>
        </w:rPr>
        <w:t>11</w:t>
      </w:r>
      <w:r w:rsidRPr="00D83690">
        <w:rPr>
          <w:rFonts w:ascii="Arial" w:hAnsi="Arial" w:cs="Arial"/>
          <w:color w:val="222222"/>
          <w:szCs w:val="20"/>
          <w:shd w:val="clear" w:color="auto" w:fill="FFFFFF"/>
        </w:rPr>
        <w:t>(9), ZC68.</w:t>
      </w:r>
    </w:p>
    <w:p w14:paraId="16E1A940" w14:textId="1825F396" w:rsidR="00BE5E8A" w:rsidRPr="00D83690" w:rsidRDefault="00BE5E8A" w:rsidP="007C68E7">
      <w:pPr>
        <w:pStyle w:val="ListParagraph"/>
        <w:numPr>
          <w:ilvl w:val="0"/>
          <w:numId w:val="3"/>
        </w:numPr>
        <w:spacing w:after="150" w:line="360" w:lineRule="auto"/>
        <w:rPr>
          <w:rFonts w:ascii="Times New Roman" w:eastAsia="Times New Roman"/>
          <w:color w:val="000000" w:themeColor="text1"/>
          <w:sz w:val="24"/>
        </w:rPr>
      </w:pPr>
      <w:r w:rsidRPr="00BE5E8A">
        <w:rPr>
          <w:rFonts w:ascii="Times New Roman" w:eastAsia="Times New Roman"/>
          <w:color w:val="000000" w:themeColor="text1"/>
          <w:sz w:val="24"/>
        </w:rPr>
        <w:t xml:space="preserve">Sharma, M., Mathew, T., &amp; Kaur, G. (2024). Effect of bonding </w:t>
      </w:r>
      <w:proofErr w:type="spellStart"/>
      <w:r w:rsidRPr="00BE5E8A">
        <w:rPr>
          <w:rFonts w:ascii="Times New Roman" w:eastAsia="Times New Roman"/>
          <w:color w:val="000000" w:themeColor="text1"/>
          <w:sz w:val="24"/>
        </w:rPr>
        <w:t>pericervical</w:t>
      </w:r>
      <w:proofErr w:type="spellEnd"/>
      <w:r w:rsidRPr="00BE5E8A">
        <w:rPr>
          <w:rFonts w:ascii="Times New Roman" w:eastAsia="Times New Roman"/>
          <w:color w:val="000000" w:themeColor="text1"/>
          <w:sz w:val="24"/>
        </w:rPr>
        <w:t xml:space="preserve"> dentin with reinforcing materials on strength of root-filled mandibular single-canal premolars: An in vitro study. Endodontology, 36(2), 120-124.</w:t>
      </w:r>
    </w:p>
    <w:sectPr w:rsidR="00BE5E8A" w:rsidRPr="00D836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2A8A6" w14:textId="77777777" w:rsidR="00677935" w:rsidRDefault="00677935" w:rsidP="00D4358B">
      <w:r>
        <w:separator/>
      </w:r>
    </w:p>
  </w:endnote>
  <w:endnote w:type="continuationSeparator" w:id="0">
    <w:p w14:paraId="718DB0C6" w14:textId="77777777" w:rsidR="00677935" w:rsidRDefault="00677935" w:rsidP="00D4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7F76" w14:textId="77777777" w:rsidR="00D4358B" w:rsidRDefault="00D43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D9F6D" w14:textId="77777777" w:rsidR="00D4358B" w:rsidRDefault="00D43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26D4" w14:textId="77777777" w:rsidR="00D4358B" w:rsidRDefault="00D43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720DB" w14:textId="77777777" w:rsidR="00677935" w:rsidRDefault="00677935" w:rsidP="00D4358B">
      <w:r>
        <w:separator/>
      </w:r>
    </w:p>
  </w:footnote>
  <w:footnote w:type="continuationSeparator" w:id="0">
    <w:p w14:paraId="00D6D725" w14:textId="77777777" w:rsidR="00677935" w:rsidRDefault="00677935" w:rsidP="00D4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6D4D" w14:textId="641B6162" w:rsidR="00D4358B" w:rsidRDefault="00D65DBE">
    <w:pPr>
      <w:pStyle w:val="Header"/>
    </w:pPr>
    <w:r>
      <w:rPr>
        <w:noProof/>
      </w:rPr>
      <w:pict w14:anchorId="43D5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1657" o:spid="_x0000_s2051" type="#_x0000_t136" alt="" style="position:absolute;left:0;text-align:left;margin-left:0;margin-top:0;width:580.85pt;height:55.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Batang&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37DEA" w14:textId="02F3689C" w:rsidR="00D4358B" w:rsidRDefault="00D65DBE">
    <w:pPr>
      <w:pStyle w:val="Header"/>
    </w:pPr>
    <w:r>
      <w:rPr>
        <w:noProof/>
      </w:rPr>
      <w:pict w14:anchorId="0A47E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1658" o:spid="_x0000_s2050" type="#_x0000_t136" alt="" style="position:absolute;left:0;text-align:left;margin-left:0;margin-top:0;width:580.85pt;height:55.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Batang&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665B" w14:textId="50A29F4C" w:rsidR="00D4358B" w:rsidRDefault="00D65DBE">
    <w:pPr>
      <w:pStyle w:val="Header"/>
    </w:pPr>
    <w:r>
      <w:rPr>
        <w:noProof/>
      </w:rPr>
      <w:pict w14:anchorId="6DE6F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851656" o:spid="_x0000_s2049" type="#_x0000_t136" alt="" style="position:absolute;left:0;text-align:left;margin-left:0;margin-top:0;width:580.85pt;height:55.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Batang&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1A06"/>
    <w:multiLevelType w:val="multilevel"/>
    <w:tmpl w:val="15D04F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131D4"/>
    <w:multiLevelType w:val="multilevel"/>
    <w:tmpl w:val="86BC53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27AA0"/>
    <w:multiLevelType w:val="multilevel"/>
    <w:tmpl w:val="485ED1F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7D66C"/>
    <w:multiLevelType w:val="hybridMultilevel"/>
    <w:tmpl w:val="5D46C478"/>
    <w:lvl w:ilvl="0" w:tplc="AF6E875C">
      <w:start w:val="1"/>
      <w:numFmt w:val="bullet"/>
      <w:lvlText w:val=""/>
      <w:lvlJc w:val="left"/>
      <w:pPr>
        <w:ind w:left="720" w:hanging="360"/>
      </w:pPr>
      <w:rPr>
        <w:rFonts w:ascii="Symbol" w:hAnsi="Symbol" w:hint="default"/>
      </w:rPr>
    </w:lvl>
    <w:lvl w:ilvl="1" w:tplc="64DEEE24">
      <w:start w:val="1"/>
      <w:numFmt w:val="bullet"/>
      <w:lvlText w:val="o"/>
      <w:lvlJc w:val="left"/>
      <w:pPr>
        <w:ind w:left="1440" w:hanging="360"/>
      </w:pPr>
      <w:rPr>
        <w:rFonts w:ascii="Courier New" w:hAnsi="Courier New" w:hint="default"/>
      </w:rPr>
    </w:lvl>
    <w:lvl w:ilvl="2" w:tplc="70D4E77C">
      <w:start w:val="1"/>
      <w:numFmt w:val="bullet"/>
      <w:lvlText w:val=""/>
      <w:lvlJc w:val="left"/>
      <w:pPr>
        <w:ind w:left="2160" w:hanging="360"/>
      </w:pPr>
      <w:rPr>
        <w:rFonts w:ascii="Wingdings" w:hAnsi="Wingdings" w:hint="default"/>
      </w:rPr>
    </w:lvl>
    <w:lvl w:ilvl="3" w:tplc="21202086">
      <w:start w:val="1"/>
      <w:numFmt w:val="bullet"/>
      <w:lvlText w:val=""/>
      <w:lvlJc w:val="left"/>
      <w:pPr>
        <w:ind w:left="2880" w:hanging="360"/>
      </w:pPr>
      <w:rPr>
        <w:rFonts w:ascii="Symbol" w:hAnsi="Symbol" w:hint="default"/>
      </w:rPr>
    </w:lvl>
    <w:lvl w:ilvl="4" w:tplc="0B54033A">
      <w:start w:val="1"/>
      <w:numFmt w:val="bullet"/>
      <w:lvlText w:val="o"/>
      <w:lvlJc w:val="left"/>
      <w:pPr>
        <w:ind w:left="3600" w:hanging="360"/>
      </w:pPr>
      <w:rPr>
        <w:rFonts w:ascii="Courier New" w:hAnsi="Courier New" w:hint="default"/>
      </w:rPr>
    </w:lvl>
    <w:lvl w:ilvl="5" w:tplc="4A26F1B8">
      <w:start w:val="1"/>
      <w:numFmt w:val="bullet"/>
      <w:lvlText w:val=""/>
      <w:lvlJc w:val="left"/>
      <w:pPr>
        <w:ind w:left="4320" w:hanging="360"/>
      </w:pPr>
      <w:rPr>
        <w:rFonts w:ascii="Wingdings" w:hAnsi="Wingdings" w:hint="default"/>
      </w:rPr>
    </w:lvl>
    <w:lvl w:ilvl="6" w:tplc="B8BC74F4">
      <w:start w:val="1"/>
      <w:numFmt w:val="bullet"/>
      <w:lvlText w:val=""/>
      <w:lvlJc w:val="left"/>
      <w:pPr>
        <w:ind w:left="5040" w:hanging="360"/>
      </w:pPr>
      <w:rPr>
        <w:rFonts w:ascii="Symbol" w:hAnsi="Symbol" w:hint="default"/>
      </w:rPr>
    </w:lvl>
    <w:lvl w:ilvl="7" w:tplc="392E0A62">
      <w:start w:val="1"/>
      <w:numFmt w:val="bullet"/>
      <w:lvlText w:val="o"/>
      <w:lvlJc w:val="left"/>
      <w:pPr>
        <w:ind w:left="5760" w:hanging="360"/>
      </w:pPr>
      <w:rPr>
        <w:rFonts w:ascii="Courier New" w:hAnsi="Courier New" w:hint="default"/>
      </w:rPr>
    </w:lvl>
    <w:lvl w:ilvl="8" w:tplc="954C2F54">
      <w:start w:val="1"/>
      <w:numFmt w:val="bullet"/>
      <w:lvlText w:val=""/>
      <w:lvlJc w:val="left"/>
      <w:pPr>
        <w:ind w:left="6480" w:hanging="360"/>
      </w:pPr>
      <w:rPr>
        <w:rFonts w:ascii="Wingdings" w:hAnsi="Wingdings" w:hint="default"/>
      </w:rPr>
    </w:lvl>
  </w:abstractNum>
  <w:abstractNum w:abstractNumId="4" w15:restartNumberingAfterBreak="0">
    <w:nsid w:val="37F90C2E"/>
    <w:multiLevelType w:val="multilevel"/>
    <w:tmpl w:val="DE9C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11E14"/>
    <w:multiLevelType w:val="multilevel"/>
    <w:tmpl w:val="344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570B3"/>
    <w:multiLevelType w:val="hybridMultilevel"/>
    <w:tmpl w:val="0086971E"/>
    <w:lvl w:ilvl="0" w:tplc="FEBE4566">
      <w:start w:val="1"/>
      <w:numFmt w:val="decimal"/>
      <w:lvlText w:val="%1."/>
      <w:lvlJc w:val="left"/>
      <w:pPr>
        <w:ind w:left="720" w:hanging="360"/>
      </w:pPr>
      <w:rPr>
        <w:rFonts w:ascii="Times New Roman" w:hAnsi="Times New Roman" w:hint="default"/>
      </w:rPr>
    </w:lvl>
    <w:lvl w:ilvl="1" w:tplc="C074BBEE">
      <w:start w:val="1"/>
      <w:numFmt w:val="lowerLetter"/>
      <w:lvlText w:val="%2."/>
      <w:lvlJc w:val="left"/>
      <w:pPr>
        <w:ind w:left="1440" w:hanging="360"/>
      </w:pPr>
    </w:lvl>
    <w:lvl w:ilvl="2" w:tplc="0A6C3E12">
      <w:start w:val="1"/>
      <w:numFmt w:val="lowerRoman"/>
      <w:lvlText w:val="%3."/>
      <w:lvlJc w:val="right"/>
      <w:pPr>
        <w:ind w:left="2160" w:hanging="180"/>
      </w:pPr>
    </w:lvl>
    <w:lvl w:ilvl="3" w:tplc="BA086BAC">
      <w:start w:val="1"/>
      <w:numFmt w:val="decimal"/>
      <w:lvlText w:val="%4."/>
      <w:lvlJc w:val="left"/>
      <w:pPr>
        <w:ind w:left="2880" w:hanging="360"/>
      </w:pPr>
    </w:lvl>
    <w:lvl w:ilvl="4" w:tplc="39747744">
      <w:start w:val="1"/>
      <w:numFmt w:val="lowerLetter"/>
      <w:lvlText w:val="%5."/>
      <w:lvlJc w:val="left"/>
      <w:pPr>
        <w:ind w:left="3600" w:hanging="360"/>
      </w:pPr>
    </w:lvl>
    <w:lvl w:ilvl="5" w:tplc="CE96C7EC">
      <w:start w:val="1"/>
      <w:numFmt w:val="lowerRoman"/>
      <w:lvlText w:val="%6."/>
      <w:lvlJc w:val="right"/>
      <w:pPr>
        <w:ind w:left="4320" w:hanging="180"/>
      </w:pPr>
    </w:lvl>
    <w:lvl w:ilvl="6" w:tplc="3DD0CA36">
      <w:start w:val="1"/>
      <w:numFmt w:val="decimal"/>
      <w:lvlText w:val="%7."/>
      <w:lvlJc w:val="left"/>
      <w:pPr>
        <w:ind w:left="5040" w:hanging="360"/>
      </w:pPr>
    </w:lvl>
    <w:lvl w:ilvl="7" w:tplc="236C4D5E">
      <w:start w:val="1"/>
      <w:numFmt w:val="lowerLetter"/>
      <w:lvlText w:val="%8."/>
      <w:lvlJc w:val="left"/>
      <w:pPr>
        <w:ind w:left="5760" w:hanging="360"/>
      </w:pPr>
    </w:lvl>
    <w:lvl w:ilvl="8" w:tplc="6D141AB8">
      <w:start w:val="1"/>
      <w:numFmt w:val="lowerRoman"/>
      <w:lvlText w:val="%9."/>
      <w:lvlJc w:val="right"/>
      <w:pPr>
        <w:ind w:left="6480" w:hanging="180"/>
      </w:pPr>
    </w:lvl>
  </w:abstractNum>
  <w:abstractNum w:abstractNumId="7" w15:restartNumberingAfterBreak="0">
    <w:nsid w:val="4C907B60"/>
    <w:multiLevelType w:val="multilevel"/>
    <w:tmpl w:val="DD5E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83E30"/>
    <w:multiLevelType w:val="multilevel"/>
    <w:tmpl w:val="D400AA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944587"/>
    <w:multiLevelType w:val="multilevel"/>
    <w:tmpl w:val="387690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E9127F"/>
    <w:multiLevelType w:val="multilevel"/>
    <w:tmpl w:val="A4C243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B1142C"/>
    <w:multiLevelType w:val="multilevel"/>
    <w:tmpl w:val="0E7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F6EE6"/>
    <w:multiLevelType w:val="multilevel"/>
    <w:tmpl w:val="63CC03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3131F1"/>
    <w:multiLevelType w:val="multilevel"/>
    <w:tmpl w:val="2BE442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744BDD"/>
    <w:multiLevelType w:val="multilevel"/>
    <w:tmpl w:val="2C7E6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C19D7"/>
    <w:multiLevelType w:val="multilevel"/>
    <w:tmpl w:val="1A14E1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C07CA"/>
    <w:multiLevelType w:val="multilevel"/>
    <w:tmpl w:val="EEE0B7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2573CB"/>
    <w:multiLevelType w:val="hybridMultilevel"/>
    <w:tmpl w:val="18A03A60"/>
    <w:lvl w:ilvl="0" w:tplc="EC1EB878">
      <w:start w:val="1"/>
      <w:numFmt w:val="bullet"/>
      <w:lvlText w:val=""/>
      <w:lvlJc w:val="left"/>
      <w:pPr>
        <w:ind w:left="720" w:hanging="360"/>
      </w:pPr>
      <w:rPr>
        <w:rFonts w:ascii="Symbol" w:hAnsi="Symbol" w:hint="default"/>
      </w:rPr>
    </w:lvl>
    <w:lvl w:ilvl="1" w:tplc="7590A41A">
      <w:start w:val="1"/>
      <w:numFmt w:val="bullet"/>
      <w:lvlText w:val="o"/>
      <w:lvlJc w:val="left"/>
      <w:pPr>
        <w:ind w:left="1440" w:hanging="360"/>
      </w:pPr>
      <w:rPr>
        <w:rFonts w:ascii="Courier New" w:hAnsi="Courier New" w:hint="default"/>
      </w:rPr>
    </w:lvl>
    <w:lvl w:ilvl="2" w:tplc="134E19C2">
      <w:start w:val="1"/>
      <w:numFmt w:val="bullet"/>
      <w:lvlText w:val=""/>
      <w:lvlJc w:val="left"/>
      <w:pPr>
        <w:ind w:left="2160" w:hanging="360"/>
      </w:pPr>
      <w:rPr>
        <w:rFonts w:ascii="Wingdings" w:hAnsi="Wingdings" w:hint="default"/>
      </w:rPr>
    </w:lvl>
    <w:lvl w:ilvl="3" w:tplc="A386B4E0">
      <w:start w:val="1"/>
      <w:numFmt w:val="bullet"/>
      <w:lvlText w:val=""/>
      <w:lvlJc w:val="left"/>
      <w:pPr>
        <w:ind w:left="2880" w:hanging="360"/>
      </w:pPr>
      <w:rPr>
        <w:rFonts w:ascii="Symbol" w:hAnsi="Symbol" w:hint="default"/>
      </w:rPr>
    </w:lvl>
    <w:lvl w:ilvl="4" w:tplc="A850A81C">
      <w:start w:val="1"/>
      <w:numFmt w:val="bullet"/>
      <w:lvlText w:val="o"/>
      <w:lvlJc w:val="left"/>
      <w:pPr>
        <w:ind w:left="3600" w:hanging="360"/>
      </w:pPr>
      <w:rPr>
        <w:rFonts w:ascii="Courier New" w:hAnsi="Courier New" w:hint="default"/>
      </w:rPr>
    </w:lvl>
    <w:lvl w:ilvl="5" w:tplc="CEDAF8EC">
      <w:start w:val="1"/>
      <w:numFmt w:val="bullet"/>
      <w:lvlText w:val=""/>
      <w:lvlJc w:val="left"/>
      <w:pPr>
        <w:ind w:left="4320" w:hanging="360"/>
      </w:pPr>
      <w:rPr>
        <w:rFonts w:ascii="Wingdings" w:hAnsi="Wingdings" w:hint="default"/>
      </w:rPr>
    </w:lvl>
    <w:lvl w:ilvl="6" w:tplc="311C525C">
      <w:start w:val="1"/>
      <w:numFmt w:val="bullet"/>
      <w:lvlText w:val=""/>
      <w:lvlJc w:val="left"/>
      <w:pPr>
        <w:ind w:left="5040" w:hanging="360"/>
      </w:pPr>
      <w:rPr>
        <w:rFonts w:ascii="Symbol" w:hAnsi="Symbol" w:hint="default"/>
      </w:rPr>
    </w:lvl>
    <w:lvl w:ilvl="7" w:tplc="EC66BD64">
      <w:start w:val="1"/>
      <w:numFmt w:val="bullet"/>
      <w:lvlText w:val="o"/>
      <w:lvlJc w:val="left"/>
      <w:pPr>
        <w:ind w:left="5760" w:hanging="360"/>
      </w:pPr>
      <w:rPr>
        <w:rFonts w:ascii="Courier New" w:hAnsi="Courier New" w:hint="default"/>
      </w:rPr>
    </w:lvl>
    <w:lvl w:ilvl="8" w:tplc="38A4556A">
      <w:start w:val="1"/>
      <w:numFmt w:val="bullet"/>
      <w:lvlText w:val=""/>
      <w:lvlJc w:val="left"/>
      <w:pPr>
        <w:ind w:left="6480" w:hanging="360"/>
      </w:pPr>
      <w:rPr>
        <w:rFonts w:ascii="Wingdings" w:hAnsi="Wingdings" w:hint="default"/>
      </w:rPr>
    </w:lvl>
  </w:abstractNum>
  <w:abstractNum w:abstractNumId="18" w15:restartNumberingAfterBreak="0">
    <w:nsid w:val="76530DA4"/>
    <w:multiLevelType w:val="multilevel"/>
    <w:tmpl w:val="ED16F0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1E0C51"/>
    <w:multiLevelType w:val="multilevel"/>
    <w:tmpl w:val="7BB665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81B9C"/>
    <w:multiLevelType w:val="multilevel"/>
    <w:tmpl w:val="C70809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241FEC"/>
    <w:multiLevelType w:val="multilevel"/>
    <w:tmpl w:val="A250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6"/>
  </w:num>
  <w:num w:numId="4">
    <w:abstractNumId w:val="10"/>
  </w:num>
  <w:num w:numId="5">
    <w:abstractNumId w:val="18"/>
  </w:num>
  <w:num w:numId="6">
    <w:abstractNumId w:val="0"/>
  </w:num>
  <w:num w:numId="7">
    <w:abstractNumId w:val="15"/>
  </w:num>
  <w:num w:numId="8">
    <w:abstractNumId w:val="13"/>
  </w:num>
  <w:num w:numId="9">
    <w:abstractNumId w:val="20"/>
  </w:num>
  <w:num w:numId="10">
    <w:abstractNumId w:val="9"/>
  </w:num>
  <w:num w:numId="11">
    <w:abstractNumId w:val="8"/>
  </w:num>
  <w:num w:numId="12">
    <w:abstractNumId w:val="1"/>
  </w:num>
  <w:num w:numId="13">
    <w:abstractNumId w:val="19"/>
  </w:num>
  <w:num w:numId="14">
    <w:abstractNumId w:val="2"/>
  </w:num>
  <w:num w:numId="15">
    <w:abstractNumId w:val="12"/>
  </w:num>
  <w:num w:numId="16">
    <w:abstractNumId w:val="7"/>
  </w:num>
  <w:num w:numId="17">
    <w:abstractNumId w:val="4"/>
  </w:num>
  <w:num w:numId="18">
    <w:abstractNumId w:val="16"/>
  </w:num>
  <w:num w:numId="19">
    <w:abstractNumId w:val="5"/>
  </w:num>
  <w:num w:numId="20">
    <w:abstractNumId w:val="11"/>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jcwMTSwtLQwtTBX0lEKTi0uzszPAykwrAUAe43NWSwAAAA="/>
  </w:docVars>
  <w:rsids>
    <w:rsidRoot w:val="00FB1539"/>
    <w:rsid w:val="000334C1"/>
    <w:rsid w:val="000B1FA3"/>
    <w:rsid w:val="000E4D25"/>
    <w:rsid w:val="001536CF"/>
    <w:rsid w:val="00177EBC"/>
    <w:rsid w:val="001966EC"/>
    <w:rsid w:val="001F5D3C"/>
    <w:rsid w:val="002406D8"/>
    <w:rsid w:val="00287973"/>
    <w:rsid w:val="002C1A29"/>
    <w:rsid w:val="002D2B91"/>
    <w:rsid w:val="00317B9D"/>
    <w:rsid w:val="00360529"/>
    <w:rsid w:val="0038784E"/>
    <w:rsid w:val="003E6CBA"/>
    <w:rsid w:val="003F7074"/>
    <w:rsid w:val="00407A62"/>
    <w:rsid w:val="00423C98"/>
    <w:rsid w:val="00461CA6"/>
    <w:rsid w:val="005419CF"/>
    <w:rsid w:val="00543321"/>
    <w:rsid w:val="00546A5D"/>
    <w:rsid w:val="00573F47"/>
    <w:rsid w:val="00592867"/>
    <w:rsid w:val="006471CB"/>
    <w:rsid w:val="00677935"/>
    <w:rsid w:val="006C1DCA"/>
    <w:rsid w:val="0078394A"/>
    <w:rsid w:val="00784749"/>
    <w:rsid w:val="007B0E37"/>
    <w:rsid w:val="007C4104"/>
    <w:rsid w:val="007C68E7"/>
    <w:rsid w:val="00820B82"/>
    <w:rsid w:val="00841BE8"/>
    <w:rsid w:val="00857E82"/>
    <w:rsid w:val="00890E03"/>
    <w:rsid w:val="008A11D1"/>
    <w:rsid w:val="008C4ADA"/>
    <w:rsid w:val="0096245F"/>
    <w:rsid w:val="00991073"/>
    <w:rsid w:val="009A4E45"/>
    <w:rsid w:val="00A34CEF"/>
    <w:rsid w:val="00A854B9"/>
    <w:rsid w:val="00A96AAA"/>
    <w:rsid w:val="00AA174C"/>
    <w:rsid w:val="00AA6593"/>
    <w:rsid w:val="00B14497"/>
    <w:rsid w:val="00B40CCD"/>
    <w:rsid w:val="00B471C0"/>
    <w:rsid w:val="00BE05DC"/>
    <w:rsid w:val="00BE5E8A"/>
    <w:rsid w:val="00C020E2"/>
    <w:rsid w:val="00C406DC"/>
    <w:rsid w:val="00CA43CB"/>
    <w:rsid w:val="00CD1319"/>
    <w:rsid w:val="00CF54E6"/>
    <w:rsid w:val="00CF5DC0"/>
    <w:rsid w:val="00D076BC"/>
    <w:rsid w:val="00D13BA5"/>
    <w:rsid w:val="00D4358B"/>
    <w:rsid w:val="00D468BB"/>
    <w:rsid w:val="00D65DBE"/>
    <w:rsid w:val="00D73596"/>
    <w:rsid w:val="00D83690"/>
    <w:rsid w:val="00E02AA8"/>
    <w:rsid w:val="00E26A14"/>
    <w:rsid w:val="00EA7761"/>
    <w:rsid w:val="00F07900"/>
    <w:rsid w:val="00F3065A"/>
    <w:rsid w:val="00F329B2"/>
    <w:rsid w:val="00F424B5"/>
    <w:rsid w:val="00F42C63"/>
    <w:rsid w:val="00F65395"/>
    <w:rsid w:val="00FA2901"/>
    <w:rsid w:val="00FA4364"/>
    <w:rsid w:val="00FB1539"/>
    <w:rsid w:val="00FC30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87922"/>
  <w15:chartTrackingRefBased/>
  <w15:docId w15:val="{86C305C8-C7B6-5A45-A9F6-CA185175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539"/>
    <w:pPr>
      <w:widowControl w:val="0"/>
      <w:wordWrap w:val="0"/>
      <w:autoSpaceDE w:val="0"/>
      <w:autoSpaceDN w:val="0"/>
      <w:spacing w:after="0" w:line="240" w:lineRule="auto"/>
      <w:jc w:val="both"/>
    </w:pPr>
    <w:rPr>
      <w:rFonts w:ascii="Batang" w:eastAsia="Batang" w:hAnsi="Times New Roman" w:cs="Times New Roman"/>
      <w:sz w:val="20"/>
      <w:lang w:val="en-US" w:eastAsia="ko-KR"/>
      <w14:ligatures w14:val="none"/>
    </w:rPr>
  </w:style>
  <w:style w:type="paragraph" w:styleId="Heading1">
    <w:name w:val="heading 1"/>
    <w:basedOn w:val="Normal"/>
    <w:next w:val="Normal"/>
    <w:link w:val="Heading1Char"/>
    <w:uiPriority w:val="9"/>
    <w:qFormat/>
    <w:rsid w:val="00FB1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539"/>
    <w:rPr>
      <w:rFonts w:eastAsiaTheme="majorEastAsia" w:cstheme="majorBidi"/>
      <w:color w:val="272727" w:themeColor="text1" w:themeTint="D8"/>
    </w:rPr>
  </w:style>
  <w:style w:type="paragraph" w:styleId="Title">
    <w:name w:val="Title"/>
    <w:basedOn w:val="Normal"/>
    <w:next w:val="Normal"/>
    <w:link w:val="TitleChar"/>
    <w:uiPriority w:val="10"/>
    <w:qFormat/>
    <w:rsid w:val="00FB1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539"/>
    <w:pPr>
      <w:spacing w:before="160"/>
      <w:jc w:val="center"/>
    </w:pPr>
    <w:rPr>
      <w:i/>
      <w:iCs/>
      <w:color w:val="404040" w:themeColor="text1" w:themeTint="BF"/>
    </w:rPr>
  </w:style>
  <w:style w:type="character" w:customStyle="1" w:styleId="QuoteChar">
    <w:name w:val="Quote Char"/>
    <w:basedOn w:val="DefaultParagraphFont"/>
    <w:link w:val="Quote"/>
    <w:uiPriority w:val="29"/>
    <w:rsid w:val="00FB1539"/>
    <w:rPr>
      <w:i/>
      <w:iCs/>
      <w:color w:val="404040" w:themeColor="text1" w:themeTint="BF"/>
    </w:rPr>
  </w:style>
  <w:style w:type="paragraph" w:styleId="ListParagraph">
    <w:name w:val="List Paragraph"/>
    <w:basedOn w:val="Normal"/>
    <w:uiPriority w:val="34"/>
    <w:qFormat/>
    <w:rsid w:val="00FB1539"/>
    <w:pPr>
      <w:ind w:left="720"/>
      <w:contextualSpacing/>
    </w:pPr>
  </w:style>
  <w:style w:type="character" w:styleId="IntenseEmphasis">
    <w:name w:val="Intense Emphasis"/>
    <w:basedOn w:val="DefaultParagraphFont"/>
    <w:uiPriority w:val="21"/>
    <w:qFormat/>
    <w:rsid w:val="00FB1539"/>
    <w:rPr>
      <w:i/>
      <w:iCs/>
      <w:color w:val="0F4761" w:themeColor="accent1" w:themeShade="BF"/>
    </w:rPr>
  </w:style>
  <w:style w:type="paragraph" w:styleId="IntenseQuote">
    <w:name w:val="Intense Quote"/>
    <w:basedOn w:val="Normal"/>
    <w:next w:val="Normal"/>
    <w:link w:val="IntenseQuoteChar"/>
    <w:uiPriority w:val="30"/>
    <w:qFormat/>
    <w:rsid w:val="00FB1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539"/>
    <w:rPr>
      <w:i/>
      <w:iCs/>
      <w:color w:val="0F4761" w:themeColor="accent1" w:themeShade="BF"/>
    </w:rPr>
  </w:style>
  <w:style w:type="character" w:styleId="IntenseReference">
    <w:name w:val="Intense Reference"/>
    <w:basedOn w:val="DefaultParagraphFont"/>
    <w:uiPriority w:val="32"/>
    <w:qFormat/>
    <w:rsid w:val="00FB1539"/>
    <w:rPr>
      <w:b/>
      <w:bCs/>
      <w:smallCaps/>
      <w:color w:val="0F4761" w:themeColor="accent1" w:themeShade="BF"/>
      <w:spacing w:val="5"/>
    </w:rPr>
  </w:style>
  <w:style w:type="paragraph" w:customStyle="1" w:styleId="a">
    <w:name w:val="바탕글"/>
    <w:rsid w:val="00FB153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Che" w:eastAsia="BatangChe" w:hAnsi="Times New Roman" w:cs="Times New Roman"/>
      <w:color w:val="000000"/>
      <w:kern w:val="0"/>
      <w:sz w:val="20"/>
      <w:szCs w:val="20"/>
      <w:lang w:val="en-US" w:eastAsia="ko-KR"/>
      <w14:ligatures w14:val="none"/>
    </w:rPr>
  </w:style>
  <w:style w:type="table" w:styleId="TableGrid">
    <w:name w:val="Table Grid"/>
    <w:basedOn w:val="TableNormal"/>
    <w:uiPriority w:val="59"/>
    <w:rsid w:val="00D13BA5"/>
    <w:pPr>
      <w:spacing w:after="0" w:line="240" w:lineRule="auto"/>
    </w:pPr>
    <w:rPr>
      <w:rFonts w:eastAsiaTheme="minorEastAsia"/>
      <w:kern w:val="0"/>
      <w:lang w:val="en-GB"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D13BA5"/>
    <w:pPr>
      <w:spacing w:after="0" w:line="240" w:lineRule="auto"/>
    </w:pPr>
    <w:rPr>
      <w:rFonts w:eastAsiaTheme="minorEastAsia"/>
      <w:kern w:val="0"/>
      <w:lang w:val="en-GB"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8784E"/>
    <w:rPr>
      <w:color w:val="467886" w:themeColor="hyperlink"/>
      <w:u w:val="single"/>
    </w:rPr>
  </w:style>
  <w:style w:type="character" w:customStyle="1" w:styleId="UnresolvedMention1">
    <w:name w:val="Unresolved Mention1"/>
    <w:basedOn w:val="DefaultParagraphFont"/>
    <w:uiPriority w:val="99"/>
    <w:semiHidden/>
    <w:unhideWhenUsed/>
    <w:rsid w:val="0038784E"/>
    <w:rPr>
      <w:color w:val="605E5C"/>
      <w:shd w:val="clear" w:color="auto" w:fill="E1DFDD"/>
    </w:rPr>
  </w:style>
  <w:style w:type="paragraph" w:styleId="Header">
    <w:name w:val="header"/>
    <w:basedOn w:val="Normal"/>
    <w:link w:val="HeaderChar"/>
    <w:uiPriority w:val="99"/>
    <w:unhideWhenUsed/>
    <w:rsid w:val="00D4358B"/>
    <w:pPr>
      <w:tabs>
        <w:tab w:val="center" w:pos="4680"/>
        <w:tab w:val="right" w:pos="9360"/>
      </w:tabs>
    </w:pPr>
  </w:style>
  <w:style w:type="character" w:customStyle="1" w:styleId="HeaderChar">
    <w:name w:val="Header Char"/>
    <w:basedOn w:val="DefaultParagraphFont"/>
    <w:link w:val="Header"/>
    <w:uiPriority w:val="99"/>
    <w:rsid w:val="00D4358B"/>
    <w:rPr>
      <w:rFonts w:ascii="Batang" w:eastAsia="Batang" w:hAnsi="Times New Roman" w:cs="Times New Roman"/>
      <w:sz w:val="20"/>
      <w:lang w:val="en-US" w:eastAsia="ko-KR"/>
      <w14:ligatures w14:val="none"/>
    </w:rPr>
  </w:style>
  <w:style w:type="paragraph" w:styleId="Footer">
    <w:name w:val="footer"/>
    <w:basedOn w:val="Normal"/>
    <w:link w:val="FooterChar"/>
    <w:uiPriority w:val="99"/>
    <w:unhideWhenUsed/>
    <w:rsid w:val="00D4358B"/>
    <w:pPr>
      <w:tabs>
        <w:tab w:val="center" w:pos="4680"/>
        <w:tab w:val="right" w:pos="9360"/>
      </w:tabs>
    </w:pPr>
  </w:style>
  <w:style w:type="character" w:customStyle="1" w:styleId="FooterChar">
    <w:name w:val="Footer Char"/>
    <w:basedOn w:val="DefaultParagraphFont"/>
    <w:link w:val="Footer"/>
    <w:uiPriority w:val="99"/>
    <w:rsid w:val="00D4358B"/>
    <w:rPr>
      <w:rFonts w:ascii="Batang" w:eastAsia="Batang" w:hAnsi="Times New Roman" w:cs="Times New Roman"/>
      <w:sz w:val="20"/>
      <w:lang w:val="en-US" w:eastAsia="ko-KR"/>
      <w14:ligatures w14:val="none"/>
    </w:rPr>
  </w:style>
  <w:style w:type="paragraph" w:styleId="NormalWeb">
    <w:name w:val="Normal (Web)"/>
    <w:basedOn w:val="Normal"/>
    <w:uiPriority w:val="99"/>
    <w:rsid w:val="00FA4364"/>
    <w:pPr>
      <w:widowControl/>
      <w:wordWrap/>
      <w:autoSpaceDE/>
      <w:autoSpaceDN/>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p1">
    <w:name w:val="p1"/>
    <w:basedOn w:val="Normal"/>
    <w:rsid w:val="001F5D3C"/>
    <w:pPr>
      <w:widowControl/>
      <w:wordWrap/>
      <w:autoSpaceDE/>
      <w:autoSpaceDN/>
      <w:spacing w:before="100" w:beforeAutospacing="1" w:after="100" w:afterAutospacing="1"/>
      <w:jc w:val="left"/>
    </w:pPr>
    <w:rPr>
      <w:rFonts w:ascii="Times New Roman" w:eastAsia="Times New Roman"/>
      <w:kern w:val="0"/>
      <w:sz w:val="24"/>
      <w:lang w:val="en-IN" w:eastAsia="en-GB"/>
    </w:rPr>
  </w:style>
  <w:style w:type="character" w:customStyle="1" w:styleId="apple-converted-space">
    <w:name w:val="apple-converted-space"/>
    <w:basedOn w:val="DefaultParagraphFont"/>
    <w:rsid w:val="001F5D3C"/>
  </w:style>
  <w:style w:type="character" w:customStyle="1" w:styleId="s1">
    <w:name w:val="s1"/>
    <w:basedOn w:val="DefaultParagraphFont"/>
    <w:rsid w:val="00C4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0432952637677"/>
          <c:y val="8.4306095979247736E-2"/>
          <c:w val="0.83089664467617219"/>
          <c:h val="0.77874015748031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Group 1</c:v>
                </c:pt>
                <c:pt idx="1">
                  <c:v>Group 2</c:v>
                </c:pt>
                <c:pt idx="2">
                  <c:v>Group 3</c:v>
                </c:pt>
                <c:pt idx="3">
                  <c:v>Group 4</c:v>
                </c:pt>
              </c:strCache>
            </c:strRef>
          </c:cat>
          <c:val>
            <c:numRef>
              <c:f>Sheet1!$B$2:$B$5</c:f>
              <c:numCache>
                <c:formatCode>General</c:formatCode>
                <c:ptCount val="4"/>
                <c:pt idx="0">
                  <c:v>727.19</c:v>
                </c:pt>
                <c:pt idx="1">
                  <c:v>968.51</c:v>
                </c:pt>
                <c:pt idx="2">
                  <c:v>707.25</c:v>
                </c:pt>
                <c:pt idx="3">
                  <c:v>598.05999999999995</c:v>
                </c:pt>
              </c:numCache>
            </c:numRef>
          </c:val>
          <c:extLst>
            <c:ext xmlns:c16="http://schemas.microsoft.com/office/drawing/2014/chart" uri="{C3380CC4-5D6E-409C-BE32-E72D297353CC}">
              <c16:uniqueId val="{00000000-5A10-5044-84DC-7DF587AB3249}"/>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4"/>
                <c:pt idx="0">
                  <c:v>Group 1</c:v>
                </c:pt>
                <c:pt idx="1">
                  <c:v>Group 2</c:v>
                </c:pt>
                <c:pt idx="2">
                  <c:v>Group 3</c:v>
                </c:pt>
                <c:pt idx="3">
                  <c:v>Group 4</c:v>
                </c:pt>
              </c:strCache>
            </c:strRef>
          </c:cat>
          <c:val>
            <c:numRef>
              <c:f>Sheet1!$C$2:$C$5</c:f>
              <c:numCache>
                <c:formatCode>General</c:formatCode>
                <c:ptCount val="4"/>
              </c:numCache>
            </c:numRef>
          </c:val>
          <c:extLst>
            <c:ext xmlns:c16="http://schemas.microsoft.com/office/drawing/2014/chart" uri="{C3380CC4-5D6E-409C-BE32-E72D297353CC}">
              <c16:uniqueId val="{00000001-5A10-5044-84DC-7DF587AB3249}"/>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4"/>
                <c:pt idx="0">
                  <c:v>Group 1</c:v>
                </c:pt>
                <c:pt idx="1">
                  <c:v>Group 2</c:v>
                </c:pt>
                <c:pt idx="2">
                  <c:v>Group 3</c:v>
                </c:pt>
                <c:pt idx="3">
                  <c:v>Group 4</c:v>
                </c:pt>
              </c:strCache>
            </c:strRef>
          </c:cat>
          <c:val>
            <c:numRef>
              <c:f>Sheet1!$D$2:$D$5</c:f>
              <c:numCache>
                <c:formatCode>General</c:formatCode>
                <c:ptCount val="4"/>
              </c:numCache>
            </c:numRef>
          </c:val>
          <c:extLst>
            <c:ext xmlns:c16="http://schemas.microsoft.com/office/drawing/2014/chart" uri="{C3380CC4-5D6E-409C-BE32-E72D297353CC}">
              <c16:uniqueId val="{00000002-5A10-5044-84DC-7DF587AB3249}"/>
            </c:ext>
          </c:extLst>
        </c:ser>
        <c:dLbls>
          <c:showLegendKey val="0"/>
          <c:showVal val="0"/>
          <c:showCatName val="0"/>
          <c:showSerName val="0"/>
          <c:showPercent val="0"/>
          <c:showBubbleSize val="0"/>
        </c:dLbls>
        <c:gapWidth val="219"/>
        <c:overlap val="-27"/>
        <c:axId val="511135608"/>
        <c:axId val="511135968"/>
      </c:barChart>
      <c:catAx>
        <c:axId val="51113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135968"/>
        <c:crosses val="autoZero"/>
        <c:auto val="1"/>
        <c:lblAlgn val="ctr"/>
        <c:lblOffset val="100"/>
        <c:noMultiLvlLbl val="0"/>
      </c:catAx>
      <c:valAx>
        <c:axId val="51113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135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13</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 Kumar E</dc:creator>
  <cp:keywords/>
  <dc:description/>
  <cp:lastModifiedBy>SDI PC New 16</cp:lastModifiedBy>
  <cp:revision>38</cp:revision>
  <dcterms:created xsi:type="dcterms:W3CDTF">2025-09-17T03:57:00Z</dcterms:created>
  <dcterms:modified xsi:type="dcterms:W3CDTF">2025-10-04T09:27:00Z</dcterms:modified>
</cp:coreProperties>
</file>