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65DF" w14:textId="058C8E74" w:rsidR="00D40402" w:rsidRPr="00D40402" w:rsidRDefault="00D40402" w:rsidP="00FA125F">
      <w:pPr>
        <w:rPr>
          <w:rFonts w:ascii="Times New Roman" w:hAnsi="Times New Roman" w:cs="Times New Roman"/>
          <w:b/>
          <w:bCs/>
          <w:sz w:val="36"/>
          <w:szCs w:val="36"/>
          <w:u w:val="single"/>
        </w:rPr>
      </w:pPr>
      <w:r w:rsidRPr="00D40402">
        <w:rPr>
          <w:rFonts w:ascii="Times New Roman" w:hAnsi="Times New Roman" w:cs="Times New Roman"/>
          <w:b/>
          <w:bCs/>
          <w:sz w:val="36"/>
          <w:szCs w:val="36"/>
          <w:u w:val="single"/>
        </w:rPr>
        <w:t>Case Report</w:t>
      </w:r>
    </w:p>
    <w:p w14:paraId="7305F581" w14:textId="3734269F" w:rsidR="00FA125F" w:rsidRDefault="00FA125F" w:rsidP="00FA125F">
      <w:pPr>
        <w:rPr>
          <w:rFonts w:ascii="Times New Roman" w:hAnsi="Times New Roman" w:cs="Times New Roman"/>
          <w:b/>
          <w:bCs/>
          <w:sz w:val="36"/>
          <w:szCs w:val="36"/>
        </w:rPr>
      </w:pPr>
      <w:r w:rsidRPr="00D7295B">
        <w:rPr>
          <w:rFonts w:ascii="Times New Roman" w:hAnsi="Times New Roman" w:cs="Times New Roman"/>
          <w:b/>
          <w:bCs/>
          <w:sz w:val="36"/>
          <w:szCs w:val="36"/>
        </w:rPr>
        <w:t xml:space="preserve">Doxycycline Induced </w:t>
      </w:r>
      <w:bookmarkStart w:id="0" w:name="_Hlk96274235"/>
      <w:r w:rsidRPr="00D7295B">
        <w:rPr>
          <w:rFonts w:ascii="Times New Roman" w:hAnsi="Times New Roman" w:cs="Times New Roman"/>
          <w:b/>
          <w:bCs/>
          <w:sz w:val="36"/>
          <w:szCs w:val="36"/>
        </w:rPr>
        <w:t>Angioneurotic Edema and Urticaria</w:t>
      </w:r>
      <w:bookmarkEnd w:id="0"/>
      <w:r w:rsidRPr="00D7295B">
        <w:rPr>
          <w:rFonts w:ascii="Times New Roman" w:hAnsi="Times New Roman" w:cs="Times New Roman"/>
          <w:b/>
          <w:bCs/>
          <w:sz w:val="36"/>
          <w:szCs w:val="36"/>
        </w:rPr>
        <w:t>- A Type-1 Hypersensitivity reaction Case Report</w:t>
      </w:r>
    </w:p>
    <w:p w14:paraId="7C6DB912" w14:textId="77777777" w:rsidR="00D40402" w:rsidRPr="00D7295B" w:rsidRDefault="00D40402" w:rsidP="00FA125F">
      <w:pPr>
        <w:rPr>
          <w:rFonts w:ascii="Times New Roman" w:hAnsi="Times New Roman" w:cs="Times New Roman"/>
          <w:b/>
          <w:bCs/>
          <w:sz w:val="36"/>
          <w:szCs w:val="36"/>
        </w:rPr>
      </w:pPr>
    </w:p>
    <w:p w14:paraId="47CAA456" w14:textId="77777777" w:rsidR="00252B98" w:rsidRPr="002530AA" w:rsidRDefault="00252B98" w:rsidP="00252B98">
      <w:pPr>
        <w:pStyle w:val="Affiliation"/>
        <w:spacing w:after="0" w:line="240" w:lineRule="auto"/>
        <w:jc w:val="both"/>
        <w:rPr>
          <w:rFonts w:ascii="Arial" w:hAnsi="Arial" w:cs="Arial"/>
          <w:b/>
          <w:bCs/>
        </w:rPr>
      </w:pPr>
    </w:p>
    <w:p w14:paraId="59663539" w14:textId="77777777" w:rsidR="003C4917" w:rsidRPr="00BB093A" w:rsidRDefault="003C4917" w:rsidP="003C4917">
      <w:pPr>
        <w:spacing w:before="100" w:beforeAutospacing="1" w:after="100" w:afterAutospacing="1" w:line="360" w:lineRule="auto"/>
        <w:jc w:val="both"/>
        <w:rPr>
          <w:rFonts w:ascii="Times New Roman" w:eastAsia="Calibri" w:hAnsi="Times New Roman" w:cs="Times New Roman"/>
          <w:b/>
          <w:kern w:val="0"/>
          <w:lang w:val="en-US"/>
          <w14:ligatures w14:val="none"/>
        </w:rPr>
      </w:pPr>
      <w:r w:rsidRPr="00BB093A">
        <w:rPr>
          <w:rFonts w:ascii="Times New Roman" w:eastAsia="Calibri" w:hAnsi="Times New Roman" w:cs="Times New Roman"/>
          <w:b/>
          <w:kern w:val="0"/>
          <w:lang w:val="en-US"/>
          <w14:ligatures w14:val="none"/>
        </w:rPr>
        <w:t>ABSTRACT</w:t>
      </w:r>
    </w:p>
    <w:p w14:paraId="4114B26F" w14:textId="77777777" w:rsidR="003C4917" w:rsidRPr="00BB093A" w:rsidRDefault="003C4917" w:rsidP="003C4917">
      <w:pPr>
        <w:spacing w:before="100" w:beforeAutospacing="1" w:after="100" w:afterAutospacing="1" w:line="276" w:lineRule="auto"/>
        <w:jc w:val="both"/>
        <w:rPr>
          <w:rFonts w:ascii="Times New Roman" w:eastAsia="Calibri" w:hAnsi="Times New Roman" w:cs="Times New Roman"/>
          <w:kern w:val="0"/>
          <w:lang w:val="en-US"/>
          <w14:ligatures w14:val="none"/>
        </w:rPr>
      </w:pPr>
      <w:r w:rsidRPr="00BB093A">
        <w:rPr>
          <w:rFonts w:ascii="Times New Roman" w:eastAsia="Calibri" w:hAnsi="Times New Roman" w:cs="Times New Roman"/>
          <w:b/>
          <w:kern w:val="0"/>
          <w:lang w:val="en-US"/>
          <w14:ligatures w14:val="none"/>
        </w:rPr>
        <w:t>Introduction:</w:t>
      </w:r>
      <w:r w:rsidRPr="00BB093A">
        <w:rPr>
          <w:rFonts w:ascii="Times New Roman" w:eastAsia="Calibri" w:hAnsi="Times New Roman" w:cs="Times New Roman"/>
          <w:kern w:val="0"/>
          <w:lang w:val="en-US"/>
          <w14:ligatures w14:val="none"/>
        </w:rPr>
        <w:t xml:space="preserve"> The immune system can cause excessive immunological and inflammatory responses, leading to hypersensitivity reactions such as angioneurotic edema and urticaria. Angioneurotic edema presents as sudden, recurrent swelling of cutaneous and mucosal tissues (e.g., lips, eyes, and throat) while urticaria manifests as itchy welts. Type I hypersensitivity reactions causing both and urticaria are rare.</w:t>
      </w:r>
    </w:p>
    <w:p w14:paraId="520E2749" w14:textId="77777777" w:rsidR="003C4917" w:rsidRPr="00BB093A" w:rsidRDefault="003C4917" w:rsidP="003C4917">
      <w:pPr>
        <w:spacing w:before="100" w:beforeAutospacing="1" w:after="100" w:afterAutospacing="1" w:line="276" w:lineRule="auto"/>
        <w:jc w:val="both"/>
        <w:rPr>
          <w:rFonts w:ascii="Times New Roman" w:eastAsia="Calibri" w:hAnsi="Times New Roman" w:cs="Times New Roman"/>
          <w:kern w:val="0"/>
          <w:lang w:val="en-US"/>
          <w14:ligatures w14:val="none"/>
        </w:rPr>
      </w:pPr>
      <w:r w:rsidRPr="00BB093A">
        <w:rPr>
          <w:rFonts w:ascii="Times New Roman" w:eastAsia="Calibri" w:hAnsi="Times New Roman" w:cs="Times New Roman"/>
          <w:b/>
          <w:kern w:val="0"/>
          <w:lang w:val="en-US"/>
          <w14:ligatures w14:val="none"/>
        </w:rPr>
        <w:t>Case summary:</w:t>
      </w:r>
      <w:r w:rsidRPr="00BB093A">
        <w:rPr>
          <w:rFonts w:ascii="Times New Roman" w:eastAsia="Calibri" w:hAnsi="Times New Roman" w:cs="Times New Roman"/>
          <w:kern w:val="0"/>
          <w:lang w:val="en-US"/>
          <w14:ligatures w14:val="none"/>
        </w:rPr>
        <w:t xml:space="preserve"> A 58-year-old female patient presented with facial puffiness for one day and itching for three days. She had a history of thalassemia minor, hypothyroidism, and type 2 diabetes mellitus. Laboratory results showed Hb 8.2 g/dl, TLC 14,760 cells/mm</w:t>
      </w:r>
      <w:r w:rsidRPr="00BB093A">
        <w:rPr>
          <w:rFonts w:ascii="Times New Roman" w:eastAsia="Calibri" w:hAnsi="Times New Roman" w:cs="Times New Roman"/>
          <w:kern w:val="0"/>
          <w:vertAlign w:val="superscript"/>
          <w:lang w:val="en-US"/>
          <w14:ligatures w14:val="none"/>
        </w:rPr>
        <w:t>3</w:t>
      </w:r>
      <w:r w:rsidRPr="00BB093A">
        <w:rPr>
          <w:rFonts w:ascii="Times New Roman" w:eastAsia="Calibri" w:hAnsi="Times New Roman" w:cs="Times New Roman"/>
          <w:kern w:val="0"/>
          <w:lang w:val="en-US"/>
          <w14:ligatures w14:val="none"/>
        </w:rPr>
        <w:t>, and platelets 7.89 lakh/mm</w:t>
      </w:r>
      <w:r w:rsidRPr="00BB093A">
        <w:rPr>
          <w:rFonts w:ascii="Times New Roman" w:eastAsia="Calibri" w:hAnsi="Times New Roman" w:cs="Times New Roman"/>
          <w:kern w:val="0"/>
          <w:vertAlign w:val="superscript"/>
          <w:lang w:val="en-US"/>
          <w14:ligatures w14:val="none"/>
        </w:rPr>
        <w:t>3</w:t>
      </w:r>
      <w:r w:rsidRPr="00BB093A">
        <w:rPr>
          <w:rFonts w:ascii="Times New Roman" w:eastAsia="Calibri" w:hAnsi="Times New Roman" w:cs="Times New Roman"/>
          <w:kern w:val="0"/>
          <w:lang w:val="en-US"/>
          <w14:ligatures w14:val="none"/>
        </w:rPr>
        <w:t>. She was diagnosed with angioneurotic edema with urticarial rash. Medication history revealed intake of doxycycline 100 mg twice daily for 2.5 days (5 doses) before symptoms began, promoting discontinuation of the drug. Treatment with pheniramine 50 mg thrice daily led to resolution of symptoms. The patient was labeled as allergic to doxycycline and discharged with an alert card. She is currently asymptomatic.</w:t>
      </w:r>
    </w:p>
    <w:p w14:paraId="040608FE" w14:textId="77777777" w:rsidR="003C4917" w:rsidRPr="00BB093A" w:rsidRDefault="003C4917" w:rsidP="003C4917">
      <w:pPr>
        <w:spacing w:after="0" w:line="276" w:lineRule="auto"/>
        <w:jc w:val="both"/>
        <w:rPr>
          <w:rFonts w:ascii="Times New Roman" w:eastAsia="Calibri" w:hAnsi="Times New Roman" w:cs="Times New Roman"/>
          <w:kern w:val="0"/>
          <w:lang w:val="en-US"/>
          <w14:ligatures w14:val="none"/>
        </w:rPr>
      </w:pPr>
      <w:r w:rsidRPr="00BB093A">
        <w:rPr>
          <w:rFonts w:ascii="Times New Roman" w:eastAsia="Calibri" w:hAnsi="Times New Roman" w:cs="Times New Roman"/>
          <w:b/>
          <w:kern w:val="0"/>
          <w:lang w:val="en-US"/>
          <w14:ligatures w14:val="none"/>
        </w:rPr>
        <w:t>Causality and severity assessment:</w:t>
      </w:r>
      <w:r w:rsidRPr="00BB093A">
        <w:rPr>
          <w:rFonts w:ascii="Times New Roman" w:eastAsia="Calibri" w:hAnsi="Times New Roman" w:cs="Times New Roman"/>
          <w:kern w:val="0"/>
          <w:lang w:val="en-US"/>
          <w14:ligatures w14:val="none"/>
        </w:rPr>
        <w:t xml:space="preserve"> The Naranjo and WHO probability scales indicated a “probable” relationship between doxycycline and the reaction. Severity, assessed using the modified Hartwig and Siegel Scale, was “moderate (level 4b)”</w:t>
      </w:r>
    </w:p>
    <w:p w14:paraId="7693BA35" w14:textId="77777777" w:rsidR="003C4917" w:rsidRPr="00BB093A" w:rsidRDefault="003C4917" w:rsidP="003C4917">
      <w:pPr>
        <w:spacing w:after="0" w:line="276" w:lineRule="auto"/>
        <w:jc w:val="both"/>
        <w:rPr>
          <w:rFonts w:ascii="Times New Roman" w:eastAsia="Calibri" w:hAnsi="Times New Roman" w:cs="Times New Roman"/>
          <w:kern w:val="0"/>
          <w:lang w:val="en-US"/>
          <w14:ligatures w14:val="none"/>
        </w:rPr>
      </w:pPr>
    </w:p>
    <w:p w14:paraId="1C5B7D77" w14:textId="77777777" w:rsidR="003C4917" w:rsidRDefault="003C4917" w:rsidP="003C4917">
      <w:pPr>
        <w:spacing w:after="0" w:line="276" w:lineRule="auto"/>
        <w:jc w:val="both"/>
        <w:rPr>
          <w:rFonts w:ascii="Times New Roman" w:eastAsia="Calibri" w:hAnsi="Times New Roman" w:cs="Times New Roman"/>
          <w:kern w:val="0"/>
          <w:lang w:val="en-US"/>
          <w14:ligatures w14:val="none"/>
        </w:rPr>
      </w:pPr>
      <w:r w:rsidRPr="00BB093A">
        <w:rPr>
          <w:rFonts w:ascii="Times New Roman" w:eastAsia="Calibri" w:hAnsi="Times New Roman" w:cs="Times New Roman"/>
          <w:b/>
        </w:rPr>
        <w:t>Conclusion:</w:t>
      </w:r>
      <w:r w:rsidRPr="00BB093A">
        <w:rPr>
          <w:rFonts w:ascii="Times New Roman" w:eastAsia="Calibri" w:hAnsi="Times New Roman" w:cs="Times New Roman"/>
        </w:rPr>
        <w:t xml:space="preserve"> This case highlights a rare but clinically significant type-1 hypersensitivity reaction to doxycycline, presenting with urticaria. The strong time temporal relationship and symptom resolution after withdrawal confirm causality. Proper documentation and patient education are essential to prevent future drug exposure</w:t>
      </w:r>
      <w:r w:rsidRPr="00BB093A">
        <w:rPr>
          <w:rFonts w:ascii="Times New Roman" w:eastAsia="Calibri" w:hAnsi="Times New Roman" w:cs="Times New Roman"/>
          <w:b/>
        </w:rPr>
        <w:t>.</w:t>
      </w:r>
    </w:p>
    <w:p w14:paraId="017F30F7" w14:textId="77777777" w:rsidR="00252B98" w:rsidRPr="00D7295B" w:rsidRDefault="00252B98" w:rsidP="00FA125F">
      <w:pPr>
        <w:rPr>
          <w:rFonts w:ascii="Times New Roman" w:hAnsi="Times New Roman" w:cs="Times New Roman"/>
        </w:rPr>
      </w:pPr>
    </w:p>
    <w:p w14:paraId="68697480" w14:textId="77777777" w:rsidR="003C4917" w:rsidRPr="00BB093A" w:rsidRDefault="003C4917" w:rsidP="00935F72">
      <w:pPr>
        <w:spacing w:line="276" w:lineRule="auto"/>
        <w:jc w:val="both"/>
        <w:rPr>
          <w:rFonts w:ascii="Times New Roman" w:hAnsi="Times New Roman" w:cs="Times New Roman"/>
          <w:b/>
          <w:bCs/>
        </w:rPr>
      </w:pPr>
      <w:r w:rsidRPr="00BB093A">
        <w:rPr>
          <w:rFonts w:ascii="Times New Roman" w:hAnsi="Times New Roman" w:cs="Times New Roman"/>
          <w:b/>
          <w:bCs/>
        </w:rPr>
        <w:t>INTRODUCTION</w:t>
      </w:r>
    </w:p>
    <w:p w14:paraId="30A73482" w14:textId="77777777" w:rsidR="003C4917" w:rsidRPr="00BB093A" w:rsidRDefault="003C4917" w:rsidP="00935F72">
      <w:pPr>
        <w:spacing w:line="276" w:lineRule="auto"/>
        <w:jc w:val="both"/>
        <w:rPr>
          <w:rFonts w:ascii="Times New Roman" w:hAnsi="Times New Roman" w:cs="Times New Roman"/>
        </w:rPr>
      </w:pPr>
      <w:r w:rsidRPr="00BB093A">
        <w:rPr>
          <w:rFonts w:ascii="Times New Roman" w:hAnsi="Times New Roman" w:cs="Times New Roman"/>
        </w:rPr>
        <w:t xml:space="preserve">A primary function of the immune system is to defend the host from infectious pathogens. In certain instances, however, these defensive mechanisms can become deregulated, resulting in hypersensitivity reactions that induce tissue injury. The Gell and Coombs classification system groups these reactions into four distinct types: IgE-mediated (type I, immediate), cytotoxic antibody-mediated (type II), immune complex-mediated (type III), and T-cell-mediated (type IV, delayed-type) </w:t>
      </w:r>
      <w:r>
        <w:rPr>
          <w:rFonts w:ascii="Times New Roman" w:hAnsi="Times New Roman" w:cs="Times New Roman"/>
          <w:vertAlign w:val="superscript"/>
        </w:rPr>
        <w:t>[1]</w:t>
      </w:r>
    </w:p>
    <w:p w14:paraId="1996292F" w14:textId="77777777" w:rsidR="003C4917" w:rsidRPr="00BB093A" w:rsidRDefault="003C4917" w:rsidP="00935F72">
      <w:pPr>
        <w:spacing w:line="276" w:lineRule="auto"/>
        <w:jc w:val="both"/>
        <w:rPr>
          <w:rFonts w:ascii="Times New Roman" w:hAnsi="Times New Roman" w:cs="Times New Roman"/>
        </w:rPr>
      </w:pPr>
      <w:r w:rsidRPr="00BB093A">
        <w:rPr>
          <w:rFonts w:ascii="Times New Roman" w:hAnsi="Times New Roman" w:cs="Times New Roman"/>
        </w:rPr>
        <w:t>Clinically, doxycycline is a frequently prescribed second-generation tetracycline antibiotic. It possesses a slightly modified structure compared to traditional tetracycline’s, which confers advantages such as a broader spectrum of activity an</w:t>
      </w:r>
      <w:r>
        <w:rPr>
          <w:rFonts w:ascii="Times New Roman" w:hAnsi="Times New Roman" w:cs="Times New Roman"/>
        </w:rPr>
        <w:t xml:space="preserve">d improved oral bioavailability. </w:t>
      </w:r>
      <w:r w:rsidRPr="00BB093A">
        <w:rPr>
          <w:rFonts w:ascii="Times New Roman" w:hAnsi="Times New Roman" w:cs="Times New Roman"/>
        </w:rPr>
        <w:t xml:space="preserve">The drug exerts its bacteriostatic effect by binding reversibly to the 30S subunit of the bacterial ribosome, thereby inhibiting protein synthesis and halting the growth of numerous gram-positive and gram-negative organisms </w:t>
      </w:r>
      <w:r w:rsidRPr="00812EFF">
        <w:rPr>
          <w:rFonts w:ascii="Times New Roman" w:hAnsi="Times New Roman" w:cs="Times New Roman"/>
          <w:vertAlign w:val="superscript"/>
        </w:rPr>
        <w:t>[2, 3]</w:t>
      </w:r>
    </w:p>
    <w:p w14:paraId="30B6AE44" w14:textId="77777777" w:rsidR="003C4917" w:rsidRPr="00BB093A" w:rsidRDefault="003C4917" w:rsidP="00935F72">
      <w:pPr>
        <w:spacing w:line="276" w:lineRule="auto"/>
        <w:jc w:val="both"/>
        <w:rPr>
          <w:rFonts w:ascii="Times New Roman" w:hAnsi="Times New Roman" w:cs="Times New Roman"/>
        </w:rPr>
      </w:pPr>
      <w:r w:rsidRPr="00BB093A">
        <w:rPr>
          <w:rFonts w:ascii="Times New Roman" w:hAnsi="Times New Roman" w:cs="Times New Roman"/>
        </w:rPr>
        <w:t>Angioedema, a condition common in emergency medicine, manifests as acute, localized swelling of subcutaneous and sub-mucosal tissues. The face, lips, tongue, and upper airway are often affected</w:t>
      </w:r>
      <w:r>
        <w:rPr>
          <w:rFonts w:ascii="Times New Roman" w:hAnsi="Times New Roman" w:cs="Times New Roman"/>
        </w:rPr>
        <w:t>, and it can be accompanied by u</w:t>
      </w:r>
      <w:r w:rsidRPr="00BB093A">
        <w:rPr>
          <w:rFonts w:ascii="Times New Roman" w:hAnsi="Times New Roman" w:cs="Times New Roman"/>
        </w:rPr>
        <w:t>rticaria—an eruption of p</w:t>
      </w:r>
      <w:r>
        <w:rPr>
          <w:rFonts w:ascii="Times New Roman" w:hAnsi="Times New Roman" w:cs="Times New Roman"/>
        </w:rPr>
        <w:t xml:space="preserve">ruritic, transient wheals </w:t>
      </w:r>
      <w:r w:rsidRPr="00812EFF">
        <w:rPr>
          <w:rFonts w:ascii="Times New Roman" w:hAnsi="Times New Roman" w:cs="Times New Roman"/>
          <w:vertAlign w:val="superscript"/>
        </w:rPr>
        <w:t>[4,5]</w:t>
      </w:r>
      <w:r w:rsidRPr="00BB093A">
        <w:rPr>
          <w:rFonts w:ascii="Times New Roman" w:hAnsi="Times New Roman" w:cs="Times New Roman"/>
        </w:rPr>
        <w:t xml:space="preserve"> </w:t>
      </w:r>
      <w:r>
        <w:rPr>
          <w:rFonts w:ascii="Times New Roman" w:hAnsi="Times New Roman" w:cs="Times New Roman"/>
        </w:rPr>
        <w:t>.</w:t>
      </w:r>
      <w:r w:rsidRPr="00BB093A">
        <w:rPr>
          <w:rFonts w:ascii="Times New Roman" w:hAnsi="Times New Roman" w:cs="Times New Roman"/>
        </w:rPr>
        <w:t xml:space="preserve">While many cases are idiopathic or related to known allergens, drug-induced angioedema is a documented entity. Doxycycline is among the medications known to rarely provoke this reaction, though it remains an uncommon clinical occurrence </w:t>
      </w:r>
      <w:r w:rsidRPr="0078428D">
        <w:rPr>
          <w:rFonts w:ascii="Times New Roman" w:hAnsi="Times New Roman" w:cs="Times New Roman"/>
          <w:vertAlign w:val="superscript"/>
        </w:rPr>
        <w:t>[2, 6, 7]</w:t>
      </w:r>
      <w:r w:rsidR="007E7C1C">
        <w:rPr>
          <w:rFonts w:ascii="Times New Roman" w:hAnsi="Times New Roman" w:cs="Times New Roman"/>
          <w:noProof/>
          <w:vertAlign w:val="superscript"/>
        </w:rPr>
      </w:r>
      <w:r w:rsidR="007E7C1C">
        <w:rPr>
          <w:rFonts w:ascii="Times New Roman" w:hAnsi="Times New Roman" w:cs="Times New Roman"/>
          <w:noProof/>
          <w:vertAlign w:val="superscript"/>
        </w:rPr>
        <w:pict w14:anchorId="2664143F">
          <v:rect id="_x0000_i1025" style="width:0;height:1.5pt" o:hralign="center" o:hrstd="t" o:hr="t" fillcolor="#a0a0a0" stroked="f"/>
        </w:pict>
      </w:r>
    </w:p>
    <w:p w14:paraId="6B483766" w14:textId="77777777" w:rsidR="003C4917" w:rsidRPr="00BB093A" w:rsidRDefault="003C4917" w:rsidP="00935F72">
      <w:pPr>
        <w:spacing w:line="360" w:lineRule="auto"/>
        <w:jc w:val="both"/>
        <w:rPr>
          <w:rFonts w:ascii="Times New Roman" w:hAnsi="Times New Roman" w:cs="Times New Roman"/>
          <w:b/>
          <w:bCs/>
        </w:rPr>
      </w:pPr>
      <w:r w:rsidRPr="00BB093A">
        <w:rPr>
          <w:rFonts w:ascii="Times New Roman" w:hAnsi="Times New Roman" w:cs="Times New Roman"/>
          <w:b/>
          <w:bCs/>
        </w:rPr>
        <w:t>CASE REPORT</w:t>
      </w:r>
    </w:p>
    <w:p w14:paraId="4C8235F2" w14:textId="77777777" w:rsidR="003C4917" w:rsidRPr="00BB093A" w:rsidRDefault="003C4917" w:rsidP="00935F72">
      <w:pPr>
        <w:spacing w:line="360" w:lineRule="auto"/>
        <w:jc w:val="both"/>
        <w:rPr>
          <w:rFonts w:ascii="Times New Roman" w:hAnsi="Times New Roman" w:cs="Times New Roman"/>
          <w:b/>
          <w:bCs/>
        </w:rPr>
      </w:pPr>
      <w:r w:rsidRPr="00BB093A">
        <w:rPr>
          <w:rFonts w:ascii="Times New Roman" w:hAnsi="Times New Roman" w:cs="Times New Roman"/>
          <w:b/>
          <w:bCs/>
        </w:rPr>
        <w:t>Case Presentation</w:t>
      </w:r>
    </w:p>
    <w:p w14:paraId="3A5C625A" w14:textId="77777777" w:rsidR="003C4917" w:rsidRPr="00BB093A" w:rsidRDefault="003C4917" w:rsidP="00935F72">
      <w:pPr>
        <w:spacing w:line="276" w:lineRule="auto"/>
        <w:jc w:val="both"/>
        <w:rPr>
          <w:rFonts w:ascii="Times New Roman" w:hAnsi="Times New Roman" w:cs="Times New Roman"/>
        </w:rPr>
      </w:pPr>
      <w:r w:rsidRPr="00BB093A">
        <w:rPr>
          <w:rFonts w:ascii="Times New Roman" w:hAnsi="Times New Roman" w:cs="Times New Roman"/>
        </w:rPr>
        <w:t>A 58-year-old woman came to the hospital with sudden onset facial puffiness that had started the previous day. She had a medical history of thalassemia minor, hypothyroidism, and type 2 diabetes mellitus. A few days earlier, she had been prescribed doxycycline 100 mg twice daily for respiratory symptoms, along with paracetamol 650 mg three times daily and cetirizine 10 mg once daily at night. Soon after starting these medications, she noticed swelling of her face. Concerned, she stopped all the drugs. She reported no past reactions to paracetamol or cetirizine.</w:t>
      </w:r>
    </w:p>
    <w:p w14:paraId="0535DD95" w14:textId="77777777" w:rsidR="003C4917" w:rsidRPr="00BB093A" w:rsidRDefault="003C4917" w:rsidP="00935F72">
      <w:pPr>
        <w:spacing w:line="276" w:lineRule="auto"/>
        <w:jc w:val="both"/>
        <w:rPr>
          <w:rFonts w:ascii="Times New Roman" w:hAnsi="Times New Roman" w:cs="Times New Roman"/>
        </w:rPr>
      </w:pPr>
      <w:r w:rsidRPr="00BB093A">
        <w:rPr>
          <w:rFonts w:ascii="Times New Roman" w:hAnsi="Times New Roman" w:cs="Times New Roman"/>
        </w:rPr>
        <w:t xml:space="preserve">Given the timing and presentation, drug-induced angioedema was suspected. A literature review revealed that doxycycline has been linked to angioneurotic edema in post-marketing reports </w:t>
      </w:r>
      <w:r>
        <w:rPr>
          <w:rFonts w:ascii="Times New Roman" w:hAnsi="Times New Roman" w:cs="Times New Roman"/>
          <w:vertAlign w:val="superscript"/>
        </w:rPr>
        <w:t xml:space="preserve">[6,7] </w:t>
      </w:r>
      <w:r>
        <w:rPr>
          <w:rFonts w:ascii="Times New Roman" w:hAnsi="Times New Roman" w:cs="Times New Roman"/>
        </w:rPr>
        <w:t>.She was started on p</w:t>
      </w:r>
      <w:r w:rsidRPr="00BB093A">
        <w:rPr>
          <w:rFonts w:ascii="Times New Roman" w:hAnsi="Times New Roman" w:cs="Times New Roman"/>
        </w:rPr>
        <w:t>heniramine 50 mg thrice daily, which led to complete resolution of her symptoms. Before discharge, she was given an allergy alert card documenting doxycycline hypersensitivity reaction and was advised to avoid all tetracycline antibiotics in the future.</w:t>
      </w:r>
    </w:p>
    <w:p w14:paraId="7E824A28" w14:textId="77777777" w:rsidR="003C4917" w:rsidRPr="00106EBB" w:rsidRDefault="003C4917" w:rsidP="003C4917">
      <w:pPr>
        <w:spacing w:line="276" w:lineRule="auto"/>
        <w:jc w:val="both"/>
        <w:rPr>
          <w:rFonts w:ascii="Times New Roman" w:hAnsi="Times New Roman" w:cs="Times New Roman"/>
          <w:lang w:val="en-US"/>
        </w:rPr>
      </w:pPr>
      <w:r w:rsidRPr="00BB093A">
        <w:rPr>
          <w:rFonts w:ascii="Times New Roman" w:hAnsi="Times New Roman" w:cs="Times New Roman"/>
        </w:rPr>
        <w:t>To further evaluate the reaction, the Naranjo Adverse Drug Reaction Probability Scale was applied and yield</w:t>
      </w:r>
      <w:r>
        <w:rPr>
          <w:rFonts w:ascii="Times New Roman" w:hAnsi="Times New Roman" w:cs="Times New Roman"/>
        </w:rPr>
        <w:t>ed a score of 4, indicating a “P</w:t>
      </w:r>
      <w:r w:rsidRPr="00BB093A">
        <w:rPr>
          <w:rFonts w:ascii="Times New Roman" w:hAnsi="Times New Roman" w:cs="Times New Roman"/>
        </w:rPr>
        <w:t>robable” relationship between dox</w:t>
      </w:r>
      <w:r>
        <w:rPr>
          <w:rFonts w:ascii="Times New Roman" w:hAnsi="Times New Roman" w:cs="Times New Roman"/>
        </w:rPr>
        <w:t>ycycline and the event. The</w:t>
      </w:r>
      <w:r w:rsidRPr="00BB093A">
        <w:rPr>
          <w:rFonts w:ascii="Times New Roman" w:hAnsi="Times New Roman" w:cs="Times New Roman"/>
        </w:rPr>
        <w:t xml:space="preserve"> WHO–UMC causality assessment also support</w:t>
      </w:r>
      <w:r>
        <w:rPr>
          <w:rFonts w:ascii="Times New Roman" w:hAnsi="Times New Roman" w:cs="Times New Roman"/>
        </w:rPr>
        <w:t xml:space="preserve">ed a “Probable” association. </w:t>
      </w:r>
      <w:r w:rsidRPr="00106EBB">
        <w:rPr>
          <w:rFonts w:ascii="Times New Roman" w:hAnsi="Times New Roman" w:cs="Times New Roman"/>
        </w:rPr>
        <w:t>Severity Assessment was carried out by using Modified Hartwig and Siegel Scale which showed a “</w:t>
      </w:r>
      <w:r>
        <w:rPr>
          <w:rFonts w:ascii="Times New Roman" w:hAnsi="Times New Roman" w:cs="Times New Roman"/>
        </w:rPr>
        <w:t>Moderate L</w:t>
      </w:r>
      <w:r w:rsidRPr="00106EBB">
        <w:rPr>
          <w:rFonts w:ascii="Times New Roman" w:hAnsi="Times New Roman" w:cs="Times New Roman"/>
        </w:rPr>
        <w:t xml:space="preserve">evel 4(b)”.Predictability </w:t>
      </w:r>
      <w:r>
        <w:rPr>
          <w:rFonts w:ascii="Times New Roman" w:hAnsi="Times New Roman" w:cs="Times New Roman"/>
        </w:rPr>
        <w:t>of an ADR was “Not Predictable” and the p</w:t>
      </w:r>
      <w:r w:rsidRPr="00106EBB">
        <w:rPr>
          <w:rFonts w:ascii="Times New Roman" w:hAnsi="Times New Roman" w:cs="Times New Roman"/>
        </w:rPr>
        <w:t>reventability of an ADR was “</w:t>
      </w:r>
      <w:r>
        <w:rPr>
          <w:rFonts w:ascii="Times New Roman" w:hAnsi="Times New Roman" w:cs="Times New Roman"/>
        </w:rPr>
        <w:t>Definitely P</w:t>
      </w:r>
      <w:r w:rsidRPr="00106EBB">
        <w:rPr>
          <w:rFonts w:ascii="Times New Roman" w:hAnsi="Times New Roman" w:cs="Times New Roman"/>
        </w:rPr>
        <w:t>reventable” and  was determined by using Modi</w:t>
      </w:r>
      <w:r>
        <w:rPr>
          <w:rFonts w:ascii="Times New Roman" w:hAnsi="Times New Roman" w:cs="Times New Roman"/>
        </w:rPr>
        <w:t>fied Shumock and Thornton which.</w:t>
      </w:r>
      <w:r w:rsidRPr="00106EBB">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7295B" w:rsidRPr="00D7295B" w14:paraId="459FEA00" w14:textId="77777777" w:rsidTr="007F1AA9">
        <w:trPr>
          <w:jc w:val="center"/>
        </w:trPr>
        <w:tc>
          <w:tcPr>
            <w:tcW w:w="4513" w:type="dxa"/>
          </w:tcPr>
          <w:p w14:paraId="799BC4FE" w14:textId="43430488"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lang w:val="en-US"/>
              </w:rPr>
              <w:drawing>
                <wp:inline distT="0" distB="0" distL="0" distR="0" wp14:anchorId="7D11AA99" wp14:editId="7170EC7F">
                  <wp:extent cx="2743058" cy="27819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4069" cy="2793102"/>
                          </a:xfrm>
                          <a:prstGeom prst="rect">
                            <a:avLst/>
                          </a:prstGeom>
                          <a:noFill/>
                          <a:ln>
                            <a:noFill/>
                          </a:ln>
                        </pic:spPr>
                      </pic:pic>
                    </a:graphicData>
                  </a:graphic>
                </wp:inline>
              </w:drawing>
            </w:r>
          </w:p>
        </w:tc>
        <w:tc>
          <w:tcPr>
            <w:tcW w:w="4513" w:type="dxa"/>
          </w:tcPr>
          <w:p w14:paraId="67E1344A" w14:textId="08D4B33A"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lang w:val="en-US"/>
              </w:rPr>
              <w:drawing>
                <wp:inline distT="0" distB="0" distL="0" distR="0" wp14:anchorId="62EC7B47" wp14:editId="25425060">
                  <wp:extent cx="2743200" cy="277338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773380"/>
                          </a:xfrm>
                          <a:prstGeom prst="rect">
                            <a:avLst/>
                          </a:prstGeom>
                          <a:noFill/>
                          <a:ln>
                            <a:noFill/>
                          </a:ln>
                        </pic:spPr>
                      </pic:pic>
                    </a:graphicData>
                  </a:graphic>
                </wp:inline>
              </w:drawing>
            </w:r>
          </w:p>
        </w:tc>
      </w:tr>
      <w:tr w:rsidR="00D7295B" w:rsidRPr="00D7295B" w14:paraId="39A0E4CD" w14:textId="77777777" w:rsidTr="007F1AA9">
        <w:trPr>
          <w:jc w:val="center"/>
        </w:trPr>
        <w:tc>
          <w:tcPr>
            <w:tcW w:w="4513" w:type="dxa"/>
          </w:tcPr>
          <w:p w14:paraId="22E0EA27" w14:textId="3512F1F1" w:rsidR="00D7295B" w:rsidRPr="00D7295B" w:rsidRDefault="00D7295B" w:rsidP="00D7295B">
            <w:pPr>
              <w:pStyle w:val="Caption"/>
              <w:rPr>
                <w:rFonts w:ascii="Times New Roman" w:hAnsi="Times New Roman" w:cs="Times New Roman"/>
                <w:sz w:val="24"/>
                <w:szCs w:val="24"/>
              </w:rPr>
            </w:pPr>
          </w:p>
        </w:tc>
        <w:tc>
          <w:tcPr>
            <w:tcW w:w="4513" w:type="dxa"/>
          </w:tcPr>
          <w:p w14:paraId="2983A014" w14:textId="77777777" w:rsidR="00D7295B" w:rsidRPr="00D7295B" w:rsidRDefault="00D7295B" w:rsidP="00FA125F">
            <w:pPr>
              <w:jc w:val="both"/>
              <w:rPr>
                <w:rFonts w:ascii="Times New Roman" w:hAnsi="Times New Roman" w:cs="Times New Roman"/>
              </w:rPr>
            </w:pPr>
          </w:p>
        </w:tc>
      </w:tr>
      <w:tr w:rsidR="00D7295B" w:rsidRPr="00D7295B" w14:paraId="50674A54" w14:textId="77777777" w:rsidTr="003C4917">
        <w:trPr>
          <w:trHeight w:val="3600"/>
          <w:jc w:val="center"/>
        </w:trPr>
        <w:tc>
          <w:tcPr>
            <w:tcW w:w="4513" w:type="dxa"/>
          </w:tcPr>
          <w:p w14:paraId="6C765586" w14:textId="539CAE75"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lang w:val="en-US"/>
              </w:rPr>
              <w:drawing>
                <wp:inline distT="0" distB="0" distL="0" distR="0" wp14:anchorId="3CDD9353" wp14:editId="1B69A24F">
                  <wp:extent cx="2742971" cy="2755265"/>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6225" cy="2768578"/>
                          </a:xfrm>
                          <a:prstGeom prst="rect">
                            <a:avLst/>
                          </a:prstGeom>
                          <a:noFill/>
                          <a:ln>
                            <a:noFill/>
                          </a:ln>
                        </pic:spPr>
                      </pic:pic>
                    </a:graphicData>
                  </a:graphic>
                </wp:inline>
              </w:drawing>
            </w:r>
          </w:p>
        </w:tc>
        <w:tc>
          <w:tcPr>
            <w:tcW w:w="4513" w:type="dxa"/>
          </w:tcPr>
          <w:p w14:paraId="12BBF9B5" w14:textId="2D553E78" w:rsidR="00D7295B" w:rsidRPr="00D7295B" w:rsidRDefault="00D7295B" w:rsidP="00FA125F">
            <w:pPr>
              <w:jc w:val="both"/>
              <w:rPr>
                <w:rFonts w:ascii="Times New Roman" w:hAnsi="Times New Roman" w:cs="Times New Roman"/>
              </w:rPr>
            </w:pPr>
            <w:r w:rsidRPr="00D7295B">
              <w:rPr>
                <w:rFonts w:ascii="Times New Roman" w:hAnsi="Times New Roman" w:cs="Times New Roman"/>
                <w:noProof/>
                <w:lang w:val="en-US"/>
              </w:rPr>
              <w:drawing>
                <wp:inline distT="0" distB="0" distL="0" distR="0" wp14:anchorId="3A4A5344" wp14:editId="50693118">
                  <wp:extent cx="2740771" cy="27597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4843" cy="2783948"/>
                          </a:xfrm>
                          <a:prstGeom prst="rect">
                            <a:avLst/>
                          </a:prstGeom>
                          <a:noFill/>
                          <a:ln>
                            <a:noFill/>
                          </a:ln>
                        </pic:spPr>
                      </pic:pic>
                    </a:graphicData>
                  </a:graphic>
                </wp:inline>
              </w:drawing>
            </w:r>
          </w:p>
        </w:tc>
      </w:tr>
    </w:tbl>
    <w:p w14:paraId="105C76DA" w14:textId="2C713057" w:rsidR="00D7295B" w:rsidRPr="00D7295B" w:rsidRDefault="007F1AA9" w:rsidP="00907FA9">
      <w:pPr>
        <w:jc w:val="both"/>
        <w:rPr>
          <w:rFonts w:ascii="Times New Roman" w:hAnsi="Times New Roman" w:cs="Times New Roman"/>
        </w:rPr>
      </w:pPr>
      <w:r w:rsidRPr="007F1AA9">
        <w:rPr>
          <w:rFonts w:ascii="Times New Roman" w:hAnsi="Times New Roman" w:cs="Times New Roman"/>
        </w:rPr>
        <w:t xml:space="preserve">Figure 1 </w:t>
      </w:r>
      <w:r w:rsidR="00907FA9" w:rsidRPr="00907FA9">
        <w:rPr>
          <w:rFonts w:ascii="Times New Roman" w:hAnsi="Times New Roman" w:cs="Times New Roman"/>
        </w:rPr>
        <w:t xml:space="preserve">A 58-year-old woman </w:t>
      </w:r>
      <w:r w:rsidR="00907FA9">
        <w:rPr>
          <w:rFonts w:ascii="Times New Roman" w:hAnsi="Times New Roman" w:cs="Times New Roman"/>
        </w:rPr>
        <w:t>who has</w:t>
      </w:r>
      <w:r w:rsidR="00907FA9" w:rsidRPr="00907FA9">
        <w:rPr>
          <w:rFonts w:ascii="Times New Roman" w:hAnsi="Times New Roman" w:cs="Times New Roman"/>
        </w:rPr>
        <w:t xml:space="preserve"> thalassemia minor, hypothyroidism, and type 2 diabetes mellitus</w:t>
      </w:r>
    </w:p>
    <w:p w14:paraId="357BE313" w14:textId="3D51DE94" w:rsidR="00FA125F" w:rsidRPr="00D7295B" w:rsidRDefault="00FA125F" w:rsidP="00FA125F">
      <w:pPr>
        <w:keepNext/>
        <w:rPr>
          <w:rFonts w:ascii="Times New Roman" w:hAnsi="Times New Roman" w:cs="Times New Roman"/>
        </w:rPr>
      </w:pPr>
    </w:p>
    <w:p w14:paraId="1AF1C57F" w14:textId="77777777" w:rsidR="003C4917" w:rsidRDefault="003C4917" w:rsidP="003C4917">
      <w:pPr>
        <w:spacing w:line="276" w:lineRule="auto"/>
        <w:jc w:val="both"/>
        <w:rPr>
          <w:rFonts w:ascii="Times New Roman" w:hAnsi="Times New Roman" w:cs="Times New Roman"/>
          <w:b/>
          <w:bCs/>
        </w:rPr>
      </w:pPr>
      <w:r w:rsidRPr="00BB093A">
        <w:rPr>
          <w:rFonts w:ascii="Times New Roman" w:hAnsi="Times New Roman" w:cs="Times New Roman"/>
          <w:b/>
          <w:bCs/>
        </w:rPr>
        <w:t>DISCUSSION</w:t>
      </w:r>
    </w:p>
    <w:p w14:paraId="48325980" w14:textId="77777777" w:rsidR="003C4917" w:rsidRDefault="003C4917" w:rsidP="003C4917">
      <w:pPr>
        <w:spacing w:line="276" w:lineRule="auto"/>
        <w:jc w:val="both"/>
        <w:rPr>
          <w:rFonts w:ascii="Times New Roman" w:hAnsi="Times New Roman" w:cs="Times New Roman"/>
          <w:vertAlign w:val="superscript"/>
        </w:rPr>
      </w:pPr>
      <w:r w:rsidRPr="00BB093A">
        <w:rPr>
          <w:rFonts w:ascii="Times New Roman" w:hAnsi="Times New Roman" w:cs="Times New Roman"/>
        </w:rPr>
        <w:t>In this case, a 58-year-old woman developed sudden facial swelling shortly after starting doxycycline. Although doxycycline is widely prescribed for respiratory and other infections, reports of it causing</w:t>
      </w:r>
      <w:r>
        <w:rPr>
          <w:rFonts w:ascii="Times New Roman" w:hAnsi="Times New Roman" w:cs="Times New Roman"/>
        </w:rPr>
        <w:t xml:space="preserve"> angioedema are uncommon </w:t>
      </w:r>
      <w:r w:rsidRPr="0078428D">
        <w:rPr>
          <w:rFonts w:ascii="Times New Roman" w:hAnsi="Times New Roman" w:cs="Times New Roman"/>
          <w:vertAlign w:val="superscript"/>
        </w:rPr>
        <w:t>[2,6]</w:t>
      </w:r>
      <w:r>
        <w:rPr>
          <w:rFonts w:ascii="Times New Roman" w:hAnsi="Times New Roman" w:cs="Times New Roman"/>
        </w:rPr>
        <w:t xml:space="preserve"> .</w:t>
      </w:r>
      <w:r w:rsidRPr="00BB093A">
        <w:rPr>
          <w:rFonts w:ascii="Times New Roman" w:hAnsi="Times New Roman" w:cs="Times New Roman"/>
        </w:rPr>
        <w:t xml:space="preserve">Most adverse effects described in the literature are mild, such as skin rashes or photosensitivity, making </w:t>
      </w:r>
      <w:r>
        <w:rPr>
          <w:rFonts w:ascii="Times New Roman" w:hAnsi="Times New Roman" w:cs="Times New Roman"/>
        </w:rPr>
        <w:t xml:space="preserve">this presentation notable </w:t>
      </w:r>
      <w:r w:rsidRPr="0078428D">
        <w:rPr>
          <w:rFonts w:ascii="Times New Roman" w:hAnsi="Times New Roman" w:cs="Times New Roman"/>
          <w:vertAlign w:val="superscript"/>
        </w:rPr>
        <w:t>[3</w:t>
      </w:r>
      <w:r>
        <w:rPr>
          <w:rFonts w:ascii="Times New Roman" w:hAnsi="Times New Roman" w:cs="Times New Roman"/>
          <w:vertAlign w:val="superscript"/>
        </w:rPr>
        <w:t>,</w:t>
      </w:r>
      <w:r w:rsidRPr="0078428D">
        <w:rPr>
          <w:rFonts w:ascii="Times New Roman" w:hAnsi="Times New Roman" w:cs="Times New Roman"/>
          <w:vertAlign w:val="superscript"/>
        </w:rPr>
        <w:t>5]</w:t>
      </w:r>
    </w:p>
    <w:p w14:paraId="4EA05E76" w14:textId="680EF9E5" w:rsidR="003C4917" w:rsidRPr="00BB093A" w:rsidRDefault="003C4917" w:rsidP="003C4917">
      <w:pPr>
        <w:spacing w:line="276" w:lineRule="auto"/>
        <w:jc w:val="both"/>
        <w:rPr>
          <w:rFonts w:ascii="Times New Roman" w:hAnsi="Times New Roman" w:cs="Times New Roman"/>
        </w:rPr>
      </w:pPr>
      <w:r w:rsidRPr="00271EA0">
        <w:rPr>
          <w:rFonts w:ascii="Times New Roman" w:hAnsi="Times New Roman" w:cs="Times New Roman"/>
        </w:rPr>
        <w:t>Angioedema is broadly classified into hereditary, acquired, allergic, drug-induced, and idiopathic types, with the hereditary and acquired forms often involving a deficiency or dysfunction of the C1 inhibitor that leads to bradykinin-mediated swelling</w:t>
      </w:r>
      <w:r w:rsidR="004F000E">
        <w:rPr>
          <w:rFonts w:ascii="Times New Roman" w:hAnsi="Times New Roman" w:cs="Times New Roman"/>
        </w:rPr>
        <w:t>,</w:t>
      </w:r>
      <w:r w:rsidR="004F000E" w:rsidRPr="004F000E">
        <w:t xml:space="preserve"> </w:t>
      </w:r>
      <w:r w:rsidR="004F000E" w:rsidRPr="004F000E">
        <w:rPr>
          <w:rFonts w:ascii="Times New Roman" w:hAnsi="Times New Roman" w:cs="Times New Roman"/>
        </w:rPr>
        <w:t>factor XII mutation (FXII hereditary angioedema), and angiotensin-converting enzyme inhibitor-induced angioedema (ACEI acquired angioedema</w:t>
      </w:r>
      <w:r w:rsidR="005B0F5B">
        <w:rPr>
          <w:rFonts w:ascii="Times New Roman" w:hAnsi="Times New Roman" w:cs="Times New Roman"/>
        </w:rPr>
        <w:t>)</w:t>
      </w:r>
      <w:r w:rsidRPr="00271EA0">
        <w:rPr>
          <w:rFonts w:ascii="Times New Roman" w:hAnsi="Times New Roman" w:cs="Times New Roman"/>
          <w:vertAlign w:val="superscript"/>
        </w:rPr>
        <w:t xml:space="preserve"> [10</w:t>
      </w:r>
      <w:r w:rsidR="004F000E">
        <w:rPr>
          <w:rFonts w:ascii="Times New Roman" w:hAnsi="Times New Roman" w:cs="Times New Roman"/>
          <w:vertAlign w:val="superscript"/>
        </w:rPr>
        <w:t>,12,13</w:t>
      </w:r>
      <w:r w:rsidRPr="00271EA0">
        <w:rPr>
          <w:rFonts w:ascii="Times New Roman" w:hAnsi="Times New Roman" w:cs="Times New Roman"/>
          <w:vertAlign w:val="superscript"/>
        </w:rPr>
        <w:t>]</w:t>
      </w:r>
      <w:r>
        <w:rPr>
          <w:rFonts w:ascii="Times New Roman" w:hAnsi="Times New Roman" w:cs="Times New Roman"/>
        </w:rPr>
        <w:t xml:space="preserve"> .</w:t>
      </w:r>
      <w:r w:rsidRPr="00271EA0">
        <w:rPr>
          <w:rFonts w:ascii="Times New Roman" w:hAnsi="Times New Roman" w:cs="Times New Roman"/>
        </w:rPr>
        <w:t>While most angioedema, being histamine-mediated, responds to H1-antihistamines, a subset of cases is refractory. This resistance is classically associated with C1 esterase inhibitor (C1-INH) deficiency but may also occur due to other conditio</w:t>
      </w:r>
      <w:r>
        <w:rPr>
          <w:rFonts w:ascii="Times New Roman" w:hAnsi="Times New Roman" w:cs="Times New Roman"/>
        </w:rPr>
        <w:t>ns or as a direct drug reaction</w:t>
      </w:r>
      <w:r w:rsidRPr="00271EA0">
        <w:rPr>
          <w:rFonts w:ascii="Times New Roman" w:hAnsi="Times New Roman" w:cs="Times New Roman"/>
          <w:vertAlign w:val="superscript"/>
        </w:rPr>
        <w:t xml:space="preserve"> [11]</w:t>
      </w:r>
    </w:p>
    <w:p w14:paraId="7954C256" w14:textId="77777777" w:rsidR="003C4917" w:rsidRPr="00BB093A" w:rsidRDefault="003C4917" w:rsidP="003C4917">
      <w:pPr>
        <w:spacing w:line="276" w:lineRule="auto"/>
        <w:jc w:val="both"/>
        <w:rPr>
          <w:rFonts w:ascii="Times New Roman" w:hAnsi="Times New Roman" w:cs="Times New Roman"/>
        </w:rPr>
      </w:pPr>
      <w:r w:rsidRPr="00BB093A">
        <w:rPr>
          <w:rFonts w:ascii="Times New Roman" w:hAnsi="Times New Roman" w:cs="Times New Roman"/>
        </w:rPr>
        <w:t xml:space="preserve">The close timing between starting doxycycline and the onset of swelling, together with the resolution of symptoms after stopping the drug and starting antihistamines, strongly points toward doxycycline as the cause. This was further supported by formal causality assessments: the Naranjo scale and the WHO–UMC scale both suggested a “probable” </w:t>
      </w:r>
      <w:r w:rsidRPr="0078428D">
        <w:rPr>
          <w:rFonts w:ascii="Times New Roman" w:hAnsi="Times New Roman" w:cs="Times New Roman"/>
          <w:vertAlign w:val="superscript"/>
        </w:rPr>
        <w:t>[8, 9]</w:t>
      </w:r>
      <w:r w:rsidRPr="00BB093A">
        <w:rPr>
          <w:rFonts w:ascii="Times New Roman" w:hAnsi="Times New Roman" w:cs="Times New Roman"/>
        </w:rPr>
        <w:t xml:space="preserve"> </w:t>
      </w:r>
      <w:r>
        <w:rPr>
          <w:rFonts w:ascii="Times New Roman" w:hAnsi="Times New Roman" w:cs="Times New Roman"/>
        </w:rPr>
        <w:t>.</w:t>
      </w:r>
      <w:r w:rsidRPr="00BB093A">
        <w:rPr>
          <w:rFonts w:ascii="Times New Roman" w:hAnsi="Times New Roman" w:cs="Times New Roman"/>
        </w:rPr>
        <w:t xml:space="preserve">Other drugs the patient was taking, such as paracetamol and cetirizine, were ruled out since she had tolerated them well in the past without any issues. The mechanism behind doxycycline-induced angioedema is not fully understood. The rapid onset and quick improvement with antihistamines suggest an IgE-mediated, type I </w:t>
      </w:r>
      <w:r>
        <w:rPr>
          <w:rFonts w:ascii="Times New Roman" w:hAnsi="Times New Roman" w:cs="Times New Roman"/>
        </w:rPr>
        <w:t xml:space="preserve">hypersensitivity reaction </w:t>
      </w:r>
      <w:r w:rsidRPr="0078428D">
        <w:rPr>
          <w:rFonts w:ascii="Times New Roman" w:hAnsi="Times New Roman" w:cs="Times New Roman"/>
          <w:vertAlign w:val="superscript"/>
        </w:rPr>
        <w:t>[1,4]</w:t>
      </w:r>
      <w:r w:rsidRPr="00BB093A">
        <w:rPr>
          <w:rFonts w:ascii="Times New Roman" w:hAnsi="Times New Roman" w:cs="Times New Roman"/>
        </w:rPr>
        <w:t xml:space="preserve"> </w:t>
      </w:r>
      <w:r>
        <w:rPr>
          <w:rFonts w:ascii="Times New Roman" w:hAnsi="Times New Roman" w:cs="Times New Roman"/>
        </w:rPr>
        <w:t>.</w:t>
      </w:r>
      <w:r w:rsidRPr="00BB093A">
        <w:rPr>
          <w:rFonts w:ascii="Times New Roman" w:hAnsi="Times New Roman" w:cs="Times New Roman"/>
        </w:rPr>
        <w:t xml:space="preserve">Still, other pathways, such as non-immune mast cell activation, may also play a role </w:t>
      </w:r>
      <w:r w:rsidRPr="0078428D">
        <w:rPr>
          <w:rFonts w:ascii="Times New Roman" w:hAnsi="Times New Roman" w:cs="Times New Roman"/>
          <w:vertAlign w:val="superscript"/>
        </w:rPr>
        <w:t>[4, 5]</w:t>
      </w:r>
      <w:r>
        <w:rPr>
          <w:rFonts w:ascii="Times New Roman" w:hAnsi="Times New Roman" w:cs="Times New Roman"/>
        </w:rPr>
        <w:t xml:space="preserve"> .</w:t>
      </w:r>
      <w:r w:rsidRPr="00BB093A">
        <w:rPr>
          <w:rFonts w:ascii="Times New Roman" w:hAnsi="Times New Roman" w:cs="Times New Roman"/>
        </w:rPr>
        <w:t xml:space="preserve">While this patient did not experience airway involvement, angioedema can sometimes affect the throat or larynx, posing a serious risk of asphyxiation if not managed promptly </w:t>
      </w:r>
      <w:r>
        <w:rPr>
          <w:rFonts w:ascii="Times New Roman" w:hAnsi="Times New Roman" w:cs="Times New Roman"/>
          <w:vertAlign w:val="superscript"/>
        </w:rPr>
        <w:t>[4]</w:t>
      </w:r>
    </w:p>
    <w:p w14:paraId="43B0458B" w14:textId="77777777" w:rsidR="003C4917" w:rsidRPr="00BB093A" w:rsidRDefault="003C4917" w:rsidP="003C4917">
      <w:pPr>
        <w:spacing w:line="276" w:lineRule="auto"/>
        <w:jc w:val="both"/>
        <w:rPr>
          <w:rFonts w:ascii="Times New Roman" w:hAnsi="Times New Roman" w:cs="Times New Roman"/>
        </w:rPr>
      </w:pPr>
      <w:r w:rsidRPr="00BB093A">
        <w:rPr>
          <w:rFonts w:ascii="Times New Roman" w:hAnsi="Times New Roman" w:cs="Times New Roman"/>
        </w:rPr>
        <w:t xml:space="preserve">This case highlights an important lesson for everyday practice: even widely used antibiotics like doxycycline can cause unexpected and </w:t>
      </w:r>
      <w:r>
        <w:rPr>
          <w:rFonts w:ascii="Times New Roman" w:hAnsi="Times New Roman" w:cs="Times New Roman"/>
        </w:rPr>
        <w:t xml:space="preserve">potentially dangerous reactions. </w:t>
      </w:r>
      <w:r w:rsidRPr="00BB093A">
        <w:rPr>
          <w:rFonts w:ascii="Times New Roman" w:hAnsi="Times New Roman" w:cs="Times New Roman"/>
        </w:rPr>
        <w:t>Clinicians should keep this possibility in mind, document suspected drug allergies carefully, provide patients with alert cards, and advise them to avoid related medications such as other tetracycline’s</w:t>
      </w:r>
      <w:r>
        <w:rPr>
          <w:rFonts w:ascii="Times New Roman" w:hAnsi="Times New Roman" w:cs="Times New Roman"/>
        </w:rPr>
        <w:t xml:space="preserve"> </w:t>
      </w:r>
      <w:r w:rsidRPr="0078428D">
        <w:rPr>
          <w:rFonts w:ascii="Times New Roman" w:hAnsi="Times New Roman" w:cs="Times New Roman"/>
          <w:vertAlign w:val="superscript"/>
        </w:rPr>
        <w:t>[6, 7]</w:t>
      </w:r>
      <w:r>
        <w:rPr>
          <w:rFonts w:ascii="Times New Roman" w:hAnsi="Times New Roman" w:cs="Times New Roman"/>
          <w:vertAlign w:val="superscript"/>
        </w:rPr>
        <w:t xml:space="preserve"> </w:t>
      </w:r>
    </w:p>
    <w:p w14:paraId="5C68B957" w14:textId="77777777" w:rsidR="003C4917" w:rsidRPr="00BB093A" w:rsidRDefault="003C4917" w:rsidP="003C4917">
      <w:pPr>
        <w:spacing w:line="276" w:lineRule="auto"/>
        <w:jc w:val="both"/>
        <w:rPr>
          <w:rFonts w:ascii="Times New Roman" w:hAnsi="Times New Roman" w:cs="Times New Roman"/>
        </w:rPr>
      </w:pPr>
      <w:r w:rsidRPr="00BB093A">
        <w:rPr>
          <w:rFonts w:ascii="Times New Roman" w:hAnsi="Times New Roman" w:cs="Times New Roman"/>
        </w:rPr>
        <w:t xml:space="preserve">One limitation in this case is that no allergy testing was performed, which could have confirmed the diagnosis more definitively. However, the clinical pattern and causality assessments provide strong support for doxycycline as the trigger </w:t>
      </w:r>
      <w:r>
        <w:rPr>
          <w:rFonts w:ascii="Times New Roman" w:hAnsi="Times New Roman" w:cs="Times New Roman"/>
          <w:vertAlign w:val="superscript"/>
        </w:rPr>
        <w:t>[8, 9]</w:t>
      </w:r>
    </w:p>
    <w:p w14:paraId="389B2243" w14:textId="77777777" w:rsidR="003C4917" w:rsidRDefault="003C4917" w:rsidP="003C4917">
      <w:pPr>
        <w:spacing w:line="276" w:lineRule="auto"/>
        <w:jc w:val="both"/>
        <w:rPr>
          <w:rFonts w:ascii="Times New Roman" w:hAnsi="Times New Roman" w:cs="Times New Roman"/>
        </w:rPr>
      </w:pPr>
      <w:r w:rsidRPr="00BB093A">
        <w:rPr>
          <w:rFonts w:ascii="Times New Roman" w:hAnsi="Times New Roman" w:cs="Times New Roman"/>
        </w:rPr>
        <w:t xml:space="preserve">In summary, this case adds to the limited reports of doxycycline-induced angioedema and underlines the importance of early recognition and appropriate documentation to prevent future re-exposure </w:t>
      </w:r>
      <w:r w:rsidRPr="0078428D">
        <w:rPr>
          <w:rFonts w:ascii="Times New Roman" w:hAnsi="Times New Roman" w:cs="Times New Roman"/>
          <w:vertAlign w:val="superscript"/>
        </w:rPr>
        <w:t>[2, 6</w:t>
      </w:r>
      <w:r>
        <w:rPr>
          <w:rFonts w:ascii="Times New Roman" w:hAnsi="Times New Roman" w:cs="Times New Roman"/>
          <w:vertAlign w:val="superscript"/>
        </w:rPr>
        <w:t>]</w:t>
      </w:r>
    </w:p>
    <w:p w14:paraId="738E00D7" w14:textId="77777777" w:rsidR="004D76EF" w:rsidRDefault="004D76EF" w:rsidP="004D76EF">
      <w:pPr>
        <w:spacing w:after="200" w:line="276" w:lineRule="auto"/>
        <w:jc w:val="both"/>
        <w:outlineLvl w:val="0"/>
        <w:rPr>
          <w:rFonts w:ascii="Arial" w:eastAsia="Times New Roman" w:hAnsi="Arial" w:cs="Arial"/>
          <w:b/>
          <w:bCs/>
          <w:kern w:val="0"/>
          <w:sz w:val="22"/>
          <w:szCs w:val="22"/>
          <w:lang w:val="en-GB" w:eastAsia="en-GB"/>
          <w14:ligatures w14:val="none"/>
        </w:rPr>
      </w:pPr>
    </w:p>
    <w:p w14:paraId="65F63DF2" w14:textId="77777777" w:rsidR="004F000E" w:rsidRDefault="004F000E" w:rsidP="004D76EF">
      <w:pPr>
        <w:spacing w:after="200" w:line="276" w:lineRule="auto"/>
        <w:jc w:val="both"/>
        <w:outlineLvl w:val="0"/>
        <w:rPr>
          <w:rFonts w:ascii="Arial" w:eastAsia="Times New Roman" w:hAnsi="Arial" w:cs="Arial"/>
          <w:b/>
          <w:bCs/>
          <w:kern w:val="0"/>
          <w:sz w:val="22"/>
          <w:szCs w:val="22"/>
          <w:lang w:val="en-GB" w:eastAsia="en-GB"/>
          <w14:ligatures w14:val="none"/>
        </w:rPr>
      </w:pPr>
    </w:p>
    <w:p w14:paraId="32B3652D" w14:textId="77777777" w:rsidR="004F000E" w:rsidRDefault="004F000E" w:rsidP="004D76EF">
      <w:pPr>
        <w:spacing w:after="200" w:line="276" w:lineRule="auto"/>
        <w:jc w:val="both"/>
        <w:outlineLvl w:val="0"/>
        <w:rPr>
          <w:rFonts w:ascii="Arial" w:eastAsia="Times New Roman" w:hAnsi="Arial" w:cs="Arial"/>
          <w:b/>
          <w:bCs/>
          <w:kern w:val="0"/>
          <w:sz w:val="22"/>
          <w:szCs w:val="22"/>
          <w:lang w:val="en-GB" w:eastAsia="en-GB"/>
          <w14:ligatures w14:val="none"/>
        </w:rPr>
      </w:pPr>
    </w:p>
    <w:p w14:paraId="273D3748" w14:textId="77777777" w:rsidR="004F000E" w:rsidRDefault="004F000E" w:rsidP="004D76EF">
      <w:pPr>
        <w:spacing w:after="200" w:line="276" w:lineRule="auto"/>
        <w:jc w:val="both"/>
        <w:outlineLvl w:val="0"/>
        <w:rPr>
          <w:rFonts w:ascii="Arial" w:eastAsia="Times New Roman" w:hAnsi="Arial" w:cs="Arial"/>
          <w:b/>
          <w:bCs/>
          <w:kern w:val="0"/>
          <w:sz w:val="22"/>
          <w:szCs w:val="22"/>
          <w:lang w:val="en-GB" w:eastAsia="en-GB"/>
          <w14:ligatures w14:val="none"/>
        </w:rPr>
      </w:pPr>
    </w:p>
    <w:p w14:paraId="56462618" w14:textId="2B40E495" w:rsidR="004D76EF" w:rsidRPr="004D76EF" w:rsidRDefault="004D76EF" w:rsidP="004D76EF">
      <w:pPr>
        <w:spacing w:after="200" w:line="276" w:lineRule="auto"/>
        <w:jc w:val="both"/>
        <w:outlineLvl w:val="0"/>
        <w:rPr>
          <w:rFonts w:ascii="Arial" w:eastAsia="Times New Roman" w:hAnsi="Arial" w:cs="Arial"/>
          <w:kern w:val="0"/>
          <w:sz w:val="22"/>
          <w:szCs w:val="22"/>
          <w:lang w:val="en-GB" w:eastAsia="en-GB"/>
          <w14:ligatures w14:val="none"/>
        </w:rPr>
      </w:pPr>
      <w:r w:rsidRPr="004D76EF">
        <w:rPr>
          <w:rFonts w:ascii="Arial" w:eastAsia="Times New Roman" w:hAnsi="Arial" w:cs="Arial"/>
          <w:b/>
          <w:bCs/>
          <w:kern w:val="0"/>
          <w:sz w:val="22"/>
          <w:szCs w:val="22"/>
          <w:lang w:val="en-GB" w:eastAsia="en-GB"/>
          <w14:ligatures w14:val="none"/>
        </w:rPr>
        <w:t>COMPETING INTERESTS DISCLAIMER:</w:t>
      </w:r>
    </w:p>
    <w:p w14:paraId="3016F921" w14:textId="2F6C5CFA" w:rsidR="00D17BDC" w:rsidRPr="003C4917" w:rsidRDefault="004D76EF" w:rsidP="003C4917">
      <w:pPr>
        <w:spacing w:after="200" w:line="276" w:lineRule="auto"/>
        <w:rPr>
          <w:rFonts w:ascii="Calibri" w:eastAsia="Times New Roman" w:hAnsi="Calibri" w:cs="Times New Roman"/>
          <w:kern w:val="0"/>
          <w:sz w:val="22"/>
          <w:szCs w:val="22"/>
          <w:lang w:val="en-GB" w:eastAsia="en-GB"/>
          <w14:ligatures w14:val="none"/>
        </w:rPr>
      </w:pPr>
      <w:r w:rsidRPr="004D76E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2E5DF08" w14:textId="77777777" w:rsidR="00D17BDC" w:rsidRPr="000A6323" w:rsidRDefault="00D17BDC" w:rsidP="00D17BDC">
      <w:pPr>
        <w:rPr>
          <w:highlight w:val="yellow"/>
        </w:rPr>
      </w:pPr>
      <w:bookmarkStart w:id="1" w:name="_Hlk190852809"/>
      <w:r w:rsidRPr="000A6323">
        <w:rPr>
          <w:highlight w:val="yellow"/>
        </w:rPr>
        <w:t>Disclaimer (Artificial intelligence)</w:t>
      </w:r>
    </w:p>
    <w:p w14:paraId="57AA18A9" w14:textId="77777777" w:rsidR="00D17BDC" w:rsidRPr="000A6323" w:rsidRDefault="00D17BDC" w:rsidP="00D17BDC">
      <w:pPr>
        <w:rPr>
          <w:highlight w:val="yellow"/>
        </w:rPr>
      </w:pPr>
      <w:r w:rsidRPr="000A6323">
        <w:rPr>
          <w:highlight w:val="yellow"/>
        </w:rPr>
        <w:t xml:space="preserve">Option 1: </w:t>
      </w:r>
    </w:p>
    <w:p w14:paraId="3380F4AB" w14:textId="77777777" w:rsidR="00D17BDC" w:rsidRPr="000A6323" w:rsidRDefault="00D17BDC" w:rsidP="00D17BDC">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753725D3" w14:textId="77777777" w:rsidR="00D17BDC" w:rsidRPr="000A6323" w:rsidRDefault="00D17BDC" w:rsidP="00D17BDC">
      <w:pPr>
        <w:rPr>
          <w:highlight w:val="yellow"/>
        </w:rPr>
      </w:pPr>
      <w:r w:rsidRPr="000A6323">
        <w:rPr>
          <w:highlight w:val="yellow"/>
        </w:rPr>
        <w:t xml:space="preserve">Option 2: </w:t>
      </w:r>
    </w:p>
    <w:p w14:paraId="5FB30A75" w14:textId="77777777" w:rsidR="00D17BDC" w:rsidRPr="000A6323" w:rsidRDefault="00D17BDC" w:rsidP="00D17BDC">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A51F9D" w14:textId="77777777" w:rsidR="00D17BDC" w:rsidRPr="000A6323" w:rsidRDefault="00D17BDC" w:rsidP="00D17BDC">
      <w:pPr>
        <w:rPr>
          <w:highlight w:val="yellow"/>
        </w:rPr>
      </w:pPr>
      <w:r w:rsidRPr="000A6323">
        <w:rPr>
          <w:highlight w:val="yellow"/>
        </w:rPr>
        <w:t>Details of the AI usage are given below:</w:t>
      </w:r>
    </w:p>
    <w:p w14:paraId="43BAC691" w14:textId="77777777" w:rsidR="00D17BDC" w:rsidRPr="000A6323" w:rsidRDefault="00D17BDC" w:rsidP="00D17BDC">
      <w:pPr>
        <w:rPr>
          <w:highlight w:val="yellow"/>
        </w:rPr>
      </w:pPr>
      <w:r w:rsidRPr="000A6323">
        <w:rPr>
          <w:highlight w:val="yellow"/>
        </w:rPr>
        <w:t>1.</w:t>
      </w:r>
    </w:p>
    <w:p w14:paraId="6F607E51" w14:textId="77777777" w:rsidR="00D17BDC" w:rsidRPr="000A6323" w:rsidRDefault="00D17BDC" w:rsidP="00D17BDC">
      <w:pPr>
        <w:rPr>
          <w:highlight w:val="yellow"/>
        </w:rPr>
      </w:pPr>
      <w:r w:rsidRPr="000A6323">
        <w:rPr>
          <w:highlight w:val="yellow"/>
        </w:rPr>
        <w:t>2.</w:t>
      </w:r>
    </w:p>
    <w:p w14:paraId="63DADADE" w14:textId="77777777" w:rsidR="00D17BDC" w:rsidRPr="00D047BB" w:rsidRDefault="00D17BDC" w:rsidP="00D17BDC">
      <w:r w:rsidRPr="000A6323">
        <w:rPr>
          <w:highlight w:val="yellow"/>
        </w:rPr>
        <w:t>3.</w:t>
      </w:r>
    </w:p>
    <w:bookmarkEnd w:id="1"/>
    <w:p w14:paraId="1098D9BD" w14:textId="77777777" w:rsidR="00D17BDC" w:rsidRPr="00D7295B" w:rsidRDefault="00D17BDC" w:rsidP="00FA125F">
      <w:pPr>
        <w:jc w:val="both"/>
        <w:rPr>
          <w:rFonts w:ascii="Times New Roman" w:hAnsi="Times New Roman" w:cs="Times New Roman"/>
        </w:rPr>
      </w:pPr>
    </w:p>
    <w:p w14:paraId="55B366CF" w14:textId="77777777" w:rsidR="00FA125F" w:rsidRPr="00D7295B" w:rsidRDefault="00FA125F" w:rsidP="00FA125F">
      <w:pPr>
        <w:jc w:val="both"/>
        <w:rPr>
          <w:rFonts w:ascii="Times New Roman" w:hAnsi="Times New Roman" w:cs="Times New Roman"/>
          <w:b/>
          <w:bCs/>
        </w:rPr>
      </w:pPr>
      <w:r w:rsidRPr="00D7295B">
        <w:rPr>
          <w:rFonts w:ascii="Times New Roman" w:hAnsi="Times New Roman" w:cs="Times New Roman"/>
          <w:b/>
          <w:bCs/>
        </w:rPr>
        <w:t>References</w:t>
      </w:r>
    </w:p>
    <w:p w14:paraId="5E7BEEC3"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Abbas AK, Lichtman AH, Pillai S. </w:t>
      </w:r>
      <w:r w:rsidRPr="00D7295B">
        <w:rPr>
          <w:rFonts w:ascii="Times New Roman" w:hAnsi="Times New Roman" w:cs="Times New Roman"/>
          <w:i/>
          <w:iCs/>
        </w:rPr>
        <w:t>Cellular and Molecular Immunology</w:t>
      </w:r>
      <w:r w:rsidRPr="00D7295B">
        <w:rPr>
          <w:rFonts w:ascii="Times New Roman" w:hAnsi="Times New Roman" w:cs="Times New Roman"/>
        </w:rPr>
        <w:t>. 10th ed. Philadelphia: Elsevier; 2022.</w:t>
      </w:r>
    </w:p>
    <w:p w14:paraId="53838754"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Nelson ML, Levy SB. The history of the tetracyclines. </w:t>
      </w:r>
      <w:r w:rsidRPr="00D7295B">
        <w:rPr>
          <w:rFonts w:ascii="Times New Roman" w:hAnsi="Times New Roman" w:cs="Times New Roman"/>
          <w:i/>
          <w:iCs/>
        </w:rPr>
        <w:t>Ann N Y Acad Sci</w:t>
      </w:r>
      <w:r w:rsidRPr="00D7295B">
        <w:rPr>
          <w:rFonts w:ascii="Times New Roman" w:hAnsi="Times New Roman" w:cs="Times New Roman"/>
        </w:rPr>
        <w:t>. 2011;1241(1):17-32.</w:t>
      </w:r>
    </w:p>
    <w:p w14:paraId="77EB8F35"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Chopra I, Roberts M. Tetracycline antibiotics: mode of action, applications, molecular biology, and epidemiology of bacterial resistance. </w:t>
      </w:r>
      <w:r w:rsidRPr="00D7295B">
        <w:rPr>
          <w:rFonts w:ascii="Times New Roman" w:hAnsi="Times New Roman" w:cs="Times New Roman"/>
          <w:i/>
          <w:iCs/>
        </w:rPr>
        <w:t>Microbiol Mol Biol Rev</w:t>
      </w:r>
      <w:r w:rsidRPr="00D7295B">
        <w:rPr>
          <w:rFonts w:ascii="Times New Roman" w:hAnsi="Times New Roman" w:cs="Times New Roman"/>
        </w:rPr>
        <w:t>. 2001;65(2):232-60.</w:t>
      </w:r>
    </w:p>
    <w:p w14:paraId="22E1E176"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Banerji A, Weller PF, Sheikh J. Angioedema: clinical features, diagnosis, and management. </w:t>
      </w:r>
      <w:r w:rsidRPr="00D7295B">
        <w:rPr>
          <w:rFonts w:ascii="Times New Roman" w:hAnsi="Times New Roman" w:cs="Times New Roman"/>
          <w:i/>
          <w:iCs/>
        </w:rPr>
        <w:t>N Engl J Med</w:t>
      </w:r>
      <w:r w:rsidRPr="00D7295B">
        <w:rPr>
          <w:rFonts w:ascii="Times New Roman" w:hAnsi="Times New Roman" w:cs="Times New Roman"/>
        </w:rPr>
        <w:t>. 2017;376(7):656-67.</w:t>
      </w:r>
    </w:p>
    <w:p w14:paraId="4E93336C"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Maciag MC, McMahon DE, Kaffenberger BH. Hypersensitivity to tetracyclines: skin testing, graded challenge, and cross-reactivity. </w:t>
      </w:r>
      <w:r w:rsidRPr="00D7295B">
        <w:rPr>
          <w:rFonts w:ascii="Times New Roman" w:hAnsi="Times New Roman" w:cs="Times New Roman"/>
          <w:i/>
          <w:iCs/>
        </w:rPr>
        <w:t>Dermatitis</w:t>
      </w:r>
      <w:r w:rsidRPr="00D7295B">
        <w:rPr>
          <w:rFonts w:ascii="Times New Roman" w:hAnsi="Times New Roman" w:cs="Times New Roman"/>
        </w:rPr>
        <w:t>. 2020;31(4):279-285.</w:t>
      </w:r>
    </w:p>
    <w:p w14:paraId="0028A1FC"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Kavanagh KE, O’Rourke D, Feighery C. Doxycycline-induced angio-oedema: a case report. </w:t>
      </w:r>
      <w:r w:rsidRPr="00D7295B">
        <w:rPr>
          <w:rFonts w:ascii="Times New Roman" w:hAnsi="Times New Roman" w:cs="Times New Roman"/>
          <w:i/>
          <w:iCs/>
        </w:rPr>
        <w:t>Ir J Med Sci</w:t>
      </w:r>
      <w:r w:rsidRPr="00D7295B">
        <w:rPr>
          <w:rFonts w:ascii="Times New Roman" w:hAnsi="Times New Roman" w:cs="Times New Roman"/>
        </w:rPr>
        <w:t>. 2001;170(1):58-9.</w:t>
      </w:r>
    </w:p>
    <w:p w14:paraId="31DAFBAB"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Yu J. A case of angioedema to oral doxycycline and cross-reactivity to minocycline. </w:t>
      </w:r>
      <w:r w:rsidRPr="00D7295B">
        <w:rPr>
          <w:rFonts w:ascii="Times New Roman" w:hAnsi="Times New Roman" w:cs="Times New Roman"/>
          <w:i/>
          <w:iCs/>
        </w:rPr>
        <w:t>Ann Pharmacother</w:t>
      </w:r>
      <w:r w:rsidRPr="00D7295B">
        <w:rPr>
          <w:rFonts w:ascii="Times New Roman" w:hAnsi="Times New Roman" w:cs="Times New Roman"/>
        </w:rPr>
        <w:t>. 2025 Jan;59(1):95-6. doi: 10.1177/10600280241252542.</w:t>
      </w:r>
    </w:p>
    <w:p w14:paraId="38F58EAA" w14:textId="77777777" w:rsidR="00FA125F" w:rsidRPr="00D7295B"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World Health Organization–Uppsala Monitoring Centre. The use of the WHO-UMC system for standardized case causality assessment. Geneva: WHO; 2019.</w:t>
      </w:r>
    </w:p>
    <w:p w14:paraId="3F6ED2D2" w14:textId="77777777" w:rsidR="00FA125F" w:rsidRDefault="00FA125F" w:rsidP="00FA125F">
      <w:pPr>
        <w:numPr>
          <w:ilvl w:val="0"/>
          <w:numId w:val="1"/>
        </w:numPr>
        <w:jc w:val="both"/>
        <w:rPr>
          <w:rFonts w:ascii="Times New Roman" w:hAnsi="Times New Roman" w:cs="Times New Roman"/>
        </w:rPr>
      </w:pPr>
      <w:r w:rsidRPr="00D7295B">
        <w:rPr>
          <w:rFonts w:ascii="Times New Roman" w:hAnsi="Times New Roman" w:cs="Times New Roman"/>
        </w:rPr>
        <w:t xml:space="preserve">Naranjo CA, Busto U, Sellers EM, Sandor P, Ruiz I, Roberts EA, et al. A method for estimating the probability of adverse drug reactions. </w:t>
      </w:r>
      <w:r w:rsidRPr="00D7295B">
        <w:rPr>
          <w:rFonts w:ascii="Times New Roman" w:hAnsi="Times New Roman" w:cs="Times New Roman"/>
          <w:i/>
          <w:iCs/>
        </w:rPr>
        <w:t>Clin Pharmacol Ther</w:t>
      </w:r>
      <w:r w:rsidRPr="00D7295B">
        <w:rPr>
          <w:rFonts w:ascii="Times New Roman" w:hAnsi="Times New Roman" w:cs="Times New Roman"/>
        </w:rPr>
        <w:t>. 1981 Aug;30(2):239-45. doi: 10.1038/clpt.1981.154.</w:t>
      </w:r>
    </w:p>
    <w:p w14:paraId="46B58B4A" w14:textId="77777777" w:rsidR="003C4917" w:rsidRPr="00271EA0" w:rsidRDefault="003C4917" w:rsidP="003C4917">
      <w:pPr>
        <w:pStyle w:val="ListParagraph"/>
        <w:numPr>
          <w:ilvl w:val="0"/>
          <w:numId w:val="1"/>
        </w:numPr>
        <w:spacing w:line="240" w:lineRule="auto"/>
        <w:jc w:val="both"/>
        <w:rPr>
          <w:rFonts w:ascii="Times New Roman" w:hAnsi="Times New Roman" w:cs="Times New Roman"/>
          <w:lang w:val="en-GB"/>
        </w:rPr>
      </w:pPr>
      <w:r w:rsidRPr="00271EA0">
        <w:rPr>
          <w:rFonts w:ascii="Times New Roman" w:hAnsi="Times New Roman" w:cs="Times New Roman"/>
          <w:lang w:val="en-GB"/>
        </w:rPr>
        <w:t>Soumya, R. N., Grover, S., Dutt, A., &amp; Gaur, N. (2010). Angioneurotic edema with risperidone: a case report and review of literature. General hospital psychiatry, 32(6), 646-e1.</w:t>
      </w:r>
    </w:p>
    <w:p w14:paraId="3DAD5F9D" w14:textId="77777777" w:rsidR="003C4917" w:rsidRPr="00271EA0" w:rsidRDefault="003C4917" w:rsidP="003C4917">
      <w:pPr>
        <w:pStyle w:val="ListParagraph"/>
        <w:spacing w:line="240" w:lineRule="auto"/>
        <w:jc w:val="both"/>
        <w:rPr>
          <w:rFonts w:ascii="Times New Roman" w:hAnsi="Times New Roman" w:cs="Times New Roman"/>
          <w:lang w:val="en-GB"/>
        </w:rPr>
      </w:pPr>
    </w:p>
    <w:p w14:paraId="0AD83401" w14:textId="77777777" w:rsidR="004F000E" w:rsidRDefault="003C4917" w:rsidP="004F000E">
      <w:pPr>
        <w:pStyle w:val="ListParagraph"/>
        <w:numPr>
          <w:ilvl w:val="0"/>
          <w:numId w:val="1"/>
        </w:numPr>
        <w:spacing w:line="240" w:lineRule="auto"/>
        <w:jc w:val="both"/>
        <w:rPr>
          <w:rFonts w:ascii="Times New Roman" w:hAnsi="Times New Roman" w:cs="Times New Roman"/>
          <w:lang w:val="en-GB"/>
        </w:rPr>
      </w:pPr>
      <w:r w:rsidRPr="00271EA0">
        <w:rPr>
          <w:rFonts w:ascii="Times New Roman" w:hAnsi="Times New Roman" w:cs="Times New Roman"/>
          <w:lang w:val="en-GB"/>
        </w:rPr>
        <w:t>Agostoni, A., &amp; Cicardi, M. (2001). Drug-induced angioedema without urticaria: incidence, prevention and management. Drug safety, 24(8), 599-606.</w:t>
      </w:r>
    </w:p>
    <w:p w14:paraId="481B3148" w14:textId="77777777" w:rsidR="004F000E" w:rsidRDefault="004F000E" w:rsidP="004F000E">
      <w:pPr>
        <w:pStyle w:val="ListParagraph"/>
      </w:pPr>
    </w:p>
    <w:p w14:paraId="46CB4B6F" w14:textId="234FD13F" w:rsidR="004F000E" w:rsidRPr="004F000E" w:rsidRDefault="004F000E" w:rsidP="004F000E">
      <w:pPr>
        <w:pStyle w:val="ListParagraph"/>
        <w:numPr>
          <w:ilvl w:val="0"/>
          <w:numId w:val="1"/>
        </w:numPr>
        <w:spacing w:line="240" w:lineRule="auto"/>
        <w:jc w:val="both"/>
        <w:rPr>
          <w:rFonts w:ascii="Times New Roman" w:hAnsi="Times New Roman" w:cs="Times New Roman"/>
          <w:lang w:val="en-GB"/>
        </w:rPr>
      </w:pPr>
      <w:r w:rsidRPr="004F000E">
        <w:rPr>
          <w:rFonts w:ascii="Times New Roman" w:hAnsi="Times New Roman" w:cs="Times New Roman"/>
        </w:rPr>
        <w:t>Pandya S, Patel C, Sojitra B, et al. (April 23, 2024) Piperacillin-Tazobactam-Induced Urticaria and Angioedema: A Case Report With Literature Review. Cureus 16(4): e58877. doi:10.7759/cureus.58877</w:t>
      </w:r>
    </w:p>
    <w:p w14:paraId="2669240A" w14:textId="77777777" w:rsidR="004F000E" w:rsidRPr="004F000E" w:rsidRDefault="004F000E" w:rsidP="004F000E">
      <w:pPr>
        <w:pStyle w:val="ListParagraph"/>
        <w:rPr>
          <w:rFonts w:ascii="Times New Roman" w:hAnsi="Times New Roman" w:cs="Times New Roman"/>
          <w:lang w:val="en-GB"/>
        </w:rPr>
      </w:pPr>
    </w:p>
    <w:p w14:paraId="3E8C4613" w14:textId="68F8A198" w:rsidR="004F000E" w:rsidRPr="004F000E" w:rsidRDefault="004F000E" w:rsidP="004F000E">
      <w:pPr>
        <w:pStyle w:val="ListParagraph"/>
        <w:numPr>
          <w:ilvl w:val="0"/>
          <w:numId w:val="1"/>
        </w:numPr>
        <w:spacing w:line="240" w:lineRule="auto"/>
        <w:jc w:val="both"/>
        <w:rPr>
          <w:rFonts w:ascii="Times New Roman" w:hAnsi="Times New Roman" w:cs="Times New Roman"/>
          <w:lang w:val="en-GB"/>
        </w:rPr>
      </w:pPr>
      <w:r w:rsidRPr="004F000E">
        <w:rPr>
          <w:rFonts w:ascii="Times New Roman" w:hAnsi="Times New Roman" w:cs="Times New Roman"/>
          <w:bCs/>
        </w:rPr>
        <w:t>Fan M, Niu K, Wu X, Shi H. Risk of drug-induced angioedema: a pharmacovigilance study of FDA adverse event reporting system database. Front Pharmacol. 2024 Jul 16;15:1417596. doi: 10.3389/fphar.2024.1417596. PMID: 39081961; PMCID: PMC11286412.</w:t>
      </w:r>
    </w:p>
    <w:p w14:paraId="19CF34E0" w14:textId="77777777" w:rsidR="004F000E" w:rsidRPr="00271EA0" w:rsidRDefault="004F000E" w:rsidP="004F000E">
      <w:pPr>
        <w:pStyle w:val="ListParagraph"/>
        <w:spacing w:line="240" w:lineRule="auto"/>
        <w:jc w:val="both"/>
        <w:rPr>
          <w:rFonts w:ascii="Times New Roman" w:hAnsi="Times New Roman" w:cs="Times New Roman"/>
          <w:lang w:val="en-GB"/>
        </w:rPr>
      </w:pPr>
    </w:p>
    <w:sectPr w:rsidR="004F000E" w:rsidRPr="00271EA0">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D73F" w14:textId="77777777" w:rsidR="004B5F8F" w:rsidRDefault="004B5F8F" w:rsidP="002E2705">
      <w:pPr>
        <w:spacing w:after="0" w:line="240" w:lineRule="auto"/>
      </w:pPr>
      <w:r>
        <w:separator/>
      </w:r>
    </w:p>
  </w:endnote>
  <w:endnote w:type="continuationSeparator" w:id="0">
    <w:p w14:paraId="20FDBFCB" w14:textId="77777777" w:rsidR="004B5F8F" w:rsidRDefault="004B5F8F" w:rsidP="002E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Tunga">
    <w:panose1 w:val="020B0502040204020203"/>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F7CD" w14:textId="77777777" w:rsidR="004B5F8F" w:rsidRDefault="004B5F8F" w:rsidP="002E2705">
      <w:pPr>
        <w:spacing w:after="0" w:line="240" w:lineRule="auto"/>
      </w:pPr>
      <w:r>
        <w:separator/>
      </w:r>
    </w:p>
  </w:footnote>
  <w:footnote w:type="continuationSeparator" w:id="0">
    <w:p w14:paraId="7004F658" w14:textId="77777777" w:rsidR="004B5F8F" w:rsidRDefault="004B5F8F" w:rsidP="002E2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5B4" w14:textId="6E269027" w:rsidR="002E2705" w:rsidRDefault="007E7C1C">
    <w:pPr>
      <w:pStyle w:val="Header"/>
    </w:pPr>
    <w:r>
      <w:rPr>
        <w:noProof/>
      </w:rPr>
    </w:r>
    <w:r w:rsidR="007E7C1C">
      <w:rPr>
        <w:noProof/>
      </w:rPr>
      <w:pict w14:anchorId="79A5F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7688" o:spid="_x0000_s1026" type="#_x0000_t136" style="position:absolute;margin-left:0;margin-top:0;width:385.75pt;height:72.3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5A47" w14:textId="7D5A7D51" w:rsidR="002E2705" w:rsidRDefault="007E7C1C">
    <w:pPr>
      <w:pStyle w:val="Header"/>
    </w:pPr>
    <w:r>
      <w:rPr>
        <w:noProof/>
      </w:rPr>
    </w:r>
    <w:r w:rsidR="007E7C1C">
      <w:rPr>
        <w:noProof/>
      </w:rPr>
      <w:pict w14:anchorId="14362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7689" o:spid="_x0000_s1027" type="#_x0000_t136" style="position:absolute;margin-left:0;margin-top:0;width:385.75pt;height:7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A9F" w14:textId="5C816FD5" w:rsidR="002E2705" w:rsidRDefault="007E7C1C">
    <w:pPr>
      <w:pStyle w:val="Header"/>
    </w:pPr>
    <w:r>
      <w:rPr>
        <w:noProof/>
      </w:rPr>
    </w:r>
    <w:r w:rsidR="007E7C1C">
      <w:rPr>
        <w:noProof/>
      </w:rPr>
      <w:pict w14:anchorId="009E8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77687" o:spid="_x0000_s1025" type="#_x0000_t136" style="position:absolute;margin-left:0;margin-top:0;width:385.75pt;height:72.3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0806"/>
    <w:multiLevelType w:val="multilevel"/>
    <w:tmpl w:val="DC30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E4471A"/>
    <w:multiLevelType w:val="hybridMultilevel"/>
    <w:tmpl w:val="78B2C5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4205584">
    <w:abstractNumId w:val="0"/>
  </w:num>
  <w:num w:numId="2" w16cid:durableId="40006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bUwMDUzMTUyMrNU0lEKTi0uzszPAykwrAUAnhm1dCwAAAA="/>
  </w:docVars>
  <w:rsids>
    <w:rsidRoot w:val="00FA125F"/>
    <w:rsid w:val="001114E1"/>
    <w:rsid w:val="00135F96"/>
    <w:rsid w:val="00252B98"/>
    <w:rsid w:val="002E2705"/>
    <w:rsid w:val="003C4917"/>
    <w:rsid w:val="00400DB5"/>
    <w:rsid w:val="004B5F8F"/>
    <w:rsid w:val="004C11F6"/>
    <w:rsid w:val="004D76EF"/>
    <w:rsid w:val="004F000E"/>
    <w:rsid w:val="004F7A53"/>
    <w:rsid w:val="00506FBC"/>
    <w:rsid w:val="0055232E"/>
    <w:rsid w:val="00584F62"/>
    <w:rsid w:val="005B0F5B"/>
    <w:rsid w:val="005E7BBE"/>
    <w:rsid w:val="007E7C1C"/>
    <w:rsid w:val="007F1AA9"/>
    <w:rsid w:val="00907FA9"/>
    <w:rsid w:val="00B01F59"/>
    <w:rsid w:val="00B10F42"/>
    <w:rsid w:val="00B47498"/>
    <w:rsid w:val="00B8261C"/>
    <w:rsid w:val="00BB4A35"/>
    <w:rsid w:val="00C668E2"/>
    <w:rsid w:val="00D17BDC"/>
    <w:rsid w:val="00D40402"/>
    <w:rsid w:val="00D7295B"/>
    <w:rsid w:val="00E57D8B"/>
    <w:rsid w:val="00E874F7"/>
    <w:rsid w:val="00FA125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85FD9"/>
  <w15:chartTrackingRefBased/>
  <w15:docId w15:val="{0A3BD3A5-335E-4DE9-B268-7616866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2E"/>
  </w:style>
  <w:style w:type="paragraph" w:styleId="Heading1">
    <w:name w:val="heading 1"/>
    <w:basedOn w:val="Normal"/>
    <w:next w:val="Normal"/>
    <w:link w:val="Heading1Char"/>
    <w:uiPriority w:val="9"/>
    <w:qFormat/>
    <w:rsid w:val="00FA1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1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25F"/>
    <w:rPr>
      <w:rFonts w:eastAsiaTheme="majorEastAsia" w:cstheme="majorBidi"/>
      <w:color w:val="272727" w:themeColor="text1" w:themeTint="D8"/>
    </w:rPr>
  </w:style>
  <w:style w:type="paragraph" w:styleId="Title">
    <w:name w:val="Title"/>
    <w:basedOn w:val="Normal"/>
    <w:next w:val="Normal"/>
    <w:link w:val="TitleChar"/>
    <w:uiPriority w:val="10"/>
    <w:qFormat/>
    <w:rsid w:val="00FA1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25F"/>
    <w:pPr>
      <w:spacing w:before="160"/>
      <w:jc w:val="center"/>
    </w:pPr>
    <w:rPr>
      <w:i/>
      <w:iCs/>
      <w:color w:val="404040" w:themeColor="text1" w:themeTint="BF"/>
    </w:rPr>
  </w:style>
  <w:style w:type="character" w:customStyle="1" w:styleId="QuoteChar">
    <w:name w:val="Quote Char"/>
    <w:basedOn w:val="DefaultParagraphFont"/>
    <w:link w:val="Quote"/>
    <w:uiPriority w:val="29"/>
    <w:rsid w:val="00FA125F"/>
    <w:rPr>
      <w:i/>
      <w:iCs/>
      <w:color w:val="404040" w:themeColor="text1" w:themeTint="BF"/>
    </w:rPr>
  </w:style>
  <w:style w:type="paragraph" w:styleId="ListParagraph">
    <w:name w:val="List Paragraph"/>
    <w:basedOn w:val="Normal"/>
    <w:uiPriority w:val="34"/>
    <w:qFormat/>
    <w:rsid w:val="00FA125F"/>
    <w:pPr>
      <w:ind w:left="720"/>
      <w:contextualSpacing/>
    </w:pPr>
  </w:style>
  <w:style w:type="character" w:styleId="IntenseEmphasis">
    <w:name w:val="Intense Emphasis"/>
    <w:basedOn w:val="DefaultParagraphFont"/>
    <w:uiPriority w:val="21"/>
    <w:qFormat/>
    <w:rsid w:val="00FA125F"/>
    <w:rPr>
      <w:i/>
      <w:iCs/>
      <w:color w:val="2F5496" w:themeColor="accent1" w:themeShade="BF"/>
    </w:rPr>
  </w:style>
  <w:style w:type="paragraph" w:styleId="IntenseQuote">
    <w:name w:val="Intense Quote"/>
    <w:basedOn w:val="Normal"/>
    <w:next w:val="Normal"/>
    <w:link w:val="IntenseQuoteChar"/>
    <w:uiPriority w:val="30"/>
    <w:qFormat/>
    <w:rsid w:val="00FA1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25F"/>
    <w:rPr>
      <w:i/>
      <w:iCs/>
      <w:color w:val="2F5496" w:themeColor="accent1" w:themeShade="BF"/>
    </w:rPr>
  </w:style>
  <w:style w:type="character" w:styleId="IntenseReference">
    <w:name w:val="Intense Reference"/>
    <w:basedOn w:val="DefaultParagraphFont"/>
    <w:uiPriority w:val="32"/>
    <w:qFormat/>
    <w:rsid w:val="00FA125F"/>
    <w:rPr>
      <w:b/>
      <w:bCs/>
      <w:smallCaps/>
      <w:color w:val="2F5496" w:themeColor="accent1" w:themeShade="BF"/>
      <w:spacing w:val="5"/>
    </w:rPr>
  </w:style>
  <w:style w:type="paragraph" w:styleId="Caption">
    <w:name w:val="caption"/>
    <w:basedOn w:val="Normal"/>
    <w:next w:val="Normal"/>
    <w:uiPriority w:val="35"/>
    <w:unhideWhenUsed/>
    <w:qFormat/>
    <w:rsid w:val="00FA125F"/>
    <w:pPr>
      <w:spacing w:after="200" w:line="240" w:lineRule="auto"/>
    </w:pPr>
    <w:rPr>
      <w:i/>
      <w:iCs/>
      <w:color w:val="44546A" w:themeColor="text2"/>
      <w:kern w:val="0"/>
      <w:sz w:val="18"/>
      <w:szCs w:val="18"/>
      <w14:ligatures w14:val="none"/>
    </w:rPr>
  </w:style>
  <w:style w:type="table" w:styleId="TableGrid">
    <w:name w:val="Table Grid"/>
    <w:basedOn w:val="TableNormal"/>
    <w:uiPriority w:val="39"/>
    <w:rsid w:val="00D72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252B98"/>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252B98"/>
    <w:pPr>
      <w:spacing w:after="240" w:line="240" w:lineRule="exact"/>
      <w:jc w:val="right"/>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D40402"/>
    <w:rPr>
      <w:color w:val="0563C1" w:themeColor="hyperlink"/>
      <w:u w:val="single"/>
    </w:rPr>
  </w:style>
  <w:style w:type="character" w:customStyle="1" w:styleId="UnresolvedMention1">
    <w:name w:val="Unresolved Mention1"/>
    <w:basedOn w:val="DefaultParagraphFont"/>
    <w:uiPriority w:val="99"/>
    <w:semiHidden/>
    <w:unhideWhenUsed/>
    <w:rsid w:val="00D40402"/>
    <w:rPr>
      <w:color w:val="605E5C"/>
      <w:shd w:val="clear" w:color="auto" w:fill="E1DFDD"/>
    </w:rPr>
  </w:style>
  <w:style w:type="paragraph" w:styleId="Header">
    <w:name w:val="header"/>
    <w:basedOn w:val="Normal"/>
    <w:link w:val="HeaderChar"/>
    <w:uiPriority w:val="99"/>
    <w:unhideWhenUsed/>
    <w:rsid w:val="002E2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05"/>
  </w:style>
  <w:style w:type="paragraph" w:styleId="Footer">
    <w:name w:val="footer"/>
    <w:basedOn w:val="Normal"/>
    <w:link w:val="FooterChar"/>
    <w:uiPriority w:val="99"/>
    <w:unhideWhenUsed/>
    <w:rsid w:val="002E2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1539</Words>
  <Characters>9379</Characters>
  <Application>Microsoft Office Word</Application>
  <DocSecurity>0</DocSecurity>
  <Lines>78</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Siddarath N D</dc:creator>
  <cp:keywords/>
  <dc:description/>
  <cp:lastModifiedBy>Sneha H S</cp:lastModifiedBy>
  <cp:revision>2</cp:revision>
  <dcterms:created xsi:type="dcterms:W3CDTF">2025-10-20T07:59:00Z</dcterms:created>
  <dcterms:modified xsi:type="dcterms:W3CDTF">2025-10-20T07:59:00Z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5f5f35b6-3817-464c-8cb9-22a52ac02170</vt:lpwstr>
  </property>
</Properties>
</file>