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line="48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rtl w:val="0"/>
        </w:rPr>
        <w:t xml:space="preserve">Review Article</w:t>
      </w: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Harnessing the Human Microbiome for Next-Generation Drug Discovery</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 microbiome, a complex ecosystem of trillions of microorganisms, is now recognized as a virtual endocrine organ that profoundly influences host physiology. Beyond its role in metabolism and immunity, the microbiome produces a vast repertoire of small molecules that can mimic, modulate, or interfere with host signaling pathways. These bacterially-derived metabolites represent an untapped reservoir of novel therapeutic agents. This review explores the paradigm of mining the human microbiome for drug discovery. We outline the methodological pipeline for identifying candidate molecules, from multi-omics correlation studies to functional validation in gnotobiotic models. We highlight key examples of microbiome-derived modulators of host physiology, including metabolites targeting G protein-coupled receptors (GPCRs), nuclear receptors, and epigenetic machinery. Finally, we discuss the challenges and future directions in translating these findings into viable therapeutics, emphasizing the need for advanced culturing techniques, synthetic biology, and robust clinical validation. Harnessing this microbial "dark matter" holds immense promise for treating a wide range of diseases, from metabolic disorders to neurological conditions.</w:t>
      </w:r>
    </w:p>
    <w:p w:rsidR="00000000" w:rsidDel="00000000" w:rsidP="00000000" w:rsidRDefault="00000000" w:rsidRPr="00000000" w14:paraId="0000000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Keywords: Human Microbiome, Drug Discovery, Microbial Metabolites, Host-Microbe Interactions, Metabolomics, GPCRs, Nuclear Receptors, Pharmacomicrobiomics.</w:t>
      </w:r>
    </w:p>
    <w:p w:rsidR="00000000" w:rsidDel="00000000" w:rsidP="00000000" w:rsidRDefault="00000000" w:rsidRPr="00000000" w14:paraId="0000000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Introduction</w:t>
      </w:r>
    </w:p>
    <w:p w:rsidR="00000000" w:rsidDel="00000000" w:rsidP="00000000" w:rsidRDefault="00000000" w:rsidRPr="00000000" w14:paraId="0000000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 body is not merely a singular entity but a complex superorganism, composed of human cells and a vast, dynamic ecosystem of trillions of microorganisms are present in the human microbiome (Gilbert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 For decades, the prevailing view of microbes was as pathogens to be eradicated. However, a paradigm shift has occurred, driven by revolutionary advances in genomic sequencing. We now understand that the diverse microbial communities residing on our skin, in our mouths, and particularly within our gastrointestinal tract are not passive passengers but active, integral contributors to human physiology (Pateriya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2025). These symbionts play crucial roles in digesting dietary components, synthesizing essential vitamins, educating the immune system, and providing a barrier against colonization by pathogens.</w:t>
      </w:r>
    </w:p>
    <w:p w:rsidR="00000000" w:rsidDel="00000000" w:rsidP="00000000" w:rsidRDefault="00000000" w:rsidRPr="00000000" w14:paraId="0000000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influence of the microbiome, however, extends far beyond these local, foundational functions. A primary mechanism for its systemic impact is the production of an immense and chemically diverse repertoire of small molecules (&lt;1500 Da). These bacterially-derived metabolites are the language of interspecies and interkingdom communication. They can traverse the intestinal epithelium, enter the portal circulation, and function as potent endocrine or signaling molecules, effectively mimicking, modulating, or interfering with host pathways (Kim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 </w:t>
      </w:r>
    </w:p>
    <w:p w:rsidR="00000000" w:rsidDel="00000000" w:rsidP="00000000" w:rsidRDefault="00000000" w:rsidRPr="00000000" w14:paraId="0000000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profound influence of the microbiome extends far beyond these local functions. A primary mechanism for its systemic effects is the production of an immense and diverse repertoire of small molecules. These bacterially derived metabolites can traverse the intestinal epithelium, enter the systemic circulation, and function as potent signaling molecules, effectively mimicking, modulating, or interfering with host pathways (Krautkramer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2021). This chemical dialogue positions the gut microbiome as a virtual endocrine organ, capable of influencing distal organs, including the liver, brain, and adipose tissue. Consequently, the microbiome's compositional and functional state is increasingly linked to a wide array of diseases, from inflammatory bowel disease and metabolic syndrome to neurological disorders and cancer (Iliev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2025).</w:t>
      </w:r>
    </w:p>
    <w:p w:rsidR="00000000" w:rsidDel="00000000" w:rsidP="00000000" w:rsidRDefault="00000000" w:rsidRPr="00000000" w14:paraId="0000000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recognition unveils an unprecedented opportunity for therapeutic intervention. The human microbiome represents a largely untapped reservoir of novel bioactive compounds, refined by millions of years of co-evolution with the host (Siddiqui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 The field of pharmacomicrobiomics is the study of microbiome-drug interactions, which is expanding to include the deliberate mining of the microbiome for new drug leads (Walter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Instead of screening synthetic chemical libraries or plant-derived compounds, we can now look inward to the microbial "dark matter" within us for inspiration.</w:t>
      </w:r>
    </w:p>
    <w:p w:rsidR="00000000" w:rsidDel="00000000" w:rsidP="00000000" w:rsidRDefault="00000000" w:rsidRPr="00000000" w14:paraId="0000000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review will comprehensively explore the emerging paradigm of harnessing the human microbiome as a frontier for drug discovery. We will first outline the integrated methodological pipeline for identifying candidate molecules, from initial multi-omics correlations to functional validation using gnotobiotic models and bioassay-guided fractionation. We will then highlight key classes of characterized bacterially derived small molecules that act as direct modulators of host physiology, with a focus on their mechanisms of action through major target families such as G protein-coupled receptors (GPCRs), nuclear receptors, and epigenetic enzymes. Furthermore, we will present the compelling concept of engineering microbial strains to produce therapeutic molecules in situ, creating "living biotherapeutics." Finally, we will critically discuss the significant challenges, including establishing causality in humans and navigating context-dependent effects, and the exciting future directions in translating these microbial metabolites into viable therapeutics. By synthesizing recent advances in the field, this review aims to argue convincingly that the next frontier in medicine lies in deciphering and leveraging the extensive pharmacological potential of our inner microbial universe.</w:t>
      </w:r>
    </w:p>
    <w:p w:rsidR="00000000" w:rsidDel="00000000" w:rsidP="00000000" w:rsidRDefault="00000000" w:rsidRPr="00000000" w14:paraId="0000000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The Pipeline for Microbial Drug Discovery</w:t>
      </w:r>
    </w:p>
    <w:p w:rsidR="00000000" w:rsidDel="00000000" w:rsidP="00000000" w:rsidRDefault="00000000" w:rsidRPr="00000000" w14:paraId="0000001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systematic translation of microbial ecological complexity into therapeutic candidates requires a well-defined pipeline that moves from observational correlation to mechanistic causation. This multi-stage process integrates computational biology, microbiology, chemistry, and pharmacology to identify, validate, and characterize bacterially-derived bioactive molecules. The following sections detail this pipeline, illustrated in Figure 1.</w:t>
      </w:r>
    </w:p>
    <w:p w:rsidR="00000000" w:rsidDel="00000000" w:rsidP="00000000" w:rsidRDefault="00000000" w:rsidRPr="00000000" w14:paraId="0000001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The Pipeline for Microbial Drug Discovery</w:t>
      </w:r>
    </w:p>
    <w:p w:rsidR="00000000" w:rsidDel="00000000" w:rsidP="00000000" w:rsidRDefault="00000000" w:rsidRPr="00000000" w14:paraId="0000001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215176"/>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21517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Discovery and Correlation: Multi-Omics Integration</w:t>
      </w:r>
    </w:p>
    <w:p w:rsidR="00000000" w:rsidDel="00000000" w:rsidP="00000000" w:rsidRDefault="00000000" w:rsidRPr="00000000" w14:paraId="0000001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initial discovery phase aims to generate hypotheses by identifying associations between microbial functions and host physiology. This is achieved through the integrated analysis of multi-omics data derived from human cohort studies or animal models.</w:t>
      </w:r>
    </w:p>
    <w:p w:rsidR="00000000" w:rsidDel="00000000" w:rsidP="00000000" w:rsidRDefault="00000000" w:rsidRPr="00000000" w14:paraId="0000001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Metagenomics:</w:t>
      </w:r>
      <w:r w:rsidDel="00000000" w:rsidR="00000000" w:rsidRPr="00000000">
        <w:rPr>
          <w:rFonts w:ascii="Times New Roman" w:cs="Times New Roman" w:eastAsia="Times New Roman" w:hAnsi="Times New Roman"/>
          <w:sz w:val="24"/>
          <w:szCs w:val="24"/>
          <w:rtl w:val="0"/>
        </w:rPr>
        <w:t xml:space="preserve"> Shotgun sequencing of microbial DNA from stool or tissue samples reveals the taxonomic composition of the community and, crucially, its functional potential. It allows for the identification of specific Biosynthetic Gene Clusters (BGCs) genomic regions encoding enzymes for secondary metabolite production, which includes non-ribosomal peptide synthetases, polyketide synthases (Rothhammer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 Computational tools like antiSMASH are used to predict the types of molecules these BGCs might produce.</w:t>
      </w:r>
    </w:p>
    <w:p w:rsidR="00000000" w:rsidDel="00000000" w:rsidP="00000000" w:rsidRDefault="00000000" w:rsidRPr="00000000" w14:paraId="0000001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Metatranscriptomics and Metaproteomics:</w:t>
      </w:r>
      <w:r w:rsidDel="00000000" w:rsidR="00000000" w:rsidRPr="00000000">
        <w:rPr>
          <w:rFonts w:ascii="Times New Roman" w:cs="Times New Roman" w:eastAsia="Times New Roman" w:hAnsi="Times New Roman"/>
          <w:sz w:val="24"/>
          <w:szCs w:val="24"/>
          <w:rtl w:val="0"/>
        </w:rPr>
        <w:t xml:space="preserve"> While metagenomics reveals genetic potential, it does not indicate activity. Metatranscriptomics (RNA-seq) shows which genes are being actively transcribed, and metaproteomics identifies which proteins are being synthesized. This provides a more dynamic picture of microbial community function in a specific physiological state (Chiang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w:t>
      </w:r>
    </w:p>
    <w:p w:rsidR="00000000" w:rsidDel="00000000" w:rsidP="00000000" w:rsidRDefault="00000000" w:rsidRPr="00000000" w14:paraId="0000001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Metabolomics:</w:t>
      </w:r>
      <w:r w:rsidDel="00000000" w:rsidR="00000000" w:rsidRPr="00000000">
        <w:rPr>
          <w:rFonts w:ascii="Times New Roman" w:cs="Times New Roman" w:eastAsia="Times New Roman" w:hAnsi="Times New Roman"/>
          <w:sz w:val="24"/>
          <w:szCs w:val="24"/>
          <w:rtl w:val="0"/>
        </w:rPr>
        <w:t xml:space="preserve"> The ultimate readout of microbial activity is the metabolome. High-throughput techniques like liquid or gas chromatography coupled with mass spectrometry (LC-MS/GC-MS) profile the small molecules in biofluids (plasma, urine) or fecal samples. The goal is to identify metabolites whose abundance correlates with a host phenotype, disease state or response to a diet/drug</w:t>
      </w:r>
    </w:p>
    <w:p w:rsidR="00000000" w:rsidDel="00000000" w:rsidP="00000000" w:rsidRDefault="00000000" w:rsidRPr="00000000" w14:paraId="0000001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Integration:</w:t>
      </w:r>
      <w:r w:rsidDel="00000000" w:rsidR="00000000" w:rsidRPr="00000000">
        <w:rPr>
          <w:rFonts w:ascii="Times New Roman" w:cs="Times New Roman" w:eastAsia="Times New Roman" w:hAnsi="Times New Roman"/>
          <w:sz w:val="24"/>
          <w:szCs w:val="24"/>
          <w:rtl w:val="0"/>
        </w:rPr>
        <w:t xml:space="preserve"> Advanced statistical and bioinformatic methods multivariate analysis, machine learning, network integration are employed to correlate the abundance of a microbial gene (from metagenomics), its expression (from metatranscriptomics), and the resulting metabolite (from metabolomics) with the host phenotype of interest (Strandwitz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2019). This generates a candidate list of microbial functions and molecules potentially responsible for the observed effect.</w:t>
      </w:r>
    </w:p>
    <w:p w:rsidR="00000000" w:rsidDel="00000000" w:rsidP="00000000" w:rsidRDefault="00000000" w:rsidRPr="00000000" w14:paraId="0000001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Omics Technologies in Microbial Drug Discovery</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8"/>
        <w:tblGridChange w:id="0">
          <w:tblGrid>
            <w:gridCol w:w="2337"/>
            <w:gridCol w:w="2337"/>
            <w:gridCol w:w="2338"/>
            <w:gridCol w:w="2338"/>
          </w:tblGrid>
        </w:tblGridChange>
      </w:tblGrid>
      <w:tr>
        <w:trPr>
          <w:cantSplit w:val="0"/>
          <w:tblHeader w:val="0"/>
        </w:trPr>
        <w:tc>
          <w:tcPr/>
          <w:p w:rsidR="00000000" w:rsidDel="00000000" w:rsidP="00000000" w:rsidRDefault="00000000" w:rsidRPr="00000000" w14:paraId="0000001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Omics Layer</w:t>
            </w:r>
          </w:p>
        </w:tc>
        <w:tc>
          <w:tcPr/>
          <w:p w:rsidR="00000000" w:rsidDel="00000000" w:rsidP="00000000" w:rsidRDefault="00000000" w:rsidRPr="00000000" w14:paraId="0000001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Analytical Technique</w:t>
            </w:r>
          </w:p>
        </w:tc>
        <w:tc>
          <w:tcPr/>
          <w:p w:rsidR="00000000" w:rsidDel="00000000" w:rsidP="00000000" w:rsidRDefault="00000000" w:rsidRPr="00000000" w14:paraId="0000001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Gained</w:t>
            </w:r>
          </w:p>
        </w:tc>
        <w:tc>
          <w:tcPr/>
          <w:p w:rsidR="00000000" w:rsidDel="00000000" w:rsidP="00000000" w:rsidRDefault="00000000" w:rsidRPr="00000000" w14:paraId="0000001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in Pipeline</w:t>
            </w:r>
          </w:p>
        </w:tc>
      </w:tr>
      <w:tr>
        <w:trPr>
          <w:cantSplit w:val="0"/>
          <w:tblHeader w:val="0"/>
        </w:trPr>
        <w:tc>
          <w:tcPr/>
          <w:p w:rsidR="00000000" w:rsidDel="00000000" w:rsidP="00000000" w:rsidRDefault="00000000" w:rsidRPr="00000000" w14:paraId="0000001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Metagenomics</w:t>
            </w:r>
          </w:p>
        </w:tc>
        <w:tc>
          <w:tcPr/>
          <w:p w:rsidR="00000000" w:rsidDel="00000000" w:rsidP="00000000" w:rsidRDefault="00000000" w:rsidRPr="00000000" w14:paraId="0000002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Shotgun Sequencing</w:t>
            </w:r>
          </w:p>
        </w:tc>
        <w:tc>
          <w:tcPr/>
          <w:p w:rsidR="00000000" w:rsidDel="00000000" w:rsidP="00000000" w:rsidRDefault="00000000" w:rsidRPr="00000000" w14:paraId="0000002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Taxonomic profile; functional gene content; identification of Biosynthetic Gene Clusters (BGCs).</w:t>
            </w:r>
          </w:p>
        </w:tc>
        <w:tc>
          <w:tcPr/>
          <w:p w:rsidR="00000000" w:rsidDel="00000000" w:rsidP="00000000" w:rsidRDefault="00000000" w:rsidRPr="00000000" w14:paraId="0000002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Hypothesis generation: Links microbial genetic potential to host phenotype.</w:t>
            </w:r>
          </w:p>
        </w:tc>
      </w:tr>
      <w:tr>
        <w:trPr>
          <w:cantSplit w:val="0"/>
          <w:tblHeader w:val="0"/>
        </w:trPr>
        <w:tc>
          <w:tcPr/>
          <w:p w:rsidR="00000000" w:rsidDel="00000000" w:rsidP="00000000" w:rsidRDefault="00000000" w:rsidRPr="00000000" w14:paraId="0000002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Metatranscriptomics</w:t>
            </w:r>
          </w:p>
        </w:tc>
        <w:tc>
          <w:tcPr/>
          <w:p w:rsidR="00000000" w:rsidDel="00000000" w:rsidP="00000000" w:rsidRDefault="00000000" w:rsidRPr="00000000" w14:paraId="0000002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RNA Sequencing (RNA-seq)</w:t>
            </w:r>
          </w:p>
        </w:tc>
        <w:tc>
          <w:tcPr/>
          <w:p w:rsidR="00000000" w:rsidDel="00000000" w:rsidP="00000000" w:rsidRDefault="00000000" w:rsidRPr="00000000" w14:paraId="0000002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 expression profile; active metabolic pathways in the community.</w:t>
            </w:r>
          </w:p>
        </w:tc>
        <w:tc>
          <w:tcPr/>
          <w:p w:rsidR="00000000" w:rsidDel="00000000" w:rsidP="00000000" w:rsidRDefault="00000000" w:rsidRPr="00000000" w14:paraId="0000002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Identifies which microbial genes are functionally active in a given condition.</w:t>
            </w:r>
          </w:p>
        </w:tc>
      </w:tr>
      <w:tr>
        <w:trPr>
          <w:cantSplit w:val="0"/>
          <w:tblHeader w:val="0"/>
        </w:trPr>
        <w:tc>
          <w:tcPr/>
          <w:p w:rsidR="00000000" w:rsidDel="00000000" w:rsidP="00000000" w:rsidRDefault="00000000" w:rsidRPr="00000000" w14:paraId="0000002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Metaproteomics</w:t>
            </w:r>
          </w:p>
        </w:tc>
        <w:tc>
          <w:tcPr/>
          <w:p w:rsidR="00000000" w:rsidDel="00000000" w:rsidP="00000000" w:rsidRDefault="00000000" w:rsidRPr="00000000" w14:paraId="0000002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 Spectrometry (MS)</w:t>
            </w:r>
          </w:p>
        </w:tc>
        <w:tc>
          <w:tcPr/>
          <w:p w:rsidR="00000000" w:rsidDel="00000000" w:rsidP="00000000" w:rsidRDefault="00000000" w:rsidRPr="00000000" w14:paraId="0000002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 abundance and activity; confirmation of enzyme production.</w:t>
            </w:r>
          </w:p>
        </w:tc>
        <w:tc>
          <w:tcPr/>
          <w:p w:rsidR="00000000" w:rsidDel="00000000" w:rsidP="00000000" w:rsidRDefault="00000000" w:rsidRPr="00000000" w14:paraId="0000002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Validates translation of transcripts into functional proteins.</w:t>
            </w:r>
          </w:p>
        </w:tc>
      </w:tr>
      <w:tr>
        <w:trPr>
          <w:cantSplit w:val="0"/>
          <w:tblHeader w:val="0"/>
        </w:trPr>
        <w:tc>
          <w:tcPr/>
          <w:p w:rsidR="00000000" w:rsidDel="00000000" w:rsidP="00000000" w:rsidRDefault="00000000" w:rsidRPr="00000000" w14:paraId="0000002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Metabolomics</w:t>
            </w:r>
          </w:p>
        </w:tc>
        <w:tc>
          <w:tcPr/>
          <w:p w:rsidR="00000000" w:rsidDel="00000000" w:rsidP="00000000" w:rsidRDefault="00000000" w:rsidRPr="00000000" w14:paraId="0000002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LC-MS / GC-MS</w:t>
            </w:r>
          </w:p>
        </w:tc>
        <w:tc>
          <w:tcPr/>
          <w:p w:rsidR="00000000" w:rsidDel="00000000" w:rsidP="00000000" w:rsidRDefault="00000000" w:rsidRPr="00000000" w14:paraId="0000002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Profile of small molecules in a sample (end-products of microbial activity).</w:t>
            </w:r>
          </w:p>
        </w:tc>
        <w:tc>
          <w:tcPr/>
          <w:p w:rsidR="00000000" w:rsidDel="00000000" w:rsidP="00000000" w:rsidRDefault="00000000" w:rsidRPr="00000000" w14:paraId="0000002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Directly links microbial activity to a chemical signal detectable in the host.</w:t>
            </w:r>
          </w:p>
        </w:tc>
      </w:tr>
    </w:tbl>
    <w:p w:rsidR="00000000" w:rsidDel="00000000" w:rsidP="00000000" w:rsidRDefault="00000000" w:rsidRPr="00000000" w14:paraId="0000002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From Correlation to Causation: A Functional Validation</w:t>
      </w:r>
    </w:p>
    <w:p w:rsidR="00000000" w:rsidDel="00000000" w:rsidP="00000000" w:rsidRDefault="00000000" w:rsidRPr="00000000" w14:paraId="0000003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statistical correlation must be tested for biological causality. This is the most critical step in the pipeline.</w:t>
      </w:r>
    </w:p>
    <w:p w:rsidR="00000000" w:rsidDel="00000000" w:rsidP="00000000" w:rsidRDefault="00000000" w:rsidRPr="00000000" w14:paraId="0000003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Culture-Based Approaches (Culturomics):</w:t>
      </w:r>
      <w:r w:rsidDel="00000000" w:rsidR="00000000" w:rsidRPr="00000000">
        <w:rPr>
          <w:rFonts w:ascii="Times New Roman" w:cs="Times New Roman" w:eastAsia="Times New Roman" w:hAnsi="Times New Roman"/>
          <w:sz w:val="24"/>
          <w:szCs w:val="24"/>
          <w:rtl w:val="0"/>
        </w:rPr>
        <w:t xml:space="preserve"> The candidate bacterium identified from omics data must be isolated and cultured in vitro. Recent advances in culturomics using diverse media and culturing conditions have expanded our ability to grow previously "unculturable" microbes (Park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 Once isolated, the bacterium can be grown, and its conditioned media can be tested for bioactivity in relevant in vitro host cell assays (e.g., immune cell activation, hormone secretion).</w:t>
      </w:r>
    </w:p>
    <w:p w:rsidR="00000000" w:rsidDel="00000000" w:rsidP="00000000" w:rsidRDefault="00000000" w:rsidRPr="00000000" w14:paraId="0000003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Gnotobiotic Models:</w:t>
      </w:r>
      <w:r w:rsidDel="00000000" w:rsidR="00000000" w:rsidRPr="00000000">
        <w:rPr>
          <w:rFonts w:ascii="Times New Roman" w:cs="Times New Roman" w:eastAsia="Times New Roman" w:hAnsi="Times New Roman"/>
          <w:sz w:val="24"/>
          <w:szCs w:val="24"/>
          <w:rtl w:val="0"/>
        </w:rPr>
        <w:t xml:space="preserve"> Germ-free (GF) mice, raised in sterile isolators and devoid of any microbiota, provide the most powerful system for establishing causation. These animals can be colonized with a single candidate bacterial strain or a defined microbial community (a consortium) (Walter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If colonization with the candidate bacterium recapitulates the metabolite profile and the host phenotype observed in the original correlation study, it provides strong evidence for a causal role. Conversely, GF mice colonized with a community lacking the key strain should not exhibit the effect (Park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w:t>
      </w:r>
    </w:p>
    <w:p w:rsidR="00000000" w:rsidDel="00000000" w:rsidP="00000000" w:rsidRDefault="00000000" w:rsidRPr="00000000" w14:paraId="0000003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Mechanistic In Vitro Studies:</w:t>
      </w:r>
      <w:r w:rsidDel="00000000" w:rsidR="00000000" w:rsidRPr="00000000">
        <w:rPr>
          <w:rFonts w:ascii="Times New Roman" w:cs="Times New Roman" w:eastAsia="Times New Roman" w:hAnsi="Times New Roman"/>
          <w:sz w:val="24"/>
          <w:szCs w:val="24"/>
          <w:rtl w:val="0"/>
        </w:rPr>
        <w:t xml:space="preserve"> To pinpoint the exact molecular mechanism, purified metabolites or bacterial-conditioned media are applied to human cell lines. Techniques such as receptor antagonism, RNA interference (RNAi), or reporter gene assays are used to identify the host molecular target (e.g., a specific GPCR or nuclear receptor).</w:t>
      </w:r>
    </w:p>
    <w:p w:rsidR="00000000" w:rsidDel="00000000" w:rsidP="00000000" w:rsidRDefault="00000000" w:rsidRPr="00000000" w14:paraId="0000003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Compound Identification and Characterization</w:t>
      </w:r>
    </w:p>
    <w:p w:rsidR="00000000" w:rsidDel="00000000" w:rsidP="00000000" w:rsidRDefault="00000000" w:rsidRPr="00000000" w14:paraId="0000003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bioactivity is confirmed in a culture-based system, the specific molecule responsible must be identified.</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Bioassay-Guided Fractionation: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a classic natural products chemistry approach. The bacterial extract is separated into fractions using techniques like HPLC. Each fraction is tested in the bioassay. The active fraction is subsequently fractionated again, and the process is repeated iteratively until a pure, active compound is isolated (Mani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Structural Elucidation: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chemical structure of the purified active compound is determined using analytical techniques, primarily tandem mass spectrometry (MS/MS) and nuclear magnetic resonance (NMR) spectroscopy (Ma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Chemical Synthesis: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abundant metabolites, the structure can be confirmed by chemical synthesis. For novel, complex molecules, total synthesis may be challenging, but it is essential for confirming structure and for generating sufficient quantities for pre-clinical and clinical development. Synthetic versions are used to confirm that the bioactivity is intrinsic to the molecule and not due to a contaminant (Chunarkar-Patil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2024).</w:t>
      </w:r>
    </w:p>
    <w:p w:rsidR="00000000" w:rsidDel="00000000" w:rsidP="00000000" w:rsidRDefault="00000000" w:rsidRPr="00000000" w14:paraId="0000003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 Target Deconvolution and Pharmacological Optimization</w:t>
      </w:r>
    </w:p>
    <w:p w:rsidR="00000000" w:rsidDel="00000000" w:rsidP="00000000" w:rsidRDefault="00000000" w:rsidRPr="00000000" w14:paraId="0000003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stage involves understanding how the molecule works at the molecular level and optimizing its properties for therapeutic use (Wilkinson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Identifying the host protein target is crucial; the methods include:</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Affinity Purification: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Immobilizing the metabolite and identifying host proteins that bind to it.</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Chemical Proteomics: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Using functionalized metabolite analogs as baits to pull down interacting proteins from cell lysates.</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Transcriptional Profiling: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Comparing the gene expression signature induced by the metabolite to signatures of compounds with known targets.</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Medicinal Chemistry: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microbial metabolite often serves as a lead compound. Its structure may be optimized by medicinal chemistry to improve its drug-like properties, such as potency, solubility, metabolic stability, and bioavailability, ultimately creating a viable drug candidate suitable for Investigational New Drug (IND)-enabling studies.</w:t>
      </w:r>
    </w:p>
    <w:p w:rsidR="00000000" w:rsidDel="00000000" w:rsidP="00000000" w:rsidRDefault="00000000" w:rsidRPr="00000000" w14:paraId="00000040">
      <w:pPr>
        <w:spacing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37558" cy="3274223"/>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37558" cy="327422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The gut microbiome functions as a virtual endocrine organ (Pires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2024)</w:t>
      </w:r>
    </w:p>
    <w:p w:rsidR="00000000" w:rsidDel="00000000" w:rsidP="00000000" w:rsidRDefault="00000000" w:rsidRPr="00000000" w14:paraId="0000004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Main Types of Bacterially-Derived Bioactive Molecules</w:t>
      </w:r>
    </w:p>
    <w:p w:rsidR="00000000" w:rsidDel="00000000" w:rsidP="00000000" w:rsidRDefault="00000000" w:rsidRPr="00000000" w14:paraId="0000004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concerted efforts of the discovery pipeline have unveiled a remarkable pharmacopoeia of microbially-produced small molecules that directly modulate host physiology. These molecules often function as key mediators of the gut-brain, gut-liver, and gut-immune axes. This section details the most well-characterized classes of these bioactive metabolites, their mechanisms of action, and their therapeutic implications (Ferris, 2023).</w:t>
      </w:r>
    </w:p>
    <w:p w:rsidR="00000000" w:rsidDel="00000000" w:rsidP="00000000" w:rsidRDefault="00000000" w:rsidRPr="00000000" w14:paraId="0000004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3.1. Short-Chain Fatty Acids (SCFAs):</w:t>
      </w:r>
      <w:r w:rsidDel="00000000" w:rsidR="00000000" w:rsidRPr="00000000">
        <w:rPr>
          <w:rFonts w:ascii="Times New Roman" w:cs="Times New Roman" w:eastAsia="Times New Roman" w:hAnsi="Times New Roman"/>
          <w:sz w:val="24"/>
          <w:szCs w:val="24"/>
          <w:rtl w:val="0"/>
        </w:rPr>
        <w:t xml:space="preserve"> Microbial Fermentation Products with Systemic Effects</w:t>
      </w:r>
    </w:p>
    <w:p w:rsidR="00000000" w:rsidDel="00000000" w:rsidP="00000000" w:rsidRDefault="00000000" w:rsidRPr="00000000" w14:paraId="0000004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Short-chain fatty acids (SCFAs), primarily acetate, propionate, and butyrate, are the most abundant metabolites produced by the microbial fermentation of dietary fiber in the colon. While long recognized for their local roles in colonic health, their function as systemic signaling molecules is now a major focus of research.</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Derived from the fermentation of dietary fiber by obligate anaerobic bacteria such as Faecalibacterium prausnitzii, Roseburia spp., and members of the Clostridium clusters IV and XIVa (Rivière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2016).</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Mechanisms of Action: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SCFAs influence host physiology through multiple mechanisms:</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GPCR Activation: SCFAs are endogenous ligands for the G protein-coupled receptors FFAR2 (GPR43) and FFAR3 (GPR41). Butyrate also activates HCAR2 (GPR109A). These receptors are expressed on immune cells, enteroendocrine cells, and adipocytes (Grant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2025).</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Epigenetic Modulation: Butyrate is a potent histone deacetylase (HDAC) inhibitor. By increasing histone acetylation, alters gene expression patterns in host cells, particularly those involved in inflammation and cell proliferation (Fellows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Energy Substrate: Butyrate serves as the primary energy source for colonocytes, reinforcing the gut barrier.</w:t>
      </w:r>
    </w:p>
    <w:p w:rsidR="00000000" w:rsidDel="00000000" w:rsidP="00000000" w:rsidRDefault="00000000" w:rsidRPr="00000000" w14:paraId="0000004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Physiological Impacts and Therapeutic Potential:</w:t>
      </w:r>
    </w:p>
    <w:p w:rsidR="00000000" w:rsidDel="00000000" w:rsidP="00000000" w:rsidRDefault="00000000" w:rsidRPr="00000000" w14:paraId="0000004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SCFA signaling through FFAR2/3 on regulatory T cells (Tregs) promotes their differentiation and function, maintaining immune tolerance and suppressing inflammation. This has implications for treating inflammatory bowel disease (IBD) and allergies (Grant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2025). SCFAs improve insulin sensitivity, increase energy expenditure, and regulate appetite through effects on gut hormones like glucagon-like peptide-1 (GLP-1), making them attractive for managing obesity and type 2 diabetes. Systemic SCFAs can cross the blood-brain barrier and influence microglia function, impacting neuroinflammation and behavior (Fock and Parnova, 2023)</w:t>
      </w:r>
    </w:p>
    <w:p w:rsidR="00000000" w:rsidDel="00000000" w:rsidP="00000000" w:rsidRDefault="00000000" w:rsidRPr="00000000" w14:paraId="0000004D">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Tryptophan Metabolites: Bridging Diet, Microbes, and Immunity</w:t>
      </w:r>
    </w:p>
    <w:p w:rsidR="00000000" w:rsidDel="00000000" w:rsidP="00000000" w:rsidRDefault="00000000" w:rsidRPr="00000000" w14:paraId="0000004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Dietary tryptophan is metabolized by host enzymes, gut microbiota, and immune cells into a diverse array of bioactive compounds that are critical for maintaining intestinal homeostasis and immune function.</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Gut bacteria like Clostridium sporogenes, Lactobacillus spp., and Bifidobacterium spp. convert tryptophan into indole and its derivatives (e.g., indole-3-propionic acid (IPA), indole-3-aldehyde (IAld)), as well as tryptamine (Dodd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2017)</w:t>
      </w:r>
    </w:p>
    <w:p w:rsidR="00000000" w:rsidDel="00000000" w:rsidP="00000000" w:rsidRDefault="00000000" w:rsidRPr="00000000" w14:paraId="0000005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Mechanisms of Action: </w:t>
      </w:r>
      <w:r w:rsidDel="00000000" w:rsidR="00000000" w:rsidRPr="00000000">
        <w:rPr>
          <w:rFonts w:ascii="Times New Roman" w:cs="Times New Roman" w:eastAsia="Times New Roman" w:hAnsi="Times New Roman"/>
          <w:sz w:val="24"/>
          <w:szCs w:val="24"/>
          <w:rtl w:val="0"/>
        </w:rPr>
        <w:t xml:space="preserve">Aryl Hydrocarbon Receptor (AhR) Activation: Indole derivatives are potent ligands for the AhR, a ligand-activated transcription factor highly expressed in immune and epithelial cells. AhR activation is crucial for maintaining intraepithelial lymphocytes and innate lymphoid cells type 3 (ILC3s (Rothhammer and Quintana, 2019). Tryptamine and other metabolites can act as ligands for host serotonin receptors and other GPCRs.</w:t>
      </w:r>
      <w:r w:rsidDel="00000000" w:rsidR="00000000" w:rsidRPr="00000000">
        <w:rPr>
          <w:rtl w:val="0"/>
        </w:rPr>
      </w:r>
    </w:p>
    <w:p w:rsidR="00000000" w:rsidDel="00000000" w:rsidP="00000000" w:rsidRDefault="00000000" w:rsidRPr="00000000" w14:paraId="0000005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Physiological Impacts and Therapeutic Potential:</w:t>
      </w:r>
      <w:r w:rsidDel="00000000" w:rsidR="00000000" w:rsidRPr="00000000">
        <w:rPr>
          <w:rFonts w:ascii="Times New Roman" w:cs="Times New Roman" w:eastAsia="Times New Roman" w:hAnsi="Times New Roman"/>
          <w:sz w:val="24"/>
          <w:szCs w:val="24"/>
          <w:rtl w:val="0"/>
        </w:rPr>
        <w:t xml:space="preserve"> Activation of the AhR pathway by microbial ligands strengthens the epithelial barrier, induces the production of anti-microbial peptides, and promotes IL-22 secretion, which is essential for mucosal repair and defense. Deficiencies in AhR ligands are associated with IBD and multiple sclerosis, suggesting that supplementation or microbial intervention could be therapeutic (Rothhammer and Quintana, 2019).</w:t>
      </w:r>
    </w:p>
    <w:p w:rsidR="00000000" w:rsidDel="00000000" w:rsidP="00000000" w:rsidRDefault="00000000" w:rsidRPr="00000000" w14:paraId="0000005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 Bile Acids: Microbially-Modified Metabolic Regulators</w:t>
      </w:r>
    </w:p>
    <w:p w:rsidR="00000000" w:rsidDel="00000000" w:rsidP="00000000" w:rsidRDefault="00000000" w:rsidRPr="00000000" w14:paraId="0000005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bile acids (BAs), synthesized from cholesterol in the liver, are extensively modified by gut bacteria into secondary bile acids, creating a diverse pool of signaling molecules.</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Specific bacterial taxa, notably Clostridium scindens and other members of the Clostridium cluster XVIa, perform 7α-dehydroxylation, converting primary BAs like cholic acid into secondary BAs like deoxycholic acid (DCA) (Chiang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Mechanisms of Action: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Bile acids are endogenous ligands for several host receptors: Nuclear Receptor FXR (Farnesoid X Receptor) regulates BA homeostasis, glucose metabolism, and lipid metabolism. The activation of GPCR TGR5 (G Protein-coupled Bile Acid Receptor 1) stimulates GLP-1 secretion, energy expenditure, and has anti-inflammatory effects.</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Physiological Impacts and Therapeutic Potential: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microbiome-dependent composition of the BA pool significantly influences metabolic health. An altered BA profile is linked to insulin resistance and non-alcoholic fatty liver disease (NAFLD). FXR agonists are already in clinical development for NAFLD, highlighting the therapeutic relevance of this microbial pathway (Chiang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w:t>
      </w:r>
    </w:p>
    <w:p w:rsidR="00000000" w:rsidDel="00000000" w:rsidP="00000000" w:rsidRDefault="00000000" w:rsidRPr="00000000" w14:paraId="0000005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3.4. Neuroactive Metabolites: </w:t>
      </w:r>
      <w:r w:rsidDel="00000000" w:rsidR="00000000" w:rsidRPr="00000000">
        <w:rPr>
          <w:rFonts w:ascii="Times New Roman" w:cs="Times New Roman" w:eastAsia="Times New Roman" w:hAnsi="Times New Roman"/>
          <w:sz w:val="24"/>
          <w:szCs w:val="24"/>
          <w:rtl w:val="0"/>
        </w:rPr>
        <w:t xml:space="preserve">Chemical Messengers of the Gut-Brain Axis</w:t>
      </w:r>
    </w:p>
    <w:p w:rsidR="00000000" w:rsidDel="00000000" w:rsidP="00000000" w:rsidRDefault="00000000" w:rsidRPr="00000000" w14:paraId="0000005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Gut microbes can synthesize and consume neurotransmitters and their precursors, providing a direct biochemical pathway for microbial influence on the central nervous system.</w:t>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GABA (Gamma-aminobutyric acid): Produced by strains of Lactobacillus and Bifidobacterium (Strandwitz</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Norepinephrine is produced by strains of Escherichia and Bacillus. Gut microbes influence the production of serotonin (5-HT) in the host, as a significant portion of the body's 5-HT is synthesized in enterochromaffin cells of the gut.</w:t>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Physiological Impacts and Therapeutic Potential: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findings provide a mechanistic basis for the observed links between the gut microbiota and anxiety, depression, and stress-related disorders. Probiotics targeting the production of these neuroactive compounds ("psychobiotics") are an area of active investigation (Strandwitz</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Challenges and Future Perspectives</w:t>
      </w:r>
    </w:p>
    <w:p w:rsidR="00000000" w:rsidDel="00000000" w:rsidP="00000000" w:rsidRDefault="00000000" w:rsidRPr="00000000" w14:paraId="0000005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potential of the human microbiome as a source of novel therapeutics is immense, yet the path from discovery to clinical application is fraught with unique challenges that stem from the ecosystem's inherent complexity. Successfully navigating this landscape requires a clear understanding of these hurdles and a vision for the technologies and approaches that will overcome them. This section outlines the major bottlenecks in the field and the promising strategies being developed to address them.</w:t>
      </w:r>
    </w:p>
    <w:p w:rsidR="00000000" w:rsidDel="00000000" w:rsidP="00000000" w:rsidRDefault="00000000" w:rsidRPr="00000000" w14:paraId="0000005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Key Challenges in Microbiome Drug Discovery</w:t>
      </w:r>
    </w:p>
    <w:p w:rsidR="00000000" w:rsidDel="00000000" w:rsidP="00000000" w:rsidRDefault="00000000" w:rsidRPr="00000000" w14:paraId="0000005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Establishing Causality in Human Health and Disease:</w:t>
      </w:r>
    </w:p>
    <w:p w:rsidR="00000000" w:rsidDel="00000000" w:rsidP="00000000" w:rsidRDefault="00000000" w:rsidRPr="00000000" w14:paraId="0000006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gnotobiotic mouse models provide powerful evidence for causation, translating these findings to humans remains a significant obstacle. The complexity of human genetics, diet, lifestyle, and microbial community structure is immense and cannot be fully recapitulated in animal models. As highlighted by Walter et al. (2020), findings from gnotobiotic studies must be interpreted cautiously, as microbial effects can be exaggerated in the simplified systems of germ-free animal. Demonstrating that a specific microbial metabolite is both necessary and sufficient for a health effect in humans requires large-scale, longitudinal, and interventional studies that are costly and time-consuming.</w:t>
      </w:r>
    </w:p>
    <w:p w:rsidR="00000000" w:rsidDel="00000000" w:rsidP="00000000" w:rsidRDefault="00000000" w:rsidRPr="00000000" w14:paraId="00000061">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Inter-individual Variability and Context Dependency:</w:t>
      </w:r>
    </w:p>
    <w:p w:rsidR="00000000" w:rsidDel="00000000" w:rsidP="00000000" w:rsidRDefault="00000000" w:rsidRPr="00000000" w14:paraId="0000006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effects of a microbiome-derived molecule are not universal. A primary challenge is the profound influence of the host's genetic background, baseline microbiota composition, and dietary patterns on the activity of any single metabolite. This variability poses a significant challenge for the development of one-size-fits-all therapeutics. Yan et al. (2020) demonstrated that the production of a bioactive lipid was exclusive to a specific strain of Bacteroides fragilis, and its impact was dependent on the surrounding microbial community, underscoring the exquisite context-dependency of microbe-derived bioactivity (Yan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This necessitates a move towards personalized approaches.</w:t>
      </w:r>
    </w:p>
    <w:p w:rsidR="00000000" w:rsidDel="00000000" w:rsidP="00000000" w:rsidRDefault="00000000" w:rsidRPr="00000000" w14:paraId="0000006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Strain-Level Specificity of Bioactivity:</w:t>
      </w:r>
    </w:p>
    <w:p w:rsidR="00000000" w:rsidDel="00000000" w:rsidP="00000000" w:rsidRDefault="00000000" w:rsidRPr="00000000" w14:paraId="0000006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Zou et al. study exemplifies, bioactive compound production is often not a species-level trait but is specific to particular bacterial strains (Yan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A beneficial molecule may be produced by only a subset of strains within a species, while others may produce different compounds or none at all. This demands high-resolution, strain-level analysis during discovery and careful selection of microbial candidates for therapeutic development, moving beyond 16S rRNA gene sequencing to deeper metagenomic and culturomic approaches.</w:t>
      </w:r>
    </w:p>
    <w:p w:rsidR="00000000" w:rsidDel="00000000" w:rsidP="00000000" w:rsidRDefault="00000000" w:rsidRPr="00000000" w14:paraId="0000006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Pharmacological and Manufacturing Hurdles:</w:t>
      </w:r>
    </w:p>
    <w:p w:rsidR="00000000" w:rsidDel="00000000" w:rsidP="00000000" w:rsidRDefault="00000000" w:rsidRPr="00000000" w14:paraId="0000006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Delivery and Stability: Many microbial metabolites are unstable in the gastrointestinal tract or have poor oral bioavailability. Ensuring that a sufficient concentration reaches the target site of action in the host may require sophisticated formulation strategies.</w:t>
      </w:r>
    </w:p>
    <w:p w:rsidR="00000000" w:rsidDel="00000000" w:rsidP="00000000" w:rsidRDefault="00000000" w:rsidRPr="00000000" w14:paraId="0000006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Manufacturing: If the therapeutic is a purified metabolite, scaling up its production from bacterial fermentation or complex chemical synthesis can be challenging. If the therapeutic is a live bacterial strain (a probiotic), ensuring its viability, stability, and consistent potency through manufacturing and storage is a critical barrier to clinical translation.</w:t>
      </w:r>
    </w:p>
    <w:p w:rsidR="00000000" w:rsidDel="00000000" w:rsidP="00000000" w:rsidRDefault="00000000" w:rsidRPr="00000000" w14:paraId="0000006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Future Perspectives and Emerging Solutions</w:t>
      </w:r>
    </w:p>
    <w:p w:rsidR="00000000" w:rsidDel="00000000" w:rsidP="00000000" w:rsidRDefault="00000000" w:rsidRPr="00000000" w14:paraId="0000006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field is rapidly evolving to address these challenges through technological innovation and novel therapeutic paradigms.</w:t>
      </w:r>
    </w:p>
    <w:p w:rsidR="00000000" w:rsidDel="00000000" w:rsidP="00000000" w:rsidRDefault="00000000" w:rsidRPr="00000000" w14:paraId="0000006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Advanced Culturomics and Single-Cell Genomics:</w:t>
      </w:r>
    </w:p>
    <w:p w:rsidR="00000000" w:rsidDel="00000000" w:rsidP="00000000" w:rsidRDefault="00000000" w:rsidRPr="00000000" w14:paraId="0000006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techniques using specialized growth media, co-culture systems, and microbial chip devices are expanding the boundaries of what is culturable. Lagier et al. (2016) demonstrated the power of "culturomics," using a wide array of culture conditions to isolate hundreds of previously uncultured bacterial species from the human gut. Coupled with single-cell genomics, which can sequence the DNA of individual uncultured cells, these methods are illuminating the functional potential of the "microbial dark matter," providing new candidates for discovery.</w:t>
      </w:r>
    </w:p>
    <w:p w:rsidR="00000000" w:rsidDel="00000000" w:rsidP="00000000" w:rsidRDefault="00000000" w:rsidRPr="00000000" w14:paraId="0000006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Synthetic Biology and Engineered Live Biotherapeutics:</w:t>
      </w:r>
    </w:p>
    <w:p w:rsidR="00000000" w:rsidDel="00000000" w:rsidP="00000000" w:rsidRDefault="00000000" w:rsidRPr="00000000" w14:paraId="0000006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promising future direction lies in engineering well-characterized, safe bacterial chassis to produce and deliver therapeutic molecules directly in the gut. Mimee et al. (2016) outlined the potential of these engineered live biotherapeutics, which can be designed to sense their environment and respond by producing a drug only when needed, creating a self-regulating delivery system for treating chronic conditions. This approach can circumvent challenges of bioavailability and stability.</w:t>
      </w:r>
    </w:p>
    <w:p w:rsidR="00000000" w:rsidDel="00000000" w:rsidP="00000000" w:rsidRDefault="00000000" w:rsidRPr="00000000" w14:paraId="0000006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Integrated Multi-omics and Artificial Intelligence:</w:t>
      </w:r>
    </w:p>
    <w:p w:rsidR="00000000" w:rsidDel="00000000" w:rsidP="00000000" w:rsidRDefault="00000000" w:rsidRPr="00000000" w14:paraId="0000007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massive multi-omics datasets is increasingly relying on machine learning and AI. These tools can predict the functions of unknown genes, identify novel correlations, and generate testable hypotheses about mechanisms of action at a scale impossible for humans. For example, Li et al. (2022) used machine learning to predict microbiome metabolic responses to diet, showcasing the power of AI to manage complexity and personalize interventions. AI will be crucial for stratifying patient populations to identify those most likely to respond to a specific therapy.</w:t>
      </w:r>
    </w:p>
    <w:p w:rsidR="00000000" w:rsidDel="00000000" w:rsidP="00000000" w:rsidRDefault="00000000" w:rsidRPr="00000000" w14:paraId="0000007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Targeted Modulation with Prebiotics and Phages:</w:t>
      </w:r>
    </w:p>
    <w:p w:rsidR="00000000" w:rsidDel="00000000" w:rsidP="00000000" w:rsidRDefault="00000000" w:rsidRPr="00000000" w14:paraId="0000007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Instead of administering a molecule or a bacterium, an alternative strategy is to precisely modulate the existing microbiome to enhance the growth of beneficial, metabolite-producing taxa. This can be achieved through next-generation prebiotics (complex carbohydrates designed for specific taxa) or bacteriophage therapy to selectively deplete pathobionts, thereby allowing beneficial taxa to flourish and restore a healthy ecosystem.</w:t>
      </w:r>
    </w:p>
    <w:p w:rsidR="00000000" w:rsidDel="00000000" w:rsidP="00000000" w:rsidRDefault="00000000" w:rsidRPr="00000000" w14:paraId="0000007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 microbiome represents a paradigm shift in our understanding of human biology and a frontier of unprecedented opportunity for therapeutic discovery. This review has articulated the compelling case for harnessing the metabolic output of our microbial inhabitants a vast, evolutionarily refined pharmacopoeia of small molecules that directly modulate host physiology. We have outlined a systematic pipeline for mining this resource, moving from multi-omics correlations to functional validation and mechanistic characterization, which has already yielded groundbreaking insights.</w:t>
      </w:r>
    </w:p>
    <w:p w:rsidR="00000000" w:rsidDel="00000000" w:rsidP="00000000" w:rsidRDefault="00000000" w:rsidRPr="00000000" w14:paraId="0000007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key classes of bacterially-derived metabolites including short-chain fatty acids, tryptophan derivatives, bile acids, and neuroactive compounds demonstrate that the microbiome functions as a virtual endocrine organ, influencing systemic metabolism, immunity, and even cognitive function through well-defined molecular targets like GPCRs, nuclear receptors, and epigenetic enzymes. However, the path from discovery to clinic is not without significant challenges. The inherent complexity of the ecosystem, marked by inter-individual variability, strain-specific effects, and context-dependent bioactivity, demands a sophisticated approach that moves beyond one-size-fits-all solutions.</w:t>
      </w:r>
    </w:p>
    <w:p w:rsidR="00000000" w:rsidDel="00000000" w:rsidP="00000000" w:rsidRDefault="00000000" w:rsidRPr="00000000" w14:paraId="0000007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future of microbiome-based drug discovery lies in embracing this complexity. Emerging strategies such as advanced culturomics, synthetic biology for engineered live biotherapeutics, and AI-driven analysis of multi-omics datasets provide the tools to overcome these hurdles. The goal is evolving from simply altering microbial composition to intelligently manipulating its chemical dialogue with the host. This may involve administering purified postbiotics, consortia of beneficial strains, or engineered microbes that produce therapeutics in situ in a regulated manner.</w:t>
      </w:r>
    </w:p>
    <w:p w:rsidR="00000000" w:rsidDel="00000000" w:rsidP="00000000" w:rsidRDefault="00000000" w:rsidRPr="00000000" w14:paraId="0000007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07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exploration of the human microbiome is transitioning from a descriptive to a functional and therapeutic discipline. By deciphering the chemical language of our microbial selves, we are poised to develop a new generation of targeted, effective, and personalized medicines. The greatest promise may lie not in a single magic bullet, but in therapies that restore the healthy, resilient ecological balance of the superorganism we call the human body, ultimately leading to novel treatments for a wide spectrum of chronic diseases.</w:t>
      </w:r>
    </w:p>
    <w:p w:rsidR="00000000" w:rsidDel="00000000" w:rsidP="00000000" w:rsidRDefault="00000000" w:rsidRPr="00000000" w14:paraId="0000007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hd w:fill="ffffff" w:val="clea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rPr>
          <w:rFonts w:ascii="Calibri" w:cs="Calibri" w:eastAsia="Calibri" w:hAnsi="Calibri"/>
          <w:highlight w:val="yellow"/>
        </w:rPr>
      </w:pPr>
      <w:bookmarkStart w:colFirst="0" w:colLast="0" w:name="_heading=h.jbm9o3wrnl4w" w:id="0"/>
      <w:bookmarkEnd w:id="0"/>
      <w:r w:rsidDel="00000000" w:rsidR="00000000" w:rsidRPr="00000000">
        <w:rPr>
          <w:rFonts w:ascii="Calibri" w:cs="Calibri" w:eastAsia="Calibri" w:hAnsi="Calibri"/>
          <w:highlight w:val="yellow"/>
          <w:rtl w:val="0"/>
        </w:rPr>
        <w:t xml:space="preserve">Disclaimer (Artificial intelligence)</w:t>
      </w:r>
    </w:p>
    <w:p w:rsidR="00000000" w:rsidDel="00000000" w:rsidP="00000000" w:rsidRDefault="00000000" w:rsidRPr="00000000" w14:paraId="0000007D">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Option 1: </w:t>
      </w:r>
      <w:r w:rsidDel="00000000" w:rsidR="00000000" w:rsidRPr="00000000">
        <w:rPr>
          <w:highlight w:val="yellow"/>
          <w:rtl w:val="0"/>
        </w:rPr>
        <w:t xml:space="preserve">Author(s) hereby declare that NO generative AI technologies such as Large Language Models (ChatGPT, COPILOT, etc.) and text-to-image generators have been used during the writing or editing of this manuscript. </w:t>
        <w:br w:type="textWrapping"/>
        <w:br w:type="textWrapping"/>
      </w:r>
      <w:r w:rsidDel="00000000" w:rsidR="00000000" w:rsidRPr="00000000">
        <w:rPr>
          <w:rtl w:val="0"/>
        </w:rPr>
      </w:r>
    </w:p>
    <w:p w:rsidR="00000000" w:rsidDel="00000000" w:rsidP="00000000" w:rsidRDefault="00000000" w:rsidRPr="00000000" w14:paraId="0000007E">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07F">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Option 2: </w:t>
      </w:r>
    </w:p>
    <w:p w:rsidR="00000000" w:rsidDel="00000000" w:rsidP="00000000" w:rsidRDefault="00000000" w:rsidRPr="00000000" w14:paraId="00000080">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Author(s) hereby declare that generative AI technologies such as Large Language Models, etc. have been used during the witing or editing of manuscripts. This explanation will include the name, version, model, and source of the generative AI technology and as well as all input prompts provided to the generative AI technology</w:t>
      </w:r>
    </w:p>
    <w:p w:rsidR="00000000" w:rsidDel="00000000" w:rsidP="00000000" w:rsidRDefault="00000000" w:rsidRPr="00000000" w14:paraId="00000081">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Details of the AI usage are given below:</w:t>
      </w:r>
    </w:p>
    <w:p w:rsidR="00000000" w:rsidDel="00000000" w:rsidP="00000000" w:rsidRDefault="00000000" w:rsidRPr="00000000" w14:paraId="00000082">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1.</w:t>
      </w:r>
    </w:p>
    <w:p w:rsidR="00000000" w:rsidDel="00000000" w:rsidP="00000000" w:rsidRDefault="00000000" w:rsidRPr="00000000" w14:paraId="00000083">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2.</w:t>
      </w:r>
    </w:p>
    <w:p w:rsidR="00000000" w:rsidDel="00000000" w:rsidP="00000000" w:rsidRDefault="00000000" w:rsidRPr="00000000" w14:paraId="00000084">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3.</w:t>
      </w:r>
    </w:p>
    <w:p w:rsidR="00000000" w:rsidDel="00000000" w:rsidP="00000000" w:rsidRDefault="00000000" w:rsidRPr="00000000" w14:paraId="00000085">
      <w:pPr>
        <w:spacing w:line="480" w:lineRule="auto"/>
        <w:jc w:val="both"/>
        <w:rPr>
          <w:rFonts w:ascii="Times New Roman" w:cs="Times New Roman" w:eastAsia="Times New Roman" w:hAnsi="Times New Roman"/>
          <w:sz w:val="24"/>
          <w:szCs w:val="24"/>
        </w:rPr>
      </w:pPr>
      <w:bookmarkStart w:colFirst="0" w:colLast="0" w:name="_heading=h.mr6stcuomfc5" w:id="1"/>
      <w:bookmarkEnd w:id="1"/>
      <w:r w:rsidDel="00000000" w:rsidR="00000000" w:rsidRPr="00000000">
        <w:rPr>
          <w:rtl w:val="0"/>
        </w:rPr>
      </w:r>
    </w:p>
    <w:p w:rsidR="00000000" w:rsidDel="00000000" w:rsidP="00000000" w:rsidRDefault="00000000" w:rsidRPr="00000000" w14:paraId="0000008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8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Chiang, John YL, and Jessica M. Ferrell (2018). "Bile acid metabolism in liver pathobiology." Gene expression 18.2 :71.</w:t>
      </w:r>
    </w:p>
    <w:p w:rsidR="00000000" w:rsidDel="00000000" w:rsidP="00000000" w:rsidRDefault="00000000" w:rsidRPr="00000000" w14:paraId="0000008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Chunarkar-Patil, P., Kaleem, M., Mishra, R., Ray, S., Ahmad, A., Verma, D., ... &amp; Kumar, S. (2024). Anticancer drug discovery based on natural products: from computational approaches to clinical studies. Biomedicines, 12(1), 201.</w:t>
      </w:r>
    </w:p>
    <w:p w:rsidR="00000000" w:rsidDel="00000000" w:rsidP="00000000" w:rsidRDefault="00000000" w:rsidRPr="00000000" w14:paraId="0000008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Dodd, D., Spitzer, M. H., Van Treuren, W., Merrill, B. D., Hryckowian, A. J., Higginbottom, S. K., ... &amp; Sonnenburg, J. L. (2017). A gut bacterial pathway metabolizes aromatic amino acids into nine circulating metabolites. Nature, 551(7682), 648-652.</w:t>
      </w:r>
    </w:p>
    <w:p w:rsidR="00000000" w:rsidDel="00000000" w:rsidP="00000000" w:rsidRDefault="00000000" w:rsidRPr="00000000" w14:paraId="0000008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Fellows, R., Denizot, J., Stellato, C., Cuomo, A., Jain, P., Stoyanova, E., ... &amp; Varga-Weisz, P. (2018). Microbiota derived short chain fatty acids promote histone crotonylation in the colon through histone deacetylases. Nature communications, 9(1), 105.</w:t>
      </w:r>
    </w:p>
    <w:p w:rsidR="00000000" w:rsidDel="00000000" w:rsidP="00000000" w:rsidRDefault="00000000" w:rsidRPr="00000000" w14:paraId="0000008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Ferris, Z. E. (2023). Bacterially Derived Secondary Metabolites and Their Impact on Inflammation and Cancer (Doctoral dissertation, University of South Carolina).</w:t>
      </w:r>
    </w:p>
    <w:p w:rsidR="00000000" w:rsidDel="00000000" w:rsidP="00000000" w:rsidRDefault="00000000" w:rsidRPr="00000000" w14:paraId="0000008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Fock, E., &amp; Parnova, R. (2023). Mechanisms of blood–brain barrier protection by microbiota-derived short-chain fatty acids. Cells, 12(4), 657.</w:t>
      </w:r>
    </w:p>
    <w:p w:rsidR="00000000" w:rsidDel="00000000" w:rsidP="00000000" w:rsidRDefault="00000000" w:rsidRPr="00000000" w14:paraId="0000008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Gilbert, J. A., Blaser, M. J., Caporaso, J. G., Jansson, J. K., Lynch, S. V., &amp; Knight, R. (2018). Current understanding of the human microbiome. Nature medicine, 24(4), 392-400.</w:t>
      </w:r>
    </w:p>
    <w:p w:rsidR="00000000" w:rsidDel="00000000" w:rsidP="00000000" w:rsidRDefault="00000000" w:rsidRPr="00000000" w14:paraId="0000008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Grant, E. T., De Franco, H., &amp; Desai, M. S. (2025). Non-SCFA microbial metabolites associated with fiber fermentation and host health. Trends in Endocrinology &amp; Metabolism, 36(1), 70-82.</w:t>
      </w:r>
    </w:p>
    <w:p w:rsidR="00000000" w:rsidDel="00000000" w:rsidP="00000000" w:rsidRDefault="00000000" w:rsidRPr="00000000" w14:paraId="0000008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Iliev, I. D., Ananthakrishnan, A. N., &amp; Guo, C. J. (2025). Microbiota in inflammatory bowel disease: mechanisms of disease and therapeutic opportunities. Nature Reviews Microbiology, 1-16.</w:t>
      </w:r>
    </w:p>
    <w:p w:rsidR="00000000" w:rsidDel="00000000" w:rsidP="00000000" w:rsidRDefault="00000000" w:rsidRPr="00000000" w14:paraId="0000009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 H., Nelson, P., Nzabarushimana, E., Shen, J., Jensen, J., Bhosle, A., ... &amp; Nguyen, L. H. (2025). Multi-omic analysis reveals transkingdom gut dysbiosis in metabolic dysfunction-associated steatotic liver disease. Nature Metabolism, 1-17.</w:t>
      </w:r>
    </w:p>
    <w:p w:rsidR="00000000" w:rsidDel="00000000" w:rsidP="00000000" w:rsidRDefault="00000000" w:rsidRPr="00000000" w14:paraId="0000009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Krautkramer, K. A., Fan, J., &amp; Bäckhed, F. (2021). Gut microbial metabolites as multi-kingdom intermediates. Nature Reviews Microbiology, 19(2), 77-94.</w:t>
      </w:r>
    </w:p>
    <w:p w:rsidR="00000000" w:rsidDel="00000000" w:rsidP="00000000" w:rsidRDefault="00000000" w:rsidRPr="00000000" w14:paraId="0000009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Lagier, J. C., Khelaifia, S., Alou, M. T., Ndongo, S., Dione, N., Hugon, P., ... &amp; Raoult, D. (2016). Culture of previously uncultured members of the human gut microbiota by culturomics. Nature microbiology, 1(12).</w:t>
      </w:r>
    </w:p>
    <w:p w:rsidR="00000000" w:rsidDel="00000000" w:rsidP="00000000" w:rsidRDefault="00000000" w:rsidRPr="00000000" w14:paraId="0000009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 P., Luo, H., Ji, B., &amp; Nielsen, J. (2022). Machine learning for data integration in human gut microbiome. Microbial Cell Factories, 21(1), 241.</w:t>
      </w:r>
    </w:p>
    <w:p w:rsidR="00000000" w:rsidDel="00000000" w:rsidP="00000000" w:rsidRDefault="00000000" w:rsidRPr="00000000" w14:paraId="0000009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 X. (2022). Recent advances in mass spectrometry-based structural elucidation techniques. Molecules, 27(19), 6466.</w:t>
      </w:r>
    </w:p>
    <w:p w:rsidR="00000000" w:rsidDel="00000000" w:rsidP="00000000" w:rsidRDefault="00000000" w:rsidRPr="00000000" w14:paraId="0000009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 J., Johnson, J., Hosking, H., Hoyos, B. E., Walsh, K. B., Neilsen, P., &amp; Naiker, M. (2022). Bioassay guided fractionation protocol for determining novel active compounds in selected Australian flora. Plants, 11(21), 2886.</w:t>
      </w:r>
    </w:p>
    <w:p w:rsidR="00000000" w:rsidDel="00000000" w:rsidP="00000000" w:rsidRDefault="00000000" w:rsidRPr="00000000" w14:paraId="0000009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Mukhopadhya, I., &amp; Louis, P. (2025). Gut microbiota-derived short-chain fatty acids and their role in human health and disease. Nature Reviews Microbiology, 1-17.</w:t>
      </w:r>
    </w:p>
    <w:p w:rsidR="00000000" w:rsidDel="00000000" w:rsidP="00000000" w:rsidRDefault="00000000" w:rsidRPr="00000000" w14:paraId="0000009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Park, Sun-Yang, Chitong Rao, Katharine Z. Coyte, Gavin A. Kuziel, Yancong Zhang, Wentao Huang, Eric A. Franzosa, Jing-Ke Weng, Curtis Huttenhower, and Seth Rakoff-Nahoum.(2022):  "Strain-level fitness in the gut microbiome is an emergent property of glycans and a single metabolite." Cell 185, no. 3: 513-529.</w:t>
      </w:r>
    </w:p>
    <w:p w:rsidR="00000000" w:rsidDel="00000000" w:rsidP="00000000" w:rsidRDefault="00000000" w:rsidRPr="00000000" w14:paraId="0000009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Pateriya, D., Prasoodanan PK, V., Scaria, J., &amp; Sharma, V. K. (2025). Landscape of flavonoid metabolism in human gut microbiome and its association with health and disease. Gut Microbes Reports, 2(1), 2520788.</w:t>
      </w:r>
    </w:p>
    <w:p w:rsidR="00000000" w:rsidDel="00000000" w:rsidP="00000000" w:rsidRDefault="00000000" w:rsidRPr="00000000" w14:paraId="0000009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Pires, L., Gonzalez-Paramás, A. M., Heleno, S. A., &amp; Calhelha, R. C. (2024). Gut Microbiota as an Endocrine Organ: Unveiling Its Role in Human Physiology and Health. Applied Sciences, 14(20), 9383. https://doi.org/10.3390/app14209383</w:t>
      </w:r>
    </w:p>
    <w:p w:rsidR="00000000" w:rsidDel="00000000" w:rsidP="00000000" w:rsidRDefault="00000000" w:rsidRPr="00000000" w14:paraId="0000009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Rivière, A., Selak, M., Lantin, D., Leroy, F., &amp; De Vuyst, L. (2016). Bifidobacteria and butyrate-producing colon bacteria: importance and strategies for their stimulation in the human gut. Frontiers in microbiology, 7, 979.</w:t>
      </w:r>
    </w:p>
    <w:p w:rsidR="00000000" w:rsidDel="00000000" w:rsidP="00000000" w:rsidRDefault="00000000" w:rsidRPr="00000000" w14:paraId="0000009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Rothhammer, V., &amp; Quintana, F. J. (2019). The aryl hydrocarbon receptor: an environmental sensor integrating immune responses in health and disease. Nature Reviews Immunology, 19(3), 184-197.</w:t>
      </w:r>
    </w:p>
    <w:p w:rsidR="00000000" w:rsidDel="00000000" w:rsidP="00000000" w:rsidRDefault="00000000" w:rsidRPr="00000000" w14:paraId="0000009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Rothhammer, V., Borucki, D. M., Tjon, E. C., Takenaka, M. C., Chao, C. C., Ardura-Fabregat, A., ... &amp; Quintana, F. J. (2018). Microglial control of astrocytes in response to microbial metabolites. Nature, 557(7707), 724-728.</w:t>
      </w:r>
    </w:p>
    <w:p w:rsidR="00000000" w:rsidDel="00000000" w:rsidP="00000000" w:rsidRDefault="00000000" w:rsidRPr="00000000" w14:paraId="0000009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Siddiqui, R., Soopramanien, M., Alharbi, A. M., Alfahemi, H., &amp; Khan, N. A. (2022). Novel sources of bioactive molecules: Gut microbiome of species routinely exposed to microorganisms. Veterinary Sciences, 9(8), 380.</w:t>
      </w:r>
    </w:p>
    <w:p w:rsidR="00000000" w:rsidDel="00000000" w:rsidP="00000000" w:rsidRDefault="00000000" w:rsidRPr="00000000" w14:paraId="0000009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Strandwitz, P., Kim, K. H., Terekhova, D., Liu, J. K., Sharma, A., Levering, J., ... &amp; Lewis, K. (2019). GABA-modulating bacteria of the human gut microbiota. Nature microbiology, 4(3), 396-403.</w:t>
      </w:r>
    </w:p>
    <w:p w:rsidR="00000000" w:rsidDel="00000000" w:rsidP="00000000" w:rsidRDefault="00000000" w:rsidRPr="00000000" w14:paraId="0000009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Strandwitz, P., Kim, K. H., Terekhova, D., Liu, J. K., Sharma, A., Levering, J., ... &amp; Lewis, K. (2019). GABA-modulating bacteria of the human gut microbiota. Nature microbiology, 4(3), 396-403.</w:t>
      </w:r>
    </w:p>
    <w:p w:rsidR="00000000" w:rsidDel="00000000" w:rsidP="00000000" w:rsidRDefault="00000000" w:rsidRPr="00000000" w14:paraId="000000A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Walter, J., Armet, A. M., Finlay, B. B., &amp; Shanahan, F. (2020). Establishing or exaggerating causality for the gut microbiome: lessons from human microbiota-associated rodents. Cell, 180(2), 221-232.</w:t>
      </w:r>
    </w:p>
    <w:p w:rsidR="00000000" w:rsidDel="00000000" w:rsidP="00000000" w:rsidRDefault="00000000" w:rsidRPr="00000000" w14:paraId="000000A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Wilkinson, I. V., Terstappen, G. C., &amp; Russell, A. J. (2020). Combining experimental strategies for successful target deconvolution. Drug Discovery Today, 25(11), 1998-2005.</w:t>
      </w:r>
    </w:p>
    <w:p w:rsidR="00000000" w:rsidDel="00000000" w:rsidP="00000000" w:rsidRDefault="00000000" w:rsidRPr="00000000" w14:paraId="000000A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Yan, Y., Nguyen, L. H., Franzosa, E. A., &amp; Huttenhower, C. (2020). Strain-level epidemiology of microbial communities and the human microbiome. Genome medicine, 12(1), 71.</w:t>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3" style="position:absolute;width:555.6pt;height:104.1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1" style="position:absolute;width:555.6pt;height:104.1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555.6pt;height:104.1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0"/>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294E2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294E2A"/>
    <w:pPr>
      <w:ind w:left="720"/>
      <w:contextualSpacing w:val="1"/>
    </w:pPr>
  </w:style>
  <w:style w:type="character" w:styleId="Hyperlink">
    <w:name w:val="Hyperlink"/>
    <w:basedOn w:val="DefaultParagraphFont"/>
    <w:uiPriority w:val="99"/>
    <w:unhideWhenUsed w:val="1"/>
    <w:rsid w:val="004D324A"/>
    <w:rPr>
      <w:color w:val="0563c1" w:themeColor="hyperlink"/>
      <w:u w:val="single"/>
    </w:rPr>
  </w:style>
  <w:style w:type="paragraph" w:styleId="Header">
    <w:name w:val="header"/>
    <w:basedOn w:val="Normal"/>
    <w:link w:val="HeaderChar"/>
    <w:uiPriority w:val="99"/>
    <w:unhideWhenUsed w:val="1"/>
    <w:rsid w:val="00CE6A2D"/>
    <w:pPr>
      <w:tabs>
        <w:tab w:val="center" w:pos="4680"/>
        <w:tab w:val="right" w:pos="9360"/>
      </w:tabs>
      <w:spacing w:after="0" w:line="240" w:lineRule="auto"/>
    </w:pPr>
  </w:style>
  <w:style w:type="character" w:styleId="HeaderChar" w:customStyle="1">
    <w:name w:val="Header Char"/>
    <w:basedOn w:val="DefaultParagraphFont"/>
    <w:link w:val="Header"/>
    <w:uiPriority w:val="99"/>
    <w:rsid w:val="00CE6A2D"/>
  </w:style>
  <w:style w:type="paragraph" w:styleId="Footer">
    <w:name w:val="footer"/>
    <w:basedOn w:val="Normal"/>
    <w:link w:val="FooterChar"/>
    <w:uiPriority w:val="99"/>
    <w:unhideWhenUsed w:val="1"/>
    <w:rsid w:val="00CE6A2D"/>
    <w:pPr>
      <w:tabs>
        <w:tab w:val="center" w:pos="4680"/>
        <w:tab w:val="right" w:pos="9360"/>
      </w:tabs>
      <w:spacing w:after="0" w:line="240" w:lineRule="auto"/>
    </w:pPr>
  </w:style>
  <w:style w:type="character" w:styleId="FooterChar" w:customStyle="1">
    <w:name w:val="Footer Char"/>
    <w:basedOn w:val="DefaultParagraphFont"/>
    <w:link w:val="Footer"/>
    <w:uiPriority w:val="99"/>
    <w:rsid w:val="00CE6A2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6SF3HbRXJqt5R0tgzf63BUWoMQ==">CgMxLjAyDmguamJtOW8zd3JubDR3Mg5oLm1yNnN0Y3VvbWZjNTgAciExek5rb2swUUlUOEFkV2RTWUJuTExETmRrV19yS2lIaVQ=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2025-09-26T19:02:00Z</dcterms:created>
  <dc:creator>Ayodele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2c232b5c-ceaa-4233-8b9d-7a5039e66dcb</vt:lpwstr>
  </property>
</Properties>
</file>