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E029" w14:textId="73F32CBE" w:rsidR="00020514" w:rsidRDefault="00020514" w:rsidP="00A70AAA">
      <w:pPr>
        <w:rPr>
          <w:rFonts w:ascii="Times New Roman" w:hAnsi="Times New Roman" w:cs="Times New Roman"/>
          <w:b/>
          <w:bCs/>
        </w:rPr>
      </w:pPr>
      <w:r w:rsidRPr="00020514">
        <w:rPr>
          <w:rFonts w:ascii="Times New Roman" w:hAnsi="Times New Roman" w:cs="Times New Roman"/>
          <w:b/>
          <w:bCs/>
        </w:rPr>
        <w:t>Development and Validation of the CHMSU Core Values Scale: A Culturally Relevant Psychometric Instrument for Higher Education</w:t>
      </w:r>
    </w:p>
    <w:p w14:paraId="7EEBA751" w14:textId="71A9A806" w:rsidR="00D2633F" w:rsidRDefault="00D2633F" w:rsidP="00A70AAA">
      <w:pPr>
        <w:rPr>
          <w:rFonts w:ascii="Times New Roman" w:hAnsi="Times New Roman" w:cs="Times New Roman"/>
        </w:rPr>
      </w:pPr>
    </w:p>
    <w:p w14:paraId="149FCFAA" w14:textId="77777777" w:rsidR="005644D2" w:rsidRPr="00D2633F" w:rsidRDefault="005644D2" w:rsidP="00A70AAA">
      <w:pPr>
        <w:rPr>
          <w:rFonts w:ascii="Times New Roman" w:hAnsi="Times New Roman" w:cs="Times New Roman"/>
        </w:rPr>
      </w:pPr>
    </w:p>
    <w:p w14:paraId="317EC291"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Abstract</w:t>
      </w:r>
    </w:p>
    <w:p w14:paraId="66FAFD21" w14:textId="7F352EAA" w:rsidR="00A70AAA" w:rsidRPr="00F0580C" w:rsidRDefault="000756E6" w:rsidP="000756E6">
      <w:pPr>
        <w:jc w:val="both"/>
        <w:rPr>
          <w:rFonts w:ascii="Times New Roman" w:hAnsi="Times New Roman" w:cs="Times New Roman"/>
        </w:rPr>
      </w:pPr>
      <w:r w:rsidRPr="000756E6">
        <w:rPr>
          <w:rFonts w:ascii="Times New Roman" w:hAnsi="Times New Roman" w:cs="Times New Roman"/>
          <w:lang w:val="en-US"/>
        </w:rPr>
        <w:t xml:space="preserve">In the Philippine higher education setting, particularly within public universities like </w:t>
      </w:r>
      <w:r w:rsidR="00167435" w:rsidRPr="00167435">
        <w:rPr>
          <w:rFonts w:ascii="Times New Roman" w:hAnsi="Times New Roman" w:cs="Times New Roman"/>
          <w:lang w:val="en-US"/>
        </w:rPr>
        <w:t>Carlos Hilado Memorial State University (CHMSU)</w:t>
      </w:r>
      <w:r w:rsidRPr="000756E6">
        <w:rPr>
          <w:rFonts w:ascii="Times New Roman" w:hAnsi="Times New Roman" w:cs="Times New Roman"/>
          <w:lang w:val="en-US"/>
        </w:rPr>
        <w:t xml:space="preserve">, indigenous approaches to value assessment remain limited. </w:t>
      </w:r>
      <w:r w:rsidR="00F0580C" w:rsidRPr="00F0580C">
        <w:rPr>
          <w:rFonts w:ascii="Times New Roman" w:hAnsi="Times New Roman" w:cs="Times New Roman"/>
          <w:highlight w:val="yellow"/>
          <w:lang w:val="en-US"/>
        </w:rPr>
        <w:t xml:space="preserve">This study aimed to develop and </w:t>
      </w:r>
      <w:r w:rsidR="00F0580C">
        <w:rPr>
          <w:rFonts w:ascii="Times New Roman" w:hAnsi="Times New Roman" w:cs="Times New Roman"/>
          <w:highlight w:val="yellow"/>
          <w:lang w:val="en-US"/>
        </w:rPr>
        <w:t xml:space="preserve">standardize </w:t>
      </w:r>
      <w:r w:rsidR="00F0580C" w:rsidRPr="00F0580C">
        <w:rPr>
          <w:rFonts w:ascii="Times New Roman" w:hAnsi="Times New Roman" w:cs="Times New Roman"/>
          <w:highlight w:val="yellow"/>
          <w:lang w:val="en-US"/>
        </w:rPr>
        <w:t>the Expected CHMSU Core Values Scale (ECCV-S), a culturally contextualized instrument to measure students’ internalization of the university’s core values—Excellence, Compassion, Environmentalism, Love of Country, Social Responsibility, Integrity, Openness, and Resilience. Using a mixed-methods design, qualitative data from focus groups guided item generation, while quantitative data established content validity, construct validity through Confirmatory Factor Analysis, and reliability. The scale demonstrated strong psychometric properties, with excellent fit indices and high internal consistency. Its application can inform institutional policies and programs fostering value development among students, thereby advancing holistic higher education outcomes.</w:t>
      </w:r>
    </w:p>
    <w:p w14:paraId="45CDCDA1" w14:textId="3C466BB3" w:rsidR="00A70AAA" w:rsidRPr="00A70AAA" w:rsidRDefault="00A70AAA" w:rsidP="00AD25E2">
      <w:pPr>
        <w:jc w:val="both"/>
        <w:rPr>
          <w:rFonts w:ascii="Times New Roman" w:hAnsi="Times New Roman" w:cs="Times New Roman"/>
        </w:rPr>
      </w:pPr>
      <w:r w:rsidRPr="00A70AAA">
        <w:rPr>
          <w:rFonts w:ascii="Times New Roman" w:hAnsi="Times New Roman" w:cs="Times New Roman"/>
          <w:b/>
          <w:bCs/>
        </w:rPr>
        <w:t>Keywords:</w:t>
      </w:r>
      <w:r w:rsidRPr="00A70AAA">
        <w:rPr>
          <w:rFonts w:ascii="Times New Roman" w:hAnsi="Times New Roman" w:cs="Times New Roman"/>
        </w:rPr>
        <w:t xml:space="preserve"> CHMSU</w:t>
      </w:r>
      <w:r w:rsidR="00C7357E">
        <w:rPr>
          <w:rFonts w:ascii="Times New Roman" w:hAnsi="Times New Roman" w:cs="Times New Roman"/>
        </w:rPr>
        <w:t xml:space="preserve"> </w:t>
      </w:r>
      <w:r w:rsidRPr="00A70AAA">
        <w:rPr>
          <w:rFonts w:ascii="Times New Roman" w:hAnsi="Times New Roman" w:cs="Times New Roman"/>
        </w:rPr>
        <w:t>Core Values, test development, psychometrics, scale validation, higher education, item response theory</w:t>
      </w:r>
    </w:p>
    <w:p w14:paraId="03566FE2" w14:textId="77777777" w:rsidR="00A70AAA" w:rsidRPr="00A70AAA" w:rsidRDefault="00A70AAA" w:rsidP="00AD25E2">
      <w:pPr>
        <w:jc w:val="both"/>
        <w:rPr>
          <w:rFonts w:ascii="Times New Roman" w:hAnsi="Times New Roman" w:cs="Times New Roman"/>
        </w:rPr>
      </w:pPr>
    </w:p>
    <w:p w14:paraId="260EF523" w14:textId="77777777" w:rsidR="00A70AAA" w:rsidRPr="00A70AAA" w:rsidRDefault="00DA613E" w:rsidP="00A70AAA">
      <w:pPr>
        <w:rPr>
          <w:rFonts w:ascii="Times New Roman" w:hAnsi="Times New Roman" w:cs="Times New Roman"/>
          <w:b/>
          <w:bCs/>
        </w:rPr>
      </w:pPr>
      <w:r>
        <w:rPr>
          <w:rFonts w:ascii="Times New Roman" w:hAnsi="Times New Roman" w:cs="Times New Roman"/>
          <w:b/>
          <w:bCs/>
        </w:rPr>
        <w:t>INTRODUCTION</w:t>
      </w:r>
    </w:p>
    <w:p w14:paraId="26DF16DC" w14:textId="77777777" w:rsidR="00A70AAA" w:rsidRPr="00A70AAA" w:rsidRDefault="00A70AAA" w:rsidP="00A208E9">
      <w:pPr>
        <w:ind w:firstLine="720"/>
        <w:jc w:val="both"/>
        <w:rPr>
          <w:rFonts w:ascii="Times New Roman" w:hAnsi="Times New Roman" w:cs="Times New Roman"/>
        </w:rPr>
      </w:pPr>
      <w:r w:rsidRPr="00A70AAA">
        <w:rPr>
          <w:rFonts w:ascii="Times New Roman" w:hAnsi="Times New Roman" w:cs="Times New Roman"/>
        </w:rPr>
        <w:t xml:space="preserve">Higher education institutions (HEIs) are expected to nurture not only intellectual competence but also moral and civic responsibility among students. Within this context, Carlos Hilado Memorial State University (CHMSU) promotes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framework—Excellence, Compassion, Environmentalism, Love of Country, Social Responsibility, Integrity, Openness, and Resilience—as its guiding core values. These principles embody CHMSU’s vision of forming graduates who are academically capable, ethically grounded, and socially responsible. However, despite the centrality of these values in university life, there has been no validated scale to assess how deeply students internalize and exhibit them. The absence of such a measure limits the institution’s ability to evaluate value formation outcomes in a systematic and psychometrically sound manner.</w:t>
      </w:r>
    </w:p>
    <w:p w14:paraId="577CB2EA" w14:textId="61084A0F" w:rsidR="00A70AAA" w:rsidRPr="00F0580C" w:rsidRDefault="00A70AAA" w:rsidP="00A208E9">
      <w:pPr>
        <w:ind w:firstLine="720"/>
        <w:jc w:val="both"/>
        <w:rPr>
          <w:rFonts w:ascii="Times New Roman" w:hAnsi="Times New Roman" w:cs="Times New Roman"/>
          <w:bCs/>
        </w:rPr>
      </w:pPr>
      <w:r w:rsidRPr="00A70AAA">
        <w:rPr>
          <w:rFonts w:ascii="Times New Roman" w:hAnsi="Times New Roman" w:cs="Times New Roman"/>
        </w:rPr>
        <w:t>Values are considered latent psychological constructs that influence thought, emotion, and behavior (Rokeach, 1973; Schwartz, 1992). They serve as enduring beliefs that guide individuals’ choices and social interactions. Psychological research on value systems underscores the need for reliable tools to capture variations in value expression across cultures and educational settings (Hambleton et al., 1991; Price, 2023). However, most widely used instruments, such as the Schwartz Value Survey, were developed in Western contexts and may not fully reflect local cultural or institutional values. In the Philippine higher education setting, particularly within public universities like CHMSU, indigenous approaches to value assessment remain limited.</w:t>
      </w:r>
      <w:r w:rsidR="00F0580C">
        <w:rPr>
          <w:rFonts w:ascii="Times New Roman" w:hAnsi="Times New Roman" w:cs="Times New Roman"/>
        </w:rPr>
        <w:t xml:space="preserve"> </w:t>
      </w:r>
      <w:r w:rsidR="00F0580C" w:rsidRPr="00F0580C">
        <w:rPr>
          <w:rFonts w:ascii="Times New Roman" w:hAnsi="Times New Roman" w:cs="Times New Roman"/>
          <w:bCs/>
          <w:highlight w:val="yellow"/>
        </w:rPr>
        <w:t xml:space="preserve">This underscores a critical research gap, the absence of culturally responsive and institution-specific measures that capture localized expressions of core values in Philippine higher education. Addressing this gap, the present study uniquely contributes by developing an indigenous, psychometrically sound instrument grounded in CHMSU’s </w:t>
      </w:r>
      <w:proofErr w:type="spellStart"/>
      <w:r w:rsidR="00F0580C" w:rsidRPr="00F0580C">
        <w:rPr>
          <w:rFonts w:ascii="Times New Roman" w:hAnsi="Times New Roman" w:cs="Times New Roman"/>
          <w:bCs/>
          <w:highlight w:val="yellow"/>
        </w:rPr>
        <w:t>ExCELSIOR</w:t>
      </w:r>
      <w:proofErr w:type="spellEnd"/>
      <w:r w:rsidR="00F0580C" w:rsidRPr="00F0580C">
        <w:rPr>
          <w:rFonts w:ascii="Times New Roman" w:hAnsi="Times New Roman" w:cs="Times New Roman"/>
          <w:bCs/>
          <w:highlight w:val="yellow"/>
        </w:rPr>
        <w:t xml:space="preserve"> framework.</w:t>
      </w:r>
    </w:p>
    <w:p w14:paraId="65E88F4D"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development of a psychometrically validated scale that reflects CHMSU’s institutional philosophy thus becomes imperative. As noted by Heale and Twycross (2015), the credibility of quantitative </w:t>
      </w:r>
      <w:r w:rsidRPr="00A70AAA">
        <w:rPr>
          <w:rFonts w:ascii="Times New Roman" w:hAnsi="Times New Roman" w:cs="Times New Roman"/>
        </w:rPr>
        <w:lastRenderedPageBreak/>
        <w:t>instruments depends on the soundness of their validity and reliability evidence. Integrating both Classical Test Theory (CTT) and Item Response Theory (IRT) perspectives enhances the accuracy and interpretability of scale scores (Zanon et al., 2016). In test development, this approach ensures that observed scores represent true differences among individuals and not measurement artifacts (Hambleton et al., 1991).</w:t>
      </w:r>
    </w:p>
    <w:p w14:paraId="25CE6413" w14:textId="77777777" w:rsidR="00A70AAA" w:rsidRPr="00A70AAA" w:rsidRDefault="00A70AAA" w:rsidP="00BD18E0">
      <w:pPr>
        <w:jc w:val="both"/>
        <w:rPr>
          <w:rFonts w:ascii="Times New Roman" w:hAnsi="Times New Roman" w:cs="Times New Roman"/>
        </w:rPr>
      </w:pPr>
      <w:r w:rsidRPr="00A70AAA">
        <w:rPr>
          <w:rFonts w:ascii="Times New Roman" w:hAnsi="Times New Roman" w:cs="Times New Roman"/>
          <w:b/>
          <w:bCs/>
        </w:rPr>
        <w:t>Objectives</w:t>
      </w:r>
    </w:p>
    <w:p w14:paraId="79E20457" w14:textId="77777777" w:rsidR="00A70AAA" w:rsidRPr="00A70AAA" w:rsidRDefault="00A70AAA" w:rsidP="00BD18E0">
      <w:pPr>
        <w:jc w:val="both"/>
        <w:rPr>
          <w:rFonts w:ascii="Times New Roman" w:hAnsi="Times New Roman" w:cs="Times New Roman"/>
        </w:rPr>
      </w:pPr>
      <w:r w:rsidRPr="00A70AAA">
        <w:rPr>
          <w:rFonts w:ascii="Times New Roman" w:hAnsi="Times New Roman" w:cs="Times New Roman"/>
        </w:rPr>
        <w:t xml:space="preserve">The present study sought to develop and standardize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w:t>
      </w:r>
      <w:r w:rsidR="00DA613E" w:rsidRPr="00DA613E">
        <w:rPr>
          <w:rFonts w:ascii="Times New Roman" w:hAnsi="Times New Roman" w:cs="Times New Roman"/>
        </w:rPr>
        <w:t xml:space="preserve">. </w:t>
      </w:r>
      <w:r w:rsidRPr="00A70AAA">
        <w:rPr>
          <w:rFonts w:ascii="Times New Roman" w:hAnsi="Times New Roman" w:cs="Times New Roman"/>
        </w:rPr>
        <w:t>Specifically, the study aimed to:</w:t>
      </w:r>
    </w:p>
    <w:p w14:paraId="6ECD7CD5" w14:textId="77777777" w:rsidR="00A70AAA" w:rsidRPr="00A70AAA" w:rsidRDefault="00A70AAA" w:rsidP="00BD18E0">
      <w:pPr>
        <w:numPr>
          <w:ilvl w:val="0"/>
          <w:numId w:val="1"/>
        </w:numPr>
        <w:jc w:val="both"/>
        <w:rPr>
          <w:rFonts w:ascii="Times New Roman" w:hAnsi="Times New Roman" w:cs="Times New Roman"/>
        </w:rPr>
      </w:pPr>
      <w:r w:rsidRPr="00A70AAA">
        <w:rPr>
          <w:rFonts w:ascii="Times New Roman" w:hAnsi="Times New Roman" w:cs="Times New Roman"/>
        </w:rPr>
        <w:t>Generate and refine items representing CHMSU’s eight core values.</w:t>
      </w:r>
    </w:p>
    <w:p w14:paraId="5C3AE1B3" w14:textId="77777777" w:rsidR="00A70AAA" w:rsidRPr="00A70AAA" w:rsidRDefault="00A70AAA" w:rsidP="00BD18E0">
      <w:pPr>
        <w:numPr>
          <w:ilvl w:val="0"/>
          <w:numId w:val="1"/>
        </w:numPr>
        <w:jc w:val="both"/>
        <w:rPr>
          <w:rFonts w:ascii="Times New Roman" w:hAnsi="Times New Roman" w:cs="Times New Roman"/>
        </w:rPr>
      </w:pPr>
      <w:r w:rsidRPr="00A70AAA">
        <w:rPr>
          <w:rFonts w:ascii="Times New Roman" w:hAnsi="Times New Roman" w:cs="Times New Roman"/>
        </w:rPr>
        <w:t>Establish content validity through expert review using Lawshe’s (1975) CVR.</w:t>
      </w:r>
    </w:p>
    <w:p w14:paraId="59F186A3" w14:textId="77777777" w:rsidR="00A70AAA" w:rsidRPr="00A70AAA" w:rsidRDefault="00A70AAA" w:rsidP="00BD18E0">
      <w:pPr>
        <w:numPr>
          <w:ilvl w:val="0"/>
          <w:numId w:val="1"/>
        </w:numPr>
        <w:jc w:val="both"/>
        <w:rPr>
          <w:rFonts w:ascii="Times New Roman" w:hAnsi="Times New Roman" w:cs="Times New Roman"/>
        </w:rPr>
      </w:pPr>
      <w:r w:rsidRPr="00A70AAA">
        <w:rPr>
          <w:rFonts w:ascii="Times New Roman" w:hAnsi="Times New Roman" w:cs="Times New Roman"/>
        </w:rPr>
        <w:t>Evaluate construct validity through CFA to verify the underlying factor structure.</w:t>
      </w:r>
    </w:p>
    <w:p w14:paraId="21C709A9" w14:textId="77777777" w:rsidR="00A70AAA" w:rsidRPr="00A70AAA" w:rsidRDefault="00A70AAA" w:rsidP="00BD18E0">
      <w:pPr>
        <w:numPr>
          <w:ilvl w:val="0"/>
          <w:numId w:val="1"/>
        </w:numPr>
        <w:jc w:val="both"/>
        <w:rPr>
          <w:rFonts w:ascii="Times New Roman" w:hAnsi="Times New Roman" w:cs="Times New Roman"/>
        </w:rPr>
      </w:pPr>
      <w:r w:rsidRPr="00A70AAA">
        <w:rPr>
          <w:rFonts w:ascii="Times New Roman" w:hAnsi="Times New Roman" w:cs="Times New Roman"/>
        </w:rPr>
        <w:t>Assess internal consistency and test–retest reliability.</w:t>
      </w:r>
    </w:p>
    <w:p w14:paraId="6BCA6831" w14:textId="77777777" w:rsidR="00A70AAA" w:rsidRPr="00A70AAA" w:rsidRDefault="00A70AAA" w:rsidP="00BD18E0">
      <w:pPr>
        <w:numPr>
          <w:ilvl w:val="0"/>
          <w:numId w:val="1"/>
        </w:numPr>
        <w:jc w:val="both"/>
        <w:rPr>
          <w:rFonts w:ascii="Times New Roman" w:hAnsi="Times New Roman" w:cs="Times New Roman"/>
        </w:rPr>
      </w:pPr>
      <w:r w:rsidRPr="00A70AAA">
        <w:rPr>
          <w:rFonts w:ascii="Times New Roman" w:hAnsi="Times New Roman" w:cs="Times New Roman"/>
        </w:rPr>
        <w:t>Examine the predictive effects of demographic variables (age, sex, college, and campus) on ECCV-S scores.</w:t>
      </w:r>
    </w:p>
    <w:p w14:paraId="4F0C0ACC" w14:textId="77777777" w:rsidR="00A70AAA" w:rsidRPr="00A70AAA" w:rsidRDefault="00A70AAA" w:rsidP="00BD18E0">
      <w:pPr>
        <w:jc w:val="both"/>
        <w:rPr>
          <w:rFonts w:ascii="Times New Roman" w:hAnsi="Times New Roman" w:cs="Times New Roman"/>
        </w:rPr>
      </w:pPr>
    </w:p>
    <w:p w14:paraId="1C071CA3" w14:textId="77777777" w:rsidR="00A70AAA" w:rsidRPr="00A70AAA" w:rsidRDefault="00DA613E" w:rsidP="00BD18E0">
      <w:pPr>
        <w:jc w:val="both"/>
        <w:rPr>
          <w:rFonts w:ascii="Times New Roman" w:hAnsi="Times New Roman" w:cs="Times New Roman"/>
          <w:b/>
          <w:bCs/>
        </w:rPr>
      </w:pPr>
      <w:r>
        <w:rPr>
          <w:rFonts w:ascii="Times New Roman" w:hAnsi="Times New Roman" w:cs="Times New Roman"/>
          <w:b/>
          <w:bCs/>
        </w:rPr>
        <w:t>METHODOLOGY</w:t>
      </w:r>
    </w:p>
    <w:p w14:paraId="57E25B9A"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Research Design</w:t>
      </w:r>
    </w:p>
    <w:p w14:paraId="21E0FA3D"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This study employed a mixed-method</w:t>
      </w:r>
      <w:r w:rsidR="00DA613E" w:rsidRPr="00DA613E">
        <w:rPr>
          <w:rFonts w:ascii="Times New Roman" w:hAnsi="Times New Roman" w:cs="Times New Roman"/>
        </w:rPr>
        <w:t>s</w:t>
      </w:r>
      <w:r w:rsidRPr="00A70AAA">
        <w:rPr>
          <w:rFonts w:ascii="Times New Roman" w:hAnsi="Times New Roman" w:cs="Times New Roman"/>
        </w:rPr>
        <w:t xml:space="preserve"> exploratory–sequential design (Creswell, 2017) that integrated both qualitative and quantitative approaches to ensure a comprehensive scale development process. The qualitative phase focused on item generation, while the quantitative phase addressed content validation, factor structure verification, and psychometric standardization. This approach is widely used in test construction because it allows the development of culturally contextualized items followed by empirical validation (Price, 2023).</w:t>
      </w:r>
    </w:p>
    <w:p w14:paraId="4EECC116"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study followed the framework for instrument development proposed by DeVellis (2016), encompassing the following stages: conceptualization of the construct, item generation, expert validation, pilot testing, field administration, and statistical refinement.</w:t>
      </w:r>
    </w:p>
    <w:p w14:paraId="6BB85B68" w14:textId="77777777" w:rsidR="00A70AAA" w:rsidRPr="00A70AAA" w:rsidRDefault="00A70AAA" w:rsidP="00BD18E0">
      <w:pPr>
        <w:jc w:val="both"/>
        <w:rPr>
          <w:rFonts w:ascii="Times New Roman" w:hAnsi="Times New Roman" w:cs="Times New Roman"/>
        </w:rPr>
      </w:pPr>
      <w:r w:rsidRPr="00A70AAA">
        <w:rPr>
          <w:rFonts w:ascii="Times New Roman" w:hAnsi="Times New Roman" w:cs="Times New Roman"/>
          <w:b/>
          <w:bCs/>
        </w:rPr>
        <w:t>Participants and Sampling</w:t>
      </w:r>
    </w:p>
    <w:p w14:paraId="1A978CA2"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Participants were undergraduate students from Carlos Hilado Memorial State University (CHMSU), representing all four campuses—Talisay, </w:t>
      </w:r>
      <w:proofErr w:type="spellStart"/>
      <w:r w:rsidRPr="00A70AAA">
        <w:rPr>
          <w:rFonts w:ascii="Times New Roman" w:hAnsi="Times New Roman" w:cs="Times New Roman"/>
        </w:rPr>
        <w:t>Alijis</w:t>
      </w:r>
      <w:proofErr w:type="spellEnd"/>
      <w:r w:rsidRPr="00A70AAA">
        <w:rPr>
          <w:rFonts w:ascii="Times New Roman" w:hAnsi="Times New Roman" w:cs="Times New Roman"/>
        </w:rPr>
        <w:t xml:space="preserve">, Fortune Towne, and </w:t>
      </w:r>
      <w:proofErr w:type="spellStart"/>
      <w:r w:rsidRPr="00A70AAA">
        <w:rPr>
          <w:rFonts w:ascii="Times New Roman" w:hAnsi="Times New Roman" w:cs="Times New Roman"/>
        </w:rPr>
        <w:t>Binalbagan</w:t>
      </w:r>
      <w:proofErr w:type="spellEnd"/>
      <w:r w:rsidRPr="00A70AAA">
        <w:rPr>
          <w:rFonts w:ascii="Times New Roman" w:hAnsi="Times New Roman" w:cs="Times New Roman"/>
        </w:rPr>
        <w:t>. A total of 370 students participated in the main standardization phase. The sample was selected through stratified random sampling, ensuring proportional representation across campuses, colleges, year levels, and sex.</w:t>
      </w:r>
    </w:p>
    <w:p w14:paraId="42FAF366"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An initial pilot sample of 87 Psychology students was used to test item clarity, internal consistency, and temporal stability. This was followed by a larger sample for confirmatory factor validation and standardization. Sample size adequacy was determined based on recommendations for Confirmatory Factor Analysis (CFA), which suggest at least 5–10 participants per item (Kline, 2016).</w:t>
      </w:r>
    </w:p>
    <w:p w14:paraId="30587403"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Participants ranged in age from 18 to 26 years (M = 20.4, SD = 1.7), with 61% identifying as female and 39% as male. Representation across the colleges of Arts and Sciences, Business, Education, Industrial Technology, and Computer Studies ensured a diverse student profile consistent with CHMSU’s academic population.</w:t>
      </w:r>
    </w:p>
    <w:p w14:paraId="4C675667" w14:textId="77777777" w:rsidR="006921C8" w:rsidRDefault="006921C8" w:rsidP="00BD18E0">
      <w:pPr>
        <w:jc w:val="both"/>
        <w:rPr>
          <w:rFonts w:ascii="Times New Roman" w:hAnsi="Times New Roman" w:cs="Times New Roman"/>
          <w:b/>
          <w:bCs/>
        </w:rPr>
      </w:pPr>
    </w:p>
    <w:p w14:paraId="336A99EA"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Instrument Development</w:t>
      </w:r>
    </w:p>
    <w:p w14:paraId="1B9F8073" w14:textId="77777777" w:rsidR="00A70AAA" w:rsidRPr="00A70AAA" w:rsidRDefault="00A70AAA" w:rsidP="00BD18E0">
      <w:pPr>
        <w:jc w:val="both"/>
        <w:rPr>
          <w:rFonts w:ascii="Times New Roman" w:hAnsi="Times New Roman" w:cs="Times New Roman"/>
          <w:i/>
          <w:iCs/>
        </w:rPr>
      </w:pPr>
      <w:r w:rsidRPr="00A70AAA">
        <w:rPr>
          <w:rFonts w:ascii="Times New Roman" w:hAnsi="Times New Roman" w:cs="Times New Roman"/>
          <w:i/>
          <w:iCs/>
        </w:rPr>
        <w:t>Item Generation</w:t>
      </w:r>
    </w:p>
    <w:p w14:paraId="510F7878"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initial phase focused on generating items grounded in CHMSU’s eight institutional core values: Excellence, Compassion, Environmentalism, Love of Country, Social Responsibility, Integrity, Openness, and Resilience. Guided by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each construct was defined operationally through focus group discussions (FGDs) with 22 student leaders representing different colleges and organizations.</w:t>
      </w:r>
    </w:p>
    <w:p w14:paraId="598D7260"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FGDs were semi-structured, exploring behavioral indicators, real-life scenarios, and reflective experiences demonstrating each value. Participant responses were analyzed thematically to extract common statements, which were later transformed into item statements using clear and behaviorally anchored language. This process ensured content relevance and face validity, a crucial first step in test development (Heale &amp; Twycross, 2015).</w:t>
      </w:r>
    </w:p>
    <w:p w14:paraId="2269C476" w14:textId="77777777" w:rsidR="00A70AAA" w:rsidRPr="00A70AAA" w:rsidRDefault="00A70AAA" w:rsidP="00BD18E0">
      <w:pPr>
        <w:jc w:val="both"/>
        <w:rPr>
          <w:rFonts w:ascii="Times New Roman" w:hAnsi="Times New Roman" w:cs="Times New Roman"/>
          <w:i/>
          <w:iCs/>
        </w:rPr>
      </w:pPr>
      <w:r w:rsidRPr="00A70AAA">
        <w:rPr>
          <w:rFonts w:ascii="Times New Roman" w:hAnsi="Times New Roman" w:cs="Times New Roman"/>
          <w:i/>
          <w:iCs/>
        </w:rPr>
        <w:t>Content Validation</w:t>
      </w:r>
    </w:p>
    <w:p w14:paraId="4EA2B8CF"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Eight subject matter experts from CHMSU</w:t>
      </w:r>
      <w:r w:rsidRPr="00A85F7B">
        <w:rPr>
          <w:rFonts w:ascii="Times New Roman" w:hAnsi="Times New Roman" w:cs="Times New Roman"/>
        </w:rPr>
        <w:t xml:space="preserve"> </w:t>
      </w:r>
      <w:r w:rsidRPr="00A70AAA">
        <w:rPr>
          <w:rFonts w:ascii="Times New Roman" w:hAnsi="Times New Roman" w:cs="Times New Roman"/>
        </w:rPr>
        <w:t>comprising psychologists, guidance counselors, and faculty members</w:t>
      </w:r>
      <w:r w:rsidRPr="00A85F7B">
        <w:rPr>
          <w:rFonts w:ascii="Times New Roman" w:hAnsi="Times New Roman" w:cs="Times New Roman"/>
        </w:rPr>
        <w:t xml:space="preserve"> </w:t>
      </w:r>
      <w:r w:rsidRPr="00A70AAA">
        <w:rPr>
          <w:rFonts w:ascii="Times New Roman" w:hAnsi="Times New Roman" w:cs="Times New Roman"/>
        </w:rPr>
        <w:t>served as content validators. Each expert independently rated the relevance of each item using a 4-point Likert scale (1 = not relevant to 4 = highly relevant). Content validity was computed using Lawshe’s (1975) Content Validity Ratio (CVR), with a critical value of .75 for eight raters. Items not meeting the threshold were revised or discarded.</w:t>
      </w:r>
    </w:p>
    <w:p w14:paraId="5398C426"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This process yielded 79 items that met the content validity criterion, distributed across the eight value domains. Minor wording adjustments were made based on expert feedback to improve clarity and contextual alignment with CHMSU’s educational culture.</w:t>
      </w:r>
    </w:p>
    <w:p w14:paraId="26A9D5AD"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Pilot Testing</w:t>
      </w:r>
    </w:p>
    <w:p w14:paraId="5C770897"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A pilot test was conducted among 87 Psychology students to examine item clarity, internal consistency, and test–retest reliability. The two-week interval between test administrations followed the recommendations of Hambleton et al. (1991) for establishing temporal stability. Internal consistency reliability was assessed using Cronbach’s alpha, with coefficients ≥ .70 considered acceptable (Heale &amp; Twycross, 2015).</w:t>
      </w:r>
    </w:p>
    <w:p w14:paraId="5D917247"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Item–total correlations were also examined to ensure each item contributed meaningfully to the underlying construct. Items with low correlations (&lt; .30) were flagged for revision or removal. Pilot results confirmed adequate reliability and comprehension, allowing the instrument to proceed to large-scale standardization.</w:t>
      </w:r>
    </w:p>
    <w:p w14:paraId="2FD9FD70" w14:textId="77777777" w:rsidR="00A70AAA" w:rsidRDefault="00A70AAA" w:rsidP="00BD18E0">
      <w:pPr>
        <w:jc w:val="both"/>
        <w:rPr>
          <w:rFonts w:ascii="Times New Roman" w:hAnsi="Times New Roman" w:cs="Times New Roman"/>
        </w:rPr>
      </w:pPr>
    </w:p>
    <w:p w14:paraId="3C0EB403" w14:textId="77777777" w:rsidR="00BA7C72" w:rsidRPr="00A70AAA" w:rsidRDefault="00BA7C72" w:rsidP="00BD18E0">
      <w:pPr>
        <w:jc w:val="both"/>
        <w:rPr>
          <w:rFonts w:ascii="Times New Roman" w:hAnsi="Times New Roman" w:cs="Times New Roman"/>
        </w:rPr>
      </w:pPr>
    </w:p>
    <w:p w14:paraId="1B1CBC52"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Data Collection Procedure</w:t>
      </w:r>
    </w:p>
    <w:p w14:paraId="3871587A" w14:textId="77777777" w:rsidR="00A70AAA" w:rsidRPr="00A70AAA" w:rsidRDefault="00BA7C72" w:rsidP="00BD18E0">
      <w:pPr>
        <w:ind w:firstLine="720"/>
        <w:jc w:val="both"/>
        <w:rPr>
          <w:rFonts w:ascii="Times New Roman" w:hAnsi="Times New Roman" w:cs="Times New Roman"/>
        </w:rPr>
      </w:pPr>
      <w:r>
        <w:rPr>
          <w:rFonts w:ascii="Times New Roman" w:hAnsi="Times New Roman" w:cs="Times New Roman"/>
        </w:rPr>
        <w:t>Data</w:t>
      </w:r>
      <w:r w:rsidR="00A70AAA" w:rsidRPr="00A70AAA">
        <w:rPr>
          <w:rFonts w:ascii="Times New Roman" w:hAnsi="Times New Roman" w:cs="Times New Roman"/>
        </w:rPr>
        <w:t xml:space="preserve"> collection was conducted in coordination with campus deans and program chairs. Participants were briefed on the study’s objectives, assured of anonymity, and informed that participation was voluntary.</w:t>
      </w:r>
    </w:p>
    <w:p w14:paraId="6F5C0D1F"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finalized 79-item ECCV-S was administered through a self-report Likert-type questionnaire, rated on a 5-point scale (1 = strongly disagree to 5 = strongly agree). Administration was completed in </w:t>
      </w:r>
      <w:r w:rsidRPr="00A70AAA">
        <w:rPr>
          <w:rFonts w:ascii="Times New Roman" w:hAnsi="Times New Roman" w:cs="Times New Roman"/>
        </w:rPr>
        <w:lastRenderedPageBreak/>
        <w:t xml:space="preserve">classroom settings under researcher supervision to ensure standardization. Data collection took approximately </w:t>
      </w:r>
      <w:r w:rsidR="00BA7C72">
        <w:rPr>
          <w:rFonts w:ascii="Times New Roman" w:hAnsi="Times New Roman" w:cs="Times New Roman"/>
        </w:rPr>
        <w:t>1</w:t>
      </w:r>
      <w:r w:rsidRPr="00A70AAA">
        <w:rPr>
          <w:rFonts w:ascii="Times New Roman" w:hAnsi="Times New Roman" w:cs="Times New Roman"/>
        </w:rPr>
        <w:t>5–</w:t>
      </w:r>
      <w:r w:rsidR="00BA7C72">
        <w:rPr>
          <w:rFonts w:ascii="Times New Roman" w:hAnsi="Times New Roman" w:cs="Times New Roman"/>
        </w:rPr>
        <w:t xml:space="preserve">25 </w:t>
      </w:r>
      <w:r w:rsidRPr="00A70AAA">
        <w:rPr>
          <w:rFonts w:ascii="Times New Roman" w:hAnsi="Times New Roman" w:cs="Times New Roman"/>
        </w:rPr>
        <w:t>minutes per participant.</w:t>
      </w:r>
    </w:p>
    <w:p w14:paraId="39703F12"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Data Analysis</w:t>
      </w:r>
    </w:p>
    <w:p w14:paraId="22306318" w14:textId="77777777" w:rsidR="00A70AAA" w:rsidRPr="00A70AAA" w:rsidRDefault="00A70AAA" w:rsidP="00BD18E0">
      <w:pPr>
        <w:jc w:val="both"/>
        <w:rPr>
          <w:rFonts w:ascii="Times New Roman" w:hAnsi="Times New Roman" w:cs="Times New Roman"/>
        </w:rPr>
      </w:pPr>
      <w:r w:rsidRPr="00A70AAA">
        <w:rPr>
          <w:rFonts w:ascii="Times New Roman" w:hAnsi="Times New Roman" w:cs="Times New Roman"/>
        </w:rPr>
        <w:t xml:space="preserve">Quantitative data were analyzed using </w:t>
      </w:r>
      <w:r w:rsidR="00BA7C72" w:rsidRPr="00BA7C72">
        <w:rPr>
          <w:rFonts w:ascii="Times New Roman" w:hAnsi="Times New Roman" w:cs="Times New Roman"/>
        </w:rPr>
        <w:t>statistical software application.</w:t>
      </w:r>
      <w:r w:rsidRPr="00A70AAA">
        <w:rPr>
          <w:rFonts w:ascii="Times New Roman" w:hAnsi="Times New Roman" w:cs="Times New Roman"/>
        </w:rPr>
        <w:t xml:space="preserve"> The analysis included:</w:t>
      </w:r>
    </w:p>
    <w:p w14:paraId="3556431F" w14:textId="77777777" w:rsidR="00A70AAA" w:rsidRPr="00A70AAA" w:rsidRDefault="00A70AAA" w:rsidP="00BD18E0">
      <w:pPr>
        <w:numPr>
          <w:ilvl w:val="0"/>
          <w:numId w:val="2"/>
        </w:numPr>
        <w:jc w:val="both"/>
        <w:rPr>
          <w:rFonts w:ascii="Times New Roman" w:hAnsi="Times New Roman" w:cs="Times New Roman"/>
        </w:rPr>
      </w:pPr>
      <w:r w:rsidRPr="00A70AAA">
        <w:rPr>
          <w:rFonts w:ascii="Times New Roman" w:hAnsi="Times New Roman" w:cs="Times New Roman"/>
        </w:rPr>
        <w:t>Content validity assessment using CVR (Lawshe, 1975).</w:t>
      </w:r>
    </w:p>
    <w:p w14:paraId="4959C6F7" w14:textId="77777777" w:rsidR="00A70AAA" w:rsidRPr="00A70AAA" w:rsidRDefault="00A70AAA" w:rsidP="00BD18E0">
      <w:pPr>
        <w:numPr>
          <w:ilvl w:val="0"/>
          <w:numId w:val="2"/>
        </w:numPr>
        <w:jc w:val="both"/>
        <w:rPr>
          <w:rFonts w:ascii="Times New Roman" w:hAnsi="Times New Roman" w:cs="Times New Roman"/>
        </w:rPr>
      </w:pPr>
      <w:r w:rsidRPr="00A70AAA">
        <w:rPr>
          <w:rFonts w:ascii="Times New Roman" w:hAnsi="Times New Roman" w:cs="Times New Roman"/>
        </w:rPr>
        <w:t>Descriptive statistics (mean, standard deviation, skewness, kurtosis) to evaluate data normality.</w:t>
      </w:r>
    </w:p>
    <w:p w14:paraId="1432CF3E" w14:textId="77777777" w:rsidR="00A70AAA" w:rsidRPr="00A70AAA" w:rsidRDefault="00A70AAA" w:rsidP="00BD18E0">
      <w:pPr>
        <w:numPr>
          <w:ilvl w:val="0"/>
          <w:numId w:val="2"/>
        </w:numPr>
        <w:jc w:val="both"/>
        <w:rPr>
          <w:rFonts w:ascii="Times New Roman" w:hAnsi="Times New Roman" w:cs="Times New Roman"/>
        </w:rPr>
      </w:pPr>
      <w:r w:rsidRPr="00A70AAA">
        <w:rPr>
          <w:rFonts w:ascii="Times New Roman" w:hAnsi="Times New Roman" w:cs="Times New Roman"/>
        </w:rPr>
        <w:t>Confirmatory Factor Analysis (CFA) using Maximum Likelihood Estimation (MLE) to test model fit. Fit indices included the Comparative Fit Index (CFI), Tucker–Lewis Index (TLI), Root Mean Square Error of Approximation (RMSEA), and Chi-square/df ratio, following conventional cutoffs (CFI/TLI ≥ .90, RMSEA ≤ .08) (Byrne, 2016).</w:t>
      </w:r>
    </w:p>
    <w:p w14:paraId="7C454B5F" w14:textId="77777777" w:rsidR="00A70AAA" w:rsidRPr="00A70AAA" w:rsidRDefault="00A70AAA" w:rsidP="00BD18E0">
      <w:pPr>
        <w:numPr>
          <w:ilvl w:val="0"/>
          <w:numId w:val="2"/>
        </w:numPr>
        <w:jc w:val="both"/>
        <w:rPr>
          <w:rFonts w:ascii="Times New Roman" w:hAnsi="Times New Roman" w:cs="Times New Roman"/>
        </w:rPr>
      </w:pPr>
      <w:r w:rsidRPr="00A70AAA">
        <w:rPr>
          <w:rFonts w:ascii="Times New Roman" w:hAnsi="Times New Roman" w:cs="Times New Roman"/>
        </w:rPr>
        <w:t>Reliability analysis via Cronbach’s alpha and test–retest correlations.</w:t>
      </w:r>
    </w:p>
    <w:p w14:paraId="09697127" w14:textId="77777777" w:rsidR="00A70AAA" w:rsidRPr="00A70AAA" w:rsidRDefault="00A70AAA" w:rsidP="00BD18E0">
      <w:pPr>
        <w:numPr>
          <w:ilvl w:val="0"/>
          <w:numId w:val="2"/>
        </w:numPr>
        <w:jc w:val="both"/>
        <w:rPr>
          <w:rFonts w:ascii="Times New Roman" w:hAnsi="Times New Roman" w:cs="Times New Roman"/>
        </w:rPr>
      </w:pPr>
      <w:r w:rsidRPr="00A70AAA">
        <w:rPr>
          <w:rFonts w:ascii="Times New Roman" w:hAnsi="Times New Roman" w:cs="Times New Roman"/>
        </w:rPr>
        <w:t xml:space="preserve">Binary logistic regression to examine the predictive effects of demographic variables on ECCV-S </w:t>
      </w:r>
    </w:p>
    <w:p w14:paraId="1A9AF17B" w14:textId="77777777" w:rsidR="00A70AAA" w:rsidRPr="00A70AAA" w:rsidRDefault="00BA7C72" w:rsidP="00BD18E0">
      <w:pPr>
        <w:jc w:val="both"/>
        <w:rPr>
          <w:rFonts w:ascii="Times New Roman" w:hAnsi="Times New Roman" w:cs="Times New Roman"/>
          <w:b/>
          <w:bCs/>
        </w:rPr>
      </w:pPr>
      <w:r>
        <w:rPr>
          <w:rFonts w:ascii="Times New Roman" w:hAnsi="Times New Roman" w:cs="Times New Roman"/>
          <w:b/>
          <w:bCs/>
        </w:rPr>
        <w:t>RESULTS</w:t>
      </w:r>
    </w:p>
    <w:p w14:paraId="452EB65A"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Content Validity</w:t>
      </w:r>
    </w:p>
    <w:p w14:paraId="2C167D27"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initial pool of 92 drafted items was evaluated by eight subject matter experts using Lawshe’s (1975) Content Validity Ratio (CVR). Seventy-nine (79) items achieved the minimum CVR threshold of .75, indicating acceptable content relevance. Items that failed to meet this criterion were revised or excluded based on consensus feedback. The retained items were distributed across CHMSU’s eight institutional value domains, ensuring balanced content representation: Excellence (</w:t>
      </w:r>
      <w:r w:rsidR="00BA7C72">
        <w:rPr>
          <w:rFonts w:ascii="Times New Roman" w:hAnsi="Times New Roman" w:cs="Times New Roman"/>
        </w:rPr>
        <w:t>9</w:t>
      </w:r>
      <w:r w:rsidRPr="00A70AAA">
        <w:rPr>
          <w:rFonts w:ascii="Times New Roman" w:hAnsi="Times New Roman" w:cs="Times New Roman"/>
        </w:rPr>
        <w:t xml:space="preserve"> items), Compassion (</w:t>
      </w:r>
      <w:r w:rsidR="00BA7C72">
        <w:rPr>
          <w:rFonts w:ascii="Times New Roman" w:hAnsi="Times New Roman" w:cs="Times New Roman"/>
        </w:rPr>
        <w:t>14</w:t>
      </w:r>
      <w:r w:rsidRPr="00A70AAA">
        <w:rPr>
          <w:rFonts w:ascii="Times New Roman" w:hAnsi="Times New Roman" w:cs="Times New Roman"/>
        </w:rPr>
        <w:t xml:space="preserve"> items), Environmentalism (</w:t>
      </w:r>
      <w:r w:rsidR="00BA7C72">
        <w:rPr>
          <w:rFonts w:ascii="Times New Roman" w:hAnsi="Times New Roman" w:cs="Times New Roman"/>
        </w:rPr>
        <w:t>9</w:t>
      </w:r>
      <w:r w:rsidRPr="00A70AAA">
        <w:rPr>
          <w:rFonts w:ascii="Times New Roman" w:hAnsi="Times New Roman" w:cs="Times New Roman"/>
        </w:rPr>
        <w:t xml:space="preserve"> items), Love of Country (</w:t>
      </w:r>
      <w:r w:rsidR="00BA7C72">
        <w:rPr>
          <w:rFonts w:ascii="Times New Roman" w:hAnsi="Times New Roman" w:cs="Times New Roman"/>
        </w:rPr>
        <w:t>6</w:t>
      </w:r>
      <w:r w:rsidRPr="00A70AAA">
        <w:rPr>
          <w:rFonts w:ascii="Times New Roman" w:hAnsi="Times New Roman" w:cs="Times New Roman"/>
        </w:rPr>
        <w:t xml:space="preserve"> items), Social Responsibility (10 items), Integrity (1</w:t>
      </w:r>
      <w:r w:rsidR="00BA7C72">
        <w:rPr>
          <w:rFonts w:ascii="Times New Roman" w:hAnsi="Times New Roman" w:cs="Times New Roman"/>
        </w:rPr>
        <w:t>1</w:t>
      </w:r>
      <w:r w:rsidRPr="00A70AAA">
        <w:rPr>
          <w:rFonts w:ascii="Times New Roman" w:hAnsi="Times New Roman" w:cs="Times New Roman"/>
        </w:rPr>
        <w:t xml:space="preserve"> items), Openness (</w:t>
      </w:r>
      <w:r w:rsidR="00BA7C72">
        <w:rPr>
          <w:rFonts w:ascii="Times New Roman" w:hAnsi="Times New Roman" w:cs="Times New Roman"/>
        </w:rPr>
        <w:t>6</w:t>
      </w:r>
      <w:r w:rsidRPr="00A70AAA">
        <w:rPr>
          <w:rFonts w:ascii="Times New Roman" w:hAnsi="Times New Roman" w:cs="Times New Roman"/>
        </w:rPr>
        <w:t xml:space="preserve"> items), and Resilience (1</w:t>
      </w:r>
      <w:r w:rsidR="00BA7C72">
        <w:rPr>
          <w:rFonts w:ascii="Times New Roman" w:hAnsi="Times New Roman" w:cs="Times New Roman"/>
        </w:rPr>
        <w:t>4</w:t>
      </w:r>
      <w:r w:rsidRPr="00A70AAA">
        <w:rPr>
          <w:rFonts w:ascii="Times New Roman" w:hAnsi="Times New Roman" w:cs="Times New Roman"/>
        </w:rPr>
        <w:t xml:space="preserve"> items).</w:t>
      </w:r>
    </w:p>
    <w:p w14:paraId="75CC0E91"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Experts noted strong face validity, affirming that the items reflected observable and behaviorally anchored expressions of each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 Minor linguistic adjustments were implemented to enhance clarity and cultural relevance.</w:t>
      </w:r>
    </w:p>
    <w:p w14:paraId="3057C2DE"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Construct Validity: Confirmatory Factor Analysis (CFA)</w:t>
      </w:r>
    </w:p>
    <w:p w14:paraId="31DB9198"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To test the hypothesized eight-factor model consistent with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Confirmatory Factor Analysis (CFA) was performed using Maximum Likelihood Estimation (MLE). Preliminary data screening confirmed normal distribution and absence of multicollinearity (skewness and kurtosis values within ±2).</w:t>
      </w:r>
    </w:p>
    <w:p w14:paraId="4F6D50FB"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initial model indicated moderate fit (CFI = .88, TLI = .86, RMSEA = .07). After removing 31 items with low standardized loadings (&lt; .40), the refined model comprising 48 items yielded a significantly improved fit: χ²/df = 2.41, CFI = .93, TLI = .91, RMSEA = .05. These indices met the established benchmarks for good model fit (Byrne, 2016).</w:t>
      </w:r>
    </w:p>
    <w:p w14:paraId="2FC88214"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Factor loadings ranged from .52 to .87, demonstrating acceptable convergent validity. The Average Variance Extracted (AVE) values across domains ranged from .46 to .68, and Composite Reliability (CR) ranged from .78 to .91, indicating satisfactory convergent and construct validity (Hair et al., 2019). The eight-factor model confirmed that the ECCV-S effectively represents the multidimensional construct of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w:t>
      </w:r>
    </w:p>
    <w:p w14:paraId="3A330B63"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lastRenderedPageBreak/>
        <w:t>Reliability Analysis</w:t>
      </w:r>
    </w:p>
    <w:p w14:paraId="5348B1CD"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Internal consistency reliability was assessed for the overall scale and each subscale. The total ECCV-S yielded a Cronbach’s alpha of .89, exceeding the recommended .70 criterion (Heale &amp; Twycross, 2015). Subscale reliabilities ranged from .78 (Openness) to .91 (Integrity), demonstrating high internal consistency across all value domains.</w:t>
      </w:r>
    </w:p>
    <w:p w14:paraId="26D9E156"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Test–retest reliability was examined among the pilot sample (n = 87) with a two-week interval. Pearson correlations between the two administrations ranged from .81 to .89 (p &lt; .001), indicating strong temporal stability (Hambleton et al., 1991). These findings confirm that the ECCV-S produces consistent results over time and across respondent groups.</w:t>
      </w:r>
    </w:p>
    <w:p w14:paraId="0FA66E3F"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Regression and Group Differences</w:t>
      </w:r>
    </w:p>
    <w:p w14:paraId="7EE01DBB"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To determine the extent to which demographic characteristics predict ECCV-S scores, a binary logistic regression analysis was conducted. The dependent variable was students’ classification as “high” versus “moderate-to-low” in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based on total ECCV-S scores. Independent variables included age, sex, college affiliation, and campus.</w:t>
      </w:r>
    </w:p>
    <w:p w14:paraId="76E18DA2" w14:textId="77777777" w:rsidR="00A70AAA" w:rsidRDefault="00A70AAA" w:rsidP="00BD18E0">
      <w:pPr>
        <w:ind w:firstLine="720"/>
        <w:jc w:val="both"/>
        <w:rPr>
          <w:rFonts w:ascii="Times New Roman" w:hAnsi="Times New Roman" w:cs="Times New Roman"/>
        </w:rPr>
      </w:pPr>
      <w:r w:rsidRPr="00A70AAA">
        <w:rPr>
          <w:rFonts w:ascii="Times New Roman" w:hAnsi="Times New Roman" w:cs="Times New Roman"/>
        </w:rPr>
        <w:t>The overall regression model was significant, χ²(4, N = 370) = 28.46, p &lt; .001, indicating that the predictors collectively explained a meaningful portion of variance in value manifestation. Age (β = .27, p = .009), sex (β = .24, p = .015), and college affiliation (β = .31, p = .006) were significant predictors, suggesting that older students, females, and those enrolled in the College of Arts and Sciences reported higher levels of core value endorsement. Campus location also showed a modest but significant effect (β = .19, p = .047).</w:t>
      </w:r>
    </w:p>
    <w:p w14:paraId="4603860C" w14:textId="77777777" w:rsidR="000D3439" w:rsidRPr="00A70AAA" w:rsidRDefault="000D3439" w:rsidP="00BD18E0">
      <w:pPr>
        <w:ind w:firstLine="720"/>
        <w:jc w:val="both"/>
        <w:rPr>
          <w:rFonts w:ascii="Times New Roman" w:hAnsi="Times New Roman" w:cs="Times New Roman"/>
        </w:rPr>
      </w:pPr>
    </w:p>
    <w:p w14:paraId="103A607D" w14:textId="77777777" w:rsidR="00A70AAA" w:rsidRPr="00A70AAA" w:rsidRDefault="00DA613E" w:rsidP="00BD18E0">
      <w:pPr>
        <w:jc w:val="both"/>
        <w:rPr>
          <w:rFonts w:ascii="Times New Roman" w:hAnsi="Times New Roman" w:cs="Times New Roman"/>
          <w:b/>
          <w:bCs/>
        </w:rPr>
      </w:pPr>
      <w:r>
        <w:rPr>
          <w:rFonts w:ascii="Times New Roman" w:hAnsi="Times New Roman" w:cs="Times New Roman"/>
          <w:b/>
          <w:bCs/>
        </w:rPr>
        <w:t>DISCUSSION</w:t>
      </w:r>
    </w:p>
    <w:p w14:paraId="2A9464FE"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Interpretation of Findings</w:t>
      </w:r>
    </w:p>
    <w:p w14:paraId="19F325FD"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findings of this study demonstrate that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 is a psychometrically sound measure that effectively operationalizes CHMSU’s eight institutional core values: Excellence, Compassion, Environmentalism, Love of Country, Social Responsibility, Integrity, Openness, and Resilience. The Confirmatory Factor Analysis (CFA) confirmed an eight-factor structure consistent with the university’s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and model fit indices (CFI = .93, TLI = .91, RMSEA = .05) provide strong evidence for construct validity. These results align with prior research underscoring the importance of factorial validation in values-based instruments (Zanon et al., 2016; Price, 2023).</w:t>
      </w:r>
    </w:p>
    <w:p w14:paraId="200519DA"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ECCV-S’s high internal consistency reliability (α = .89) and strong test–retest correlation (r = .83) indicate that the instrument is both stable and precise in measuring the intended constructs. Subscale reliabilities ranging from .78 to .91 reflect the coherence of each value domain while maintaining adequate distinction among constructs. These findings suggest that the ECCV-S captures value internalization not merely as a generalized attitude but as a constellation of interrelated, measurable dimensions of moral and social behavior within the CHMSU context.</w:t>
      </w:r>
    </w:p>
    <w:p w14:paraId="7EBD89D9"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Demographic analysis revealed significant associations between ECCV-S scores and factors such as age, sex, college affiliation, and campus location. These findings parallel earlier research showing that demographic and contextual factors can influence value expression in university students (Schwartz, 1992). Older students and females tended to score higher on the scale, possibly reflecting greater maturity, </w:t>
      </w:r>
      <w:r w:rsidRPr="00A70AAA">
        <w:rPr>
          <w:rFonts w:ascii="Times New Roman" w:hAnsi="Times New Roman" w:cs="Times New Roman"/>
        </w:rPr>
        <w:lastRenderedPageBreak/>
        <w:t>empathy, and exposure to institutional values through longer academic engagement. The higher scores from the College of Arts and Sciences students may also reflect the college’s curricular emphasis on liberal education, ethics, and social awareness</w:t>
      </w:r>
      <w:r w:rsidR="000D3439">
        <w:rPr>
          <w:rFonts w:ascii="Times New Roman" w:hAnsi="Times New Roman" w:cs="Times New Roman"/>
        </w:rPr>
        <w:t xml:space="preserve">, </w:t>
      </w:r>
      <w:r w:rsidRPr="00A70AAA">
        <w:rPr>
          <w:rFonts w:ascii="Times New Roman" w:hAnsi="Times New Roman" w:cs="Times New Roman"/>
        </w:rPr>
        <w:t xml:space="preserve">domains </w:t>
      </w:r>
      <w:r w:rsidR="000D3439">
        <w:rPr>
          <w:rFonts w:ascii="Times New Roman" w:hAnsi="Times New Roman" w:cs="Times New Roman"/>
        </w:rPr>
        <w:t xml:space="preserve">that </w:t>
      </w:r>
      <w:r w:rsidRPr="00A70AAA">
        <w:rPr>
          <w:rFonts w:ascii="Times New Roman" w:hAnsi="Times New Roman" w:cs="Times New Roman"/>
        </w:rPr>
        <w:t>closely aligned with CHMSU’s value orientation.</w:t>
      </w:r>
    </w:p>
    <w:p w14:paraId="485E38E0"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Psychometric Implications: Classical and Modern Perspectives</w:t>
      </w:r>
    </w:p>
    <w:p w14:paraId="61B8CAB5"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The ECCV-S was developed within the complementary frameworks of Classical Test Theory (CTT) and Item Response Theory (IRT). From a CTT perspective, reliability coefficients such as Cronbach’s alpha and test–retest correlations provide evidence of consistency and stability (Hambleton et al., 1991; Heale &amp; Twycross, 2015). The high internal consistency suggests that the items coherently represent the underlying construct of institutional values.</w:t>
      </w:r>
    </w:p>
    <w:p w14:paraId="094559B9"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Meanwhile, the integration of IRT concepts allowed for more refined item evaluation and interpretability of individual differences. By examining factor loadings and item discrimination indices, the study ensured that each retained item contributed meaningfully to the latent trait of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w:t>
      </w:r>
    </w:p>
    <w:p w14:paraId="448FCB20"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confirmatory model’s strong fit further supports the scale’s structural integrity. The multidimensional model aligns with theoretical assumptions that human values are not singular but interdependent constructs guiding cognitive, affective, and behavioral responses (Rokeach, 1973; Schwartz, 1992). The CFA’s retention of eight distinct but correlated factors empirically </w:t>
      </w:r>
      <w:r w:rsidR="000D3439" w:rsidRPr="00A70AAA">
        <w:rPr>
          <w:rFonts w:ascii="Times New Roman" w:hAnsi="Times New Roman" w:cs="Times New Roman"/>
        </w:rPr>
        <w:t>affirm</w:t>
      </w:r>
      <w:r w:rsidRPr="00A70AAA">
        <w:rPr>
          <w:rFonts w:ascii="Times New Roman" w:hAnsi="Times New Roman" w:cs="Times New Roman"/>
        </w:rPr>
        <w:t xml:space="preserve"> this multidimensional view, validating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as a unified system of moral and institutional identity.</w:t>
      </w:r>
    </w:p>
    <w:p w14:paraId="565394DA" w14:textId="77777777" w:rsidR="00F0580C" w:rsidRDefault="00F0580C" w:rsidP="00BD18E0">
      <w:pPr>
        <w:jc w:val="both"/>
        <w:rPr>
          <w:rFonts w:ascii="Times New Roman" w:hAnsi="Times New Roman" w:cs="Times New Roman"/>
          <w:b/>
          <w:bCs/>
        </w:rPr>
      </w:pPr>
    </w:p>
    <w:p w14:paraId="1EFB760C" w14:textId="77777777" w:rsidR="00A70AAA" w:rsidRPr="00A70AAA" w:rsidRDefault="00A70AAA" w:rsidP="00BD18E0">
      <w:pPr>
        <w:jc w:val="both"/>
        <w:rPr>
          <w:rFonts w:ascii="Times New Roman" w:hAnsi="Times New Roman" w:cs="Times New Roman"/>
          <w:b/>
          <w:bCs/>
        </w:rPr>
      </w:pPr>
      <w:r w:rsidRPr="00A70AAA">
        <w:rPr>
          <w:rFonts w:ascii="Times New Roman" w:hAnsi="Times New Roman" w:cs="Times New Roman"/>
          <w:b/>
          <w:bCs/>
        </w:rPr>
        <w:t>Conclusion</w:t>
      </w:r>
    </w:p>
    <w:p w14:paraId="2FEC6973"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 xml:space="preserve">The development and validation of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 mark a significant advancement in the assessment of institutional values within higher education. By integrating both Classical Test Theory (CTT) and Item Response Theory (IRT) frameworks, the ECCV-S demonstrates strong psychometric rigor</w:t>
      </w:r>
      <w:r w:rsidR="000D3439" w:rsidRPr="000D3439">
        <w:rPr>
          <w:rFonts w:ascii="Times New Roman" w:hAnsi="Times New Roman" w:cs="Times New Roman"/>
        </w:rPr>
        <w:t xml:space="preserve"> </w:t>
      </w:r>
      <w:r w:rsidRPr="00A70AAA">
        <w:rPr>
          <w:rFonts w:ascii="Times New Roman" w:hAnsi="Times New Roman" w:cs="Times New Roman"/>
        </w:rPr>
        <w:t xml:space="preserve">supported by high internal consistency, temporal stability, and factorial validity. The confirmed eight-factor structure mirrors CHMSU’s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capturing the multidimensional essence of student values as lived and practiced within the university environment.</w:t>
      </w:r>
    </w:p>
    <w:p w14:paraId="1B96385F"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This study establishes the ECCV-S as a reliable and valid instrument for measuring the degree to which CHMSU students internalize the university’s guiding principles of Excellence, Compassion, Environmentalism, Love of Country, Social Responsibility, Integrity, Openness, and Resilience. Beyond serving as a tool for institutional evaluation, the ECCV-S provides educators and administrators with empirical data to inform program design, policy formulation, and values integration strategies in both curricular and co-curricular initiatives.</w:t>
      </w:r>
    </w:p>
    <w:p w14:paraId="6CFD54F3" w14:textId="77777777" w:rsidR="00A70AAA" w:rsidRPr="00A70AAA" w:rsidRDefault="00A70AAA" w:rsidP="00BD18E0">
      <w:pPr>
        <w:ind w:firstLine="720"/>
        <w:jc w:val="both"/>
        <w:rPr>
          <w:rFonts w:ascii="Times New Roman" w:hAnsi="Times New Roman" w:cs="Times New Roman"/>
        </w:rPr>
      </w:pPr>
      <w:r w:rsidRPr="00A70AAA">
        <w:rPr>
          <w:rFonts w:ascii="Times New Roman" w:hAnsi="Times New Roman" w:cs="Times New Roman"/>
        </w:rPr>
        <w:t>From a broader perspective, the ECCV-S contributes to the indigenization of psychological assessment in the Philippines by grounding psychometric development in a culturally specific institutional context. It underscores the importance of developing measurement instruments that reflect the moral, social, and educational realities of Filipino learners, moving away from purely Western paradigms of value assessment.</w:t>
      </w:r>
    </w:p>
    <w:p w14:paraId="71961AF5" w14:textId="77777777" w:rsidR="00F0580C" w:rsidRPr="00F0580C" w:rsidRDefault="00A70AAA" w:rsidP="00BD18E0">
      <w:pPr>
        <w:ind w:firstLine="720"/>
        <w:jc w:val="both"/>
        <w:rPr>
          <w:rFonts w:ascii="Times New Roman" w:hAnsi="Times New Roman" w:cs="Times New Roman"/>
          <w:bCs/>
        </w:rPr>
      </w:pPr>
      <w:r w:rsidRPr="00A70AAA">
        <w:rPr>
          <w:rFonts w:ascii="Times New Roman" w:hAnsi="Times New Roman" w:cs="Times New Roman"/>
        </w:rPr>
        <w:t>Future research should continue refining the scale through cross-institutional validation and longitudinal studies that trace value development across the student lifecycle. Incorporating advanced IRT techniques or mixed-method validation frameworks may further enhance the interpretive precision of the ECCV-S</w:t>
      </w:r>
      <w:r w:rsidRPr="00F0580C">
        <w:rPr>
          <w:rFonts w:ascii="Times New Roman" w:hAnsi="Times New Roman" w:cs="Times New Roman"/>
        </w:rPr>
        <w:t>.</w:t>
      </w:r>
      <w:r w:rsidR="00F0580C" w:rsidRPr="00F0580C">
        <w:rPr>
          <w:rFonts w:ascii="Times New Roman" w:hAnsi="Times New Roman" w:cs="Times New Roman"/>
        </w:rPr>
        <w:t xml:space="preserve"> </w:t>
      </w:r>
      <w:r w:rsidR="00F0580C" w:rsidRPr="00F0580C">
        <w:rPr>
          <w:rFonts w:ascii="Times New Roman" w:hAnsi="Times New Roman" w:cs="Times New Roman"/>
          <w:bCs/>
          <w:highlight w:val="yellow"/>
        </w:rPr>
        <w:t xml:space="preserve">Beyond methodological refinements, the ECCV-S may serve as a diagnostic and developmental tool for student affairs programs, faculty training, and values-based leadership formation initiatives. It is </w:t>
      </w:r>
      <w:r w:rsidR="00F0580C" w:rsidRPr="00F0580C">
        <w:rPr>
          <w:rFonts w:ascii="Times New Roman" w:hAnsi="Times New Roman" w:cs="Times New Roman"/>
          <w:bCs/>
          <w:highlight w:val="yellow"/>
        </w:rPr>
        <w:lastRenderedPageBreak/>
        <w:t>recommended that future research integrate longitudinal and intervention-based designs to assess how educational practices and institutional culture shape value internalization over time.</w:t>
      </w:r>
    </w:p>
    <w:p w14:paraId="13306AAE" w14:textId="28C26660" w:rsidR="00A70AAA" w:rsidRDefault="00A70AAA" w:rsidP="00BD18E0">
      <w:pPr>
        <w:ind w:firstLine="720"/>
        <w:jc w:val="both"/>
        <w:rPr>
          <w:rFonts w:ascii="Times New Roman" w:hAnsi="Times New Roman" w:cs="Times New Roman"/>
        </w:rPr>
      </w:pPr>
      <w:r w:rsidRPr="00A70AAA">
        <w:rPr>
          <w:rFonts w:ascii="Times New Roman" w:hAnsi="Times New Roman" w:cs="Times New Roman"/>
        </w:rPr>
        <w:t>Ultimately, the ECCV-S represents CHMSU’s commitment to transforming education into a holistic process that shapes not only the intellect but also the heart and character of every student. Through this work, CHMSU strengthens its role as a values-centered university that cultivates socially responsible and ethically grounded graduates equipped to contribute meaningfully to society.</w:t>
      </w:r>
    </w:p>
    <w:p w14:paraId="1AF14DAD" w14:textId="77777777" w:rsidR="00A070D0" w:rsidRDefault="00A070D0" w:rsidP="00BD18E0">
      <w:pPr>
        <w:ind w:firstLine="720"/>
        <w:jc w:val="both"/>
        <w:rPr>
          <w:rFonts w:ascii="Times New Roman" w:hAnsi="Times New Roman" w:cs="Times New Roman"/>
        </w:rPr>
      </w:pPr>
    </w:p>
    <w:p w14:paraId="15925D6B" w14:textId="77777777" w:rsidR="00A070D0" w:rsidRPr="00A70AAA" w:rsidRDefault="00A070D0" w:rsidP="00BD18E0">
      <w:pPr>
        <w:jc w:val="both"/>
        <w:rPr>
          <w:rFonts w:ascii="Times New Roman" w:hAnsi="Times New Roman" w:cs="Times New Roman"/>
          <w:b/>
          <w:bCs/>
        </w:rPr>
      </w:pPr>
      <w:r w:rsidRPr="00A70AAA">
        <w:rPr>
          <w:rFonts w:ascii="Times New Roman" w:hAnsi="Times New Roman" w:cs="Times New Roman"/>
          <w:b/>
          <w:bCs/>
        </w:rPr>
        <w:t>Limitations and Future Directions</w:t>
      </w:r>
    </w:p>
    <w:p w14:paraId="2B168A38" w14:textId="77777777" w:rsidR="00A070D0" w:rsidRPr="00F0580C" w:rsidRDefault="00A070D0" w:rsidP="00BD18E0">
      <w:pPr>
        <w:ind w:firstLine="720"/>
        <w:jc w:val="both"/>
        <w:rPr>
          <w:rFonts w:ascii="Times New Roman" w:hAnsi="Times New Roman" w:cs="Times New Roman"/>
          <w:bCs/>
        </w:rPr>
      </w:pPr>
      <w:r w:rsidRPr="00A70AAA">
        <w:rPr>
          <w:rFonts w:ascii="Times New Roman" w:hAnsi="Times New Roman" w:cs="Times New Roman"/>
        </w:rPr>
        <w:t xml:space="preserve">While the ECCV-S exhibits strong psychometric properties, several limitations warrant consideration. </w:t>
      </w:r>
      <w:r w:rsidRPr="000D3439">
        <w:rPr>
          <w:rFonts w:ascii="Times New Roman" w:hAnsi="Times New Roman" w:cs="Times New Roman"/>
        </w:rPr>
        <w:t>First</w:t>
      </w:r>
      <w:r w:rsidRPr="00A70AAA">
        <w:rPr>
          <w:rFonts w:ascii="Times New Roman" w:hAnsi="Times New Roman" w:cs="Times New Roman"/>
        </w:rPr>
        <w:t>, although CFA established a robust factor structure, the study did not employ Item Response Theory (IRT) calibration, which could provide more granular insights into item difficulty and discrimination parameters. Subsequent studies are encouraged to apply Rasch modeling or multidimensional IRT to enhance interpretive precision.</w:t>
      </w:r>
      <w:r>
        <w:rPr>
          <w:rFonts w:ascii="Times New Roman" w:hAnsi="Times New Roman" w:cs="Times New Roman"/>
        </w:rPr>
        <w:t xml:space="preserve"> </w:t>
      </w:r>
      <w:r w:rsidRPr="00F0580C">
        <w:rPr>
          <w:rFonts w:ascii="Times New Roman" w:hAnsi="Times New Roman" w:cs="Times New Roman"/>
          <w:bCs/>
          <w:highlight w:val="yellow"/>
        </w:rPr>
        <w:t>Additionally, the study’s concentration on a single state university may limit the generalizability of findings to other institutional contexts. Future studies should therefore consider cross-institutional validation to ensure broader applicability and robustness of the ECCV-S across diverse educational environments.</w:t>
      </w:r>
    </w:p>
    <w:p w14:paraId="1AC1509A" w14:textId="77777777" w:rsidR="00A070D0" w:rsidRPr="00A70AAA" w:rsidRDefault="00A070D0" w:rsidP="00BD18E0">
      <w:pPr>
        <w:ind w:firstLine="720"/>
        <w:jc w:val="both"/>
        <w:rPr>
          <w:rFonts w:ascii="Times New Roman" w:hAnsi="Times New Roman" w:cs="Times New Roman"/>
        </w:rPr>
      </w:pPr>
      <w:r>
        <w:rPr>
          <w:rFonts w:ascii="Times New Roman" w:hAnsi="Times New Roman" w:cs="Times New Roman"/>
        </w:rPr>
        <w:t>Second</w:t>
      </w:r>
      <w:r w:rsidRPr="00A70AAA">
        <w:rPr>
          <w:rFonts w:ascii="Times New Roman" w:hAnsi="Times New Roman" w:cs="Times New Roman"/>
        </w:rPr>
        <w:t>, the reliance on self-report data introduces the possibility of social desirability bias. Incorporating qualitative triangulation, such as behavioral observation or peer evaluation, could enrich construct validity evidence.</w:t>
      </w:r>
    </w:p>
    <w:p w14:paraId="053DD7A6" w14:textId="77777777" w:rsidR="00A070D0" w:rsidRDefault="00A070D0" w:rsidP="00BD18E0">
      <w:pPr>
        <w:ind w:firstLine="720"/>
        <w:jc w:val="both"/>
        <w:rPr>
          <w:rFonts w:ascii="Times New Roman" w:hAnsi="Times New Roman" w:cs="Times New Roman"/>
        </w:rPr>
      </w:pPr>
      <w:r w:rsidRPr="00A70AAA">
        <w:rPr>
          <w:rFonts w:ascii="Times New Roman" w:hAnsi="Times New Roman" w:cs="Times New Roman"/>
        </w:rPr>
        <w:t xml:space="preserve">Lastly, longitudinal studies could explore how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evolve over the course of a student’s academic journey, providing dynamic insights into the developmental impact of institutional programs on value internalization.</w:t>
      </w:r>
    </w:p>
    <w:p w14:paraId="0800CE95" w14:textId="77777777" w:rsidR="00B60840" w:rsidRDefault="00B60840" w:rsidP="00BD18E0">
      <w:pPr>
        <w:ind w:firstLine="720"/>
        <w:jc w:val="both"/>
        <w:rPr>
          <w:rFonts w:ascii="Times New Roman" w:hAnsi="Times New Roman" w:cs="Times New Roman"/>
        </w:rPr>
      </w:pPr>
    </w:p>
    <w:p w14:paraId="1B3DCB97" w14:textId="5D1E0DCC" w:rsidR="00B60840" w:rsidRPr="00A70AAA" w:rsidRDefault="00B60840" w:rsidP="00B60840">
      <w:pPr>
        <w:jc w:val="both"/>
        <w:rPr>
          <w:rFonts w:ascii="Times New Roman" w:hAnsi="Times New Roman" w:cs="Times New Roman"/>
          <w:b/>
          <w:bCs/>
        </w:rPr>
      </w:pPr>
      <w:r w:rsidRPr="00A70AAA">
        <w:rPr>
          <w:rFonts w:ascii="Times New Roman" w:hAnsi="Times New Roman" w:cs="Times New Roman"/>
          <w:b/>
          <w:bCs/>
        </w:rPr>
        <w:t xml:space="preserve">Ethical </w:t>
      </w:r>
      <w:r>
        <w:rPr>
          <w:rFonts w:ascii="Times New Roman" w:hAnsi="Times New Roman" w:cs="Times New Roman"/>
          <w:b/>
          <w:bCs/>
        </w:rPr>
        <w:t>Approval and consent</w:t>
      </w:r>
    </w:p>
    <w:p w14:paraId="2CB827A3" w14:textId="45C9B9B8" w:rsidR="00B60840" w:rsidRPr="00A70AAA" w:rsidRDefault="00B60840" w:rsidP="00B60840">
      <w:pPr>
        <w:ind w:firstLine="720"/>
        <w:jc w:val="both"/>
        <w:rPr>
          <w:rFonts w:ascii="Times New Roman" w:hAnsi="Times New Roman" w:cs="Times New Roman"/>
        </w:rPr>
      </w:pPr>
      <w:r w:rsidRPr="00A70AAA">
        <w:rPr>
          <w:rFonts w:ascii="Times New Roman" w:hAnsi="Times New Roman" w:cs="Times New Roman"/>
        </w:rPr>
        <w:t xml:space="preserve">The research adhered to the ethical standards of the American Psychological Association (APA, 2020) and CHMSU’s institutional ethics guidelines. Informed consent was obtained from all participants before participation. Respondents were assured of the confidentiality and anonymity of their responses, and data were used solely for research purposes. </w:t>
      </w:r>
    </w:p>
    <w:p w14:paraId="3BCA9E8D" w14:textId="77777777" w:rsidR="00B60840" w:rsidRPr="00A70AAA" w:rsidRDefault="00B60840" w:rsidP="00BD18E0">
      <w:pPr>
        <w:ind w:firstLine="720"/>
        <w:jc w:val="both"/>
        <w:rPr>
          <w:rFonts w:ascii="Times New Roman" w:hAnsi="Times New Roman" w:cs="Times New Roman"/>
        </w:rPr>
      </w:pPr>
    </w:p>
    <w:p w14:paraId="78CA61CC" w14:textId="77777777" w:rsidR="00A070D0" w:rsidRPr="00A70AAA" w:rsidRDefault="00A070D0" w:rsidP="00BD18E0">
      <w:pPr>
        <w:ind w:firstLine="720"/>
        <w:jc w:val="both"/>
        <w:rPr>
          <w:rFonts w:ascii="Times New Roman" w:hAnsi="Times New Roman" w:cs="Times New Roman"/>
        </w:rPr>
      </w:pPr>
    </w:p>
    <w:p w14:paraId="5631CF00" w14:textId="77777777" w:rsidR="009758D1" w:rsidRPr="00740879" w:rsidRDefault="009758D1" w:rsidP="00BD18E0">
      <w:pPr>
        <w:jc w:val="both"/>
        <w:rPr>
          <w:highlight w:val="yellow"/>
        </w:rPr>
      </w:pPr>
      <w:r w:rsidRPr="00740879">
        <w:rPr>
          <w:highlight w:val="yellow"/>
        </w:rPr>
        <w:t>Disclaimer (Artificial intelligence)</w:t>
      </w:r>
    </w:p>
    <w:p w14:paraId="3AD42797" w14:textId="77777777" w:rsidR="009758D1" w:rsidRPr="00740879" w:rsidRDefault="009758D1" w:rsidP="00BD18E0">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3795E7E" w14:textId="58539069" w:rsidR="00A70AAA" w:rsidRPr="00A70AAA" w:rsidRDefault="00A70AAA" w:rsidP="00A70AAA">
      <w:pPr>
        <w:rPr>
          <w:rFonts w:ascii="Times New Roman" w:hAnsi="Times New Roman" w:cs="Times New Roman"/>
        </w:rPr>
      </w:pPr>
    </w:p>
    <w:p w14:paraId="222AD3F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References</w:t>
      </w:r>
    </w:p>
    <w:p w14:paraId="6012ED3E"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lastRenderedPageBreak/>
        <w:t xml:space="preserve">American Psychological Association. (2020). </w:t>
      </w:r>
      <w:r w:rsidRPr="00A70AAA">
        <w:rPr>
          <w:rFonts w:ascii="Times New Roman" w:hAnsi="Times New Roman" w:cs="Times New Roman"/>
          <w:i/>
          <w:iCs/>
        </w:rPr>
        <w:t>Publication manual of the American Psychological Association</w:t>
      </w:r>
      <w:r w:rsidRPr="00A70AAA">
        <w:rPr>
          <w:rFonts w:ascii="Times New Roman" w:hAnsi="Times New Roman" w:cs="Times New Roman"/>
        </w:rPr>
        <w:t xml:space="preserve"> (7th ed.). American Psychological Association.</w:t>
      </w:r>
    </w:p>
    <w:p w14:paraId="5124520B"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Byrne, B. M. (2016). </w:t>
      </w:r>
      <w:r w:rsidRPr="00A70AAA">
        <w:rPr>
          <w:rFonts w:ascii="Times New Roman" w:hAnsi="Times New Roman" w:cs="Times New Roman"/>
          <w:i/>
          <w:iCs/>
        </w:rPr>
        <w:t>Structural equation modeling with AMOS: Basic concepts, applications, and programming</w:t>
      </w:r>
      <w:r w:rsidRPr="00A70AAA">
        <w:rPr>
          <w:rFonts w:ascii="Times New Roman" w:hAnsi="Times New Roman" w:cs="Times New Roman"/>
        </w:rPr>
        <w:t xml:space="preserve"> (3rd ed.). Routledge.</w:t>
      </w:r>
    </w:p>
    <w:p w14:paraId="796C46C3"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Creswell, J. W. (2017). </w:t>
      </w:r>
      <w:r w:rsidRPr="00A70AAA">
        <w:rPr>
          <w:rFonts w:ascii="Times New Roman" w:hAnsi="Times New Roman" w:cs="Times New Roman"/>
          <w:i/>
          <w:iCs/>
        </w:rPr>
        <w:t>Research design: Qualitative, quantitative, and mixed methods approaches</w:t>
      </w:r>
      <w:r w:rsidRPr="00A70AAA">
        <w:rPr>
          <w:rFonts w:ascii="Times New Roman" w:hAnsi="Times New Roman" w:cs="Times New Roman"/>
        </w:rPr>
        <w:t xml:space="preserve"> (5th ed.). Sage Publications.</w:t>
      </w:r>
    </w:p>
    <w:p w14:paraId="49E38DB7"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DeVellis, R. F. (2016). </w:t>
      </w:r>
      <w:r w:rsidRPr="00A70AAA">
        <w:rPr>
          <w:rFonts w:ascii="Times New Roman" w:hAnsi="Times New Roman" w:cs="Times New Roman"/>
          <w:i/>
          <w:iCs/>
        </w:rPr>
        <w:t>Scale development: Theory and applications</w:t>
      </w:r>
      <w:r w:rsidRPr="00A70AAA">
        <w:rPr>
          <w:rFonts w:ascii="Times New Roman" w:hAnsi="Times New Roman" w:cs="Times New Roman"/>
        </w:rPr>
        <w:t xml:space="preserve"> (4th ed.). Sage Publications.</w:t>
      </w:r>
    </w:p>
    <w:p w14:paraId="39C08E75"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Hair, J. F., Black, W. C., Babin, B. J., &amp; Anderson, R. E. (2019). </w:t>
      </w:r>
      <w:r w:rsidRPr="00A70AAA">
        <w:rPr>
          <w:rFonts w:ascii="Times New Roman" w:hAnsi="Times New Roman" w:cs="Times New Roman"/>
          <w:i/>
          <w:iCs/>
        </w:rPr>
        <w:t>Multivariate data analysis</w:t>
      </w:r>
      <w:r w:rsidRPr="00A70AAA">
        <w:rPr>
          <w:rFonts w:ascii="Times New Roman" w:hAnsi="Times New Roman" w:cs="Times New Roman"/>
        </w:rPr>
        <w:t xml:space="preserve"> (8th ed.). Cengage Learning.</w:t>
      </w:r>
    </w:p>
    <w:p w14:paraId="2B25E457"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Hambleton, R. K., Swaminathan, H., &amp; Rogers, H. J. (1991). </w:t>
      </w:r>
      <w:r w:rsidRPr="00A70AAA">
        <w:rPr>
          <w:rFonts w:ascii="Times New Roman" w:hAnsi="Times New Roman" w:cs="Times New Roman"/>
          <w:i/>
          <w:iCs/>
        </w:rPr>
        <w:t>Fundamentals of item response theory.</w:t>
      </w:r>
      <w:r w:rsidRPr="00A70AAA">
        <w:rPr>
          <w:rFonts w:ascii="Times New Roman" w:hAnsi="Times New Roman" w:cs="Times New Roman"/>
        </w:rPr>
        <w:t xml:space="preserve"> Sage Publications.</w:t>
      </w:r>
    </w:p>
    <w:p w14:paraId="67B59C2B"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Heale, R., &amp; Twycross, A. (2015). Validity and reliability in quantitative studies. </w:t>
      </w:r>
      <w:r w:rsidRPr="00A70AAA">
        <w:rPr>
          <w:rFonts w:ascii="Times New Roman" w:hAnsi="Times New Roman" w:cs="Times New Roman"/>
          <w:i/>
          <w:iCs/>
        </w:rPr>
        <w:t>Evidence-Based Nursing, 18</w:t>
      </w:r>
      <w:r w:rsidRPr="00A70AAA">
        <w:rPr>
          <w:rFonts w:ascii="Times New Roman" w:hAnsi="Times New Roman" w:cs="Times New Roman"/>
        </w:rPr>
        <w:t>(3), 66–67. https://doi.org/10.1136/eb-2015-102129</w:t>
      </w:r>
    </w:p>
    <w:p w14:paraId="3D351129"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Kline, R. B. (2016). </w:t>
      </w:r>
      <w:r w:rsidRPr="00A70AAA">
        <w:rPr>
          <w:rFonts w:ascii="Times New Roman" w:hAnsi="Times New Roman" w:cs="Times New Roman"/>
          <w:i/>
          <w:iCs/>
        </w:rPr>
        <w:t>Principles and practice of structural equation modeling</w:t>
      </w:r>
      <w:r w:rsidRPr="00A70AAA">
        <w:rPr>
          <w:rFonts w:ascii="Times New Roman" w:hAnsi="Times New Roman" w:cs="Times New Roman"/>
        </w:rPr>
        <w:t xml:space="preserve"> (4th ed.). Guilford Press.</w:t>
      </w:r>
    </w:p>
    <w:p w14:paraId="37E02F2E"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Lawshe, C. H. (1975). A quantitative approach to content validity. </w:t>
      </w:r>
      <w:r w:rsidRPr="00A70AAA">
        <w:rPr>
          <w:rFonts w:ascii="Times New Roman" w:hAnsi="Times New Roman" w:cs="Times New Roman"/>
          <w:i/>
          <w:iCs/>
        </w:rPr>
        <w:t>Personnel Psychology, 28</w:t>
      </w:r>
      <w:r w:rsidRPr="00A70AAA">
        <w:rPr>
          <w:rFonts w:ascii="Times New Roman" w:hAnsi="Times New Roman" w:cs="Times New Roman"/>
        </w:rPr>
        <w:t>(4), 563–575. https://doi.org/10.1111/j.1744-6570.1975.tb01393.x</w:t>
      </w:r>
    </w:p>
    <w:p w14:paraId="2E7ED705"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Price, L. R. (2023). </w:t>
      </w:r>
      <w:r w:rsidRPr="00A70AAA">
        <w:rPr>
          <w:rFonts w:ascii="Times New Roman" w:hAnsi="Times New Roman" w:cs="Times New Roman"/>
          <w:i/>
          <w:iCs/>
        </w:rPr>
        <w:t>Psychometric methods: Theory into practice.</w:t>
      </w:r>
      <w:r w:rsidRPr="00A70AAA">
        <w:rPr>
          <w:rFonts w:ascii="Times New Roman" w:hAnsi="Times New Roman" w:cs="Times New Roman"/>
        </w:rPr>
        <w:t xml:space="preserve"> Guilford Press.</w:t>
      </w:r>
    </w:p>
    <w:p w14:paraId="530BB674"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Rokeach, M. (1973). </w:t>
      </w:r>
      <w:r w:rsidRPr="00A70AAA">
        <w:rPr>
          <w:rFonts w:ascii="Times New Roman" w:hAnsi="Times New Roman" w:cs="Times New Roman"/>
          <w:i/>
          <w:iCs/>
        </w:rPr>
        <w:t>The nature of human values.</w:t>
      </w:r>
      <w:r w:rsidRPr="00A70AAA">
        <w:rPr>
          <w:rFonts w:ascii="Times New Roman" w:hAnsi="Times New Roman" w:cs="Times New Roman"/>
        </w:rPr>
        <w:t xml:space="preserve"> Free Press.</w:t>
      </w:r>
    </w:p>
    <w:p w14:paraId="03635F9A"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Schwartz, S. H. (1992). Universals in the content and structure of values: Theoretical advances and empirical tests in 20 countries. </w:t>
      </w:r>
      <w:r w:rsidRPr="00A70AAA">
        <w:rPr>
          <w:rFonts w:ascii="Times New Roman" w:hAnsi="Times New Roman" w:cs="Times New Roman"/>
          <w:i/>
          <w:iCs/>
        </w:rPr>
        <w:t>Advances in Experimental Social Psychology, 25</w:t>
      </w:r>
      <w:r w:rsidRPr="00A70AAA">
        <w:rPr>
          <w:rFonts w:ascii="Times New Roman" w:hAnsi="Times New Roman" w:cs="Times New Roman"/>
        </w:rPr>
        <w:t>, 1–65. https://doi.org/10.1016/S0065-2601(08)60281-6</w:t>
      </w:r>
    </w:p>
    <w:p w14:paraId="16575A29" w14:textId="77777777" w:rsidR="00A70AAA" w:rsidRPr="00A70AAA" w:rsidRDefault="00A70AAA" w:rsidP="007D15F6">
      <w:pPr>
        <w:jc w:val="both"/>
        <w:rPr>
          <w:rFonts w:ascii="Times New Roman" w:hAnsi="Times New Roman" w:cs="Times New Roman"/>
        </w:rPr>
      </w:pPr>
      <w:r w:rsidRPr="00A70AAA">
        <w:rPr>
          <w:rFonts w:ascii="Times New Roman" w:hAnsi="Times New Roman" w:cs="Times New Roman"/>
        </w:rPr>
        <w:t xml:space="preserve">Zanon, C., </w:t>
      </w:r>
      <w:proofErr w:type="spellStart"/>
      <w:r w:rsidRPr="00A70AAA">
        <w:rPr>
          <w:rFonts w:ascii="Times New Roman" w:hAnsi="Times New Roman" w:cs="Times New Roman"/>
        </w:rPr>
        <w:t>Reppold</w:t>
      </w:r>
      <w:proofErr w:type="spellEnd"/>
      <w:r w:rsidRPr="00A70AAA">
        <w:rPr>
          <w:rFonts w:ascii="Times New Roman" w:hAnsi="Times New Roman" w:cs="Times New Roman"/>
        </w:rPr>
        <w:t xml:space="preserve">, C. T., &amp; Bandeira, D. R. (2016). Item response theory in psychological assessment: A brief review. </w:t>
      </w:r>
      <w:r w:rsidRPr="00A70AAA">
        <w:rPr>
          <w:rFonts w:ascii="Times New Roman" w:hAnsi="Times New Roman" w:cs="Times New Roman"/>
          <w:i/>
          <w:iCs/>
        </w:rPr>
        <w:t>Psychological Reports, 118</w:t>
      </w:r>
      <w:r w:rsidRPr="00A70AAA">
        <w:rPr>
          <w:rFonts w:ascii="Times New Roman" w:hAnsi="Times New Roman" w:cs="Times New Roman"/>
        </w:rPr>
        <w:t>(3), 1–16. https://doi.org/10.1177/0033294116633350</w:t>
      </w:r>
    </w:p>
    <w:p w14:paraId="302A87C0" w14:textId="77777777" w:rsidR="00741F00" w:rsidRPr="000D3439" w:rsidRDefault="000B2E31" w:rsidP="000D3439">
      <w:pPr>
        <w:pStyle w:val="Heading2"/>
        <w:rPr>
          <w:sz w:val="22"/>
          <w:szCs w:val="22"/>
        </w:rPr>
      </w:pPr>
      <w:r w:rsidRPr="00A85F7B">
        <w:br w:type="page"/>
      </w:r>
      <w:r w:rsidR="000D3439" w:rsidRPr="000D3439">
        <w:rPr>
          <w:sz w:val="22"/>
          <w:szCs w:val="22"/>
        </w:rPr>
        <w:lastRenderedPageBreak/>
        <w:t>Appendices</w:t>
      </w:r>
    </w:p>
    <w:p w14:paraId="6AA694B5"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Appendix A. Sample Items from the ECCV-S</w:t>
      </w:r>
    </w:p>
    <w:p w14:paraId="13A3DA4B" w14:textId="77777777" w:rsidR="00741F00" w:rsidRPr="00741F00" w:rsidRDefault="00741F00" w:rsidP="00741F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Below are representative items from the final 48-item ECCV-S, distributed across the eight </w:t>
      </w:r>
      <w:proofErr w:type="spellStart"/>
      <w:r w:rsidRPr="00741F00">
        <w:rPr>
          <w:rFonts w:ascii="Times New Roman" w:eastAsia="Times New Roman" w:hAnsi="Times New Roman" w:cs="Times New Roman"/>
          <w:kern w:val="0"/>
          <w:lang w:eastAsia="en-PH"/>
          <w14:ligatures w14:val="none"/>
        </w:rPr>
        <w:t>CHMSUan</w:t>
      </w:r>
      <w:proofErr w:type="spellEnd"/>
      <w:r w:rsidRPr="00741F00">
        <w:rPr>
          <w:rFonts w:ascii="Times New Roman" w:eastAsia="Times New Roman" w:hAnsi="Times New Roman" w:cs="Times New Roman"/>
          <w:kern w:val="0"/>
          <w:lang w:eastAsia="en-PH"/>
          <w14:ligatures w14:val="none"/>
        </w:rPr>
        <w:t xml:space="preserve"> value domains. Respondents rated each item on a 5-point Likert scale (1 = strongly disagree to 5 = strongly agree).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7402"/>
      </w:tblGrid>
      <w:tr w:rsidR="00685EBB" w:rsidRPr="00741F00" w14:paraId="77F2AD3A" w14:textId="77777777" w:rsidTr="00685EBB">
        <w:trPr>
          <w:tblHeader/>
          <w:tblCellSpacing w:w="15" w:type="dxa"/>
        </w:trPr>
        <w:tc>
          <w:tcPr>
            <w:tcW w:w="0" w:type="auto"/>
            <w:tcBorders>
              <w:top w:val="single" w:sz="4" w:space="0" w:color="auto"/>
              <w:bottom w:val="single" w:sz="4" w:space="0" w:color="auto"/>
            </w:tcBorders>
            <w:vAlign w:val="center"/>
            <w:hideMark/>
          </w:tcPr>
          <w:p w14:paraId="0FFA305D"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Value Domain</w:t>
            </w:r>
          </w:p>
        </w:tc>
        <w:tc>
          <w:tcPr>
            <w:tcW w:w="0" w:type="auto"/>
            <w:tcBorders>
              <w:top w:val="single" w:sz="4" w:space="0" w:color="auto"/>
              <w:bottom w:val="single" w:sz="4" w:space="0" w:color="auto"/>
            </w:tcBorders>
            <w:vAlign w:val="center"/>
            <w:hideMark/>
          </w:tcPr>
          <w:p w14:paraId="0C1E0D58"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Sample Item</w:t>
            </w:r>
          </w:p>
        </w:tc>
      </w:tr>
      <w:tr w:rsidR="00685EBB" w:rsidRPr="00741F00" w14:paraId="64E546FC" w14:textId="77777777" w:rsidTr="00685EBB">
        <w:trPr>
          <w:tblCellSpacing w:w="15" w:type="dxa"/>
        </w:trPr>
        <w:tc>
          <w:tcPr>
            <w:tcW w:w="0" w:type="auto"/>
            <w:vAlign w:val="center"/>
            <w:hideMark/>
          </w:tcPr>
          <w:p w14:paraId="33EC761E"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Excellence</w:t>
            </w:r>
          </w:p>
        </w:tc>
        <w:tc>
          <w:tcPr>
            <w:tcW w:w="0" w:type="auto"/>
            <w:vAlign w:val="center"/>
            <w:hideMark/>
          </w:tcPr>
          <w:p w14:paraId="117C340B" w14:textId="77777777" w:rsidR="00741F00" w:rsidRPr="00741F00" w:rsidRDefault="00A85F7B"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stay committed to my studies.</w:t>
            </w:r>
          </w:p>
        </w:tc>
      </w:tr>
      <w:tr w:rsidR="00685EBB" w:rsidRPr="00741F00" w14:paraId="6044C0B7" w14:textId="77777777" w:rsidTr="00685EBB">
        <w:trPr>
          <w:tblCellSpacing w:w="15" w:type="dxa"/>
        </w:trPr>
        <w:tc>
          <w:tcPr>
            <w:tcW w:w="0" w:type="auto"/>
            <w:vAlign w:val="center"/>
            <w:hideMark/>
          </w:tcPr>
          <w:p w14:paraId="4AE12C34"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Compassion</w:t>
            </w:r>
          </w:p>
        </w:tc>
        <w:tc>
          <w:tcPr>
            <w:tcW w:w="0" w:type="auto"/>
            <w:vAlign w:val="center"/>
            <w:hideMark/>
          </w:tcPr>
          <w:p w14:paraId="3B69ADFE"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am gentle towards myself and other people.</w:t>
            </w:r>
          </w:p>
        </w:tc>
      </w:tr>
      <w:tr w:rsidR="00685EBB" w:rsidRPr="00741F00" w14:paraId="3350ACAE" w14:textId="77777777" w:rsidTr="00685EBB">
        <w:trPr>
          <w:tblCellSpacing w:w="15" w:type="dxa"/>
        </w:trPr>
        <w:tc>
          <w:tcPr>
            <w:tcW w:w="0" w:type="auto"/>
            <w:vAlign w:val="center"/>
            <w:hideMark/>
          </w:tcPr>
          <w:p w14:paraId="48A20558"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Environmentalism</w:t>
            </w:r>
          </w:p>
        </w:tc>
        <w:tc>
          <w:tcPr>
            <w:tcW w:w="0" w:type="auto"/>
            <w:vAlign w:val="center"/>
            <w:hideMark/>
          </w:tcPr>
          <w:p w14:paraId="0AB3EB25"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support and cooperation to the environmental programs initiated by the institution.</w:t>
            </w:r>
          </w:p>
        </w:tc>
      </w:tr>
      <w:tr w:rsidR="00685EBB" w:rsidRPr="00741F00" w14:paraId="088AA124" w14:textId="77777777" w:rsidTr="00685EBB">
        <w:trPr>
          <w:trHeight w:val="481"/>
          <w:tblCellSpacing w:w="15" w:type="dxa"/>
        </w:trPr>
        <w:tc>
          <w:tcPr>
            <w:tcW w:w="0" w:type="auto"/>
            <w:vAlign w:val="center"/>
            <w:hideMark/>
          </w:tcPr>
          <w:p w14:paraId="38FD589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Love of Country</w:t>
            </w:r>
          </w:p>
        </w:tc>
        <w:tc>
          <w:tcPr>
            <w:tcW w:w="0" w:type="auto"/>
            <w:vAlign w:val="center"/>
            <w:hideMark/>
          </w:tcPr>
          <w:p w14:paraId="6A3B85D8"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 xml:space="preserve">I call to serve my fellow countrymen in the spirit of </w:t>
            </w:r>
            <w:r w:rsidRPr="003B0B60">
              <w:rPr>
                <w:rFonts w:ascii="Times New Roman" w:eastAsia="Times New Roman" w:hAnsi="Times New Roman" w:cs="Times New Roman"/>
                <w:i/>
                <w:iCs/>
                <w:kern w:val="0"/>
                <w:lang w:eastAsia="en-PH"/>
                <w14:ligatures w14:val="none"/>
              </w:rPr>
              <w:t xml:space="preserve">Bayanihan </w:t>
            </w:r>
            <w:r w:rsidRPr="003B0B60">
              <w:rPr>
                <w:rFonts w:ascii="Times New Roman" w:eastAsia="Times New Roman" w:hAnsi="Times New Roman" w:cs="Times New Roman"/>
                <w:kern w:val="0"/>
                <w:lang w:eastAsia="en-PH"/>
                <w14:ligatures w14:val="none"/>
              </w:rPr>
              <w:t xml:space="preserve">(unity and </w:t>
            </w:r>
            <w:r w:rsidR="00685EBB" w:rsidRPr="003B0B60">
              <w:rPr>
                <w:rFonts w:ascii="Times New Roman" w:eastAsia="Times New Roman" w:hAnsi="Times New Roman" w:cs="Times New Roman"/>
                <w:kern w:val="0"/>
                <w:lang w:eastAsia="en-PH"/>
                <w14:ligatures w14:val="none"/>
              </w:rPr>
              <w:t>cooperation</w:t>
            </w:r>
            <w:r w:rsidR="00685EBB">
              <w:rPr>
                <w:rFonts w:ascii="Times New Roman" w:eastAsia="Times New Roman" w:hAnsi="Times New Roman" w:cs="Times New Roman"/>
                <w:kern w:val="0"/>
                <w:lang w:eastAsia="en-PH"/>
                <w14:ligatures w14:val="none"/>
              </w:rPr>
              <w:t>).</w:t>
            </w:r>
          </w:p>
        </w:tc>
      </w:tr>
      <w:tr w:rsidR="00685EBB" w:rsidRPr="00741F00" w14:paraId="351042A0" w14:textId="77777777" w:rsidTr="00685EBB">
        <w:trPr>
          <w:tblCellSpacing w:w="15" w:type="dxa"/>
        </w:trPr>
        <w:tc>
          <w:tcPr>
            <w:tcW w:w="0" w:type="auto"/>
            <w:vAlign w:val="center"/>
            <w:hideMark/>
          </w:tcPr>
          <w:p w14:paraId="4954843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Social Responsibility</w:t>
            </w:r>
          </w:p>
        </w:tc>
        <w:tc>
          <w:tcPr>
            <w:tcW w:w="0" w:type="auto"/>
            <w:vAlign w:val="center"/>
            <w:hideMark/>
          </w:tcPr>
          <w:p w14:paraId="4A62382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I </w:t>
            </w:r>
            <w:r w:rsidR="003B0B60">
              <w:rPr>
                <w:rFonts w:ascii="Times New Roman" w:eastAsia="Times New Roman" w:hAnsi="Times New Roman" w:cs="Times New Roman"/>
                <w:kern w:val="0"/>
                <w:lang w:eastAsia="en-PH"/>
                <w14:ligatures w14:val="none"/>
              </w:rPr>
              <w:t>have a strong desire to lead and serve my community</w:t>
            </w:r>
            <w:r w:rsidR="00685EBB">
              <w:rPr>
                <w:rFonts w:ascii="Times New Roman" w:eastAsia="Times New Roman" w:hAnsi="Times New Roman" w:cs="Times New Roman"/>
                <w:kern w:val="0"/>
                <w:lang w:eastAsia="en-PH"/>
                <w14:ligatures w14:val="none"/>
              </w:rPr>
              <w:t>.</w:t>
            </w:r>
          </w:p>
        </w:tc>
      </w:tr>
      <w:tr w:rsidR="00685EBB" w:rsidRPr="00741F00" w14:paraId="3EBC5214" w14:textId="77777777" w:rsidTr="00685EBB">
        <w:trPr>
          <w:tblCellSpacing w:w="15" w:type="dxa"/>
        </w:trPr>
        <w:tc>
          <w:tcPr>
            <w:tcW w:w="0" w:type="auto"/>
            <w:vAlign w:val="center"/>
            <w:hideMark/>
          </w:tcPr>
          <w:p w14:paraId="4BD8B889"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Integrity</w:t>
            </w:r>
          </w:p>
        </w:tc>
        <w:tc>
          <w:tcPr>
            <w:tcW w:w="0" w:type="auto"/>
            <w:vAlign w:val="center"/>
            <w:hideMark/>
          </w:tcPr>
          <w:p w14:paraId="542C3363"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I </w:t>
            </w:r>
            <w:r w:rsidR="00685EBB">
              <w:rPr>
                <w:rFonts w:ascii="Times New Roman" w:eastAsia="Times New Roman" w:hAnsi="Times New Roman" w:cs="Times New Roman"/>
                <w:kern w:val="0"/>
                <w:lang w:eastAsia="en-PH"/>
                <w14:ligatures w14:val="none"/>
              </w:rPr>
              <w:t>address conflicts with truth and fairness.</w:t>
            </w:r>
          </w:p>
        </w:tc>
      </w:tr>
      <w:tr w:rsidR="00685EBB" w:rsidRPr="00741F00" w14:paraId="1EF7476F" w14:textId="77777777" w:rsidTr="00685EBB">
        <w:trPr>
          <w:tblCellSpacing w:w="15" w:type="dxa"/>
        </w:trPr>
        <w:tc>
          <w:tcPr>
            <w:tcW w:w="0" w:type="auto"/>
            <w:vAlign w:val="center"/>
            <w:hideMark/>
          </w:tcPr>
          <w:p w14:paraId="59A59F6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Openness</w:t>
            </w:r>
          </w:p>
        </w:tc>
        <w:tc>
          <w:tcPr>
            <w:tcW w:w="0" w:type="auto"/>
            <w:vAlign w:val="center"/>
            <w:hideMark/>
          </w:tcPr>
          <w:p w14:paraId="41E23AD1" w14:textId="77777777" w:rsidR="00741F00" w:rsidRPr="00741F00" w:rsidRDefault="00685EBB"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I foster an inclusive atmosphere by treating everyone equally regardless of their shared differences and characteristics</w:t>
            </w:r>
          </w:p>
        </w:tc>
      </w:tr>
      <w:tr w:rsidR="00685EBB" w:rsidRPr="00741F00" w14:paraId="5B42FA95" w14:textId="77777777" w:rsidTr="00685EBB">
        <w:trPr>
          <w:tblCellSpacing w:w="15" w:type="dxa"/>
        </w:trPr>
        <w:tc>
          <w:tcPr>
            <w:tcW w:w="0" w:type="auto"/>
            <w:vAlign w:val="center"/>
            <w:hideMark/>
          </w:tcPr>
          <w:p w14:paraId="0F7C293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Resilience</w:t>
            </w:r>
          </w:p>
        </w:tc>
        <w:tc>
          <w:tcPr>
            <w:tcW w:w="0" w:type="auto"/>
            <w:vAlign w:val="center"/>
            <w:hideMark/>
          </w:tcPr>
          <w:p w14:paraId="29451BA9" w14:textId="77777777" w:rsidR="00741F00" w:rsidRPr="00741F00" w:rsidRDefault="00685EBB"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I tend to look on the brighter side even when things start to get rough.</w:t>
            </w:r>
          </w:p>
        </w:tc>
      </w:tr>
    </w:tbl>
    <w:p w14:paraId="33941E5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p>
    <w:p w14:paraId="545BCA63"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Appendix B. Summary of Confirmatory Factor Analysis (CFA)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2120"/>
        <w:gridCol w:w="1546"/>
        <w:gridCol w:w="1420"/>
      </w:tblGrid>
      <w:tr w:rsidR="00741F00" w:rsidRPr="00741F00" w14:paraId="48EC8618" w14:textId="77777777" w:rsidTr="000D3439">
        <w:trPr>
          <w:tblHeader/>
          <w:tblCellSpacing w:w="15" w:type="dxa"/>
        </w:trPr>
        <w:tc>
          <w:tcPr>
            <w:tcW w:w="0" w:type="auto"/>
            <w:tcBorders>
              <w:top w:val="single" w:sz="4" w:space="0" w:color="auto"/>
              <w:bottom w:val="single" w:sz="4" w:space="0" w:color="auto"/>
            </w:tcBorders>
            <w:vAlign w:val="center"/>
            <w:hideMark/>
          </w:tcPr>
          <w:p w14:paraId="6070244F"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Model Fit Index</w:t>
            </w:r>
          </w:p>
        </w:tc>
        <w:tc>
          <w:tcPr>
            <w:tcW w:w="0" w:type="auto"/>
            <w:tcBorders>
              <w:top w:val="single" w:sz="4" w:space="0" w:color="auto"/>
              <w:bottom w:val="single" w:sz="4" w:space="0" w:color="auto"/>
            </w:tcBorders>
            <w:vAlign w:val="center"/>
            <w:hideMark/>
          </w:tcPr>
          <w:p w14:paraId="492DDD90"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Acceptable Threshold</w:t>
            </w:r>
          </w:p>
        </w:tc>
        <w:tc>
          <w:tcPr>
            <w:tcW w:w="0" w:type="auto"/>
            <w:tcBorders>
              <w:top w:val="single" w:sz="4" w:space="0" w:color="auto"/>
              <w:bottom w:val="single" w:sz="4" w:space="0" w:color="auto"/>
            </w:tcBorders>
            <w:vAlign w:val="center"/>
            <w:hideMark/>
          </w:tcPr>
          <w:p w14:paraId="7F99C89B"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Obtained Value</w:t>
            </w:r>
          </w:p>
        </w:tc>
        <w:tc>
          <w:tcPr>
            <w:tcW w:w="0" w:type="auto"/>
            <w:tcBorders>
              <w:top w:val="single" w:sz="4" w:space="0" w:color="auto"/>
              <w:bottom w:val="single" w:sz="4" w:space="0" w:color="auto"/>
            </w:tcBorders>
            <w:vAlign w:val="center"/>
            <w:hideMark/>
          </w:tcPr>
          <w:p w14:paraId="49B1E6B5"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Interpretation</w:t>
            </w:r>
          </w:p>
        </w:tc>
      </w:tr>
      <w:tr w:rsidR="00741F00" w:rsidRPr="00741F00" w14:paraId="2D3BE299" w14:textId="77777777" w:rsidTr="00741F00">
        <w:trPr>
          <w:tblCellSpacing w:w="15" w:type="dxa"/>
        </w:trPr>
        <w:tc>
          <w:tcPr>
            <w:tcW w:w="0" w:type="auto"/>
            <w:vAlign w:val="center"/>
            <w:hideMark/>
          </w:tcPr>
          <w:p w14:paraId="34E1267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χ²/df</w:t>
            </w:r>
          </w:p>
        </w:tc>
        <w:tc>
          <w:tcPr>
            <w:tcW w:w="0" w:type="auto"/>
            <w:vAlign w:val="center"/>
            <w:hideMark/>
          </w:tcPr>
          <w:p w14:paraId="3C8DF568"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&lt; 3.00</w:t>
            </w:r>
          </w:p>
        </w:tc>
        <w:tc>
          <w:tcPr>
            <w:tcW w:w="0" w:type="auto"/>
            <w:vAlign w:val="center"/>
            <w:hideMark/>
          </w:tcPr>
          <w:p w14:paraId="2D0C5D84"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2.41</w:t>
            </w:r>
          </w:p>
        </w:tc>
        <w:tc>
          <w:tcPr>
            <w:tcW w:w="0" w:type="auto"/>
            <w:vAlign w:val="center"/>
            <w:hideMark/>
          </w:tcPr>
          <w:p w14:paraId="4E6C5669"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Good fit</w:t>
            </w:r>
          </w:p>
        </w:tc>
      </w:tr>
      <w:tr w:rsidR="00741F00" w:rsidRPr="00741F00" w14:paraId="64993C0F" w14:textId="77777777" w:rsidTr="00741F00">
        <w:trPr>
          <w:tblCellSpacing w:w="15" w:type="dxa"/>
        </w:trPr>
        <w:tc>
          <w:tcPr>
            <w:tcW w:w="0" w:type="auto"/>
            <w:vAlign w:val="center"/>
            <w:hideMark/>
          </w:tcPr>
          <w:p w14:paraId="6D70C2F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CFI</w:t>
            </w:r>
          </w:p>
        </w:tc>
        <w:tc>
          <w:tcPr>
            <w:tcW w:w="0" w:type="auto"/>
            <w:vAlign w:val="center"/>
            <w:hideMark/>
          </w:tcPr>
          <w:p w14:paraId="19F5B26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.90</w:t>
            </w:r>
          </w:p>
        </w:tc>
        <w:tc>
          <w:tcPr>
            <w:tcW w:w="0" w:type="auto"/>
            <w:vAlign w:val="center"/>
            <w:hideMark/>
          </w:tcPr>
          <w:p w14:paraId="01CA571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.93</w:t>
            </w:r>
          </w:p>
        </w:tc>
        <w:tc>
          <w:tcPr>
            <w:tcW w:w="0" w:type="auto"/>
            <w:vAlign w:val="center"/>
            <w:hideMark/>
          </w:tcPr>
          <w:p w14:paraId="4A7AD063"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r w:rsidR="00741F00" w:rsidRPr="00741F00" w14:paraId="050483AE" w14:textId="77777777" w:rsidTr="00741F00">
        <w:trPr>
          <w:tblCellSpacing w:w="15" w:type="dxa"/>
        </w:trPr>
        <w:tc>
          <w:tcPr>
            <w:tcW w:w="0" w:type="auto"/>
            <w:vAlign w:val="center"/>
            <w:hideMark/>
          </w:tcPr>
          <w:p w14:paraId="65A1F0F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TLI</w:t>
            </w:r>
          </w:p>
        </w:tc>
        <w:tc>
          <w:tcPr>
            <w:tcW w:w="0" w:type="auto"/>
            <w:vAlign w:val="center"/>
            <w:hideMark/>
          </w:tcPr>
          <w:p w14:paraId="10A6856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.90</w:t>
            </w:r>
          </w:p>
        </w:tc>
        <w:tc>
          <w:tcPr>
            <w:tcW w:w="0" w:type="auto"/>
            <w:vAlign w:val="center"/>
            <w:hideMark/>
          </w:tcPr>
          <w:p w14:paraId="5F57BCEB"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.91</w:t>
            </w:r>
          </w:p>
        </w:tc>
        <w:tc>
          <w:tcPr>
            <w:tcW w:w="0" w:type="auto"/>
            <w:vAlign w:val="center"/>
            <w:hideMark/>
          </w:tcPr>
          <w:p w14:paraId="43F765AD"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r w:rsidR="00741F00" w:rsidRPr="00741F00" w14:paraId="13EDD3FA" w14:textId="77777777" w:rsidTr="000D3439">
        <w:trPr>
          <w:tblCellSpacing w:w="15" w:type="dxa"/>
        </w:trPr>
        <w:tc>
          <w:tcPr>
            <w:tcW w:w="0" w:type="auto"/>
            <w:tcBorders>
              <w:bottom w:val="single" w:sz="4" w:space="0" w:color="auto"/>
            </w:tcBorders>
            <w:vAlign w:val="center"/>
            <w:hideMark/>
          </w:tcPr>
          <w:p w14:paraId="193C57EB"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RMSEA</w:t>
            </w:r>
          </w:p>
        </w:tc>
        <w:tc>
          <w:tcPr>
            <w:tcW w:w="0" w:type="auto"/>
            <w:tcBorders>
              <w:bottom w:val="single" w:sz="4" w:space="0" w:color="auto"/>
            </w:tcBorders>
            <w:vAlign w:val="center"/>
            <w:hideMark/>
          </w:tcPr>
          <w:p w14:paraId="3B05A49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.08</w:t>
            </w:r>
          </w:p>
        </w:tc>
        <w:tc>
          <w:tcPr>
            <w:tcW w:w="0" w:type="auto"/>
            <w:tcBorders>
              <w:bottom w:val="single" w:sz="4" w:space="0" w:color="auto"/>
            </w:tcBorders>
            <w:vAlign w:val="center"/>
            <w:hideMark/>
          </w:tcPr>
          <w:p w14:paraId="6287327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.05</w:t>
            </w:r>
          </w:p>
        </w:tc>
        <w:tc>
          <w:tcPr>
            <w:tcW w:w="0" w:type="auto"/>
            <w:tcBorders>
              <w:bottom w:val="single" w:sz="4" w:space="0" w:color="auto"/>
            </w:tcBorders>
            <w:vAlign w:val="center"/>
            <w:hideMark/>
          </w:tcPr>
          <w:p w14:paraId="77A8706C"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bl>
    <w:p w14:paraId="25E9D14C" w14:textId="77777777" w:rsidR="00741F00" w:rsidRPr="00741F00" w:rsidRDefault="00741F00" w:rsidP="00741F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All standardized factor loadings ranged between .52 and .87, supporting convergent validity. Composite reliability (CR) values ranged from .78 to .91 across domains.</w:t>
      </w:r>
    </w:p>
    <w:p w14:paraId="160F2249" w14:textId="77777777" w:rsidR="00741F00" w:rsidRPr="00741F00" w:rsidRDefault="00000000"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pict w14:anchorId="397DEBB8">
          <v:rect id="_x0000_i1025" style="width:0;height:1.5pt" o:hralign="center" o:hrstd="t" o:hr="t" fillcolor="#a0a0a0" stroked="f"/>
        </w:pict>
      </w:r>
    </w:p>
    <w:p w14:paraId="5DA2FD8B"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50E5B215"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16EDC1BF"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3A2E885D"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263238AB"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6FB4CCA3"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lastRenderedPageBreak/>
        <w:t>Appendix C. Reliability Coefficients and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2"/>
        <w:gridCol w:w="1661"/>
        <w:gridCol w:w="1353"/>
      </w:tblGrid>
      <w:tr w:rsidR="006921C8" w:rsidRPr="00741F00" w14:paraId="74D86139" w14:textId="77777777" w:rsidTr="006921C8">
        <w:trPr>
          <w:tblHeader/>
          <w:tblCellSpacing w:w="15" w:type="dxa"/>
        </w:trPr>
        <w:tc>
          <w:tcPr>
            <w:tcW w:w="0" w:type="auto"/>
            <w:tcBorders>
              <w:top w:val="single" w:sz="4" w:space="0" w:color="auto"/>
              <w:bottom w:val="single" w:sz="4" w:space="0" w:color="auto"/>
            </w:tcBorders>
            <w:vAlign w:val="center"/>
            <w:hideMark/>
          </w:tcPr>
          <w:p w14:paraId="061B853A"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Value Domain</w:t>
            </w:r>
          </w:p>
        </w:tc>
        <w:tc>
          <w:tcPr>
            <w:tcW w:w="0" w:type="auto"/>
            <w:tcBorders>
              <w:top w:val="single" w:sz="4" w:space="0" w:color="auto"/>
              <w:bottom w:val="single" w:sz="4" w:space="0" w:color="auto"/>
            </w:tcBorders>
            <w:vAlign w:val="center"/>
            <w:hideMark/>
          </w:tcPr>
          <w:p w14:paraId="68D2A6DC"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Number of Items</w:t>
            </w:r>
          </w:p>
        </w:tc>
        <w:tc>
          <w:tcPr>
            <w:tcW w:w="0" w:type="auto"/>
            <w:tcBorders>
              <w:top w:val="single" w:sz="4" w:space="0" w:color="auto"/>
              <w:bottom w:val="single" w:sz="4" w:space="0" w:color="auto"/>
            </w:tcBorders>
            <w:vAlign w:val="center"/>
            <w:hideMark/>
          </w:tcPr>
          <w:p w14:paraId="745826E0"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Cronbach’s α</w:t>
            </w:r>
          </w:p>
        </w:tc>
      </w:tr>
      <w:tr w:rsidR="006921C8" w:rsidRPr="00741F00" w14:paraId="33541EBD" w14:textId="77777777" w:rsidTr="00741F00">
        <w:trPr>
          <w:tblCellSpacing w:w="15" w:type="dxa"/>
        </w:trPr>
        <w:tc>
          <w:tcPr>
            <w:tcW w:w="0" w:type="auto"/>
            <w:vAlign w:val="center"/>
            <w:hideMark/>
          </w:tcPr>
          <w:p w14:paraId="2C16BFA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Excellence</w:t>
            </w:r>
          </w:p>
        </w:tc>
        <w:tc>
          <w:tcPr>
            <w:tcW w:w="0" w:type="auto"/>
            <w:vAlign w:val="center"/>
            <w:hideMark/>
          </w:tcPr>
          <w:p w14:paraId="7FC3D59D"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p>
        </w:tc>
        <w:tc>
          <w:tcPr>
            <w:tcW w:w="0" w:type="auto"/>
            <w:vAlign w:val="center"/>
            <w:hideMark/>
          </w:tcPr>
          <w:p w14:paraId="16E6E7B7"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.88</w:t>
            </w:r>
          </w:p>
        </w:tc>
      </w:tr>
      <w:tr w:rsidR="006921C8" w:rsidRPr="00741F00" w14:paraId="7F57ED21" w14:textId="77777777" w:rsidTr="00741F00">
        <w:trPr>
          <w:tblCellSpacing w:w="15" w:type="dxa"/>
        </w:trPr>
        <w:tc>
          <w:tcPr>
            <w:tcW w:w="0" w:type="auto"/>
            <w:vAlign w:val="center"/>
            <w:hideMark/>
          </w:tcPr>
          <w:p w14:paraId="3D2C088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Compassion</w:t>
            </w:r>
          </w:p>
        </w:tc>
        <w:tc>
          <w:tcPr>
            <w:tcW w:w="0" w:type="auto"/>
            <w:vAlign w:val="center"/>
            <w:hideMark/>
          </w:tcPr>
          <w:p w14:paraId="5D503B5F"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p>
        </w:tc>
        <w:tc>
          <w:tcPr>
            <w:tcW w:w="0" w:type="auto"/>
            <w:vAlign w:val="center"/>
            <w:hideMark/>
          </w:tcPr>
          <w:p w14:paraId="6A028FEA"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.82</w:t>
            </w:r>
          </w:p>
        </w:tc>
      </w:tr>
      <w:tr w:rsidR="006921C8" w:rsidRPr="00741F00" w14:paraId="15AE0ECA" w14:textId="77777777" w:rsidTr="00741F00">
        <w:trPr>
          <w:tblCellSpacing w:w="15" w:type="dxa"/>
        </w:trPr>
        <w:tc>
          <w:tcPr>
            <w:tcW w:w="0" w:type="auto"/>
            <w:vAlign w:val="center"/>
            <w:hideMark/>
          </w:tcPr>
          <w:p w14:paraId="6B31051E"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Environmentalism</w:t>
            </w:r>
          </w:p>
        </w:tc>
        <w:tc>
          <w:tcPr>
            <w:tcW w:w="0" w:type="auto"/>
            <w:vAlign w:val="center"/>
            <w:hideMark/>
          </w:tcPr>
          <w:p w14:paraId="529E531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p>
        </w:tc>
        <w:tc>
          <w:tcPr>
            <w:tcW w:w="0" w:type="auto"/>
            <w:vAlign w:val="center"/>
            <w:hideMark/>
          </w:tcPr>
          <w:p w14:paraId="1EE6C205"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.85</w:t>
            </w:r>
          </w:p>
        </w:tc>
      </w:tr>
      <w:tr w:rsidR="006921C8" w:rsidRPr="00741F00" w14:paraId="378443DF" w14:textId="77777777" w:rsidTr="00741F00">
        <w:trPr>
          <w:tblCellSpacing w:w="15" w:type="dxa"/>
        </w:trPr>
        <w:tc>
          <w:tcPr>
            <w:tcW w:w="0" w:type="auto"/>
            <w:vAlign w:val="center"/>
            <w:hideMark/>
          </w:tcPr>
          <w:p w14:paraId="517A0E1C"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Love of Country</w:t>
            </w:r>
          </w:p>
        </w:tc>
        <w:tc>
          <w:tcPr>
            <w:tcW w:w="0" w:type="auto"/>
            <w:vAlign w:val="center"/>
            <w:hideMark/>
          </w:tcPr>
          <w:p w14:paraId="527C20E3"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7F0680B3"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.80</w:t>
            </w:r>
          </w:p>
        </w:tc>
      </w:tr>
      <w:tr w:rsidR="006921C8" w:rsidRPr="00741F00" w14:paraId="758528A0" w14:textId="77777777" w:rsidTr="00741F00">
        <w:trPr>
          <w:tblCellSpacing w:w="15" w:type="dxa"/>
        </w:trPr>
        <w:tc>
          <w:tcPr>
            <w:tcW w:w="0" w:type="auto"/>
            <w:vAlign w:val="center"/>
            <w:hideMark/>
          </w:tcPr>
          <w:p w14:paraId="682C8AC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Social Responsibility</w:t>
            </w:r>
          </w:p>
        </w:tc>
        <w:tc>
          <w:tcPr>
            <w:tcW w:w="0" w:type="auto"/>
            <w:vAlign w:val="center"/>
            <w:hideMark/>
          </w:tcPr>
          <w:p w14:paraId="0FD4695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62DA8DF7"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.84</w:t>
            </w:r>
          </w:p>
        </w:tc>
      </w:tr>
      <w:tr w:rsidR="006921C8" w:rsidRPr="00741F00" w14:paraId="1501A3B7" w14:textId="77777777" w:rsidTr="00741F00">
        <w:trPr>
          <w:tblCellSpacing w:w="15" w:type="dxa"/>
        </w:trPr>
        <w:tc>
          <w:tcPr>
            <w:tcW w:w="0" w:type="auto"/>
            <w:vAlign w:val="center"/>
            <w:hideMark/>
          </w:tcPr>
          <w:p w14:paraId="1074718C"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Integrity</w:t>
            </w:r>
          </w:p>
        </w:tc>
        <w:tc>
          <w:tcPr>
            <w:tcW w:w="0" w:type="auto"/>
            <w:vAlign w:val="center"/>
            <w:hideMark/>
          </w:tcPr>
          <w:p w14:paraId="5E34BF3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10</w:t>
            </w:r>
          </w:p>
        </w:tc>
        <w:tc>
          <w:tcPr>
            <w:tcW w:w="0" w:type="auto"/>
            <w:vAlign w:val="center"/>
            <w:hideMark/>
          </w:tcPr>
          <w:p w14:paraId="28991D31"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.91</w:t>
            </w:r>
          </w:p>
        </w:tc>
      </w:tr>
      <w:tr w:rsidR="006921C8" w:rsidRPr="00741F00" w14:paraId="13171B8D" w14:textId="77777777" w:rsidTr="00741F00">
        <w:trPr>
          <w:tblCellSpacing w:w="15" w:type="dxa"/>
        </w:trPr>
        <w:tc>
          <w:tcPr>
            <w:tcW w:w="0" w:type="auto"/>
            <w:vAlign w:val="center"/>
            <w:hideMark/>
          </w:tcPr>
          <w:p w14:paraId="7AF25ED2"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Openness</w:t>
            </w:r>
          </w:p>
        </w:tc>
        <w:tc>
          <w:tcPr>
            <w:tcW w:w="0" w:type="auto"/>
            <w:vAlign w:val="center"/>
            <w:hideMark/>
          </w:tcPr>
          <w:p w14:paraId="3F2C991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2CFA22D5"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.78</w:t>
            </w:r>
          </w:p>
        </w:tc>
      </w:tr>
      <w:tr w:rsidR="006921C8" w:rsidRPr="00741F00" w14:paraId="01FB1A57" w14:textId="77777777" w:rsidTr="00741F00">
        <w:trPr>
          <w:tblCellSpacing w:w="15" w:type="dxa"/>
        </w:trPr>
        <w:tc>
          <w:tcPr>
            <w:tcW w:w="0" w:type="auto"/>
            <w:vAlign w:val="center"/>
            <w:hideMark/>
          </w:tcPr>
          <w:p w14:paraId="78889F5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Resilience</w:t>
            </w:r>
          </w:p>
        </w:tc>
        <w:tc>
          <w:tcPr>
            <w:tcW w:w="0" w:type="auto"/>
            <w:vAlign w:val="center"/>
            <w:hideMark/>
          </w:tcPr>
          <w:p w14:paraId="2C56233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10</w:t>
            </w:r>
          </w:p>
        </w:tc>
        <w:tc>
          <w:tcPr>
            <w:tcW w:w="0" w:type="auto"/>
            <w:vAlign w:val="center"/>
            <w:hideMark/>
          </w:tcPr>
          <w:p w14:paraId="7F913DC1"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.79</w:t>
            </w:r>
          </w:p>
        </w:tc>
      </w:tr>
      <w:tr w:rsidR="006921C8" w:rsidRPr="00741F00" w14:paraId="74A7C340" w14:textId="77777777" w:rsidTr="006921C8">
        <w:trPr>
          <w:tblCellSpacing w:w="15" w:type="dxa"/>
        </w:trPr>
        <w:tc>
          <w:tcPr>
            <w:tcW w:w="0" w:type="auto"/>
            <w:tcBorders>
              <w:bottom w:val="single" w:sz="4" w:space="0" w:color="auto"/>
            </w:tcBorders>
            <w:vAlign w:val="center"/>
            <w:hideMark/>
          </w:tcPr>
          <w:p w14:paraId="192E2D96"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Total ECCV-S</w:t>
            </w:r>
          </w:p>
        </w:tc>
        <w:tc>
          <w:tcPr>
            <w:tcW w:w="0" w:type="auto"/>
            <w:tcBorders>
              <w:bottom w:val="single" w:sz="4" w:space="0" w:color="auto"/>
            </w:tcBorders>
            <w:vAlign w:val="center"/>
            <w:hideMark/>
          </w:tcPr>
          <w:p w14:paraId="1B978CE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48</w:t>
            </w:r>
          </w:p>
        </w:tc>
        <w:tc>
          <w:tcPr>
            <w:tcW w:w="0" w:type="auto"/>
            <w:tcBorders>
              <w:bottom w:val="single" w:sz="4" w:space="0" w:color="auto"/>
            </w:tcBorders>
            <w:vAlign w:val="center"/>
            <w:hideMark/>
          </w:tcPr>
          <w:p w14:paraId="2004D68E"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.89</w:t>
            </w:r>
          </w:p>
        </w:tc>
      </w:tr>
    </w:tbl>
    <w:p w14:paraId="62FA5AE5" w14:textId="77777777" w:rsidR="00506106" w:rsidRPr="00A85F7B" w:rsidRDefault="00741F00" w:rsidP="006921C8">
      <w:pPr>
        <w:spacing w:before="100" w:beforeAutospacing="1" w:after="100" w:afterAutospacing="1" w:line="240" w:lineRule="auto"/>
        <w:rPr>
          <w:rFonts w:ascii="Times New Roman" w:hAnsi="Times New Roman" w:cs="Times New Roman"/>
        </w:rPr>
      </w:pPr>
      <w:r w:rsidRPr="00741F00">
        <w:rPr>
          <w:rFonts w:ascii="Times New Roman" w:eastAsia="Times New Roman" w:hAnsi="Times New Roman" w:cs="Times New Roman"/>
          <w:kern w:val="0"/>
          <w:lang w:eastAsia="en-PH"/>
          <w14:ligatures w14:val="none"/>
        </w:rPr>
        <w:t>Test–retest correlations (two-week interval, n = 87) ranged from .81 to .89 (p &lt; .001), confirming high temporal stability.</w:t>
      </w:r>
    </w:p>
    <w:sectPr w:rsidR="00506106" w:rsidRPr="00A85F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5AF1" w14:textId="77777777" w:rsidR="00DD3EFD" w:rsidRDefault="00DD3EFD" w:rsidP="005644D2">
      <w:pPr>
        <w:spacing w:after="0" w:line="240" w:lineRule="auto"/>
      </w:pPr>
      <w:r>
        <w:separator/>
      </w:r>
    </w:p>
  </w:endnote>
  <w:endnote w:type="continuationSeparator" w:id="0">
    <w:p w14:paraId="75C4236C" w14:textId="77777777" w:rsidR="00DD3EFD" w:rsidRDefault="00DD3EFD" w:rsidP="0056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8225" w14:textId="77777777" w:rsidR="005644D2" w:rsidRDefault="0056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1533" w14:textId="77777777" w:rsidR="005644D2" w:rsidRDefault="00564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13D9" w14:textId="77777777" w:rsidR="005644D2" w:rsidRDefault="0056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5611" w14:textId="77777777" w:rsidR="00DD3EFD" w:rsidRDefault="00DD3EFD" w:rsidP="005644D2">
      <w:pPr>
        <w:spacing w:after="0" w:line="240" w:lineRule="auto"/>
      </w:pPr>
      <w:r>
        <w:separator/>
      </w:r>
    </w:p>
  </w:footnote>
  <w:footnote w:type="continuationSeparator" w:id="0">
    <w:p w14:paraId="42E28AF7" w14:textId="77777777" w:rsidR="00DD3EFD" w:rsidRDefault="00DD3EFD" w:rsidP="0056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FEB9" w14:textId="444E6E3F" w:rsidR="005644D2" w:rsidRDefault="00000000">
    <w:pPr>
      <w:pStyle w:val="Header"/>
    </w:pPr>
    <w:r>
      <w:rPr>
        <w:noProof/>
      </w:rPr>
      <w:pict w14:anchorId="41A3C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974C" w14:textId="7969B532" w:rsidR="005644D2" w:rsidRDefault="00000000">
    <w:pPr>
      <w:pStyle w:val="Header"/>
    </w:pPr>
    <w:r>
      <w:rPr>
        <w:noProof/>
      </w:rPr>
      <w:pict w14:anchorId="6406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64ED" w14:textId="0210C6D7" w:rsidR="005644D2" w:rsidRDefault="00000000">
    <w:pPr>
      <w:pStyle w:val="Header"/>
    </w:pPr>
    <w:r>
      <w:rPr>
        <w:noProof/>
      </w:rPr>
      <w:pict w14:anchorId="2744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5C2"/>
    <w:multiLevelType w:val="multilevel"/>
    <w:tmpl w:val="A4F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091BF3"/>
    <w:multiLevelType w:val="multilevel"/>
    <w:tmpl w:val="D0DA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15083"/>
    <w:multiLevelType w:val="multilevel"/>
    <w:tmpl w:val="125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21381"/>
    <w:multiLevelType w:val="multilevel"/>
    <w:tmpl w:val="D5C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6180">
    <w:abstractNumId w:val="1"/>
  </w:num>
  <w:num w:numId="2" w16cid:durableId="51923919">
    <w:abstractNumId w:val="0"/>
  </w:num>
  <w:num w:numId="3" w16cid:durableId="1290940098">
    <w:abstractNumId w:val="2"/>
  </w:num>
  <w:num w:numId="4" w16cid:durableId="17912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AA"/>
    <w:rsid w:val="000017B6"/>
    <w:rsid w:val="00020514"/>
    <w:rsid w:val="000756E6"/>
    <w:rsid w:val="000B2E31"/>
    <w:rsid w:val="000D3439"/>
    <w:rsid w:val="00167435"/>
    <w:rsid w:val="00273A8E"/>
    <w:rsid w:val="0033641F"/>
    <w:rsid w:val="003A3970"/>
    <w:rsid w:val="003B0B60"/>
    <w:rsid w:val="004D5BA0"/>
    <w:rsid w:val="00506106"/>
    <w:rsid w:val="00527D39"/>
    <w:rsid w:val="005644D2"/>
    <w:rsid w:val="00685EBB"/>
    <w:rsid w:val="006921C8"/>
    <w:rsid w:val="006F6C03"/>
    <w:rsid w:val="00741F00"/>
    <w:rsid w:val="007819C3"/>
    <w:rsid w:val="007D15F6"/>
    <w:rsid w:val="008D47E6"/>
    <w:rsid w:val="00913E3D"/>
    <w:rsid w:val="00956582"/>
    <w:rsid w:val="00957259"/>
    <w:rsid w:val="009758D1"/>
    <w:rsid w:val="009F5EA6"/>
    <w:rsid w:val="00A008B6"/>
    <w:rsid w:val="00A070D0"/>
    <w:rsid w:val="00A208E9"/>
    <w:rsid w:val="00A70AAA"/>
    <w:rsid w:val="00A80844"/>
    <w:rsid w:val="00A85F7B"/>
    <w:rsid w:val="00AD25E2"/>
    <w:rsid w:val="00B60840"/>
    <w:rsid w:val="00BA7C72"/>
    <w:rsid w:val="00BD18E0"/>
    <w:rsid w:val="00C7357E"/>
    <w:rsid w:val="00CC0349"/>
    <w:rsid w:val="00CC3A3C"/>
    <w:rsid w:val="00CF33CC"/>
    <w:rsid w:val="00D2633F"/>
    <w:rsid w:val="00DA613E"/>
    <w:rsid w:val="00DD3EFD"/>
    <w:rsid w:val="00E05E6B"/>
    <w:rsid w:val="00E123AE"/>
    <w:rsid w:val="00E13CA9"/>
    <w:rsid w:val="00E57EE9"/>
    <w:rsid w:val="00E774DC"/>
    <w:rsid w:val="00F0580C"/>
    <w:rsid w:val="00F14953"/>
    <w:rsid w:val="00FC23B1"/>
    <w:rsid w:val="00FF4FC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DE8E"/>
  <w15:chartTrackingRefBased/>
  <w15:docId w15:val="{1E13EE44-8BD1-4DD1-A050-C0F71C55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1F0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link w:val="Heading3Char"/>
    <w:uiPriority w:val="9"/>
    <w:qFormat/>
    <w:rsid w:val="00741F0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F00"/>
    <w:rPr>
      <w:rFonts w:ascii="Times New Roman" w:eastAsia="Times New Roman" w:hAnsi="Times New Roman" w:cs="Times New Roman"/>
      <w:b/>
      <w:bCs/>
      <w:kern w:val="0"/>
      <w:sz w:val="36"/>
      <w:szCs w:val="36"/>
      <w:lang w:eastAsia="en-PH"/>
      <w14:ligatures w14:val="none"/>
    </w:rPr>
  </w:style>
  <w:style w:type="character" w:customStyle="1" w:styleId="Heading3Char">
    <w:name w:val="Heading 3 Char"/>
    <w:basedOn w:val="DefaultParagraphFont"/>
    <w:link w:val="Heading3"/>
    <w:uiPriority w:val="9"/>
    <w:rsid w:val="00741F00"/>
    <w:rPr>
      <w:rFonts w:ascii="Times New Roman" w:eastAsia="Times New Roman" w:hAnsi="Times New Roman" w:cs="Times New Roman"/>
      <w:b/>
      <w:bCs/>
      <w:kern w:val="0"/>
      <w:sz w:val="27"/>
      <w:szCs w:val="27"/>
      <w:lang w:eastAsia="en-PH"/>
      <w14:ligatures w14:val="none"/>
    </w:rPr>
  </w:style>
  <w:style w:type="character" w:styleId="Strong">
    <w:name w:val="Strong"/>
    <w:basedOn w:val="DefaultParagraphFont"/>
    <w:uiPriority w:val="22"/>
    <w:qFormat/>
    <w:rsid w:val="00741F00"/>
    <w:rPr>
      <w:b/>
      <w:bCs/>
    </w:rPr>
  </w:style>
  <w:style w:type="paragraph" w:styleId="NormalWeb">
    <w:name w:val="Normal (Web)"/>
    <w:basedOn w:val="Normal"/>
    <w:uiPriority w:val="99"/>
    <w:semiHidden/>
    <w:unhideWhenUsed/>
    <w:rsid w:val="00741F00"/>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E123AE"/>
    <w:rPr>
      <w:color w:val="0563C1" w:themeColor="hyperlink"/>
      <w:u w:val="single"/>
    </w:rPr>
  </w:style>
  <w:style w:type="character" w:styleId="UnresolvedMention">
    <w:name w:val="Unresolved Mention"/>
    <w:basedOn w:val="DefaultParagraphFont"/>
    <w:uiPriority w:val="99"/>
    <w:semiHidden/>
    <w:unhideWhenUsed/>
    <w:rsid w:val="00E123AE"/>
    <w:rPr>
      <w:color w:val="605E5C"/>
      <w:shd w:val="clear" w:color="auto" w:fill="E1DFDD"/>
    </w:rPr>
  </w:style>
  <w:style w:type="paragraph" w:styleId="Header">
    <w:name w:val="header"/>
    <w:basedOn w:val="Normal"/>
    <w:link w:val="HeaderChar"/>
    <w:uiPriority w:val="99"/>
    <w:unhideWhenUsed/>
    <w:rsid w:val="0056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4D2"/>
  </w:style>
  <w:style w:type="paragraph" w:styleId="Footer">
    <w:name w:val="footer"/>
    <w:basedOn w:val="Normal"/>
    <w:link w:val="FooterChar"/>
    <w:uiPriority w:val="99"/>
    <w:unhideWhenUsed/>
    <w:rsid w:val="0056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8176">
      <w:bodyDiv w:val="1"/>
      <w:marLeft w:val="0"/>
      <w:marRight w:val="0"/>
      <w:marTop w:val="0"/>
      <w:marBottom w:val="0"/>
      <w:divBdr>
        <w:top w:val="none" w:sz="0" w:space="0" w:color="auto"/>
        <w:left w:val="none" w:sz="0" w:space="0" w:color="auto"/>
        <w:bottom w:val="none" w:sz="0" w:space="0" w:color="auto"/>
        <w:right w:val="none" w:sz="0" w:space="0" w:color="auto"/>
      </w:divBdr>
      <w:divsChild>
        <w:div w:id="1753774069">
          <w:marLeft w:val="0"/>
          <w:marRight w:val="0"/>
          <w:marTop w:val="0"/>
          <w:marBottom w:val="0"/>
          <w:divBdr>
            <w:top w:val="none" w:sz="0" w:space="0" w:color="auto"/>
            <w:left w:val="none" w:sz="0" w:space="0" w:color="auto"/>
            <w:bottom w:val="none" w:sz="0" w:space="0" w:color="auto"/>
            <w:right w:val="none" w:sz="0" w:space="0" w:color="auto"/>
          </w:divBdr>
          <w:divsChild>
            <w:div w:id="299381806">
              <w:marLeft w:val="0"/>
              <w:marRight w:val="0"/>
              <w:marTop w:val="0"/>
              <w:marBottom w:val="0"/>
              <w:divBdr>
                <w:top w:val="none" w:sz="0" w:space="0" w:color="auto"/>
                <w:left w:val="none" w:sz="0" w:space="0" w:color="auto"/>
                <w:bottom w:val="none" w:sz="0" w:space="0" w:color="auto"/>
                <w:right w:val="none" w:sz="0" w:space="0" w:color="auto"/>
              </w:divBdr>
            </w:div>
          </w:divsChild>
        </w:div>
        <w:div w:id="1928880434">
          <w:marLeft w:val="0"/>
          <w:marRight w:val="0"/>
          <w:marTop w:val="0"/>
          <w:marBottom w:val="0"/>
          <w:divBdr>
            <w:top w:val="none" w:sz="0" w:space="0" w:color="auto"/>
            <w:left w:val="none" w:sz="0" w:space="0" w:color="auto"/>
            <w:bottom w:val="none" w:sz="0" w:space="0" w:color="auto"/>
            <w:right w:val="none" w:sz="0" w:space="0" w:color="auto"/>
          </w:divBdr>
          <w:divsChild>
            <w:div w:id="973486370">
              <w:marLeft w:val="0"/>
              <w:marRight w:val="0"/>
              <w:marTop w:val="0"/>
              <w:marBottom w:val="0"/>
              <w:divBdr>
                <w:top w:val="none" w:sz="0" w:space="0" w:color="auto"/>
                <w:left w:val="none" w:sz="0" w:space="0" w:color="auto"/>
                <w:bottom w:val="none" w:sz="0" w:space="0" w:color="auto"/>
                <w:right w:val="none" w:sz="0" w:space="0" w:color="auto"/>
              </w:divBdr>
            </w:div>
          </w:divsChild>
        </w:div>
        <w:div w:id="279337830">
          <w:marLeft w:val="0"/>
          <w:marRight w:val="0"/>
          <w:marTop w:val="0"/>
          <w:marBottom w:val="0"/>
          <w:divBdr>
            <w:top w:val="none" w:sz="0" w:space="0" w:color="auto"/>
            <w:left w:val="none" w:sz="0" w:space="0" w:color="auto"/>
            <w:bottom w:val="none" w:sz="0" w:space="0" w:color="auto"/>
            <w:right w:val="none" w:sz="0" w:space="0" w:color="auto"/>
          </w:divBdr>
          <w:divsChild>
            <w:div w:id="13353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3296">
      <w:bodyDiv w:val="1"/>
      <w:marLeft w:val="0"/>
      <w:marRight w:val="0"/>
      <w:marTop w:val="0"/>
      <w:marBottom w:val="0"/>
      <w:divBdr>
        <w:top w:val="none" w:sz="0" w:space="0" w:color="auto"/>
        <w:left w:val="none" w:sz="0" w:space="0" w:color="auto"/>
        <w:bottom w:val="none" w:sz="0" w:space="0" w:color="auto"/>
        <w:right w:val="none" w:sz="0" w:space="0" w:color="auto"/>
      </w:divBdr>
      <w:divsChild>
        <w:div w:id="922181047">
          <w:marLeft w:val="0"/>
          <w:marRight w:val="0"/>
          <w:marTop w:val="0"/>
          <w:marBottom w:val="0"/>
          <w:divBdr>
            <w:top w:val="none" w:sz="0" w:space="0" w:color="auto"/>
            <w:left w:val="none" w:sz="0" w:space="0" w:color="auto"/>
            <w:bottom w:val="none" w:sz="0" w:space="0" w:color="auto"/>
            <w:right w:val="none" w:sz="0" w:space="0" w:color="auto"/>
          </w:divBdr>
          <w:divsChild>
            <w:div w:id="452863467">
              <w:marLeft w:val="0"/>
              <w:marRight w:val="0"/>
              <w:marTop w:val="0"/>
              <w:marBottom w:val="0"/>
              <w:divBdr>
                <w:top w:val="none" w:sz="0" w:space="0" w:color="auto"/>
                <w:left w:val="none" w:sz="0" w:space="0" w:color="auto"/>
                <w:bottom w:val="none" w:sz="0" w:space="0" w:color="auto"/>
                <w:right w:val="none" w:sz="0" w:space="0" w:color="auto"/>
              </w:divBdr>
              <w:divsChild>
                <w:div w:id="1731541383">
                  <w:marLeft w:val="0"/>
                  <w:marRight w:val="0"/>
                  <w:marTop w:val="0"/>
                  <w:marBottom w:val="0"/>
                  <w:divBdr>
                    <w:top w:val="none" w:sz="0" w:space="0" w:color="auto"/>
                    <w:left w:val="none" w:sz="0" w:space="0" w:color="auto"/>
                    <w:bottom w:val="none" w:sz="0" w:space="0" w:color="auto"/>
                    <w:right w:val="none" w:sz="0" w:space="0" w:color="auto"/>
                  </w:divBdr>
                  <w:divsChild>
                    <w:div w:id="1066876014">
                      <w:marLeft w:val="0"/>
                      <w:marRight w:val="0"/>
                      <w:marTop w:val="0"/>
                      <w:marBottom w:val="0"/>
                      <w:divBdr>
                        <w:top w:val="none" w:sz="0" w:space="0" w:color="auto"/>
                        <w:left w:val="none" w:sz="0" w:space="0" w:color="auto"/>
                        <w:bottom w:val="none" w:sz="0" w:space="0" w:color="auto"/>
                        <w:right w:val="none" w:sz="0" w:space="0" w:color="auto"/>
                      </w:divBdr>
                      <w:divsChild>
                        <w:div w:id="2031104849">
                          <w:marLeft w:val="0"/>
                          <w:marRight w:val="0"/>
                          <w:marTop w:val="0"/>
                          <w:marBottom w:val="0"/>
                          <w:divBdr>
                            <w:top w:val="none" w:sz="0" w:space="0" w:color="auto"/>
                            <w:left w:val="none" w:sz="0" w:space="0" w:color="auto"/>
                            <w:bottom w:val="none" w:sz="0" w:space="0" w:color="auto"/>
                            <w:right w:val="none" w:sz="0" w:space="0" w:color="auto"/>
                          </w:divBdr>
                          <w:divsChild>
                            <w:div w:id="13146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89730">
          <w:marLeft w:val="0"/>
          <w:marRight w:val="0"/>
          <w:marTop w:val="0"/>
          <w:marBottom w:val="0"/>
          <w:divBdr>
            <w:top w:val="none" w:sz="0" w:space="0" w:color="auto"/>
            <w:left w:val="none" w:sz="0" w:space="0" w:color="auto"/>
            <w:bottom w:val="none" w:sz="0" w:space="0" w:color="auto"/>
            <w:right w:val="none" w:sz="0" w:space="0" w:color="auto"/>
          </w:divBdr>
          <w:divsChild>
            <w:div w:id="1053579758">
              <w:marLeft w:val="0"/>
              <w:marRight w:val="0"/>
              <w:marTop w:val="0"/>
              <w:marBottom w:val="0"/>
              <w:divBdr>
                <w:top w:val="none" w:sz="0" w:space="0" w:color="auto"/>
                <w:left w:val="none" w:sz="0" w:space="0" w:color="auto"/>
                <w:bottom w:val="none" w:sz="0" w:space="0" w:color="auto"/>
                <w:right w:val="none" w:sz="0" w:space="0" w:color="auto"/>
              </w:divBdr>
              <w:divsChild>
                <w:div w:id="2143688113">
                  <w:marLeft w:val="0"/>
                  <w:marRight w:val="0"/>
                  <w:marTop w:val="0"/>
                  <w:marBottom w:val="0"/>
                  <w:divBdr>
                    <w:top w:val="none" w:sz="0" w:space="0" w:color="auto"/>
                    <w:left w:val="none" w:sz="0" w:space="0" w:color="auto"/>
                    <w:bottom w:val="none" w:sz="0" w:space="0" w:color="auto"/>
                    <w:right w:val="none" w:sz="0" w:space="0" w:color="auto"/>
                  </w:divBdr>
                  <w:divsChild>
                    <w:div w:id="374234245">
                      <w:marLeft w:val="0"/>
                      <w:marRight w:val="0"/>
                      <w:marTop w:val="0"/>
                      <w:marBottom w:val="0"/>
                      <w:divBdr>
                        <w:top w:val="none" w:sz="0" w:space="0" w:color="auto"/>
                        <w:left w:val="none" w:sz="0" w:space="0" w:color="auto"/>
                        <w:bottom w:val="none" w:sz="0" w:space="0" w:color="auto"/>
                        <w:right w:val="none" w:sz="0" w:space="0" w:color="auto"/>
                      </w:divBdr>
                      <w:divsChild>
                        <w:div w:id="1643119009">
                          <w:marLeft w:val="0"/>
                          <w:marRight w:val="0"/>
                          <w:marTop w:val="0"/>
                          <w:marBottom w:val="0"/>
                          <w:divBdr>
                            <w:top w:val="none" w:sz="0" w:space="0" w:color="auto"/>
                            <w:left w:val="none" w:sz="0" w:space="0" w:color="auto"/>
                            <w:bottom w:val="none" w:sz="0" w:space="0" w:color="auto"/>
                            <w:right w:val="none" w:sz="0" w:space="0" w:color="auto"/>
                          </w:divBdr>
                          <w:divsChild>
                            <w:div w:id="67651571">
                              <w:marLeft w:val="0"/>
                              <w:marRight w:val="0"/>
                              <w:marTop w:val="0"/>
                              <w:marBottom w:val="0"/>
                              <w:divBdr>
                                <w:top w:val="none" w:sz="0" w:space="0" w:color="auto"/>
                                <w:left w:val="none" w:sz="0" w:space="0" w:color="auto"/>
                                <w:bottom w:val="none" w:sz="0" w:space="0" w:color="auto"/>
                                <w:right w:val="none" w:sz="0" w:space="0" w:color="auto"/>
                              </w:divBdr>
                              <w:divsChild>
                                <w:div w:id="1563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943381">
          <w:marLeft w:val="0"/>
          <w:marRight w:val="0"/>
          <w:marTop w:val="0"/>
          <w:marBottom w:val="0"/>
          <w:divBdr>
            <w:top w:val="none" w:sz="0" w:space="0" w:color="auto"/>
            <w:left w:val="none" w:sz="0" w:space="0" w:color="auto"/>
            <w:bottom w:val="none" w:sz="0" w:space="0" w:color="auto"/>
            <w:right w:val="none" w:sz="0" w:space="0" w:color="auto"/>
          </w:divBdr>
          <w:divsChild>
            <w:div w:id="1328901628">
              <w:marLeft w:val="0"/>
              <w:marRight w:val="0"/>
              <w:marTop w:val="0"/>
              <w:marBottom w:val="0"/>
              <w:divBdr>
                <w:top w:val="none" w:sz="0" w:space="0" w:color="auto"/>
                <w:left w:val="none" w:sz="0" w:space="0" w:color="auto"/>
                <w:bottom w:val="none" w:sz="0" w:space="0" w:color="auto"/>
                <w:right w:val="none" w:sz="0" w:space="0" w:color="auto"/>
              </w:divBdr>
              <w:divsChild>
                <w:div w:id="523448589">
                  <w:marLeft w:val="0"/>
                  <w:marRight w:val="0"/>
                  <w:marTop w:val="0"/>
                  <w:marBottom w:val="0"/>
                  <w:divBdr>
                    <w:top w:val="none" w:sz="0" w:space="0" w:color="auto"/>
                    <w:left w:val="none" w:sz="0" w:space="0" w:color="auto"/>
                    <w:bottom w:val="none" w:sz="0" w:space="0" w:color="auto"/>
                    <w:right w:val="none" w:sz="0" w:space="0" w:color="auto"/>
                  </w:divBdr>
                  <w:divsChild>
                    <w:div w:id="471365374">
                      <w:marLeft w:val="0"/>
                      <w:marRight w:val="0"/>
                      <w:marTop w:val="0"/>
                      <w:marBottom w:val="0"/>
                      <w:divBdr>
                        <w:top w:val="none" w:sz="0" w:space="0" w:color="auto"/>
                        <w:left w:val="none" w:sz="0" w:space="0" w:color="auto"/>
                        <w:bottom w:val="none" w:sz="0" w:space="0" w:color="auto"/>
                        <w:right w:val="none" w:sz="0" w:space="0" w:color="auto"/>
                      </w:divBdr>
                      <w:divsChild>
                        <w:div w:id="2039623193">
                          <w:marLeft w:val="0"/>
                          <w:marRight w:val="0"/>
                          <w:marTop w:val="0"/>
                          <w:marBottom w:val="0"/>
                          <w:divBdr>
                            <w:top w:val="none" w:sz="0" w:space="0" w:color="auto"/>
                            <w:left w:val="none" w:sz="0" w:space="0" w:color="auto"/>
                            <w:bottom w:val="none" w:sz="0" w:space="0" w:color="auto"/>
                            <w:right w:val="none" w:sz="0" w:space="0" w:color="auto"/>
                          </w:divBdr>
                          <w:divsChild>
                            <w:div w:id="1025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60933">
          <w:marLeft w:val="0"/>
          <w:marRight w:val="0"/>
          <w:marTop w:val="0"/>
          <w:marBottom w:val="0"/>
          <w:divBdr>
            <w:top w:val="none" w:sz="0" w:space="0" w:color="auto"/>
            <w:left w:val="none" w:sz="0" w:space="0" w:color="auto"/>
            <w:bottom w:val="none" w:sz="0" w:space="0" w:color="auto"/>
            <w:right w:val="none" w:sz="0" w:space="0" w:color="auto"/>
          </w:divBdr>
          <w:divsChild>
            <w:div w:id="858934300">
              <w:marLeft w:val="0"/>
              <w:marRight w:val="0"/>
              <w:marTop w:val="0"/>
              <w:marBottom w:val="0"/>
              <w:divBdr>
                <w:top w:val="none" w:sz="0" w:space="0" w:color="auto"/>
                <w:left w:val="none" w:sz="0" w:space="0" w:color="auto"/>
                <w:bottom w:val="none" w:sz="0" w:space="0" w:color="auto"/>
                <w:right w:val="none" w:sz="0" w:space="0" w:color="auto"/>
              </w:divBdr>
              <w:divsChild>
                <w:div w:id="1073620766">
                  <w:marLeft w:val="0"/>
                  <w:marRight w:val="0"/>
                  <w:marTop w:val="0"/>
                  <w:marBottom w:val="0"/>
                  <w:divBdr>
                    <w:top w:val="none" w:sz="0" w:space="0" w:color="auto"/>
                    <w:left w:val="none" w:sz="0" w:space="0" w:color="auto"/>
                    <w:bottom w:val="none" w:sz="0" w:space="0" w:color="auto"/>
                    <w:right w:val="none" w:sz="0" w:space="0" w:color="auto"/>
                  </w:divBdr>
                  <w:divsChild>
                    <w:div w:id="62412981">
                      <w:marLeft w:val="0"/>
                      <w:marRight w:val="0"/>
                      <w:marTop w:val="0"/>
                      <w:marBottom w:val="0"/>
                      <w:divBdr>
                        <w:top w:val="none" w:sz="0" w:space="0" w:color="auto"/>
                        <w:left w:val="none" w:sz="0" w:space="0" w:color="auto"/>
                        <w:bottom w:val="none" w:sz="0" w:space="0" w:color="auto"/>
                        <w:right w:val="none" w:sz="0" w:space="0" w:color="auto"/>
                      </w:divBdr>
                      <w:divsChild>
                        <w:div w:id="1079863096">
                          <w:marLeft w:val="0"/>
                          <w:marRight w:val="0"/>
                          <w:marTop w:val="0"/>
                          <w:marBottom w:val="0"/>
                          <w:divBdr>
                            <w:top w:val="none" w:sz="0" w:space="0" w:color="auto"/>
                            <w:left w:val="none" w:sz="0" w:space="0" w:color="auto"/>
                            <w:bottom w:val="none" w:sz="0" w:space="0" w:color="auto"/>
                            <w:right w:val="none" w:sz="0" w:space="0" w:color="auto"/>
                          </w:divBdr>
                          <w:divsChild>
                            <w:div w:id="1393113567">
                              <w:marLeft w:val="0"/>
                              <w:marRight w:val="0"/>
                              <w:marTop w:val="0"/>
                              <w:marBottom w:val="0"/>
                              <w:divBdr>
                                <w:top w:val="none" w:sz="0" w:space="0" w:color="auto"/>
                                <w:left w:val="none" w:sz="0" w:space="0" w:color="auto"/>
                                <w:bottom w:val="none" w:sz="0" w:space="0" w:color="auto"/>
                                <w:right w:val="none" w:sz="0" w:space="0" w:color="auto"/>
                              </w:divBdr>
                              <w:divsChild>
                                <w:div w:id="11262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8606">
          <w:marLeft w:val="0"/>
          <w:marRight w:val="0"/>
          <w:marTop w:val="0"/>
          <w:marBottom w:val="0"/>
          <w:divBdr>
            <w:top w:val="none" w:sz="0" w:space="0" w:color="auto"/>
            <w:left w:val="none" w:sz="0" w:space="0" w:color="auto"/>
            <w:bottom w:val="none" w:sz="0" w:space="0" w:color="auto"/>
            <w:right w:val="none" w:sz="0" w:space="0" w:color="auto"/>
          </w:divBdr>
          <w:divsChild>
            <w:div w:id="632946906">
              <w:marLeft w:val="0"/>
              <w:marRight w:val="0"/>
              <w:marTop w:val="0"/>
              <w:marBottom w:val="0"/>
              <w:divBdr>
                <w:top w:val="none" w:sz="0" w:space="0" w:color="auto"/>
                <w:left w:val="none" w:sz="0" w:space="0" w:color="auto"/>
                <w:bottom w:val="none" w:sz="0" w:space="0" w:color="auto"/>
                <w:right w:val="none" w:sz="0" w:space="0" w:color="auto"/>
              </w:divBdr>
              <w:divsChild>
                <w:div w:id="507452526">
                  <w:marLeft w:val="0"/>
                  <w:marRight w:val="0"/>
                  <w:marTop w:val="0"/>
                  <w:marBottom w:val="0"/>
                  <w:divBdr>
                    <w:top w:val="none" w:sz="0" w:space="0" w:color="auto"/>
                    <w:left w:val="none" w:sz="0" w:space="0" w:color="auto"/>
                    <w:bottom w:val="none" w:sz="0" w:space="0" w:color="auto"/>
                    <w:right w:val="none" w:sz="0" w:space="0" w:color="auto"/>
                  </w:divBdr>
                  <w:divsChild>
                    <w:div w:id="1090664009">
                      <w:marLeft w:val="0"/>
                      <w:marRight w:val="0"/>
                      <w:marTop w:val="0"/>
                      <w:marBottom w:val="0"/>
                      <w:divBdr>
                        <w:top w:val="none" w:sz="0" w:space="0" w:color="auto"/>
                        <w:left w:val="none" w:sz="0" w:space="0" w:color="auto"/>
                        <w:bottom w:val="none" w:sz="0" w:space="0" w:color="auto"/>
                        <w:right w:val="none" w:sz="0" w:space="0" w:color="auto"/>
                      </w:divBdr>
                      <w:divsChild>
                        <w:div w:id="322860746">
                          <w:marLeft w:val="0"/>
                          <w:marRight w:val="0"/>
                          <w:marTop w:val="0"/>
                          <w:marBottom w:val="0"/>
                          <w:divBdr>
                            <w:top w:val="none" w:sz="0" w:space="0" w:color="auto"/>
                            <w:left w:val="none" w:sz="0" w:space="0" w:color="auto"/>
                            <w:bottom w:val="none" w:sz="0" w:space="0" w:color="auto"/>
                            <w:right w:val="none" w:sz="0" w:space="0" w:color="auto"/>
                          </w:divBdr>
                          <w:divsChild>
                            <w:div w:id="1001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95916">
          <w:marLeft w:val="0"/>
          <w:marRight w:val="0"/>
          <w:marTop w:val="0"/>
          <w:marBottom w:val="0"/>
          <w:divBdr>
            <w:top w:val="none" w:sz="0" w:space="0" w:color="auto"/>
            <w:left w:val="none" w:sz="0" w:space="0" w:color="auto"/>
            <w:bottom w:val="none" w:sz="0" w:space="0" w:color="auto"/>
            <w:right w:val="none" w:sz="0" w:space="0" w:color="auto"/>
          </w:divBdr>
          <w:divsChild>
            <w:div w:id="1794444770">
              <w:marLeft w:val="0"/>
              <w:marRight w:val="0"/>
              <w:marTop w:val="0"/>
              <w:marBottom w:val="0"/>
              <w:divBdr>
                <w:top w:val="none" w:sz="0" w:space="0" w:color="auto"/>
                <w:left w:val="none" w:sz="0" w:space="0" w:color="auto"/>
                <w:bottom w:val="none" w:sz="0" w:space="0" w:color="auto"/>
                <w:right w:val="none" w:sz="0" w:space="0" w:color="auto"/>
              </w:divBdr>
              <w:divsChild>
                <w:div w:id="1807431093">
                  <w:marLeft w:val="0"/>
                  <w:marRight w:val="0"/>
                  <w:marTop w:val="0"/>
                  <w:marBottom w:val="0"/>
                  <w:divBdr>
                    <w:top w:val="none" w:sz="0" w:space="0" w:color="auto"/>
                    <w:left w:val="none" w:sz="0" w:space="0" w:color="auto"/>
                    <w:bottom w:val="none" w:sz="0" w:space="0" w:color="auto"/>
                    <w:right w:val="none" w:sz="0" w:space="0" w:color="auto"/>
                  </w:divBdr>
                  <w:divsChild>
                    <w:div w:id="176697410">
                      <w:marLeft w:val="0"/>
                      <w:marRight w:val="0"/>
                      <w:marTop w:val="0"/>
                      <w:marBottom w:val="0"/>
                      <w:divBdr>
                        <w:top w:val="none" w:sz="0" w:space="0" w:color="auto"/>
                        <w:left w:val="none" w:sz="0" w:space="0" w:color="auto"/>
                        <w:bottom w:val="none" w:sz="0" w:space="0" w:color="auto"/>
                        <w:right w:val="none" w:sz="0" w:space="0" w:color="auto"/>
                      </w:divBdr>
                      <w:divsChild>
                        <w:div w:id="1294561608">
                          <w:marLeft w:val="0"/>
                          <w:marRight w:val="0"/>
                          <w:marTop w:val="0"/>
                          <w:marBottom w:val="0"/>
                          <w:divBdr>
                            <w:top w:val="none" w:sz="0" w:space="0" w:color="auto"/>
                            <w:left w:val="none" w:sz="0" w:space="0" w:color="auto"/>
                            <w:bottom w:val="none" w:sz="0" w:space="0" w:color="auto"/>
                            <w:right w:val="none" w:sz="0" w:space="0" w:color="auto"/>
                          </w:divBdr>
                          <w:divsChild>
                            <w:div w:id="870872868">
                              <w:marLeft w:val="0"/>
                              <w:marRight w:val="0"/>
                              <w:marTop w:val="0"/>
                              <w:marBottom w:val="0"/>
                              <w:divBdr>
                                <w:top w:val="none" w:sz="0" w:space="0" w:color="auto"/>
                                <w:left w:val="none" w:sz="0" w:space="0" w:color="auto"/>
                                <w:bottom w:val="none" w:sz="0" w:space="0" w:color="auto"/>
                                <w:right w:val="none" w:sz="0" w:space="0" w:color="auto"/>
                              </w:divBdr>
                              <w:divsChild>
                                <w:div w:id="11422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33112">
          <w:marLeft w:val="0"/>
          <w:marRight w:val="0"/>
          <w:marTop w:val="0"/>
          <w:marBottom w:val="0"/>
          <w:divBdr>
            <w:top w:val="none" w:sz="0" w:space="0" w:color="auto"/>
            <w:left w:val="none" w:sz="0" w:space="0" w:color="auto"/>
            <w:bottom w:val="none" w:sz="0" w:space="0" w:color="auto"/>
            <w:right w:val="none" w:sz="0" w:space="0" w:color="auto"/>
          </w:divBdr>
          <w:divsChild>
            <w:div w:id="2078091552">
              <w:marLeft w:val="0"/>
              <w:marRight w:val="0"/>
              <w:marTop w:val="0"/>
              <w:marBottom w:val="0"/>
              <w:divBdr>
                <w:top w:val="none" w:sz="0" w:space="0" w:color="auto"/>
                <w:left w:val="none" w:sz="0" w:space="0" w:color="auto"/>
                <w:bottom w:val="none" w:sz="0" w:space="0" w:color="auto"/>
                <w:right w:val="none" w:sz="0" w:space="0" w:color="auto"/>
              </w:divBdr>
              <w:divsChild>
                <w:div w:id="882643168">
                  <w:marLeft w:val="0"/>
                  <w:marRight w:val="0"/>
                  <w:marTop w:val="0"/>
                  <w:marBottom w:val="0"/>
                  <w:divBdr>
                    <w:top w:val="none" w:sz="0" w:space="0" w:color="auto"/>
                    <w:left w:val="none" w:sz="0" w:space="0" w:color="auto"/>
                    <w:bottom w:val="none" w:sz="0" w:space="0" w:color="auto"/>
                    <w:right w:val="none" w:sz="0" w:space="0" w:color="auto"/>
                  </w:divBdr>
                  <w:divsChild>
                    <w:div w:id="1505586925">
                      <w:marLeft w:val="0"/>
                      <w:marRight w:val="0"/>
                      <w:marTop w:val="0"/>
                      <w:marBottom w:val="0"/>
                      <w:divBdr>
                        <w:top w:val="none" w:sz="0" w:space="0" w:color="auto"/>
                        <w:left w:val="none" w:sz="0" w:space="0" w:color="auto"/>
                        <w:bottom w:val="none" w:sz="0" w:space="0" w:color="auto"/>
                        <w:right w:val="none" w:sz="0" w:space="0" w:color="auto"/>
                      </w:divBdr>
                      <w:divsChild>
                        <w:div w:id="1358384442">
                          <w:marLeft w:val="0"/>
                          <w:marRight w:val="0"/>
                          <w:marTop w:val="0"/>
                          <w:marBottom w:val="0"/>
                          <w:divBdr>
                            <w:top w:val="none" w:sz="0" w:space="0" w:color="auto"/>
                            <w:left w:val="none" w:sz="0" w:space="0" w:color="auto"/>
                            <w:bottom w:val="none" w:sz="0" w:space="0" w:color="auto"/>
                            <w:right w:val="none" w:sz="0" w:space="0" w:color="auto"/>
                          </w:divBdr>
                          <w:divsChild>
                            <w:div w:id="422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2904">
          <w:marLeft w:val="0"/>
          <w:marRight w:val="0"/>
          <w:marTop w:val="0"/>
          <w:marBottom w:val="0"/>
          <w:divBdr>
            <w:top w:val="none" w:sz="0" w:space="0" w:color="auto"/>
            <w:left w:val="none" w:sz="0" w:space="0" w:color="auto"/>
            <w:bottom w:val="none" w:sz="0" w:space="0" w:color="auto"/>
            <w:right w:val="none" w:sz="0" w:space="0" w:color="auto"/>
          </w:divBdr>
          <w:divsChild>
            <w:div w:id="891960137">
              <w:marLeft w:val="0"/>
              <w:marRight w:val="0"/>
              <w:marTop w:val="0"/>
              <w:marBottom w:val="0"/>
              <w:divBdr>
                <w:top w:val="none" w:sz="0" w:space="0" w:color="auto"/>
                <w:left w:val="none" w:sz="0" w:space="0" w:color="auto"/>
                <w:bottom w:val="none" w:sz="0" w:space="0" w:color="auto"/>
                <w:right w:val="none" w:sz="0" w:space="0" w:color="auto"/>
              </w:divBdr>
              <w:divsChild>
                <w:div w:id="245923500">
                  <w:marLeft w:val="0"/>
                  <w:marRight w:val="0"/>
                  <w:marTop w:val="0"/>
                  <w:marBottom w:val="0"/>
                  <w:divBdr>
                    <w:top w:val="none" w:sz="0" w:space="0" w:color="auto"/>
                    <w:left w:val="none" w:sz="0" w:space="0" w:color="auto"/>
                    <w:bottom w:val="none" w:sz="0" w:space="0" w:color="auto"/>
                    <w:right w:val="none" w:sz="0" w:space="0" w:color="auto"/>
                  </w:divBdr>
                  <w:divsChild>
                    <w:div w:id="169181183">
                      <w:marLeft w:val="0"/>
                      <w:marRight w:val="0"/>
                      <w:marTop w:val="0"/>
                      <w:marBottom w:val="0"/>
                      <w:divBdr>
                        <w:top w:val="none" w:sz="0" w:space="0" w:color="auto"/>
                        <w:left w:val="none" w:sz="0" w:space="0" w:color="auto"/>
                        <w:bottom w:val="none" w:sz="0" w:space="0" w:color="auto"/>
                        <w:right w:val="none" w:sz="0" w:space="0" w:color="auto"/>
                      </w:divBdr>
                      <w:divsChild>
                        <w:div w:id="1642803140">
                          <w:marLeft w:val="0"/>
                          <w:marRight w:val="0"/>
                          <w:marTop w:val="0"/>
                          <w:marBottom w:val="0"/>
                          <w:divBdr>
                            <w:top w:val="none" w:sz="0" w:space="0" w:color="auto"/>
                            <w:left w:val="none" w:sz="0" w:space="0" w:color="auto"/>
                            <w:bottom w:val="none" w:sz="0" w:space="0" w:color="auto"/>
                            <w:right w:val="none" w:sz="0" w:space="0" w:color="auto"/>
                          </w:divBdr>
                          <w:divsChild>
                            <w:div w:id="192767242">
                              <w:marLeft w:val="0"/>
                              <w:marRight w:val="0"/>
                              <w:marTop w:val="0"/>
                              <w:marBottom w:val="0"/>
                              <w:divBdr>
                                <w:top w:val="none" w:sz="0" w:space="0" w:color="auto"/>
                                <w:left w:val="none" w:sz="0" w:space="0" w:color="auto"/>
                                <w:bottom w:val="none" w:sz="0" w:space="0" w:color="auto"/>
                                <w:right w:val="none" w:sz="0" w:space="0" w:color="auto"/>
                              </w:divBdr>
                              <w:divsChild>
                                <w:div w:id="14417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9362">
          <w:marLeft w:val="0"/>
          <w:marRight w:val="0"/>
          <w:marTop w:val="0"/>
          <w:marBottom w:val="0"/>
          <w:divBdr>
            <w:top w:val="none" w:sz="0" w:space="0" w:color="auto"/>
            <w:left w:val="none" w:sz="0" w:space="0" w:color="auto"/>
            <w:bottom w:val="none" w:sz="0" w:space="0" w:color="auto"/>
            <w:right w:val="none" w:sz="0" w:space="0" w:color="auto"/>
          </w:divBdr>
          <w:divsChild>
            <w:div w:id="1418789169">
              <w:marLeft w:val="0"/>
              <w:marRight w:val="0"/>
              <w:marTop w:val="0"/>
              <w:marBottom w:val="0"/>
              <w:divBdr>
                <w:top w:val="none" w:sz="0" w:space="0" w:color="auto"/>
                <w:left w:val="none" w:sz="0" w:space="0" w:color="auto"/>
                <w:bottom w:val="none" w:sz="0" w:space="0" w:color="auto"/>
                <w:right w:val="none" w:sz="0" w:space="0" w:color="auto"/>
              </w:divBdr>
              <w:divsChild>
                <w:div w:id="2014870736">
                  <w:marLeft w:val="0"/>
                  <w:marRight w:val="0"/>
                  <w:marTop w:val="0"/>
                  <w:marBottom w:val="0"/>
                  <w:divBdr>
                    <w:top w:val="none" w:sz="0" w:space="0" w:color="auto"/>
                    <w:left w:val="none" w:sz="0" w:space="0" w:color="auto"/>
                    <w:bottom w:val="none" w:sz="0" w:space="0" w:color="auto"/>
                    <w:right w:val="none" w:sz="0" w:space="0" w:color="auto"/>
                  </w:divBdr>
                  <w:divsChild>
                    <w:div w:id="1908149355">
                      <w:marLeft w:val="0"/>
                      <w:marRight w:val="0"/>
                      <w:marTop w:val="0"/>
                      <w:marBottom w:val="0"/>
                      <w:divBdr>
                        <w:top w:val="none" w:sz="0" w:space="0" w:color="auto"/>
                        <w:left w:val="none" w:sz="0" w:space="0" w:color="auto"/>
                        <w:bottom w:val="none" w:sz="0" w:space="0" w:color="auto"/>
                        <w:right w:val="none" w:sz="0" w:space="0" w:color="auto"/>
                      </w:divBdr>
                      <w:divsChild>
                        <w:div w:id="24334798">
                          <w:marLeft w:val="0"/>
                          <w:marRight w:val="0"/>
                          <w:marTop w:val="0"/>
                          <w:marBottom w:val="0"/>
                          <w:divBdr>
                            <w:top w:val="none" w:sz="0" w:space="0" w:color="auto"/>
                            <w:left w:val="none" w:sz="0" w:space="0" w:color="auto"/>
                            <w:bottom w:val="none" w:sz="0" w:space="0" w:color="auto"/>
                            <w:right w:val="none" w:sz="0" w:space="0" w:color="auto"/>
                          </w:divBdr>
                          <w:divsChild>
                            <w:div w:id="2283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229">
          <w:marLeft w:val="0"/>
          <w:marRight w:val="0"/>
          <w:marTop w:val="0"/>
          <w:marBottom w:val="0"/>
          <w:divBdr>
            <w:top w:val="none" w:sz="0" w:space="0" w:color="auto"/>
            <w:left w:val="none" w:sz="0" w:space="0" w:color="auto"/>
            <w:bottom w:val="none" w:sz="0" w:space="0" w:color="auto"/>
            <w:right w:val="none" w:sz="0" w:space="0" w:color="auto"/>
          </w:divBdr>
          <w:divsChild>
            <w:div w:id="1258979266">
              <w:marLeft w:val="0"/>
              <w:marRight w:val="0"/>
              <w:marTop w:val="0"/>
              <w:marBottom w:val="0"/>
              <w:divBdr>
                <w:top w:val="none" w:sz="0" w:space="0" w:color="auto"/>
                <w:left w:val="none" w:sz="0" w:space="0" w:color="auto"/>
                <w:bottom w:val="none" w:sz="0" w:space="0" w:color="auto"/>
                <w:right w:val="none" w:sz="0" w:space="0" w:color="auto"/>
              </w:divBdr>
              <w:divsChild>
                <w:div w:id="1434787457">
                  <w:marLeft w:val="0"/>
                  <w:marRight w:val="0"/>
                  <w:marTop w:val="0"/>
                  <w:marBottom w:val="0"/>
                  <w:divBdr>
                    <w:top w:val="none" w:sz="0" w:space="0" w:color="auto"/>
                    <w:left w:val="none" w:sz="0" w:space="0" w:color="auto"/>
                    <w:bottom w:val="none" w:sz="0" w:space="0" w:color="auto"/>
                    <w:right w:val="none" w:sz="0" w:space="0" w:color="auto"/>
                  </w:divBdr>
                  <w:divsChild>
                    <w:div w:id="1447197136">
                      <w:marLeft w:val="0"/>
                      <w:marRight w:val="0"/>
                      <w:marTop w:val="0"/>
                      <w:marBottom w:val="0"/>
                      <w:divBdr>
                        <w:top w:val="none" w:sz="0" w:space="0" w:color="auto"/>
                        <w:left w:val="none" w:sz="0" w:space="0" w:color="auto"/>
                        <w:bottom w:val="none" w:sz="0" w:space="0" w:color="auto"/>
                        <w:right w:val="none" w:sz="0" w:space="0" w:color="auto"/>
                      </w:divBdr>
                      <w:divsChild>
                        <w:div w:id="1526944312">
                          <w:marLeft w:val="0"/>
                          <w:marRight w:val="0"/>
                          <w:marTop w:val="0"/>
                          <w:marBottom w:val="0"/>
                          <w:divBdr>
                            <w:top w:val="none" w:sz="0" w:space="0" w:color="auto"/>
                            <w:left w:val="none" w:sz="0" w:space="0" w:color="auto"/>
                            <w:bottom w:val="none" w:sz="0" w:space="0" w:color="auto"/>
                            <w:right w:val="none" w:sz="0" w:space="0" w:color="auto"/>
                          </w:divBdr>
                          <w:divsChild>
                            <w:div w:id="926766038">
                              <w:marLeft w:val="0"/>
                              <w:marRight w:val="0"/>
                              <w:marTop w:val="0"/>
                              <w:marBottom w:val="0"/>
                              <w:divBdr>
                                <w:top w:val="none" w:sz="0" w:space="0" w:color="auto"/>
                                <w:left w:val="none" w:sz="0" w:space="0" w:color="auto"/>
                                <w:bottom w:val="none" w:sz="0" w:space="0" w:color="auto"/>
                                <w:right w:val="none" w:sz="0" w:space="0" w:color="auto"/>
                              </w:divBdr>
                              <w:divsChild>
                                <w:div w:id="2241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75560">
          <w:marLeft w:val="0"/>
          <w:marRight w:val="0"/>
          <w:marTop w:val="0"/>
          <w:marBottom w:val="0"/>
          <w:divBdr>
            <w:top w:val="none" w:sz="0" w:space="0" w:color="auto"/>
            <w:left w:val="none" w:sz="0" w:space="0" w:color="auto"/>
            <w:bottom w:val="none" w:sz="0" w:space="0" w:color="auto"/>
            <w:right w:val="none" w:sz="0" w:space="0" w:color="auto"/>
          </w:divBdr>
          <w:divsChild>
            <w:div w:id="1820000439">
              <w:marLeft w:val="0"/>
              <w:marRight w:val="0"/>
              <w:marTop w:val="0"/>
              <w:marBottom w:val="0"/>
              <w:divBdr>
                <w:top w:val="none" w:sz="0" w:space="0" w:color="auto"/>
                <w:left w:val="none" w:sz="0" w:space="0" w:color="auto"/>
                <w:bottom w:val="none" w:sz="0" w:space="0" w:color="auto"/>
                <w:right w:val="none" w:sz="0" w:space="0" w:color="auto"/>
              </w:divBdr>
              <w:divsChild>
                <w:div w:id="1510218993">
                  <w:marLeft w:val="0"/>
                  <w:marRight w:val="0"/>
                  <w:marTop w:val="0"/>
                  <w:marBottom w:val="0"/>
                  <w:divBdr>
                    <w:top w:val="none" w:sz="0" w:space="0" w:color="auto"/>
                    <w:left w:val="none" w:sz="0" w:space="0" w:color="auto"/>
                    <w:bottom w:val="none" w:sz="0" w:space="0" w:color="auto"/>
                    <w:right w:val="none" w:sz="0" w:space="0" w:color="auto"/>
                  </w:divBdr>
                  <w:divsChild>
                    <w:div w:id="338893888">
                      <w:marLeft w:val="0"/>
                      <w:marRight w:val="0"/>
                      <w:marTop w:val="0"/>
                      <w:marBottom w:val="0"/>
                      <w:divBdr>
                        <w:top w:val="none" w:sz="0" w:space="0" w:color="auto"/>
                        <w:left w:val="none" w:sz="0" w:space="0" w:color="auto"/>
                        <w:bottom w:val="none" w:sz="0" w:space="0" w:color="auto"/>
                        <w:right w:val="none" w:sz="0" w:space="0" w:color="auto"/>
                      </w:divBdr>
                      <w:divsChild>
                        <w:div w:id="326904755">
                          <w:marLeft w:val="0"/>
                          <w:marRight w:val="0"/>
                          <w:marTop w:val="0"/>
                          <w:marBottom w:val="0"/>
                          <w:divBdr>
                            <w:top w:val="none" w:sz="0" w:space="0" w:color="auto"/>
                            <w:left w:val="none" w:sz="0" w:space="0" w:color="auto"/>
                            <w:bottom w:val="none" w:sz="0" w:space="0" w:color="auto"/>
                            <w:right w:val="none" w:sz="0" w:space="0" w:color="auto"/>
                          </w:divBdr>
                          <w:divsChild>
                            <w:div w:id="7186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10</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arjay alvarado</dc:creator>
  <cp:keywords/>
  <dc:description/>
  <cp:lastModifiedBy>Editor GP 005</cp:lastModifiedBy>
  <cp:revision>29</cp:revision>
  <dcterms:created xsi:type="dcterms:W3CDTF">2025-10-15T02:14:00Z</dcterms:created>
  <dcterms:modified xsi:type="dcterms:W3CDTF">2025-10-24T06:27:00Z</dcterms:modified>
</cp:coreProperties>
</file>