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DFBA" w14:textId="77777777" w:rsidR="009577D3" w:rsidRPr="007710F7" w:rsidRDefault="009577D3" w:rsidP="007710F7">
      <w:pPr>
        <w:spacing w:line="360" w:lineRule="auto"/>
        <w:jc w:val="center"/>
        <w:rPr>
          <w:rFonts w:ascii="Times New Roman" w:hAnsi="Times New Roman" w:cs="Times New Roman"/>
          <w:b/>
          <w:bCs/>
          <w:sz w:val="36"/>
          <w:szCs w:val="36"/>
        </w:rPr>
      </w:pPr>
      <w:r w:rsidRPr="007710F7">
        <w:rPr>
          <w:rFonts w:ascii="Times New Roman" w:hAnsi="Times New Roman" w:cs="Times New Roman"/>
          <w:b/>
          <w:bCs/>
          <w:sz w:val="36"/>
          <w:szCs w:val="36"/>
        </w:rPr>
        <w:t>Information Governance Framework for AI-Generated Synthetic Patient Data in Healthcare Research: Balancing Utility, Privacy, and Algorithmic Bias Mitigation</w:t>
      </w:r>
    </w:p>
    <w:p w14:paraId="088D9E97" w14:textId="77777777" w:rsidR="009577D3" w:rsidRDefault="009577D3" w:rsidP="007710F7">
      <w:pPr>
        <w:spacing w:line="360" w:lineRule="auto"/>
        <w:jc w:val="both"/>
        <w:rPr>
          <w:rFonts w:ascii="Times New Roman" w:hAnsi="Times New Roman" w:cs="Times New Roman"/>
          <w:b/>
          <w:bCs/>
        </w:rPr>
      </w:pPr>
    </w:p>
    <w:p w14:paraId="2ACB8C05" w14:textId="77777777" w:rsidR="00144AC2" w:rsidRPr="00144AC2" w:rsidRDefault="00144AC2" w:rsidP="00144AC2">
      <w:pPr>
        <w:spacing w:line="360" w:lineRule="auto"/>
        <w:jc w:val="both"/>
        <w:rPr>
          <w:rFonts w:ascii="Times New Roman" w:hAnsi="Times New Roman" w:cs="Times New Roman"/>
          <w:i/>
          <w:iCs/>
        </w:rPr>
      </w:pPr>
      <w:r w:rsidRPr="00144AC2">
        <w:rPr>
          <w:rFonts w:ascii="Times New Roman" w:hAnsi="Times New Roman" w:cs="Times New Roman"/>
          <w:b/>
          <w:bCs/>
        </w:rPr>
        <w:t>Abstract</w:t>
      </w:r>
      <w:r w:rsidRPr="00144AC2">
        <w:rPr>
          <w:rFonts w:ascii="Times New Roman" w:hAnsi="Times New Roman" w:cs="Times New Roman"/>
          <w:b/>
          <w:bCs/>
        </w:rPr>
        <w:br/>
      </w:r>
      <w:r w:rsidRPr="00144AC2">
        <w:rPr>
          <w:rFonts w:ascii="Times New Roman" w:hAnsi="Times New Roman" w:cs="Times New Roman"/>
          <w:i/>
          <w:iCs/>
        </w:rPr>
        <w:t>This study develops and validates an information governance framework for AI-generated synthetic patient data in healthcare research, balancing data utility, privacy, and algorithmic bias mitigation. The introduction positions the framework as a response to stringent privacy regulations and data scarcity, integrating dynamic consent, differential privacy, and fairness-aware synthetic data generation. The literature review synthesizes theoretical foundations and identifies gaps in standardized validation and integrated governance. The methodology employs a design science approach, utilizing public datasets such as MIMIC-III, advanced generative models (GANs, VAEs, diffusion models), and blockchain-based consent systems. Validation metrics assess fidelity, utility, and bias reduction. Findings demonstrate substantial improvements in consent efficiency, data utility, and demographic fairness, though challenges persist regarding interface complexity and scalability. The conclusion affirms enhanced patient control, privacy, and equity, recommending adaptive interfaces, federated learning, and real-world pilots. The framework offers a scalable, policy-aligned solution for secure and equitable healthcare AI, supporting evidence-based innovation while safeguarding patient rights.</w:t>
      </w:r>
    </w:p>
    <w:p w14:paraId="2842CA0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Keywords: Synthetic Patient Data, Differential Privacy, Dynamic Consent, Algorithmic Bias Mitigation, Healthcare AI Governance</w:t>
      </w:r>
    </w:p>
    <w:p w14:paraId="1CC93C6B" w14:textId="77777777" w:rsidR="007710F7" w:rsidRPr="007710F7" w:rsidRDefault="007710F7" w:rsidP="007710F7">
      <w:pPr>
        <w:spacing w:line="360" w:lineRule="auto"/>
        <w:jc w:val="both"/>
        <w:rPr>
          <w:rFonts w:ascii="Times New Roman" w:hAnsi="Times New Roman" w:cs="Times New Roman"/>
          <w:b/>
          <w:bCs/>
        </w:rPr>
      </w:pPr>
    </w:p>
    <w:p w14:paraId="3C09CD4A" w14:textId="77777777" w:rsidR="009577D3" w:rsidRPr="007710F7" w:rsidRDefault="009577D3" w:rsidP="007710F7">
      <w:pPr>
        <w:spacing w:line="360" w:lineRule="auto"/>
        <w:jc w:val="both"/>
        <w:rPr>
          <w:rFonts w:ascii="Times New Roman" w:hAnsi="Times New Roman" w:cs="Times New Roman"/>
          <w:b/>
          <w:bCs/>
        </w:rPr>
      </w:pPr>
      <w:r w:rsidRPr="007710F7">
        <w:rPr>
          <w:rFonts w:ascii="Times New Roman" w:hAnsi="Times New Roman" w:cs="Times New Roman"/>
          <w:b/>
          <w:bCs/>
        </w:rPr>
        <w:t>1.</w:t>
      </w:r>
      <w:r w:rsidRPr="007710F7">
        <w:rPr>
          <w:rFonts w:ascii="Times New Roman" w:hAnsi="Times New Roman" w:cs="Times New Roman"/>
          <w:b/>
          <w:bCs/>
        </w:rPr>
        <w:tab/>
        <w:t>Introduction</w:t>
      </w:r>
    </w:p>
    <w:p w14:paraId="5F155FD4" w14:textId="5C292B7C" w:rsidR="009577D3" w:rsidRPr="00D85030" w:rsidRDefault="009577D3" w:rsidP="007710F7">
      <w:pPr>
        <w:spacing w:line="360" w:lineRule="auto"/>
        <w:jc w:val="both"/>
        <w:rPr>
          <w:rFonts w:ascii="Times New Roman" w:hAnsi="Times New Roman" w:cs="Times New Roman"/>
        </w:rPr>
      </w:pPr>
      <w:r w:rsidRPr="00D85030">
        <w:rPr>
          <w:rFonts w:ascii="Times New Roman" w:hAnsi="Times New Roman" w:cs="Times New Roman"/>
        </w:rPr>
        <w:t xml:space="preserve">The healthcare sector is experiencing transformative change driven by artificial intelligence (AI) and machine learning, which enhance diagnostics, treatment precision, and operational efficiency. However, these advancements depend on access to large, diverse patient datasets for training and validation, constrained by stringent privacy regulations such as HIPAA in the United States and </w:t>
      </w:r>
      <w:r w:rsidRPr="00D85030">
        <w:rPr>
          <w:rFonts w:ascii="Times New Roman" w:hAnsi="Times New Roman" w:cs="Times New Roman"/>
        </w:rPr>
        <w:lastRenderedPageBreak/>
        <w:t xml:space="preserve">GDPR in Europe, as well as ethical issues surrounding consent and limited data for rare diseases </w:t>
      </w:r>
      <w:r w:rsidR="00996B70" w:rsidRPr="0053397E">
        <w:rPr>
          <w:rFonts w:ascii="Times New Roman" w:hAnsi="Times New Roman" w:cs="Times New Roman"/>
        </w:rPr>
        <w:t>(Mendes et al., 2025</w:t>
      </w:r>
      <w:r w:rsidRPr="00D85030">
        <w:rPr>
          <w:rFonts w:ascii="Times New Roman" w:hAnsi="Times New Roman" w:cs="Times New Roman"/>
        </w:rPr>
        <w:t>; Mendes et al., 2025). Synthetic patient data has emerged as a crucial innovation, producing artificial datasets that replicate real clinical data’s statistical and contextual characteristics while addressing privacy concerns. Advances in generative models like GANs, VAEs, and diffusion-based techniques have enabled the creation of realistic synthetic healthcare datasets (Chen et al., 2021</w:t>
      </w:r>
      <w:r w:rsidR="00D25CDA">
        <w:rPr>
          <w:rFonts w:ascii="Times New Roman" w:hAnsi="Times New Roman" w:cs="Times New Roman"/>
        </w:rPr>
        <w:t xml:space="preserve">; </w:t>
      </w:r>
      <w:r w:rsidR="00D25CDA" w:rsidRPr="00600C4C">
        <w:rPr>
          <w:rFonts w:ascii="Times New Roman" w:hAnsi="Times New Roman" w:cs="Times New Roman"/>
          <w:lang w:val="es-ES"/>
        </w:rPr>
        <w:t>Joseph</w:t>
      </w:r>
      <w:r w:rsidR="00D25CDA">
        <w:rPr>
          <w:rFonts w:ascii="Times New Roman" w:hAnsi="Times New Roman" w:cs="Times New Roman"/>
          <w:lang w:val="es-ES"/>
        </w:rPr>
        <w:t xml:space="preserve"> et al., 2024</w:t>
      </w:r>
      <w:r w:rsidRPr="00D85030">
        <w:rPr>
          <w:rFonts w:ascii="Times New Roman" w:hAnsi="Times New Roman" w:cs="Times New Roman"/>
        </w:rPr>
        <w:t xml:space="preserve">). Studies show AI models trained on synthetic data can achieve comparable or superior accuracy, such as 85.9% in synthetic brain MRI classification (Mendes et al., 2025; </w:t>
      </w:r>
      <w:r w:rsidR="00996B70" w:rsidRPr="0053397E">
        <w:rPr>
          <w:rFonts w:ascii="Times New Roman" w:hAnsi="Times New Roman" w:cs="Times New Roman"/>
        </w:rPr>
        <w:t>Mendes et al., 2025)</w:t>
      </w:r>
      <w:r w:rsidRPr="00D85030">
        <w:rPr>
          <w:rFonts w:ascii="Times New Roman" w:hAnsi="Times New Roman" w:cs="Times New Roman"/>
        </w:rPr>
        <w:t>. Dynamic consent mechanisms enhance patient autonomy through digital platforms that allow ongoing adjustment of data-sharing preferences (Kaye et al., 2015; Budin-Ljøsne et al., 2017). Meanwhile, differential privacy adds calibrated noise to protect identity while maintaining data utility (Dwork, 2006; Commey et al., 2024), fostering secure, bias-reduced healthcare AI collaboration.</w:t>
      </w:r>
    </w:p>
    <w:p w14:paraId="520A40F3" w14:textId="790466EF" w:rsidR="009577D3" w:rsidRPr="00D85030" w:rsidRDefault="009577D3" w:rsidP="007710F7">
      <w:pPr>
        <w:spacing w:line="360" w:lineRule="auto"/>
        <w:jc w:val="both"/>
        <w:rPr>
          <w:rFonts w:ascii="Times New Roman" w:hAnsi="Times New Roman" w:cs="Times New Roman"/>
        </w:rPr>
      </w:pPr>
      <w:r w:rsidRPr="00D85030">
        <w:rPr>
          <w:rFonts w:ascii="Times New Roman" w:hAnsi="Times New Roman" w:cs="Times New Roman"/>
        </w:rPr>
        <w:t>Healthcare organizations face a complex challenge in deploying AI: the need for large, diverse datasets to ensure model reliability, the obligation to protect patient privacy under stringent regulations, and the imperative to reduce algorithmic bias that may worsen health disparities. Current governance strategies often address these factors separately, resulting in fragmented solutions that neglect their interdependence (Hassan et al., 202</w:t>
      </w:r>
      <w:r w:rsidR="00996B70">
        <w:rPr>
          <w:rFonts w:ascii="Times New Roman" w:hAnsi="Times New Roman" w:cs="Times New Roman"/>
        </w:rPr>
        <w:t>4</w:t>
      </w:r>
      <w:r w:rsidRPr="00D85030">
        <w:rPr>
          <w:rFonts w:ascii="Times New Roman" w:hAnsi="Times New Roman" w:cs="Times New Roman"/>
        </w:rPr>
        <w:t xml:space="preserve">; </w:t>
      </w:r>
      <w:r w:rsidR="00996B70" w:rsidRPr="0053397E">
        <w:rPr>
          <w:rFonts w:ascii="Times New Roman" w:hAnsi="Times New Roman" w:cs="Times New Roman"/>
        </w:rPr>
        <w:t>Mackin et al., 2025)</w:t>
      </w:r>
      <w:r w:rsidRPr="00D85030">
        <w:rPr>
          <w:rFonts w:ascii="Times New Roman" w:hAnsi="Times New Roman" w:cs="Times New Roman"/>
        </w:rPr>
        <w:t xml:space="preserve">. Although synthetic data generation offers potential, it lacks standardized protocols for validating quality, utility, and privacy, with research showing limited assessment of risks such as membership inference and attribute disclosure (Chen et al., 2021; Sasseville et al., 2025). Furthermore, existing methods fail to integrate dynamic consent, restricting patients’ ongoing control over data use in synthetic generation (Mascalzoni et al., 2022; </w:t>
      </w:r>
      <w:r w:rsidR="00B85B7A" w:rsidRPr="00DA6272">
        <w:rPr>
          <w:rFonts w:ascii="Times New Roman" w:hAnsi="Times New Roman" w:cs="Times New Roman"/>
        </w:rPr>
        <w:t>Lay et al., 2024)</w:t>
      </w:r>
      <w:r w:rsidRPr="00D85030">
        <w:rPr>
          <w:rFonts w:ascii="Times New Roman" w:hAnsi="Times New Roman" w:cs="Times New Roman"/>
        </w:rPr>
        <w:t xml:space="preserve">. Balancing privacy and utility remains difficult, as </w:t>
      </w:r>
      <w:r w:rsidR="00293FBA">
        <w:rPr>
          <w:rFonts w:ascii="Times New Roman" w:hAnsi="Times New Roman" w:cs="Times New Roman"/>
        </w:rPr>
        <w:t>it</w:t>
      </w:r>
      <w:r w:rsidRPr="00D85030">
        <w:rPr>
          <w:rFonts w:ascii="Times New Roman" w:hAnsi="Times New Roman" w:cs="Times New Roman"/>
        </w:rPr>
        <w:t xml:space="preserve"> provides theoretical guarantees but can distort clinical data correlations (Dwork, 2006; Foraker et al., 2025). Algorithmic bias persists across demographic groups, often mitigated only through post-hoc methods. Embedding fairness directly within synthetic data workflows offers a promising yet underexplored pathway toward more equitable and trustworthy healthcare AI (Sasseville et al., 2025; </w:t>
      </w:r>
      <w:r w:rsidR="00996B70" w:rsidRPr="0053397E">
        <w:rPr>
          <w:rFonts w:ascii="Times New Roman" w:hAnsi="Times New Roman" w:cs="Times New Roman"/>
        </w:rPr>
        <w:t>Mackin et al., 2025)</w:t>
      </w:r>
      <w:r w:rsidRPr="00D85030">
        <w:rPr>
          <w:rFonts w:ascii="Times New Roman" w:hAnsi="Times New Roman" w:cs="Times New Roman"/>
        </w:rPr>
        <w:t>.</w:t>
      </w:r>
    </w:p>
    <w:p w14:paraId="6E6A8A8F" w14:textId="088212CF" w:rsidR="009577D3" w:rsidRPr="007710F7" w:rsidRDefault="009577D3" w:rsidP="007710F7">
      <w:pPr>
        <w:spacing w:line="360" w:lineRule="auto"/>
        <w:jc w:val="both"/>
        <w:rPr>
          <w:rFonts w:ascii="Times New Roman" w:hAnsi="Times New Roman" w:cs="Times New Roman"/>
        </w:rPr>
      </w:pPr>
      <w:r w:rsidRPr="007710F7">
        <w:rPr>
          <w:rFonts w:ascii="Times New Roman" w:hAnsi="Times New Roman" w:cs="Times New Roman"/>
        </w:rPr>
        <w:t>This investigation fills vital voids in healthcare AI governance by crafting an integrated framework merging synthetic data generation with dynamic consent and differential privacy safeguards. Its importance spans clinical, regulatory, methodological, economic, and equity realms</w:t>
      </w:r>
      <w:r w:rsidR="001B5EE8">
        <w:rPr>
          <w:rFonts w:ascii="Times New Roman" w:hAnsi="Times New Roman" w:cs="Times New Roman"/>
        </w:rPr>
        <w:t xml:space="preserve"> </w:t>
      </w:r>
      <w:r w:rsidR="001B5EE8" w:rsidRPr="001B5EE8">
        <w:rPr>
          <w:rFonts w:ascii="Times New Roman" w:hAnsi="Times New Roman" w:cs="Times New Roman"/>
        </w:rPr>
        <w:t xml:space="preserve">(Giuffrè &amp; </w:t>
      </w:r>
      <w:r w:rsidR="001B5EE8" w:rsidRPr="001B5EE8">
        <w:rPr>
          <w:rFonts w:ascii="Times New Roman" w:hAnsi="Times New Roman" w:cs="Times New Roman"/>
        </w:rPr>
        <w:lastRenderedPageBreak/>
        <w:t>Shung, 2023)</w:t>
      </w:r>
      <w:r w:rsidRPr="007710F7">
        <w:rPr>
          <w:rFonts w:ascii="Times New Roman" w:hAnsi="Times New Roman" w:cs="Times New Roman"/>
        </w:rPr>
        <w:t xml:space="preserve">. Clinically, it could expedite research via secure, diverse datasets, especially for rare diseases where patient scarcity impedes AI progress, fostering precise diagnostics and tailored therapies (Mendes et al., 2025; </w:t>
      </w:r>
      <w:r w:rsidR="00996B70" w:rsidRPr="0053397E">
        <w:rPr>
          <w:rFonts w:ascii="Times New Roman" w:hAnsi="Times New Roman" w:cs="Times New Roman"/>
        </w:rPr>
        <w:t>Mendes et al., 2025)</w:t>
      </w:r>
      <w:r w:rsidRPr="007710F7">
        <w:rPr>
          <w:rFonts w:ascii="Times New Roman" w:hAnsi="Times New Roman" w:cs="Times New Roman"/>
        </w:rPr>
        <w:t>. Regulatorily and ethically, it offers standardized privacy and bias approaches aligned with bodies like the FDA and European Commission, aiding compliance amid heightened AI scrutiny (Hassan et al., 202</w:t>
      </w:r>
      <w:r w:rsidR="00996B70">
        <w:rPr>
          <w:rFonts w:ascii="Times New Roman" w:hAnsi="Times New Roman" w:cs="Times New Roman"/>
        </w:rPr>
        <w:t>4</w:t>
      </w:r>
      <w:r w:rsidRPr="007710F7">
        <w:rPr>
          <w:rFonts w:ascii="Times New Roman" w:hAnsi="Times New Roman" w:cs="Times New Roman"/>
        </w:rPr>
        <w:t>; Commey et al., 2024). Methodologically, it introduces innovative metrics for multidimensional synthetic data assessment</w:t>
      </w:r>
      <w:r w:rsidR="00AD1C4C">
        <w:rPr>
          <w:rFonts w:ascii="Times New Roman" w:hAnsi="Times New Roman" w:cs="Times New Roman"/>
        </w:rPr>
        <w:t xml:space="preserve">; </w:t>
      </w:r>
      <w:r w:rsidRPr="007710F7">
        <w:rPr>
          <w:rFonts w:ascii="Times New Roman" w:hAnsi="Times New Roman" w:cs="Times New Roman"/>
        </w:rPr>
        <w:t>statistical accuracy, clinical viability, privacy robustness, and bias efficacy</w:t>
      </w:r>
      <w:r w:rsidR="00AD1C4C">
        <w:rPr>
          <w:rFonts w:ascii="Times New Roman" w:hAnsi="Times New Roman" w:cs="Times New Roman"/>
        </w:rPr>
        <w:t xml:space="preserve"> </w:t>
      </w:r>
      <w:r w:rsidRPr="007710F7">
        <w:rPr>
          <w:rFonts w:ascii="Times New Roman" w:hAnsi="Times New Roman" w:cs="Times New Roman"/>
        </w:rPr>
        <w:t xml:space="preserve">tackling the current evaluation discord in healthcare (Foraker et al., 2025; Chen et al., 2021). Economically, it lowers data access barriers, hastening AI technology market entry and trimming compliance expenses, with adopters noting efficiency gains and innovation boosts </w:t>
      </w:r>
      <w:r w:rsidR="00996B70" w:rsidRPr="0053397E">
        <w:rPr>
          <w:rFonts w:ascii="Times New Roman" w:hAnsi="Times New Roman" w:cs="Times New Roman"/>
        </w:rPr>
        <w:t>(Mendes et al., 2025</w:t>
      </w:r>
      <w:r w:rsidRPr="007710F7">
        <w:rPr>
          <w:rFonts w:ascii="Times New Roman" w:hAnsi="Times New Roman" w:cs="Times New Roman"/>
        </w:rPr>
        <w:t xml:space="preserve">; Mendes et al., 2025). For social justice, embedding bias mitigation in generation workflows ensures representation of marginalized groups, curbing AI-driven disparities (Sasseville et al., 2025; </w:t>
      </w:r>
      <w:r w:rsidR="00996B70" w:rsidRPr="0053397E">
        <w:rPr>
          <w:rFonts w:ascii="Times New Roman" w:hAnsi="Times New Roman" w:cs="Times New Roman"/>
        </w:rPr>
        <w:t>Mackin et al., 2025)</w:t>
      </w:r>
      <w:r w:rsidRPr="007710F7">
        <w:rPr>
          <w:rFonts w:ascii="Times New Roman" w:hAnsi="Times New Roman" w:cs="Times New Roman"/>
        </w:rPr>
        <w:t>.</w:t>
      </w:r>
    </w:p>
    <w:p w14:paraId="08527974" w14:textId="68D04DF6" w:rsidR="009577D3" w:rsidRPr="007710F7" w:rsidRDefault="009577D3" w:rsidP="007710F7">
      <w:pPr>
        <w:spacing w:line="360" w:lineRule="auto"/>
        <w:jc w:val="both"/>
        <w:rPr>
          <w:rFonts w:ascii="Times New Roman" w:hAnsi="Times New Roman" w:cs="Times New Roman"/>
        </w:rPr>
      </w:pPr>
      <w:r w:rsidRPr="007710F7">
        <w:rPr>
          <w:rFonts w:ascii="Times New Roman" w:hAnsi="Times New Roman" w:cs="Times New Roman"/>
        </w:rPr>
        <w:t>The study concentrates on devising and validating governance frameworks for AI-synthesized patient data in research settings, emphasizing computational methods feasible in distributed or remote setups. Technically, it encompasses GANs, VAEs, and diffusion models for structured data like electronic health records and lab results, incorporating differential privacy with epsilon ranges of 0.1 to 10.0 to probe privacy-utility dynamics, and blockchain-enhanced dynamic consent for real-time management (Commey et al., 2024; Mascalzoni et al., 2022). Data domains include tabular clinical, time-series physiological, and structured narratives, targeting chronic ailments like diabetes and cardiovascular disease, with rare conditions handled via simulations and reviews (Mendes et al., 2025). Regulatory alignment spans GDPR, HIPAA, and emerging AI norms from the FDA and European Commission, featuring adaptive compliance monitoring (Hassan et al., 202</w:t>
      </w:r>
      <w:r w:rsidR="00996B70">
        <w:rPr>
          <w:rFonts w:ascii="Times New Roman" w:hAnsi="Times New Roman" w:cs="Times New Roman"/>
        </w:rPr>
        <w:t>4</w:t>
      </w:r>
      <w:r w:rsidRPr="007710F7">
        <w:rPr>
          <w:rFonts w:ascii="Times New Roman" w:hAnsi="Times New Roman" w:cs="Times New Roman"/>
        </w:rPr>
        <w:t xml:space="preserve">). Validation leverages simulations, quality assessments with tools like Synthetic Data Vault and synthcity, and benchmarks against published standards, without direct patient involvement or institutional data (Chen et al., 2021; Foraker et al., 2025). </w:t>
      </w:r>
    </w:p>
    <w:p w14:paraId="5F0A0106" w14:textId="77777777" w:rsidR="009577D3" w:rsidRPr="007710F7" w:rsidRDefault="009577D3" w:rsidP="007710F7">
      <w:pPr>
        <w:spacing w:line="360" w:lineRule="auto"/>
        <w:jc w:val="both"/>
        <w:rPr>
          <w:rFonts w:ascii="Times New Roman" w:hAnsi="Times New Roman" w:cs="Times New Roman"/>
        </w:rPr>
      </w:pPr>
      <w:r w:rsidRPr="007710F7">
        <w:rPr>
          <w:rFonts w:ascii="Times New Roman" w:hAnsi="Times New Roman" w:cs="Times New Roman"/>
        </w:rPr>
        <w:t>The research aim is to develop and validate a comprehensive information governance framework for AI-generated synthetic patient data in healthcare research that optimally balances data utility, privacy protection, and algorithmic bias mitigation through the integration of dynamic consent mechanisms and differential privacy techniques. The research objectives are to:</w:t>
      </w:r>
    </w:p>
    <w:p w14:paraId="1DD631A0" w14:textId="77777777" w:rsidR="009577D3" w:rsidRPr="007710F7" w:rsidRDefault="009577D3" w:rsidP="007710F7">
      <w:pPr>
        <w:pStyle w:val="ListParagraph"/>
        <w:numPr>
          <w:ilvl w:val="0"/>
          <w:numId w:val="1"/>
        </w:numPr>
        <w:spacing w:line="360" w:lineRule="auto"/>
        <w:jc w:val="both"/>
        <w:rPr>
          <w:rFonts w:ascii="Times New Roman" w:hAnsi="Times New Roman" w:cs="Times New Roman"/>
        </w:rPr>
      </w:pPr>
      <w:r w:rsidRPr="007710F7">
        <w:rPr>
          <w:rFonts w:ascii="Times New Roman" w:hAnsi="Times New Roman" w:cs="Times New Roman"/>
        </w:rPr>
        <w:lastRenderedPageBreak/>
        <w:t>Design and implement a dynamic consent framework that enables real-time patient control over synthetic data generation,</w:t>
      </w:r>
    </w:p>
    <w:p w14:paraId="3D3A96ED" w14:textId="77777777" w:rsidR="009577D3" w:rsidRPr="007710F7" w:rsidRDefault="009577D3" w:rsidP="007710F7">
      <w:pPr>
        <w:pStyle w:val="ListParagraph"/>
        <w:numPr>
          <w:ilvl w:val="0"/>
          <w:numId w:val="1"/>
        </w:numPr>
        <w:spacing w:line="360" w:lineRule="auto"/>
        <w:jc w:val="both"/>
        <w:rPr>
          <w:rFonts w:ascii="Times New Roman" w:hAnsi="Times New Roman" w:cs="Times New Roman"/>
        </w:rPr>
      </w:pPr>
      <w:r w:rsidRPr="007710F7">
        <w:rPr>
          <w:rFonts w:ascii="Times New Roman" w:hAnsi="Times New Roman" w:cs="Times New Roman"/>
        </w:rPr>
        <w:t>Develop and validate privacy-preserving synthetic data generation methodologies that implement differential privacy techniques, and genomic data using stratified sampling and fairness-aware techniques, and</w:t>
      </w:r>
    </w:p>
    <w:p w14:paraId="0BBCC6BC" w14:textId="77777777" w:rsidR="009577D3" w:rsidRPr="007710F7" w:rsidRDefault="009577D3" w:rsidP="007710F7">
      <w:pPr>
        <w:pStyle w:val="ListParagraph"/>
        <w:numPr>
          <w:ilvl w:val="0"/>
          <w:numId w:val="1"/>
        </w:numPr>
        <w:spacing w:line="360" w:lineRule="auto"/>
        <w:jc w:val="both"/>
        <w:rPr>
          <w:rFonts w:ascii="Times New Roman" w:hAnsi="Times New Roman" w:cs="Times New Roman"/>
        </w:rPr>
      </w:pPr>
      <w:r w:rsidRPr="007710F7">
        <w:rPr>
          <w:rFonts w:ascii="Times New Roman" w:hAnsi="Times New Roman" w:cs="Times New Roman"/>
        </w:rPr>
        <w:t>Establish standardized validation metrics and governance protocols for assessing the quality, privacy, and bias characteristics of synthetic patient data.</w:t>
      </w:r>
    </w:p>
    <w:p w14:paraId="33CFCA6E" w14:textId="77777777" w:rsidR="001A181D" w:rsidRPr="007710F7" w:rsidRDefault="001A181D" w:rsidP="007710F7">
      <w:pPr>
        <w:spacing w:line="360" w:lineRule="auto"/>
        <w:jc w:val="both"/>
        <w:rPr>
          <w:rFonts w:ascii="Times New Roman" w:hAnsi="Times New Roman" w:cs="Times New Roman"/>
        </w:rPr>
      </w:pPr>
    </w:p>
    <w:p w14:paraId="2F605F1E" w14:textId="77777777" w:rsidR="009A200D" w:rsidRPr="007710F7" w:rsidRDefault="009A200D" w:rsidP="007710F7">
      <w:pPr>
        <w:spacing w:line="360" w:lineRule="auto"/>
        <w:jc w:val="both"/>
        <w:rPr>
          <w:rFonts w:ascii="Times New Roman" w:hAnsi="Times New Roman" w:cs="Times New Roman"/>
          <w:b/>
          <w:bCs/>
        </w:rPr>
      </w:pPr>
      <w:r w:rsidRPr="007710F7">
        <w:rPr>
          <w:rFonts w:ascii="Times New Roman" w:hAnsi="Times New Roman" w:cs="Times New Roman"/>
          <w:b/>
          <w:bCs/>
        </w:rPr>
        <w:t>2.</w:t>
      </w:r>
      <w:r w:rsidRPr="007710F7">
        <w:rPr>
          <w:rFonts w:ascii="Times New Roman" w:hAnsi="Times New Roman" w:cs="Times New Roman"/>
          <w:b/>
          <w:bCs/>
        </w:rPr>
        <w:tab/>
        <w:t>Literature Review</w:t>
      </w:r>
    </w:p>
    <w:p w14:paraId="1F2DC82F" w14:textId="38EDDEA7" w:rsidR="009A200D" w:rsidRPr="007710F7" w:rsidRDefault="009A200D" w:rsidP="007710F7">
      <w:pPr>
        <w:spacing w:line="360" w:lineRule="auto"/>
        <w:jc w:val="both"/>
        <w:rPr>
          <w:rFonts w:ascii="Times New Roman" w:hAnsi="Times New Roman" w:cs="Times New Roman"/>
        </w:rPr>
      </w:pPr>
      <w:r w:rsidRPr="007710F7">
        <w:rPr>
          <w:rFonts w:ascii="Times New Roman" w:hAnsi="Times New Roman" w:cs="Times New Roman"/>
        </w:rPr>
        <w:t>By examining theoretical underpinnings, technological advances, empirical applications, and persistent gaps, this chapter establishes the conceptual and empirical bases for the proposed framework that integrates dynamic consent, and bias mitigation strategies. The review synthesizes diverse studies to reveal how synthetic data has evolved as a tool to navigate regulatory constraints like HIPAA and GDPR, while underscoring the need for holistic governance to ensure equitable AI outcomes in healthcare.</w:t>
      </w:r>
    </w:p>
    <w:p w14:paraId="3A657516" w14:textId="77777777" w:rsidR="009A200D" w:rsidRPr="0092330E" w:rsidRDefault="009A200D" w:rsidP="007710F7">
      <w:pPr>
        <w:spacing w:line="360" w:lineRule="auto"/>
        <w:jc w:val="both"/>
        <w:rPr>
          <w:rFonts w:ascii="Times New Roman" w:hAnsi="Times New Roman" w:cs="Times New Roman"/>
          <w:b/>
          <w:bCs/>
        </w:rPr>
      </w:pPr>
      <w:r w:rsidRPr="0092330E">
        <w:rPr>
          <w:rFonts w:ascii="Times New Roman" w:hAnsi="Times New Roman" w:cs="Times New Roman"/>
          <w:b/>
          <w:bCs/>
        </w:rPr>
        <w:t>Theoretical Foundations of Synthetic Data Governance in Healthcare</w:t>
      </w:r>
    </w:p>
    <w:p w14:paraId="6149A7CE" w14:textId="7EBA2F6C" w:rsidR="009A200D" w:rsidRPr="0092330E" w:rsidRDefault="009A200D" w:rsidP="007710F7">
      <w:pPr>
        <w:spacing w:line="360" w:lineRule="auto"/>
        <w:jc w:val="both"/>
        <w:rPr>
          <w:rFonts w:ascii="Times New Roman" w:hAnsi="Times New Roman" w:cs="Times New Roman"/>
        </w:rPr>
      </w:pPr>
      <w:r w:rsidRPr="0092330E">
        <w:rPr>
          <w:rFonts w:ascii="Times New Roman" w:hAnsi="Times New Roman" w:cs="Times New Roman"/>
        </w:rPr>
        <w:t>The governance of synthetic data in healthcare is grounded in privacy and ethical theories that prioritize both data protection and equitable use. Differential privacy serves as the core privacy-preserving paradigm, offering mathematical guarantees against individual re-identification through calibrated noise, defined by epsilon and delta parameters (Chen et al., 202</w:t>
      </w:r>
      <w:r w:rsidR="00996B70">
        <w:rPr>
          <w:rFonts w:ascii="Times New Roman" w:hAnsi="Times New Roman" w:cs="Times New Roman"/>
        </w:rPr>
        <w:t>1</w:t>
      </w:r>
      <w:r w:rsidRPr="0092330E">
        <w:rPr>
          <w:rFonts w:ascii="Times New Roman" w:hAnsi="Times New Roman" w:cs="Times New Roman"/>
        </w:rPr>
        <w:t>). This approach extends to synthetic data generation, where privacy-enhanced models such as GANs replicate real data distributions while limiting disclosure risks. Ethically, this aligns with biomedical principles of autonomy, beneficence, non-maleficence, and justice, reinforcing patient control and equitable outcomes (</w:t>
      </w:r>
      <w:r w:rsidR="00996B70" w:rsidRPr="0053397E">
        <w:rPr>
          <w:rFonts w:ascii="Times New Roman" w:hAnsi="Times New Roman" w:cs="Times New Roman"/>
        </w:rPr>
        <w:t>Maja</w:t>
      </w:r>
      <w:r w:rsidR="00996B70">
        <w:rPr>
          <w:rFonts w:ascii="Times New Roman" w:hAnsi="Times New Roman" w:cs="Times New Roman"/>
        </w:rPr>
        <w:t xml:space="preserve"> </w:t>
      </w:r>
      <w:r w:rsidRPr="0092330E">
        <w:rPr>
          <w:rFonts w:ascii="Times New Roman" w:hAnsi="Times New Roman" w:cs="Times New Roman"/>
        </w:rPr>
        <w:t xml:space="preserve">Nisevic et al., 2025). However, excessive noise may compromise data utility, leading to inaccuracies in rare disease modeling. Fairness and bias theories further support synthetic data governance by addressing algorithmic disparities across protected groups. Statistical measures like demographic parity and equalized odds, along with causal fairness models using structural causal models (SCMs), help eliminate biased data pathways (Hasanzadeh et al., 2025; Shahul Hameed et al., 2024). These frameworks advocate for inclusive, </w:t>
      </w:r>
      <w:r w:rsidRPr="0092330E">
        <w:rPr>
          <w:rFonts w:ascii="Times New Roman" w:hAnsi="Times New Roman" w:cs="Times New Roman"/>
        </w:rPr>
        <w:lastRenderedPageBreak/>
        <w:t>lifecycle-based governance to mitigate bias in data annotation and representation. Nevertheless, theoretical challenges persist in balancing fairness and model performance, as strict parity enforcement can reduce predictive accuracy in diverse healthcare populations</w:t>
      </w:r>
      <w:r w:rsidR="00651624">
        <w:rPr>
          <w:rFonts w:ascii="Times New Roman" w:hAnsi="Times New Roman" w:cs="Times New Roman"/>
        </w:rPr>
        <w:t xml:space="preserve"> </w:t>
      </w:r>
      <w:r w:rsidR="00651624">
        <w:rPr>
          <w:rFonts w:ascii="Times New Roman" w:eastAsia="Arial" w:hAnsi="Times New Roman" w:cs="Times New Roman"/>
          <w:color w:val="252525"/>
          <w:szCs w:val="16"/>
        </w:rPr>
        <w:t>(</w:t>
      </w:r>
      <w:r w:rsidR="00651624" w:rsidRPr="00EE5388">
        <w:rPr>
          <w:rFonts w:ascii="Times New Roman" w:eastAsia="Arial" w:hAnsi="Times New Roman" w:cs="Times New Roman"/>
          <w:color w:val="252525"/>
          <w:szCs w:val="16"/>
        </w:rPr>
        <w:t>Oyekunle</w:t>
      </w:r>
      <w:r w:rsidR="00651624">
        <w:rPr>
          <w:rFonts w:ascii="Times New Roman" w:eastAsia="Arial" w:hAnsi="Times New Roman" w:cs="Times New Roman"/>
          <w:color w:val="252525"/>
          <w:szCs w:val="16"/>
        </w:rPr>
        <w:t xml:space="preserve"> et al., 2025)</w:t>
      </w:r>
      <w:r w:rsidRPr="0092330E">
        <w:rPr>
          <w:rFonts w:ascii="Times New Roman" w:hAnsi="Times New Roman" w:cs="Times New Roman"/>
        </w:rPr>
        <w:t>.</w:t>
      </w:r>
    </w:p>
    <w:p w14:paraId="61B7695E" w14:textId="77777777" w:rsidR="009A200D" w:rsidRPr="00D850DA" w:rsidRDefault="009A200D" w:rsidP="007710F7">
      <w:pPr>
        <w:spacing w:line="360" w:lineRule="auto"/>
        <w:jc w:val="both"/>
        <w:rPr>
          <w:rFonts w:ascii="Times New Roman" w:hAnsi="Times New Roman" w:cs="Times New Roman"/>
          <w:b/>
          <w:bCs/>
        </w:rPr>
      </w:pPr>
      <w:r w:rsidRPr="00D850DA">
        <w:rPr>
          <w:rFonts w:ascii="Times New Roman" w:hAnsi="Times New Roman" w:cs="Times New Roman"/>
          <w:b/>
          <w:bCs/>
        </w:rPr>
        <w:t>Advances in Synthetic Data Generation Techniques</w:t>
      </w:r>
    </w:p>
    <w:p w14:paraId="54522BB1" w14:textId="18838204"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Recent developments have transformed healthcare AI by utilizing advanced deep learning architectures to produce realistic datasets. Techniques such as GANs, VAEs, and diffusion models are leading innovations, with privacy-focused variants like PATE-GAN using teacher-student ensembles to generate secure electronic health records (EHRs) and medical imaging data (Chen et al., 202</w:t>
      </w:r>
      <w:r w:rsidR="00996B70">
        <w:rPr>
          <w:rFonts w:ascii="Times New Roman" w:hAnsi="Times New Roman" w:cs="Times New Roman"/>
        </w:rPr>
        <w:t>1</w:t>
      </w:r>
      <w:r w:rsidRPr="00D850DA">
        <w:rPr>
          <w:rFonts w:ascii="Times New Roman" w:hAnsi="Times New Roman" w:cs="Times New Roman"/>
        </w:rPr>
        <w:t xml:space="preserve">). Probabilistic models, including Gaussian copulas and Bayesian networks, effectively preserve temporal correlations in physiological time-series data, achieving up to 95% statistical similarity with authentic datasets (Shahul Hameed et al., 2024). Open-source Python-based tools now enable scalable multimodal data synthesis, integrating omics and imaging data for personalized medicine </w:t>
      </w:r>
      <w:r w:rsidR="00996B70" w:rsidRPr="00F44290">
        <w:rPr>
          <w:rFonts w:ascii="Times New Roman" w:hAnsi="Times New Roman" w:cs="Times New Roman"/>
        </w:rPr>
        <w:t>(Afreen et al., 2025)</w:t>
      </w:r>
      <w:r w:rsidRPr="00D850DA">
        <w:rPr>
          <w:rFonts w:ascii="Times New Roman" w:hAnsi="Times New Roman" w:cs="Times New Roman"/>
        </w:rPr>
        <w:t>. These methods address data scarcity in oncology and neurology, enhancing AI diagnostic accuracy by 10–15% in under-represented scenarios.</w:t>
      </w:r>
    </w:p>
    <w:p w14:paraId="6F62F865" w14:textId="2137AF37"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Empirical applications further validate synthetic data’s value in healthcare research. Agent-based models generate synthetic populations for public health policy simulations, enabling low-cost evaluations of interventions such as screening programs (Uridge et al., 2025). Synthetic data also supports AI pre-training for rare conditions like pediatric diagnostics, achieving performance comparable to real data (Moldovan et al., 2025). Ethical frameworks categorize synthetic data by re-identification risk under the EU AI Act, though interpretability challenges persist for clinical trust</w:t>
      </w:r>
      <w:r w:rsidR="00D25CDA">
        <w:rPr>
          <w:rFonts w:ascii="Times New Roman" w:hAnsi="Times New Roman" w:cs="Times New Roman"/>
        </w:rPr>
        <w:t xml:space="preserve"> </w:t>
      </w:r>
      <w:r w:rsidR="00D25CDA" w:rsidRPr="00D850DA">
        <w:rPr>
          <w:rFonts w:ascii="Times New Roman" w:hAnsi="Times New Roman" w:cs="Times New Roman"/>
        </w:rPr>
        <w:t>(</w:t>
      </w:r>
      <w:r w:rsidR="00D25CDA" w:rsidRPr="0053397E">
        <w:rPr>
          <w:rFonts w:ascii="Times New Roman" w:hAnsi="Times New Roman" w:cs="Times New Roman"/>
        </w:rPr>
        <w:t>Maja</w:t>
      </w:r>
      <w:r w:rsidR="00D25CDA" w:rsidRPr="00D850DA">
        <w:rPr>
          <w:rFonts w:ascii="Times New Roman" w:hAnsi="Times New Roman" w:cs="Times New Roman"/>
        </w:rPr>
        <w:t xml:space="preserve"> Nisevic et al., 2025</w:t>
      </w:r>
      <w:r w:rsidR="00D25CDA">
        <w:rPr>
          <w:rFonts w:ascii="Times New Roman" w:hAnsi="Times New Roman" w:cs="Times New Roman"/>
        </w:rPr>
        <w:t>; Olaniyi, 2024</w:t>
      </w:r>
      <w:r w:rsidR="00D25CDA" w:rsidRPr="00D850DA">
        <w:rPr>
          <w:rFonts w:ascii="Times New Roman" w:hAnsi="Times New Roman" w:cs="Times New Roman"/>
        </w:rPr>
        <w:t>)</w:t>
      </w:r>
      <w:r w:rsidRPr="00D850DA">
        <w:rPr>
          <w:rFonts w:ascii="Times New Roman" w:hAnsi="Times New Roman" w:cs="Times New Roman"/>
        </w:rPr>
        <w:t>.</w:t>
      </w:r>
    </w:p>
    <w:p w14:paraId="42E02564" w14:textId="77777777" w:rsidR="009A200D" w:rsidRPr="00D850DA" w:rsidRDefault="009A200D" w:rsidP="007710F7">
      <w:pPr>
        <w:spacing w:line="360" w:lineRule="auto"/>
        <w:jc w:val="both"/>
        <w:rPr>
          <w:rFonts w:ascii="Times New Roman" w:hAnsi="Times New Roman" w:cs="Times New Roman"/>
          <w:b/>
          <w:bCs/>
        </w:rPr>
      </w:pPr>
      <w:r w:rsidRPr="00D850DA">
        <w:rPr>
          <w:rFonts w:ascii="Times New Roman" w:hAnsi="Times New Roman" w:cs="Times New Roman"/>
          <w:b/>
          <w:bCs/>
        </w:rPr>
        <w:t>Bias Mitigation and Privacy Preservation in AI Healthcare</w:t>
      </w:r>
    </w:p>
    <w:p w14:paraId="2C0739FB" w14:textId="4D41B54B"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 xml:space="preserve">Bias mitigation in synthetic data generation employs pre-processing, in-processing, and post-processing techniques to promote equitable AI outcomes. Pre-processing methods like SMOTE and targeted oversampling address class imbalance by generating synthetic samples for underrepresented groups, reducing disparities in clinical outcomes such as misdiagnosis among ethnic minorities (Shahul Hameed et al., 2024). In-processing approaches, including adversarial training, debias models by removing or neutralizing sensitive attributes during data generation, </w:t>
      </w:r>
      <w:r w:rsidRPr="00D850DA">
        <w:rPr>
          <w:rFonts w:ascii="Times New Roman" w:hAnsi="Times New Roman" w:cs="Times New Roman"/>
        </w:rPr>
        <w:lastRenderedPageBreak/>
        <w:t xml:space="preserve">enabling demographic parity in EHR-based predictive models (Hasanzadeh et al., 2025). Post-processing adjustments further refine predictions to ensure fairness across demographic categories. Federated learning enhances these strategies by supporting decentralized data synthesis across healthcare institutions, aggregating diverse datasets while maintaining privacy </w:t>
      </w:r>
      <w:r w:rsidR="00996B70" w:rsidRPr="00F44290">
        <w:rPr>
          <w:rFonts w:ascii="Times New Roman" w:hAnsi="Times New Roman" w:cs="Times New Roman"/>
        </w:rPr>
        <w:t>(Afreen et al., 2025)</w:t>
      </w:r>
      <w:r w:rsidRPr="00D850DA">
        <w:rPr>
          <w:rFonts w:ascii="Times New Roman" w:hAnsi="Times New Roman" w:cs="Times New Roman"/>
        </w:rPr>
        <w:t>. Empirical evidence indicates such interventions can reduce algorithmic bias by 15–20%, particularly improving fairness in diagnostic models like skin cancer detection, where traditional systems underperform on darker skin tones.</w:t>
      </w:r>
    </w:p>
    <w:p w14:paraId="2C48250E" w14:textId="2B91927F"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Privacy preservation is inherently linked to bias mitigation, with differential privacy serving as a foundational safeguard. However, its noise addition often disrupts vital clinical correlations (Chen et al., 202</w:t>
      </w:r>
      <w:r w:rsidR="00996B70">
        <w:rPr>
          <w:rFonts w:ascii="Times New Roman" w:hAnsi="Times New Roman" w:cs="Times New Roman"/>
        </w:rPr>
        <w:t>1</w:t>
      </w:r>
      <w:r w:rsidRPr="00D850DA">
        <w:rPr>
          <w:rFonts w:ascii="Times New Roman" w:hAnsi="Times New Roman" w:cs="Times New Roman"/>
        </w:rPr>
        <w:t>). Partially synthetic data can still risk re-identification, especially in small cohorts, necessitating hybrid solutions that integrate blockchain for consent traceability (</w:t>
      </w:r>
      <w:r w:rsidR="00996B70" w:rsidRPr="0053397E">
        <w:rPr>
          <w:rFonts w:ascii="Times New Roman" w:hAnsi="Times New Roman" w:cs="Times New Roman"/>
        </w:rPr>
        <w:t>Maja</w:t>
      </w:r>
      <w:r w:rsidR="00996B70" w:rsidRPr="00D850DA">
        <w:rPr>
          <w:rFonts w:ascii="Times New Roman" w:hAnsi="Times New Roman" w:cs="Times New Roman"/>
        </w:rPr>
        <w:t xml:space="preserve"> </w:t>
      </w:r>
      <w:r w:rsidRPr="00D850DA">
        <w:rPr>
          <w:rFonts w:ascii="Times New Roman" w:hAnsi="Times New Roman" w:cs="Times New Roman"/>
        </w:rPr>
        <w:t>Nisevic et al., 2025). Stricter privacy settings (low epsilon) may lower accuracy by up to 12%, potentially amplifying minority biases (Moldovan et al., 2025). Hence, explainable AI tools like SHAP are advocated to audit privacy-utility trade-offs, ensuring ethically balanced governance frameworks.</w:t>
      </w:r>
    </w:p>
    <w:p w14:paraId="66C25FE0" w14:textId="77777777" w:rsidR="009A200D" w:rsidRPr="00D850DA" w:rsidRDefault="009A200D" w:rsidP="007710F7">
      <w:pPr>
        <w:spacing w:line="360" w:lineRule="auto"/>
        <w:jc w:val="both"/>
        <w:rPr>
          <w:rFonts w:ascii="Times New Roman" w:hAnsi="Times New Roman" w:cs="Times New Roman"/>
          <w:b/>
          <w:bCs/>
        </w:rPr>
      </w:pPr>
      <w:r w:rsidRPr="00D850DA">
        <w:rPr>
          <w:rFonts w:ascii="Times New Roman" w:hAnsi="Times New Roman" w:cs="Times New Roman"/>
          <w:b/>
          <w:bCs/>
        </w:rPr>
        <w:t>Existing Governance Frameworks and Identified Gaps</w:t>
      </w:r>
    </w:p>
    <w:p w14:paraId="49E513C1" w14:textId="7FAC1164" w:rsidR="009A200D" w:rsidRPr="00D850DA" w:rsidRDefault="009A200D" w:rsidP="007710F7">
      <w:pPr>
        <w:spacing w:line="360" w:lineRule="auto"/>
        <w:jc w:val="both"/>
        <w:rPr>
          <w:rFonts w:ascii="Times New Roman" w:hAnsi="Times New Roman" w:cs="Times New Roman"/>
        </w:rPr>
      </w:pPr>
      <w:r w:rsidRPr="00D850DA">
        <w:rPr>
          <w:rFonts w:ascii="Times New Roman" w:hAnsi="Times New Roman" w:cs="Times New Roman"/>
        </w:rPr>
        <w:t xml:space="preserve">Current governance frameworks for synthetic data in healthcare emphasize comprehensive lifecycle management, integrating regulatory compliance, ethical oversight, and stakeholder accountability. The FDA’s Software as a Medical Device (SaMD) guidelines require rigorous validation of synthetic training datasets for high-risk AI applications, ensuring human-in-the-loop supervision to maintain transparency and traceability (Uridge et al., 2025). Multidisciplinary public health frameworks further promote bias audits, stakeholder participation, and community engagement to align AI systems with principles of equity and social justice </w:t>
      </w:r>
      <w:r w:rsidR="00996B70" w:rsidRPr="00F44290">
        <w:rPr>
          <w:rFonts w:ascii="Times New Roman" w:hAnsi="Times New Roman" w:cs="Times New Roman"/>
        </w:rPr>
        <w:t>(Afreen et al., 2025)</w:t>
      </w:r>
      <w:r w:rsidRPr="00D850DA">
        <w:rPr>
          <w:rFonts w:ascii="Times New Roman" w:hAnsi="Times New Roman" w:cs="Times New Roman"/>
        </w:rPr>
        <w:t>. Emerging models of dynamic consent are also gaining traction, allowing patients to exercise real-time control over data usage. These are complemented by standards such as IEEE P7003, which supports algorithmic bias management and ethical AI integration (Hasanzadeh et al., 2025). Collectively, these approaches have advanced secure data sharing, reduced compliance burdens, and fostered innovation in cross-institutional healthcare research.</w:t>
      </w:r>
    </w:p>
    <w:p w14:paraId="7433A4DB" w14:textId="40CF0D2D" w:rsidR="009A200D" w:rsidRDefault="009A200D" w:rsidP="007710F7">
      <w:pPr>
        <w:spacing w:line="360" w:lineRule="auto"/>
        <w:jc w:val="both"/>
        <w:rPr>
          <w:rFonts w:ascii="Times New Roman" w:hAnsi="Times New Roman" w:cs="Times New Roman"/>
        </w:rPr>
      </w:pPr>
      <w:r w:rsidRPr="00D850DA">
        <w:rPr>
          <w:rFonts w:ascii="Times New Roman" w:hAnsi="Times New Roman" w:cs="Times New Roman"/>
        </w:rPr>
        <w:t xml:space="preserve">However, several gaps persist within existing frameworks. Chief among them is the absence of standardized evaluation metrics encompassing data utility, privacy, and fairness, which hinders consistent validation and may conceal latent biases (Shahul Hameed et al., 2024). The integration </w:t>
      </w:r>
      <w:r w:rsidRPr="00D850DA">
        <w:rPr>
          <w:rFonts w:ascii="Times New Roman" w:hAnsi="Times New Roman" w:cs="Times New Roman"/>
        </w:rPr>
        <w:lastRenderedPageBreak/>
        <w:t>of dynamic consent mechanisms with differential privacy remains underdeveloped, limiting patient empowerment in adaptive AI workflows (</w:t>
      </w:r>
      <w:r w:rsidR="00996B70" w:rsidRPr="0053397E">
        <w:rPr>
          <w:rFonts w:ascii="Times New Roman" w:hAnsi="Times New Roman" w:cs="Times New Roman"/>
        </w:rPr>
        <w:t>Maja</w:t>
      </w:r>
      <w:r w:rsidR="00996B70" w:rsidRPr="00D850DA">
        <w:rPr>
          <w:rFonts w:ascii="Times New Roman" w:hAnsi="Times New Roman" w:cs="Times New Roman"/>
        </w:rPr>
        <w:t xml:space="preserve"> </w:t>
      </w:r>
      <w:r w:rsidRPr="00D850DA">
        <w:rPr>
          <w:rFonts w:ascii="Times New Roman" w:hAnsi="Times New Roman" w:cs="Times New Roman"/>
        </w:rPr>
        <w:t>Nisevic et al., 2025). Additionally, current governance often overlooks cultural and linguistic diversity, reinforcing inequities in non-English healthcare contexts (Moldovan et al., 2025). Persistent trade-offs between privacy, utility, and fairness</w:t>
      </w:r>
      <w:r w:rsidRPr="007710F7">
        <w:rPr>
          <w:rFonts w:ascii="Times New Roman" w:hAnsi="Times New Roman" w:cs="Times New Roman"/>
        </w:rPr>
        <w:t xml:space="preserve"> </w:t>
      </w:r>
      <w:r w:rsidRPr="00D850DA">
        <w:rPr>
          <w:rFonts w:ascii="Times New Roman" w:hAnsi="Times New Roman" w:cs="Times New Roman"/>
        </w:rPr>
        <w:t>especially within multimodal datasets like genomics and imaging</w:t>
      </w:r>
      <w:r w:rsidRPr="007710F7">
        <w:rPr>
          <w:rFonts w:ascii="Times New Roman" w:hAnsi="Times New Roman" w:cs="Times New Roman"/>
        </w:rPr>
        <w:t xml:space="preserve"> </w:t>
      </w:r>
      <w:r w:rsidRPr="00D850DA">
        <w:rPr>
          <w:rFonts w:ascii="Times New Roman" w:hAnsi="Times New Roman" w:cs="Times New Roman"/>
        </w:rPr>
        <w:t>remain unresolved (Chen et al., 202</w:t>
      </w:r>
      <w:r w:rsidR="00996B70">
        <w:rPr>
          <w:rFonts w:ascii="Times New Roman" w:hAnsi="Times New Roman" w:cs="Times New Roman"/>
        </w:rPr>
        <w:t>1</w:t>
      </w:r>
      <w:r w:rsidRPr="00D850DA">
        <w:rPr>
          <w:rFonts w:ascii="Times New Roman" w:hAnsi="Times New Roman" w:cs="Times New Roman"/>
        </w:rPr>
        <w:t>). Addressing these deficiencies presents an opportunity to establish holistic governance models with validated, ethically grounded evaluation protocols and interoperable standards.</w:t>
      </w:r>
    </w:p>
    <w:p w14:paraId="374DFED0" w14:textId="77777777" w:rsidR="007710F7" w:rsidRPr="00D850DA" w:rsidRDefault="007710F7" w:rsidP="007710F7">
      <w:pPr>
        <w:spacing w:line="360" w:lineRule="auto"/>
        <w:jc w:val="both"/>
        <w:rPr>
          <w:rFonts w:ascii="Times New Roman" w:hAnsi="Times New Roman" w:cs="Times New Roman"/>
        </w:rPr>
      </w:pPr>
    </w:p>
    <w:p w14:paraId="2FDFDFD2"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3.</w:t>
      </w:r>
      <w:r w:rsidRPr="007710F7">
        <w:rPr>
          <w:rFonts w:ascii="Times New Roman" w:hAnsi="Times New Roman" w:cs="Times New Roman"/>
          <w:b/>
          <w:bCs/>
        </w:rPr>
        <w:tab/>
        <w:t>Research Methodology</w:t>
      </w:r>
    </w:p>
    <w:p w14:paraId="3A9A4D7C" w14:textId="15135439"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This </w:t>
      </w:r>
      <w:r w:rsidR="00FF0A60">
        <w:rPr>
          <w:rFonts w:ascii="Times New Roman" w:hAnsi="Times New Roman" w:cs="Times New Roman"/>
        </w:rPr>
        <w:t>section</w:t>
      </w:r>
      <w:r w:rsidRPr="007710F7">
        <w:rPr>
          <w:rFonts w:ascii="Times New Roman" w:hAnsi="Times New Roman" w:cs="Times New Roman"/>
        </w:rPr>
        <w:t xml:space="preserve"> outlines the methodology for developing an information governance framework to balance data utility, privacy, and algorithmic bias mitigation in AI-generated synthetic patient data for healthcare research. This framework addresses the critical need for real-time patient control, privacy-preserving generation techniques, and standardized validation, as highlighted in prior analyses of healthcare AI governance challenges.</w:t>
      </w:r>
    </w:p>
    <w:p w14:paraId="4C9B71DA"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Research Design</w:t>
      </w:r>
    </w:p>
    <w:p w14:paraId="026B8FF1" w14:textId="77777777" w:rsid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research design adopts a multi-phase structure within the design science paradigm, comprising architecture development, component implementation, integration with validation, and documentation. In the initial phase, a systematic analysis of existing frameworks informs the design of modular components, incorporating stakeholder requirements from regulatory guidelines, such as GDPR and FDA AI/ML device standards, and case studies to define interfaces for seamless interoperability (Johnson et al., 2016; Pollard et al., 2018). The implementation phase focuses on three core elements: dynamic consent systems, differential privacy mechanisms, and synthetic generation pipelines, each tested iteratively for convergence. Validation employs quantitative metrics and simulations to assess performance, while the dissemination phase includes open-source tools to promote broader adoption. This mixed-methods approach integrates algorithmic development with empirical testing, utilizing Python-based environments for model training and evaluation to deliver robust governance solutions.</w:t>
      </w:r>
    </w:p>
    <w:p w14:paraId="737DB88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b/>
          <w:bCs/>
        </w:rPr>
        <w:t>Data Sources</w:t>
      </w:r>
    </w:p>
    <w:p w14:paraId="391E4601" w14:textId="2F6700C6"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lastRenderedPageBreak/>
        <w:t>The study leverages publicly available healthcare datasets to test the framework’s efficacy across diverse modalities. The MIMIC-III database, containing de-identified records from over 40,000 critical care patients, including vital signs and laboratory results, supports synthetic data generation and privacy assessments (Johnson et al., 2016). The eICU Collaborative Research Database, with data from over 200,000 ICU admissions across multiple centers, enables cross-institutional bias evaluations (Pollard et al., 2018). Aggregate statistics from the All of Us Research Program facilitate demographic fairness checks, while benchmarking datasets from the Synthetic Data Vault (SDV) and synthcity platforms allow comparative quality analyses (Patki et al., 2016; Qian et al., 202</w:t>
      </w:r>
      <w:r w:rsidR="00B85B7A">
        <w:rPr>
          <w:rFonts w:ascii="Times New Roman" w:hAnsi="Times New Roman" w:cs="Times New Roman"/>
        </w:rPr>
        <w:t>3</w:t>
      </w:r>
      <w:r w:rsidRPr="007710F7">
        <w:rPr>
          <w:rFonts w:ascii="Times New Roman" w:hAnsi="Times New Roman" w:cs="Times New Roman"/>
        </w:rPr>
        <w:t>). Regulatory documents, including GDPR guidelines, FDA AI/ML standards, and technical specifications like HL7 FHIR, inform compliance integration without requiring institutional access.</w:t>
      </w:r>
    </w:p>
    <w:p w14:paraId="59706F1A" w14:textId="3BE45181"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b/>
          <w:bCs/>
        </w:rPr>
        <w:t>Data Generation</w:t>
      </w:r>
    </w:p>
    <w:p w14:paraId="49631103"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framework’s core relies on synthetic data generation methodologies tailored to healthcare data types, embedding differential privacy and bias mitigation. For tabular data, Generative Adversarial Networks (GANs) are employed, with the adversarial loss defined as:</w:t>
      </w:r>
    </w:p>
    <w:p w14:paraId="78906E63" w14:textId="77777777" w:rsidR="007710F7" w:rsidRPr="007710F7" w:rsidRDefault="00000000"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GAN</m:t>
              </m:r>
            </m:sub>
          </m:sSub>
          <m: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data</m:t>
                  </m:r>
                </m:sub>
              </m:sSub>
              <m:r>
                <w:rPr>
                  <w:rFonts w:ascii="Cambria Math" w:hAnsi="Cambria Math" w:cs="Times New Roman"/>
                </w:rPr>
                <m:t>(x)</m:t>
              </m:r>
            </m:sub>
          </m:sSub>
          <m:r>
            <w:rPr>
              <w:rFonts w:ascii="Cambria Math" w:hAnsi="Cambria Math" w:cs="Times New Roman"/>
            </w:rPr>
            <m:t>[</m:t>
          </m:r>
          <m:r>
            <m:rPr>
              <m:sty m:val="p"/>
            </m:rPr>
            <w:rPr>
              <w:rFonts w:ascii="Cambria Math" w:hAnsi="Cambria Math" w:cs="Times New Roman"/>
            </w:rPr>
            <m:t>log</m:t>
          </m:r>
          <m:r>
            <w:rPr>
              <w:rFonts w:ascii="Cambria Math" w:hAnsi="Cambria Math" w:cs="Times New Roman"/>
            </w:rPr>
            <m:t>⁡D(x)]+</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z∼</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z</m:t>
                  </m:r>
                </m:sub>
              </m:sSub>
              <m:r>
                <w:rPr>
                  <w:rFonts w:ascii="Cambria Math" w:hAnsi="Cambria Math" w:cs="Times New Roman"/>
                </w:rPr>
                <m:t>(z)</m:t>
              </m:r>
            </m:sub>
          </m:sSub>
          <m:r>
            <w:rPr>
              <w:rFonts w:ascii="Cambria Math" w:hAnsi="Cambria Math" w:cs="Times New Roman"/>
            </w:rPr>
            <m:t>[</m:t>
          </m:r>
          <m:r>
            <m:rPr>
              <m:sty m:val="p"/>
            </m:rPr>
            <w:rPr>
              <w:rFonts w:ascii="Cambria Math" w:hAnsi="Cambria Math" w:cs="Times New Roman"/>
            </w:rPr>
            <m:t>log</m:t>
          </m:r>
          <m:r>
            <w:rPr>
              <w:rFonts w:ascii="Cambria Math" w:hAnsi="Cambria Math" w:cs="Times New Roman"/>
            </w:rPr>
            <m:t>⁡(1-D(G(z)))]</m:t>
          </m:r>
          <m:r>
            <m:rPr>
              <m:sty m:val="p"/>
            </m:rPr>
            <w:rPr>
              <w:rFonts w:ascii="Cambria Math" w:hAnsi="Cambria Math" w:cs="Times New Roman"/>
            </w:rPr>
            <w:br/>
          </m:r>
        </m:oMath>
      </m:oMathPara>
      <w:r w:rsidR="007710F7" w:rsidRPr="007710F7">
        <w:rPr>
          <w:rFonts w:ascii="Times New Roman" w:hAnsi="Times New Roman" w:cs="Times New Roman"/>
        </w:rPr>
        <w:t xml:space="preserve">where (D) is the discriminator distinguishing real from synthetic samples, (G) is the generator producing synthetic data from noise (z),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data</m:t>
            </m:r>
          </m:sub>
        </m:sSub>
        <m:r>
          <w:rPr>
            <w:rFonts w:ascii="Cambria Math" w:hAnsi="Cambria Math" w:cs="Times New Roman"/>
          </w:rPr>
          <m:t>(x)</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represents the real data distribution,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z</m:t>
            </m:r>
          </m:sub>
        </m:sSub>
        <m:r>
          <w:rPr>
            <w:rFonts w:ascii="Cambria Math" w:hAnsi="Cambria Math" w:cs="Times New Roman"/>
          </w:rPr>
          <m:t>(z)</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denotes the noise distribution (Torfi et al., 2022).</w:t>
      </w:r>
    </w:p>
    <w:p w14:paraId="57E7C50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For time-series data, Variational Autoencoders (VAEs) are used, with the loss function:</w:t>
      </w:r>
    </w:p>
    <w:p w14:paraId="717F4B94" w14:textId="77777777" w:rsidR="007710F7" w:rsidRPr="007710F7" w:rsidRDefault="00000000"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VAE</m:t>
              </m:r>
            </m:sub>
          </m:sSub>
          <m: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ϕ</m:t>
                  </m:r>
                </m:sub>
              </m:sSub>
              <m:r>
                <w:rPr>
                  <w:rFonts w:ascii="Cambria Math" w:hAnsi="Cambria Math" w:cs="Times New Roman"/>
                </w:rPr>
                <m:t>(z</m:t>
              </m:r>
              <m:r>
                <m:rPr>
                  <m:sty m:val="p"/>
                </m:rPr>
                <w:rPr>
                  <w:rFonts w:ascii="Cambria Math" w:hAnsi="Cambria Math" w:cs="Times New Roman"/>
                </w:rPr>
                <m:t>∣</m:t>
              </m:r>
              <m:r>
                <w:rPr>
                  <w:rFonts w:ascii="Cambria Math" w:hAnsi="Cambria Math" w:cs="Times New Roman"/>
                </w:rPr>
                <m:t>x)</m:t>
              </m:r>
            </m:sub>
          </m:sSub>
          <m:r>
            <w:rPr>
              <w:rFonts w:ascii="Cambria Math" w:hAnsi="Cambria Math" w:cs="Times New Roman"/>
            </w:rPr>
            <m:t>[</m:t>
          </m:r>
          <m:r>
            <m:rPr>
              <m:sty m:val="p"/>
            </m:rPr>
            <w:rPr>
              <w:rFonts w:ascii="Cambria Math" w:hAnsi="Cambria Math" w:cs="Times New Roman"/>
            </w:rPr>
            <m:t>log</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θ</m:t>
              </m:r>
            </m:sub>
          </m:sSub>
          <m:r>
            <w:rPr>
              <w:rFonts w:ascii="Cambria Math" w:hAnsi="Cambria Math" w:cs="Times New Roman"/>
            </w:rPr>
            <m:t>(x</m:t>
          </m:r>
          <m:r>
            <m:rPr>
              <m:sty m:val="p"/>
            </m:rPr>
            <w:rPr>
              <w:rFonts w:ascii="Cambria Math" w:hAnsi="Cambria Math" w:cs="Times New Roman"/>
            </w:rPr>
            <m:t>∣</m:t>
          </m:r>
          <m:r>
            <w:rPr>
              <w:rFonts w:ascii="Cambria Math" w:hAnsi="Cambria Math" w:cs="Times New Roman"/>
            </w:rPr>
            <m:t>z)]-β</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ϕ</m:t>
              </m:r>
            </m:sub>
          </m:sSub>
          <m:r>
            <w:rPr>
              <w:rFonts w:ascii="Cambria Math" w:hAnsi="Cambria Math" w:cs="Times New Roman"/>
            </w:rPr>
            <m:t>(z</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p(z))</m:t>
          </m:r>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ϕ</m:t>
            </m:r>
          </m:sub>
        </m:sSub>
        <m:r>
          <w:rPr>
            <w:rFonts w:ascii="Cambria Math" w:hAnsi="Cambria Math" w:cs="Times New Roman"/>
          </w:rPr>
          <m:t>(z</m:t>
        </m:r>
        <m:r>
          <m:rPr>
            <m:sty m:val="p"/>
          </m:rPr>
          <w:rPr>
            <w:rFonts w:ascii="Cambria Math" w:hAnsi="Cambria Math" w:cs="Times New Roman"/>
          </w:rPr>
          <m:t>∣</m:t>
        </m:r>
        <m:r>
          <w:rPr>
            <w:rFonts w:ascii="Cambria Math" w:hAnsi="Cambria Math" w:cs="Times New Roman"/>
          </w:rPr>
          <m:t>x)</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encoder’s approximation of the posterior,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θ</m:t>
            </m:r>
          </m:sub>
        </m:sSub>
        <m:r>
          <w:rPr>
            <w:rFonts w:ascii="Cambria Math" w:hAnsi="Cambria Math" w:cs="Times New Roman"/>
          </w:rPr>
          <m:t>(x</m:t>
        </m:r>
        <m:r>
          <m:rPr>
            <m:sty m:val="p"/>
          </m:rPr>
          <w:rPr>
            <w:rFonts w:ascii="Cambria Math" w:hAnsi="Cambria Math" w:cs="Times New Roman"/>
          </w:rPr>
          <m:t>∣</m:t>
        </m:r>
        <m:r>
          <w:rPr>
            <w:rFonts w:ascii="Cambria Math" w:hAnsi="Cambria Math" w:cs="Times New Roman"/>
          </w:rPr>
          <m:t>z)</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decoder’s likelihood,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Kullback-Leibler divergence, </w:t>
      </w:r>
      <m:oMath>
        <m:r>
          <w:rPr>
            <w:rFonts w:ascii="Cambria Math" w:hAnsi="Cambria Math" w:cs="Times New Roman"/>
          </w:rPr>
          <m:t>β</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is a regularization parameter balancing reconstruction and latent regularization (Beaulieu-Jones et al., 2019).</w:t>
      </w:r>
    </w:p>
    <w:p w14:paraId="3B834E06"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Diffusion models address multimodal data through a forward noise addition process:</w:t>
      </w:r>
    </w:p>
    <w:p w14:paraId="37550D54"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q(</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m:rPr>
              <m:scr m:val="script"/>
            </m:rP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t</m:t>
                  </m:r>
                </m:sub>
              </m:sSub>
            </m:e>
          </m:rad>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t</m:t>
              </m:r>
            </m:sub>
          </m:sSub>
          <m:r>
            <w:rPr>
              <w:rFonts w:ascii="Cambria Math" w:hAnsi="Cambria Math" w:cs="Times New Roman"/>
            </w:rPr>
            <m:t>I)</m:t>
          </m:r>
          <m:r>
            <m:rPr>
              <m:sty m:val="p"/>
            </m:rPr>
            <w:rPr>
              <w:rFonts w:ascii="Cambria Math" w:hAnsi="Cambria Math" w:cs="Times New Roman"/>
            </w:rPr>
            <w:br/>
          </m:r>
        </m:oMath>
      </m:oMathPara>
      <w:r w:rsidRPr="007710F7">
        <w:rPr>
          <w:rFonts w:ascii="Times New Roman" w:hAnsi="Times New Roman" w:cs="Times New Roman"/>
        </w:rPr>
        <w:t>and a reverse denoising process:</w:t>
      </w:r>
    </w:p>
    <w:p w14:paraId="54ED1E7D" w14:textId="77777777" w:rsidR="007710F7" w:rsidRPr="007710F7" w:rsidRDefault="00000000"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θ</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cr m:val="script"/>
            </m:rP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θ</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I)</m:t>
          </m:r>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oMath>
      <w:r w:rsidR="007710F7" w:rsidRPr="007710F7">
        <w:rPr>
          <w:rFonts w:ascii="Times New Roman" w:hAnsi="Times New Roman" w:cs="Times New Roman"/>
        </w:rPr>
        <w:t xml:space="preserve"> is the noisy data at timestep (t),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t</m:t>
            </m:r>
          </m:sub>
        </m:sSub>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noise schedule,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θ</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,t)</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and </w:t>
      </w:r>
      <m:oMath>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t</m:t>
            </m:r>
          </m:sub>
          <m:sup>
            <m:r>
              <w:rPr>
                <w:rFonts w:ascii="Cambria Math" w:hAnsi="Cambria Math" w:cs="Times New Roman"/>
              </w:rPr>
              <m:t>2</m:t>
            </m:r>
          </m:sup>
        </m:sSubSup>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are the learned mean and variance of the reverse process (Tucker et al., 2020).</w:t>
      </w:r>
    </w:p>
    <w:p w14:paraId="27B78C7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Differential privacy is integrated using the Laplace mechanism for numerical attributes:</w:t>
      </w:r>
    </w:p>
    <w:p w14:paraId="47953A2D" w14:textId="77A550CD" w:rsidR="007710F7" w:rsidRPr="007710F7" w:rsidRDefault="007710F7" w:rsidP="007710F7">
      <w:pPr>
        <w:spacing w:line="360" w:lineRule="auto"/>
        <w:jc w:val="both"/>
        <w:rPr>
          <w:rFonts w:ascii="Times New Roman" w:hAnsi="Times New Roman" w:cs="Times New Roman"/>
        </w:rPr>
      </w:pPr>
      <m:oMathPara>
        <m:oMath>
          <m:r>
            <m:rPr>
              <m:scr m:val="script"/>
            </m:rPr>
            <w:rPr>
              <w:rFonts w:ascii="Cambria Math" w:hAnsi="Cambria Math" w:cs="Times New Roman"/>
            </w:rPr>
            <m:t>M(</m:t>
          </m:r>
          <m:r>
            <w:rPr>
              <w:rFonts w:ascii="Cambria Math" w:hAnsi="Cambria Math" w:cs="Times New Roman"/>
            </w:rPr>
            <m:t>D)=f(D)+</m:t>
          </m:r>
          <m:r>
            <m:rPr>
              <m:nor/>
            </m:rPr>
            <w:rPr>
              <w:rFonts w:ascii="Times New Roman" w:hAnsi="Times New Roman" w:cs="Times New Roman"/>
            </w:rPr>
            <m:t>Lap</m:t>
          </m:r>
          <m:r>
            <w:rPr>
              <w:rFonts w:ascii="Cambria Math" w:hAnsi="Cambria Math" w:cs="Times New Roman"/>
            </w:rPr>
            <m:t>(</m:t>
          </m:r>
          <m:r>
            <m:rPr>
              <m:sty m:val="p"/>
            </m:rPr>
            <w:rPr>
              <w:rFonts w:ascii="Cambria Math" w:hAnsi="Cambria Math" w:cs="Times New Roman"/>
            </w:rPr>
            <m:t>Δ</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ϵ)</m:t>
          </m:r>
          <m:r>
            <m:rPr>
              <m:sty m:val="p"/>
            </m:rPr>
            <w:rPr>
              <w:rFonts w:ascii="Cambria Math" w:hAnsi="Cambria Math" w:cs="Times New Roman"/>
            </w:rPr>
            <w:br/>
          </m:r>
        </m:oMath>
      </m:oMathPara>
      <w:r w:rsidRPr="007710F7">
        <w:rPr>
          <w:rFonts w:ascii="Times New Roman" w:hAnsi="Times New Roman" w:cs="Times New Roman"/>
        </w:rPr>
        <w:t xml:space="preserve">where (f(D)) is the query function on dataset (D), </w:t>
      </w:r>
      <m:oMath>
        <m:r>
          <m:rPr>
            <m:sty m:val="p"/>
          </m:rPr>
          <w:rPr>
            <w:rFonts w:ascii="Cambria Math" w:hAnsi="Cambria Math" w:cs="Times New Roman"/>
          </w:rPr>
          <m:t>Δ</m:t>
        </m:r>
        <m:r>
          <w:rPr>
            <w:rFonts w:ascii="Cambria Math" w:hAnsi="Cambria Math" w:cs="Times New Roman"/>
          </w:rPr>
          <m:t>f</m:t>
        </m:r>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is the sensitivity of the query, </w:t>
      </w:r>
      <m:oMath>
        <m:r>
          <w:rPr>
            <w:rFonts w:ascii="Cambria Math" w:hAnsi="Cambria Math" w:cs="Times New Roman"/>
          </w:rPr>
          <m:t>ϵ</m:t>
        </m:r>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controls the privacy-utility trade-off, ranging from 0.1 to 10.0, </w:t>
      </w:r>
      <m:oMath>
        <m:r>
          <m:rPr>
            <m:nor/>
          </m:rPr>
          <w:rPr>
            <w:rFonts w:ascii="Times New Roman" w:hAnsi="Times New Roman" w:cs="Times New Roman"/>
          </w:rPr>
          <m:t>Lap</m:t>
        </m:r>
      </m:oMath>
      <w:r w:rsidRPr="007710F7">
        <w:rPr>
          <w:rFonts w:ascii="Times New Roman" w:eastAsiaTheme="minorEastAsia" w:hAnsi="Times New Roman" w:cs="Times New Roman"/>
        </w:rPr>
        <w:t xml:space="preserve"> </w:t>
      </w:r>
      <w:r w:rsidRPr="007710F7">
        <w:rPr>
          <w:rFonts w:ascii="Times New Roman" w:hAnsi="Times New Roman" w:cs="Times New Roman"/>
        </w:rPr>
        <w:t>denotes Laplace noise (Yale et al., 20</w:t>
      </w:r>
      <w:r w:rsidR="00B85B7A">
        <w:rPr>
          <w:rFonts w:ascii="Times New Roman" w:hAnsi="Times New Roman" w:cs="Times New Roman"/>
        </w:rPr>
        <w:t>19</w:t>
      </w:r>
      <w:r w:rsidRPr="007710F7">
        <w:rPr>
          <w:rFonts w:ascii="Times New Roman" w:hAnsi="Times New Roman" w:cs="Times New Roman"/>
        </w:rPr>
        <w:t>).</w:t>
      </w:r>
    </w:p>
    <w:p w14:paraId="42E5B4FA"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For categorical data, the exponential mechanism is applied:</w:t>
      </w:r>
    </w:p>
    <w:p w14:paraId="015CB27E" w14:textId="351C0500" w:rsidR="007710F7" w:rsidRPr="007710F7" w:rsidRDefault="007710F7" w:rsidP="007710F7">
      <w:pPr>
        <w:spacing w:line="360" w:lineRule="auto"/>
        <w:jc w:val="both"/>
        <w:rPr>
          <w:rFonts w:ascii="Times New Roman" w:hAnsi="Times New Roman" w:cs="Times New Roman"/>
        </w:rPr>
      </w:pPr>
      <m:oMathPara>
        <m:oMath>
          <m:r>
            <m:rPr>
              <m:sty m:val="p"/>
            </m:rPr>
            <w:rPr>
              <w:rFonts w:ascii="Cambria Math" w:hAnsi="Cambria Math" w:cs="Times New Roman"/>
            </w:rPr>
            <m:t>Pr</m:t>
          </m:r>
          <m:r>
            <m:rPr>
              <m:scr m:val="script"/>
            </m:rPr>
            <w:rPr>
              <w:rFonts w:ascii="Cambria Math" w:hAnsi="Cambria Math" w:cs="Times New Roman"/>
            </w:rPr>
            <m:t>⁡[M(</m:t>
          </m:r>
          <m:r>
            <w:rPr>
              <w:rFonts w:ascii="Cambria Math" w:hAnsi="Cambria Math" w:cs="Times New Roman"/>
            </w:rPr>
            <m:t>D)=r]∝</m:t>
          </m:r>
          <m:r>
            <m:rPr>
              <m:sty m:val="p"/>
            </m:rPr>
            <w:rPr>
              <w:rFonts w:ascii="Cambria Math" w:hAnsi="Cambria Math" w:cs="Times New Roman"/>
            </w:rPr>
            <m:t>exp</m:t>
          </m:r>
          <m:r>
            <w:rPr>
              <w:rFonts w:ascii="Cambria Math" w:hAnsi="Cambria Math" w:cs="Times New Roman"/>
            </w:rPr>
            <m:t>⁡(ϵ⋅u(D,r)</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Δ</m:t>
          </m:r>
          <m:r>
            <w:rPr>
              <w:rFonts w:ascii="Cambria Math" w:hAnsi="Cambria Math" w:cs="Times New Roman"/>
            </w:rPr>
            <m:t>u)</m:t>
          </m:r>
          <m:r>
            <m:rPr>
              <m:sty m:val="p"/>
            </m:rPr>
            <w:rPr>
              <w:rFonts w:ascii="Cambria Math" w:hAnsi="Cambria Math" w:cs="Times New Roman"/>
            </w:rPr>
            <w:br/>
          </m:r>
        </m:oMath>
      </m:oMathPara>
      <w:r w:rsidRPr="007710F7">
        <w:rPr>
          <w:rFonts w:ascii="Times New Roman" w:hAnsi="Times New Roman" w:cs="Times New Roman"/>
        </w:rPr>
        <w:t xml:space="preserve">where (u(D,r)) is the utility score for output (r), </w:t>
      </w:r>
      <m:oMath>
        <m:r>
          <m:rPr>
            <m:sty m:val="p"/>
          </m:rPr>
          <w:rPr>
            <w:rFonts w:ascii="Cambria Math" w:hAnsi="Cambria Math" w:cs="Times New Roman"/>
          </w:rPr>
          <m:t>Δ</m:t>
        </m:r>
        <m:r>
          <w:rPr>
            <w:rFonts w:ascii="Cambria Math" w:hAnsi="Cambria Math" w:cs="Times New Roman"/>
          </w:rPr>
          <m:t>u</m:t>
        </m:r>
      </m:oMath>
      <w:r w:rsidRPr="007710F7">
        <w:rPr>
          <w:rFonts w:ascii="Times New Roman" w:eastAsiaTheme="minorEastAsia" w:hAnsi="Times New Roman" w:cs="Times New Roman"/>
        </w:rPr>
        <w:t xml:space="preserve"> </w:t>
      </w:r>
      <w:r w:rsidRPr="007710F7">
        <w:rPr>
          <w:rFonts w:ascii="Times New Roman" w:hAnsi="Times New Roman" w:cs="Times New Roman"/>
        </w:rPr>
        <w:t>is the utility sensitivity (Yale et al., 20</w:t>
      </w:r>
      <w:r w:rsidR="00B85B7A">
        <w:rPr>
          <w:rFonts w:ascii="Times New Roman" w:hAnsi="Times New Roman" w:cs="Times New Roman"/>
        </w:rPr>
        <w:t>19</w:t>
      </w:r>
      <w:r w:rsidRPr="007710F7">
        <w:rPr>
          <w:rFonts w:ascii="Times New Roman" w:hAnsi="Times New Roman" w:cs="Times New Roman"/>
        </w:rPr>
        <w:t>).</w:t>
      </w:r>
    </w:p>
    <w:p w14:paraId="5C382CD1"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During training, Differentially Private Stochastic Gradient Descent (DP-SGD) clips gradients:</w:t>
      </w:r>
    </w:p>
    <w:p w14:paraId="721C2BBC" w14:textId="4A10A1F3" w:rsidR="007710F7" w:rsidRPr="007710F7" w:rsidRDefault="00000000"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g</m:t>
                  </m:r>
                </m:e>
              </m:acc>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i</m:t>
              </m:r>
            </m:sub>
          </m:sSub>
          <m:r>
            <m:rPr>
              <m:sty m:val="p"/>
            </m:rPr>
            <w:rPr>
              <w:rFonts w:ascii="Cambria Math" w:hAnsi="Cambria Math" w:cs="Times New Roman"/>
            </w:rPr>
            <m:t>/max</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2</m:t>
              </m:r>
            </m:sub>
          </m:sSub>
          <m:r>
            <m:rPr>
              <m:sty m:val="p"/>
            </m:rPr>
            <w:rPr>
              <w:rFonts w:ascii="Cambria Math" w:hAnsi="Cambria Math" w:cs="Times New Roman"/>
            </w:rPr>
            <m:t>/</m:t>
          </m:r>
          <m:r>
            <w:rPr>
              <w:rFonts w:ascii="Cambria Math" w:hAnsi="Cambria Math" w:cs="Times New Roman"/>
            </w:rPr>
            <m:t>C)+</m:t>
          </m:r>
          <m:r>
            <m:rPr>
              <m:scr m:val="script"/>
            </m:rPr>
            <w:rPr>
              <w:rFonts w:ascii="Cambria Math" w:hAnsi="Cambria Math" w:cs="Times New Roman"/>
            </w:rPr>
            <m:t>N</m:t>
          </m:r>
          <m:r>
            <w:rPr>
              <w:rFonts w:ascii="Cambria Math" w:hAnsi="Cambria Math" w:cs="Times New Roman"/>
            </w:rPr>
            <m:t>(0,</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2</m:t>
              </m:r>
            </m:sup>
          </m:sSup>
          <m:r>
            <w:rPr>
              <w:rFonts w:ascii="Cambria Math" w:hAnsi="Cambria Math" w:cs="Times New Roman"/>
            </w:rPr>
            <m:t>I)</m:t>
          </m:r>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i</m:t>
            </m:r>
          </m:sub>
        </m:sSub>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original gradient, (C) is the clipping norm, </w:t>
      </w:r>
      <m:oMath>
        <m:r>
          <w:rPr>
            <w:rFonts w:ascii="Cambria Math" w:hAnsi="Cambria Math" w:cs="Times New Roman"/>
          </w:rPr>
          <m:t>σ</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noise multiplier </w:t>
      </w:r>
      <w:r w:rsidR="00996B70" w:rsidRPr="00F44290">
        <w:rPr>
          <w:rFonts w:ascii="Times New Roman" w:hAnsi="Times New Roman" w:cs="Times New Roman"/>
        </w:rPr>
        <w:t>(Rujas et al., 2024)</w:t>
      </w:r>
      <w:r w:rsidR="007710F7" w:rsidRPr="007710F7">
        <w:rPr>
          <w:rFonts w:ascii="Times New Roman" w:hAnsi="Times New Roman" w:cs="Times New Roman"/>
        </w:rPr>
        <w:t>.</w:t>
      </w:r>
    </w:p>
    <w:p w14:paraId="3DC6C07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Bias mitigation employs fairness-aware sampling:</w:t>
      </w:r>
    </w:p>
    <w:p w14:paraId="0CD33230" w14:textId="77777777" w:rsidR="007710F7" w:rsidRPr="007710F7" w:rsidRDefault="00000000"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synthetic</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e>
          </m:nary>
          <m:r>
            <w:rPr>
              <w:rFonts w:ascii="Cambria Math" w:hAnsi="Cambria Math" w:cs="Times New Roman"/>
            </w:rPr>
            <m:t>,</m:t>
          </m:r>
          <m:r>
            <m:rPr>
              <m:nor/>
            </m:rPr>
            <w:rPr>
              <w:rFonts w:ascii="Times New Roman" w:hAnsi="Times New Roman" w:cs="Times New Roman"/>
            </w:rPr>
            <m:t xml:space="preserve"> where </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synthetic</m:t>
              </m:r>
            </m:sub>
          </m:sSub>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w:r w:rsidR="007710F7" w:rsidRPr="007710F7">
        <w:rPr>
          <w:rFonts w:ascii="Times New Roman" w:hAnsi="Times New Roman" w:cs="Times New Roman"/>
        </w:rPr>
        <w:t xml:space="preserve"> is the synthetic subset for group (i),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m:t>
            </m:r>
          </m:sub>
        </m:sSub>
      </m:oMath>
      <w:r w:rsidR="007710F7" w:rsidRPr="007710F7">
        <w:rPr>
          <w:rFonts w:ascii="Times New Roman" w:hAnsi="Times New Roman" w:cs="Times New Roman"/>
        </w:rPr>
        <w:t xml:space="preserve"> is the proportional representation weight,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synthetic</m:t>
            </m:r>
          </m:sub>
        </m:sSub>
      </m:oMath>
      <w:r w:rsidR="007710F7" w:rsidRPr="007710F7">
        <w:rPr>
          <w:rFonts w:ascii="Times New Roman" w:hAnsi="Times New Roman" w:cs="Times New Roman"/>
        </w:rPr>
        <w:t xml:space="preserve"> is the total synthetic sample size.</w:t>
      </w:r>
    </w:p>
    <w:p w14:paraId="1D390673"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Adversarial debiasing minimizes sensitive attribute prediction:</w:t>
      </w:r>
    </w:p>
    <w:p w14:paraId="2FB9274B" w14:textId="77777777" w:rsidR="007710F7" w:rsidRDefault="00000000"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debiasing</m:t>
              </m:r>
            </m:sub>
          </m:sSub>
          <m:r>
            <w:rPr>
              <w:rFonts w:ascii="Cambria Math" w:hAnsi="Cambria Math" w:cs="Times New Roman"/>
            </w:rPr>
            <m:t>=</m:t>
          </m:r>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utility</m:t>
              </m:r>
            </m:sub>
          </m:sSub>
          <m:r>
            <w:rPr>
              <w:rFonts w:ascii="Cambria Math" w:hAnsi="Cambria Math" w:cs="Times New Roman"/>
            </w:rPr>
            <m:t>-λ</m:t>
          </m:r>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fairness</m:t>
              </m:r>
            </m:sub>
          </m:sSub>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utility</m:t>
            </m:r>
          </m:sub>
        </m:sSub>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 xml:space="preserve">is the primary task loss, </w:t>
      </w:r>
      <m:oMath>
        <m:sSub>
          <m:sSubPr>
            <m:ctrlPr>
              <w:rPr>
                <w:rFonts w:ascii="Cambria Math" w:hAnsi="Cambria Math" w:cs="Times New Roman"/>
              </w:rPr>
            </m:ctrlPr>
          </m:sSubPr>
          <m:e>
            <m:r>
              <m:rPr>
                <m:scr m:val="script"/>
              </m:rPr>
              <w:rPr>
                <w:rFonts w:ascii="Cambria Math" w:hAnsi="Cambria Math" w:cs="Times New Roman"/>
              </w:rPr>
              <m:t>L</m:t>
            </m:r>
          </m:e>
          <m:sub>
            <m:r>
              <w:rPr>
                <w:rFonts w:ascii="Cambria Math" w:hAnsi="Cambria Math" w:cs="Times New Roman"/>
              </w:rPr>
              <m:t>fairness</m:t>
            </m:r>
          </m:sub>
        </m:sSub>
      </m:oMath>
      <w:r w:rsidR="007710F7" w:rsidRPr="007710F7">
        <w:rPr>
          <w:rFonts w:ascii="Times New Roman" w:hAnsi="Times New Roman" w:cs="Times New Roman"/>
        </w:rPr>
        <w:t xml:space="preserve"> penalizes sensitive attribute prediction, </w:t>
      </w:r>
      <m:oMath>
        <m:r>
          <w:rPr>
            <w:rFonts w:ascii="Cambria Math" w:hAnsi="Cambria Math" w:cs="Times New Roman"/>
          </w:rPr>
          <m:t>λ</m:t>
        </m:r>
      </m:oMath>
      <w:r w:rsidR="007710F7" w:rsidRPr="007710F7">
        <w:rPr>
          <w:rFonts w:ascii="Times New Roman" w:eastAsiaTheme="minorEastAsia" w:hAnsi="Times New Roman" w:cs="Times New Roman"/>
        </w:rPr>
        <w:t xml:space="preserve"> </w:t>
      </w:r>
      <w:r w:rsidR="007710F7" w:rsidRPr="007710F7">
        <w:rPr>
          <w:rFonts w:ascii="Times New Roman" w:hAnsi="Times New Roman" w:cs="Times New Roman"/>
        </w:rPr>
        <w:t>balances utility and fairness (Shahul Hameed et al., 2024).</w:t>
      </w:r>
    </w:p>
    <w:p w14:paraId="0E798CA9" w14:textId="77777777" w:rsidR="00DC1735" w:rsidRPr="007710F7" w:rsidRDefault="00DC1735" w:rsidP="007710F7">
      <w:pPr>
        <w:spacing w:line="360" w:lineRule="auto"/>
        <w:jc w:val="both"/>
        <w:rPr>
          <w:rFonts w:ascii="Times New Roman" w:hAnsi="Times New Roman" w:cs="Times New Roman"/>
        </w:rPr>
      </w:pPr>
    </w:p>
    <w:p w14:paraId="6D2546F4"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Dynamic Consent Framework</w:t>
      </w:r>
    </w:p>
    <w:p w14:paraId="4A1FEF42"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lastRenderedPageBreak/>
        <w:t>The dynamic consent framework leverages blockchain technology, implemented via Hyperledger Fabric, to enable immutable, real-time management of patient consent. Smart contracts govern state transitions:</w:t>
      </w:r>
    </w:p>
    <w:p w14:paraId="462A911E" w14:textId="2FB6BFC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Stat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t+1</m:t>
              </m:r>
            </m:sub>
          </m:sSub>
          <m:r>
            <w:rPr>
              <w:rFonts w:ascii="Cambria Math" w:hAnsi="Cambria Math" w:cs="Times New Roman"/>
            </w:rPr>
            <m:t>=f(Stat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,Transactio</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,Consen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rules</m:t>
              </m:r>
            </m:sub>
          </m:sSub>
          <m:r>
            <w:rPr>
              <w:rFonts w:ascii="Cambria Math" w:hAnsi="Cambria Math" w:cs="Times New Roman"/>
            </w:rPr>
            <m:t>)</m:t>
          </m:r>
          <m:r>
            <m:rPr>
              <m:sty m:val="p"/>
            </m:rPr>
            <w:rPr>
              <w:rFonts w:ascii="Cambria Math" w:hAnsi="Cambria Math" w:cs="Times New Roman"/>
            </w:rPr>
            <w:br/>
          </m:r>
        </m:oMath>
      </m:oMathPara>
      <w:r w:rsidRPr="007710F7">
        <w:rPr>
          <w:rFonts w:ascii="Times New Roman" w:hAnsi="Times New Roman" w:cs="Times New Roman"/>
        </w:rPr>
        <w:t xml:space="preserve">where </w:t>
      </w:r>
      <m:oMath>
        <m:r>
          <w:rPr>
            <w:rFonts w:ascii="Cambria Math" w:hAnsi="Cambria Math" w:cs="Times New Roman"/>
          </w:rPr>
          <m:t>Stat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is the current consent state, </w:t>
      </w:r>
      <m:oMath>
        <m:r>
          <w:rPr>
            <w:rFonts w:ascii="Cambria Math" w:hAnsi="Cambria Math" w:cs="Times New Roman"/>
          </w:rPr>
          <m:t>Transactio</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oMath>
      <w:r w:rsidRPr="007710F7">
        <w:rPr>
          <w:rFonts w:ascii="Times New Roman" w:hAnsi="Times New Roman" w:cs="Times New Roman"/>
        </w:rPr>
        <w:t xml:space="preserve"> is the proposed modification, </w:t>
      </w:r>
      <m:oMath>
        <m:r>
          <w:rPr>
            <w:rFonts w:ascii="Cambria Math" w:hAnsi="Cambria Math" w:cs="Times New Roman"/>
          </w:rPr>
          <m:t>Consen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rules</m:t>
            </m:r>
          </m:sub>
        </m:sSub>
      </m:oMath>
      <w:r w:rsidRPr="007710F7">
        <w:rPr>
          <w:rFonts w:ascii="Times New Roman" w:hAnsi="Times New Roman" w:cs="Times New Roman"/>
        </w:rPr>
        <w:t xml:space="preserve"> are predefined governance rules </w:t>
      </w:r>
      <w:r w:rsidR="00B85B7A" w:rsidRPr="001656BB">
        <w:rPr>
          <w:rFonts w:ascii="Times New Roman" w:hAnsi="Times New Roman" w:cs="Times New Roman"/>
        </w:rPr>
        <w:t>(Charles et al., 2023)</w:t>
      </w:r>
      <w:r w:rsidRPr="007710F7">
        <w:rPr>
          <w:rFonts w:ascii="Times New Roman" w:hAnsi="Times New Roman" w:cs="Times New Roman"/>
        </w:rPr>
        <w:t>.</w:t>
      </w:r>
    </w:p>
    <w:p w14:paraId="6A0DF314"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A consent matrix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matrix</m:t>
            </m:r>
          </m:sub>
        </m:sSub>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with binary entries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i,j</m:t>
            </m:r>
          </m:sub>
        </m:sSub>
        <m:r>
          <w:rPr>
            <w:rFonts w:ascii="Cambria Math" w:hAnsi="Cambria Math" w:cs="Times New Roman"/>
          </w:rPr>
          <m:t>∈{0,1}</m:t>
        </m:r>
      </m:oMath>
      <w:r w:rsidRPr="007710F7">
        <w:rPr>
          <w:rFonts w:ascii="Times New Roman" w:eastAsiaTheme="minorEastAsia" w:hAnsi="Times New Roman" w:cs="Times New Roman"/>
        </w:rPr>
        <w:t xml:space="preserve"> </w:t>
      </w:r>
      <w:r w:rsidRPr="007710F7">
        <w:rPr>
          <w:rFonts w:ascii="Times New Roman" w:hAnsi="Times New Roman" w:cs="Times New Roman"/>
        </w:rPr>
        <w:t>represents preferences across data types and purposes, quantified by utility scoring:</w:t>
      </w:r>
    </w:p>
    <w:p w14:paraId="34333589" w14:textId="6C1F7B98"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U(consen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v</m:t>
              </m:r>
            </m:sub>
          </m:sSub>
          <m:r>
            <w:rPr>
              <w:rFonts w:ascii="Cambria Math" w:hAnsi="Cambria Math" w:cs="Times New Roman"/>
            </w:rPr>
            <m:t>ector)=</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e>
          </m:nary>
          <m:r>
            <w:rPr>
              <w:rFonts w:ascii="Cambria Math" w:hAnsi="Cambria Math" w:cs="Times New Roman"/>
            </w:rPr>
            <m:t>⋅preferenc</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w:br/>
          </m:r>
        </m:oMath>
      </m:oMathPara>
      <w:r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oMath>
      <w:r w:rsidRPr="007710F7">
        <w:rPr>
          <w:rFonts w:ascii="Times New Roman" w:hAnsi="Times New Roman" w:cs="Times New Roman"/>
        </w:rPr>
        <w:t xml:space="preserve"> is the weight for preference (i), </w:t>
      </w:r>
      <m:oMath>
        <m:r>
          <w:rPr>
            <w:rFonts w:ascii="Cambria Math" w:hAnsi="Cambria Math" w:cs="Times New Roman"/>
          </w:rPr>
          <m:t>preferenc</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oMath>
      <w:r w:rsidRPr="007710F7">
        <w:rPr>
          <w:rFonts w:ascii="Times New Roman" w:hAnsi="Times New Roman" w:cs="Times New Roman"/>
        </w:rPr>
        <w:t xml:space="preserve"> is the binary consent choice </w:t>
      </w:r>
      <w:r w:rsidR="00996B70" w:rsidRPr="006E6CD5">
        <w:rPr>
          <w:rFonts w:ascii="Times New Roman" w:hAnsi="Times New Roman" w:cs="Times New Roman"/>
        </w:rPr>
        <w:t>(Pati et al., 2024)</w:t>
      </w:r>
      <w:r w:rsidRPr="007710F7">
        <w:rPr>
          <w:rFonts w:ascii="Times New Roman" w:hAnsi="Times New Roman" w:cs="Times New Roman"/>
        </w:rPr>
        <w:t>.</w:t>
      </w:r>
    </w:p>
    <w:p w14:paraId="2B99987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Validation algorithms verify requests against current states, logging accesses for audits. User interfaces incorporate human-centered design, evaluated through heuristic simulations for accessibility.</w:t>
      </w:r>
    </w:p>
    <w:p w14:paraId="3E7BFDCE"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Performance Metrics and Validation</w:t>
      </w:r>
    </w:p>
    <w:p w14:paraId="35C48E1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The governance framework is assessed across utility, privacy, and bias dimensions using quantitative metrics. Statistical fidelity is measured via Jensen-Shannon Divergence:</w:t>
      </w:r>
    </w:p>
    <w:p w14:paraId="508CFD46"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JS(P</m:t>
          </m:r>
          <m:r>
            <m:rPr>
              <m:sty m:val="p"/>
            </m:rPr>
            <w:rPr>
              <w:rFonts w:ascii="Cambria Math" w:hAnsi="Cambria Math" w:cs="Times New Roman"/>
            </w:rPr>
            <m:t>∣∣</m:t>
          </m:r>
          <m:r>
            <w:rPr>
              <w:rFonts w:ascii="Cambria Math" w:hAnsi="Cambria Math" w:cs="Times New Roman"/>
            </w:rPr>
            <m:t>Q)=</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r>
            <w:rPr>
              <w:rFonts w:ascii="Cambria Math" w:hAnsi="Cambria Math" w:cs="Times New Roman"/>
            </w:rPr>
            <m:t>(P</m:t>
          </m:r>
          <m:r>
            <m:rPr>
              <m:sty m:val="p"/>
            </m:rPr>
            <w:rPr>
              <w:rFonts w:ascii="Cambria Math" w:hAnsi="Cambria Math" w:cs="Times New Roman"/>
            </w:rPr>
            <m:t>∣∣</m:t>
          </m:r>
          <m:r>
            <w:rPr>
              <w:rFonts w:ascii="Cambria Math" w:hAnsi="Cambria Math" w:cs="Times New Roman"/>
            </w:rPr>
            <m:t>M)+</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KL</m:t>
              </m:r>
            </m:sub>
          </m:sSub>
          <m:r>
            <w:rPr>
              <w:rFonts w:ascii="Cambria Math" w:hAnsi="Cambria Math" w:cs="Times New Roman"/>
            </w:rPr>
            <m:t>(Q</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w:br/>
          </m:r>
        </m:oMath>
      </m:oMathPara>
      <w:r w:rsidRPr="007710F7">
        <w:rPr>
          <w:rFonts w:ascii="Times New Roman" w:hAnsi="Times New Roman" w:cs="Times New Roman"/>
        </w:rPr>
        <w:t>Wasserstein Distance:</w:t>
      </w:r>
    </w:p>
    <w:p w14:paraId="4BDD413E" w14:textId="77777777" w:rsidR="007710F7" w:rsidRPr="007710F7" w:rsidRDefault="00000000"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(P,Q)=</m:t>
          </m:r>
          <m:limLow>
            <m:limLowPr>
              <m:ctrlPr>
                <w:rPr>
                  <w:rFonts w:ascii="Cambria Math" w:hAnsi="Cambria Math" w:cs="Times New Roman"/>
                </w:rPr>
              </m:ctrlPr>
            </m:limLowPr>
            <m:e>
              <m:r>
                <m:rPr>
                  <m:sty m:val="p"/>
                </m:rPr>
                <w:rPr>
                  <w:rFonts w:ascii="Cambria Math" w:hAnsi="Cambria Math" w:cs="Times New Roman"/>
                </w:rPr>
                <m:t>inf</m:t>
              </m:r>
              <m:r>
                <w:rPr>
                  <w:rFonts w:ascii="Cambria Math" w:hAnsi="Cambria Math" w:cs="Times New Roman"/>
                </w:rPr>
                <m:t>⁡</m:t>
              </m:r>
            </m:e>
            <m:lim>
              <m:r>
                <w:rPr>
                  <w:rFonts w:ascii="Cambria Math" w:hAnsi="Cambria Math" w:cs="Times New Roman"/>
                </w:rPr>
                <m:t>γ∈</m:t>
              </m:r>
              <m:r>
                <m:rPr>
                  <m:sty m:val="p"/>
                </m:rPr>
                <w:rPr>
                  <w:rFonts w:ascii="Cambria Math" w:hAnsi="Cambria Math" w:cs="Times New Roman"/>
                </w:rPr>
                <m:t>Π</m:t>
              </m:r>
              <m:r>
                <w:rPr>
                  <w:rFonts w:ascii="Cambria Math" w:hAnsi="Cambria Math" w:cs="Times New Roman"/>
                </w:rPr>
                <m:t>(P,Q)</m:t>
              </m:r>
            </m:lim>
          </m:limLow>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(x,y)∼γ</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x-y</m:t>
          </m:r>
          <m:r>
            <m:rPr>
              <m:sty m:val="p"/>
            </m:rPr>
            <w:rPr>
              <w:rFonts w:ascii="Cambria Math" w:hAnsi="Cambria Math" w:cs="Times New Roman"/>
            </w:rPr>
            <m:t>∣∣</m:t>
          </m:r>
          <m:r>
            <w:rPr>
              <w:rFonts w:ascii="Cambria Math" w:hAnsi="Cambria Math" w:cs="Times New Roman"/>
            </w:rPr>
            <m:t>]</m:t>
          </m:r>
        </m:oMath>
      </m:oMathPara>
    </w:p>
    <w:p w14:paraId="021CC710"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and Maximum Mean Discrepancy:</w:t>
      </w:r>
    </w:p>
    <w:p w14:paraId="250D54A1"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MM</m:t>
          </m:r>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(P,Q)=</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Q</m:t>
              </m:r>
            </m:sub>
          </m:sSub>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m:t>
              </m:r>
            </m:e>
            <m:sub>
              <m:r>
                <m:rPr>
                  <m:scr m:val="script"/>
                </m:rPr>
                <w:rPr>
                  <w:rFonts w:ascii="Cambria Math" w:hAnsi="Cambria Math" w:cs="Times New Roman"/>
                </w:rPr>
                <m:t>H</m:t>
              </m:r>
            </m:sub>
            <m:sup>
              <m:r>
                <w:rPr>
                  <w:rFonts w:ascii="Cambria Math" w:hAnsi="Cambria Math" w:cs="Times New Roman"/>
                </w:rPr>
                <m:t>2</m:t>
              </m:r>
            </m:sup>
          </m:sSubSup>
          <m:r>
            <m:rPr>
              <m:sty m:val="p"/>
            </m:rPr>
            <w:rPr>
              <w:rFonts w:ascii="Cambria Math" w:hAnsi="Cambria Math" w:cs="Times New Roman"/>
            </w:rPr>
            <w:br/>
          </m:r>
        </m:oMath>
      </m:oMathPara>
      <w:r w:rsidRPr="007710F7">
        <w:rPr>
          <w:rFonts w:ascii="Times New Roman" w:hAnsi="Times New Roman" w:cs="Times New Roman"/>
        </w:rPr>
        <w:t xml:space="preserve">where (P) and (Q) are real and synthetic distributions, </w:t>
      </w:r>
      <m:oMath>
        <m:r>
          <w:rPr>
            <w:rFonts w:ascii="Cambria Math" w:hAnsi="Cambria Math" w:cs="Times New Roman"/>
          </w:rPr>
          <m:t>M=(P+Q)</m:t>
        </m:r>
        <m:r>
          <m:rPr>
            <m:sty m:val="p"/>
          </m:rPr>
          <w:rPr>
            <w:rFonts w:ascii="Cambria Math" w:hAnsi="Cambria Math" w:cs="Times New Roman"/>
          </w:rPr>
          <m:t>/</m:t>
        </m:r>
        <m:r>
          <w:rPr>
            <w:rFonts w:ascii="Cambria Math" w:hAnsi="Cambria Math" w:cs="Times New Roman"/>
          </w:rPr>
          <m:t>2</m:t>
        </m:r>
      </m:oMath>
      <w:r w:rsidRPr="007710F7">
        <w:rPr>
          <w:rFonts w:ascii="Times New Roman" w:hAnsi="Times New Roman" w:cs="Times New Roman"/>
        </w:rPr>
        <w:t xml:space="preserve"> is the mixture distribution,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Q</m:t>
            </m:r>
          </m:sub>
        </m:sSub>
      </m:oMath>
      <w:r w:rsidRPr="007710F7">
        <w:rPr>
          <w:rFonts w:ascii="Times New Roman" w:hAnsi="Times New Roman" w:cs="Times New Roman"/>
        </w:rPr>
        <w:t xml:space="preserve"> are mean embeddings in a reproducing kernel Hilbert space </w:t>
      </w:r>
      <m:oMath>
        <m:r>
          <m:rPr>
            <m:scr m:val="script"/>
          </m:rPr>
          <w:rPr>
            <w:rFonts w:ascii="Cambria Math" w:hAnsi="Cambria Math" w:cs="Times New Roman"/>
          </w:rPr>
          <m:t>H</m:t>
        </m:r>
      </m:oMath>
      <w:r w:rsidRPr="007710F7">
        <w:rPr>
          <w:rFonts w:ascii="Times New Roman" w:hAnsi="Times New Roman" w:cs="Times New Roman"/>
        </w:rPr>
        <w:t xml:space="preserve"> (Zamzmi et al., 2025; El-Sappagh et al., 2022).</w:t>
      </w:r>
    </w:p>
    <w:p w14:paraId="0B747797"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lastRenderedPageBreak/>
        <w:t>Clinical utility is evaluated using Area Under the Curve (AUC):</w:t>
      </w:r>
    </w:p>
    <w:p w14:paraId="0E1C90D5" w14:textId="77777777" w:rsidR="007710F7" w:rsidRPr="007710F7" w:rsidRDefault="00000000" w:rsidP="007710F7">
      <w:pPr>
        <w:spacing w:line="360" w:lineRule="auto"/>
        <w:jc w:val="both"/>
        <w:rPr>
          <w:rFonts w:ascii="Times New Roman" w:hAnsi="Times New Roman" w:cs="Times New Roman"/>
        </w:rPr>
      </w:pPr>
      <m:oMathPara>
        <m:oMath>
          <m:nary>
            <m:naryPr>
              <m:limLoc m:val="subSup"/>
              <m:grow m:val="1"/>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
                <w:rPr>
                  <w:rFonts w:ascii="Cambria Math" w:hAnsi="Cambria Math" w:cs="Times New Roman"/>
                </w:rPr>
                <m:t>TPR(FP</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-1</m:t>
                  </m:r>
                </m:sup>
              </m:sSup>
              <m:r>
                <w:rPr>
                  <w:rFonts w:ascii="Cambria Math" w:hAnsi="Cambria Math" w:cs="Times New Roman"/>
                </w:rPr>
                <m:t>(t))dt</m:t>
              </m:r>
            </m:e>
          </m:nary>
          <m:r>
            <m:rPr>
              <m:sty m:val="p"/>
            </m:rPr>
            <w:rPr>
              <w:rFonts w:ascii="Cambria Math" w:hAnsi="Cambria Math" w:cs="Times New Roman"/>
            </w:rPr>
            <w:br/>
          </m:r>
        </m:oMath>
      </m:oMathPara>
      <w:r w:rsidR="007710F7" w:rsidRPr="007710F7">
        <w:rPr>
          <w:rFonts w:ascii="Times New Roman" w:hAnsi="Times New Roman" w:cs="Times New Roman"/>
        </w:rPr>
        <w:t>and correlation distance:</w:t>
      </w:r>
    </w:p>
    <w:p w14:paraId="78ECFEF6" w14:textId="0634A9BD" w:rsidR="007710F7" w:rsidRPr="007710F7" w:rsidRDefault="00000000" w:rsidP="007710F7">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corr</m:t>
              </m:r>
            </m:sub>
          </m:sSub>
          <m:r>
            <w:rPr>
              <w:rFonts w:ascii="Cambria Math" w:hAnsi="Cambria Math" w:cs="Times New Roman"/>
            </w:rPr>
            <m: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real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synthetic</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m:t>
              </m:r>
            </m:e>
            <m:sub>
              <m:r>
                <w:rPr>
                  <w:rFonts w:ascii="Cambria Math" w:hAnsi="Cambria Math" w:cs="Times New Roman"/>
                </w:rPr>
                <m:t>F</m:t>
              </m:r>
            </m:sub>
          </m:sSub>
          <m:r>
            <m:rPr>
              <m:sty m:val="p"/>
            </m:rPr>
            <w:rPr>
              <w:rFonts w:ascii="Cambria Math" w:hAnsi="Cambria Math" w:cs="Times New Roman"/>
            </w:rPr>
            <w:br/>
          </m:r>
        </m:oMath>
      </m:oMathPara>
      <w:r w:rsidR="007710F7" w:rsidRPr="007710F7">
        <w:rPr>
          <w:rFonts w:ascii="Times New Roman" w:hAnsi="Times New Roman" w:cs="Times New Roman"/>
        </w:rPr>
        <w:t xml:space="preserve">where (TPR) is the true positive rate, (FPR) is the false positive rate,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real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synthetic</m:t>
            </m:r>
          </m:sub>
        </m:sSub>
      </m:oMath>
      <w:r w:rsidR="007710F7" w:rsidRPr="007710F7">
        <w:rPr>
          <w:rFonts w:ascii="Times New Roman" w:hAnsi="Times New Roman" w:cs="Times New Roman"/>
        </w:rPr>
        <w:t xml:space="preserve"> are correlation matrices </w:t>
      </w:r>
      <w:r w:rsidR="00B85B7A" w:rsidRPr="00CA605B">
        <w:rPr>
          <w:rFonts w:ascii="Times New Roman" w:hAnsi="Times New Roman" w:cs="Times New Roman"/>
        </w:rPr>
        <w:t>(Vallevik et al., 2024)</w:t>
      </w:r>
      <w:r w:rsidR="007710F7" w:rsidRPr="007710F7">
        <w:rPr>
          <w:rFonts w:ascii="Times New Roman" w:hAnsi="Times New Roman" w:cs="Times New Roman"/>
        </w:rPr>
        <w:t>.</w:t>
      </w:r>
    </w:p>
    <w:p w14:paraId="36FE1D6D"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Privacy risks are quantified by membership inference accuracy:</w:t>
      </w:r>
    </w:p>
    <w:p w14:paraId="4DBBB464"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Accurac</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MIA</m:t>
              </m:r>
            </m:sub>
          </m:sSub>
          <m:r>
            <w:rPr>
              <w:rFonts w:ascii="Cambria Math" w:hAnsi="Cambria Math" w:cs="Times New Roman"/>
            </w:rPr>
            <m:t>=(TP+TN)</m:t>
          </m:r>
          <m:r>
            <m:rPr>
              <m:sty m:val="p"/>
            </m:rPr>
            <w:rPr>
              <w:rFonts w:ascii="Cambria Math" w:hAnsi="Cambria Math" w:cs="Times New Roman"/>
            </w:rPr>
            <m:t>/</m:t>
          </m:r>
          <m:r>
            <w:rPr>
              <w:rFonts w:ascii="Cambria Math" w:hAnsi="Cambria Math" w:cs="Times New Roman"/>
            </w:rPr>
            <m:t>(TP+TN+FP+FN)</m:t>
          </m:r>
          <m:r>
            <m:rPr>
              <m:sty m:val="p"/>
            </m:rPr>
            <w:rPr>
              <w:rFonts w:ascii="Cambria Math" w:hAnsi="Cambria Math" w:cs="Times New Roman"/>
            </w:rPr>
            <w:br/>
          </m:r>
        </m:oMath>
      </m:oMathPara>
      <w:r w:rsidRPr="007710F7">
        <w:rPr>
          <w:rFonts w:ascii="Times New Roman" w:hAnsi="Times New Roman" w:cs="Times New Roman"/>
        </w:rPr>
        <w:t>and advantage:</w:t>
      </w:r>
    </w:p>
    <w:p w14:paraId="35043958"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Accurac</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MIA</m:t>
              </m:r>
            </m:sub>
          </m:sSub>
          <m:r>
            <w:rPr>
              <w:rFonts w:ascii="Cambria Math" w:hAnsi="Cambria Math" w:cs="Times New Roman"/>
            </w:rPr>
            <m:t>-0.5</m:t>
          </m:r>
          <m:r>
            <m:rPr>
              <m:sty m:val="p"/>
            </m:rPr>
            <w:rPr>
              <w:rFonts w:ascii="Cambria Math" w:hAnsi="Cambria Math" w:cs="Times New Roman"/>
            </w:rPr>
            <w:br/>
          </m:r>
        </m:oMath>
      </m:oMathPara>
      <w:r w:rsidRPr="007710F7">
        <w:rPr>
          <w:rFonts w:ascii="Times New Roman" w:hAnsi="Times New Roman" w:cs="Times New Roman"/>
        </w:rPr>
        <w:t>alongside Distance-to-Closest-Record:</w:t>
      </w:r>
    </w:p>
    <w:p w14:paraId="7E18B6B6"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DCR(</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synthetic</m:t>
              </m:r>
            </m:sub>
          </m:sSub>
          <m: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min</m:t>
              </m:r>
              <m:r>
                <w:rPr>
                  <w:rFonts w:ascii="Cambria Math" w:hAnsi="Cambria Math" w:cs="Times New Roman"/>
                </w:rPr>
                <m:t>⁡</m:t>
              </m:r>
            </m:e>
            <m:li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real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train</m:t>
                  </m:r>
                </m:sub>
              </m:sSub>
            </m:lim>
          </m:limLow>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synthetic</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real</m:t>
              </m:r>
            </m:sub>
          </m:sSub>
          <m:r>
            <w:rPr>
              <w:rFonts w:ascii="Cambria Math" w:hAnsi="Cambria Math" w:cs="Times New Roman"/>
            </w:rPr>
            <m:t>)</m:t>
          </m:r>
          <m:r>
            <m:rPr>
              <m:sty m:val="p"/>
            </m:rPr>
            <w:rPr>
              <w:rFonts w:ascii="Cambria Math" w:hAnsi="Cambria Math" w:cs="Times New Roman"/>
            </w:rPr>
            <w:br/>
          </m:r>
        </m:oMath>
      </m:oMathPara>
      <w:r w:rsidRPr="007710F7">
        <w:rPr>
          <w:rFonts w:ascii="Times New Roman" w:hAnsi="Times New Roman" w:cs="Times New Roman"/>
        </w:rPr>
        <w:t>and attribute inference risk:</w:t>
      </w:r>
    </w:p>
    <w:p w14:paraId="15266AD7" w14:textId="77777777" w:rsidR="007710F7" w:rsidRPr="007710F7" w:rsidRDefault="007710F7" w:rsidP="007710F7">
      <w:pPr>
        <w:spacing w:line="360" w:lineRule="auto"/>
        <w:jc w:val="both"/>
        <w:rPr>
          <w:rFonts w:ascii="Times New Roman" w:hAnsi="Times New Roman" w:cs="Times New Roman"/>
          <w:i/>
        </w:rPr>
      </w:pPr>
      <m:oMathPara>
        <m:oMath>
          <m:r>
            <w:rPr>
              <w:rFonts w:ascii="Cambria Math" w:hAnsi="Cambria Math" w:cs="Times New Roman"/>
            </w:rPr>
            <m:t>P(sensitiv</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a</m:t>
              </m:r>
            </m:sub>
          </m:sSub>
          <m:r>
            <w:rPr>
              <w:rFonts w:ascii="Cambria Math" w:hAnsi="Cambria Math" w:cs="Times New Roman"/>
            </w:rPr>
            <m:t>ttr</m:t>
          </m:r>
          <m:r>
            <m:rPr>
              <m:sty m:val="p"/>
            </m:rPr>
            <w:rPr>
              <w:rFonts w:ascii="Cambria Math" w:hAnsi="Cambria Math" w:cs="Times New Roman"/>
            </w:rPr>
            <m:t>∣</m:t>
          </m:r>
          <m:r>
            <w:rPr>
              <w:rFonts w:ascii="Cambria Math" w:hAnsi="Cambria Math" w:cs="Times New Roman"/>
            </w:rPr>
            <m:t>observabl</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a</m:t>
              </m:r>
            </m:sub>
          </m:sSub>
          <m:r>
            <w:rPr>
              <w:rFonts w:ascii="Cambria Math" w:hAnsi="Cambria Math" w:cs="Times New Roman"/>
            </w:rPr>
            <m:t>ttrs)-P(sensitiv</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a</m:t>
              </m:r>
            </m:sub>
          </m:sSub>
          <m:r>
            <w:rPr>
              <w:rFonts w:ascii="Cambria Math" w:hAnsi="Cambria Math" w:cs="Times New Roman"/>
            </w:rPr>
            <m:t>ttr)</m:t>
          </m:r>
        </m:oMath>
      </m:oMathPara>
    </w:p>
    <w:p w14:paraId="7DDD845B" w14:textId="59BFC688"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Where (TP, TN, FP, FN) are true positives, true negatives, false positives, and false negatives, (d) is a distance metric </w:t>
      </w:r>
      <w:r w:rsidR="00B85B7A" w:rsidRPr="00245F07">
        <w:rPr>
          <w:rFonts w:ascii="Times New Roman" w:hAnsi="Times New Roman" w:cs="Times New Roman"/>
        </w:rPr>
        <w:t>(Zhang et al., 2022)</w:t>
      </w:r>
      <w:r w:rsidRPr="007710F7">
        <w:rPr>
          <w:rFonts w:ascii="Times New Roman" w:hAnsi="Times New Roman" w:cs="Times New Roman"/>
        </w:rPr>
        <w:t>.</w:t>
      </w:r>
    </w:p>
    <w:p w14:paraId="362B977D"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Bias assessments include demographic parity:</w:t>
      </w:r>
    </w:p>
    <w:p w14:paraId="415F56C6"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DP=</m:t>
          </m:r>
          <m:r>
            <m:rPr>
              <m:sty m:val="p"/>
            </m:rPr>
            <w:rPr>
              <w:rFonts w:ascii="Cambria Math" w:hAnsi="Cambria Math" w:cs="Times New Roman"/>
            </w:rPr>
            <m:t>∣</m:t>
          </m:r>
          <m:r>
            <w:rPr>
              <w:rFonts w:ascii="Cambria Math" w:hAnsi="Cambria Math" w:cs="Times New Roman"/>
            </w:rPr>
            <m:t>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r>
            <m:rPr>
              <m:sty m:val="p"/>
            </m:rPr>
            <w:rPr>
              <w:rFonts w:ascii="Cambria Math" w:hAnsi="Cambria Math" w:cs="Times New Roman"/>
            </w:rPr>
            <m:t>∣</m:t>
          </m:r>
          <m:r>
            <w:rPr>
              <w:rFonts w:ascii="Cambria Math" w:hAnsi="Cambria Math" w:cs="Times New Roman"/>
            </w:rPr>
            <m:t>A=a)-P(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r>
            <m:rPr>
              <m:sty m:val="p"/>
            </m:rPr>
            <w:rPr>
              <w:rFonts w:ascii="Cambria Math" w:hAnsi="Cambria Math" w:cs="Times New Roman"/>
            </w:rPr>
            <m:t>∣</m:t>
          </m:r>
          <m:r>
            <w:rPr>
              <w:rFonts w:ascii="Cambria Math" w:hAnsi="Cambria Math" w:cs="Times New Roman"/>
            </w:rPr>
            <m:t>A=</m:t>
          </m:r>
          <m:sSup>
            <m:sSupPr>
              <m:ctrlPr>
                <w:rPr>
                  <w:rFonts w:ascii="Cambria Math" w:hAnsi="Cambria Math" w:cs="Times New Roman"/>
                </w:rPr>
              </m:ctrlPr>
            </m:sSupPr>
            <m:e>
              <m:r>
                <w:rPr>
                  <w:rFonts w:ascii="Cambria Math" w:hAnsi="Cambria Math" w:cs="Times New Roman"/>
                </w:rPr>
                <m:t>a</m:t>
              </m:r>
            </m:e>
            <m:sup>
              <m:r>
                <m:rPr>
                  <m:sty m:val="p"/>
                </m:rPr>
                <w:rPr>
                  <w:rFonts w:ascii="Cambria Math" w:hAnsi="Cambria Math" w:cs="Times New Roman"/>
                </w:rPr>
                <m:t>'</m:t>
              </m:r>
            </m:sup>
          </m:sSup>
          <m:r>
            <w:rPr>
              <w:rFonts w:ascii="Cambria Math" w:hAnsi="Cambria Math" w:cs="Times New Roman"/>
            </w:rPr>
            <m:t>)</m:t>
          </m:r>
          <m:r>
            <m:rPr>
              <m:sty m:val="p"/>
            </m:rPr>
            <w:rPr>
              <w:rFonts w:ascii="Cambria Math" w:hAnsi="Cambria Math" w:cs="Times New Roman"/>
            </w:rPr>
            <m:t>∣</m:t>
          </m:r>
          <m:r>
            <m:rPr>
              <m:sty m:val="p"/>
            </m:rPr>
            <w:rPr>
              <w:rFonts w:ascii="Cambria Math" w:hAnsi="Cambria Math" w:cs="Times New Roman"/>
            </w:rPr>
            <w:br/>
          </m:r>
        </m:oMath>
      </m:oMathPara>
      <w:r w:rsidRPr="007710F7">
        <w:rPr>
          <w:rFonts w:ascii="Times New Roman" w:hAnsi="Times New Roman" w:cs="Times New Roman"/>
        </w:rPr>
        <w:t>equalized odds:</w:t>
      </w:r>
    </w:p>
    <w:p w14:paraId="0190C4E6"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EO=</m:t>
          </m:r>
          <m:r>
            <m:rPr>
              <m:sty m:val="p"/>
            </m:rPr>
            <w:rPr>
              <w:rFonts w:ascii="Cambria Math" w:hAnsi="Cambria Math" w:cs="Times New Roman"/>
            </w:rPr>
            <m:t>∣</m:t>
          </m:r>
          <m:r>
            <w:rPr>
              <w:rFonts w:ascii="Cambria Math" w:hAnsi="Cambria Math" w:cs="Times New Roman"/>
            </w:rPr>
            <m:t>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r>
            <m:rPr>
              <m:sty m:val="p"/>
            </m:rPr>
            <w:rPr>
              <w:rFonts w:ascii="Cambria Math" w:hAnsi="Cambria Math" w:cs="Times New Roman"/>
            </w:rPr>
            <m:t>∣</m:t>
          </m:r>
          <m:r>
            <w:rPr>
              <w:rFonts w:ascii="Cambria Math" w:hAnsi="Cambria Math" w:cs="Times New Roman"/>
            </w:rPr>
            <m:t>Y=y,A=a)-P(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m:t>
          </m:r>
          <m:r>
            <m:rPr>
              <m:sty m:val="p"/>
            </m:rPr>
            <w:rPr>
              <w:rFonts w:ascii="Cambria Math" w:hAnsi="Cambria Math" w:cs="Times New Roman"/>
            </w:rPr>
            <m:t>∣</m:t>
          </m:r>
          <m:r>
            <w:rPr>
              <w:rFonts w:ascii="Cambria Math" w:hAnsi="Cambria Math" w:cs="Times New Roman"/>
            </w:rPr>
            <m:t>Y=y,A=</m:t>
          </m:r>
          <m:sSup>
            <m:sSupPr>
              <m:ctrlPr>
                <w:rPr>
                  <w:rFonts w:ascii="Cambria Math" w:hAnsi="Cambria Math" w:cs="Times New Roman"/>
                </w:rPr>
              </m:ctrlPr>
            </m:sSupPr>
            <m:e>
              <m:r>
                <w:rPr>
                  <w:rFonts w:ascii="Cambria Math" w:hAnsi="Cambria Math" w:cs="Times New Roman"/>
                </w:rPr>
                <m:t>a</m:t>
              </m:r>
            </m:e>
            <m:sup>
              <m:r>
                <m:rPr>
                  <m:sty m:val="p"/>
                </m:rPr>
                <w:rPr>
                  <w:rFonts w:ascii="Cambria Math" w:hAnsi="Cambria Math" w:cs="Times New Roman"/>
                </w:rPr>
                <m:t>'</m:t>
              </m:r>
            </m:sup>
          </m:sSup>
          <m:r>
            <w:rPr>
              <w:rFonts w:ascii="Cambria Math" w:hAnsi="Cambria Math" w:cs="Times New Roman"/>
            </w:rPr>
            <m:t>)</m:t>
          </m:r>
          <m:r>
            <m:rPr>
              <m:sty m:val="p"/>
            </m:rPr>
            <w:rPr>
              <w:rFonts w:ascii="Cambria Math" w:hAnsi="Cambria Math" w:cs="Times New Roman"/>
            </w:rPr>
            <m:t>∣</m:t>
          </m:r>
          <m:r>
            <m:rPr>
              <m:sty m:val="p"/>
            </m:rPr>
            <w:rPr>
              <w:rFonts w:ascii="Cambria Math" w:hAnsi="Cambria Math" w:cs="Times New Roman"/>
            </w:rPr>
            <w:br/>
          </m:r>
        </m:oMath>
      </m:oMathPara>
      <w:r w:rsidRPr="007710F7">
        <w:rPr>
          <w:rFonts w:ascii="Times New Roman" w:hAnsi="Times New Roman" w:cs="Times New Roman"/>
        </w:rPr>
        <w:t>and coverage bias:</w:t>
      </w:r>
    </w:p>
    <w:p w14:paraId="29DE4C4D" w14:textId="77777777" w:rsidR="007710F7" w:rsidRPr="007710F7" w:rsidRDefault="00000000" w:rsidP="007710F7">
      <w:pPr>
        <w:spacing w:line="360" w:lineRule="auto"/>
        <w:jc w:val="both"/>
        <w:rPr>
          <w:rFonts w:ascii="Times New Roman" w:hAnsi="Times New Roman" w:cs="Times New Roman"/>
        </w:rPr>
      </w:pPr>
      <m:oMathPara>
        <m:oMath>
          <m:nary>
            <m:naryPr>
              <m:chr m:val="∑"/>
              <m:limLoc m:val="undOvr"/>
              <m:grow m:val="1"/>
              <m:supHide m:val="1"/>
              <m:ctrlPr>
                <w:rPr>
                  <w:rFonts w:ascii="Cambria Math" w:hAnsi="Cambria Math" w:cs="Times New Roman"/>
                </w:rPr>
              </m:ctrlPr>
            </m:naryPr>
            <m:sub>
              <m:r>
                <w:rPr>
                  <w:rFonts w:ascii="Cambria Math" w:hAnsi="Cambria Math" w:cs="Times New Roman"/>
                </w:rPr>
                <m:t>g∈Groups</m:t>
              </m:r>
            </m:sub>
            <m:sup/>
            <m:e>
              <m:r>
                <m:rPr>
                  <m:sty m:val="p"/>
                </m:rPr>
                <w:rPr>
                  <w:rFonts w:ascii="Cambria Math" w:hAnsi="Cambria Math" w:cs="Times New Roman"/>
                </w:rPr>
                <m:t>∣</m:t>
              </m:r>
              <m:r>
                <w:rPr>
                  <w:rFonts w:ascii="Cambria Math" w:hAnsi="Cambria Math" w:cs="Times New Roman"/>
                </w:rPr>
                <m:t>proportio</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synthetic</m:t>
                  </m:r>
                </m:sub>
              </m:sSub>
              <m:r>
                <w:rPr>
                  <w:rFonts w:ascii="Cambria Math" w:hAnsi="Cambria Math" w:cs="Times New Roman"/>
                </w:rPr>
                <m:t>(g)-proportio</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real</m:t>
                  </m:r>
                </m:sub>
              </m:sSub>
              <m:r>
                <w:rPr>
                  <w:rFonts w:ascii="Cambria Math" w:hAnsi="Cambria Math" w:cs="Times New Roman"/>
                </w:rPr>
                <m:t>(g)</m:t>
              </m:r>
              <m:r>
                <m:rPr>
                  <m:sty m:val="p"/>
                </m:rPr>
                <w:rPr>
                  <w:rFonts w:ascii="Cambria Math" w:hAnsi="Cambria Math" w:cs="Times New Roman"/>
                </w:rPr>
                <m:t>∣</m:t>
              </m:r>
            </m:e>
          </m:nary>
          <m:r>
            <m:rPr>
              <m:sty m:val="p"/>
            </m:rPr>
            <w:rPr>
              <w:rFonts w:ascii="Cambria Math" w:hAnsi="Cambria Math" w:cs="Times New Roman"/>
            </w:rPr>
            <w:br/>
          </m:r>
        </m:oMath>
      </m:oMathPara>
      <w:r w:rsidR="007710F7" w:rsidRPr="007710F7">
        <w:rPr>
          <w:rFonts w:ascii="Times New Roman" w:hAnsi="Times New Roman" w:cs="Times New Roman"/>
        </w:rPr>
        <w:t xml:space="preserve">where </w:t>
      </w:r>
      <m:oMath>
        <m:acc>
          <m:accPr>
            <m:ctrlPr>
              <w:rPr>
                <w:rFonts w:ascii="Cambria Math" w:hAnsi="Cambria Math" w:cs="Times New Roman"/>
              </w:rPr>
            </m:ctrlPr>
          </m:accPr>
          <m:e>
            <m:r>
              <w:rPr>
                <w:rFonts w:ascii="Cambria Math" w:hAnsi="Cambria Math" w:cs="Times New Roman"/>
              </w:rPr>
              <m:t>Y</m:t>
            </m:r>
          </m:e>
        </m:acc>
      </m:oMath>
      <w:r w:rsidR="007710F7" w:rsidRPr="007710F7">
        <w:rPr>
          <w:rFonts w:ascii="Times New Roman" w:hAnsi="Times New Roman" w:cs="Times New Roman"/>
        </w:rPr>
        <w:t xml:space="preserve"> is the predicted outcome, (A) is the sensitive attribute, (Y) is the true outcome (Hasanzadeh et al., 2025).</w:t>
      </w:r>
    </w:p>
    <w:p w14:paraId="5021E7E9"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lastRenderedPageBreak/>
        <w:t>The experimental design incorporates 5-fold cross-validation:</w:t>
      </w:r>
    </w:p>
    <w:p w14:paraId="3FCAB4FE" w14:textId="77777777"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score</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k</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k</m:t>
              </m:r>
            </m:sup>
            <m:e>
              <m:r>
                <w:rPr>
                  <w:rFonts w:ascii="Cambria Math" w:hAnsi="Cambria Math" w:cs="Times New Roman"/>
                </w:rPr>
                <m:t>f(Trai</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r>
                <w:rPr>
                  <w:rFonts w:ascii="Cambria Math" w:hAnsi="Cambria Math" w:cs="Times New Roman"/>
                </w:rPr>
                <m:t>,Tes</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e>
          </m:nary>
          <m:r>
            <m:rPr>
              <m:sty m:val="p"/>
            </m:rPr>
            <w:rPr>
              <w:rFonts w:ascii="Cambria Math" w:hAnsi="Cambria Math" w:cs="Times New Roman"/>
            </w:rPr>
            <w:br/>
          </m:r>
        </m:oMath>
      </m:oMathPara>
      <w:r w:rsidRPr="007710F7">
        <w:rPr>
          <w:rFonts w:ascii="Times New Roman" w:hAnsi="Times New Roman" w:cs="Times New Roman"/>
        </w:rPr>
        <w:t>with statistical tests like paired t-tests and Cohen’s d:</w:t>
      </w:r>
    </w:p>
    <w:p w14:paraId="5E8E4040" w14:textId="096B0893" w:rsidR="007710F7" w:rsidRPr="007710F7" w:rsidRDefault="007710F7" w:rsidP="007710F7">
      <w:pPr>
        <w:spacing w:line="360" w:lineRule="auto"/>
        <w:jc w:val="both"/>
        <w:rPr>
          <w:rFonts w:ascii="Times New Roman" w:hAnsi="Times New Roman" w:cs="Times New Roman"/>
        </w:rPr>
      </w:pPr>
      <m:oMathPara>
        <m:oMath>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-2)</m:t>
              </m:r>
            </m:e>
          </m:rad>
          <m:r>
            <m:rPr>
              <m:sty m:val="p"/>
            </m:rPr>
            <w:rPr>
              <w:rFonts w:ascii="Cambria Math" w:hAnsi="Cambria Math" w:cs="Times New Roman"/>
            </w:rPr>
            <w:br/>
          </m:r>
        </m:oMath>
      </m:oMathPara>
      <w:r w:rsidRPr="007710F7">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2</m:t>
            </m:r>
          </m:sub>
        </m:sSub>
      </m:oMath>
      <w:r w:rsidRPr="007710F7">
        <w:rPr>
          <w:rFonts w:ascii="Times New Roman" w:hAnsi="Times New Roman" w:cs="Times New Roman"/>
        </w:rPr>
        <w:t xml:space="preserve"> are means of two groups, </w:t>
      </w:r>
      <m:oMath>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2</m:t>
            </m:r>
          </m:sub>
          <m:sup>
            <m:r>
              <w:rPr>
                <w:rFonts w:ascii="Cambria Math" w:hAnsi="Cambria Math" w:cs="Times New Roman"/>
              </w:rPr>
              <m:t>2</m:t>
            </m:r>
          </m:sup>
        </m:sSubSup>
      </m:oMath>
      <w:r w:rsidRPr="007710F7">
        <w:rPr>
          <w:rFonts w:ascii="Times New Roman" w:eastAsiaTheme="minorEastAsia" w:hAnsi="Times New Roman" w:cs="Times New Roman"/>
        </w:rPr>
        <w:t xml:space="preserve"> </w:t>
      </w:r>
      <w:r w:rsidRPr="007710F7">
        <w:rPr>
          <w:rFonts w:ascii="Times New Roman" w:hAnsi="Times New Roman" w:cs="Times New Roman"/>
        </w:rPr>
        <w:t xml:space="preserve">are variances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oMath>
      <w:r w:rsidRPr="007710F7">
        <w:rPr>
          <w:rFonts w:ascii="Times New Roman" w:hAnsi="Times New Roman" w:cs="Times New Roman"/>
        </w:rPr>
        <w:t xml:space="preserve"> are sample sizes (Qian et al., 202</w:t>
      </w:r>
      <w:r w:rsidR="00B85B7A">
        <w:rPr>
          <w:rFonts w:ascii="Times New Roman" w:hAnsi="Times New Roman" w:cs="Times New Roman"/>
        </w:rPr>
        <w:t>3</w:t>
      </w:r>
      <w:r w:rsidRPr="007710F7">
        <w:rPr>
          <w:rFonts w:ascii="Times New Roman" w:hAnsi="Times New Roman" w:cs="Times New Roman"/>
        </w:rPr>
        <w:t>).</w:t>
      </w:r>
    </w:p>
    <w:p w14:paraId="1243B823"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Baselines are benchmarked using SDV and synthcity tools.</w:t>
      </w:r>
    </w:p>
    <w:p w14:paraId="4AFBC4D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b/>
          <w:bCs/>
        </w:rPr>
        <w:t>Ethical Considerations and Implementation</w:t>
      </w:r>
    </w:p>
    <w:p w14:paraId="37BC74A8" w14:textId="55A1BD9E"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Ethical considerations embed privacy-by-design principles, ensuring proactive measures, full functionality with protections, and transparency through audit logs and open-source code. Bias detection protocols align with responsible AI standards, complying with data use agreements without direct patient involvement. Implementation adopts a microservices architecture for scalability, using RESTful APIs following OpenAPI standards, supporting on-premises, cloud, or hybrid deployments integrated with HL7 FHIR and OAuth 2.0 </w:t>
      </w:r>
      <w:r w:rsidR="00996B70" w:rsidRPr="00F44290">
        <w:rPr>
          <w:rFonts w:ascii="Times New Roman" w:hAnsi="Times New Roman" w:cs="Times New Roman"/>
        </w:rPr>
        <w:t>(Afreen et al., 2025)</w:t>
      </w:r>
      <w:r w:rsidRPr="007710F7">
        <w:rPr>
          <w:rFonts w:ascii="Times New Roman" w:hAnsi="Times New Roman" w:cs="Times New Roman"/>
        </w:rPr>
        <w:t>. Quality assurance ensures code coverage exceeds 90%, with unit and integration testing and usability heuristics for interfaces.</w:t>
      </w:r>
    </w:p>
    <w:p w14:paraId="53D41C1C"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Scalability Testing</w:t>
      </w:r>
    </w:p>
    <w:p w14:paraId="0B47382A"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 xml:space="preserve">Scalability is evaluated through runtime complexity </w:t>
      </w:r>
      <m:oMath>
        <m:r>
          <w:rPr>
            <w:rFonts w:ascii="Cambria Math" w:hAnsi="Cambria Math" w:cs="Times New Roman"/>
          </w:rPr>
          <m:t>T(n)=O(f(n))</m:t>
        </m:r>
      </m:oMath>
      <w:r w:rsidRPr="007710F7">
        <w:rPr>
          <w:rFonts w:ascii="Times New Roman" w:hAnsi="Times New Roman" w:cs="Times New Roman"/>
        </w:rPr>
        <w:t>, memory usage, and throughput metrics, such as records generated per second, to validate deploy ability. This methodology holistically implements the governance framework, addressing utility, privacy, and bias through rigorous, equation-driven validations and simulations.</w:t>
      </w:r>
    </w:p>
    <w:p w14:paraId="2906E0B3" w14:textId="77777777" w:rsidR="00DC1735" w:rsidRDefault="00DC1735" w:rsidP="007710F7">
      <w:pPr>
        <w:spacing w:line="360" w:lineRule="auto"/>
        <w:jc w:val="both"/>
        <w:rPr>
          <w:rFonts w:ascii="Times New Roman" w:hAnsi="Times New Roman" w:cs="Times New Roman"/>
          <w:b/>
          <w:bCs/>
        </w:rPr>
      </w:pPr>
    </w:p>
    <w:p w14:paraId="36282E48" w14:textId="6815D7DB"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4.</w:t>
      </w:r>
      <w:r w:rsidRPr="007710F7">
        <w:rPr>
          <w:rFonts w:ascii="Times New Roman" w:hAnsi="Times New Roman" w:cs="Times New Roman"/>
          <w:b/>
          <w:bCs/>
        </w:rPr>
        <w:tab/>
        <w:t>Results and Discussion</w:t>
      </w:r>
    </w:p>
    <w:p w14:paraId="3E845161"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Presentation of Results</w:t>
      </w:r>
    </w:p>
    <w:p w14:paraId="38CFE7AA" w14:textId="14A0FA5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lastRenderedPageBreak/>
        <w:t>The implementation of the dynamic consent framework yielded measurable enhancements in consent management efficiency and user engagement, aligning with the methodology's blockchain-based architecture for real-time validation. Average latency for consent modifications registered at 247 milliseconds, a marked improvement over conventional systems, while throughput peaked at 4,231 operations per second during simulated high-load healthcare scenarios. Usability assessments via the System Usability Scale produced a score of 83.9, indicating excellent user acceptance, with 88% of simulated participants favoring granular controls that spanned 15 dimensions of data preferences. Consent patterns across demographics showed younger users (18-35 years) granting research access at 78% rates, contrasted with 52% for those over 65, and data type variations revealed 71% approval for imaging versus 43% for genomics. Security validations confirmed 100% detection of unauthorized alterations through hashing protocols, ensuring immutability in consent records.</w:t>
      </w:r>
      <w:r w:rsidR="00DC1735">
        <w:rPr>
          <w:rFonts w:ascii="Times New Roman" w:hAnsi="Times New Roman" w:cs="Times New Roman"/>
        </w:rPr>
        <w:t xml:space="preserve"> </w:t>
      </w:r>
      <w:r w:rsidRPr="007710F7">
        <w:rPr>
          <w:rFonts w:ascii="Times New Roman" w:hAnsi="Times New Roman" w:cs="Times New Roman"/>
        </w:rPr>
        <w:t>Table 1 illustrates the comparative performance metrics, highlighting a 73% latency reduction and 146% throughput increase over traditional models, alongside qualitative gains in audit integrity.</w:t>
      </w:r>
    </w:p>
    <w:p w14:paraId="0CAC37AF" w14:textId="2E02085C" w:rsidR="00DC1735"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Table 1</w:t>
      </w:r>
      <w:r w:rsidR="003C3DD1">
        <w:rPr>
          <w:rFonts w:ascii="Times New Roman" w:hAnsi="Times New Roman" w:cs="Times New Roman"/>
          <w:b/>
          <w:bCs/>
        </w:rPr>
        <w:t xml:space="preserve"> </w:t>
      </w:r>
      <w:r w:rsidR="003C3DD1" w:rsidRPr="00DC1735">
        <w:rPr>
          <w:rFonts w:ascii="Times New Roman" w:hAnsi="Times New Roman" w:cs="Times New Roman"/>
          <w:i/>
          <w:iCs/>
        </w:rPr>
        <w:t>Dynamic Consent System Performance Comparison</w:t>
      </w:r>
      <w:r w:rsidR="003C3DD1">
        <w:rPr>
          <w:rFonts w:ascii="Times New Roman" w:hAnsi="Times New Roman" w:cs="Times New Roman"/>
          <w:i/>
          <w:iCs/>
        </w:rPr>
        <w:t>.</w:t>
      </w:r>
    </w:p>
    <w:p w14:paraId="1AF72E6A" w14:textId="546D2B96" w:rsidR="007710F7" w:rsidRPr="00DC1735" w:rsidRDefault="007710F7" w:rsidP="007710F7">
      <w:pPr>
        <w:spacing w:line="360" w:lineRule="auto"/>
        <w:jc w:val="both"/>
        <w:rPr>
          <w:rFonts w:ascii="Times New Roman" w:hAnsi="Times New Roman" w:cs="Times New Roman"/>
          <w:i/>
          <w:iCs/>
        </w:rPr>
      </w:pPr>
    </w:p>
    <w:tbl>
      <w:tblPr>
        <w:tblW w:w="5000" w:type="pct"/>
        <w:tblCellMar>
          <w:top w:w="15" w:type="dxa"/>
          <w:left w:w="15" w:type="dxa"/>
          <w:bottom w:w="15" w:type="dxa"/>
          <w:right w:w="15" w:type="dxa"/>
        </w:tblCellMar>
        <w:tblLook w:val="04A0" w:firstRow="1" w:lastRow="0" w:firstColumn="1" w:lastColumn="0" w:noHBand="0" w:noVBand="1"/>
      </w:tblPr>
      <w:tblGrid>
        <w:gridCol w:w="2539"/>
        <w:gridCol w:w="2089"/>
        <w:gridCol w:w="3096"/>
        <w:gridCol w:w="1636"/>
      </w:tblGrid>
      <w:tr w:rsidR="007710F7" w:rsidRPr="007710F7" w14:paraId="34EED0DC" w14:textId="77777777" w:rsidTr="0085798A">
        <w:trPr>
          <w:tblHeader/>
        </w:trPr>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17BC6131" w14:textId="77777777" w:rsidR="007710F7" w:rsidRPr="007710F7" w:rsidRDefault="007710F7" w:rsidP="00AD1C4C">
            <w:pPr>
              <w:spacing w:line="240" w:lineRule="auto"/>
              <w:jc w:val="both"/>
              <w:rPr>
                <w:rFonts w:ascii="Times New Roman" w:hAnsi="Times New Roman" w:cs="Times New Roman"/>
                <w:b/>
                <w:bCs/>
              </w:rPr>
            </w:pPr>
            <w:r w:rsidRPr="007710F7">
              <w:rPr>
                <w:rFonts w:ascii="Times New Roman" w:hAnsi="Times New Roman" w:cs="Times New Roman"/>
                <w:b/>
                <w:bCs/>
              </w:rPr>
              <w:t>Metric</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30E94F9F" w14:textId="77777777" w:rsidR="007710F7" w:rsidRPr="007710F7" w:rsidRDefault="007710F7" w:rsidP="00AD1C4C">
            <w:pPr>
              <w:spacing w:line="240" w:lineRule="auto"/>
              <w:jc w:val="center"/>
              <w:rPr>
                <w:rFonts w:ascii="Times New Roman" w:hAnsi="Times New Roman" w:cs="Times New Roman"/>
                <w:b/>
                <w:bCs/>
              </w:rPr>
            </w:pPr>
            <w:r w:rsidRPr="007710F7">
              <w:rPr>
                <w:rFonts w:ascii="Times New Roman" w:hAnsi="Times New Roman" w:cs="Times New Roman"/>
                <w:b/>
                <w:bCs/>
              </w:rPr>
              <w:t>Traditional System</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01A050CC" w14:textId="77777777" w:rsidR="007710F7" w:rsidRPr="007710F7" w:rsidRDefault="007710F7" w:rsidP="00AD1C4C">
            <w:pPr>
              <w:spacing w:line="240" w:lineRule="auto"/>
              <w:jc w:val="center"/>
              <w:rPr>
                <w:rFonts w:ascii="Times New Roman" w:hAnsi="Times New Roman" w:cs="Times New Roman"/>
                <w:b/>
                <w:bCs/>
              </w:rPr>
            </w:pPr>
            <w:r w:rsidRPr="007710F7">
              <w:rPr>
                <w:rFonts w:ascii="Times New Roman" w:hAnsi="Times New Roman" w:cs="Times New Roman"/>
                <w:b/>
                <w:bCs/>
              </w:rPr>
              <w:t>Dynamic Consent Framework</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7E4840E7" w14:textId="77777777" w:rsidR="007710F7" w:rsidRPr="007710F7" w:rsidRDefault="007710F7" w:rsidP="00AD1C4C">
            <w:pPr>
              <w:spacing w:line="240" w:lineRule="auto"/>
              <w:jc w:val="center"/>
              <w:rPr>
                <w:rFonts w:ascii="Times New Roman" w:hAnsi="Times New Roman" w:cs="Times New Roman"/>
                <w:b/>
                <w:bCs/>
              </w:rPr>
            </w:pPr>
            <w:r w:rsidRPr="007710F7">
              <w:rPr>
                <w:rFonts w:ascii="Times New Roman" w:hAnsi="Times New Roman" w:cs="Times New Roman"/>
                <w:b/>
                <w:bCs/>
              </w:rPr>
              <w:t>Improvement</w:t>
            </w:r>
          </w:p>
        </w:tc>
      </w:tr>
      <w:tr w:rsidR="007710F7" w:rsidRPr="007710F7" w14:paraId="0FBDA818" w14:textId="77777777" w:rsidTr="0085798A">
        <w:tc>
          <w:tcPr>
            <w:tcW w:w="0" w:type="auto"/>
            <w:tcBorders>
              <w:top w:val="single" w:sz="4" w:space="0" w:color="auto"/>
            </w:tcBorders>
            <w:tcMar>
              <w:top w:w="120" w:type="dxa"/>
              <w:left w:w="120" w:type="dxa"/>
              <w:bottom w:w="120" w:type="dxa"/>
              <w:right w:w="120" w:type="dxa"/>
            </w:tcMar>
            <w:vAlign w:val="center"/>
            <w:hideMark/>
          </w:tcPr>
          <w:p w14:paraId="48CF5F5D"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Average Latency (ms)</w:t>
            </w:r>
          </w:p>
        </w:tc>
        <w:tc>
          <w:tcPr>
            <w:tcW w:w="0" w:type="auto"/>
            <w:tcBorders>
              <w:top w:val="single" w:sz="4" w:space="0" w:color="auto"/>
            </w:tcBorders>
            <w:tcMar>
              <w:top w:w="120" w:type="dxa"/>
              <w:left w:w="120" w:type="dxa"/>
              <w:bottom w:w="120" w:type="dxa"/>
              <w:right w:w="120" w:type="dxa"/>
            </w:tcMar>
            <w:vAlign w:val="center"/>
            <w:hideMark/>
          </w:tcPr>
          <w:p w14:paraId="568A4BA6"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912</w:t>
            </w:r>
          </w:p>
        </w:tc>
        <w:tc>
          <w:tcPr>
            <w:tcW w:w="0" w:type="auto"/>
            <w:tcBorders>
              <w:top w:val="single" w:sz="4" w:space="0" w:color="auto"/>
            </w:tcBorders>
            <w:tcMar>
              <w:top w:w="120" w:type="dxa"/>
              <w:left w:w="120" w:type="dxa"/>
              <w:bottom w:w="120" w:type="dxa"/>
              <w:right w:w="120" w:type="dxa"/>
            </w:tcMar>
            <w:vAlign w:val="center"/>
            <w:hideMark/>
          </w:tcPr>
          <w:p w14:paraId="1285097B"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247</w:t>
            </w:r>
          </w:p>
        </w:tc>
        <w:tc>
          <w:tcPr>
            <w:tcW w:w="0" w:type="auto"/>
            <w:tcBorders>
              <w:top w:val="single" w:sz="4" w:space="0" w:color="auto"/>
            </w:tcBorders>
            <w:tcMar>
              <w:top w:w="120" w:type="dxa"/>
              <w:left w:w="120" w:type="dxa"/>
              <w:bottom w:w="120" w:type="dxa"/>
              <w:right w:w="120" w:type="dxa"/>
            </w:tcMar>
            <w:vAlign w:val="center"/>
            <w:hideMark/>
          </w:tcPr>
          <w:p w14:paraId="14C975EC"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73%</w:t>
            </w:r>
          </w:p>
        </w:tc>
      </w:tr>
      <w:tr w:rsidR="007710F7" w:rsidRPr="007710F7" w14:paraId="40DAB392" w14:textId="77777777" w:rsidTr="0085798A">
        <w:tc>
          <w:tcPr>
            <w:tcW w:w="0" w:type="auto"/>
            <w:tcMar>
              <w:top w:w="120" w:type="dxa"/>
              <w:left w:w="120" w:type="dxa"/>
              <w:bottom w:w="120" w:type="dxa"/>
              <w:right w:w="120" w:type="dxa"/>
            </w:tcMar>
            <w:vAlign w:val="center"/>
            <w:hideMark/>
          </w:tcPr>
          <w:p w14:paraId="79E64D86"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Throughput (ops/sec)</w:t>
            </w:r>
          </w:p>
        </w:tc>
        <w:tc>
          <w:tcPr>
            <w:tcW w:w="0" w:type="auto"/>
            <w:tcMar>
              <w:top w:w="120" w:type="dxa"/>
              <w:left w:w="120" w:type="dxa"/>
              <w:bottom w:w="120" w:type="dxa"/>
              <w:right w:w="120" w:type="dxa"/>
            </w:tcMar>
            <w:vAlign w:val="center"/>
            <w:hideMark/>
          </w:tcPr>
          <w:p w14:paraId="1338FF59"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1,156</w:t>
            </w:r>
          </w:p>
        </w:tc>
        <w:tc>
          <w:tcPr>
            <w:tcW w:w="0" w:type="auto"/>
            <w:tcMar>
              <w:top w:w="120" w:type="dxa"/>
              <w:left w:w="120" w:type="dxa"/>
              <w:bottom w:w="120" w:type="dxa"/>
              <w:right w:w="120" w:type="dxa"/>
            </w:tcMar>
            <w:vAlign w:val="center"/>
            <w:hideMark/>
          </w:tcPr>
          <w:p w14:paraId="0CA8C1F1"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2,847</w:t>
            </w:r>
          </w:p>
        </w:tc>
        <w:tc>
          <w:tcPr>
            <w:tcW w:w="0" w:type="auto"/>
            <w:tcMar>
              <w:top w:w="120" w:type="dxa"/>
              <w:left w:w="120" w:type="dxa"/>
              <w:bottom w:w="120" w:type="dxa"/>
              <w:right w:w="120" w:type="dxa"/>
            </w:tcMar>
            <w:vAlign w:val="center"/>
            <w:hideMark/>
          </w:tcPr>
          <w:p w14:paraId="4124EE67"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146%</w:t>
            </w:r>
          </w:p>
        </w:tc>
      </w:tr>
      <w:tr w:rsidR="007710F7" w:rsidRPr="007710F7" w14:paraId="2EDEB7B4" w14:textId="77777777" w:rsidTr="0085798A">
        <w:tc>
          <w:tcPr>
            <w:tcW w:w="0" w:type="auto"/>
            <w:tcMar>
              <w:top w:w="120" w:type="dxa"/>
              <w:left w:w="120" w:type="dxa"/>
              <w:bottom w:w="120" w:type="dxa"/>
              <w:right w:w="120" w:type="dxa"/>
            </w:tcMar>
            <w:vAlign w:val="center"/>
            <w:hideMark/>
          </w:tcPr>
          <w:p w14:paraId="2127ACD3"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Consent Granularity</w:t>
            </w:r>
          </w:p>
        </w:tc>
        <w:tc>
          <w:tcPr>
            <w:tcW w:w="0" w:type="auto"/>
            <w:tcMar>
              <w:top w:w="120" w:type="dxa"/>
              <w:left w:w="120" w:type="dxa"/>
              <w:bottom w:w="120" w:type="dxa"/>
              <w:right w:w="120" w:type="dxa"/>
            </w:tcMar>
            <w:vAlign w:val="center"/>
            <w:hideMark/>
          </w:tcPr>
          <w:p w14:paraId="0A1DEAC1"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Binary (Yes/No)</w:t>
            </w:r>
          </w:p>
        </w:tc>
        <w:tc>
          <w:tcPr>
            <w:tcW w:w="0" w:type="auto"/>
            <w:tcMar>
              <w:top w:w="120" w:type="dxa"/>
              <w:left w:w="120" w:type="dxa"/>
              <w:bottom w:w="120" w:type="dxa"/>
              <w:right w:w="120" w:type="dxa"/>
            </w:tcMar>
            <w:vAlign w:val="center"/>
            <w:hideMark/>
          </w:tcPr>
          <w:p w14:paraId="38C3A842"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15 dimensions</w:t>
            </w:r>
          </w:p>
        </w:tc>
        <w:tc>
          <w:tcPr>
            <w:tcW w:w="0" w:type="auto"/>
            <w:tcMar>
              <w:top w:w="120" w:type="dxa"/>
              <w:left w:w="120" w:type="dxa"/>
              <w:bottom w:w="120" w:type="dxa"/>
              <w:right w:w="120" w:type="dxa"/>
            </w:tcMar>
            <w:vAlign w:val="center"/>
            <w:hideMark/>
          </w:tcPr>
          <w:p w14:paraId="451AC404"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1400%</w:t>
            </w:r>
          </w:p>
        </w:tc>
      </w:tr>
      <w:tr w:rsidR="007710F7" w:rsidRPr="007710F7" w14:paraId="73CD2619" w14:textId="77777777" w:rsidTr="0085798A">
        <w:tc>
          <w:tcPr>
            <w:tcW w:w="0" w:type="auto"/>
            <w:tcMar>
              <w:top w:w="120" w:type="dxa"/>
              <w:left w:w="120" w:type="dxa"/>
              <w:bottom w:w="120" w:type="dxa"/>
              <w:right w:w="120" w:type="dxa"/>
            </w:tcMar>
            <w:vAlign w:val="center"/>
            <w:hideMark/>
          </w:tcPr>
          <w:p w14:paraId="313A3D99"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Real-time Updates</w:t>
            </w:r>
          </w:p>
        </w:tc>
        <w:tc>
          <w:tcPr>
            <w:tcW w:w="0" w:type="auto"/>
            <w:tcMar>
              <w:top w:w="120" w:type="dxa"/>
              <w:left w:w="120" w:type="dxa"/>
              <w:bottom w:w="120" w:type="dxa"/>
              <w:right w:w="120" w:type="dxa"/>
            </w:tcMar>
            <w:vAlign w:val="center"/>
            <w:hideMark/>
          </w:tcPr>
          <w:p w14:paraId="2259DBD1"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Not supported</w:t>
            </w:r>
          </w:p>
        </w:tc>
        <w:tc>
          <w:tcPr>
            <w:tcW w:w="0" w:type="auto"/>
            <w:tcMar>
              <w:top w:w="120" w:type="dxa"/>
              <w:left w:w="120" w:type="dxa"/>
              <w:bottom w:w="120" w:type="dxa"/>
              <w:right w:w="120" w:type="dxa"/>
            </w:tcMar>
            <w:vAlign w:val="center"/>
            <w:hideMark/>
          </w:tcPr>
          <w:p w14:paraId="6C52B478"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Supported</w:t>
            </w:r>
          </w:p>
        </w:tc>
        <w:tc>
          <w:tcPr>
            <w:tcW w:w="0" w:type="auto"/>
            <w:tcMar>
              <w:top w:w="120" w:type="dxa"/>
              <w:left w:w="120" w:type="dxa"/>
              <w:bottom w:w="120" w:type="dxa"/>
              <w:right w:w="120" w:type="dxa"/>
            </w:tcMar>
            <w:vAlign w:val="center"/>
            <w:hideMark/>
          </w:tcPr>
          <w:p w14:paraId="3BE24DBD"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N/A</w:t>
            </w:r>
          </w:p>
        </w:tc>
      </w:tr>
      <w:tr w:rsidR="007710F7" w:rsidRPr="007710F7" w14:paraId="009C642A" w14:textId="77777777" w:rsidTr="0085798A">
        <w:tc>
          <w:tcPr>
            <w:tcW w:w="0" w:type="auto"/>
            <w:tcMar>
              <w:top w:w="120" w:type="dxa"/>
              <w:left w:w="120" w:type="dxa"/>
              <w:bottom w:w="120" w:type="dxa"/>
              <w:right w:w="120" w:type="dxa"/>
            </w:tcMar>
            <w:vAlign w:val="center"/>
            <w:hideMark/>
          </w:tcPr>
          <w:p w14:paraId="203B7024"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Audit Trail Integrity</w:t>
            </w:r>
          </w:p>
        </w:tc>
        <w:tc>
          <w:tcPr>
            <w:tcW w:w="0" w:type="auto"/>
            <w:tcMar>
              <w:top w:w="120" w:type="dxa"/>
              <w:left w:w="120" w:type="dxa"/>
              <w:bottom w:w="120" w:type="dxa"/>
              <w:right w:w="120" w:type="dxa"/>
            </w:tcMar>
            <w:vAlign w:val="center"/>
            <w:hideMark/>
          </w:tcPr>
          <w:p w14:paraId="2349CDA7"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Moderate</w:t>
            </w:r>
          </w:p>
        </w:tc>
        <w:tc>
          <w:tcPr>
            <w:tcW w:w="0" w:type="auto"/>
            <w:tcMar>
              <w:top w:w="120" w:type="dxa"/>
              <w:left w:w="120" w:type="dxa"/>
              <w:bottom w:w="120" w:type="dxa"/>
              <w:right w:w="120" w:type="dxa"/>
            </w:tcMar>
            <w:vAlign w:val="center"/>
            <w:hideMark/>
          </w:tcPr>
          <w:p w14:paraId="61633876"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High</w:t>
            </w:r>
          </w:p>
        </w:tc>
        <w:tc>
          <w:tcPr>
            <w:tcW w:w="0" w:type="auto"/>
            <w:tcMar>
              <w:top w:w="120" w:type="dxa"/>
              <w:left w:w="120" w:type="dxa"/>
              <w:bottom w:w="120" w:type="dxa"/>
              <w:right w:w="120" w:type="dxa"/>
            </w:tcMar>
            <w:vAlign w:val="center"/>
            <w:hideMark/>
          </w:tcPr>
          <w:p w14:paraId="3679FAEF"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Qualitative</w:t>
            </w:r>
          </w:p>
        </w:tc>
      </w:tr>
      <w:tr w:rsidR="007710F7" w:rsidRPr="007710F7" w14:paraId="63EEAE22" w14:textId="77777777" w:rsidTr="0085798A">
        <w:tc>
          <w:tcPr>
            <w:tcW w:w="0" w:type="auto"/>
            <w:tcBorders>
              <w:bottom w:val="single" w:sz="4" w:space="0" w:color="auto"/>
            </w:tcBorders>
            <w:tcMar>
              <w:top w:w="120" w:type="dxa"/>
              <w:left w:w="120" w:type="dxa"/>
              <w:bottom w:w="120" w:type="dxa"/>
              <w:right w:w="120" w:type="dxa"/>
            </w:tcMar>
            <w:vAlign w:val="center"/>
            <w:hideMark/>
          </w:tcPr>
          <w:p w14:paraId="0ABB61B9" w14:textId="77777777" w:rsidR="007710F7" w:rsidRPr="007710F7" w:rsidRDefault="007710F7" w:rsidP="00AD1C4C">
            <w:pPr>
              <w:spacing w:line="240" w:lineRule="auto"/>
              <w:jc w:val="both"/>
              <w:rPr>
                <w:rFonts w:ascii="Times New Roman" w:hAnsi="Times New Roman" w:cs="Times New Roman"/>
              </w:rPr>
            </w:pPr>
            <w:r w:rsidRPr="007710F7">
              <w:rPr>
                <w:rFonts w:ascii="Times New Roman" w:hAnsi="Times New Roman" w:cs="Times New Roman"/>
              </w:rPr>
              <w:t>Patient Satisfaction Score</w:t>
            </w:r>
          </w:p>
        </w:tc>
        <w:tc>
          <w:tcPr>
            <w:tcW w:w="0" w:type="auto"/>
            <w:tcBorders>
              <w:bottom w:val="single" w:sz="4" w:space="0" w:color="auto"/>
            </w:tcBorders>
            <w:tcMar>
              <w:top w:w="120" w:type="dxa"/>
              <w:left w:w="120" w:type="dxa"/>
              <w:bottom w:w="120" w:type="dxa"/>
              <w:right w:w="120" w:type="dxa"/>
            </w:tcMar>
            <w:vAlign w:val="center"/>
            <w:hideMark/>
          </w:tcPr>
          <w:p w14:paraId="51A0AE1B"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6.2/10</w:t>
            </w:r>
          </w:p>
        </w:tc>
        <w:tc>
          <w:tcPr>
            <w:tcW w:w="0" w:type="auto"/>
            <w:tcBorders>
              <w:bottom w:val="single" w:sz="4" w:space="0" w:color="auto"/>
            </w:tcBorders>
            <w:tcMar>
              <w:top w:w="120" w:type="dxa"/>
              <w:left w:w="120" w:type="dxa"/>
              <w:bottom w:w="120" w:type="dxa"/>
              <w:right w:w="120" w:type="dxa"/>
            </w:tcMar>
            <w:vAlign w:val="center"/>
            <w:hideMark/>
          </w:tcPr>
          <w:p w14:paraId="1C44141F"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8.7/10</w:t>
            </w:r>
          </w:p>
        </w:tc>
        <w:tc>
          <w:tcPr>
            <w:tcW w:w="0" w:type="auto"/>
            <w:tcBorders>
              <w:bottom w:val="single" w:sz="4" w:space="0" w:color="auto"/>
            </w:tcBorders>
            <w:tcMar>
              <w:top w:w="120" w:type="dxa"/>
              <w:left w:w="120" w:type="dxa"/>
              <w:bottom w:w="120" w:type="dxa"/>
              <w:right w:w="120" w:type="dxa"/>
            </w:tcMar>
            <w:vAlign w:val="center"/>
            <w:hideMark/>
          </w:tcPr>
          <w:p w14:paraId="7AC49E02" w14:textId="77777777" w:rsidR="007710F7" w:rsidRPr="007710F7" w:rsidRDefault="007710F7" w:rsidP="00AD1C4C">
            <w:pPr>
              <w:spacing w:line="240" w:lineRule="auto"/>
              <w:jc w:val="center"/>
              <w:rPr>
                <w:rFonts w:ascii="Times New Roman" w:hAnsi="Times New Roman" w:cs="Times New Roman"/>
              </w:rPr>
            </w:pPr>
            <w:r w:rsidRPr="007710F7">
              <w:rPr>
                <w:rFonts w:ascii="Times New Roman" w:hAnsi="Times New Roman" w:cs="Times New Roman"/>
              </w:rPr>
              <w:t>40%</w:t>
            </w:r>
          </w:p>
        </w:tc>
      </w:tr>
    </w:tbl>
    <w:p w14:paraId="0418320A" w14:textId="77777777" w:rsidR="00DC1735" w:rsidRPr="007710F7" w:rsidRDefault="007710F7" w:rsidP="00DC1735">
      <w:pPr>
        <w:spacing w:line="360" w:lineRule="auto"/>
        <w:jc w:val="both"/>
        <w:rPr>
          <w:rFonts w:ascii="Times New Roman" w:hAnsi="Times New Roman" w:cs="Times New Roman"/>
        </w:rPr>
      </w:pPr>
      <w:r w:rsidRPr="007710F7">
        <w:rPr>
          <w:rFonts w:ascii="Times New Roman" w:hAnsi="Times New Roman" w:cs="Times New Roman"/>
        </w:rPr>
        <w:lastRenderedPageBreak/>
        <w:t>Synthetic data generation results demonstrated effective integration of differential privacy, with epsilon values from 0.1 to 10.0 revealing a trade-off where ε=1.0 preserved 87.3% utility while maintaining medium privacy risk scores of 0.45. HealthGAN outperformed other models for tabular electronic health records, achieving a Jensen-Shannon divergence of 0.034, indicative of high fidelity, whereas Variational Autoencoders excelled in time-series data with a mean absolute error of 0.0847, and diffusion models handled multimodal inputs optimally. Membership inference attacks against ε=1.0 datasets yielded only 52.3% accuracy, nearing random chance, compared to 87.6% for non-private variants.</w:t>
      </w:r>
      <w:r w:rsidR="00DC1735">
        <w:rPr>
          <w:rFonts w:ascii="Times New Roman" w:hAnsi="Times New Roman" w:cs="Times New Roman"/>
        </w:rPr>
        <w:t xml:space="preserve"> </w:t>
      </w:r>
      <w:r w:rsidRPr="007710F7">
        <w:rPr>
          <w:rFonts w:ascii="Times New Roman" w:hAnsi="Times New Roman" w:cs="Times New Roman"/>
        </w:rPr>
        <w:t>Table 2 details the privacy-utility spectrum, showing utility retention escalating from 62.4% at low epsilon to 96.2% at high, paralleled by rising risk scores.</w:t>
      </w:r>
      <w:r w:rsidR="00DC1735">
        <w:rPr>
          <w:rFonts w:ascii="Times New Roman" w:hAnsi="Times New Roman" w:cs="Times New Roman"/>
        </w:rPr>
        <w:t xml:space="preserve"> </w:t>
      </w:r>
      <w:r w:rsidR="00DC1735" w:rsidRPr="007710F7">
        <w:rPr>
          <w:rFonts w:ascii="Times New Roman" w:hAnsi="Times New Roman" w:cs="Times New Roman"/>
        </w:rPr>
        <w:t>Figure 1 depicts a radar chart comparing generative model performances across fidelity, utility, and privacy dimensions, with HealthGAN leading in balanced scores.</w:t>
      </w:r>
    </w:p>
    <w:p w14:paraId="7C9F83E3" w14:textId="0E53E588" w:rsidR="00DC1735"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Table 2</w:t>
      </w:r>
      <w:r w:rsidR="003C3DD1">
        <w:rPr>
          <w:rFonts w:ascii="Times New Roman" w:hAnsi="Times New Roman" w:cs="Times New Roman"/>
          <w:b/>
          <w:bCs/>
        </w:rPr>
        <w:t xml:space="preserve"> </w:t>
      </w:r>
      <w:r w:rsidR="003C3DD1" w:rsidRPr="00DC1735">
        <w:rPr>
          <w:rFonts w:ascii="Times New Roman" w:hAnsi="Times New Roman" w:cs="Times New Roman"/>
          <w:i/>
          <w:iCs/>
        </w:rPr>
        <w:t>Privacy-Utility Trade-off Results Across Epsilon Values</w:t>
      </w:r>
      <w:r w:rsidR="003C3DD1">
        <w:rPr>
          <w:rFonts w:ascii="Times New Roman" w:hAnsi="Times New Roman" w:cs="Times New Roman"/>
          <w:i/>
          <w:iCs/>
        </w:rPr>
        <w:t>.</w:t>
      </w:r>
    </w:p>
    <w:p w14:paraId="40089D97" w14:textId="388A3400" w:rsidR="007710F7" w:rsidRPr="00DC1735" w:rsidRDefault="007710F7" w:rsidP="007710F7">
      <w:pPr>
        <w:spacing w:line="360" w:lineRule="auto"/>
        <w:jc w:val="both"/>
        <w:rPr>
          <w:rFonts w:ascii="Times New Roman" w:hAnsi="Times New Roman" w:cs="Times New Roman"/>
          <w:i/>
          <w:iCs/>
        </w:rPr>
      </w:pPr>
    </w:p>
    <w:tbl>
      <w:tblPr>
        <w:tblW w:w="50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299"/>
        <w:gridCol w:w="2273"/>
        <w:gridCol w:w="2120"/>
        <w:gridCol w:w="1999"/>
        <w:gridCol w:w="1669"/>
      </w:tblGrid>
      <w:tr w:rsidR="007710F7" w:rsidRPr="007710F7" w14:paraId="18C1C802" w14:textId="77777777" w:rsidTr="0085798A">
        <w:trPr>
          <w:tblHeader/>
        </w:trPr>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259280B4"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Epsilon (ε)</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00603184"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Utility Retention (%)</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05584A4E"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Privacy Risk Score</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27275267"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Statistical Fidelity</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2A9106E2"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Clinical Utility</w:t>
            </w:r>
          </w:p>
        </w:tc>
      </w:tr>
      <w:tr w:rsidR="007710F7" w:rsidRPr="007710F7" w14:paraId="4F4346F9" w14:textId="77777777" w:rsidTr="0085798A">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5D22C3E3"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0.1</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19C1C4C7"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62.4</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39A6D844"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Very Low (0.12)</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50C3779A"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0.73</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75D0330C"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0.68</w:t>
            </w:r>
          </w:p>
        </w:tc>
      </w:tr>
      <w:tr w:rsidR="007710F7" w:rsidRPr="007710F7" w14:paraId="49E35A44" w14:textId="77777777" w:rsidTr="0085798A">
        <w:tc>
          <w:tcPr>
            <w:tcW w:w="0" w:type="auto"/>
            <w:shd w:val="clear" w:color="auto" w:fill="FFFFFF" w:themeFill="background1"/>
            <w:tcMar>
              <w:top w:w="120" w:type="dxa"/>
              <w:left w:w="120" w:type="dxa"/>
              <w:bottom w:w="120" w:type="dxa"/>
              <w:right w:w="120" w:type="dxa"/>
            </w:tcMar>
            <w:vAlign w:val="center"/>
            <w:hideMark/>
          </w:tcPr>
          <w:p w14:paraId="6306A2C9"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0.5</w:t>
            </w:r>
          </w:p>
        </w:tc>
        <w:tc>
          <w:tcPr>
            <w:tcW w:w="0" w:type="auto"/>
            <w:shd w:val="clear" w:color="auto" w:fill="FFFFFF" w:themeFill="background1"/>
            <w:tcMar>
              <w:top w:w="120" w:type="dxa"/>
              <w:left w:w="120" w:type="dxa"/>
              <w:bottom w:w="120" w:type="dxa"/>
              <w:right w:w="120" w:type="dxa"/>
            </w:tcMar>
            <w:vAlign w:val="center"/>
            <w:hideMark/>
          </w:tcPr>
          <w:p w14:paraId="109FDB2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78.9</w:t>
            </w:r>
          </w:p>
        </w:tc>
        <w:tc>
          <w:tcPr>
            <w:tcW w:w="0" w:type="auto"/>
            <w:shd w:val="clear" w:color="auto" w:fill="FFFFFF" w:themeFill="background1"/>
            <w:tcMar>
              <w:top w:w="120" w:type="dxa"/>
              <w:left w:w="120" w:type="dxa"/>
              <w:bottom w:w="120" w:type="dxa"/>
              <w:right w:w="120" w:type="dxa"/>
            </w:tcMar>
            <w:vAlign w:val="center"/>
            <w:hideMark/>
          </w:tcPr>
          <w:p w14:paraId="5FA8253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Low (0.28)</w:t>
            </w:r>
          </w:p>
        </w:tc>
        <w:tc>
          <w:tcPr>
            <w:tcW w:w="0" w:type="auto"/>
            <w:shd w:val="clear" w:color="auto" w:fill="FFFFFF" w:themeFill="background1"/>
            <w:tcMar>
              <w:top w:w="120" w:type="dxa"/>
              <w:left w:w="120" w:type="dxa"/>
              <w:bottom w:w="120" w:type="dxa"/>
              <w:right w:w="120" w:type="dxa"/>
            </w:tcMar>
            <w:vAlign w:val="center"/>
            <w:hideMark/>
          </w:tcPr>
          <w:p w14:paraId="50A97179"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0.84</w:t>
            </w:r>
          </w:p>
        </w:tc>
        <w:tc>
          <w:tcPr>
            <w:tcW w:w="0" w:type="auto"/>
            <w:shd w:val="clear" w:color="auto" w:fill="FFFFFF" w:themeFill="background1"/>
            <w:tcMar>
              <w:top w:w="120" w:type="dxa"/>
              <w:left w:w="120" w:type="dxa"/>
              <w:bottom w:w="120" w:type="dxa"/>
              <w:right w:w="120" w:type="dxa"/>
            </w:tcMar>
            <w:vAlign w:val="center"/>
            <w:hideMark/>
          </w:tcPr>
          <w:p w14:paraId="0F73006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0.81</w:t>
            </w:r>
          </w:p>
        </w:tc>
      </w:tr>
      <w:tr w:rsidR="007710F7" w:rsidRPr="007710F7" w14:paraId="593B32C0" w14:textId="77777777" w:rsidTr="0085798A">
        <w:tc>
          <w:tcPr>
            <w:tcW w:w="0" w:type="auto"/>
            <w:shd w:val="clear" w:color="auto" w:fill="FFFFFF" w:themeFill="background1"/>
            <w:tcMar>
              <w:top w:w="120" w:type="dxa"/>
              <w:left w:w="120" w:type="dxa"/>
              <w:bottom w:w="120" w:type="dxa"/>
              <w:right w:w="120" w:type="dxa"/>
            </w:tcMar>
            <w:vAlign w:val="center"/>
            <w:hideMark/>
          </w:tcPr>
          <w:p w14:paraId="320ABD4B"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1.0</w:t>
            </w:r>
          </w:p>
        </w:tc>
        <w:tc>
          <w:tcPr>
            <w:tcW w:w="0" w:type="auto"/>
            <w:shd w:val="clear" w:color="auto" w:fill="FFFFFF" w:themeFill="background1"/>
            <w:tcMar>
              <w:top w:w="120" w:type="dxa"/>
              <w:left w:w="120" w:type="dxa"/>
              <w:bottom w:w="120" w:type="dxa"/>
              <w:right w:w="120" w:type="dxa"/>
            </w:tcMar>
            <w:vAlign w:val="center"/>
            <w:hideMark/>
          </w:tcPr>
          <w:p w14:paraId="610CB0D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87.3</w:t>
            </w:r>
          </w:p>
        </w:tc>
        <w:tc>
          <w:tcPr>
            <w:tcW w:w="0" w:type="auto"/>
            <w:shd w:val="clear" w:color="auto" w:fill="FFFFFF" w:themeFill="background1"/>
            <w:tcMar>
              <w:top w:w="120" w:type="dxa"/>
              <w:left w:w="120" w:type="dxa"/>
              <w:bottom w:w="120" w:type="dxa"/>
              <w:right w:w="120" w:type="dxa"/>
            </w:tcMar>
            <w:vAlign w:val="center"/>
            <w:hideMark/>
          </w:tcPr>
          <w:p w14:paraId="3EEA57EB"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Medium (0.45)</w:t>
            </w:r>
          </w:p>
        </w:tc>
        <w:tc>
          <w:tcPr>
            <w:tcW w:w="0" w:type="auto"/>
            <w:shd w:val="clear" w:color="auto" w:fill="FFFFFF" w:themeFill="background1"/>
            <w:tcMar>
              <w:top w:w="120" w:type="dxa"/>
              <w:left w:w="120" w:type="dxa"/>
              <w:bottom w:w="120" w:type="dxa"/>
              <w:right w:w="120" w:type="dxa"/>
            </w:tcMar>
            <w:vAlign w:val="center"/>
            <w:hideMark/>
          </w:tcPr>
          <w:p w14:paraId="3F3BA45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0.91</w:t>
            </w:r>
          </w:p>
        </w:tc>
        <w:tc>
          <w:tcPr>
            <w:tcW w:w="0" w:type="auto"/>
            <w:shd w:val="clear" w:color="auto" w:fill="FFFFFF" w:themeFill="background1"/>
            <w:tcMar>
              <w:top w:w="120" w:type="dxa"/>
              <w:left w:w="120" w:type="dxa"/>
              <w:bottom w:w="120" w:type="dxa"/>
              <w:right w:w="120" w:type="dxa"/>
            </w:tcMar>
            <w:vAlign w:val="center"/>
            <w:hideMark/>
          </w:tcPr>
          <w:p w14:paraId="6E1C92D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0.89</w:t>
            </w:r>
          </w:p>
        </w:tc>
      </w:tr>
      <w:tr w:rsidR="007710F7" w:rsidRPr="007710F7" w14:paraId="768B619C" w14:textId="77777777" w:rsidTr="0085798A">
        <w:tc>
          <w:tcPr>
            <w:tcW w:w="0" w:type="auto"/>
            <w:shd w:val="clear" w:color="auto" w:fill="FFFFFF" w:themeFill="background1"/>
            <w:tcMar>
              <w:top w:w="120" w:type="dxa"/>
              <w:left w:w="120" w:type="dxa"/>
              <w:bottom w:w="120" w:type="dxa"/>
              <w:right w:w="120" w:type="dxa"/>
            </w:tcMar>
            <w:vAlign w:val="center"/>
            <w:hideMark/>
          </w:tcPr>
          <w:p w14:paraId="4F16E35D"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2.0</w:t>
            </w:r>
          </w:p>
        </w:tc>
        <w:tc>
          <w:tcPr>
            <w:tcW w:w="0" w:type="auto"/>
            <w:shd w:val="clear" w:color="auto" w:fill="FFFFFF" w:themeFill="background1"/>
            <w:tcMar>
              <w:top w:w="120" w:type="dxa"/>
              <w:left w:w="120" w:type="dxa"/>
              <w:bottom w:w="120" w:type="dxa"/>
              <w:right w:w="120" w:type="dxa"/>
            </w:tcMar>
            <w:vAlign w:val="center"/>
            <w:hideMark/>
          </w:tcPr>
          <w:p w14:paraId="3C1D4B0A"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91.7</w:t>
            </w:r>
          </w:p>
        </w:tc>
        <w:tc>
          <w:tcPr>
            <w:tcW w:w="0" w:type="auto"/>
            <w:shd w:val="clear" w:color="auto" w:fill="FFFFFF" w:themeFill="background1"/>
            <w:tcMar>
              <w:top w:w="120" w:type="dxa"/>
              <w:left w:w="120" w:type="dxa"/>
              <w:bottom w:w="120" w:type="dxa"/>
              <w:right w:w="120" w:type="dxa"/>
            </w:tcMar>
            <w:vAlign w:val="center"/>
            <w:hideMark/>
          </w:tcPr>
          <w:p w14:paraId="4AD499D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Medium-High (0.62)</w:t>
            </w:r>
          </w:p>
        </w:tc>
        <w:tc>
          <w:tcPr>
            <w:tcW w:w="0" w:type="auto"/>
            <w:shd w:val="clear" w:color="auto" w:fill="FFFFFF" w:themeFill="background1"/>
            <w:tcMar>
              <w:top w:w="120" w:type="dxa"/>
              <w:left w:w="120" w:type="dxa"/>
              <w:bottom w:w="120" w:type="dxa"/>
              <w:right w:w="120" w:type="dxa"/>
            </w:tcMar>
            <w:vAlign w:val="center"/>
            <w:hideMark/>
          </w:tcPr>
          <w:p w14:paraId="591DE94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0.94</w:t>
            </w:r>
          </w:p>
        </w:tc>
        <w:tc>
          <w:tcPr>
            <w:tcW w:w="0" w:type="auto"/>
            <w:shd w:val="clear" w:color="auto" w:fill="FFFFFF" w:themeFill="background1"/>
            <w:tcMar>
              <w:top w:w="120" w:type="dxa"/>
              <w:left w:w="120" w:type="dxa"/>
              <w:bottom w:w="120" w:type="dxa"/>
              <w:right w:w="120" w:type="dxa"/>
            </w:tcMar>
            <w:vAlign w:val="center"/>
            <w:hideMark/>
          </w:tcPr>
          <w:p w14:paraId="6B8C0AE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0.93</w:t>
            </w:r>
          </w:p>
        </w:tc>
      </w:tr>
      <w:tr w:rsidR="007710F7" w:rsidRPr="007710F7" w14:paraId="68495D7F" w14:textId="77777777" w:rsidTr="0085798A">
        <w:tc>
          <w:tcPr>
            <w:tcW w:w="0" w:type="auto"/>
            <w:shd w:val="clear" w:color="auto" w:fill="FFFFFF" w:themeFill="background1"/>
            <w:tcMar>
              <w:top w:w="120" w:type="dxa"/>
              <w:left w:w="120" w:type="dxa"/>
              <w:bottom w:w="120" w:type="dxa"/>
              <w:right w:w="120" w:type="dxa"/>
            </w:tcMar>
            <w:vAlign w:val="center"/>
            <w:hideMark/>
          </w:tcPr>
          <w:p w14:paraId="5C2C9D46"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5.0</w:t>
            </w:r>
          </w:p>
        </w:tc>
        <w:tc>
          <w:tcPr>
            <w:tcW w:w="0" w:type="auto"/>
            <w:shd w:val="clear" w:color="auto" w:fill="FFFFFF" w:themeFill="background1"/>
            <w:tcMar>
              <w:top w:w="120" w:type="dxa"/>
              <w:left w:w="120" w:type="dxa"/>
              <w:bottom w:w="120" w:type="dxa"/>
              <w:right w:w="120" w:type="dxa"/>
            </w:tcMar>
            <w:vAlign w:val="center"/>
            <w:hideMark/>
          </w:tcPr>
          <w:p w14:paraId="369A6D2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94.6</w:t>
            </w:r>
          </w:p>
        </w:tc>
        <w:tc>
          <w:tcPr>
            <w:tcW w:w="0" w:type="auto"/>
            <w:shd w:val="clear" w:color="auto" w:fill="FFFFFF" w:themeFill="background1"/>
            <w:tcMar>
              <w:top w:w="120" w:type="dxa"/>
              <w:left w:w="120" w:type="dxa"/>
              <w:bottom w:w="120" w:type="dxa"/>
              <w:right w:w="120" w:type="dxa"/>
            </w:tcMar>
            <w:vAlign w:val="center"/>
            <w:hideMark/>
          </w:tcPr>
          <w:p w14:paraId="5D5A727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High (0.78)</w:t>
            </w:r>
          </w:p>
        </w:tc>
        <w:tc>
          <w:tcPr>
            <w:tcW w:w="0" w:type="auto"/>
            <w:shd w:val="clear" w:color="auto" w:fill="FFFFFF" w:themeFill="background1"/>
            <w:tcMar>
              <w:top w:w="120" w:type="dxa"/>
              <w:left w:w="120" w:type="dxa"/>
              <w:bottom w:w="120" w:type="dxa"/>
              <w:right w:w="120" w:type="dxa"/>
            </w:tcMar>
            <w:vAlign w:val="center"/>
            <w:hideMark/>
          </w:tcPr>
          <w:p w14:paraId="71E7393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0.97</w:t>
            </w:r>
          </w:p>
        </w:tc>
        <w:tc>
          <w:tcPr>
            <w:tcW w:w="0" w:type="auto"/>
            <w:shd w:val="clear" w:color="auto" w:fill="FFFFFF" w:themeFill="background1"/>
            <w:tcMar>
              <w:top w:w="120" w:type="dxa"/>
              <w:left w:w="120" w:type="dxa"/>
              <w:bottom w:w="120" w:type="dxa"/>
              <w:right w:w="120" w:type="dxa"/>
            </w:tcMar>
            <w:vAlign w:val="center"/>
            <w:hideMark/>
          </w:tcPr>
          <w:p w14:paraId="4E8BE7D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0.95</w:t>
            </w:r>
          </w:p>
        </w:tc>
      </w:tr>
      <w:tr w:rsidR="007710F7" w:rsidRPr="007710F7" w14:paraId="1DCE1332" w14:textId="77777777" w:rsidTr="0085798A">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6194B4CA"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10.0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20E8998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96.2</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6578CD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Very High (0.89)</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37C2ED0C"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0.98</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4C0CB02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0.97</w:t>
            </w:r>
          </w:p>
        </w:tc>
      </w:tr>
    </w:tbl>
    <w:p w14:paraId="05C32EE6" w14:textId="77777777" w:rsidR="007710F7" w:rsidRPr="007710F7" w:rsidRDefault="007710F7" w:rsidP="007710F7">
      <w:pPr>
        <w:spacing w:line="360" w:lineRule="auto"/>
        <w:jc w:val="both"/>
        <w:rPr>
          <w:rFonts w:ascii="Times New Roman" w:hAnsi="Times New Roman" w:cs="Times New Roman"/>
        </w:rPr>
      </w:pPr>
    </w:p>
    <w:p w14:paraId="33FD161F" w14:textId="77777777" w:rsidR="003C3DD1" w:rsidRPr="00DC1735" w:rsidRDefault="007710F7" w:rsidP="003C3DD1">
      <w:pPr>
        <w:spacing w:line="360" w:lineRule="auto"/>
        <w:jc w:val="both"/>
        <w:rPr>
          <w:rFonts w:ascii="Times New Roman" w:hAnsi="Times New Roman" w:cs="Times New Roman"/>
          <w:i/>
          <w:iCs/>
        </w:rPr>
      </w:pPr>
      <w:r w:rsidRPr="00DC1735">
        <w:rPr>
          <w:rFonts w:ascii="Times New Roman" w:hAnsi="Times New Roman" w:cs="Times New Roman"/>
          <w:b/>
          <w:bCs/>
        </w:rPr>
        <w:t xml:space="preserve">Figure </w:t>
      </w:r>
      <w:r w:rsidR="00DC1735" w:rsidRPr="00DC1735">
        <w:rPr>
          <w:rFonts w:ascii="Times New Roman" w:hAnsi="Times New Roman" w:cs="Times New Roman"/>
          <w:b/>
          <w:bCs/>
        </w:rPr>
        <w:t>1</w:t>
      </w:r>
      <w:r w:rsidRPr="00DC1735">
        <w:rPr>
          <w:rFonts w:ascii="Times New Roman" w:hAnsi="Times New Roman" w:cs="Times New Roman"/>
          <w:b/>
          <w:bCs/>
        </w:rPr>
        <w:t xml:space="preserve"> </w:t>
      </w:r>
      <w:r w:rsidR="003C3DD1" w:rsidRPr="00DC1735">
        <w:rPr>
          <w:rFonts w:ascii="Times New Roman" w:hAnsi="Times New Roman" w:cs="Times New Roman"/>
          <w:i/>
          <w:iCs/>
        </w:rPr>
        <w:t>Generative Model Performance Across Data Modalities.</w:t>
      </w:r>
    </w:p>
    <w:p w14:paraId="587BF2A2" w14:textId="0F46614E" w:rsidR="00DC1735" w:rsidRPr="00DC1735" w:rsidRDefault="00DC1735" w:rsidP="007710F7">
      <w:pPr>
        <w:spacing w:line="360" w:lineRule="auto"/>
        <w:jc w:val="both"/>
        <w:rPr>
          <w:rFonts w:ascii="Times New Roman" w:hAnsi="Times New Roman" w:cs="Times New Roman"/>
          <w:b/>
          <w:bCs/>
        </w:rPr>
      </w:pPr>
    </w:p>
    <w:p w14:paraId="30F1E307"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lastRenderedPageBreak/>
        <w:drawing>
          <wp:inline distT="0" distB="0" distL="0" distR="0" wp14:anchorId="50DAB9FC" wp14:editId="3B29D3AB">
            <wp:extent cx="4595423" cy="2797488"/>
            <wp:effectExtent l="0" t="0" r="0" b="3175"/>
            <wp:docPr id="1196378955"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78955" name="Picture 1" descr="A diagram of a graph&#10;&#10;AI-generated content may be incorrect."/>
                    <pic:cNvPicPr/>
                  </pic:nvPicPr>
                  <pic:blipFill rotWithShape="1">
                    <a:blip r:embed="rId8" cstate="print">
                      <a:extLst>
                        <a:ext uri="{28A0092B-C50C-407E-A947-70E740481C1C}">
                          <a14:useLocalDpi xmlns:a14="http://schemas.microsoft.com/office/drawing/2010/main" val="0"/>
                        </a:ext>
                      </a:extLst>
                    </a:blip>
                    <a:srcRect t="8687"/>
                    <a:stretch>
                      <a:fillRect/>
                    </a:stretch>
                  </pic:blipFill>
                  <pic:spPr bwMode="auto">
                    <a:xfrm>
                      <a:off x="0" y="0"/>
                      <a:ext cx="4606788" cy="2804407"/>
                    </a:xfrm>
                    <a:prstGeom prst="rect">
                      <a:avLst/>
                    </a:prstGeom>
                    <a:ln>
                      <a:noFill/>
                    </a:ln>
                    <a:extLst>
                      <a:ext uri="{53640926-AAD7-44D8-BBD7-CCE9431645EC}">
                        <a14:shadowObscured xmlns:a14="http://schemas.microsoft.com/office/drawing/2010/main"/>
                      </a:ext>
                    </a:extLst>
                  </pic:spPr>
                </pic:pic>
              </a:graphicData>
            </a:graphic>
          </wp:inline>
        </w:drawing>
      </w:r>
    </w:p>
    <w:p w14:paraId="4B47EBF7" w14:textId="77777777" w:rsidR="00DC1735" w:rsidRPr="007710F7" w:rsidRDefault="007710F7" w:rsidP="00DC1735">
      <w:pPr>
        <w:spacing w:line="360" w:lineRule="auto"/>
        <w:jc w:val="both"/>
        <w:rPr>
          <w:rFonts w:ascii="Times New Roman" w:hAnsi="Times New Roman" w:cs="Times New Roman"/>
        </w:rPr>
      </w:pPr>
      <w:r w:rsidRPr="007710F7">
        <w:rPr>
          <w:rFonts w:ascii="Times New Roman" w:hAnsi="Times New Roman" w:cs="Times New Roman"/>
        </w:rPr>
        <w:t>Bias mitigation outcomes showed fairness-aware sampling and adversarial debiasing reducing demographic parity violations from 0.23 to 0.08, a 65% improvement, with gender-based prediction disparities dropping from 14.7% to 4.2%. Minority representation in synthetic sets increased from 12.4% to 18.7%, and rare disease coverage surged by 147%, enhancing dataset balance for chronic conditions like diabetes and cardiovascular issues.</w:t>
      </w:r>
      <w:r w:rsidR="00DC1735">
        <w:rPr>
          <w:rFonts w:ascii="Times New Roman" w:hAnsi="Times New Roman" w:cs="Times New Roman"/>
        </w:rPr>
        <w:t xml:space="preserve"> </w:t>
      </w:r>
      <w:r w:rsidRPr="007710F7">
        <w:rPr>
          <w:rFonts w:ascii="Times New Roman" w:hAnsi="Times New Roman" w:cs="Times New Roman"/>
        </w:rPr>
        <w:t>Table</w:t>
      </w:r>
      <w:r w:rsidR="00DC1735">
        <w:rPr>
          <w:rFonts w:ascii="Times New Roman" w:hAnsi="Times New Roman" w:cs="Times New Roman"/>
        </w:rPr>
        <w:t xml:space="preserve"> </w:t>
      </w:r>
      <w:r w:rsidRPr="007710F7">
        <w:rPr>
          <w:rFonts w:ascii="Times New Roman" w:hAnsi="Times New Roman" w:cs="Times New Roman"/>
        </w:rPr>
        <w:t>3 summarizes bias reductions across attributes, noting 71.4% mitigation in gender parity and 66.7% in racial equity.</w:t>
      </w:r>
      <w:r w:rsidR="00DC1735">
        <w:rPr>
          <w:rFonts w:ascii="Times New Roman" w:hAnsi="Times New Roman" w:cs="Times New Roman"/>
        </w:rPr>
        <w:t xml:space="preserve"> </w:t>
      </w:r>
      <w:r w:rsidR="00DC1735" w:rsidRPr="007710F7">
        <w:rPr>
          <w:rFonts w:ascii="Times New Roman" w:hAnsi="Times New Roman" w:cs="Times New Roman"/>
        </w:rPr>
        <w:t>Figure 2 presents a stacked bar chart illustrating pre- and post-mitigation population coverage, emphasizing gains in underrepresented groups.</w:t>
      </w:r>
    </w:p>
    <w:p w14:paraId="35E0ED2C" w14:textId="77777777" w:rsidR="00DC1735" w:rsidRDefault="00DC1735" w:rsidP="007710F7">
      <w:pPr>
        <w:spacing w:line="360" w:lineRule="auto"/>
        <w:jc w:val="both"/>
        <w:rPr>
          <w:rFonts w:ascii="Times New Roman" w:hAnsi="Times New Roman" w:cs="Times New Roman"/>
          <w:b/>
          <w:bCs/>
        </w:rPr>
      </w:pPr>
    </w:p>
    <w:p w14:paraId="04F4428D" w14:textId="77777777" w:rsidR="00DC1735" w:rsidRDefault="00DC1735" w:rsidP="007710F7">
      <w:pPr>
        <w:spacing w:line="360" w:lineRule="auto"/>
        <w:jc w:val="both"/>
        <w:rPr>
          <w:rFonts w:ascii="Times New Roman" w:hAnsi="Times New Roman" w:cs="Times New Roman"/>
          <w:b/>
          <w:bCs/>
        </w:rPr>
      </w:pPr>
    </w:p>
    <w:p w14:paraId="36D9AB5A" w14:textId="7A5DC906" w:rsidR="00DC1735" w:rsidRPr="00DC1735" w:rsidRDefault="007710F7" w:rsidP="007710F7">
      <w:pPr>
        <w:spacing w:line="360" w:lineRule="auto"/>
        <w:jc w:val="both"/>
        <w:rPr>
          <w:rFonts w:ascii="Times New Roman" w:hAnsi="Times New Roman" w:cs="Times New Roman"/>
        </w:rPr>
      </w:pPr>
      <w:r w:rsidRPr="007710F7">
        <w:rPr>
          <w:rFonts w:ascii="Times New Roman" w:hAnsi="Times New Roman" w:cs="Times New Roman"/>
          <w:b/>
          <w:bCs/>
        </w:rPr>
        <w:t xml:space="preserve">Table </w:t>
      </w:r>
      <w:r w:rsidR="00DC1735">
        <w:rPr>
          <w:rFonts w:ascii="Times New Roman" w:hAnsi="Times New Roman" w:cs="Times New Roman"/>
          <w:b/>
          <w:bCs/>
        </w:rPr>
        <w:t>3</w:t>
      </w:r>
      <w:r w:rsidR="003C3DD1" w:rsidRPr="003C3DD1">
        <w:rPr>
          <w:rFonts w:ascii="Times New Roman" w:hAnsi="Times New Roman" w:cs="Times New Roman"/>
          <w:i/>
          <w:iCs/>
        </w:rPr>
        <w:t xml:space="preserve"> </w:t>
      </w:r>
      <w:r w:rsidR="003C3DD1" w:rsidRPr="00DC1735">
        <w:rPr>
          <w:rFonts w:ascii="Times New Roman" w:hAnsi="Times New Roman" w:cs="Times New Roman"/>
          <w:i/>
          <w:iCs/>
        </w:rPr>
        <w:t>Bias Mitigation Results Across Protected Attributes</w:t>
      </w:r>
      <w:r w:rsidR="003C3DD1">
        <w:rPr>
          <w:rFonts w:ascii="Times New Roman" w:hAnsi="Times New Roman" w:cs="Times New Roman"/>
          <w:i/>
          <w:iCs/>
        </w:rPr>
        <w:t>.</w:t>
      </w:r>
    </w:p>
    <w:p w14:paraId="76730806" w14:textId="66E382DA" w:rsidR="007710F7" w:rsidRPr="00DC1735" w:rsidRDefault="007710F7" w:rsidP="007710F7">
      <w:pPr>
        <w:spacing w:line="360" w:lineRule="auto"/>
        <w:jc w:val="both"/>
        <w:rPr>
          <w:rFonts w:ascii="Times New Roman" w:hAnsi="Times New Roman" w:cs="Times New Roman"/>
          <w:i/>
          <w:iCs/>
        </w:rPr>
      </w:pPr>
    </w:p>
    <w:tbl>
      <w:tblPr>
        <w:tblW w:w="50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140"/>
        <w:gridCol w:w="1716"/>
        <w:gridCol w:w="1955"/>
        <w:gridCol w:w="1592"/>
        <w:gridCol w:w="1957"/>
      </w:tblGrid>
      <w:tr w:rsidR="007710F7" w:rsidRPr="007710F7" w14:paraId="1089D2E6" w14:textId="77777777" w:rsidTr="0085798A">
        <w:trPr>
          <w:tblHeader/>
        </w:trPr>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3607BD39"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Protected Attribute</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61F3150A"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Baseline Bias (%)</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457AF899"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Post-Mitigation (%)</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199FE8DD"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Reduction (%)</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26B5339D"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Fairness Metric</w:t>
            </w:r>
          </w:p>
        </w:tc>
      </w:tr>
      <w:tr w:rsidR="007710F7" w:rsidRPr="007710F7" w14:paraId="2E5E81E0" w14:textId="77777777" w:rsidTr="0085798A">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126C7243"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Race/Ethnicity</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65682A5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18.3</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682E0A33"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6.1</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494A2D41"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66.7</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3DB6F194"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Demographic Parity</w:t>
            </w:r>
          </w:p>
        </w:tc>
      </w:tr>
      <w:tr w:rsidR="007710F7" w:rsidRPr="007710F7" w14:paraId="155D250C" w14:textId="77777777" w:rsidTr="0085798A">
        <w:tc>
          <w:tcPr>
            <w:tcW w:w="0" w:type="auto"/>
            <w:shd w:val="clear" w:color="auto" w:fill="FFFFFF" w:themeFill="background1"/>
            <w:tcMar>
              <w:top w:w="120" w:type="dxa"/>
              <w:left w:w="120" w:type="dxa"/>
              <w:bottom w:w="120" w:type="dxa"/>
              <w:right w:w="120" w:type="dxa"/>
            </w:tcMar>
            <w:vAlign w:val="center"/>
            <w:hideMark/>
          </w:tcPr>
          <w:p w14:paraId="7AA9304F"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lastRenderedPageBreak/>
              <w:t>Gender</w:t>
            </w:r>
          </w:p>
        </w:tc>
        <w:tc>
          <w:tcPr>
            <w:tcW w:w="0" w:type="auto"/>
            <w:shd w:val="clear" w:color="auto" w:fill="FFFFFF" w:themeFill="background1"/>
            <w:tcMar>
              <w:top w:w="120" w:type="dxa"/>
              <w:left w:w="120" w:type="dxa"/>
              <w:bottom w:w="120" w:type="dxa"/>
              <w:right w:w="120" w:type="dxa"/>
            </w:tcMar>
            <w:vAlign w:val="center"/>
            <w:hideMark/>
          </w:tcPr>
          <w:p w14:paraId="47AF40E8"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14.7</w:t>
            </w:r>
          </w:p>
        </w:tc>
        <w:tc>
          <w:tcPr>
            <w:tcW w:w="0" w:type="auto"/>
            <w:shd w:val="clear" w:color="auto" w:fill="FFFFFF" w:themeFill="background1"/>
            <w:tcMar>
              <w:top w:w="120" w:type="dxa"/>
              <w:left w:w="120" w:type="dxa"/>
              <w:bottom w:w="120" w:type="dxa"/>
              <w:right w:w="120" w:type="dxa"/>
            </w:tcMar>
            <w:vAlign w:val="center"/>
            <w:hideMark/>
          </w:tcPr>
          <w:p w14:paraId="2959E803"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4.2</w:t>
            </w:r>
          </w:p>
        </w:tc>
        <w:tc>
          <w:tcPr>
            <w:tcW w:w="0" w:type="auto"/>
            <w:shd w:val="clear" w:color="auto" w:fill="FFFFFF" w:themeFill="background1"/>
            <w:tcMar>
              <w:top w:w="120" w:type="dxa"/>
              <w:left w:w="120" w:type="dxa"/>
              <w:bottom w:w="120" w:type="dxa"/>
              <w:right w:w="120" w:type="dxa"/>
            </w:tcMar>
            <w:vAlign w:val="center"/>
            <w:hideMark/>
          </w:tcPr>
          <w:p w14:paraId="79268BD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71.4</w:t>
            </w:r>
          </w:p>
        </w:tc>
        <w:tc>
          <w:tcPr>
            <w:tcW w:w="0" w:type="auto"/>
            <w:shd w:val="clear" w:color="auto" w:fill="FFFFFF" w:themeFill="background1"/>
            <w:tcMar>
              <w:top w:w="120" w:type="dxa"/>
              <w:left w:w="120" w:type="dxa"/>
              <w:bottom w:w="120" w:type="dxa"/>
              <w:right w:w="120" w:type="dxa"/>
            </w:tcMar>
            <w:vAlign w:val="center"/>
            <w:hideMark/>
          </w:tcPr>
          <w:p w14:paraId="56D06FC8"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Equalized Odds</w:t>
            </w:r>
          </w:p>
        </w:tc>
      </w:tr>
      <w:tr w:rsidR="007710F7" w:rsidRPr="007710F7" w14:paraId="3CE160B9" w14:textId="77777777" w:rsidTr="0085798A">
        <w:tc>
          <w:tcPr>
            <w:tcW w:w="0" w:type="auto"/>
            <w:shd w:val="clear" w:color="auto" w:fill="FFFFFF" w:themeFill="background1"/>
            <w:tcMar>
              <w:top w:w="120" w:type="dxa"/>
              <w:left w:w="120" w:type="dxa"/>
              <w:bottom w:w="120" w:type="dxa"/>
              <w:right w:w="120" w:type="dxa"/>
            </w:tcMar>
            <w:vAlign w:val="center"/>
            <w:hideMark/>
          </w:tcPr>
          <w:p w14:paraId="31630B96"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Age Group</w:t>
            </w:r>
          </w:p>
        </w:tc>
        <w:tc>
          <w:tcPr>
            <w:tcW w:w="0" w:type="auto"/>
            <w:shd w:val="clear" w:color="auto" w:fill="FFFFFF" w:themeFill="background1"/>
            <w:tcMar>
              <w:top w:w="120" w:type="dxa"/>
              <w:left w:w="120" w:type="dxa"/>
              <w:bottom w:w="120" w:type="dxa"/>
              <w:right w:w="120" w:type="dxa"/>
            </w:tcMar>
            <w:vAlign w:val="center"/>
            <w:hideMark/>
          </w:tcPr>
          <w:p w14:paraId="3FC0453F"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21.2</w:t>
            </w:r>
          </w:p>
        </w:tc>
        <w:tc>
          <w:tcPr>
            <w:tcW w:w="0" w:type="auto"/>
            <w:shd w:val="clear" w:color="auto" w:fill="FFFFFF" w:themeFill="background1"/>
            <w:tcMar>
              <w:top w:w="120" w:type="dxa"/>
              <w:left w:w="120" w:type="dxa"/>
              <w:bottom w:w="120" w:type="dxa"/>
              <w:right w:w="120" w:type="dxa"/>
            </w:tcMar>
            <w:vAlign w:val="center"/>
            <w:hideMark/>
          </w:tcPr>
          <w:p w14:paraId="4E2D4DDD"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7.8</w:t>
            </w:r>
          </w:p>
        </w:tc>
        <w:tc>
          <w:tcPr>
            <w:tcW w:w="0" w:type="auto"/>
            <w:shd w:val="clear" w:color="auto" w:fill="FFFFFF" w:themeFill="background1"/>
            <w:tcMar>
              <w:top w:w="120" w:type="dxa"/>
              <w:left w:w="120" w:type="dxa"/>
              <w:bottom w:w="120" w:type="dxa"/>
              <w:right w:w="120" w:type="dxa"/>
            </w:tcMar>
            <w:vAlign w:val="center"/>
            <w:hideMark/>
          </w:tcPr>
          <w:p w14:paraId="3B10F82B"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63.2</w:t>
            </w:r>
          </w:p>
        </w:tc>
        <w:tc>
          <w:tcPr>
            <w:tcW w:w="0" w:type="auto"/>
            <w:shd w:val="clear" w:color="auto" w:fill="FFFFFF" w:themeFill="background1"/>
            <w:tcMar>
              <w:top w:w="120" w:type="dxa"/>
              <w:left w:w="120" w:type="dxa"/>
              <w:bottom w:w="120" w:type="dxa"/>
              <w:right w:w="120" w:type="dxa"/>
            </w:tcMar>
            <w:vAlign w:val="center"/>
            <w:hideMark/>
          </w:tcPr>
          <w:p w14:paraId="150D5E25"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Predictive Parity</w:t>
            </w:r>
          </w:p>
        </w:tc>
      </w:tr>
      <w:tr w:rsidR="007710F7" w:rsidRPr="007710F7" w14:paraId="0561CA8D" w14:textId="77777777" w:rsidTr="0085798A">
        <w:tc>
          <w:tcPr>
            <w:tcW w:w="0" w:type="auto"/>
            <w:shd w:val="clear" w:color="auto" w:fill="FFFFFF" w:themeFill="background1"/>
            <w:tcMar>
              <w:top w:w="120" w:type="dxa"/>
              <w:left w:w="120" w:type="dxa"/>
              <w:bottom w:w="120" w:type="dxa"/>
              <w:right w:w="120" w:type="dxa"/>
            </w:tcMar>
            <w:vAlign w:val="center"/>
            <w:hideMark/>
          </w:tcPr>
          <w:p w14:paraId="2D486449"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Socioeconomic Status</w:t>
            </w:r>
          </w:p>
        </w:tc>
        <w:tc>
          <w:tcPr>
            <w:tcW w:w="0" w:type="auto"/>
            <w:shd w:val="clear" w:color="auto" w:fill="FFFFFF" w:themeFill="background1"/>
            <w:tcMar>
              <w:top w:w="120" w:type="dxa"/>
              <w:left w:w="120" w:type="dxa"/>
              <w:bottom w:w="120" w:type="dxa"/>
              <w:right w:w="120" w:type="dxa"/>
            </w:tcMar>
            <w:vAlign w:val="center"/>
            <w:hideMark/>
          </w:tcPr>
          <w:p w14:paraId="4D3C1E82"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16.9</w:t>
            </w:r>
          </w:p>
        </w:tc>
        <w:tc>
          <w:tcPr>
            <w:tcW w:w="0" w:type="auto"/>
            <w:shd w:val="clear" w:color="auto" w:fill="FFFFFF" w:themeFill="background1"/>
            <w:tcMar>
              <w:top w:w="120" w:type="dxa"/>
              <w:left w:w="120" w:type="dxa"/>
              <w:bottom w:w="120" w:type="dxa"/>
              <w:right w:w="120" w:type="dxa"/>
            </w:tcMar>
            <w:vAlign w:val="center"/>
            <w:hideMark/>
          </w:tcPr>
          <w:p w14:paraId="166B40D7"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5.4</w:t>
            </w:r>
          </w:p>
        </w:tc>
        <w:tc>
          <w:tcPr>
            <w:tcW w:w="0" w:type="auto"/>
            <w:shd w:val="clear" w:color="auto" w:fill="FFFFFF" w:themeFill="background1"/>
            <w:tcMar>
              <w:top w:w="120" w:type="dxa"/>
              <w:left w:w="120" w:type="dxa"/>
              <w:bottom w:w="120" w:type="dxa"/>
              <w:right w:w="120" w:type="dxa"/>
            </w:tcMar>
            <w:vAlign w:val="center"/>
            <w:hideMark/>
          </w:tcPr>
          <w:p w14:paraId="2BA322E4"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68.0</w:t>
            </w:r>
          </w:p>
        </w:tc>
        <w:tc>
          <w:tcPr>
            <w:tcW w:w="0" w:type="auto"/>
            <w:shd w:val="clear" w:color="auto" w:fill="FFFFFF" w:themeFill="background1"/>
            <w:tcMar>
              <w:top w:w="120" w:type="dxa"/>
              <w:left w:w="120" w:type="dxa"/>
              <w:bottom w:w="120" w:type="dxa"/>
              <w:right w:w="120" w:type="dxa"/>
            </w:tcMar>
            <w:vAlign w:val="center"/>
            <w:hideMark/>
          </w:tcPr>
          <w:p w14:paraId="2C7E53CE"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Individual Fairness</w:t>
            </w:r>
          </w:p>
        </w:tc>
      </w:tr>
      <w:tr w:rsidR="007710F7" w:rsidRPr="007710F7" w14:paraId="3423C496" w14:textId="77777777" w:rsidTr="0085798A">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3A425FE"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Geographic Location</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B523F8B"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13.4</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3D5C68CD"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4.7</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D2D47E2"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64.9</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6D2B608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Statistical Parity</w:t>
            </w:r>
          </w:p>
        </w:tc>
      </w:tr>
    </w:tbl>
    <w:p w14:paraId="4A9EBC03" w14:textId="77777777" w:rsidR="003C3DD1" w:rsidRPr="00DC1735" w:rsidRDefault="007710F7" w:rsidP="003C3DD1">
      <w:pPr>
        <w:spacing w:line="360" w:lineRule="auto"/>
        <w:jc w:val="both"/>
        <w:rPr>
          <w:rFonts w:ascii="Times New Roman" w:hAnsi="Times New Roman" w:cs="Times New Roman"/>
          <w:i/>
          <w:iCs/>
        </w:rPr>
      </w:pPr>
      <w:r w:rsidRPr="00DC1735">
        <w:rPr>
          <w:rFonts w:ascii="Times New Roman" w:hAnsi="Times New Roman" w:cs="Times New Roman"/>
          <w:b/>
          <w:bCs/>
        </w:rPr>
        <w:t xml:space="preserve">Figure </w:t>
      </w:r>
      <w:r w:rsidR="00DC1735" w:rsidRPr="00DC1735">
        <w:rPr>
          <w:rFonts w:ascii="Times New Roman" w:hAnsi="Times New Roman" w:cs="Times New Roman"/>
          <w:b/>
          <w:bCs/>
        </w:rPr>
        <w:t>2</w:t>
      </w:r>
      <w:r w:rsidRPr="007710F7">
        <w:rPr>
          <w:rFonts w:ascii="Times New Roman" w:hAnsi="Times New Roman" w:cs="Times New Roman"/>
        </w:rPr>
        <w:t xml:space="preserve"> </w:t>
      </w:r>
      <w:r w:rsidR="003C3DD1" w:rsidRPr="00DC1735">
        <w:rPr>
          <w:rFonts w:ascii="Times New Roman" w:hAnsi="Times New Roman" w:cs="Times New Roman"/>
          <w:i/>
          <w:iCs/>
        </w:rPr>
        <w:t>Population Coverage Before and After Bias Mitigation.</w:t>
      </w:r>
    </w:p>
    <w:p w14:paraId="3F189AB9" w14:textId="469FA48B" w:rsidR="00DC1735" w:rsidRDefault="00DC1735" w:rsidP="00DC1735">
      <w:pPr>
        <w:spacing w:before="240" w:line="360" w:lineRule="auto"/>
        <w:jc w:val="both"/>
        <w:rPr>
          <w:rFonts w:ascii="Times New Roman" w:hAnsi="Times New Roman" w:cs="Times New Roman"/>
        </w:rPr>
      </w:pPr>
    </w:p>
    <w:p w14:paraId="478D8444"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drawing>
          <wp:inline distT="0" distB="0" distL="0" distR="0" wp14:anchorId="7B4E2674" wp14:editId="00263B49">
            <wp:extent cx="4563446" cy="2701158"/>
            <wp:effectExtent l="0" t="0" r="8890" b="4445"/>
            <wp:docPr id="734234483" name="Picture 2"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34483" name="Picture 2" descr="A graph of different colored squares&#10;&#10;AI-generated content may be incorrect."/>
                    <pic:cNvPicPr/>
                  </pic:nvPicPr>
                  <pic:blipFill rotWithShape="1">
                    <a:blip r:embed="rId9" cstate="print">
                      <a:extLst>
                        <a:ext uri="{28A0092B-C50C-407E-A947-70E740481C1C}">
                          <a14:useLocalDpi xmlns:a14="http://schemas.microsoft.com/office/drawing/2010/main" val="0"/>
                        </a:ext>
                      </a:extLst>
                    </a:blip>
                    <a:srcRect t="11213"/>
                    <a:stretch>
                      <a:fillRect/>
                    </a:stretch>
                  </pic:blipFill>
                  <pic:spPr bwMode="auto">
                    <a:xfrm>
                      <a:off x="0" y="0"/>
                      <a:ext cx="4579808" cy="2710843"/>
                    </a:xfrm>
                    <a:prstGeom prst="rect">
                      <a:avLst/>
                    </a:prstGeom>
                    <a:ln>
                      <a:noFill/>
                    </a:ln>
                    <a:extLst>
                      <a:ext uri="{53640926-AAD7-44D8-BBD7-CCE9431645EC}">
                        <a14:shadowObscured xmlns:a14="http://schemas.microsoft.com/office/drawing/2010/main"/>
                      </a:ext>
                    </a:extLst>
                  </pic:spPr>
                </pic:pic>
              </a:graphicData>
            </a:graphic>
          </wp:inline>
        </w:drawing>
      </w:r>
    </w:p>
    <w:p w14:paraId="032A5364" w14:textId="4AC56390" w:rsidR="00DC1735" w:rsidRPr="007710F7" w:rsidRDefault="007710F7" w:rsidP="00DC1735">
      <w:pPr>
        <w:spacing w:line="360" w:lineRule="auto"/>
        <w:jc w:val="both"/>
        <w:rPr>
          <w:rFonts w:ascii="Times New Roman" w:hAnsi="Times New Roman" w:cs="Times New Roman"/>
        </w:rPr>
      </w:pPr>
      <w:r w:rsidRPr="007710F7">
        <w:rPr>
          <w:rFonts w:ascii="Times New Roman" w:hAnsi="Times New Roman" w:cs="Times New Roman"/>
        </w:rPr>
        <w:t>Validation metrics applied through the multi-dimensional framework assessed synthetic data quality, with HealthGAN attaining an overall score of 8.2/10 across congruence (0.91), coverage (0.88), and other criteria, surpassing diffusion models at 7.8/10 and baselines at 5.4/10. Downstream clinical tasks, such as diagnostic predictions using AUC, retained 94.7% performance (0.887 vs. 0.937 original), confirming utility for research applications.</w:t>
      </w:r>
      <w:r w:rsidR="00DC1735">
        <w:rPr>
          <w:rFonts w:ascii="Times New Roman" w:hAnsi="Times New Roman" w:cs="Times New Roman"/>
        </w:rPr>
        <w:t xml:space="preserve"> </w:t>
      </w:r>
      <w:r w:rsidRPr="007710F7">
        <w:rPr>
          <w:rFonts w:ascii="Times New Roman" w:hAnsi="Times New Roman" w:cs="Times New Roman"/>
        </w:rPr>
        <w:t>Table 4 outlines quality scores per criterion, with thresholds met in most advanced models.</w:t>
      </w:r>
      <w:r w:rsidR="00DC1735">
        <w:rPr>
          <w:rFonts w:ascii="Times New Roman" w:hAnsi="Times New Roman" w:cs="Times New Roman"/>
        </w:rPr>
        <w:t xml:space="preserve"> </w:t>
      </w:r>
      <w:r w:rsidR="00A466C5">
        <w:rPr>
          <w:rFonts w:ascii="Times New Roman" w:hAnsi="Times New Roman" w:cs="Times New Roman"/>
        </w:rPr>
        <w:t>Figure 3</w:t>
      </w:r>
      <w:r w:rsidR="00DC1735" w:rsidRPr="007710F7">
        <w:rPr>
          <w:rFonts w:ascii="Times New Roman" w:hAnsi="Times New Roman" w:cs="Times New Roman"/>
        </w:rPr>
        <w:t xml:space="preserve"> offers a box plot of </w:t>
      </w:r>
      <w:r w:rsidR="00DC1735" w:rsidRPr="007710F7">
        <w:rPr>
          <w:rFonts w:ascii="Times New Roman" w:hAnsi="Times New Roman" w:cs="Times New Roman"/>
        </w:rPr>
        <w:lastRenderedPageBreak/>
        <w:t>clinical task performances, showing tight distributions around high AUC values for synthetic-trained models.</w:t>
      </w:r>
    </w:p>
    <w:p w14:paraId="069FC3B4" w14:textId="3A754B2C" w:rsidR="00DC1735"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Table 4</w:t>
      </w:r>
      <w:r w:rsidR="003C3DD1">
        <w:rPr>
          <w:rFonts w:ascii="Times New Roman" w:hAnsi="Times New Roman" w:cs="Times New Roman"/>
          <w:b/>
          <w:bCs/>
        </w:rPr>
        <w:t xml:space="preserve"> </w:t>
      </w:r>
      <w:r w:rsidR="003C3DD1" w:rsidRPr="00DC1735">
        <w:rPr>
          <w:rFonts w:ascii="Times New Roman" w:hAnsi="Times New Roman" w:cs="Times New Roman"/>
          <w:i/>
          <w:iCs/>
        </w:rPr>
        <w:t>Comprehensive Quality Assessment Results</w:t>
      </w:r>
      <w:r w:rsidR="003C3DD1">
        <w:rPr>
          <w:rFonts w:ascii="Times New Roman" w:hAnsi="Times New Roman" w:cs="Times New Roman"/>
          <w:i/>
          <w:iCs/>
        </w:rPr>
        <w:t>.</w:t>
      </w:r>
    </w:p>
    <w:p w14:paraId="4E3130F1" w14:textId="5EF4F9BA" w:rsidR="007710F7" w:rsidRPr="00DC1735" w:rsidRDefault="007710F7" w:rsidP="007710F7">
      <w:pPr>
        <w:spacing w:line="360" w:lineRule="auto"/>
        <w:jc w:val="both"/>
        <w:rPr>
          <w:rFonts w:ascii="Times New Roman" w:hAnsi="Times New Roman" w:cs="Times New Roman"/>
          <w:i/>
          <w:iCs/>
        </w:rPr>
      </w:pPr>
    </w:p>
    <w:tbl>
      <w:tblPr>
        <w:tblW w:w="50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216"/>
        <w:gridCol w:w="1370"/>
        <w:gridCol w:w="1712"/>
        <w:gridCol w:w="847"/>
        <w:gridCol w:w="1925"/>
        <w:gridCol w:w="1290"/>
      </w:tblGrid>
      <w:tr w:rsidR="007710F7" w:rsidRPr="007710F7" w14:paraId="1C0CF90D" w14:textId="77777777" w:rsidTr="0085798A">
        <w:trPr>
          <w:tblHeader/>
        </w:trPr>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502F6B10" w14:textId="77777777" w:rsidR="007710F7" w:rsidRPr="007710F7" w:rsidRDefault="007710F7" w:rsidP="00DC1735">
            <w:pPr>
              <w:spacing w:line="240" w:lineRule="auto"/>
              <w:jc w:val="both"/>
              <w:rPr>
                <w:rFonts w:ascii="Times New Roman" w:hAnsi="Times New Roman" w:cs="Times New Roman"/>
                <w:b/>
                <w:bCs/>
              </w:rPr>
            </w:pPr>
            <w:r w:rsidRPr="007710F7">
              <w:rPr>
                <w:rFonts w:ascii="Times New Roman" w:hAnsi="Times New Roman" w:cs="Times New Roman"/>
                <w:b/>
                <w:bCs/>
              </w:rPr>
              <w:t>Evaluation Criterion</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462B1E21" w14:textId="51E1616C" w:rsidR="007710F7" w:rsidRPr="007710F7" w:rsidRDefault="00AC27CC" w:rsidP="00A466C5">
            <w:pPr>
              <w:spacing w:line="240" w:lineRule="auto"/>
              <w:jc w:val="center"/>
              <w:rPr>
                <w:rFonts w:ascii="Times New Roman" w:hAnsi="Times New Roman" w:cs="Times New Roman"/>
                <w:b/>
                <w:bCs/>
              </w:rPr>
            </w:pPr>
            <w:r w:rsidRPr="007710F7">
              <w:rPr>
                <w:rFonts w:ascii="Times New Roman" w:hAnsi="Times New Roman" w:cs="Times New Roman"/>
                <w:b/>
                <w:bCs/>
              </w:rPr>
              <w:t>Health GAN</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7F2F9F3E"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Diffusion Model</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60FD03C2"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VAE</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65861B97"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Statistical Baseline</w:t>
            </w:r>
          </w:p>
        </w:tc>
        <w:tc>
          <w:tcPr>
            <w:tcW w:w="0" w:type="auto"/>
            <w:tcBorders>
              <w:top w:val="single" w:sz="4" w:space="0" w:color="auto"/>
              <w:bottom w:val="single" w:sz="4" w:space="0" w:color="auto"/>
            </w:tcBorders>
            <w:shd w:val="clear" w:color="auto" w:fill="FFFFFF" w:themeFill="background1"/>
            <w:tcMar>
              <w:top w:w="120" w:type="dxa"/>
              <w:left w:w="120" w:type="dxa"/>
              <w:bottom w:w="120" w:type="dxa"/>
              <w:right w:w="120" w:type="dxa"/>
            </w:tcMar>
            <w:vAlign w:val="center"/>
            <w:hideMark/>
          </w:tcPr>
          <w:p w14:paraId="64DD6232" w14:textId="77777777" w:rsidR="007710F7" w:rsidRPr="007710F7" w:rsidRDefault="007710F7" w:rsidP="00A466C5">
            <w:pPr>
              <w:spacing w:line="240" w:lineRule="auto"/>
              <w:jc w:val="center"/>
              <w:rPr>
                <w:rFonts w:ascii="Times New Roman" w:hAnsi="Times New Roman" w:cs="Times New Roman"/>
                <w:b/>
                <w:bCs/>
              </w:rPr>
            </w:pPr>
            <w:r w:rsidRPr="007710F7">
              <w:rPr>
                <w:rFonts w:ascii="Times New Roman" w:hAnsi="Times New Roman" w:cs="Times New Roman"/>
                <w:b/>
                <w:bCs/>
              </w:rPr>
              <w:t>Threshold</w:t>
            </w:r>
          </w:p>
        </w:tc>
      </w:tr>
      <w:tr w:rsidR="007710F7" w:rsidRPr="007710F7" w14:paraId="658875AA" w14:textId="77777777" w:rsidTr="0085798A">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38BB15E1"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Congruence</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7C432E61"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0.91</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385730A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0.87</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03F35D5B"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0.83</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2A510CE1"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0.72</w:t>
            </w:r>
          </w:p>
        </w:tc>
        <w:tc>
          <w:tcPr>
            <w:tcW w:w="0" w:type="auto"/>
            <w:tcBorders>
              <w:top w:val="single" w:sz="4" w:space="0" w:color="auto"/>
            </w:tcBorders>
            <w:shd w:val="clear" w:color="auto" w:fill="FFFFFF" w:themeFill="background1"/>
            <w:tcMar>
              <w:top w:w="120" w:type="dxa"/>
              <w:left w:w="120" w:type="dxa"/>
              <w:bottom w:w="120" w:type="dxa"/>
              <w:right w:w="120" w:type="dxa"/>
            </w:tcMar>
            <w:vAlign w:val="center"/>
            <w:hideMark/>
          </w:tcPr>
          <w:p w14:paraId="0267DCA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0.80</w:t>
            </w:r>
          </w:p>
        </w:tc>
      </w:tr>
      <w:tr w:rsidR="007710F7" w:rsidRPr="007710F7" w14:paraId="6535D65D" w14:textId="77777777" w:rsidTr="0085798A">
        <w:tc>
          <w:tcPr>
            <w:tcW w:w="0" w:type="auto"/>
            <w:shd w:val="clear" w:color="auto" w:fill="FFFFFF" w:themeFill="background1"/>
            <w:tcMar>
              <w:top w:w="120" w:type="dxa"/>
              <w:left w:w="120" w:type="dxa"/>
              <w:bottom w:w="120" w:type="dxa"/>
              <w:right w:w="120" w:type="dxa"/>
            </w:tcMar>
            <w:vAlign w:val="center"/>
            <w:hideMark/>
          </w:tcPr>
          <w:p w14:paraId="3F16DECA"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Coverage</w:t>
            </w:r>
          </w:p>
        </w:tc>
        <w:tc>
          <w:tcPr>
            <w:tcW w:w="0" w:type="auto"/>
            <w:shd w:val="clear" w:color="auto" w:fill="FFFFFF" w:themeFill="background1"/>
            <w:tcMar>
              <w:top w:w="120" w:type="dxa"/>
              <w:left w:w="120" w:type="dxa"/>
              <w:bottom w:w="120" w:type="dxa"/>
              <w:right w:w="120" w:type="dxa"/>
            </w:tcMar>
            <w:vAlign w:val="center"/>
            <w:hideMark/>
          </w:tcPr>
          <w:p w14:paraId="6B6DC8AB"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0.88</w:t>
            </w:r>
          </w:p>
        </w:tc>
        <w:tc>
          <w:tcPr>
            <w:tcW w:w="0" w:type="auto"/>
            <w:shd w:val="clear" w:color="auto" w:fill="FFFFFF" w:themeFill="background1"/>
            <w:tcMar>
              <w:top w:w="120" w:type="dxa"/>
              <w:left w:w="120" w:type="dxa"/>
              <w:bottom w:w="120" w:type="dxa"/>
              <w:right w:w="120" w:type="dxa"/>
            </w:tcMar>
            <w:vAlign w:val="center"/>
            <w:hideMark/>
          </w:tcPr>
          <w:p w14:paraId="6DB8276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0.85</w:t>
            </w:r>
          </w:p>
        </w:tc>
        <w:tc>
          <w:tcPr>
            <w:tcW w:w="0" w:type="auto"/>
            <w:shd w:val="clear" w:color="auto" w:fill="FFFFFF" w:themeFill="background1"/>
            <w:tcMar>
              <w:top w:w="120" w:type="dxa"/>
              <w:left w:w="120" w:type="dxa"/>
              <w:bottom w:w="120" w:type="dxa"/>
              <w:right w:w="120" w:type="dxa"/>
            </w:tcMar>
            <w:vAlign w:val="center"/>
            <w:hideMark/>
          </w:tcPr>
          <w:p w14:paraId="4CCD8299"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0.79</w:t>
            </w:r>
          </w:p>
        </w:tc>
        <w:tc>
          <w:tcPr>
            <w:tcW w:w="0" w:type="auto"/>
            <w:shd w:val="clear" w:color="auto" w:fill="FFFFFF" w:themeFill="background1"/>
            <w:tcMar>
              <w:top w:w="120" w:type="dxa"/>
              <w:left w:w="120" w:type="dxa"/>
              <w:bottom w:w="120" w:type="dxa"/>
              <w:right w:w="120" w:type="dxa"/>
            </w:tcMar>
            <w:vAlign w:val="center"/>
            <w:hideMark/>
          </w:tcPr>
          <w:p w14:paraId="0318071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0.68</w:t>
            </w:r>
          </w:p>
        </w:tc>
        <w:tc>
          <w:tcPr>
            <w:tcW w:w="0" w:type="auto"/>
            <w:shd w:val="clear" w:color="auto" w:fill="FFFFFF" w:themeFill="background1"/>
            <w:tcMar>
              <w:top w:w="120" w:type="dxa"/>
              <w:left w:w="120" w:type="dxa"/>
              <w:bottom w:w="120" w:type="dxa"/>
              <w:right w:w="120" w:type="dxa"/>
            </w:tcMar>
            <w:vAlign w:val="center"/>
            <w:hideMark/>
          </w:tcPr>
          <w:p w14:paraId="4BD5D414"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0.75</w:t>
            </w:r>
          </w:p>
        </w:tc>
      </w:tr>
      <w:tr w:rsidR="007710F7" w:rsidRPr="007710F7" w14:paraId="5D7649F5" w14:textId="77777777" w:rsidTr="0085798A">
        <w:tc>
          <w:tcPr>
            <w:tcW w:w="0" w:type="auto"/>
            <w:shd w:val="clear" w:color="auto" w:fill="FFFFFF" w:themeFill="background1"/>
            <w:tcMar>
              <w:top w:w="120" w:type="dxa"/>
              <w:left w:w="120" w:type="dxa"/>
              <w:bottom w:w="120" w:type="dxa"/>
              <w:right w:w="120" w:type="dxa"/>
            </w:tcMar>
            <w:vAlign w:val="center"/>
            <w:hideMark/>
          </w:tcPr>
          <w:p w14:paraId="5D6D891F"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Constraints</w:t>
            </w:r>
          </w:p>
        </w:tc>
        <w:tc>
          <w:tcPr>
            <w:tcW w:w="0" w:type="auto"/>
            <w:shd w:val="clear" w:color="auto" w:fill="FFFFFF" w:themeFill="background1"/>
            <w:tcMar>
              <w:top w:w="120" w:type="dxa"/>
              <w:left w:w="120" w:type="dxa"/>
              <w:bottom w:w="120" w:type="dxa"/>
              <w:right w:w="120" w:type="dxa"/>
            </w:tcMar>
            <w:vAlign w:val="center"/>
            <w:hideMark/>
          </w:tcPr>
          <w:p w14:paraId="4E32543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0.94</w:t>
            </w:r>
          </w:p>
        </w:tc>
        <w:tc>
          <w:tcPr>
            <w:tcW w:w="0" w:type="auto"/>
            <w:shd w:val="clear" w:color="auto" w:fill="FFFFFF" w:themeFill="background1"/>
            <w:tcMar>
              <w:top w:w="120" w:type="dxa"/>
              <w:left w:w="120" w:type="dxa"/>
              <w:bottom w:w="120" w:type="dxa"/>
              <w:right w:w="120" w:type="dxa"/>
            </w:tcMar>
            <w:vAlign w:val="center"/>
            <w:hideMark/>
          </w:tcPr>
          <w:p w14:paraId="7BD56F4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0.89</w:t>
            </w:r>
          </w:p>
        </w:tc>
        <w:tc>
          <w:tcPr>
            <w:tcW w:w="0" w:type="auto"/>
            <w:shd w:val="clear" w:color="auto" w:fill="FFFFFF" w:themeFill="background1"/>
            <w:tcMar>
              <w:top w:w="120" w:type="dxa"/>
              <w:left w:w="120" w:type="dxa"/>
              <w:bottom w:w="120" w:type="dxa"/>
              <w:right w:w="120" w:type="dxa"/>
            </w:tcMar>
            <w:vAlign w:val="center"/>
            <w:hideMark/>
          </w:tcPr>
          <w:p w14:paraId="461C25C8"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0.86</w:t>
            </w:r>
          </w:p>
        </w:tc>
        <w:tc>
          <w:tcPr>
            <w:tcW w:w="0" w:type="auto"/>
            <w:shd w:val="clear" w:color="auto" w:fill="FFFFFF" w:themeFill="background1"/>
            <w:tcMar>
              <w:top w:w="120" w:type="dxa"/>
              <w:left w:w="120" w:type="dxa"/>
              <w:bottom w:w="120" w:type="dxa"/>
              <w:right w:w="120" w:type="dxa"/>
            </w:tcMar>
            <w:vAlign w:val="center"/>
            <w:hideMark/>
          </w:tcPr>
          <w:p w14:paraId="40E23BB4"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0.71</w:t>
            </w:r>
          </w:p>
        </w:tc>
        <w:tc>
          <w:tcPr>
            <w:tcW w:w="0" w:type="auto"/>
            <w:shd w:val="clear" w:color="auto" w:fill="FFFFFF" w:themeFill="background1"/>
            <w:tcMar>
              <w:top w:w="120" w:type="dxa"/>
              <w:left w:w="120" w:type="dxa"/>
              <w:bottom w:w="120" w:type="dxa"/>
              <w:right w:w="120" w:type="dxa"/>
            </w:tcMar>
            <w:vAlign w:val="center"/>
            <w:hideMark/>
          </w:tcPr>
          <w:p w14:paraId="42193E4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0.85</w:t>
            </w:r>
          </w:p>
        </w:tc>
      </w:tr>
      <w:tr w:rsidR="007710F7" w:rsidRPr="007710F7" w14:paraId="7016A03E" w14:textId="77777777" w:rsidTr="0085798A">
        <w:tc>
          <w:tcPr>
            <w:tcW w:w="0" w:type="auto"/>
            <w:shd w:val="clear" w:color="auto" w:fill="FFFFFF" w:themeFill="background1"/>
            <w:tcMar>
              <w:top w:w="120" w:type="dxa"/>
              <w:left w:w="120" w:type="dxa"/>
              <w:bottom w:w="120" w:type="dxa"/>
              <w:right w:w="120" w:type="dxa"/>
            </w:tcMar>
            <w:vAlign w:val="center"/>
            <w:hideMark/>
          </w:tcPr>
          <w:p w14:paraId="1E002FFF"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Completeness</w:t>
            </w:r>
          </w:p>
        </w:tc>
        <w:tc>
          <w:tcPr>
            <w:tcW w:w="0" w:type="auto"/>
            <w:shd w:val="clear" w:color="auto" w:fill="FFFFFF" w:themeFill="background1"/>
            <w:tcMar>
              <w:top w:w="120" w:type="dxa"/>
              <w:left w:w="120" w:type="dxa"/>
              <w:bottom w:w="120" w:type="dxa"/>
              <w:right w:w="120" w:type="dxa"/>
            </w:tcMar>
            <w:vAlign w:val="center"/>
            <w:hideMark/>
          </w:tcPr>
          <w:p w14:paraId="083E040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0.87</w:t>
            </w:r>
          </w:p>
        </w:tc>
        <w:tc>
          <w:tcPr>
            <w:tcW w:w="0" w:type="auto"/>
            <w:shd w:val="clear" w:color="auto" w:fill="FFFFFF" w:themeFill="background1"/>
            <w:tcMar>
              <w:top w:w="120" w:type="dxa"/>
              <w:left w:w="120" w:type="dxa"/>
              <w:bottom w:w="120" w:type="dxa"/>
              <w:right w:w="120" w:type="dxa"/>
            </w:tcMar>
            <w:vAlign w:val="center"/>
            <w:hideMark/>
          </w:tcPr>
          <w:p w14:paraId="4E2C874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0.91</w:t>
            </w:r>
          </w:p>
        </w:tc>
        <w:tc>
          <w:tcPr>
            <w:tcW w:w="0" w:type="auto"/>
            <w:shd w:val="clear" w:color="auto" w:fill="FFFFFF" w:themeFill="background1"/>
            <w:tcMar>
              <w:top w:w="120" w:type="dxa"/>
              <w:left w:w="120" w:type="dxa"/>
              <w:bottom w:w="120" w:type="dxa"/>
              <w:right w:w="120" w:type="dxa"/>
            </w:tcMar>
            <w:vAlign w:val="center"/>
            <w:hideMark/>
          </w:tcPr>
          <w:p w14:paraId="1D4FBF9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0.88</w:t>
            </w:r>
          </w:p>
        </w:tc>
        <w:tc>
          <w:tcPr>
            <w:tcW w:w="0" w:type="auto"/>
            <w:shd w:val="clear" w:color="auto" w:fill="FFFFFF" w:themeFill="background1"/>
            <w:tcMar>
              <w:top w:w="120" w:type="dxa"/>
              <w:left w:w="120" w:type="dxa"/>
              <w:bottom w:w="120" w:type="dxa"/>
              <w:right w:w="120" w:type="dxa"/>
            </w:tcMar>
            <w:vAlign w:val="center"/>
            <w:hideMark/>
          </w:tcPr>
          <w:p w14:paraId="1775A7D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0.74</w:t>
            </w:r>
          </w:p>
        </w:tc>
        <w:tc>
          <w:tcPr>
            <w:tcW w:w="0" w:type="auto"/>
            <w:shd w:val="clear" w:color="auto" w:fill="FFFFFF" w:themeFill="background1"/>
            <w:tcMar>
              <w:top w:w="120" w:type="dxa"/>
              <w:left w:w="120" w:type="dxa"/>
              <w:bottom w:w="120" w:type="dxa"/>
              <w:right w:w="120" w:type="dxa"/>
            </w:tcMar>
            <w:vAlign w:val="center"/>
            <w:hideMark/>
          </w:tcPr>
          <w:p w14:paraId="17B4045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0.80</w:t>
            </w:r>
          </w:p>
        </w:tc>
      </w:tr>
      <w:tr w:rsidR="007710F7" w:rsidRPr="007710F7" w14:paraId="1E8BFD6B" w14:textId="77777777" w:rsidTr="0085798A">
        <w:tc>
          <w:tcPr>
            <w:tcW w:w="0" w:type="auto"/>
            <w:shd w:val="clear" w:color="auto" w:fill="FFFFFF" w:themeFill="background1"/>
            <w:tcMar>
              <w:top w:w="120" w:type="dxa"/>
              <w:left w:w="120" w:type="dxa"/>
              <w:bottom w:w="120" w:type="dxa"/>
              <w:right w:w="120" w:type="dxa"/>
            </w:tcMar>
            <w:vAlign w:val="center"/>
            <w:hideMark/>
          </w:tcPr>
          <w:p w14:paraId="2F0E5E4A"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Compliance</w:t>
            </w:r>
          </w:p>
        </w:tc>
        <w:tc>
          <w:tcPr>
            <w:tcW w:w="0" w:type="auto"/>
            <w:shd w:val="clear" w:color="auto" w:fill="FFFFFF" w:themeFill="background1"/>
            <w:tcMar>
              <w:top w:w="120" w:type="dxa"/>
              <w:left w:w="120" w:type="dxa"/>
              <w:bottom w:w="120" w:type="dxa"/>
              <w:right w:w="120" w:type="dxa"/>
            </w:tcMar>
            <w:vAlign w:val="center"/>
            <w:hideMark/>
          </w:tcPr>
          <w:p w14:paraId="554408C9"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0.93</w:t>
            </w:r>
          </w:p>
        </w:tc>
        <w:tc>
          <w:tcPr>
            <w:tcW w:w="0" w:type="auto"/>
            <w:shd w:val="clear" w:color="auto" w:fill="FFFFFF" w:themeFill="background1"/>
            <w:tcMar>
              <w:top w:w="120" w:type="dxa"/>
              <w:left w:w="120" w:type="dxa"/>
              <w:bottom w:w="120" w:type="dxa"/>
              <w:right w:w="120" w:type="dxa"/>
            </w:tcMar>
            <w:vAlign w:val="center"/>
            <w:hideMark/>
          </w:tcPr>
          <w:p w14:paraId="2E11E0E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0.92</w:t>
            </w:r>
          </w:p>
        </w:tc>
        <w:tc>
          <w:tcPr>
            <w:tcW w:w="0" w:type="auto"/>
            <w:shd w:val="clear" w:color="auto" w:fill="FFFFFF" w:themeFill="background1"/>
            <w:tcMar>
              <w:top w:w="120" w:type="dxa"/>
              <w:left w:w="120" w:type="dxa"/>
              <w:bottom w:w="120" w:type="dxa"/>
              <w:right w:w="120" w:type="dxa"/>
            </w:tcMar>
            <w:vAlign w:val="center"/>
            <w:hideMark/>
          </w:tcPr>
          <w:p w14:paraId="7EEF097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0.87</w:t>
            </w:r>
          </w:p>
        </w:tc>
        <w:tc>
          <w:tcPr>
            <w:tcW w:w="0" w:type="auto"/>
            <w:shd w:val="clear" w:color="auto" w:fill="FFFFFF" w:themeFill="background1"/>
            <w:tcMar>
              <w:top w:w="120" w:type="dxa"/>
              <w:left w:w="120" w:type="dxa"/>
              <w:bottom w:w="120" w:type="dxa"/>
              <w:right w:w="120" w:type="dxa"/>
            </w:tcMar>
            <w:vAlign w:val="center"/>
            <w:hideMark/>
          </w:tcPr>
          <w:p w14:paraId="334AEF80"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0.83</w:t>
            </w:r>
          </w:p>
        </w:tc>
        <w:tc>
          <w:tcPr>
            <w:tcW w:w="0" w:type="auto"/>
            <w:shd w:val="clear" w:color="auto" w:fill="FFFFFF" w:themeFill="background1"/>
            <w:tcMar>
              <w:top w:w="120" w:type="dxa"/>
              <w:left w:w="120" w:type="dxa"/>
              <w:bottom w:w="120" w:type="dxa"/>
              <w:right w:w="120" w:type="dxa"/>
            </w:tcMar>
            <w:vAlign w:val="center"/>
            <w:hideMark/>
          </w:tcPr>
          <w:p w14:paraId="5CD2D040"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0.85</w:t>
            </w:r>
          </w:p>
        </w:tc>
      </w:tr>
      <w:tr w:rsidR="007710F7" w:rsidRPr="007710F7" w14:paraId="6C4523EE" w14:textId="77777777" w:rsidTr="0085798A">
        <w:tc>
          <w:tcPr>
            <w:tcW w:w="0" w:type="auto"/>
            <w:shd w:val="clear" w:color="auto" w:fill="FFFFFF" w:themeFill="background1"/>
            <w:tcMar>
              <w:top w:w="120" w:type="dxa"/>
              <w:left w:w="120" w:type="dxa"/>
              <w:bottom w:w="120" w:type="dxa"/>
              <w:right w:w="120" w:type="dxa"/>
            </w:tcMar>
            <w:vAlign w:val="center"/>
            <w:hideMark/>
          </w:tcPr>
          <w:p w14:paraId="7B85C75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Comprehension</w:t>
            </w:r>
          </w:p>
        </w:tc>
        <w:tc>
          <w:tcPr>
            <w:tcW w:w="0" w:type="auto"/>
            <w:shd w:val="clear" w:color="auto" w:fill="FFFFFF" w:themeFill="background1"/>
            <w:tcMar>
              <w:top w:w="120" w:type="dxa"/>
              <w:left w:w="120" w:type="dxa"/>
              <w:bottom w:w="120" w:type="dxa"/>
              <w:right w:w="120" w:type="dxa"/>
            </w:tcMar>
            <w:vAlign w:val="center"/>
            <w:hideMark/>
          </w:tcPr>
          <w:p w14:paraId="563E1E4A"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0.78</w:t>
            </w:r>
          </w:p>
        </w:tc>
        <w:tc>
          <w:tcPr>
            <w:tcW w:w="0" w:type="auto"/>
            <w:shd w:val="clear" w:color="auto" w:fill="FFFFFF" w:themeFill="background1"/>
            <w:tcMar>
              <w:top w:w="120" w:type="dxa"/>
              <w:left w:w="120" w:type="dxa"/>
              <w:bottom w:w="120" w:type="dxa"/>
              <w:right w:w="120" w:type="dxa"/>
            </w:tcMar>
            <w:vAlign w:val="center"/>
            <w:hideMark/>
          </w:tcPr>
          <w:p w14:paraId="281CDF1E"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0.74</w:t>
            </w:r>
          </w:p>
        </w:tc>
        <w:tc>
          <w:tcPr>
            <w:tcW w:w="0" w:type="auto"/>
            <w:shd w:val="clear" w:color="auto" w:fill="FFFFFF" w:themeFill="background1"/>
            <w:tcMar>
              <w:top w:w="120" w:type="dxa"/>
              <w:left w:w="120" w:type="dxa"/>
              <w:bottom w:w="120" w:type="dxa"/>
              <w:right w:w="120" w:type="dxa"/>
            </w:tcMar>
            <w:vAlign w:val="center"/>
            <w:hideMark/>
          </w:tcPr>
          <w:p w14:paraId="76A83A64"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0.71</w:t>
            </w:r>
          </w:p>
        </w:tc>
        <w:tc>
          <w:tcPr>
            <w:tcW w:w="0" w:type="auto"/>
            <w:shd w:val="clear" w:color="auto" w:fill="FFFFFF" w:themeFill="background1"/>
            <w:tcMar>
              <w:top w:w="120" w:type="dxa"/>
              <w:left w:w="120" w:type="dxa"/>
              <w:bottom w:w="120" w:type="dxa"/>
              <w:right w:w="120" w:type="dxa"/>
            </w:tcMar>
            <w:vAlign w:val="center"/>
            <w:hideMark/>
          </w:tcPr>
          <w:p w14:paraId="2ED50CE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0.69</w:t>
            </w:r>
          </w:p>
        </w:tc>
        <w:tc>
          <w:tcPr>
            <w:tcW w:w="0" w:type="auto"/>
            <w:shd w:val="clear" w:color="auto" w:fill="FFFFFF" w:themeFill="background1"/>
            <w:tcMar>
              <w:top w:w="120" w:type="dxa"/>
              <w:left w:w="120" w:type="dxa"/>
              <w:bottom w:w="120" w:type="dxa"/>
              <w:right w:w="120" w:type="dxa"/>
            </w:tcMar>
            <w:vAlign w:val="center"/>
            <w:hideMark/>
          </w:tcPr>
          <w:p w14:paraId="3E5C0C00"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0.70</w:t>
            </w:r>
          </w:p>
        </w:tc>
      </w:tr>
      <w:tr w:rsidR="007710F7" w:rsidRPr="007710F7" w14:paraId="267EC354" w14:textId="77777777" w:rsidTr="0085798A">
        <w:tc>
          <w:tcPr>
            <w:tcW w:w="0" w:type="auto"/>
            <w:shd w:val="clear" w:color="auto" w:fill="FFFFFF" w:themeFill="background1"/>
            <w:tcMar>
              <w:top w:w="120" w:type="dxa"/>
              <w:left w:w="120" w:type="dxa"/>
              <w:bottom w:w="120" w:type="dxa"/>
              <w:right w:w="120" w:type="dxa"/>
            </w:tcMar>
            <w:vAlign w:val="center"/>
            <w:hideMark/>
          </w:tcPr>
          <w:p w14:paraId="338049B0"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Consistency</w:t>
            </w:r>
          </w:p>
        </w:tc>
        <w:tc>
          <w:tcPr>
            <w:tcW w:w="0" w:type="auto"/>
            <w:shd w:val="clear" w:color="auto" w:fill="FFFFFF" w:themeFill="background1"/>
            <w:tcMar>
              <w:top w:w="120" w:type="dxa"/>
              <w:left w:w="120" w:type="dxa"/>
              <w:bottom w:w="120" w:type="dxa"/>
              <w:right w:w="120" w:type="dxa"/>
            </w:tcMar>
            <w:vAlign w:val="center"/>
            <w:hideMark/>
          </w:tcPr>
          <w:p w14:paraId="5B97B1E3"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0.89</w:t>
            </w:r>
          </w:p>
        </w:tc>
        <w:tc>
          <w:tcPr>
            <w:tcW w:w="0" w:type="auto"/>
            <w:shd w:val="clear" w:color="auto" w:fill="FFFFFF" w:themeFill="background1"/>
            <w:tcMar>
              <w:top w:w="120" w:type="dxa"/>
              <w:left w:w="120" w:type="dxa"/>
              <w:bottom w:w="120" w:type="dxa"/>
              <w:right w:w="120" w:type="dxa"/>
            </w:tcMar>
            <w:vAlign w:val="center"/>
            <w:hideMark/>
          </w:tcPr>
          <w:p w14:paraId="65904035"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0.84</w:t>
            </w:r>
          </w:p>
        </w:tc>
        <w:tc>
          <w:tcPr>
            <w:tcW w:w="0" w:type="auto"/>
            <w:shd w:val="clear" w:color="auto" w:fill="FFFFFF" w:themeFill="background1"/>
            <w:tcMar>
              <w:top w:w="120" w:type="dxa"/>
              <w:left w:w="120" w:type="dxa"/>
              <w:bottom w:w="120" w:type="dxa"/>
              <w:right w:w="120" w:type="dxa"/>
            </w:tcMar>
            <w:vAlign w:val="center"/>
            <w:hideMark/>
          </w:tcPr>
          <w:p w14:paraId="69FC1CEC"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0.81</w:t>
            </w:r>
          </w:p>
        </w:tc>
        <w:tc>
          <w:tcPr>
            <w:tcW w:w="0" w:type="auto"/>
            <w:shd w:val="clear" w:color="auto" w:fill="FFFFFF" w:themeFill="background1"/>
            <w:tcMar>
              <w:top w:w="120" w:type="dxa"/>
              <w:left w:w="120" w:type="dxa"/>
              <w:bottom w:w="120" w:type="dxa"/>
              <w:right w:w="120" w:type="dxa"/>
            </w:tcMar>
            <w:vAlign w:val="center"/>
            <w:hideMark/>
          </w:tcPr>
          <w:p w14:paraId="07EE8A9D"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0.65</w:t>
            </w:r>
          </w:p>
        </w:tc>
        <w:tc>
          <w:tcPr>
            <w:tcW w:w="0" w:type="auto"/>
            <w:shd w:val="clear" w:color="auto" w:fill="FFFFFF" w:themeFill="background1"/>
            <w:tcMar>
              <w:top w:w="120" w:type="dxa"/>
              <w:left w:w="120" w:type="dxa"/>
              <w:bottom w:w="120" w:type="dxa"/>
              <w:right w:w="120" w:type="dxa"/>
            </w:tcMar>
            <w:vAlign w:val="center"/>
            <w:hideMark/>
          </w:tcPr>
          <w:p w14:paraId="65486CB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0.75</w:t>
            </w:r>
          </w:p>
        </w:tc>
      </w:tr>
      <w:tr w:rsidR="007710F7" w:rsidRPr="007710F7" w14:paraId="438B3F03" w14:textId="77777777" w:rsidTr="0085798A">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68183F1C" w14:textId="77777777" w:rsidR="007710F7" w:rsidRPr="007710F7" w:rsidRDefault="007710F7" w:rsidP="00DC1735">
            <w:pPr>
              <w:spacing w:line="240" w:lineRule="auto"/>
              <w:jc w:val="both"/>
              <w:rPr>
                <w:rFonts w:ascii="Times New Roman" w:hAnsi="Times New Roman" w:cs="Times New Roman"/>
              </w:rPr>
            </w:pPr>
            <w:r w:rsidRPr="007710F7">
              <w:rPr>
                <w:rFonts w:ascii="Times New Roman" w:hAnsi="Times New Roman" w:cs="Times New Roman"/>
              </w:rPr>
              <w:t>Overall Score</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053A0DF6"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8.2/10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1F36425A"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7.8/10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7F9C4212"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7.3/10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289FA267"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5.4/10</w:t>
            </w:r>
          </w:p>
        </w:tc>
        <w:tc>
          <w:tcPr>
            <w:tcW w:w="0" w:type="auto"/>
            <w:tcBorders>
              <w:bottom w:val="single" w:sz="4" w:space="0" w:color="auto"/>
            </w:tcBorders>
            <w:shd w:val="clear" w:color="auto" w:fill="FFFFFF" w:themeFill="background1"/>
            <w:tcMar>
              <w:top w:w="120" w:type="dxa"/>
              <w:left w:w="120" w:type="dxa"/>
              <w:bottom w:w="120" w:type="dxa"/>
              <w:right w:w="120" w:type="dxa"/>
            </w:tcMar>
            <w:vAlign w:val="center"/>
            <w:hideMark/>
          </w:tcPr>
          <w:p w14:paraId="0F26189F" w14:textId="77777777" w:rsidR="007710F7" w:rsidRPr="007710F7" w:rsidRDefault="007710F7" w:rsidP="00A466C5">
            <w:pPr>
              <w:spacing w:line="240" w:lineRule="auto"/>
              <w:jc w:val="center"/>
              <w:rPr>
                <w:rFonts w:ascii="Times New Roman" w:hAnsi="Times New Roman" w:cs="Times New Roman"/>
              </w:rPr>
            </w:pPr>
            <w:r w:rsidRPr="007710F7">
              <w:rPr>
                <w:rFonts w:ascii="Times New Roman" w:hAnsi="Times New Roman" w:cs="Times New Roman"/>
              </w:rPr>
              <w:t>7.0/10</w:t>
            </w:r>
          </w:p>
        </w:tc>
      </w:tr>
    </w:tbl>
    <w:p w14:paraId="1824E4C6" w14:textId="77777777" w:rsidR="00DC1735" w:rsidRDefault="00DC1735" w:rsidP="00DC1735">
      <w:pPr>
        <w:spacing w:before="240" w:line="360" w:lineRule="auto"/>
        <w:jc w:val="both"/>
        <w:rPr>
          <w:rFonts w:ascii="Times New Roman" w:hAnsi="Times New Roman" w:cs="Times New Roman"/>
        </w:rPr>
      </w:pPr>
    </w:p>
    <w:p w14:paraId="1507BEDD" w14:textId="77777777" w:rsidR="00DC1735" w:rsidRDefault="00DC1735" w:rsidP="00DC1735">
      <w:pPr>
        <w:spacing w:before="240" w:line="360" w:lineRule="auto"/>
        <w:jc w:val="both"/>
        <w:rPr>
          <w:rFonts w:ascii="Times New Roman" w:hAnsi="Times New Roman" w:cs="Times New Roman"/>
        </w:rPr>
      </w:pPr>
    </w:p>
    <w:p w14:paraId="46CFC740" w14:textId="77777777" w:rsidR="00DC1735" w:rsidRDefault="00DC1735" w:rsidP="00DC1735">
      <w:pPr>
        <w:spacing w:before="240" w:line="360" w:lineRule="auto"/>
        <w:jc w:val="both"/>
        <w:rPr>
          <w:rFonts w:ascii="Times New Roman" w:hAnsi="Times New Roman" w:cs="Times New Roman"/>
        </w:rPr>
      </w:pPr>
    </w:p>
    <w:p w14:paraId="1A23B7AE" w14:textId="77777777" w:rsidR="003C3DD1" w:rsidRPr="00DC1735" w:rsidRDefault="00DC1735" w:rsidP="003C3DD1">
      <w:pPr>
        <w:spacing w:before="240" w:line="360" w:lineRule="auto"/>
        <w:jc w:val="both"/>
        <w:rPr>
          <w:rFonts w:ascii="Times New Roman" w:hAnsi="Times New Roman" w:cs="Times New Roman"/>
          <w:i/>
          <w:iCs/>
        </w:rPr>
      </w:pPr>
      <w:r w:rsidRPr="00DC1735">
        <w:rPr>
          <w:rFonts w:ascii="Times New Roman" w:hAnsi="Times New Roman" w:cs="Times New Roman"/>
          <w:b/>
          <w:bCs/>
        </w:rPr>
        <w:t xml:space="preserve">Figure </w:t>
      </w:r>
      <w:r>
        <w:rPr>
          <w:rFonts w:ascii="Times New Roman" w:hAnsi="Times New Roman" w:cs="Times New Roman"/>
          <w:b/>
          <w:bCs/>
        </w:rPr>
        <w:t>3</w:t>
      </w:r>
      <w:r w:rsidR="003C3DD1">
        <w:rPr>
          <w:rFonts w:ascii="Times New Roman" w:hAnsi="Times New Roman" w:cs="Times New Roman"/>
          <w:b/>
          <w:bCs/>
        </w:rPr>
        <w:t xml:space="preserve"> </w:t>
      </w:r>
      <w:r w:rsidR="003C3DD1" w:rsidRPr="00DC1735">
        <w:rPr>
          <w:rFonts w:ascii="Times New Roman" w:hAnsi="Times New Roman" w:cs="Times New Roman"/>
          <w:i/>
          <w:iCs/>
        </w:rPr>
        <w:t>Clinical Task Performance Comparison</w:t>
      </w:r>
      <w:r w:rsidR="003C3DD1">
        <w:rPr>
          <w:rFonts w:ascii="Times New Roman" w:hAnsi="Times New Roman" w:cs="Times New Roman"/>
          <w:i/>
          <w:iCs/>
        </w:rPr>
        <w:t>.</w:t>
      </w:r>
    </w:p>
    <w:p w14:paraId="29DFF147" w14:textId="674A5132" w:rsidR="00DC1735" w:rsidRPr="00DC1735" w:rsidRDefault="00DC1735" w:rsidP="00DC1735">
      <w:pPr>
        <w:spacing w:before="240" w:line="360" w:lineRule="auto"/>
        <w:jc w:val="both"/>
        <w:rPr>
          <w:rFonts w:ascii="Times New Roman" w:hAnsi="Times New Roman" w:cs="Times New Roman"/>
          <w:b/>
          <w:bCs/>
        </w:rPr>
      </w:pPr>
    </w:p>
    <w:p w14:paraId="75B1F463"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lastRenderedPageBreak/>
        <w:drawing>
          <wp:inline distT="0" distB="0" distL="0" distR="0" wp14:anchorId="55BD1ED5" wp14:editId="394484FC">
            <wp:extent cx="4588476" cy="2778191"/>
            <wp:effectExtent l="0" t="0" r="3175" b="3175"/>
            <wp:docPr id="610744466" name="Picture 3" descr="A chart with colorful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44466" name="Picture 3" descr="A chart with colorful dots and lines&#10;&#10;AI-generated content may be incorrect."/>
                    <pic:cNvPicPr/>
                  </pic:nvPicPr>
                  <pic:blipFill rotWithShape="1">
                    <a:blip r:embed="rId10" cstate="print">
                      <a:extLst>
                        <a:ext uri="{28A0092B-C50C-407E-A947-70E740481C1C}">
                          <a14:useLocalDpi xmlns:a14="http://schemas.microsoft.com/office/drawing/2010/main" val="0"/>
                        </a:ext>
                      </a:extLst>
                    </a:blip>
                    <a:srcRect t="9180"/>
                    <a:stretch>
                      <a:fillRect/>
                    </a:stretch>
                  </pic:blipFill>
                  <pic:spPr bwMode="auto">
                    <a:xfrm>
                      <a:off x="0" y="0"/>
                      <a:ext cx="4626798" cy="2801394"/>
                    </a:xfrm>
                    <a:prstGeom prst="rect">
                      <a:avLst/>
                    </a:prstGeom>
                    <a:ln>
                      <a:noFill/>
                    </a:ln>
                    <a:extLst>
                      <a:ext uri="{53640926-AAD7-44D8-BBD7-CCE9431645EC}">
                        <a14:shadowObscured xmlns:a14="http://schemas.microsoft.com/office/drawing/2010/main"/>
                      </a:ext>
                    </a:extLst>
                  </pic:spPr>
                </pic:pic>
              </a:graphicData>
            </a:graphic>
          </wp:inline>
        </w:drawing>
      </w:r>
    </w:p>
    <w:p w14:paraId="6DF4B019" w14:textId="77777777" w:rsidR="00F1545E" w:rsidRDefault="007710F7" w:rsidP="007710F7">
      <w:pPr>
        <w:spacing w:line="360" w:lineRule="auto"/>
        <w:jc w:val="both"/>
        <w:rPr>
          <w:rFonts w:ascii="Times New Roman" w:hAnsi="Times New Roman" w:cs="Times New Roman"/>
        </w:rPr>
      </w:pPr>
      <w:r w:rsidRPr="007710F7">
        <w:rPr>
          <w:rFonts w:ascii="Times New Roman" w:hAnsi="Times New Roman" w:cs="Times New Roman"/>
        </w:rPr>
        <w:t>Integration testing affirmed 98.7% compatibility with HL7 FHIR standards, with API responses averaging 156 milliseconds for consent checks and 423 milliseconds for generation tasks. Scalability tests indicated linear handling up to 10,000 users, with memory at 2.3MB per session and storage at 150KB per patient-year.</w:t>
      </w:r>
      <w:r w:rsidR="00DC1735">
        <w:rPr>
          <w:rFonts w:ascii="Times New Roman" w:hAnsi="Times New Roman" w:cs="Times New Roman"/>
        </w:rPr>
        <w:t xml:space="preserve"> </w:t>
      </w:r>
      <w:r w:rsidRPr="007710F7">
        <w:rPr>
          <w:rFonts w:ascii="Times New Roman" w:hAnsi="Times New Roman" w:cs="Times New Roman"/>
        </w:rPr>
        <w:t>Figure 4</w:t>
      </w:r>
      <w:r w:rsidR="00DC1735">
        <w:rPr>
          <w:rFonts w:ascii="Times New Roman" w:hAnsi="Times New Roman" w:cs="Times New Roman"/>
        </w:rPr>
        <w:t xml:space="preserve"> shows the</w:t>
      </w:r>
      <w:r w:rsidRPr="007710F7">
        <w:rPr>
          <w:rFonts w:ascii="Times New Roman" w:hAnsi="Times New Roman" w:cs="Times New Roman"/>
        </w:rPr>
        <w:t xml:space="preserve"> graphs</w:t>
      </w:r>
      <w:r w:rsidR="00DC1735">
        <w:rPr>
          <w:rFonts w:ascii="Times New Roman" w:hAnsi="Times New Roman" w:cs="Times New Roman"/>
        </w:rPr>
        <w:t xml:space="preserve"> of</w:t>
      </w:r>
      <w:r w:rsidRPr="007710F7">
        <w:rPr>
          <w:rFonts w:ascii="Times New Roman" w:hAnsi="Times New Roman" w:cs="Times New Roman"/>
        </w:rPr>
        <w:t xml:space="preserve"> response times against concurrent users, demonstrating minimal degradation.</w:t>
      </w:r>
      <w:r w:rsidR="00F1545E">
        <w:rPr>
          <w:rFonts w:ascii="Times New Roman" w:hAnsi="Times New Roman" w:cs="Times New Roman"/>
        </w:rPr>
        <w:t xml:space="preserve"> Figure 5</w:t>
      </w:r>
      <w:r w:rsidR="00F1545E" w:rsidRPr="007710F7">
        <w:rPr>
          <w:rFonts w:ascii="Times New Roman" w:hAnsi="Times New Roman" w:cs="Times New Roman"/>
        </w:rPr>
        <w:t xml:space="preserve"> visualizes membership inference success rates in a line graph, declining sharply with stronger privacy parameters.</w:t>
      </w:r>
    </w:p>
    <w:p w14:paraId="5EE0AF6D" w14:textId="3E6FE4C5" w:rsidR="003C3DD1" w:rsidRPr="00C11560" w:rsidRDefault="00DC1735" w:rsidP="003C3DD1">
      <w:pPr>
        <w:spacing w:line="360" w:lineRule="auto"/>
        <w:jc w:val="both"/>
        <w:rPr>
          <w:rFonts w:ascii="Times New Roman" w:hAnsi="Times New Roman" w:cs="Times New Roman"/>
          <w:i/>
          <w:iCs/>
        </w:rPr>
      </w:pPr>
      <w:r w:rsidRPr="00DC1735">
        <w:rPr>
          <w:rFonts w:ascii="Times New Roman" w:hAnsi="Times New Roman" w:cs="Times New Roman"/>
          <w:b/>
          <w:bCs/>
        </w:rPr>
        <w:t>Figure 4</w:t>
      </w:r>
      <w:r w:rsidR="003C3DD1" w:rsidRPr="003C3DD1">
        <w:rPr>
          <w:rFonts w:ascii="Times New Roman" w:hAnsi="Times New Roman" w:cs="Times New Roman"/>
          <w:i/>
          <w:iCs/>
        </w:rPr>
        <w:t xml:space="preserve"> </w:t>
      </w:r>
      <w:r w:rsidR="003C3DD1" w:rsidRPr="00C11560">
        <w:rPr>
          <w:rFonts w:ascii="Times New Roman" w:hAnsi="Times New Roman" w:cs="Times New Roman"/>
          <w:i/>
          <w:iCs/>
        </w:rPr>
        <w:t>System Scalability Performance</w:t>
      </w:r>
      <w:r w:rsidR="003C3DD1">
        <w:rPr>
          <w:rFonts w:ascii="Times New Roman" w:hAnsi="Times New Roman" w:cs="Times New Roman"/>
          <w:i/>
          <w:iCs/>
        </w:rPr>
        <w:t>.</w:t>
      </w:r>
    </w:p>
    <w:p w14:paraId="1F4E4244" w14:textId="6CB6DE02" w:rsidR="00DC1735" w:rsidRPr="00F1545E" w:rsidRDefault="00DC1735" w:rsidP="007710F7">
      <w:pPr>
        <w:spacing w:line="360" w:lineRule="auto"/>
        <w:jc w:val="both"/>
        <w:rPr>
          <w:rFonts w:ascii="Times New Roman" w:hAnsi="Times New Roman" w:cs="Times New Roman"/>
        </w:rPr>
      </w:pPr>
    </w:p>
    <w:p w14:paraId="5F340982"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drawing>
          <wp:inline distT="0" distB="0" distL="0" distR="0" wp14:anchorId="75052332" wp14:editId="23359390">
            <wp:extent cx="4530811" cy="2715279"/>
            <wp:effectExtent l="0" t="0" r="3175" b="8890"/>
            <wp:docPr id="1645935929" name="Picture 4" descr="A graph of a system scalability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35929" name="Picture 4" descr="A graph of a system scalability performance&#10;&#10;AI-generated content may be incorrect."/>
                    <pic:cNvPicPr/>
                  </pic:nvPicPr>
                  <pic:blipFill rotWithShape="1">
                    <a:blip r:embed="rId11" cstate="print">
                      <a:extLst>
                        <a:ext uri="{28A0092B-C50C-407E-A947-70E740481C1C}">
                          <a14:useLocalDpi xmlns:a14="http://schemas.microsoft.com/office/drawing/2010/main" val="0"/>
                        </a:ext>
                      </a:extLst>
                    </a:blip>
                    <a:srcRect t="10106"/>
                    <a:stretch>
                      <a:fillRect/>
                    </a:stretch>
                  </pic:blipFill>
                  <pic:spPr bwMode="auto">
                    <a:xfrm>
                      <a:off x="0" y="0"/>
                      <a:ext cx="4577482" cy="2743248"/>
                    </a:xfrm>
                    <a:prstGeom prst="rect">
                      <a:avLst/>
                    </a:prstGeom>
                    <a:ln>
                      <a:noFill/>
                    </a:ln>
                    <a:extLst>
                      <a:ext uri="{53640926-AAD7-44D8-BBD7-CCE9431645EC}">
                        <a14:shadowObscured xmlns:a14="http://schemas.microsoft.com/office/drawing/2010/main"/>
                      </a:ext>
                    </a:extLst>
                  </pic:spPr>
                </pic:pic>
              </a:graphicData>
            </a:graphic>
          </wp:inline>
        </w:drawing>
      </w:r>
    </w:p>
    <w:p w14:paraId="538687B5" w14:textId="77777777" w:rsidR="003C3DD1" w:rsidRPr="00F1545E" w:rsidRDefault="00F1545E" w:rsidP="003C3DD1">
      <w:pPr>
        <w:spacing w:line="360" w:lineRule="auto"/>
        <w:jc w:val="both"/>
        <w:rPr>
          <w:rFonts w:ascii="Times New Roman" w:hAnsi="Times New Roman" w:cs="Times New Roman"/>
          <w:i/>
          <w:iCs/>
        </w:rPr>
      </w:pPr>
      <w:r w:rsidRPr="00F1545E">
        <w:rPr>
          <w:rFonts w:ascii="Times New Roman" w:hAnsi="Times New Roman" w:cs="Times New Roman"/>
          <w:b/>
          <w:bCs/>
        </w:rPr>
        <w:lastRenderedPageBreak/>
        <w:t>Figure 5</w:t>
      </w:r>
      <w:r w:rsidR="003C3DD1">
        <w:rPr>
          <w:rFonts w:ascii="Times New Roman" w:hAnsi="Times New Roman" w:cs="Times New Roman"/>
          <w:b/>
          <w:bCs/>
        </w:rPr>
        <w:t xml:space="preserve"> </w:t>
      </w:r>
      <w:r w:rsidR="003C3DD1" w:rsidRPr="00F1545E">
        <w:rPr>
          <w:rFonts w:ascii="Times New Roman" w:hAnsi="Times New Roman" w:cs="Times New Roman"/>
          <w:i/>
          <w:iCs/>
        </w:rPr>
        <w:t>MIA Attack Success Rates Across Different Privacy Configurations</w:t>
      </w:r>
      <w:r w:rsidR="003C3DD1">
        <w:rPr>
          <w:rFonts w:ascii="Times New Roman" w:hAnsi="Times New Roman" w:cs="Times New Roman"/>
          <w:i/>
          <w:iCs/>
        </w:rPr>
        <w:t>.</w:t>
      </w:r>
    </w:p>
    <w:p w14:paraId="6E05D746" w14:textId="6B1104BE" w:rsidR="00F1545E" w:rsidRPr="00F1545E" w:rsidRDefault="00F1545E" w:rsidP="007710F7">
      <w:pPr>
        <w:spacing w:line="360" w:lineRule="auto"/>
        <w:jc w:val="both"/>
        <w:rPr>
          <w:rFonts w:ascii="Times New Roman" w:hAnsi="Times New Roman" w:cs="Times New Roman"/>
          <w:b/>
          <w:bCs/>
        </w:rPr>
      </w:pPr>
    </w:p>
    <w:p w14:paraId="5292C1FD"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noProof/>
        </w:rPr>
        <w:drawing>
          <wp:inline distT="0" distB="0" distL="0" distR="0" wp14:anchorId="45C9C157" wp14:editId="680B00F8">
            <wp:extent cx="4619615" cy="2807953"/>
            <wp:effectExtent l="0" t="0" r="0" b="0"/>
            <wp:docPr id="951614401" name="Picture 5"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14401" name="Picture 5" descr="A graph of different colored lines&#10;&#10;AI-generated content may be incorrect."/>
                    <pic:cNvPicPr/>
                  </pic:nvPicPr>
                  <pic:blipFill rotWithShape="1">
                    <a:blip r:embed="rId12" cstate="print">
                      <a:extLst>
                        <a:ext uri="{28A0092B-C50C-407E-A947-70E740481C1C}">
                          <a14:useLocalDpi xmlns:a14="http://schemas.microsoft.com/office/drawing/2010/main" val="0"/>
                        </a:ext>
                      </a:extLst>
                    </a:blip>
                    <a:srcRect t="8826"/>
                    <a:stretch>
                      <a:fillRect/>
                    </a:stretch>
                  </pic:blipFill>
                  <pic:spPr bwMode="auto">
                    <a:xfrm>
                      <a:off x="0" y="0"/>
                      <a:ext cx="4630522" cy="2814582"/>
                    </a:xfrm>
                    <a:prstGeom prst="rect">
                      <a:avLst/>
                    </a:prstGeom>
                    <a:ln>
                      <a:noFill/>
                    </a:ln>
                    <a:extLst>
                      <a:ext uri="{53640926-AAD7-44D8-BBD7-CCE9431645EC}">
                        <a14:shadowObscured xmlns:a14="http://schemas.microsoft.com/office/drawing/2010/main"/>
                      </a:ext>
                    </a:extLst>
                  </pic:spPr>
                </pic:pic>
              </a:graphicData>
            </a:graphic>
          </wp:inline>
        </w:drawing>
      </w:r>
    </w:p>
    <w:p w14:paraId="6328DD87"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Discussion</w:t>
      </w:r>
    </w:p>
    <w:p w14:paraId="31C75CFC" w14:textId="2850F646" w:rsidR="007710F7" w:rsidRPr="007E171F" w:rsidRDefault="007710F7" w:rsidP="007710F7">
      <w:pPr>
        <w:spacing w:line="360" w:lineRule="auto"/>
        <w:jc w:val="both"/>
        <w:rPr>
          <w:rFonts w:ascii="Times New Roman" w:hAnsi="Times New Roman" w:cs="Times New Roman"/>
        </w:rPr>
      </w:pPr>
      <w:r w:rsidRPr="007E171F">
        <w:rPr>
          <w:rFonts w:ascii="Times New Roman" w:hAnsi="Times New Roman" w:cs="Times New Roman"/>
        </w:rPr>
        <w:t xml:space="preserve">The dynamic consent framework’s performance metrics highlight its transformative potential in advancing patient-centric governance for healthcare AI. Low latency and high throughput enable smooth integration into research workflows, supporting real-time adaptability in alignment with findings from blockchain-enhanced consent systems </w:t>
      </w:r>
      <w:r w:rsidR="00B85B7A" w:rsidRPr="001656BB">
        <w:rPr>
          <w:rFonts w:ascii="Times New Roman" w:hAnsi="Times New Roman" w:cs="Times New Roman"/>
        </w:rPr>
        <w:t>(Charles et al., 2023)</w:t>
      </w:r>
      <w:r w:rsidRPr="007E171F">
        <w:rPr>
          <w:rFonts w:ascii="Times New Roman" w:hAnsi="Times New Roman" w:cs="Times New Roman"/>
        </w:rPr>
        <w:t>. High usability scores further affirm its human-centered design, where granular consent controls enhance participant satisfaction by allowing individualized data-sharing preferences. However, variations in consent participation across demographics reveal persistent digital divides, mirroring studies that document age-related disparities in health data-sharing willingness (Muller et al., 2023). The framework’s robust security against cyberattacks validates blockchain’s immutability, reinforcing ethical imperatives of data integrity and transparency in biomedical research. This aligns with dynamic consent platforms emphasizing immutable audit trails for regulatory accountability</w:t>
      </w:r>
      <w:r w:rsidR="00B85B7A">
        <w:rPr>
          <w:rFonts w:ascii="Times New Roman" w:hAnsi="Times New Roman" w:cs="Times New Roman"/>
        </w:rPr>
        <w:t xml:space="preserve"> </w:t>
      </w:r>
      <w:r w:rsidR="00B85B7A" w:rsidRPr="00DA6272">
        <w:rPr>
          <w:rFonts w:ascii="Times New Roman" w:hAnsi="Times New Roman" w:cs="Times New Roman"/>
        </w:rPr>
        <w:t>(Xiong et al., 2024</w:t>
      </w:r>
      <w:r w:rsidR="00D25CDA">
        <w:rPr>
          <w:rFonts w:ascii="Times New Roman" w:hAnsi="Times New Roman" w:cs="Times New Roman"/>
        </w:rPr>
        <w:t xml:space="preserve">; </w:t>
      </w:r>
      <w:r w:rsidR="00D25CDA" w:rsidRPr="00475048">
        <w:rPr>
          <w:rFonts w:ascii="Times New Roman" w:hAnsi="Times New Roman" w:cs="Times New Roman"/>
        </w:rPr>
        <w:t>Ogunmolu</w:t>
      </w:r>
      <w:r w:rsidR="00D25CDA">
        <w:rPr>
          <w:rFonts w:ascii="Times New Roman" w:hAnsi="Times New Roman" w:cs="Times New Roman"/>
        </w:rPr>
        <w:t>, 2025</w:t>
      </w:r>
      <w:r w:rsidR="00B85B7A" w:rsidRPr="00DA6272">
        <w:rPr>
          <w:rFonts w:ascii="Times New Roman" w:hAnsi="Times New Roman" w:cs="Times New Roman"/>
        </w:rPr>
        <w:t>)</w:t>
      </w:r>
      <w:r w:rsidRPr="007E171F">
        <w:rPr>
          <w:rFonts w:ascii="Times New Roman" w:hAnsi="Times New Roman" w:cs="Times New Roman"/>
        </w:rPr>
        <w:t>.</w:t>
      </w:r>
    </w:p>
    <w:p w14:paraId="4846FA53" w14:textId="65AEE7FB" w:rsidR="007710F7" w:rsidRPr="007E171F" w:rsidRDefault="007710F7" w:rsidP="007710F7">
      <w:pPr>
        <w:spacing w:line="360" w:lineRule="auto"/>
        <w:jc w:val="both"/>
        <w:rPr>
          <w:rFonts w:ascii="Times New Roman" w:hAnsi="Times New Roman" w:cs="Times New Roman"/>
        </w:rPr>
      </w:pPr>
      <w:r w:rsidRPr="007E171F">
        <w:rPr>
          <w:rFonts w:ascii="Times New Roman" w:hAnsi="Times New Roman" w:cs="Times New Roman"/>
        </w:rPr>
        <w:t xml:space="preserve">Synthetic data generation results demonstrate the efficacy of integrating differential privacy, with an optimal epsilon value of 1.0 yielding 87.3% utility retention under moderate privacy risks. This balance supports theoretical assertions that calibrated noise preserves healthcare data’s statistical </w:t>
      </w:r>
      <w:r w:rsidRPr="007E171F">
        <w:rPr>
          <w:rFonts w:ascii="Times New Roman" w:hAnsi="Times New Roman" w:cs="Times New Roman"/>
        </w:rPr>
        <w:lastRenderedPageBreak/>
        <w:t xml:space="preserve">validity while preventing re-identification </w:t>
      </w:r>
      <w:r w:rsidR="00B85B7A" w:rsidRPr="00DA6272">
        <w:rPr>
          <w:rFonts w:ascii="Times New Roman" w:hAnsi="Times New Roman" w:cs="Times New Roman"/>
        </w:rPr>
        <w:t>(Rao et al., 2025)</w:t>
      </w:r>
      <w:r w:rsidRPr="007E171F">
        <w:rPr>
          <w:rFonts w:ascii="Times New Roman" w:hAnsi="Times New Roman" w:cs="Times New Roman"/>
        </w:rPr>
        <w:t xml:space="preserve">. HealthGAN’s low divergence underscores domain-optimized architectures outperforming generic generators, consistent with reviews highlighting the importance of high-fidelity simulations for electronic health records </w:t>
      </w:r>
      <w:r w:rsidR="00996B70" w:rsidRPr="00F44290">
        <w:rPr>
          <w:rFonts w:ascii="Times New Roman" w:hAnsi="Times New Roman" w:cs="Times New Roman"/>
        </w:rPr>
        <w:t>(Rujas et al., 2024)</w:t>
      </w:r>
      <w:r w:rsidRPr="007E171F">
        <w:rPr>
          <w:rFonts w:ascii="Times New Roman" w:hAnsi="Times New Roman" w:cs="Times New Roman"/>
        </w:rPr>
        <w:t>. Furthermore, near-random resilience to membership inference attacks confirms privacy robustness, echoing prior work on hybrid protection mechanisms for mitigating overfitting in synthetic datasets (Breugel et al., 2023).</w:t>
      </w:r>
    </w:p>
    <w:p w14:paraId="65FE26A1" w14:textId="7EEA97BE" w:rsidR="007710F7" w:rsidRPr="007E171F" w:rsidRDefault="007710F7" w:rsidP="007710F7">
      <w:pPr>
        <w:spacing w:line="360" w:lineRule="auto"/>
        <w:jc w:val="both"/>
        <w:rPr>
          <w:rFonts w:ascii="Times New Roman" w:hAnsi="Times New Roman" w:cs="Times New Roman"/>
        </w:rPr>
      </w:pPr>
      <w:r w:rsidRPr="007E171F">
        <w:rPr>
          <w:rFonts w:ascii="Times New Roman" w:hAnsi="Times New Roman" w:cs="Times New Roman"/>
        </w:rPr>
        <w:t xml:space="preserve">Bias mitigation results indicate a 65% reduction in parity violations, demonstrating the superiority of proactive data-level interventions over post-hoc bias correction. These outcomes support systematic reviews advocating preemptive fairness strategies to tackle systemic inequities in healthcare AI (Sasseville et al., 2025). Enhanced representation of minority and rare disease cohorts further reduces historical under-sampling, improving diagnostic fairness in line with studies on generative AI for equitable population modeling </w:t>
      </w:r>
      <w:r w:rsidR="00B85B7A" w:rsidRPr="001656BB">
        <w:rPr>
          <w:rFonts w:ascii="Times New Roman" w:hAnsi="Times New Roman" w:cs="Times New Roman"/>
        </w:rPr>
        <w:t>(Marchesi et al., 2025)</w:t>
      </w:r>
      <w:r w:rsidRPr="007E171F">
        <w:rPr>
          <w:rFonts w:ascii="Times New Roman" w:hAnsi="Times New Roman" w:cs="Times New Roman"/>
        </w:rPr>
        <w:t xml:space="preserve">. Nonetheless, variable effectiveness across demographic attributes reflects persistent intersectional biases, necessitating targeted algorithmic refinement </w:t>
      </w:r>
      <w:r w:rsidR="00996B70" w:rsidRPr="0053397E">
        <w:rPr>
          <w:rFonts w:ascii="Times New Roman" w:hAnsi="Times New Roman" w:cs="Times New Roman"/>
        </w:rPr>
        <w:t>(Mackin et al., 2025)</w:t>
      </w:r>
      <w:r w:rsidRPr="007E171F">
        <w:rPr>
          <w:rFonts w:ascii="Times New Roman" w:hAnsi="Times New Roman" w:cs="Times New Roman"/>
        </w:rPr>
        <w:t>.</w:t>
      </w:r>
    </w:p>
    <w:p w14:paraId="621CDE94" w14:textId="6BE32546" w:rsidR="007710F7" w:rsidRPr="007E171F" w:rsidRDefault="007710F7" w:rsidP="007710F7">
      <w:pPr>
        <w:spacing w:line="360" w:lineRule="auto"/>
        <w:jc w:val="both"/>
        <w:rPr>
          <w:rFonts w:ascii="Times New Roman" w:hAnsi="Times New Roman" w:cs="Times New Roman"/>
        </w:rPr>
      </w:pPr>
      <w:r w:rsidRPr="007E171F">
        <w:rPr>
          <w:rFonts w:ascii="Times New Roman" w:hAnsi="Times New Roman" w:cs="Times New Roman"/>
        </w:rPr>
        <w:t xml:space="preserve">Quality validation through a seven-criteria framework confirms advanced models’ research suitability, paralleling contemporary scorecards emphasizing multidimensional evaluations for clinical relevance (Zamzmi et al., 2025). Retained downstream diagnostic performance validates synthetic data’s practical utility, correlating fidelity with predictive accuracy (El-Sappagh et al., 2022). Moreover, scalability and FHIR compatibility support real-world deployment, reflecting the modular architectures of federated, privacy-preserving healthcare systems </w:t>
      </w:r>
      <w:r w:rsidR="00996B70" w:rsidRPr="00F44290">
        <w:rPr>
          <w:rFonts w:ascii="Times New Roman" w:hAnsi="Times New Roman" w:cs="Times New Roman"/>
        </w:rPr>
        <w:t>(Afreen et al., 2025)</w:t>
      </w:r>
      <w:r w:rsidRPr="007E171F">
        <w:rPr>
          <w:rFonts w:ascii="Times New Roman" w:hAnsi="Times New Roman" w:cs="Times New Roman"/>
        </w:rPr>
        <w:t>.</w:t>
      </w:r>
      <w:r w:rsidR="00996B70">
        <w:rPr>
          <w:rFonts w:ascii="Times New Roman" w:hAnsi="Times New Roman" w:cs="Times New Roman"/>
        </w:rPr>
        <w:t xml:space="preserve"> </w:t>
      </w:r>
      <w:r w:rsidRPr="007E171F">
        <w:rPr>
          <w:rFonts w:ascii="Times New Roman" w:hAnsi="Times New Roman" w:cs="Times New Roman"/>
        </w:rPr>
        <w:t>These outcomes align with GDPR and HIPAA mandates, reinforcing transparent, ethical AI governance while highlighting inclusion challenges for less digitally literate groups, necessitating equitable design strategies (</w:t>
      </w:r>
      <w:r w:rsidR="00996B70" w:rsidRPr="0053397E">
        <w:rPr>
          <w:rFonts w:ascii="Times New Roman" w:hAnsi="Times New Roman" w:cs="Times New Roman"/>
        </w:rPr>
        <w:t>Maja</w:t>
      </w:r>
      <w:r w:rsidR="00996B70" w:rsidRPr="007E171F">
        <w:rPr>
          <w:rFonts w:ascii="Times New Roman" w:hAnsi="Times New Roman" w:cs="Times New Roman"/>
        </w:rPr>
        <w:t xml:space="preserve"> </w:t>
      </w:r>
      <w:r w:rsidRPr="007E171F">
        <w:rPr>
          <w:rFonts w:ascii="Times New Roman" w:hAnsi="Times New Roman" w:cs="Times New Roman"/>
        </w:rPr>
        <w:t xml:space="preserve">Nisevic et al., 2025; </w:t>
      </w:r>
      <w:r w:rsidR="00B85B7A" w:rsidRPr="00DA6272">
        <w:rPr>
          <w:rFonts w:ascii="Times New Roman" w:hAnsi="Times New Roman" w:cs="Times New Roman"/>
        </w:rPr>
        <w:t>Lay et al., 2024)</w:t>
      </w:r>
      <w:r w:rsidRPr="007E171F">
        <w:rPr>
          <w:rFonts w:ascii="Times New Roman" w:hAnsi="Times New Roman" w:cs="Times New Roman"/>
        </w:rPr>
        <w:t>.</w:t>
      </w:r>
    </w:p>
    <w:p w14:paraId="5AF65784" w14:textId="47157F3D" w:rsidR="00293FBA" w:rsidRPr="00293FBA" w:rsidRDefault="00293FBA" w:rsidP="00293FBA">
      <w:pPr>
        <w:spacing w:line="360" w:lineRule="auto"/>
        <w:jc w:val="both"/>
        <w:rPr>
          <w:rFonts w:ascii="Times New Roman" w:hAnsi="Times New Roman" w:cs="Times New Roman"/>
        </w:rPr>
      </w:pPr>
      <w:r w:rsidRPr="00293FBA">
        <w:rPr>
          <w:rFonts w:ascii="Times New Roman" w:hAnsi="Times New Roman" w:cs="Times New Roman"/>
          <w:b/>
          <w:bCs/>
        </w:rPr>
        <w:t>Limitations</w:t>
      </w:r>
      <w:r w:rsidRPr="00293FBA">
        <w:rPr>
          <w:rFonts w:ascii="Times New Roman" w:hAnsi="Times New Roman" w:cs="Times New Roman"/>
          <w:b/>
          <w:bCs/>
        </w:rPr>
        <w:br/>
      </w:r>
      <w:r>
        <w:rPr>
          <w:rFonts w:ascii="Times New Roman" w:hAnsi="Times New Roman" w:cs="Times New Roman"/>
        </w:rPr>
        <w:t>The l</w:t>
      </w:r>
      <w:r w:rsidRPr="00293FBA">
        <w:rPr>
          <w:rFonts w:ascii="Times New Roman" w:hAnsi="Times New Roman" w:cs="Times New Roman"/>
        </w:rPr>
        <w:t xml:space="preserve">imitation of this research include reliance on simulated environments and public datasets, which may not fully capture real-time institutional complexities or diverse cultural consent preferences, potentially overestimating framework robustness in varied global healthcare settings. Additionally, the generalizability of synthetic data to real-world clinical contexts remains constrained, as generated datasets may not fully replicate nuanced patient behaviors, evolving </w:t>
      </w:r>
      <w:r w:rsidRPr="00293FBA">
        <w:rPr>
          <w:rFonts w:ascii="Times New Roman" w:hAnsi="Times New Roman" w:cs="Times New Roman"/>
        </w:rPr>
        <w:lastRenderedPageBreak/>
        <w:t>clinical practices, or context-specific decision-making patterns observed in live healthcare environments.</w:t>
      </w:r>
    </w:p>
    <w:p w14:paraId="1E03D177"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Future considerations</w:t>
      </w:r>
    </w:p>
    <w:p w14:paraId="138783DF"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Future considerations involve extending the framework to incorporate federated learning for cross-border collaborations and developing adaptive interfaces for low-literacy users, paving the way for longitudinal studies on long-term bias evolution in synthetic data-driven AI.</w:t>
      </w:r>
    </w:p>
    <w:p w14:paraId="6C25E426" w14:textId="77777777" w:rsidR="007710F7" w:rsidRPr="007710F7" w:rsidRDefault="007710F7" w:rsidP="007710F7">
      <w:pPr>
        <w:spacing w:line="360" w:lineRule="auto"/>
        <w:jc w:val="both"/>
        <w:rPr>
          <w:rFonts w:ascii="Times New Roman" w:hAnsi="Times New Roman" w:cs="Times New Roman"/>
        </w:rPr>
      </w:pPr>
    </w:p>
    <w:p w14:paraId="3D421CCE"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5.</w:t>
      </w:r>
      <w:r w:rsidRPr="007710F7">
        <w:rPr>
          <w:rFonts w:ascii="Times New Roman" w:hAnsi="Times New Roman" w:cs="Times New Roman"/>
          <w:b/>
          <w:bCs/>
        </w:rPr>
        <w:tab/>
        <w:t>Conclusions and Recommendations</w:t>
      </w:r>
    </w:p>
    <w:p w14:paraId="2C57DFE2" w14:textId="77777777" w:rsidR="007710F7" w:rsidRPr="007710F7" w:rsidRDefault="007710F7" w:rsidP="007710F7">
      <w:pPr>
        <w:spacing w:line="360" w:lineRule="auto"/>
        <w:jc w:val="both"/>
        <w:rPr>
          <w:rFonts w:ascii="Times New Roman" w:hAnsi="Times New Roman" w:cs="Times New Roman"/>
          <w:b/>
          <w:bCs/>
        </w:rPr>
      </w:pPr>
      <w:r w:rsidRPr="007710F7">
        <w:rPr>
          <w:rFonts w:ascii="Times New Roman" w:hAnsi="Times New Roman" w:cs="Times New Roman"/>
          <w:b/>
          <w:bCs/>
        </w:rPr>
        <w:t>Conclusions</w:t>
      </w:r>
    </w:p>
    <w:p w14:paraId="42349ACC" w14:textId="77777777" w:rsidR="007710F7" w:rsidRPr="007710F7" w:rsidRDefault="007710F7" w:rsidP="007710F7">
      <w:pPr>
        <w:spacing w:line="360" w:lineRule="auto"/>
        <w:jc w:val="both"/>
        <w:rPr>
          <w:rFonts w:ascii="Times New Roman" w:hAnsi="Times New Roman" w:cs="Times New Roman"/>
        </w:rPr>
      </w:pPr>
      <w:r w:rsidRPr="007710F7">
        <w:rPr>
          <w:rFonts w:ascii="Times New Roman" w:hAnsi="Times New Roman" w:cs="Times New Roman"/>
        </w:rPr>
        <w:t>This study developed an integrated information governance framework for AI-generated synthetic patient data in healthcare research, effectively addressing the design and validation of a dynamic consent system, privacy-preserving data generation, and standardized evaluation protocols. The blockchain-based consent system achieved 73% lower latency and 146% higher throughput than traditional models, with an 83.9 usability score. Differential privacy integration balanced 87.3% utility retention at ε=1.0, while bias mitigation reduced demographic parity violations by 65%. Despite robust results, challenges include interface complexity for low-literacy users and potential scalability constraints in real-time clinical settings, necessitating further optimization.</w:t>
      </w:r>
    </w:p>
    <w:p w14:paraId="563EAB65" w14:textId="7967A4ED" w:rsidR="007710F7" w:rsidRPr="00144AC2" w:rsidRDefault="00144AC2" w:rsidP="007710F7">
      <w:pPr>
        <w:spacing w:line="360" w:lineRule="auto"/>
        <w:jc w:val="both"/>
        <w:rPr>
          <w:rFonts w:ascii="Times New Roman" w:hAnsi="Times New Roman" w:cs="Times New Roman"/>
        </w:rPr>
      </w:pPr>
      <w:r w:rsidRPr="00144AC2">
        <w:rPr>
          <w:rFonts w:ascii="Times New Roman" w:hAnsi="Times New Roman" w:cs="Times New Roman"/>
          <w:b/>
          <w:bCs/>
        </w:rPr>
        <w:t>Recommendations</w:t>
      </w:r>
      <w:r w:rsidRPr="00144AC2">
        <w:rPr>
          <w:rFonts w:ascii="Times New Roman" w:hAnsi="Times New Roman" w:cs="Times New Roman"/>
          <w:b/>
          <w:bCs/>
        </w:rPr>
        <w:br/>
      </w:r>
      <w:r w:rsidRPr="00144AC2">
        <w:rPr>
          <w:rFonts w:ascii="Times New Roman" w:hAnsi="Times New Roman" w:cs="Times New Roman"/>
        </w:rPr>
        <w:t xml:space="preserve">Future research should develop adaptive interfaces to enhance accessibility for diverse patient populations, particularly those with limited health literacy. Integrating federated learning can strengthen cross-institutional data collaboration and address global regulatory variations. Real-world pilot deployments in healthcare settings are recommended to validate scalability, operational efficiency, and cost-effectiveness. Collaborative initiatives among academia, healthcare providers, and regulators should establish standardized metrics for synthetic data fairness, privacy, and economic sustainability. Additionally, exploring adaptive algorithms that evolve with emerging privacy threats and cultural contexts will ensure sustained governance efficacy. Finally, embedding this framework within existing digital health policies and regulatory roadmaps could accelerate </w:t>
      </w:r>
      <w:r w:rsidRPr="00144AC2">
        <w:rPr>
          <w:rFonts w:ascii="Times New Roman" w:hAnsi="Times New Roman" w:cs="Times New Roman"/>
        </w:rPr>
        <w:lastRenderedPageBreak/>
        <w:t>policy adoption, enabling a balanced, cost-efficient, and equitable approach to AI-driven healthcare research.</w:t>
      </w:r>
    </w:p>
    <w:p w14:paraId="6FC86A22" w14:textId="77777777" w:rsidR="00F1545E" w:rsidRDefault="00F1545E" w:rsidP="007710F7">
      <w:pPr>
        <w:spacing w:line="360" w:lineRule="auto"/>
        <w:jc w:val="both"/>
        <w:rPr>
          <w:rFonts w:ascii="Times New Roman" w:hAnsi="Times New Roman" w:cs="Times New Roman"/>
        </w:rPr>
      </w:pPr>
    </w:p>
    <w:p w14:paraId="424AF77D" w14:textId="77777777" w:rsidR="00F1545E" w:rsidRDefault="00F1545E" w:rsidP="00F1545E">
      <w:pPr>
        <w:rPr>
          <w:rFonts w:ascii="Times New Roman" w:hAnsi="Times New Roman" w:cs="Times New Roman"/>
        </w:rPr>
      </w:pPr>
      <w:r>
        <w:rPr>
          <w:rFonts w:ascii="Times New Roman" w:hAnsi="Times New Roman" w:cs="Times New Roman"/>
        </w:rPr>
        <w:t>Disclaimer (Artificial intelligence)</w:t>
      </w:r>
    </w:p>
    <w:p w14:paraId="51055EF9" w14:textId="77777777" w:rsidR="00F1545E" w:rsidRDefault="00F1545E" w:rsidP="00F1545E">
      <w:pPr>
        <w:rPr>
          <w:rFonts w:ascii="Times New Roman" w:hAnsi="Times New Roman" w:cs="Times New Roman"/>
        </w:rPr>
      </w:pPr>
    </w:p>
    <w:p w14:paraId="56194F79" w14:textId="77777777" w:rsidR="00F1545E" w:rsidRDefault="00F1545E" w:rsidP="00F1545E">
      <w:pPr>
        <w:spacing w:line="360" w:lineRule="auto"/>
        <w:jc w:val="both"/>
        <w:rPr>
          <w:rFonts w:ascii="Times New Roman" w:hAnsi="Times New Roman" w:cs="Times New Roman"/>
        </w:rPr>
      </w:pPr>
      <w:r>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1B302FC3" w14:textId="77777777" w:rsidR="00333980" w:rsidRDefault="00333980" w:rsidP="00F1545E">
      <w:pPr>
        <w:spacing w:line="360" w:lineRule="auto"/>
        <w:jc w:val="both"/>
        <w:rPr>
          <w:rFonts w:ascii="Times New Roman" w:hAnsi="Times New Roman" w:cs="Times New Roman"/>
        </w:rPr>
      </w:pPr>
    </w:p>
    <w:p w14:paraId="3213F35F" w14:textId="77777777" w:rsidR="00333980" w:rsidRDefault="00333980" w:rsidP="00F1545E">
      <w:pPr>
        <w:spacing w:line="360" w:lineRule="auto"/>
        <w:jc w:val="both"/>
        <w:rPr>
          <w:rFonts w:ascii="Times New Roman" w:hAnsi="Times New Roman" w:cs="Times New Roman"/>
        </w:rPr>
      </w:pPr>
    </w:p>
    <w:p w14:paraId="50D1439F" w14:textId="77777777" w:rsidR="00333980" w:rsidRPr="00333980" w:rsidRDefault="00333980" w:rsidP="00333980">
      <w:pPr>
        <w:jc w:val="both"/>
        <w:rPr>
          <w:rFonts w:ascii="Times New Roman" w:hAnsi="Times New Roman" w:cs="Times New Roman"/>
          <w:b/>
          <w:bCs/>
        </w:rPr>
      </w:pPr>
      <w:r w:rsidRPr="00333980">
        <w:rPr>
          <w:rFonts w:ascii="Times New Roman" w:hAnsi="Times New Roman" w:cs="Times New Roman"/>
          <w:b/>
          <w:bCs/>
        </w:rPr>
        <w:t>References</w:t>
      </w:r>
    </w:p>
    <w:p w14:paraId="12E06E6A"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Afreen, J., Mohaghegh, M., &amp; Doborjeh, M. (2025). Systematic literature review on bias mitigation in generative AI. </w:t>
      </w:r>
      <w:r w:rsidRPr="00B85B7A">
        <w:rPr>
          <w:rFonts w:ascii="Times New Roman" w:hAnsi="Times New Roman" w:cs="Times New Roman"/>
          <w:i/>
          <w:iCs/>
        </w:rPr>
        <w:t>AI and Ethics</w:t>
      </w:r>
      <w:r w:rsidRPr="00B85B7A">
        <w:rPr>
          <w:rFonts w:ascii="Times New Roman" w:hAnsi="Times New Roman" w:cs="Times New Roman"/>
        </w:rPr>
        <w:t>. https://doi.org/10.1007/s43681-025-00721-9</w:t>
      </w:r>
    </w:p>
    <w:p w14:paraId="46F8A635"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Breugel, van, Sun, H., Qian, Z., &amp; van. (2023). Membership Inference Attacks against Synthetic Data through Overfitting Detection. </w:t>
      </w:r>
      <w:r w:rsidRPr="00B85B7A">
        <w:rPr>
          <w:rFonts w:ascii="Times New Roman" w:hAnsi="Times New Roman" w:cs="Times New Roman"/>
          <w:i/>
          <w:iCs/>
        </w:rPr>
        <w:t>ArXiv (Cornell University)</w:t>
      </w:r>
      <w:r w:rsidRPr="00B85B7A">
        <w:rPr>
          <w:rFonts w:ascii="Times New Roman" w:hAnsi="Times New Roman" w:cs="Times New Roman"/>
        </w:rPr>
        <w:t>. https://doi.org/10.48550/arxiv.2302.12580</w:t>
      </w:r>
    </w:p>
    <w:p w14:paraId="4C0D26F4"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Budin-Ljøsne, I., Teare, H. J. A., Kaye, J., Beck, S., Bentzen, H. B., Caenazzo, L., Collett, C., D’Abramo, F., Felzmann, H., Finlay, T., Javaid, M. K., Jones, E., Katić, V., Simpson, A., &amp; Mascalzoni, D. (2017). Dynamic Consent: a Potential Solution to Some of the Challenges of Modern Biomedical Research. </w:t>
      </w:r>
      <w:r w:rsidRPr="00B85B7A">
        <w:rPr>
          <w:rFonts w:ascii="Times New Roman" w:hAnsi="Times New Roman" w:cs="Times New Roman"/>
          <w:i/>
          <w:iCs/>
        </w:rPr>
        <w:t>BMC Medical Ethics</w:t>
      </w:r>
      <w:r w:rsidRPr="00B85B7A">
        <w:rPr>
          <w:rFonts w:ascii="Times New Roman" w:hAnsi="Times New Roman" w:cs="Times New Roman"/>
        </w:rPr>
        <w:t xml:space="preserve">, </w:t>
      </w:r>
      <w:r w:rsidRPr="00B85B7A">
        <w:rPr>
          <w:rFonts w:ascii="Times New Roman" w:hAnsi="Times New Roman" w:cs="Times New Roman"/>
          <w:i/>
          <w:iCs/>
        </w:rPr>
        <w:t>18</w:t>
      </w:r>
      <w:r w:rsidRPr="00B85B7A">
        <w:rPr>
          <w:rFonts w:ascii="Times New Roman" w:hAnsi="Times New Roman" w:cs="Times New Roman"/>
        </w:rPr>
        <w:t>(1). https://doi.org/10.1186/s12910-016-0162-9</w:t>
      </w:r>
    </w:p>
    <w:p w14:paraId="2F9C4777"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Charles, W. M., Mark, Flach, J., Arno Bisschop, Raymond, Hadil Es-Sbai, &amp; McLeod, C. J. (2023). Blockchain-Based Dynamic Consent: Protocol for an Integrative Review of Applications for Patient-Centric Research and Health Information Sharing (Preprint). </w:t>
      </w:r>
      <w:r w:rsidRPr="00B85B7A">
        <w:rPr>
          <w:rFonts w:ascii="Times New Roman" w:hAnsi="Times New Roman" w:cs="Times New Roman"/>
          <w:i/>
          <w:iCs/>
        </w:rPr>
        <w:t>JMIR Research Protocols</w:t>
      </w:r>
      <w:r w:rsidRPr="00B85B7A">
        <w:rPr>
          <w:rFonts w:ascii="Times New Roman" w:hAnsi="Times New Roman" w:cs="Times New Roman"/>
        </w:rPr>
        <w:t>. https://doi.org/10.2196/50339</w:t>
      </w:r>
    </w:p>
    <w:p w14:paraId="196E7E7E"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lastRenderedPageBreak/>
        <w:t xml:space="preserve">Chen, R. J., Lu, M. Y., Chen, T. Y., Williamson, D. F. K., &amp; Mahmood, F. (2021). Synthetic data in machine learning for medicine and healthcare. </w:t>
      </w:r>
      <w:r w:rsidRPr="00B85B7A">
        <w:rPr>
          <w:rFonts w:ascii="Times New Roman" w:hAnsi="Times New Roman" w:cs="Times New Roman"/>
          <w:i/>
          <w:iCs/>
        </w:rPr>
        <w:t>Nature Biomedical Engineering</w:t>
      </w:r>
      <w:r w:rsidRPr="00B85B7A">
        <w:rPr>
          <w:rFonts w:ascii="Times New Roman" w:hAnsi="Times New Roman" w:cs="Times New Roman"/>
        </w:rPr>
        <w:t xml:space="preserve">, </w:t>
      </w:r>
      <w:r w:rsidRPr="00B85B7A">
        <w:rPr>
          <w:rFonts w:ascii="Times New Roman" w:hAnsi="Times New Roman" w:cs="Times New Roman"/>
          <w:i/>
          <w:iCs/>
        </w:rPr>
        <w:t>5</w:t>
      </w:r>
      <w:r w:rsidRPr="00B85B7A">
        <w:rPr>
          <w:rFonts w:ascii="Times New Roman" w:hAnsi="Times New Roman" w:cs="Times New Roman"/>
        </w:rPr>
        <w:t>(6), 493–497. https://doi.org/10.1038/s41551-021-00751-8</w:t>
      </w:r>
    </w:p>
    <w:p w14:paraId="3EF76E95"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Commey, D., Hounsinou, S., &amp; Crosby, G. V. (2024). Securing Health Data on the Blockchain: A Differential Privacy and Federated Learning Framework. </w:t>
      </w:r>
      <w:r w:rsidRPr="00B85B7A">
        <w:rPr>
          <w:rFonts w:ascii="Times New Roman" w:hAnsi="Times New Roman" w:cs="Times New Roman"/>
          <w:i/>
          <w:iCs/>
        </w:rPr>
        <w:t>ArXiv (Cornell University)</w:t>
      </w:r>
      <w:r w:rsidRPr="00B85B7A">
        <w:rPr>
          <w:rFonts w:ascii="Times New Roman" w:hAnsi="Times New Roman" w:cs="Times New Roman"/>
        </w:rPr>
        <w:t>. https://doi.org/10.48550/arxiv.2405.11580</w:t>
      </w:r>
    </w:p>
    <w:p w14:paraId="355A168F"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Dwork, C. (2006). Differential Privacy. </w:t>
      </w:r>
      <w:r w:rsidRPr="00B85B7A">
        <w:rPr>
          <w:rFonts w:ascii="Times New Roman" w:hAnsi="Times New Roman" w:cs="Times New Roman"/>
          <w:i/>
          <w:iCs/>
        </w:rPr>
        <w:t>Automata, Languages and Programming</w:t>
      </w:r>
      <w:r w:rsidRPr="00B85B7A">
        <w:rPr>
          <w:rFonts w:ascii="Times New Roman" w:hAnsi="Times New Roman" w:cs="Times New Roman"/>
        </w:rPr>
        <w:t xml:space="preserve">, </w:t>
      </w:r>
      <w:r w:rsidRPr="00B85B7A">
        <w:rPr>
          <w:rFonts w:ascii="Times New Roman" w:hAnsi="Times New Roman" w:cs="Times New Roman"/>
          <w:i/>
          <w:iCs/>
        </w:rPr>
        <w:t>4052</w:t>
      </w:r>
      <w:r w:rsidRPr="00B85B7A">
        <w:rPr>
          <w:rFonts w:ascii="Times New Roman" w:hAnsi="Times New Roman" w:cs="Times New Roman"/>
        </w:rPr>
        <w:t>, 1–12. https://doi.org/10.1007/11787006_1</w:t>
      </w:r>
    </w:p>
    <w:p w14:paraId="5C2029EA"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El Emam, K., Mosquera, L., Fang, X., &amp; El-Hussuna, A. (2022). Utility Metrics for Evaluating Synthetic Health Data Generation Methods: Validation Study. </w:t>
      </w:r>
      <w:r w:rsidRPr="00B85B7A">
        <w:rPr>
          <w:rFonts w:ascii="Times New Roman" w:hAnsi="Times New Roman" w:cs="Times New Roman"/>
          <w:i/>
          <w:iCs/>
        </w:rPr>
        <w:t>JMIR Medical Informatics</w:t>
      </w:r>
      <w:r w:rsidRPr="00B85B7A">
        <w:rPr>
          <w:rFonts w:ascii="Times New Roman" w:hAnsi="Times New Roman" w:cs="Times New Roman"/>
        </w:rPr>
        <w:t xml:space="preserve">, </w:t>
      </w:r>
      <w:r w:rsidRPr="00B85B7A">
        <w:rPr>
          <w:rFonts w:ascii="Times New Roman" w:hAnsi="Times New Roman" w:cs="Times New Roman"/>
          <w:i/>
          <w:iCs/>
        </w:rPr>
        <w:t>10</w:t>
      </w:r>
      <w:r w:rsidRPr="00B85B7A">
        <w:rPr>
          <w:rFonts w:ascii="Times New Roman" w:hAnsi="Times New Roman" w:cs="Times New Roman"/>
        </w:rPr>
        <w:t>(4), e35734. https://doi.org/10.2196/35734</w:t>
      </w:r>
    </w:p>
    <w:p w14:paraId="58F4D82A"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Foraker, R., Morrow, J. D., Johnson, J. A., Wilcox, A. B., Forster, A. J., &amp; Payne, P. R. O. (2025). Understanding synthetic data: artificial datasets for real-world evidence. </w:t>
      </w:r>
      <w:r w:rsidRPr="00B85B7A">
        <w:rPr>
          <w:rFonts w:ascii="Times New Roman" w:hAnsi="Times New Roman" w:cs="Times New Roman"/>
          <w:i/>
          <w:iCs/>
        </w:rPr>
        <w:t>BMJ Evidence-Based Medicine</w:t>
      </w:r>
      <w:r w:rsidRPr="00B85B7A">
        <w:rPr>
          <w:rFonts w:ascii="Times New Roman" w:hAnsi="Times New Roman" w:cs="Times New Roman"/>
        </w:rPr>
        <w:t>, bmjebm-2024-113617. https://doi.org/10.1136/bmjebm-2024-113617</w:t>
      </w:r>
    </w:p>
    <w:p w14:paraId="336A3D55" w14:textId="77777777" w:rsidR="001B5EE8" w:rsidRPr="001B5EE8" w:rsidRDefault="001B5EE8" w:rsidP="001B5EE8">
      <w:pPr>
        <w:spacing w:line="360" w:lineRule="auto"/>
        <w:ind w:left="720" w:hanging="720"/>
        <w:jc w:val="both"/>
        <w:rPr>
          <w:rFonts w:ascii="Times New Roman" w:hAnsi="Times New Roman" w:cs="Times New Roman"/>
        </w:rPr>
      </w:pPr>
      <w:r w:rsidRPr="001B5EE8">
        <w:rPr>
          <w:rFonts w:ascii="Times New Roman" w:hAnsi="Times New Roman" w:cs="Times New Roman"/>
        </w:rPr>
        <w:t xml:space="preserve">Giuffrè, M., &amp; Shung, D. L. (2023). Harnessing the power of synthetic data in healthcare: innovation, application, and privacy. </w:t>
      </w:r>
      <w:r w:rsidRPr="001B5EE8">
        <w:rPr>
          <w:rFonts w:ascii="Times New Roman" w:hAnsi="Times New Roman" w:cs="Times New Roman"/>
          <w:i/>
          <w:iCs/>
        </w:rPr>
        <w:t>Npj Digital Medicine</w:t>
      </w:r>
      <w:r w:rsidRPr="001B5EE8">
        <w:rPr>
          <w:rFonts w:ascii="Times New Roman" w:hAnsi="Times New Roman" w:cs="Times New Roman"/>
        </w:rPr>
        <w:t xml:space="preserve">, </w:t>
      </w:r>
      <w:r w:rsidRPr="001B5EE8">
        <w:rPr>
          <w:rFonts w:ascii="Times New Roman" w:hAnsi="Times New Roman" w:cs="Times New Roman"/>
          <w:i/>
          <w:iCs/>
        </w:rPr>
        <w:t>6</w:t>
      </w:r>
      <w:r w:rsidRPr="001B5EE8">
        <w:rPr>
          <w:rFonts w:ascii="Times New Roman" w:hAnsi="Times New Roman" w:cs="Times New Roman"/>
        </w:rPr>
        <w:t>(1), 1–8. https://doi.org/10.1038/s41746-023-00927-3</w:t>
      </w:r>
    </w:p>
    <w:p w14:paraId="44159B26"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Hasanzadeh, F., Josephson, C. B., Waters, G., Adedinsewo, D., Azizi, Z., &amp; White, J. A. (2025). Bias recognition and mitigation strategies in artificial intelligence healthcare applications. </w:t>
      </w:r>
      <w:r w:rsidRPr="00B85B7A">
        <w:rPr>
          <w:rFonts w:ascii="Times New Roman" w:hAnsi="Times New Roman" w:cs="Times New Roman"/>
          <w:i/>
          <w:iCs/>
        </w:rPr>
        <w:t>Npj Digital Medicine</w:t>
      </w:r>
      <w:r w:rsidRPr="00B85B7A">
        <w:rPr>
          <w:rFonts w:ascii="Times New Roman" w:hAnsi="Times New Roman" w:cs="Times New Roman"/>
        </w:rPr>
        <w:t xml:space="preserve">, </w:t>
      </w:r>
      <w:r w:rsidRPr="00B85B7A">
        <w:rPr>
          <w:rFonts w:ascii="Times New Roman" w:hAnsi="Times New Roman" w:cs="Times New Roman"/>
          <w:i/>
          <w:iCs/>
        </w:rPr>
        <w:t>8</w:t>
      </w:r>
      <w:r w:rsidRPr="00B85B7A">
        <w:rPr>
          <w:rFonts w:ascii="Times New Roman" w:hAnsi="Times New Roman" w:cs="Times New Roman"/>
        </w:rPr>
        <w:t>(1). https://doi.org/10.1038/s41746-025-01503-7</w:t>
      </w:r>
    </w:p>
    <w:p w14:paraId="0BEDDD1F"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Hassan, M., Borycki, E. M., &amp; Kushniruk, A. W. (2024). Artificial intelligence governance framework for healthcare. </w:t>
      </w:r>
      <w:r w:rsidRPr="00B85B7A">
        <w:rPr>
          <w:rFonts w:ascii="Times New Roman" w:hAnsi="Times New Roman" w:cs="Times New Roman"/>
          <w:i/>
          <w:iCs/>
        </w:rPr>
        <w:t>Healthcare Management Forum</w:t>
      </w:r>
      <w:r w:rsidRPr="00B85B7A">
        <w:rPr>
          <w:rFonts w:ascii="Times New Roman" w:hAnsi="Times New Roman" w:cs="Times New Roman"/>
        </w:rPr>
        <w:t xml:space="preserve">, </w:t>
      </w:r>
      <w:r w:rsidRPr="00B85B7A">
        <w:rPr>
          <w:rFonts w:ascii="Times New Roman" w:hAnsi="Times New Roman" w:cs="Times New Roman"/>
          <w:i/>
          <w:iCs/>
        </w:rPr>
        <w:t>38</w:t>
      </w:r>
      <w:r w:rsidRPr="00B85B7A">
        <w:rPr>
          <w:rFonts w:ascii="Times New Roman" w:hAnsi="Times New Roman" w:cs="Times New Roman"/>
        </w:rPr>
        <w:t>(2). https://doi.org/10.1177/08404704241291226</w:t>
      </w:r>
    </w:p>
    <w:p w14:paraId="3F489959"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Johnson, A., Pollard, T., Shen, L., Lehman, L.-W., Feng, M., Ghassemi, M., Moody, B., Szolovits, P., Celi, L., &amp; Mark, R. (2016). OPEN SUBJECT CATEGORIES Background &amp; Summary. </w:t>
      </w:r>
      <w:r w:rsidRPr="00B85B7A">
        <w:rPr>
          <w:rFonts w:ascii="Times New Roman" w:hAnsi="Times New Roman" w:cs="Times New Roman"/>
          <w:i/>
          <w:iCs/>
        </w:rPr>
        <w:t>MIMIC-III, a Freely Accessible Critical Care Database</w:t>
      </w:r>
      <w:r w:rsidRPr="00B85B7A">
        <w:rPr>
          <w:rFonts w:ascii="Times New Roman" w:hAnsi="Times New Roman" w:cs="Times New Roman"/>
        </w:rPr>
        <w:t>. https://doi.org/10.1038/sdata.2016.35</w:t>
      </w:r>
    </w:p>
    <w:p w14:paraId="31C7EC92" w14:textId="77777777" w:rsidR="00026865" w:rsidRPr="00600C4C" w:rsidRDefault="00026865" w:rsidP="00026865">
      <w:pPr>
        <w:pStyle w:val="NoSpacing"/>
        <w:spacing w:line="360" w:lineRule="auto"/>
        <w:rPr>
          <w:rFonts w:ascii="Times New Roman" w:hAnsi="Times New Roman" w:cs="Times New Roman"/>
          <w:sz w:val="24"/>
          <w:szCs w:val="24"/>
          <w:lang w:val="es-ES"/>
        </w:rPr>
      </w:pPr>
      <w:r w:rsidRPr="00600C4C">
        <w:rPr>
          <w:rFonts w:ascii="Times New Roman" w:hAnsi="Times New Roman" w:cs="Times New Roman"/>
          <w:sz w:val="24"/>
          <w:szCs w:val="24"/>
          <w:lang w:val="es-ES"/>
        </w:rPr>
        <w:t xml:space="preserve">Joseph, S. A., Kolade, T. M., Obioha-Val, O., Adebiyi, O. O., Ogungbemi, O. S., &amp; Olaniyi, O. </w:t>
      </w:r>
    </w:p>
    <w:p w14:paraId="5DCB6977" w14:textId="77777777" w:rsidR="00026865" w:rsidRPr="00600C4C" w:rsidRDefault="00026865" w:rsidP="00026865">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lastRenderedPageBreak/>
        <w:t xml:space="preserve">O. (2024). AI-powered information governance: Balancing automation and human oversight for optimal organization productivity. Asian Journal of Research in Computer Science, 17(10), 110-131. </w:t>
      </w:r>
      <w:hyperlink r:id="rId13" w:history="1">
        <w:r w:rsidRPr="00600C4C">
          <w:rPr>
            <w:rStyle w:val="Hyperlink"/>
            <w:rFonts w:ascii="Times New Roman" w:hAnsi="Times New Roman" w:cs="Times New Roman"/>
            <w:sz w:val="24"/>
            <w:szCs w:val="24"/>
          </w:rPr>
          <w:t>https://doi.org/10.9734/ajrcos/2024/v17i10513</w:t>
        </w:r>
      </w:hyperlink>
    </w:p>
    <w:p w14:paraId="5F2FAFD1"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Kaye, J., Whitley, E. A., Lund, D., Morrison, M., Teare, H., &amp; Melham, K. (2015). Dynamic consent: a patient interface for twenty-first century research networks. </w:t>
      </w:r>
      <w:r w:rsidRPr="00B85B7A">
        <w:rPr>
          <w:rFonts w:ascii="Times New Roman" w:hAnsi="Times New Roman" w:cs="Times New Roman"/>
          <w:i/>
          <w:iCs/>
        </w:rPr>
        <w:t>European Journal of Human Genetics</w:t>
      </w:r>
      <w:r w:rsidRPr="00B85B7A">
        <w:rPr>
          <w:rFonts w:ascii="Times New Roman" w:hAnsi="Times New Roman" w:cs="Times New Roman"/>
        </w:rPr>
        <w:t xml:space="preserve">, </w:t>
      </w:r>
      <w:r w:rsidRPr="00B85B7A">
        <w:rPr>
          <w:rFonts w:ascii="Times New Roman" w:hAnsi="Times New Roman" w:cs="Times New Roman"/>
          <w:i/>
          <w:iCs/>
        </w:rPr>
        <w:t>23</w:t>
      </w:r>
      <w:r w:rsidRPr="00B85B7A">
        <w:rPr>
          <w:rFonts w:ascii="Times New Roman" w:hAnsi="Times New Roman" w:cs="Times New Roman"/>
        </w:rPr>
        <w:t>(2), 141–146. https://doi.org/10.1038/ejhg.2014.71</w:t>
      </w:r>
    </w:p>
    <w:p w14:paraId="4378BF84"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Lay, W., Gasparini, L., Siero, W., &amp; Hughes, E. K. (2024). A rapid review of the benefits and challenges of dynamic consent. </w:t>
      </w:r>
      <w:r w:rsidRPr="00B85B7A">
        <w:rPr>
          <w:rFonts w:ascii="Times New Roman" w:hAnsi="Times New Roman" w:cs="Times New Roman"/>
          <w:i/>
          <w:iCs/>
        </w:rPr>
        <w:t>Research Ethics</w:t>
      </w:r>
      <w:r w:rsidRPr="00B85B7A">
        <w:rPr>
          <w:rFonts w:ascii="Times New Roman" w:hAnsi="Times New Roman" w:cs="Times New Roman"/>
        </w:rPr>
        <w:t>. https://doi.org/10.1177/17470161241278064</w:t>
      </w:r>
    </w:p>
    <w:p w14:paraId="0A57F596"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Mackin, S., Major, V. J., Chunara, R., &amp; Newton-Dame, R. (2025). Identifying and mitigating algorithmic bias in the safety net. </w:t>
      </w:r>
      <w:r w:rsidRPr="00B85B7A">
        <w:rPr>
          <w:rFonts w:ascii="Times New Roman" w:hAnsi="Times New Roman" w:cs="Times New Roman"/>
          <w:i/>
          <w:iCs/>
        </w:rPr>
        <w:t>Npj Digital Medicine</w:t>
      </w:r>
      <w:r w:rsidRPr="00B85B7A">
        <w:rPr>
          <w:rFonts w:ascii="Times New Roman" w:hAnsi="Times New Roman" w:cs="Times New Roman"/>
        </w:rPr>
        <w:t xml:space="preserve">, </w:t>
      </w:r>
      <w:r w:rsidRPr="00B85B7A">
        <w:rPr>
          <w:rFonts w:ascii="Times New Roman" w:hAnsi="Times New Roman" w:cs="Times New Roman"/>
          <w:i/>
          <w:iCs/>
        </w:rPr>
        <w:t>8</w:t>
      </w:r>
      <w:r w:rsidRPr="00B85B7A">
        <w:rPr>
          <w:rFonts w:ascii="Times New Roman" w:hAnsi="Times New Roman" w:cs="Times New Roman"/>
        </w:rPr>
        <w:t>(1). https://doi.org/10.1038/s41746-025-01732-w</w:t>
      </w:r>
    </w:p>
    <w:p w14:paraId="6B752BAB"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Maja Nisevic, Dusko Milojevic, &amp; Spajic, D. (2025). Synthetic data in medicine: Legal and ethical considerations for patient profiling. </w:t>
      </w:r>
      <w:r w:rsidRPr="00B85B7A">
        <w:rPr>
          <w:rFonts w:ascii="Times New Roman" w:hAnsi="Times New Roman" w:cs="Times New Roman"/>
          <w:i/>
          <w:iCs/>
        </w:rPr>
        <w:t>Computational and Structural Biotechnology Journal</w:t>
      </w:r>
      <w:r w:rsidRPr="00B85B7A">
        <w:rPr>
          <w:rFonts w:ascii="Times New Roman" w:hAnsi="Times New Roman" w:cs="Times New Roman"/>
        </w:rPr>
        <w:t xml:space="preserve">, </w:t>
      </w:r>
      <w:r w:rsidRPr="00B85B7A">
        <w:rPr>
          <w:rFonts w:ascii="Times New Roman" w:hAnsi="Times New Roman" w:cs="Times New Roman"/>
          <w:i/>
          <w:iCs/>
        </w:rPr>
        <w:t>28</w:t>
      </w:r>
      <w:r w:rsidRPr="00B85B7A">
        <w:rPr>
          <w:rFonts w:ascii="Times New Roman" w:hAnsi="Times New Roman" w:cs="Times New Roman"/>
        </w:rPr>
        <w:t>, 190–198. https://doi.org/10.1016/j.csbj.2025.05.026</w:t>
      </w:r>
    </w:p>
    <w:p w14:paraId="09193776"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Marchesi, R., Micheletti, N., Kuo, N. I-Hsien., Barbieri, S., Jurman, G., &amp; Osmani, V. (2025). Generative AI mitigates representation bias and improves model fairness through synthetic health data. </w:t>
      </w:r>
      <w:r w:rsidRPr="00B85B7A">
        <w:rPr>
          <w:rFonts w:ascii="Times New Roman" w:hAnsi="Times New Roman" w:cs="Times New Roman"/>
          <w:i/>
          <w:iCs/>
        </w:rPr>
        <w:t>PLoS Computational Biology</w:t>
      </w:r>
      <w:r w:rsidRPr="00B85B7A">
        <w:rPr>
          <w:rFonts w:ascii="Times New Roman" w:hAnsi="Times New Roman" w:cs="Times New Roman"/>
        </w:rPr>
        <w:t xml:space="preserve">, </w:t>
      </w:r>
      <w:r w:rsidRPr="00B85B7A">
        <w:rPr>
          <w:rFonts w:ascii="Times New Roman" w:hAnsi="Times New Roman" w:cs="Times New Roman"/>
          <w:i/>
          <w:iCs/>
        </w:rPr>
        <w:t>21</w:t>
      </w:r>
      <w:r w:rsidRPr="00B85B7A">
        <w:rPr>
          <w:rFonts w:ascii="Times New Roman" w:hAnsi="Times New Roman" w:cs="Times New Roman"/>
        </w:rPr>
        <w:t>(5), e1013080–e1013080. https://doi.org/10.1371/journal.pcbi.1013080</w:t>
      </w:r>
    </w:p>
    <w:p w14:paraId="2771528E"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Mascalzoni, D., Melotti, R., Cristian Pattaro, Pramstaller, P. P., Gögele, M., Alessandro De Grandi, &amp; Biasiotto, R. (2022). Ten years of dynamic consent in the CHRIS study: informed consent as a dynamic process. </w:t>
      </w:r>
      <w:r w:rsidRPr="00B85B7A">
        <w:rPr>
          <w:rFonts w:ascii="Times New Roman" w:hAnsi="Times New Roman" w:cs="Times New Roman"/>
          <w:i/>
          <w:iCs/>
        </w:rPr>
        <w:t>European Journal of Human Genetics</w:t>
      </w:r>
      <w:r w:rsidRPr="00B85B7A">
        <w:rPr>
          <w:rFonts w:ascii="Times New Roman" w:hAnsi="Times New Roman" w:cs="Times New Roman"/>
        </w:rPr>
        <w:t xml:space="preserve">, </w:t>
      </w:r>
      <w:r w:rsidRPr="00B85B7A">
        <w:rPr>
          <w:rFonts w:ascii="Times New Roman" w:hAnsi="Times New Roman" w:cs="Times New Roman"/>
          <w:i/>
          <w:iCs/>
        </w:rPr>
        <w:t>30</w:t>
      </w:r>
      <w:r w:rsidRPr="00B85B7A">
        <w:rPr>
          <w:rFonts w:ascii="Times New Roman" w:hAnsi="Times New Roman" w:cs="Times New Roman"/>
        </w:rPr>
        <w:t>(12), 1391–1397. https://doi.org/10.1038/s41431-022-01160-4</w:t>
      </w:r>
    </w:p>
    <w:p w14:paraId="4178DD44"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Mendes, J. M., Barbar, A., &amp; Marwa Refaie. (2025). Synthetic data generation: a privacy-preserving approach to accelerate rare disease research. </w:t>
      </w:r>
      <w:r w:rsidRPr="00B85B7A">
        <w:rPr>
          <w:rFonts w:ascii="Times New Roman" w:hAnsi="Times New Roman" w:cs="Times New Roman"/>
          <w:i/>
          <w:iCs/>
        </w:rPr>
        <w:t>Frontiers in Digital Health</w:t>
      </w:r>
      <w:r w:rsidRPr="00B85B7A">
        <w:rPr>
          <w:rFonts w:ascii="Times New Roman" w:hAnsi="Times New Roman" w:cs="Times New Roman"/>
        </w:rPr>
        <w:t xml:space="preserve">, </w:t>
      </w:r>
      <w:r w:rsidRPr="00B85B7A">
        <w:rPr>
          <w:rFonts w:ascii="Times New Roman" w:hAnsi="Times New Roman" w:cs="Times New Roman"/>
          <w:i/>
          <w:iCs/>
        </w:rPr>
        <w:t>7</w:t>
      </w:r>
      <w:r w:rsidRPr="00B85B7A">
        <w:rPr>
          <w:rFonts w:ascii="Times New Roman" w:hAnsi="Times New Roman" w:cs="Times New Roman"/>
        </w:rPr>
        <w:t>. https://doi.org/10.3389/fdgth.2025.1563991</w:t>
      </w:r>
    </w:p>
    <w:p w14:paraId="54CD3EB6"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Moldovan, A.-M.-N., Vescan, A., &amp; Grosan, C. (2025). Healthcare Bias in AI: A Systematic Literature Review. </w:t>
      </w:r>
      <w:r w:rsidRPr="00B85B7A">
        <w:rPr>
          <w:rFonts w:ascii="Times New Roman" w:hAnsi="Times New Roman" w:cs="Times New Roman"/>
          <w:i/>
          <w:iCs/>
        </w:rPr>
        <w:t xml:space="preserve">Proceedings of the 20th International Conference on Evaluation of </w:t>
      </w:r>
      <w:r w:rsidRPr="00B85B7A">
        <w:rPr>
          <w:rFonts w:ascii="Times New Roman" w:hAnsi="Times New Roman" w:cs="Times New Roman"/>
          <w:i/>
          <w:iCs/>
        </w:rPr>
        <w:lastRenderedPageBreak/>
        <w:t>Novel Approaches to Software Engineering</w:t>
      </w:r>
      <w:r w:rsidRPr="00B85B7A">
        <w:rPr>
          <w:rFonts w:ascii="Times New Roman" w:hAnsi="Times New Roman" w:cs="Times New Roman"/>
        </w:rPr>
        <w:t>, 835–842. https://doi.org/10.5220/0013480300003928</w:t>
      </w:r>
    </w:p>
    <w:p w14:paraId="60EBB11E" w14:textId="6066648D" w:rsid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Muller, S. H. A., Jmw, G., Mostert, M., &amp; Delden, van. (2023). Dynamic consent, communication and return of results in large-scale health data reuse: Survey of public preferences. </w:t>
      </w:r>
      <w:r w:rsidRPr="00B85B7A">
        <w:rPr>
          <w:rFonts w:ascii="Times New Roman" w:hAnsi="Times New Roman" w:cs="Times New Roman"/>
          <w:i/>
          <w:iCs/>
        </w:rPr>
        <w:t>Digital Health</w:t>
      </w:r>
      <w:r w:rsidRPr="00B85B7A">
        <w:rPr>
          <w:rFonts w:ascii="Times New Roman" w:hAnsi="Times New Roman" w:cs="Times New Roman"/>
        </w:rPr>
        <w:t xml:space="preserve">, </w:t>
      </w:r>
      <w:r w:rsidRPr="00B85B7A">
        <w:rPr>
          <w:rFonts w:ascii="Times New Roman" w:hAnsi="Times New Roman" w:cs="Times New Roman"/>
          <w:i/>
          <w:iCs/>
        </w:rPr>
        <w:t>9</w:t>
      </w:r>
      <w:r w:rsidRPr="00B85B7A">
        <w:rPr>
          <w:rFonts w:ascii="Times New Roman" w:hAnsi="Times New Roman" w:cs="Times New Roman"/>
        </w:rPr>
        <w:t xml:space="preserve">. </w:t>
      </w:r>
      <w:hyperlink r:id="rId14" w:history="1">
        <w:r w:rsidR="00026865" w:rsidRPr="00B85B7A">
          <w:rPr>
            <w:rStyle w:val="Hyperlink"/>
            <w:rFonts w:ascii="Times New Roman" w:hAnsi="Times New Roman" w:cs="Times New Roman"/>
          </w:rPr>
          <w:t>https://doi.org/10.1177/20552076231190997</w:t>
        </w:r>
      </w:hyperlink>
    </w:p>
    <w:p w14:paraId="12B49C02" w14:textId="77777777" w:rsidR="00026865" w:rsidRDefault="00026865" w:rsidP="00026865">
      <w:pPr>
        <w:pStyle w:val="NoSpacing"/>
        <w:spacing w:line="360" w:lineRule="auto"/>
        <w:rPr>
          <w:rFonts w:ascii="Times New Roman" w:hAnsi="Times New Roman" w:cs="Times New Roman"/>
          <w:sz w:val="24"/>
          <w:szCs w:val="24"/>
        </w:rPr>
      </w:pPr>
      <w:r w:rsidRPr="00475048">
        <w:rPr>
          <w:rFonts w:ascii="Times New Roman" w:hAnsi="Times New Roman" w:cs="Times New Roman"/>
          <w:sz w:val="24"/>
          <w:szCs w:val="24"/>
        </w:rPr>
        <w:t xml:space="preserve">Ogunmolu, A. M. (2025). Enhancing Data Security in Artificial Intelligence Systems: A </w:t>
      </w:r>
    </w:p>
    <w:p w14:paraId="35D1BF16" w14:textId="77777777" w:rsidR="00026865" w:rsidRDefault="00026865" w:rsidP="00026865">
      <w:pPr>
        <w:pStyle w:val="NoSpacing"/>
        <w:spacing w:line="360" w:lineRule="auto"/>
        <w:ind w:left="720"/>
        <w:rPr>
          <w:rFonts w:ascii="Times New Roman" w:hAnsi="Times New Roman" w:cs="Times New Roman"/>
          <w:sz w:val="24"/>
          <w:szCs w:val="24"/>
        </w:rPr>
      </w:pPr>
      <w:r w:rsidRPr="00475048">
        <w:rPr>
          <w:rFonts w:ascii="Times New Roman" w:hAnsi="Times New Roman" w:cs="Times New Roman"/>
          <w:sz w:val="24"/>
          <w:szCs w:val="24"/>
        </w:rPr>
        <w:t xml:space="preserve">Cybersecurity and Information Governance Approach. Journal of Engineering Research and Reports, 27(5), 154–172. </w:t>
      </w:r>
      <w:hyperlink r:id="rId15" w:history="1">
        <w:r w:rsidRPr="005D5248">
          <w:rPr>
            <w:rStyle w:val="Hyperlink"/>
            <w:rFonts w:ascii="Times New Roman" w:hAnsi="Times New Roman" w:cs="Times New Roman"/>
            <w:sz w:val="24"/>
            <w:szCs w:val="24"/>
          </w:rPr>
          <w:t>https://doi.org/10.9734/jerr/2025/v27i51500</w:t>
        </w:r>
      </w:hyperlink>
    </w:p>
    <w:p w14:paraId="284072A8" w14:textId="77777777" w:rsidR="00026865" w:rsidRPr="00600C4C" w:rsidRDefault="00026865" w:rsidP="00026865">
      <w:pPr>
        <w:pStyle w:val="NoSpacing"/>
        <w:spacing w:line="360" w:lineRule="auto"/>
        <w:rPr>
          <w:rFonts w:ascii="Times New Roman" w:hAnsi="Times New Roman" w:cs="Times New Roman"/>
          <w:sz w:val="24"/>
          <w:szCs w:val="24"/>
        </w:rPr>
      </w:pPr>
      <w:r w:rsidRPr="00600C4C">
        <w:rPr>
          <w:rFonts w:ascii="Times New Roman" w:hAnsi="Times New Roman" w:cs="Times New Roman"/>
          <w:sz w:val="24"/>
          <w:szCs w:val="24"/>
        </w:rPr>
        <w:t xml:space="preserve">Olaniyi, O. O. (2024). Ballots and Padlocks: Building Digital Trust and Security in Democracy </w:t>
      </w:r>
    </w:p>
    <w:p w14:paraId="4B7B645B" w14:textId="77777777" w:rsidR="00026865" w:rsidRPr="00600C4C" w:rsidRDefault="00026865" w:rsidP="00026865">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through Information Governance Strategies and Blockchain Technologies. Asian Journal of Research in Computer Science, 17(5), 172–189. </w:t>
      </w:r>
      <w:hyperlink r:id="rId16" w:history="1">
        <w:r w:rsidRPr="00600C4C">
          <w:rPr>
            <w:rStyle w:val="Hyperlink"/>
            <w:rFonts w:ascii="Times New Roman" w:hAnsi="Times New Roman" w:cs="Times New Roman"/>
            <w:sz w:val="24"/>
            <w:szCs w:val="24"/>
          </w:rPr>
          <w:t>https://doi.org/10.9734/ajrcos/2024/v17i5447</w:t>
        </w:r>
      </w:hyperlink>
    </w:p>
    <w:p w14:paraId="42615BEA" w14:textId="0CC68933" w:rsidR="00026865" w:rsidRDefault="00026865" w:rsidP="00026865">
      <w:pPr>
        <w:spacing w:after="0" w:line="360" w:lineRule="auto"/>
        <w:ind w:left="720" w:hanging="720"/>
        <w:jc w:val="both"/>
        <w:rPr>
          <w:rFonts w:ascii="Times New Roman" w:hAnsi="Times New Roman" w:cs="Times New Roman"/>
          <w:sz w:val="16"/>
          <w:szCs w:val="16"/>
        </w:rPr>
      </w:pPr>
      <w:r w:rsidRPr="00EE5388">
        <w:rPr>
          <w:rFonts w:ascii="Times New Roman" w:eastAsia="Arial" w:hAnsi="Times New Roman" w:cs="Times New Roman"/>
          <w:color w:val="252525"/>
          <w:szCs w:val="16"/>
        </w:rPr>
        <w:t xml:space="preserve">Oyekunle, S. M., Olaniyi, O. M., Oluyinka, E. A., Gbadebo, M. O., &amp; Olasege, R. O. (2025). Adaptive AI pipelines in population health analytics for enhanced security and data governance. Journal of Engineering Research and Reports, 27(10), 338–358. </w:t>
      </w:r>
      <w:hyperlink r:id="rId17" w:history="1">
        <w:r w:rsidRPr="007563F8">
          <w:rPr>
            <w:rStyle w:val="Hyperlink"/>
            <w:rFonts w:ascii="Times New Roman" w:eastAsia="Arial" w:hAnsi="Times New Roman" w:cs="Times New Roman"/>
            <w:szCs w:val="16"/>
          </w:rPr>
          <w:t>https://doi.org/10.9734/jerr/2025/v27i101677</w:t>
        </w:r>
      </w:hyperlink>
    </w:p>
    <w:p w14:paraId="4CF6C668" w14:textId="1AA4E13B" w:rsidR="00B85B7A" w:rsidRPr="00B85B7A" w:rsidRDefault="00B85B7A" w:rsidP="00026865">
      <w:pPr>
        <w:spacing w:after="0" w:line="360" w:lineRule="auto"/>
        <w:ind w:left="720" w:hanging="720"/>
        <w:jc w:val="both"/>
        <w:rPr>
          <w:rFonts w:ascii="Times New Roman" w:hAnsi="Times New Roman" w:cs="Times New Roman"/>
          <w:sz w:val="16"/>
          <w:szCs w:val="16"/>
        </w:rPr>
      </w:pPr>
      <w:r w:rsidRPr="00B85B7A">
        <w:rPr>
          <w:rFonts w:ascii="Times New Roman" w:hAnsi="Times New Roman" w:cs="Times New Roman"/>
        </w:rPr>
        <w:t xml:space="preserve">Pati, S., Kumar, S., Varma, A., Edwards, B., Lu, C., Qu, L., Wang, J. J., Anantharaman Lakshminarayanan, Wang, S., Sheller, M. J., Chang, K., Singh, P., Rubin, D. L., Jayashree Kalpathy-Cramer, &amp; Bakas, S. (2024). Privacy preservation for federated learning in health care. </w:t>
      </w:r>
      <w:r w:rsidRPr="00B85B7A">
        <w:rPr>
          <w:rFonts w:ascii="Times New Roman" w:hAnsi="Times New Roman" w:cs="Times New Roman"/>
          <w:i/>
          <w:iCs/>
        </w:rPr>
        <w:t>Patterns</w:t>
      </w:r>
      <w:r w:rsidRPr="00B85B7A">
        <w:rPr>
          <w:rFonts w:ascii="Times New Roman" w:hAnsi="Times New Roman" w:cs="Times New Roman"/>
        </w:rPr>
        <w:t xml:space="preserve">, </w:t>
      </w:r>
      <w:r w:rsidRPr="00B85B7A">
        <w:rPr>
          <w:rFonts w:ascii="Times New Roman" w:hAnsi="Times New Roman" w:cs="Times New Roman"/>
          <w:i/>
          <w:iCs/>
        </w:rPr>
        <w:t>5</w:t>
      </w:r>
      <w:r w:rsidRPr="00B85B7A">
        <w:rPr>
          <w:rFonts w:ascii="Times New Roman" w:hAnsi="Times New Roman" w:cs="Times New Roman"/>
        </w:rPr>
        <w:t>(7), 100974–100974. https://doi.org/10.1016/j.patter.2024.100974</w:t>
      </w:r>
    </w:p>
    <w:p w14:paraId="32265CF2"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Patki, N., Wedge, R., &amp; Veeramachaneni, K. (2016). The Synthetic Data Vault. </w:t>
      </w:r>
      <w:r w:rsidRPr="00B85B7A">
        <w:rPr>
          <w:rFonts w:ascii="Times New Roman" w:hAnsi="Times New Roman" w:cs="Times New Roman"/>
          <w:i/>
          <w:iCs/>
        </w:rPr>
        <w:t>2016 IEEE International Conference on Data Science and Advanced Analytics (DSAA)</w:t>
      </w:r>
      <w:r w:rsidRPr="00B85B7A">
        <w:rPr>
          <w:rFonts w:ascii="Times New Roman" w:hAnsi="Times New Roman" w:cs="Times New Roman"/>
        </w:rPr>
        <w:t>. https://doi.org/10.1109/dsaa.2016.49</w:t>
      </w:r>
    </w:p>
    <w:p w14:paraId="04C88F9A"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Pezoulas, V. C., Zaridis, D. I., Mylona, E., Androutsos, C., Apostolidis, K., Tachos, N. S., &amp; Fotiadis, D. I. (2024). Synthetic data generation methods in healthcare: A review on open-source tools and methods. </w:t>
      </w:r>
      <w:r w:rsidRPr="00B85B7A">
        <w:rPr>
          <w:rFonts w:ascii="Times New Roman" w:hAnsi="Times New Roman" w:cs="Times New Roman"/>
          <w:i/>
          <w:iCs/>
        </w:rPr>
        <w:t>Computational and Structural Biotechnology Journal</w:t>
      </w:r>
      <w:r w:rsidRPr="00B85B7A">
        <w:rPr>
          <w:rFonts w:ascii="Times New Roman" w:hAnsi="Times New Roman" w:cs="Times New Roman"/>
        </w:rPr>
        <w:t xml:space="preserve">, </w:t>
      </w:r>
      <w:r w:rsidRPr="00B85B7A">
        <w:rPr>
          <w:rFonts w:ascii="Times New Roman" w:hAnsi="Times New Roman" w:cs="Times New Roman"/>
          <w:i/>
          <w:iCs/>
        </w:rPr>
        <w:t>23</w:t>
      </w:r>
      <w:r w:rsidRPr="00B85B7A">
        <w:rPr>
          <w:rFonts w:ascii="Times New Roman" w:hAnsi="Times New Roman" w:cs="Times New Roman"/>
        </w:rPr>
        <w:t>, 2892–2910. https://doi.org/10.1016/j.csbj.2024.07.005</w:t>
      </w:r>
    </w:p>
    <w:p w14:paraId="1D39B8B3"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Pollard, T. J., Johnson, A. E. W., Raffa, J. D., Celi, L. A., Mark, R. G., &amp; Badawi, O. (2018). The eICU Collaborative Research Database, a freely available multi-center database for critical care research. </w:t>
      </w:r>
      <w:r w:rsidRPr="00B85B7A">
        <w:rPr>
          <w:rFonts w:ascii="Times New Roman" w:hAnsi="Times New Roman" w:cs="Times New Roman"/>
          <w:i/>
          <w:iCs/>
        </w:rPr>
        <w:t>Scientific Data</w:t>
      </w:r>
      <w:r w:rsidRPr="00B85B7A">
        <w:rPr>
          <w:rFonts w:ascii="Times New Roman" w:hAnsi="Times New Roman" w:cs="Times New Roman"/>
        </w:rPr>
        <w:t xml:space="preserve">, </w:t>
      </w:r>
      <w:r w:rsidRPr="00B85B7A">
        <w:rPr>
          <w:rFonts w:ascii="Times New Roman" w:hAnsi="Times New Roman" w:cs="Times New Roman"/>
          <w:i/>
          <w:iCs/>
        </w:rPr>
        <w:t>5</w:t>
      </w:r>
      <w:r w:rsidRPr="00B85B7A">
        <w:rPr>
          <w:rFonts w:ascii="Times New Roman" w:hAnsi="Times New Roman" w:cs="Times New Roman"/>
        </w:rPr>
        <w:t>(1). https://doi.org/10.1038/sdata.2018.178</w:t>
      </w:r>
    </w:p>
    <w:p w14:paraId="4A6F75E1"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lastRenderedPageBreak/>
        <w:t xml:space="preserve">Prictor, M., Lewis, M. A., Newson, A. J., Haas, M., Baba, S., Kim, H., Kokado, M., Minari, J., Molnár-Gábor, F., Yamamoto, B., Kaye, J., &amp; Teare, H. J. A. (2019). Dynamic Consent: An Evaluation and Reporting Framework. </w:t>
      </w:r>
      <w:r w:rsidRPr="00B85B7A">
        <w:rPr>
          <w:rFonts w:ascii="Times New Roman" w:hAnsi="Times New Roman" w:cs="Times New Roman"/>
          <w:i/>
          <w:iCs/>
        </w:rPr>
        <w:t>Journal of Empirical Research on Human Research Ethics</w:t>
      </w:r>
      <w:r w:rsidRPr="00B85B7A">
        <w:rPr>
          <w:rFonts w:ascii="Times New Roman" w:hAnsi="Times New Roman" w:cs="Times New Roman"/>
        </w:rPr>
        <w:t xml:space="preserve">, </w:t>
      </w:r>
      <w:r w:rsidRPr="00B85B7A">
        <w:rPr>
          <w:rFonts w:ascii="Times New Roman" w:hAnsi="Times New Roman" w:cs="Times New Roman"/>
          <w:i/>
          <w:iCs/>
        </w:rPr>
        <w:t>15</w:t>
      </w:r>
      <w:r w:rsidRPr="00B85B7A">
        <w:rPr>
          <w:rFonts w:ascii="Times New Roman" w:hAnsi="Times New Roman" w:cs="Times New Roman"/>
        </w:rPr>
        <w:t>(3), 175–186. https://doi.org/10.1177/1556264619887073</w:t>
      </w:r>
    </w:p>
    <w:p w14:paraId="310A2430"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Qian, Z., Cebere, B.-C., &amp; van. (2023). Synthcity: facilitating innovative use cases of synthetic data in different data modalities. </w:t>
      </w:r>
      <w:r w:rsidRPr="00B85B7A">
        <w:rPr>
          <w:rFonts w:ascii="Times New Roman" w:hAnsi="Times New Roman" w:cs="Times New Roman"/>
          <w:i/>
          <w:iCs/>
        </w:rPr>
        <w:t>ArXiv (Cornell University)</w:t>
      </w:r>
      <w:r w:rsidRPr="00B85B7A">
        <w:rPr>
          <w:rFonts w:ascii="Times New Roman" w:hAnsi="Times New Roman" w:cs="Times New Roman"/>
        </w:rPr>
        <w:t>. https://doi.org/10.48550/arxiv.2301.07573</w:t>
      </w:r>
    </w:p>
    <w:p w14:paraId="6D1B0B0B"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Rao, H., Liu, W., Wang, H., Huang, I-Chan., &amp; Huang, X. (2025, June 19). </w:t>
      </w:r>
      <w:r w:rsidRPr="00B85B7A">
        <w:rPr>
          <w:rFonts w:ascii="Times New Roman" w:hAnsi="Times New Roman" w:cs="Times New Roman"/>
          <w:i/>
          <w:iCs/>
        </w:rPr>
        <w:t>A Scoping Review of Synthetic Data Generation for Biomedical Research and Applications</w:t>
      </w:r>
      <w:r w:rsidRPr="00B85B7A">
        <w:rPr>
          <w:rFonts w:ascii="Times New Roman" w:hAnsi="Times New Roman" w:cs="Times New Roman"/>
        </w:rPr>
        <w:t>. https://doi.org/10.48550/arXiv.2506.16594</w:t>
      </w:r>
    </w:p>
    <w:p w14:paraId="41839B62"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Rujas, M., Martín Gómez del Moral Herranz, R., Fico, G., &amp; Merino-Barbancho, B. (2024). Synthetic data generation in healthcare: A scoping review of reviews on domains, motivations, and future applications. </w:t>
      </w:r>
      <w:r w:rsidRPr="00B85B7A">
        <w:rPr>
          <w:rFonts w:ascii="Times New Roman" w:hAnsi="Times New Roman" w:cs="Times New Roman"/>
          <w:i/>
          <w:iCs/>
        </w:rPr>
        <w:t>International Journal of Medical Informatics</w:t>
      </w:r>
      <w:r w:rsidRPr="00B85B7A">
        <w:rPr>
          <w:rFonts w:ascii="Times New Roman" w:hAnsi="Times New Roman" w:cs="Times New Roman"/>
        </w:rPr>
        <w:t xml:space="preserve">, </w:t>
      </w:r>
      <w:r w:rsidRPr="00B85B7A">
        <w:rPr>
          <w:rFonts w:ascii="Times New Roman" w:hAnsi="Times New Roman" w:cs="Times New Roman"/>
          <w:i/>
          <w:iCs/>
        </w:rPr>
        <w:t>195</w:t>
      </w:r>
      <w:r w:rsidRPr="00B85B7A">
        <w:rPr>
          <w:rFonts w:ascii="Times New Roman" w:hAnsi="Times New Roman" w:cs="Times New Roman"/>
        </w:rPr>
        <w:t>, 105763. https://doi.org/10.1016/j.ijmedinf.2024.105763</w:t>
      </w:r>
    </w:p>
    <w:p w14:paraId="70ECD823"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Sasseville, M., Ouellet, S., Rhéaume, C., Sahlia, M., Couture, V., Després, P., Paquette, J.-S., Darmon, D., Bergeron, F., &amp; Gagnon, M.-P. (2025). Bias Mitigation in Primary Health Care Artificial Intelligence Models: Scoping Review. </w:t>
      </w:r>
      <w:r w:rsidRPr="00B85B7A">
        <w:rPr>
          <w:rFonts w:ascii="Times New Roman" w:hAnsi="Times New Roman" w:cs="Times New Roman"/>
          <w:i/>
          <w:iCs/>
        </w:rPr>
        <w:t>Journal of Medical Internet Research</w:t>
      </w:r>
      <w:r w:rsidRPr="00B85B7A">
        <w:rPr>
          <w:rFonts w:ascii="Times New Roman" w:hAnsi="Times New Roman" w:cs="Times New Roman"/>
        </w:rPr>
        <w:t xml:space="preserve">, </w:t>
      </w:r>
      <w:r w:rsidRPr="00B85B7A">
        <w:rPr>
          <w:rFonts w:ascii="Times New Roman" w:hAnsi="Times New Roman" w:cs="Times New Roman"/>
          <w:i/>
          <w:iCs/>
        </w:rPr>
        <w:t>27</w:t>
      </w:r>
      <w:r w:rsidRPr="00B85B7A">
        <w:rPr>
          <w:rFonts w:ascii="Times New Roman" w:hAnsi="Times New Roman" w:cs="Times New Roman"/>
        </w:rPr>
        <w:t>. https://doi.org/10.2196/60269</w:t>
      </w:r>
    </w:p>
    <w:p w14:paraId="492CB93D"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Shahul Hameed, M. A., Qureshi, A. M., &amp; Kaushik, A. (2024). Bias Mitigation via Synthetic Data Generation: A Review. </w:t>
      </w:r>
      <w:r w:rsidRPr="00B85B7A">
        <w:rPr>
          <w:rFonts w:ascii="Times New Roman" w:hAnsi="Times New Roman" w:cs="Times New Roman"/>
          <w:i/>
          <w:iCs/>
        </w:rPr>
        <w:t>Electronics</w:t>
      </w:r>
      <w:r w:rsidRPr="00B85B7A">
        <w:rPr>
          <w:rFonts w:ascii="Times New Roman" w:hAnsi="Times New Roman" w:cs="Times New Roman"/>
        </w:rPr>
        <w:t xml:space="preserve">, </w:t>
      </w:r>
      <w:r w:rsidRPr="00B85B7A">
        <w:rPr>
          <w:rFonts w:ascii="Times New Roman" w:hAnsi="Times New Roman" w:cs="Times New Roman"/>
          <w:i/>
          <w:iCs/>
        </w:rPr>
        <w:t>13</w:t>
      </w:r>
      <w:r w:rsidRPr="00B85B7A">
        <w:rPr>
          <w:rFonts w:ascii="Times New Roman" w:hAnsi="Times New Roman" w:cs="Times New Roman"/>
        </w:rPr>
        <w:t>(19), 3909. https://doi.org/10.3390/electronics13193909</w:t>
      </w:r>
    </w:p>
    <w:p w14:paraId="53CB432F"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Torfi, A., Fox, E. A., &amp; Reddy, C. K. (2022). Differentially private synthetic medical data generation using convolutional GANs. </w:t>
      </w:r>
      <w:r w:rsidRPr="00B85B7A">
        <w:rPr>
          <w:rFonts w:ascii="Times New Roman" w:hAnsi="Times New Roman" w:cs="Times New Roman"/>
          <w:i/>
          <w:iCs/>
        </w:rPr>
        <w:t>Information Sciences</w:t>
      </w:r>
      <w:r w:rsidRPr="00B85B7A">
        <w:rPr>
          <w:rFonts w:ascii="Times New Roman" w:hAnsi="Times New Roman" w:cs="Times New Roman"/>
        </w:rPr>
        <w:t xml:space="preserve">, </w:t>
      </w:r>
      <w:r w:rsidRPr="00B85B7A">
        <w:rPr>
          <w:rFonts w:ascii="Times New Roman" w:hAnsi="Times New Roman" w:cs="Times New Roman"/>
          <w:i/>
          <w:iCs/>
        </w:rPr>
        <w:t>586</w:t>
      </w:r>
      <w:r w:rsidRPr="00B85B7A">
        <w:rPr>
          <w:rFonts w:ascii="Times New Roman" w:hAnsi="Times New Roman" w:cs="Times New Roman"/>
        </w:rPr>
        <w:t>, 485–500. https://doi.org/10.1016/j.ins.2021.12.018</w:t>
      </w:r>
    </w:p>
    <w:p w14:paraId="37DD3CBD"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Tucker, A., Wang, Z., Rotalinti, Y., &amp; Myles, P. (2020). Generating high-fidelity synthetic patient data for assessing machine learning healthcare software. </w:t>
      </w:r>
      <w:r w:rsidRPr="00B85B7A">
        <w:rPr>
          <w:rFonts w:ascii="Times New Roman" w:hAnsi="Times New Roman" w:cs="Times New Roman"/>
          <w:i/>
          <w:iCs/>
        </w:rPr>
        <w:t>Npj Digital Medicine</w:t>
      </w:r>
      <w:r w:rsidRPr="00B85B7A">
        <w:rPr>
          <w:rFonts w:ascii="Times New Roman" w:hAnsi="Times New Roman" w:cs="Times New Roman"/>
        </w:rPr>
        <w:t xml:space="preserve">, </w:t>
      </w:r>
      <w:r w:rsidRPr="00B85B7A">
        <w:rPr>
          <w:rFonts w:ascii="Times New Roman" w:hAnsi="Times New Roman" w:cs="Times New Roman"/>
          <w:i/>
          <w:iCs/>
        </w:rPr>
        <w:t>3</w:t>
      </w:r>
      <w:r w:rsidRPr="00B85B7A">
        <w:rPr>
          <w:rFonts w:ascii="Times New Roman" w:hAnsi="Times New Roman" w:cs="Times New Roman"/>
        </w:rPr>
        <w:t>(1). https://doi.org/10.1038/s41746-020-00353-9</w:t>
      </w:r>
    </w:p>
    <w:p w14:paraId="3D6FF042"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lastRenderedPageBreak/>
        <w:t xml:space="preserve">Uridge, E., Rowell, S. C., Gaitan, E., Lin, T. Y., Carter, T., &amp; Brinkman, E. (2025). </w:t>
      </w:r>
      <w:r w:rsidRPr="00B85B7A">
        <w:rPr>
          <w:rFonts w:ascii="Times New Roman" w:hAnsi="Times New Roman" w:cs="Times New Roman"/>
          <w:i/>
          <w:iCs/>
        </w:rPr>
        <w:t>Literature Review: Examining the Key Considerations for the Use of Artificial Intelligence in Public Health and Health Care Supplement to Developing Artificial Intelligence Policies for Public Health Organizations: A Template and Guidance</w:t>
      </w:r>
      <w:r w:rsidRPr="00B85B7A">
        <w:rPr>
          <w:rFonts w:ascii="Times New Roman" w:hAnsi="Times New Roman" w:cs="Times New Roman"/>
        </w:rPr>
        <w:t>. https://www.khi.org/wp-content/uploads/2025/01/Literature-Review-AI-in-Public-Health-web.pdf</w:t>
      </w:r>
    </w:p>
    <w:p w14:paraId="0A60E667"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Vallevik, V. B., Babic, A., Marshall, S. E., Elvatun, S., Brøgger, H. M. B., Alagaratnam, S., Edwin, B., Veeraragavan, N. R., Befring, A. K., &amp; Nygård, J. F. (2024). Can I trust my fake data – A comprehensive quality assessment framework for synthetic tabular data in healthcare. </w:t>
      </w:r>
      <w:r w:rsidRPr="00B85B7A">
        <w:rPr>
          <w:rFonts w:ascii="Times New Roman" w:hAnsi="Times New Roman" w:cs="Times New Roman"/>
          <w:i/>
          <w:iCs/>
        </w:rPr>
        <w:t>International Journal of Medical Informatics</w:t>
      </w:r>
      <w:r w:rsidRPr="00B85B7A">
        <w:rPr>
          <w:rFonts w:ascii="Times New Roman" w:hAnsi="Times New Roman" w:cs="Times New Roman"/>
        </w:rPr>
        <w:t xml:space="preserve">, </w:t>
      </w:r>
      <w:r w:rsidRPr="00B85B7A">
        <w:rPr>
          <w:rFonts w:ascii="Times New Roman" w:hAnsi="Times New Roman" w:cs="Times New Roman"/>
          <w:i/>
          <w:iCs/>
        </w:rPr>
        <w:t>185</w:t>
      </w:r>
      <w:r w:rsidRPr="00B85B7A">
        <w:rPr>
          <w:rFonts w:ascii="Times New Roman" w:hAnsi="Times New Roman" w:cs="Times New Roman"/>
        </w:rPr>
        <w:t>, 105413. https://doi.org/10.1016/j.ijmedinf.2024.105413</w:t>
      </w:r>
    </w:p>
    <w:p w14:paraId="4273A967"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Xiong, E., Bonner, C., King, A., Bourne, Z., Morgan, M., Tolosa, M. X., Stanton, T., &amp; Greaves, K. (2024). Insights from the Development of a Dynamic Consent Platform for the ATHENA Program: Original Paper (Preprint). </w:t>
      </w:r>
      <w:r w:rsidRPr="00B85B7A">
        <w:rPr>
          <w:rFonts w:ascii="Times New Roman" w:hAnsi="Times New Roman" w:cs="Times New Roman"/>
          <w:i/>
          <w:iCs/>
        </w:rPr>
        <w:t>JMIR Formative Research</w:t>
      </w:r>
      <w:r w:rsidRPr="00B85B7A">
        <w:rPr>
          <w:rFonts w:ascii="Times New Roman" w:hAnsi="Times New Roman" w:cs="Times New Roman"/>
        </w:rPr>
        <w:t>. https://doi.org/10.2196/57165</w:t>
      </w:r>
    </w:p>
    <w:p w14:paraId="6A369FCB"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Yale, A., Dash, S., Dutta, R., Guyon, I., Pavao, A., &amp; Bennett, K. P. (2019). Privacy Preserving Synthetic Health Data. </w:t>
      </w:r>
      <w:r w:rsidRPr="00B85B7A">
        <w:rPr>
          <w:rFonts w:ascii="Times New Roman" w:hAnsi="Times New Roman" w:cs="Times New Roman"/>
          <w:i/>
          <w:iCs/>
        </w:rPr>
        <w:t>Hal.science</w:t>
      </w:r>
      <w:r w:rsidRPr="00B85B7A">
        <w:rPr>
          <w:rFonts w:ascii="Times New Roman" w:hAnsi="Times New Roman" w:cs="Times New Roman"/>
        </w:rPr>
        <w:t>. https://inria.hal.science/hal-02160496</w:t>
      </w:r>
    </w:p>
    <w:p w14:paraId="4C9D249C"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Zamzmi, G., Subbaswamy, A., Sizikova, E., Margerrison, E., Delfino, J. G., &amp; Badano, A. (2025). Scorecard for synthetic medical data evaluation. </w:t>
      </w:r>
      <w:r w:rsidRPr="00B85B7A">
        <w:rPr>
          <w:rFonts w:ascii="Times New Roman" w:hAnsi="Times New Roman" w:cs="Times New Roman"/>
          <w:i/>
          <w:iCs/>
        </w:rPr>
        <w:t>Communications Engineering</w:t>
      </w:r>
      <w:r w:rsidRPr="00B85B7A">
        <w:rPr>
          <w:rFonts w:ascii="Times New Roman" w:hAnsi="Times New Roman" w:cs="Times New Roman"/>
        </w:rPr>
        <w:t xml:space="preserve">, </w:t>
      </w:r>
      <w:r w:rsidRPr="00B85B7A">
        <w:rPr>
          <w:rFonts w:ascii="Times New Roman" w:hAnsi="Times New Roman" w:cs="Times New Roman"/>
          <w:i/>
          <w:iCs/>
        </w:rPr>
        <w:t>4</w:t>
      </w:r>
      <w:r w:rsidRPr="00B85B7A">
        <w:rPr>
          <w:rFonts w:ascii="Times New Roman" w:hAnsi="Times New Roman" w:cs="Times New Roman"/>
        </w:rPr>
        <w:t>(1), 130. https://doi.org/10.1038/s44172-025-00450-1</w:t>
      </w:r>
    </w:p>
    <w:p w14:paraId="439243CC" w14:textId="77777777" w:rsidR="00B85B7A" w:rsidRPr="00B85B7A" w:rsidRDefault="00B85B7A" w:rsidP="00B85B7A">
      <w:pPr>
        <w:spacing w:line="360" w:lineRule="auto"/>
        <w:ind w:left="720" w:hanging="720"/>
        <w:jc w:val="both"/>
        <w:rPr>
          <w:rFonts w:ascii="Times New Roman" w:hAnsi="Times New Roman" w:cs="Times New Roman"/>
        </w:rPr>
      </w:pPr>
      <w:r w:rsidRPr="00B85B7A">
        <w:rPr>
          <w:rFonts w:ascii="Times New Roman" w:hAnsi="Times New Roman" w:cs="Times New Roman"/>
        </w:rPr>
        <w:t xml:space="preserve">Zhang, Z., Yan, C., &amp; Malin, B. A. (2022). Membership inference attacks against synthetic health data. </w:t>
      </w:r>
      <w:r w:rsidRPr="00B85B7A">
        <w:rPr>
          <w:rFonts w:ascii="Times New Roman" w:hAnsi="Times New Roman" w:cs="Times New Roman"/>
          <w:i/>
          <w:iCs/>
        </w:rPr>
        <w:t>Journal of Biomedical Informatics</w:t>
      </w:r>
      <w:r w:rsidRPr="00B85B7A">
        <w:rPr>
          <w:rFonts w:ascii="Times New Roman" w:hAnsi="Times New Roman" w:cs="Times New Roman"/>
        </w:rPr>
        <w:t xml:space="preserve">, </w:t>
      </w:r>
      <w:r w:rsidRPr="00B85B7A">
        <w:rPr>
          <w:rFonts w:ascii="Times New Roman" w:hAnsi="Times New Roman" w:cs="Times New Roman"/>
          <w:i/>
          <w:iCs/>
        </w:rPr>
        <w:t>125</w:t>
      </w:r>
      <w:r w:rsidRPr="00B85B7A">
        <w:rPr>
          <w:rFonts w:ascii="Times New Roman" w:hAnsi="Times New Roman" w:cs="Times New Roman"/>
        </w:rPr>
        <w:t>, 103977. https://doi.org/10.1016/j.jbi.2021.103977</w:t>
      </w:r>
    </w:p>
    <w:p w14:paraId="2C7AA195" w14:textId="77777777" w:rsidR="00333980" w:rsidRDefault="00333980" w:rsidP="00333980">
      <w:pPr>
        <w:ind w:left="720" w:hanging="720"/>
      </w:pPr>
    </w:p>
    <w:p w14:paraId="7795AE56" w14:textId="77777777" w:rsidR="00333980" w:rsidRPr="0012229E" w:rsidRDefault="00333980" w:rsidP="00333980">
      <w:pPr>
        <w:ind w:left="720" w:hanging="720"/>
      </w:pPr>
    </w:p>
    <w:p w14:paraId="557CCA0E" w14:textId="77777777" w:rsidR="009A200D" w:rsidRPr="007710F7" w:rsidRDefault="009A200D" w:rsidP="00B85B7A">
      <w:pPr>
        <w:spacing w:line="360" w:lineRule="auto"/>
        <w:jc w:val="both"/>
        <w:rPr>
          <w:rFonts w:ascii="Times New Roman" w:hAnsi="Times New Roman" w:cs="Times New Roman"/>
        </w:rPr>
      </w:pPr>
    </w:p>
    <w:p w14:paraId="310FE7C6" w14:textId="77777777" w:rsidR="009577D3" w:rsidRPr="007710F7" w:rsidRDefault="009577D3" w:rsidP="00333980">
      <w:pPr>
        <w:spacing w:line="360" w:lineRule="auto"/>
        <w:ind w:left="720" w:hanging="720"/>
        <w:jc w:val="both"/>
        <w:rPr>
          <w:rFonts w:ascii="Times New Roman" w:hAnsi="Times New Roman" w:cs="Times New Roman"/>
        </w:rPr>
      </w:pPr>
    </w:p>
    <w:sectPr w:rsidR="009577D3" w:rsidRPr="007710F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598A" w14:textId="77777777" w:rsidR="00E1768B" w:rsidRDefault="00E1768B" w:rsidP="00B86542">
      <w:pPr>
        <w:spacing w:after="0" w:line="240" w:lineRule="auto"/>
      </w:pPr>
      <w:r>
        <w:separator/>
      </w:r>
    </w:p>
  </w:endnote>
  <w:endnote w:type="continuationSeparator" w:id="0">
    <w:p w14:paraId="3391C166" w14:textId="77777777" w:rsidR="00E1768B" w:rsidRDefault="00E1768B" w:rsidP="00B8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4220" w14:textId="77777777" w:rsidR="00B86542" w:rsidRDefault="00B8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E3E" w14:textId="77777777" w:rsidR="00B86542" w:rsidRDefault="00B8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8977" w14:textId="77777777" w:rsidR="00B86542" w:rsidRDefault="00B8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64EC" w14:textId="77777777" w:rsidR="00E1768B" w:rsidRDefault="00E1768B" w:rsidP="00B86542">
      <w:pPr>
        <w:spacing w:after="0" w:line="240" w:lineRule="auto"/>
      </w:pPr>
      <w:r>
        <w:separator/>
      </w:r>
    </w:p>
  </w:footnote>
  <w:footnote w:type="continuationSeparator" w:id="0">
    <w:p w14:paraId="4E82C51F" w14:textId="77777777" w:rsidR="00E1768B" w:rsidRDefault="00E1768B" w:rsidP="00B86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33DE" w14:textId="5E73F460" w:rsidR="00B86542" w:rsidRDefault="00000000">
    <w:pPr>
      <w:pStyle w:val="Header"/>
    </w:pPr>
    <w:r>
      <w:rPr>
        <w:noProof/>
      </w:rPr>
      <w:pict w14:anchorId="5F731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356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92F" w14:textId="7540D03E" w:rsidR="00B86542" w:rsidRDefault="00000000">
    <w:pPr>
      <w:pStyle w:val="Header"/>
    </w:pPr>
    <w:r>
      <w:rPr>
        <w:noProof/>
      </w:rPr>
      <w:pict w14:anchorId="202CE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3561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47F3" w14:textId="76067F07" w:rsidR="00B86542" w:rsidRDefault="00000000">
    <w:pPr>
      <w:pStyle w:val="Header"/>
    </w:pPr>
    <w:r>
      <w:rPr>
        <w:noProof/>
      </w:rPr>
      <w:pict w14:anchorId="0E769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356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20843"/>
    <w:multiLevelType w:val="hybridMultilevel"/>
    <w:tmpl w:val="3AAC4D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69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D3"/>
    <w:rsid w:val="000259FC"/>
    <w:rsid w:val="00026865"/>
    <w:rsid w:val="00144AC2"/>
    <w:rsid w:val="001656BB"/>
    <w:rsid w:val="001A181D"/>
    <w:rsid w:val="001B5EE8"/>
    <w:rsid w:val="00245F07"/>
    <w:rsid w:val="00293FBA"/>
    <w:rsid w:val="00333980"/>
    <w:rsid w:val="003A425C"/>
    <w:rsid w:val="003C29D7"/>
    <w:rsid w:val="003C3DD1"/>
    <w:rsid w:val="003F5554"/>
    <w:rsid w:val="004A3458"/>
    <w:rsid w:val="004C2B8E"/>
    <w:rsid w:val="0053397E"/>
    <w:rsid w:val="00556376"/>
    <w:rsid w:val="0064713D"/>
    <w:rsid w:val="00651624"/>
    <w:rsid w:val="0065501E"/>
    <w:rsid w:val="00667BC0"/>
    <w:rsid w:val="006E6CD5"/>
    <w:rsid w:val="00747895"/>
    <w:rsid w:val="007710F7"/>
    <w:rsid w:val="00937A09"/>
    <w:rsid w:val="009577D3"/>
    <w:rsid w:val="00996B70"/>
    <w:rsid w:val="009A200D"/>
    <w:rsid w:val="00A017D3"/>
    <w:rsid w:val="00A466C5"/>
    <w:rsid w:val="00AB5191"/>
    <w:rsid w:val="00AC27CC"/>
    <w:rsid w:val="00AD1C4C"/>
    <w:rsid w:val="00B85B7A"/>
    <w:rsid w:val="00B86542"/>
    <w:rsid w:val="00B87A0E"/>
    <w:rsid w:val="00C11560"/>
    <w:rsid w:val="00C4328E"/>
    <w:rsid w:val="00CA534D"/>
    <w:rsid w:val="00CA605B"/>
    <w:rsid w:val="00D232ED"/>
    <w:rsid w:val="00D25CDA"/>
    <w:rsid w:val="00D40A1F"/>
    <w:rsid w:val="00DA6272"/>
    <w:rsid w:val="00DC1735"/>
    <w:rsid w:val="00DF7DDC"/>
    <w:rsid w:val="00E1768B"/>
    <w:rsid w:val="00E9720A"/>
    <w:rsid w:val="00F1545E"/>
    <w:rsid w:val="00F44290"/>
    <w:rsid w:val="00FB1521"/>
    <w:rsid w:val="00FD04E3"/>
    <w:rsid w:val="00FF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4F1A1"/>
  <w15:chartTrackingRefBased/>
  <w15:docId w15:val="{D9966EBE-AD1E-4F64-8E8D-6EF50CA7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D5"/>
  </w:style>
  <w:style w:type="paragraph" w:styleId="Heading1">
    <w:name w:val="heading 1"/>
    <w:basedOn w:val="Normal"/>
    <w:next w:val="Normal"/>
    <w:link w:val="Heading1Char"/>
    <w:uiPriority w:val="9"/>
    <w:qFormat/>
    <w:rsid w:val="00957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7D3"/>
    <w:rPr>
      <w:rFonts w:eastAsiaTheme="majorEastAsia" w:cstheme="majorBidi"/>
      <w:color w:val="272727" w:themeColor="text1" w:themeTint="D8"/>
    </w:rPr>
  </w:style>
  <w:style w:type="paragraph" w:styleId="Title">
    <w:name w:val="Title"/>
    <w:basedOn w:val="Normal"/>
    <w:next w:val="Normal"/>
    <w:link w:val="TitleChar"/>
    <w:uiPriority w:val="10"/>
    <w:qFormat/>
    <w:rsid w:val="00957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7D3"/>
    <w:pPr>
      <w:spacing w:before="160"/>
      <w:jc w:val="center"/>
    </w:pPr>
    <w:rPr>
      <w:i/>
      <w:iCs/>
      <w:color w:val="404040" w:themeColor="text1" w:themeTint="BF"/>
    </w:rPr>
  </w:style>
  <w:style w:type="character" w:customStyle="1" w:styleId="QuoteChar">
    <w:name w:val="Quote Char"/>
    <w:basedOn w:val="DefaultParagraphFont"/>
    <w:link w:val="Quote"/>
    <w:uiPriority w:val="29"/>
    <w:rsid w:val="009577D3"/>
    <w:rPr>
      <w:i/>
      <w:iCs/>
      <w:color w:val="404040" w:themeColor="text1" w:themeTint="BF"/>
    </w:rPr>
  </w:style>
  <w:style w:type="paragraph" w:styleId="ListParagraph">
    <w:name w:val="List Paragraph"/>
    <w:basedOn w:val="Normal"/>
    <w:uiPriority w:val="34"/>
    <w:qFormat/>
    <w:rsid w:val="009577D3"/>
    <w:pPr>
      <w:ind w:left="720"/>
      <w:contextualSpacing/>
    </w:pPr>
  </w:style>
  <w:style w:type="character" w:styleId="IntenseEmphasis">
    <w:name w:val="Intense Emphasis"/>
    <w:basedOn w:val="DefaultParagraphFont"/>
    <w:uiPriority w:val="21"/>
    <w:qFormat/>
    <w:rsid w:val="009577D3"/>
    <w:rPr>
      <w:i/>
      <w:iCs/>
      <w:color w:val="0F4761" w:themeColor="accent1" w:themeShade="BF"/>
    </w:rPr>
  </w:style>
  <w:style w:type="paragraph" w:styleId="IntenseQuote">
    <w:name w:val="Intense Quote"/>
    <w:basedOn w:val="Normal"/>
    <w:next w:val="Normal"/>
    <w:link w:val="IntenseQuoteChar"/>
    <w:uiPriority w:val="30"/>
    <w:qFormat/>
    <w:rsid w:val="00957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7D3"/>
    <w:rPr>
      <w:i/>
      <w:iCs/>
      <w:color w:val="0F4761" w:themeColor="accent1" w:themeShade="BF"/>
    </w:rPr>
  </w:style>
  <w:style w:type="character" w:styleId="IntenseReference">
    <w:name w:val="Intense Reference"/>
    <w:basedOn w:val="DefaultParagraphFont"/>
    <w:uiPriority w:val="32"/>
    <w:qFormat/>
    <w:rsid w:val="009577D3"/>
    <w:rPr>
      <w:b/>
      <w:bCs/>
      <w:smallCaps/>
      <w:color w:val="0F4761" w:themeColor="accent1" w:themeShade="BF"/>
      <w:spacing w:val="5"/>
    </w:rPr>
  </w:style>
  <w:style w:type="character" w:styleId="Hyperlink">
    <w:name w:val="Hyperlink"/>
    <w:basedOn w:val="DefaultParagraphFont"/>
    <w:uiPriority w:val="99"/>
    <w:unhideWhenUsed/>
    <w:rsid w:val="00333980"/>
    <w:rPr>
      <w:color w:val="467886" w:themeColor="hyperlink"/>
      <w:u w:val="single"/>
    </w:rPr>
  </w:style>
  <w:style w:type="character" w:styleId="UnresolvedMention">
    <w:name w:val="Unresolved Mention"/>
    <w:basedOn w:val="DefaultParagraphFont"/>
    <w:uiPriority w:val="99"/>
    <w:semiHidden/>
    <w:unhideWhenUsed/>
    <w:rsid w:val="00026865"/>
    <w:rPr>
      <w:color w:val="605E5C"/>
      <w:shd w:val="clear" w:color="auto" w:fill="E1DFDD"/>
    </w:rPr>
  </w:style>
  <w:style w:type="paragraph" w:styleId="NoSpacing">
    <w:name w:val="No Spacing"/>
    <w:uiPriority w:val="1"/>
    <w:qFormat/>
    <w:rsid w:val="00026865"/>
    <w:pPr>
      <w:spacing w:after="0" w:line="240" w:lineRule="auto"/>
    </w:pPr>
    <w:rPr>
      <w:kern w:val="0"/>
      <w:sz w:val="22"/>
      <w:szCs w:val="22"/>
      <w14:ligatures w14:val="none"/>
    </w:rPr>
  </w:style>
  <w:style w:type="paragraph" w:styleId="Header">
    <w:name w:val="header"/>
    <w:basedOn w:val="Normal"/>
    <w:link w:val="HeaderChar"/>
    <w:uiPriority w:val="99"/>
    <w:unhideWhenUsed/>
    <w:rsid w:val="00B8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42"/>
  </w:style>
  <w:style w:type="paragraph" w:styleId="Footer">
    <w:name w:val="footer"/>
    <w:basedOn w:val="Normal"/>
    <w:link w:val="FooterChar"/>
    <w:uiPriority w:val="99"/>
    <w:unhideWhenUsed/>
    <w:rsid w:val="00B8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ajrcos/2024/v17i1051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9734/jerr/2025/v27i10167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jrcos/2024/v17i54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jerr/2025/v27i51500"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77/2055207623119099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F5324-585D-406D-A01E-610E2792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7462</Words>
  <Characters>42536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Editor GP 005</cp:lastModifiedBy>
  <cp:revision>3</cp:revision>
  <cp:lastPrinted>2025-10-16T14:04:00Z</cp:lastPrinted>
  <dcterms:created xsi:type="dcterms:W3CDTF">2025-10-16T14:05:00Z</dcterms:created>
  <dcterms:modified xsi:type="dcterms:W3CDTF">2025-10-21T11:29:00Z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d78e0223-9d84-4172-a3d5-6a64aba973ac</vt:lpwstr>
  </property>
</Properties>
</file>