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E8AF" w14:textId="4C2468D6" w:rsidR="00F459BF" w:rsidRDefault="00347AFB" w:rsidP="00441B6F">
      <w:pPr>
        <w:pStyle w:val="Author"/>
        <w:spacing w:line="240" w:lineRule="auto"/>
        <w:rPr>
          <w:rFonts w:ascii="Arial" w:hAnsi="Arial" w:cs="Arial"/>
          <w:bCs/>
          <w:i/>
          <w:iCs/>
          <w:kern w:val="28"/>
          <w:sz w:val="36"/>
          <w:u w:val="single"/>
        </w:rPr>
      </w:pPr>
      <w:bookmarkStart w:id="0" w:name="_Hlk211069894"/>
      <w:r>
        <w:rPr>
          <w:rFonts w:ascii="Arial" w:hAnsi="Arial" w:cs="Arial"/>
          <w:bCs/>
          <w:i/>
          <w:iCs/>
          <w:kern w:val="28"/>
          <w:sz w:val="36"/>
          <w:u w:val="single"/>
        </w:rPr>
        <w:t>Revision</w:t>
      </w:r>
      <w:r w:rsidR="00F459BF" w:rsidRPr="00F459BF">
        <w:rPr>
          <w:rFonts w:ascii="Arial" w:hAnsi="Arial" w:cs="Arial"/>
          <w:bCs/>
          <w:i/>
          <w:iCs/>
          <w:kern w:val="28"/>
          <w:sz w:val="36"/>
          <w:u w:val="single"/>
        </w:rPr>
        <w:t xml:space="preserve"> Research Article</w:t>
      </w:r>
    </w:p>
    <w:p w14:paraId="3F629AE2" w14:textId="77777777" w:rsidR="00F004A1" w:rsidRDefault="00F004A1" w:rsidP="00441B6F">
      <w:pPr>
        <w:pStyle w:val="Author"/>
        <w:spacing w:line="240" w:lineRule="auto"/>
        <w:rPr>
          <w:rFonts w:ascii="Arial" w:hAnsi="Arial" w:cs="Arial"/>
          <w:bCs/>
          <w:iCs/>
          <w:kern w:val="28"/>
          <w:sz w:val="36"/>
        </w:rPr>
      </w:pPr>
    </w:p>
    <w:p w14:paraId="7AE6DE08" w14:textId="3E68648E" w:rsidR="00163BC4" w:rsidRPr="00163BC4" w:rsidRDefault="00266C02" w:rsidP="00441B6F">
      <w:pPr>
        <w:pStyle w:val="Author"/>
        <w:spacing w:line="240" w:lineRule="auto"/>
        <w:rPr>
          <w:rFonts w:ascii="Arial" w:hAnsi="Arial" w:cs="Arial"/>
          <w:bCs/>
          <w:iCs/>
          <w:kern w:val="28"/>
          <w:sz w:val="36"/>
        </w:rPr>
      </w:pPr>
      <w:r w:rsidRPr="00266C02">
        <w:rPr>
          <w:rFonts w:ascii="Arial" w:hAnsi="Arial" w:cs="Arial"/>
          <w:bCs/>
          <w:iCs/>
          <w:kern w:val="28"/>
          <w:sz w:val="36"/>
        </w:rPr>
        <w:t>Global Standards in Vocational Education: Compliance on Ethical Standards in Vocational Sectors Aligned to Globalization</w:t>
      </w:r>
      <w:r w:rsidR="00231920">
        <w:rPr>
          <w:rFonts w:ascii="Arial" w:hAnsi="Arial" w:cs="Arial"/>
          <w:bCs/>
          <w:iCs/>
          <w:kern w:val="28"/>
          <w:sz w:val="36"/>
        </w:rPr>
        <w:t xml:space="preserve"> </w:t>
      </w:r>
    </w:p>
    <w:bookmarkEnd w:id="0"/>
    <w:p w14:paraId="05E0C33C" w14:textId="77777777" w:rsidR="00A258C3" w:rsidRPr="00790ADA" w:rsidRDefault="00A258C3" w:rsidP="00441B6F">
      <w:pPr>
        <w:pStyle w:val="Author"/>
        <w:spacing w:line="240" w:lineRule="auto"/>
        <w:jc w:val="both"/>
        <w:rPr>
          <w:rFonts w:ascii="Arial" w:hAnsi="Arial" w:cs="Arial"/>
          <w:sz w:val="36"/>
        </w:rPr>
      </w:pPr>
    </w:p>
    <w:p w14:paraId="6F7611C8" w14:textId="77777777" w:rsidR="00790ADA" w:rsidRDefault="00790ADA" w:rsidP="00441B6F">
      <w:pPr>
        <w:pStyle w:val="Affiliation"/>
        <w:spacing w:after="0" w:line="240" w:lineRule="auto"/>
        <w:jc w:val="both"/>
        <w:rPr>
          <w:rFonts w:ascii="Arial" w:hAnsi="Arial" w:cs="Arial"/>
        </w:rPr>
      </w:pPr>
    </w:p>
    <w:p w14:paraId="1F952350" w14:textId="77777777" w:rsidR="002C57D2" w:rsidRPr="00FB3A86" w:rsidRDefault="002C57D2" w:rsidP="00441B6F">
      <w:pPr>
        <w:pStyle w:val="Affiliation"/>
        <w:spacing w:after="0" w:line="240" w:lineRule="auto"/>
        <w:jc w:val="both"/>
        <w:rPr>
          <w:rFonts w:ascii="Arial" w:hAnsi="Arial" w:cs="Arial"/>
        </w:rPr>
      </w:pPr>
    </w:p>
    <w:p w14:paraId="7429AD0F" w14:textId="33878D69" w:rsidR="00B01FCD" w:rsidRDefault="00B01FCD" w:rsidP="00441B6F">
      <w:pPr>
        <w:pStyle w:val="Copyright"/>
        <w:spacing w:after="0" w:line="240" w:lineRule="auto"/>
        <w:jc w:val="both"/>
        <w:rPr>
          <w:rFonts w:ascii="Arial" w:hAnsi="Arial" w:cs="Arial"/>
        </w:rPr>
      </w:pPr>
    </w:p>
    <w:p w14:paraId="4EFE463F" w14:textId="77777777" w:rsidR="0003777F" w:rsidRDefault="0003777F" w:rsidP="00441B6F">
      <w:pPr>
        <w:pStyle w:val="Copyright"/>
        <w:spacing w:after="0" w:line="240" w:lineRule="auto"/>
        <w:jc w:val="both"/>
        <w:rPr>
          <w:rFonts w:ascii="Arial" w:hAnsi="Arial" w:cs="Arial"/>
        </w:rPr>
      </w:pPr>
    </w:p>
    <w:p w14:paraId="24AF8233" w14:textId="1D2ED469" w:rsidR="00B01FCD" w:rsidRDefault="00B01FCD" w:rsidP="00441B6F">
      <w:pPr>
        <w:pStyle w:val="AbstHead"/>
        <w:spacing w:after="0"/>
        <w:jc w:val="both"/>
        <w:rPr>
          <w:rFonts w:ascii="Arial" w:hAnsi="Arial" w:cs="Arial"/>
        </w:rPr>
      </w:pPr>
      <w:r w:rsidRPr="00FB3A86">
        <w:rPr>
          <w:rFonts w:ascii="Arial" w:hAnsi="Arial" w:cs="Arial"/>
        </w:rPr>
        <w:t>ABSTRACT</w:t>
      </w:r>
      <w:r w:rsidR="00D3187E">
        <w:rPr>
          <w:rFonts w:ascii="Arial" w:hAnsi="Arial" w:cs="Arial"/>
        </w:rPr>
        <w:t xml:space="preserve"> </w:t>
      </w:r>
    </w:p>
    <w:p w14:paraId="7C229B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D5DA7F" w14:textId="77777777" w:rsidTr="000A1A88">
        <w:tc>
          <w:tcPr>
            <w:tcW w:w="8198" w:type="dxa"/>
            <w:shd w:val="clear" w:color="auto" w:fill="F2F2F2"/>
          </w:tcPr>
          <w:p w14:paraId="2D742C57" w14:textId="4CDCC137" w:rsidR="00505F06" w:rsidRPr="00266C02" w:rsidRDefault="00266C02" w:rsidP="00D72560">
            <w:pPr>
              <w:pStyle w:val="Body"/>
              <w:spacing w:after="0"/>
              <w:rPr>
                <w:rFonts w:ascii="Arial" w:eastAsia="Calibri" w:hAnsi="Arial" w:cs="Arial"/>
                <w:szCs w:val="22"/>
                <w:lang w:val="en-ID"/>
              </w:rPr>
            </w:pPr>
            <w:r w:rsidRPr="00266C02">
              <w:rPr>
                <w:rFonts w:asciiTheme="minorBidi" w:hAnsiTheme="minorBidi" w:cstheme="minorBidi"/>
                <w:iCs/>
                <w:lang w:val="id-ID"/>
              </w:rPr>
              <w:t xml:space="preserve">This study aims to </w:t>
            </w:r>
            <w:r w:rsidR="00314AB2">
              <w:rPr>
                <w:rFonts w:asciiTheme="minorBidi" w:hAnsiTheme="minorBidi" w:cstheme="minorBidi"/>
                <w:iCs/>
                <w:lang w:val="id-ID"/>
              </w:rPr>
              <w:t>analyse</w:t>
            </w:r>
            <w:r w:rsidR="00314AB2" w:rsidRPr="00266C02">
              <w:rPr>
                <w:rFonts w:asciiTheme="minorBidi" w:hAnsiTheme="minorBidi" w:cstheme="minorBidi"/>
                <w:iCs/>
                <w:lang w:val="id-ID"/>
              </w:rPr>
              <w:t xml:space="preserve"> </w:t>
            </w:r>
            <w:r w:rsidRPr="00266C02">
              <w:rPr>
                <w:rFonts w:asciiTheme="minorBidi" w:hAnsiTheme="minorBidi" w:cstheme="minorBidi"/>
                <w:iCs/>
                <w:lang w:val="id-ID"/>
              </w:rPr>
              <w:t>the hegemony of global standards in vocational education, particularly within the Fishing Vessel Nautical Expertise Program at State Vocational School 5</w:t>
            </w:r>
            <w:r w:rsidR="00314AB2">
              <w:rPr>
                <w:rFonts w:asciiTheme="minorBidi" w:hAnsiTheme="minorBidi" w:cstheme="minorBidi"/>
                <w:iCs/>
                <w:lang w:val="id-ID"/>
              </w:rPr>
              <w:t>,</w:t>
            </w:r>
            <w:r w:rsidRPr="00266C02">
              <w:rPr>
                <w:rFonts w:asciiTheme="minorBidi" w:hAnsiTheme="minorBidi" w:cstheme="minorBidi"/>
                <w:iCs/>
                <w:lang w:val="id-ID"/>
              </w:rPr>
              <w:t xml:space="preserve"> Balikpapan. The </w:t>
            </w:r>
            <w:r w:rsidR="00314AB2">
              <w:rPr>
                <w:rFonts w:asciiTheme="minorBidi" w:hAnsiTheme="minorBidi" w:cstheme="minorBidi"/>
                <w:iCs/>
                <w:lang w:val="id-ID"/>
              </w:rPr>
              <w:t>globalisation</w:t>
            </w:r>
            <w:r w:rsidR="00314AB2" w:rsidRPr="00266C02">
              <w:rPr>
                <w:rFonts w:asciiTheme="minorBidi" w:hAnsiTheme="minorBidi" w:cstheme="minorBidi"/>
                <w:iCs/>
                <w:lang w:val="id-ID"/>
              </w:rPr>
              <w:t xml:space="preserve"> </w:t>
            </w:r>
            <w:r w:rsidRPr="00266C02">
              <w:rPr>
                <w:rFonts w:asciiTheme="minorBidi" w:hAnsiTheme="minorBidi" w:cstheme="minorBidi"/>
                <w:iCs/>
                <w:lang w:val="id-ID"/>
              </w:rPr>
              <w:t xml:space="preserve">of the maritime and fisheries sector has compelled vocational institutions to align their curricula and learning practices with international frameworks such as the International Maritime </w:t>
            </w:r>
            <w:r w:rsidR="00314AB2">
              <w:rPr>
                <w:rFonts w:asciiTheme="minorBidi" w:hAnsiTheme="minorBidi" w:cstheme="minorBidi"/>
                <w:iCs/>
                <w:lang w:val="id-ID"/>
              </w:rPr>
              <w:t>Organisation</w:t>
            </w:r>
            <w:r w:rsidR="00314AB2" w:rsidRPr="00266C02">
              <w:rPr>
                <w:rFonts w:asciiTheme="minorBidi" w:hAnsiTheme="minorBidi" w:cstheme="minorBidi"/>
                <w:iCs/>
                <w:lang w:val="id-ID"/>
              </w:rPr>
              <w:t xml:space="preserve"> </w:t>
            </w:r>
            <w:r w:rsidRPr="00266C02">
              <w:rPr>
                <w:rFonts w:asciiTheme="minorBidi" w:hAnsiTheme="minorBidi" w:cstheme="minorBidi"/>
                <w:iCs/>
                <w:lang w:val="id-ID"/>
              </w:rPr>
              <w:t xml:space="preserve">(IMO) Standards of Training, Certification, and Watchkeeping for Fishing Vessel Personnel (STCW-F). Employing a qualitative case study design, data were collected through in-depth interviews with eight teachers and ten students, participant observations of classroom and field learning activities, and an analysis of five key curriculum and policy documents. Data were </w:t>
            </w:r>
            <w:r w:rsidR="00314AB2">
              <w:rPr>
                <w:rFonts w:asciiTheme="minorBidi" w:hAnsiTheme="minorBidi" w:cstheme="minorBidi"/>
                <w:iCs/>
                <w:lang w:val="id-ID"/>
              </w:rPr>
              <w:t>analysed</w:t>
            </w:r>
            <w:r w:rsidR="00314AB2" w:rsidRPr="00266C02">
              <w:rPr>
                <w:rFonts w:asciiTheme="minorBidi" w:hAnsiTheme="minorBidi" w:cstheme="minorBidi"/>
                <w:iCs/>
                <w:lang w:val="id-ID"/>
              </w:rPr>
              <w:t xml:space="preserve"> </w:t>
            </w:r>
            <w:r w:rsidRPr="00266C02">
              <w:rPr>
                <w:rFonts w:asciiTheme="minorBidi" w:hAnsiTheme="minorBidi" w:cstheme="minorBidi"/>
                <w:iCs/>
                <w:lang w:val="id-ID"/>
              </w:rPr>
              <w:t>using the interactive model of data analysis and interpreted through the lens of Gramsci’s hegemony theory and Teacher Agency Theory to understand how global standards are negotiated at the local level. The findings reveal that the STCW-F standards significantly shape the school’s curriculum structure, learning orientation, and competency certification system, positioning global regulations as a dominant reference point. However, the study also uncovers adaptive strategies by teachers and students, who integrate local maritime knowledge and contextual practices to address facility limitations and economic barriers. One key finding shows that collaborative partnerships with local fishing industries serve as an effective mechanism for balancing international requirements with local capacities. These results demonstrate that the hegemony of global standards operates not merely through compliance but through negotiated adaptation, offering both opportunities for quality enhancement and challenges in maintaining contextual relevance. The study contributes to the development of more responsive and sustainable policies in maritime vocational education.</w:t>
            </w:r>
          </w:p>
        </w:tc>
      </w:tr>
    </w:tbl>
    <w:p w14:paraId="79C33C76" w14:textId="6888E932" w:rsidR="00505F06" w:rsidRPr="00A24E7E" w:rsidRDefault="000A1A88" w:rsidP="00A258DB">
      <w:pPr>
        <w:pStyle w:val="Body"/>
        <w:rPr>
          <w:rFonts w:ascii="Arial" w:hAnsi="Arial" w:cs="Arial"/>
          <w:i/>
        </w:rPr>
      </w:pPr>
      <w:r w:rsidRPr="000A1A88">
        <w:rPr>
          <w:rFonts w:ascii="Arial" w:hAnsi="Arial" w:cs="Arial"/>
          <w:i/>
        </w:rPr>
        <w:t>Keywords: hegemony, global standards, vocational education, fishing vessel nautical</w:t>
      </w:r>
      <w:r w:rsidR="00A60E7A">
        <w:rPr>
          <w:rFonts w:ascii="Arial" w:hAnsi="Arial" w:cs="Arial"/>
          <w:i/>
        </w:rPr>
        <w:t xml:space="preserve"> </w:t>
      </w:r>
    </w:p>
    <w:p w14:paraId="51F367F6" w14:textId="171D91F1" w:rsidR="007F7B32" w:rsidRDefault="00902823" w:rsidP="00A258DB">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590FEC26" w14:textId="3FB23004"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era of </w:t>
      </w:r>
      <w:r w:rsidR="00314AB2">
        <w:rPr>
          <w:rFonts w:asciiTheme="minorBidi" w:hAnsiTheme="minorBidi" w:cstheme="minorBidi"/>
          <w:iCs/>
          <w:lang w:val="id-ID"/>
        </w:rPr>
        <w:t>globalisation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has driven the </w:t>
      </w:r>
      <w:r w:rsidR="00314AB2">
        <w:rPr>
          <w:rFonts w:asciiTheme="minorBidi" w:hAnsiTheme="minorBidi" w:cstheme="minorBidi"/>
          <w:iCs/>
          <w:lang w:val="id-ID"/>
        </w:rPr>
        <w:t>standardisation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of education in various fields, including vocational education. International standards serve as a benchmark to ensure workforce quality, competitiveness, and competency across countries.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{"citationItems":[{"id":"ITEM-1","itemData":{"DOI":"10.1080/03075079.2017.1359823","ISSN":"0307-5079","author":[{"dropping-particle":"","family":"Marginson","given":"Simon","non-dropping-particle":"","parse-names":false,"suffix":""}],"container-title":"Studies in Higher Education","id":"ITEM-1","issue":"2","issued":{"date-parts":[["2019","2","1"]]},"note":"doi: 10.1080/03075079.2017.1359823","page":"287-301","publisher":"SRHE Website","title":"Limitations of Human Capital Theory","type":"article-journal","volume":"44"},"uris":["http://www.mendeley.com/documents/?uuid=41c4b5d0-15ff-4c20-b28c-7a98e46abe5b"]}],"mendeley":{"formattedCitation":"(Marginson, 2019)","plainTextFormattedCitation":"(Marginson, 2019)","previouslyFormattedCitation":"(Marginson,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(Marginson, 2019)</w:t>
      </w:r>
      <w:r w:rsidRPr="00982587">
        <w:rPr>
          <w:rFonts w:asciiTheme="minorBidi" w:hAnsiTheme="minorBidi" w:cstheme="minorBidi"/>
          <w:iCs/>
          <w:lang w:val="id-ID"/>
        </w:rPr>
        <w:fldChar w:fldCharType="end"/>
      </w:r>
      <w:r w:rsidR="00314AB2">
        <w:rPr>
          <w:rFonts w:asciiTheme="minorBidi" w:hAnsiTheme="minorBidi" w:cstheme="minorBidi"/>
          <w:iCs/>
          <w:lang w:val="id-ID"/>
        </w:rPr>
        <w:t>The</w:t>
      </w:r>
      <w:r w:rsidRPr="00982587">
        <w:rPr>
          <w:rFonts w:asciiTheme="minorBidi" w:hAnsiTheme="minorBidi" w:cstheme="minorBidi"/>
          <w:iCs/>
          <w:lang w:val="id-ID"/>
        </w:rPr>
        <w:t xml:space="preserve"> </w:t>
      </w:r>
      <w:r w:rsidR="00314AB2">
        <w:rPr>
          <w:rFonts w:asciiTheme="minorBidi" w:hAnsiTheme="minorBidi" w:cstheme="minorBidi"/>
          <w:iCs/>
          <w:lang w:val="id-ID"/>
        </w:rPr>
        <w:t>globalisation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of education has resulted in pressures for homogenization through policies, curricula, and certifications based on global standards, which often ignore the diversity of local contexts. This aligns with the view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10.4324/9781003207528","author":[{"dropping-particle":"","family":"Rizvi","given":"Fazal","non-dropping-particle":"","parse-names":false,"suffix":""},{"dropping-particle":"","family":"Lingard","given":"Bob","non-dropping-particle":"","parse-names":false,"suffix":""},{"dropping-particle":"","family":"Rinne","given":"Risto","non-dropping-particle":"","parse-names":false,"suffix":""}],"container-title":"Reimagining globalization and education","id":"ITEM-1","issued":{"date-parts":[["2022"]]},"page":"1-10","publisher":"Routledge","title":"Reimagining globalization and education: an Introduction","type":"chapter"},"uris":["http://www.mendeley.com/documents/?uuid=035b7717-3b27-47c4-8bd8-db4537dae116"]}],"mendeley":{"formattedCitation":"(Rizvi et al., 2022)","plainTextFormattedCitation":"(Rizvi et al., 2022)","previouslyFormattedCitation":"(Rizvi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(Rizvi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education is no longer solely oriented towards national needs but also towards the global market.</w:t>
      </w:r>
    </w:p>
    <w:p w14:paraId="52E349BE" w14:textId="31E8DB33"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 xml:space="preserve">The maritime and capture fisheries sector is a strategic sector heavily influenced by global standards. As the world's largest archipelagic nation, Indonesia has a significant stake in sustainable fisheries governance, including workforce education. The International Maritime </w:t>
      </w:r>
      <w:r w:rsidR="00314AB2">
        <w:rPr>
          <w:rFonts w:asciiTheme="minorBidi" w:hAnsiTheme="minorBidi" w:cstheme="minorBidi"/>
          <w:iCs/>
          <w:lang w:val="id-ID"/>
        </w:rPr>
        <w:t>Organisation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has established the Standards of Training, Certification, and Watchkeeping for Fishing Vessel Personnel (STCW-F), the international benchmark for training and certification of fishing vessel crews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These standards have been adopted by many countries to ensure the safety, professionalism, and sustainability of the capture fisheries sector as part of the blue economy agenda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2024)","manualFormatting":"(Fekry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{"citationItems":[{"id":"ITEM-1","itemData":{"DOI":"10.1007/s11160-020-09628-6","ISSN":"1573-5184","abstract":"The ocean economy is experiencing rapid growth that will provide benefits but will also pose environmental and social risks. With limited space and degraded resources in coastal areas, offshore waters will be a particular focus of Blue Economy expansion over the next decade. When emerging and established economic sectors expand in offshore waters (within national Exclusive Economic Zones), different potential Blue Economy opportunities and challenges will arise. Following a series of interdisciplinary workshops, we imagine two technically possible futures for the offshore Blue Economy and we identify the actions required to achieve the more sustainable outcome. Under a business as usual scenario the focus will remain on economic growth, the commodification of nature, the dominance of private over public and cultural interests, and prioritisation of the interests of current over future generations. A more sustainable scenario would meet multiple UN Sustainable Development Goals and ensure inclusive economic developments, environmental sustainability, and fair and equitable access to resources and technologies across users, nations, and generations. Challenges to this more sustainable future are a lack of infrastructure and technology to support emerging offshore sectors, limited understanding of environmental impacts, inequitable outcomes, and a lack of planning and governmental oversight. Addressing these challenges will require a shift in societal values, a more balanced allocation of funding to offshore activities, transparency in information sharing between industries and across nations, and adjustment of international legal and institutional mechanisms. The sustainable and equitable offshore Blue Economy we envisage is achievable and provides a unique opportunity to build global capacity and partnership.","author":[{"dropping-particle":"","family":"Novaglio","given":"Camilla","non-dropping-particle":"","parse-names":false,"suffix":""},{"dropping-particle":"","family":"Bax","given":"Narissa","non-dropping-particle":"","parse-names":false,"suffix":""},{"dropping-particle":"","family":"Boschetti","given":"Fabio","non-dropping-particle":"","parse-names":false,"suffix":""},{"dropping-particle":"","family":"Emad","given":"Gholam Reza","non-dropping-particle":"","parse-names":false,"suffix":""},{"dropping-particle":"","family":"Frusher","given":"Stewart","non-dropping-particle":"","parse-names":false,"suffix":""},{"dropping-particle":"","family":"Fullbrook","given":"Liam","non-dropping-particle":"","parse-names":false,"suffix":""},{"dropping-particle":"","family":"Hemer","given":"Mark","non-dropping-particle":"","parse-names":false,"suffix":""},{"dropping-particle":"","family":"Jennings","given":"Sarah","non-dropping-particle":"","parse-names":false,"suffix":""},{"dropping-particle":"","family":"Putten","given":"Ingrid","non-dropping-particle":"van","parse-names":false,"suffix":""},{"dropping-particle":"","family":"Robinson","given":"Lucy M","non-dropping-particle":"","parse-names":false,"suffix":""},{"dropping-particle":"","family":"Spain","given":"Erica","non-dropping-particle":"","parse-names":false,"suffix":""},{"dropping-particle":"","family":"Vince","given":"Joanna","non-dropping-particle":"","parse-names":false,"suffix":""},{"dropping-particle":"","family":"Voyer","given":"Michelle","non-dropping-particle":"","parse-names":false,"suffix":""},{"dropping-particle":"","family":"Wood","given":"Graham","non-dropping-particle":"","parse-names":false,"suffix":""},{"dropping-particle":"","family":"Fulton","given":"Elizabeth A","non-dropping-particle":"","parse-names":false,"suffix":""}],"container-title":"Reviews in Fish Biology and Fisheries","id":"ITEM-1","issue":"1","issued":{"date-parts":[["2022"]]},"page":"209-230","title":"Deep aspirations: towards a sustainable offshore Blue Economy","type":"article-journal","volume":"32"},"uris":["http://www.mendeley.com/documents/?uuid=127b263e-a7c2-4551-b52e-d70097c1ba52"]}],"mendeley":{"formattedCitation":"(Novaglio et al., 2022)","manualFormatting":"Novaglio et al., 2022","plainTextFormattedCitation":"(Novaglio et al., 2022)","previouslyFormattedCitation":"(Novaglio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Novaglio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10.1088/1742-6596/1833/1/012050","ISSN":"2077-1312","author":[{"dropping-particle":"","family":"González-Cancelas","given":"Nicoletta","non-dropping-particle":"","parse-names":false,"suffix":""},{"dropping-particle":"","family":"Vaca-Cabrero","given":"Javier","non-dropping-particle":"","parse-names":false,"suffix":""},{"dropping-particle":"","family":"Camarero-Orive","given":"Alberto","non-dropping-particle":"","parse-names":false,"suffix":""}],"container-title":"Journal of Marine Science and Engineering","id":"ITEM-1","issue":"3","issued":{"date-parts":[["2025"]]},"page":"621","publisher":"MDPI","title":"The Role of the Fishing Sector in the Blue Economy: Prioritization, Environmental Challenges, and Sustainable Strategies in Europe, with a Focus on Spain","type":"article-journal","volume":"13"},"uris":["http://www.mendeley.com/documents/?uuid=a4481db1-4bb5-4b88-89ec-c1597d950896"]}],"mendeley":{"formattedCitation":"(González-Cancelas et al., 2025)","manualFormatting":"González-Cancelas et al., 2025)","plainTextFormattedCitation":"(González-Cancelas et al., 2025)","previouslyFormattedCitation":"(González-Cancelas et al., 2025)"},"properties":{"noteIndex":0},"schema":"https://github.com/citation-style-language/schema/raw/master/csl-citation.json"}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González-Cancelas et al., 2025)</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490D2FD"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the Indonesian context, vocational education, particularly Vocational High Schools (SMK), is designed to produce a workforce ready to enter the industrial world. However, various studies have shown a mismatch between vocational curricula and the actual needs of industry locally and globally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13636820.2020.1833078","ISSN":"1363-6820","author":[{"dropping-particle":"","family":"Young","given":"Michael","non-dropping-particle":"","parse-names":false,"suffix":""},{"dropping-particle":"","family":"Hordern","given":"Jim","non-dropping-particle":"","parse-names":false,"suffix":""}],"container-title":"Journal of Vocational Education &amp; Training","id":"ITEM-1","issue":"1","issued":{"date-parts":[["2022","1","2"]]},"note":"doi: 10.1080/13636820.2020.1833078","page":"68-88","publisher":"Routledge","title":"Does the vocational curriculum have a future?","type":"article-journal","volume":"74"},"uris":["http://www.mendeley.com/documents/?uuid=279aede5-304a-4ec4-ba52-9a2bdf202f92"]}],"mendeley":{"formattedCitation":"(Young &amp; Hordern, 2022)","manualFormatting":"(Young &amp; Hordern, 2022","plainTextFormattedCitation":"(Young &amp; Hordern, 2022)","previouslyFormattedCitation":"(Young &amp; Hordern,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(Young &amp; Hordern,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{"citationItems":[{"id":"ITEM-1","itemData":{"DOI":"10.1088/1742-6596/1833/1/012050","ISSN":"1742-6596","abstract":"Globalization is marked by the enactment of cooperation agreements between countries such as the ASEAN Economic Community (AEC), ASEAN Free Trade Area (AFTA), China-ASEAN Free Trade Area (CAFTA), World Trade Organization (WTO), and other agreements. Globalization has resulted in the opening of goods, capital, investment, and labor between countries in the world. Higher education has a strategic role in preparing professional human resources to compete with workers from world countries. This article examines and analyzes Indonesian students’ readiness to face globalization, the industrial revolution 4.0, and society 5.0. The questionnaire was distributed to students from six departments at the Yogyakarta State University’s Faculty of Engineering to investigate this. Student readiness indicators include competency readiness (knowledge, skills, and attitudes), personal Readiness (self-confidence and mental), communication readiness, teamwork readiness, and technological Readiness. The results showed students’ readiness in facing globalization, the industrial revolution 4.0, and society 5.0 were in the Good category with an average score of 2.86 (71.5%). In detail, it can be explained, student readiness in the competency aspect gets a score of 2.86 (71.5%), personal readiness with an average score of 2.65 (65.5%), communication readiness has a score of 2.6 (65%), readiness teamwork with a score of 3.18 (79.5) and technology readiness with a score of 3.04 (76%).","author":[{"dropping-particle":"","family":"Ali","given":"M","non-dropping-particle":"","parse-names":false,"suffix":""}],"container-title":"Journal of Physics: Conference Series","id":"ITEM-1","issue":"1","issued":{"date-parts":[["2021"]]},"page":"12050","publisher":"IOP Publishing","title":"Vocational students’ perception and readiness in facing globalization, industry revolution 4.0 and society 5.0","type":"article-journal","volume":"1833"},"uris":["http://www.mendeley.com/documents/?uuid=dcb9fca0-c98a-4954-82ab-0bf18469ee76"]}],"mendeley":{"formattedCitation":"(Ali, 2021)","manualFormatting":"Ali, 2021)","plainTextFormattedCitation":"(Ali, 2021)","previouslyFormattedCitation":"(Ali,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Ali,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 main challenge is how vocational schools can integrate global standards without losing their relevance to the local socio-economic context. Vocational education in developing countries often faces a dilemma between adapting to global standards and maintaining local wisdom and domestic market needs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{"citationItems":[{"id":"ITEM-1","itemData":{"DOI":"10.1080/14480220.2019.1602122","ISSN":"1448-0220","author":[{"dropping-particle":"","family":"Nakar","given":"Sonal","non-dropping-particle":"","parse-names":false,"suffix":""}],"container-title":"International Journal of Training Research","id":"ITEM-1","issue":"1","issued":{"date-parts":[["2019","1","2"]]},"note":"doi: 10.1080/14480220.2019.1602122","page":"35-49","publisher":"Routledge","title":"Impact of ethical dilemmas on well-being of teachers in vocational education and training in Queensland, Australia","type":"article-journal","volume":"17"},"uris":["http://www.mendeley.com/documents/?uuid=28e32fef-72a5-42d7-8954-5d433113126b"]}],"mendeley":{"formattedCitation":"(S. Nakar, 2019)","manualFormatting":"(S. Nakar, 2019","plainTextFormattedCitation":"(S. Nakar, 2019)","previouslyFormattedCitation":"(S. Nakar,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 Nakar,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{"citationItems":[{"id":"ITEM-1","itemData":{"DOI":"10.1177/14782103211040350","ISSN":"1478-2103","abstract":"Neoliberal policy reforms have had a marked influence on nearly every aspect of education, including the enrolment practices employed by institutions, teaching and assessment practices, and even the outcomes for students and society. There is a widespread expectation that teachers should contribute to quality outcomes for students along with their moral/ethical development and character formation while at the same time behaving ethically in the currently challenging environment of the education sector, including the Vocational Education and Training (VET) sector. However, this apparent pressure for maintaining quality education while simultaneously conforming to the ethicality of professional practices in the context of rapid policy changes of a neoliberal sort masks considerable controversy around the meaning of quality education with respect to both moral/ethical behaviour in education and the appropriate forms of practice that would constitute this area of education. A recent research project into the impact of the changing contemporary cultural context of VET on the creation of moral dilemmas facing VET teachers in their work has identified the VET teachers? perspectives of the ethical dilemmas experienced, by identifying the tensions between competing values and the resulting interactions. The research design for the study drew primarily on exploratory and discursive interviews with 18 VET teachers in South-East Queensland, selected from those responding to a call for participation in the study. The study pointed to the value of dilemmas as constructs through which to generate knowledge of ethical conflicts arising from contextual changes in policy. Four drivers that they attributed to causing those dilemmas were identified: changing immigration rules, changing funding requirements, changing culture and philosophy of RTOs, and inadequate teacher preparation. In each of these respects, the ambitious business expectations engendered by neoliberal restructuring and reform in recent years can be seen as articulating or presupposing values pertaining to standards of practice and performance of the RTO, which in turn can be seen to compromise traditional norms associated with teacher professionalism. It is with these values and conflicts that we are concerned in this paper.","author":[{"dropping-particle":"","family":"Nakar","given":" Sonal","non-dropping-particle":"","parse-names":false,"suffix":""},{"dropping-particle":"","family":"Olssen","given":" Mark","non-dropping-particle":"","parse-names":false,"suffix":""}],"container-title":"Policy Futures in Education","id":"ITEM-1","issue":"8","issued":{"date-parts":[["2021","11","14"]]},"note":"doi: 10.1177/14782103211040350","page":"986-1003","publisher":"SAGE Publications","title":"The effects of neoliberalism: Teachers’ experiences and ethical dilemmas to policy initiatives within vocational education and training in Australia","type":"article-journal","volume":"20"},"uris":["http://www.mendeley.com/documents/?uuid=6c9cad6b-6777-4feb-9f89-0b2c11f28b74"]}],"mendeley":{"formattedCitation":"( Sonal Nakar &amp; Olssen, 2021)","manualFormatting":" Sonal Nakar &amp; Olssen, 2021)","plainTextFormattedCitation":"( Sonal Nakar &amp; Olssen, 2021)","previouslyFormattedCitation":"( Sonal Nakar &amp; Olssen,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 Sonal Nakar &amp; Olssen, 2021)</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2FB335C" w14:textId="4D2E13E2"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the maritime sector, these adjustments are increasingly complex, involving international regulations, professional certification, and the demands of workforce competitiveness in the global market. When curricula are overly oriented toward global standards, there is a risk of </w:t>
      </w:r>
      <w:r w:rsidR="00314AB2">
        <w:rPr>
          <w:rFonts w:asciiTheme="minorBidi" w:hAnsiTheme="minorBidi" w:cstheme="minorBidi"/>
          <w:iCs/>
          <w:lang w:val="id-ID"/>
        </w:rPr>
        <w:t>marginalising</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local needs, such as traditional fishing practices, which remain the economic backbone of coastal communities.</w:t>
      </w:r>
    </w:p>
    <w:p w14:paraId="29EE4F94" w14:textId="02E6D6D3"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Fishing Vessel Nautical expertise program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w:t>
      </w:r>
      <w:r w:rsidR="00444A23">
        <w:rPr>
          <w:rFonts w:asciiTheme="minorBidi" w:hAnsiTheme="minorBidi" w:cstheme="minorBidi"/>
          <w:iCs/>
          <w:lang w:val="id-ID"/>
        </w:rPr>
        <w:t>,</w:t>
      </w:r>
      <w:r w:rsidRPr="00982587">
        <w:rPr>
          <w:rFonts w:asciiTheme="minorBidi" w:hAnsiTheme="minorBidi" w:cstheme="minorBidi"/>
          <w:iCs/>
          <w:lang w:val="id-ID"/>
        </w:rPr>
        <w:t xml:space="preserve"> is one representative of maritime vocational education that adopts international standards. The curriculum in this program refers to IMO and STCW-F regulations, including materials on shipping safety, navigation, and maritime competency certification. This aligns with the Indonesian government's efforts to improve the quality of the vocational workforce in the capture fisheries sector so that they can compete globally (Ministry of Education and Culture, 2020). However, implementing global standards at the secondary school level has not always run smoothly. Previous research has shown a gap between international standards and the actual conditions of schools, particularly related to limited facilities, teacher competency, and student backgrounds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{"citationItems":[{"id":"ITEM-1","itemData":{"DOI":"10.1109/ACCESS.2024.3400164","ISSN":"2169-3536 VO  - 12","author":[{"dropping-particle":"","family":"Idris","given":"M Diab","non-dropping-particle":"","parse-names":false,"suffix":""},{"dropping-particle":"","family":"Feng","given":"X","non-dropping-particle":"","parse-names":false,"suffix":""},{"dropping-particle":"","family":"Dyo","given":"V","non-dropping-particle":"","parse-names":false,"suffix":""}],"container-title":"IEEE Access","id":"ITEM-1","issued":{"date-parts":[["2024"]]},"page":"67738-67757","title":"Revolutionizing Higher Education: Unleashing the Potential of Large Language Models for Strategic Transformation","type":"article-journal","volume":"12"},"uris":["http://www.mendeley.com/documents/?uuid=84145df0-b7e4-4b09-8cb1-79aaa3a6552d"]}],"mendeley":{"formattedCitation":"(Idris et al., 2024)","plainTextFormattedCitation":"(Idris et al., 2024)","previouslyFormattedCitation":"(Idris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(Idris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This phenomenon is interesting to examine using the perspective of Gramsci's hegemony theory, where global standards can be viewed as an instrument of ideological domination accepted by schools and educational actors through consensus, despite local resistance and adaptation.</w:t>
      </w:r>
    </w:p>
    <w:p w14:paraId="366F9DAF" w14:textId="5A08FD22"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Several relevant studies have addressed the relationship between vocational education, global standards, and local challenges in their implementation: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BIJ-10-2021-0629","ISSN":"1463-5771","author":[{"dropping-particle":"","family":"Essel","given":"Dacosta","non-dropping-particle":"","parse-names":false,"suffix":""},{"dropping-particle":"","family":"Jin","given":"Zhihong","non-dropping-particle":"","parse-names":false,"suffix":""},{"dropping-particle":"","family":"Bowers","given":"Joseph Oliver","non-dropping-particle":"","parse-names":false,"suffix":""},{"dropping-particle":"","family":"Abdul-Salam","given":"Rafiatu","non-dropping-particle":"","parse-names":false,"suffix":""}],"container-title":"Benchmarking: An International Journal","id":"ITEM-1","issue":"9","issued":{"date-parts":[["2023"]]},"page":"3637-3673","publisher":"Emerald Publishing Limited","title":"Green maritime practices in an emerging economy towards the achievement of sustainable development: a Ghanaian context","type":"article-journal","volume":"30"},"uris":["http://www.mendeley.com/documents/?uuid=41e96d6c-3ff6-4c69-bbae-095efe65cd1f"]}],"mendeley":{"formattedCitation":"(Essel et al., 2023)","manualFormatting":"(Essel et al., 2023","plainTextFormattedCitation":"(Essel et al., 2023)","previouslyFormattedCitation":"(Essel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(Essel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{"citationItems":[{"id":"ITEM-1","itemData":{"DOI":"10.1080/19392206.2024.2379186","ISSN":"1939-2206","abstract":"Maritime security in the Gulf of Guinea is a challenge that straddles multiple players and sectors, and crimes like piracy cause disruptions to international trade and shipping. During the COVID-19 pandemic, the global shipping industry tried to keep maritime security on the agenda, while advocating for global security assemblages, specifically, transnational policing initiatives as part of the maritime security governance. Using the notion of narratives and assemblage thinking, it is argued that although global shipping and Ghanaian state agents agree on the problem, they differ on which maritime security governance infrastructure to deploy, resulting in tensions between the two parties.","author":[{"dropping-particle":"","family":"Asamoah Agyekum","given":"Humphrey","non-dropping-particle":"","parse-names":false,"suffix":""}],"container-title":"African Security","id":"ITEM-1","issue":"1-2","issued":{"date-parts":[["2024","4","2"]]},"note":"doi: 10.1080/19392206.2024.2379186","page":"115-140","publisher":"Routledge","title":"Tackling Maritime Security in the Gulf of Guinea: Interactions Between Global Shipping and Ghanaian State Agents","type":"article-journal","volume":"17"},"uris":["http://www.mendeley.com/documents/?uuid=482b7d72-72b2-4d1c-9349-d5fefccf5bd4"]}],"mendeley":{"formattedCitation":"(Asamoah Agyekum, 2024)","manualFormatting":"Asamoah Agyekum, 2024)","plainTextFormattedCitation":"(Asamoah Agyekum, 2024)","previouslyFormattedCitation":"(Asamoah Agyekum,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Asamoah Agyekum,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found that vocational education in Ghana's maritime sector faces a dilemma in adopting international standards. On the one hand, these standards enhance graduate competitiveness; on the other hand, limited local infrastructure and resources hinder their implementation.</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10.18520/cs/v124/i11/1329-1338","ISSN":"0011-3891","author":[{"dropping-particle":"","family":"Gills","given":"Reshma","non-dropping-particle":"","parse-names":false,"suffix":""},{"dropping-particle":"","family":"Ramachandran","given":"C","non-dropping-particle":"","parse-names":false,"suffix":""},{"dropping-particle":"","family":"Vipinkumar","given":"V P","non-dropping-particle":"","parse-names":false,"suffix":""},{"dropping-particle":"","family":"Kumar","given":"Manish","non-dropping-particle":"","parse-names":false,"suffix":""},{"dropping-particle":"","family":"Varghese","given":"Eldho","non-dropping-particle":"","parse-names":false,"suffix":""},{"dropping-particle":"","family":"Jayasankar","given":"Jayaraman","non-dropping-particle":"","parse-names":false,"suffix":""},{"dropping-particle":"","family":"Padua","given":"Shelton","non-dropping-particle":"","parse-names":false,"suffix":""},{"dropping-particle":"","family":"Kumar","given":"R Narayana","non-dropping-particle":"","parse-names":false,"suffix":""},{"dropping-particle":"","family":"Krishna","given":"Pooja","non-dropping-particle":"","parse-names":false,"suffix":""},{"dropping-particle":"V","family":"Ambrose","given":"T","non-dropping-particle":"","parse-names":false,"suffix":""}],"container-title":"Current Science (00113891)","id":"ITEM-1","issue":"11","issued":{"date-parts":[["2023"]]},"title":"Education-world of work mismatch: a multidimensional competence gap analysis for reorienting the fisheries vocational education system in India.","type":"article-journal","volume":"124"},"uris":["http://www.mendeley.com/documents/?uuid=ab60e243-e7e0-47e3-89c9-d004d4469b83"]}],"mendeley":{"formattedCitation":"(Gills et al., 2023)","plainTextFormattedCitation":"(Gills et al., 2023)","previouslyFormattedCitation":"(Gills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(Gills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emphasized that global standards-based fishery curricula are often irrelevant to local practices. Their study revealed a gap between local industry needs and curricula designed based on international regulations.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10.4314/sajee.v39i.03","ISSN":"2411-5959","author":[{"dropping-particle":"","family":"McGrath","given":"Simon","non-dropping-particle":"","parse-names":false,"suffix":""},{"dropping-particle":"","family":"Russon","given":"Jo-Anna","non-dropping-particle":"","parse-names":false,"suffix":""}],"container-title":"Southern African Journal of Environmental Education","id":"ITEM-1","issued":{"date-parts":[["2023"]]},"title":"TVET SI: Towards sustainable vocational education and training: Thinking beyond the formal","type":"article-journal","volume":"39"},"uris":["http://www.mendeley.com/documents/?uuid=6b194cf4-1df9-4a67-ae58-6fadf3c8e8ea"]}],"mendeley":{"formattedCitation":"(McGrath &amp; Russon, 2023)","manualFormatting":"(McGrath &amp; Russon, 2023","plainTextFormattedCitation":"(McGrath &amp; Russon, 2023)","previouslyFormattedCitation":"(McGrath &amp; Russon,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(McGrath &amp; Russon,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2076-328X","author":[{"dropping-particle":"","family":"Ye","given":"Jian-Hong","non-dropping-particle":"","parse-names":false,"suffix":""},{"dropping-particle":"","family":"He","given":"Zhen","non-dropping-particle":"","parse-names":false,"suffix":""},{"dropping-particle":"","family":"Bai","given":"Bin","non-dropping-particle":"","parse-names":false,"suffix":""},{"dropping-particle":"","family":"Wu","given":"Yu-Feng","non-dropping-particle":"","parse-names":false,"suffix":""}],"container-title":"Behavioral Sciences","id":"ITEM-1","issue":"10","issued":{"date-parts":[["2024"]]},"page":"859","publisher":"MDPI","title":"Sustainability of technical and vocational education and training (TVET) along with vocational psychology","type":"article","volume":"14"},"uris":["http://www.mendeley.com/documents/?uuid=a25986d5-75ae-403c-b45e-326b82f6e229"]}],"mendeley":{"formattedCitation":"(Ye et al., 2024)","manualFormatting":"Ye et al., 2024)","plainTextFormattedCitation":"(Ye et al., 2024)","previouslyFormattedCitation":"(Ye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Ye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highlighted in the Southeast Asian context, including Indonesia, that the adoption of global standards in vocational education brings opportunities to improve workforce quality, but also has the potential to erode local values ​​and create disparities in access to education</w:t>
      </w:r>
    </w:p>
    <w:p w14:paraId="73010FE6" w14:textId="37EB6E2B"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Although previous research has highlighted the challenges of implementing global standards in vocational education, several gaps remain: Most studies </w:t>
      </w:r>
      <w:r w:rsidR="00314AB2">
        <w:rPr>
          <w:rFonts w:asciiTheme="minorBidi" w:hAnsiTheme="minorBidi" w:cstheme="minorBidi"/>
          <w:iCs/>
          <w:lang w:val="id-ID"/>
        </w:rPr>
        <w:t>emphasise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practical challenges </w:t>
      </w:r>
      <w:r w:rsidRPr="00982587">
        <w:rPr>
          <w:rFonts w:asciiTheme="minorBidi" w:hAnsiTheme="minorBidi" w:cstheme="minorBidi"/>
          <w:iCs/>
          <w:lang w:val="id-ID"/>
        </w:rPr>
        <w:lastRenderedPageBreak/>
        <w:t xml:space="preserve">(infrastructure, facilities, policies), but few have used the perspective of hegemony theory (Gramsci) to </w:t>
      </w:r>
      <w:r w:rsidR="00314AB2">
        <w:rPr>
          <w:rFonts w:asciiTheme="minorBidi" w:hAnsiTheme="minorBidi" w:cstheme="minorBidi"/>
          <w:iCs/>
          <w:lang w:val="id-ID"/>
        </w:rPr>
        <w:t>analyse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how global standards dominate and are accepted in local contexts. Studies related to maritime vocational education, particularly in Fishing Vessel Nautics at the vocational high school level, are still minimal, even though this sector is strategic for Indonesia as a maritime nation. Previous research has focused more on macro policies and curricula, while this study focuses on implementation practices in schools, involving teachers, students, and school management as the leading actors.</w:t>
      </w:r>
    </w:p>
    <w:p w14:paraId="0ACBD5C8"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study is novel in several aspects: 1) Using Gramsci's hegemony theoretical framework to understand global standards as a form of ideological domination in vocational education. 2) Placing State Vocational School 5 Balikpapan as a specific case study in the field of Fishing Vessel Nautics, which has not been widely explored in previous literature. 3) Generating new understandings of local adaptation strategies and resistance to global maritime vocational education practices standards.</w:t>
      </w:r>
    </w:p>
    <w:p w14:paraId="6B4646E6" w14:textId="15B73B8C" w:rsidR="00C212EE" w:rsidRPr="00C212EE" w:rsidRDefault="00A60E7A" w:rsidP="00A258DB">
      <w:pPr>
        <w:pStyle w:val="Body"/>
        <w:rPr>
          <w:rFonts w:ascii="Arial" w:hAnsi="Arial" w:cs="Arial"/>
        </w:rPr>
      </w:pPr>
      <w:r w:rsidRPr="00982587">
        <w:rPr>
          <w:rFonts w:asciiTheme="minorBidi" w:hAnsiTheme="minorBidi" w:cstheme="minorBidi"/>
          <w:iCs/>
          <w:lang w:val="id-ID"/>
        </w:rPr>
        <w:t xml:space="preserve">In line with the background, this study aims to: 1) </w:t>
      </w:r>
      <w:r w:rsidR="00314AB2">
        <w:rPr>
          <w:rFonts w:asciiTheme="minorBidi" w:hAnsiTheme="minorBidi" w:cstheme="minorBidi"/>
          <w:iCs/>
          <w:lang w:val="id-ID"/>
        </w:rPr>
        <w:t>Analyse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the form of global standard hegemony in Fishing Vessel Nautical vocational education. 2) Identify adaptation strategies of global standard hegemony in Fishing Vessel Nautical vocational education practices. 3) Find the implications of global standard hegemony in Fishing Vessel Nautical vocational education practices. Thus, this study is important to </w:t>
      </w:r>
      <w:r w:rsidR="00314AB2">
        <w:rPr>
          <w:rFonts w:asciiTheme="minorBidi" w:hAnsiTheme="minorBidi" w:cstheme="minorBidi"/>
          <w:iCs/>
          <w:lang w:val="id-ID"/>
        </w:rPr>
        <w:t>analyse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how global standards work as a form of hegemony in vocational education, especially in the Fishing Vessel Nautical program at State Vocational School 5 Balikpapan, and how educational actors negotiate with global demands in the local context.</w:t>
      </w:r>
      <w:r w:rsidR="00C212EE" w:rsidRPr="00C212EE">
        <w:rPr>
          <w:rFonts w:ascii="Arial" w:hAnsi="Arial" w:cs="Arial"/>
        </w:rPr>
        <w:t>.</w:t>
      </w:r>
    </w:p>
    <w:p w14:paraId="5F33773F" w14:textId="317419E4" w:rsidR="00673E32" w:rsidRDefault="00673E32" w:rsidP="00A258DB">
      <w:pPr>
        <w:pStyle w:val="AbstHead"/>
        <w:jc w:val="both"/>
        <w:rPr>
          <w:rFonts w:ascii="Arial" w:hAnsi="Arial" w:cs="Arial"/>
        </w:rPr>
      </w:pPr>
      <w:r>
        <w:rPr>
          <w:rFonts w:ascii="Arial" w:hAnsi="Arial" w:cs="Arial"/>
        </w:rPr>
        <w:t xml:space="preserve">2. </w:t>
      </w:r>
      <w:r w:rsidR="00314AB2">
        <w:rPr>
          <w:rFonts w:ascii="Arial" w:hAnsi="Arial" w:cs="Arial"/>
        </w:rPr>
        <w:t>Literature</w:t>
      </w:r>
      <w:r w:rsidR="00314AB2" w:rsidRPr="00673E32">
        <w:rPr>
          <w:rFonts w:ascii="Arial" w:hAnsi="Arial" w:cs="Arial"/>
        </w:rPr>
        <w:t xml:space="preserve"> </w:t>
      </w:r>
      <w:r w:rsidRPr="00673E32">
        <w:rPr>
          <w:rFonts w:ascii="Arial" w:hAnsi="Arial" w:cs="Arial"/>
        </w:rPr>
        <w:t>review</w:t>
      </w:r>
    </w:p>
    <w:p w14:paraId="13AFCF83" w14:textId="389DECC2" w:rsidR="00673E32" w:rsidRPr="00673E32" w:rsidRDefault="00673E32" w:rsidP="00A258DB">
      <w:pPr>
        <w:pStyle w:val="Body"/>
        <w:rPr>
          <w:rFonts w:ascii="Arial" w:hAnsi="Arial" w:cs="Arial"/>
          <w:b/>
          <w:sz w:val="22"/>
        </w:rPr>
      </w:pPr>
      <w:r>
        <w:rPr>
          <w:rFonts w:ascii="Arial" w:hAnsi="Arial" w:cs="Arial"/>
          <w:b/>
          <w:sz w:val="22"/>
        </w:rPr>
        <w:t>2.</w:t>
      </w:r>
      <w:r w:rsidRPr="00C212EE">
        <w:rPr>
          <w:rFonts w:ascii="Arial" w:hAnsi="Arial" w:cs="Arial"/>
          <w:b/>
          <w:sz w:val="22"/>
        </w:rPr>
        <w:t xml:space="preserve">1. </w:t>
      </w:r>
      <w:r w:rsidR="00A60E7A" w:rsidRPr="00A60E7A">
        <w:rPr>
          <w:rFonts w:asciiTheme="minorBidi" w:hAnsiTheme="minorBidi" w:cstheme="minorBidi"/>
          <w:b/>
          <w:bCs/>
          <w:iCs/>
          <w:sz w:val="22"/>
          <w:szCs w:val="22"/>
          <w:lang w:val="id-ID"/>
        </w:rPr>
        <w:t>The Concept of Hegemony</w:t>
      </w:r>
    </w:p>
    <w:p w14:paraId="57C9F252" w14:textId="4E1203DD"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Antonio Gramsci first </w:t>
      </w:r>
      <w:r w:rsidR="00314AB2">
        <w:rPr>
          <w:rFonts w:asciiTheme="minorBidi" w:hAnsiTheme="minorBidi" w:cstheme="minorBidi"/>
          <w:iCs/>
          <w:lang w:val="id-ID"/>
        </w:rPr>
        <w:t>popularised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the concept of hegemony in his Prison Notebooks in the early 20th century. Gramsci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{"citationItems":[{"id":"ITEM-1","itemData":{"author":[{"dropping-particle":"","family":"Buttigieg","given":"Joseph","non-dropping-particle":"","parse-names":false,"suffix":""}],"container-title":"Rethinking Marxism","id":"ITEM-1","issued":{"date-parts":[["2023"]]},"page":"37-42","publisher":"Routledge","title":"The Prison Notebooks: Antonio Gramsci's Work in Progress","type":"chapter"},"uris":["http://www.mendeley.com/documents/?uuid=ae583a29-820e-49d0-bd55-bfc4923da0bd"]}],"mendeley":{"formattedCitation":"(Buttigieg, 2023)","plainTextFormattedCitation":"(Buttigieg, 2023)","previouslyFormattedCitation":"(Buttigieg,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(Buttigieg,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defines hegemony not simply as a form of power domination through coercion, but rather through moral and intellectual leadership that obtains the consent of the dominated group. In other words, hegemony is a combination of coercion and consensus, creating a situation in which specific values, norms, or standards are accepted as normal and "natural" by society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{"citationItems":[{"id":"ITEM-1","itemData":{"DOI":"10.1177/0791603519884201","ISSN":"0791-6035","abstract":"This paper presents theoretically informed commentary on the concept of hegemony. This is achieved through recourse to the work of hegemony?s originator, the Sardinian social theorist Antonio Gramsci. There is renewed interest in Gramsci?s work within social theory. To date, existing social work literature makes the case for a more direct engagement with Gramscian theorisation. In this paper, the proposition is that Gramsci?s work holds the potential to progress contemporary practice. In seeking to realise this, however, at least one obstacle is encountered. It is argued that a degree of dialectical opposition exists between two themes prevailing in social work practice and pedagogy. This can be problematic for practitioners who are seeking to create civil society change. In the first instance, critical postmodern epistemologies support practitioners to uncover embedded hegemonic assumptions. In the second instance, more conservative managerial?technicist epistemologies also vie for space in wider social work pedagogy and practice. In this context, it is argued that better ideological and theoretical integration of these competing themes would be beneficial for social workers seeking counterhegemonic practice. Overall critical commentary in this paper rearticulates the importance of Gramsci?s hegemony for social workers in the present time.","author":[{"dropping-particle":"","family":"Flynn","given":" Susan","non-dropping-particle":"","parse-names":false,"suffix":""}],"container-title":"Irish Journal of Sociology","id":"ITEM-1","issue":"1","issued":{"date-parts":[["2019","10","25"]]},"note":"doi: 10.1177/0791603519884201","page":"77-96","publisher":"SAGE Publications Ltd","title":"Revisiting hegemony: A Gramscian analysis for contemporary social work","type":"article-journal","volume":"29"},"uris":["http://www.mendeley.com/documents/?uuid=0df3f481-e75d-40cd-b0fc-30186d2844c9"]}],"mendeley":{"formattedCitation":"(Flynn, 2019)","manualFormatting":"(Flynn, 2019","plainTextFormattedCitation":"(Flynn, 2019)","previouslyFormattedCitation":"(Flynn,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(Flynn,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{"citationItems":[{"id":"ITEM-1","itemData":{"DOI":"10.59188/eduvest.v3i8.894","abstract":"&amp;lt;p&amp;gt;This paper aims to present a critical analysis of Neo-Gramscianism, a theoretical framework rooted in the works of Antonio Gramsci, especially regarding its understanding of hegemony. This paper use critical theory by Frankfurt School as a foundation in criticizing the concept of hegemony argued by Robert Cox. While Neo-Gramscianism offers valuable insights, this study seeks to unveil its inherent limitations. Departing from the question of, “Do the concepts provided by Neo-Gramscian about Hegemony solve the problem of marginalized communities?” and using Frankfurt School’s critical theory as the analytical framework, the analysis highlights several key flaws. Firstly, the epistemological failure it reflects, the overemphasis on two-way hegemony or by consent has overlooked a significant factor, which is the inevitable resistance of subaltern class.  This movement would presumably trigger the elite class to force their power onto the subaltern class, which would engage the two classes in a series of material and ideological struggles, and eventually will result in the persistence of domination. Secondly, this critical analysis also assesses the internal fallacies of Neo-Gramscian with Horkheimer’s criteria on Critical Theory. This paper concludes that the promised two-way hegemony initiated by Robert Cox fails to solve the problem of marginalized communities, since it is inherently not a Critical Theory, by its utilization of power relations, top-down approach, and most importantly, centralization of power.&amp;lt;/p&amp;gt;","author":[{"dropping-particle":"","family":"Cader","given":"Indira Thalia","non-dropping-particle":"","parse-names":false,"suffix":""},{"dropping-particle":"","family":"Sundrijo","given":"Dwi Ardhanariswari","non-dropping-particle":"","parse-names":false,"suffix":""}],"container-title":"Eduvest - Journal of Universal Studies","id":"ITEM-1","issue":"8 SE  - Articles","issued":{"date-parts":[["2023","8","21"]]},"page":"1435-1448","title":"Critical Analysis of Neo-Gramscian Hegemony","type":"article-journal","volume":"3"},"uris":["http://www.mendeley.com/documents/?uuid=6ba86cf2-4bc4-4b95-998d-29e4d6f2c574"]}],"mendeley":{"formattedCitation":"(Cader &amp; Sundrijo, 2023)","manualFormatting":"Cader &amp; Sundrijo, 2023)","plainTextFormattedCitation":"(Cader &amp; Sundrijo, 2023)","previouslyFormattedCitation":"(Cader &amp; Sundrijo,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Cader &amp; Sundrijo,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{"citationItems":[{"id":"ITEM-1","itemData":{"DOI":"10.1007/978-3-030-95546-5_3","ISBN":"978-3-030-95546-5","abstract":"Having defined transparency in the previous chapter, the aim of this present chapter is to clarify the most important terms involved in the main argument of the book—ideology, hegemony, neoliberalism, and critique. This is a crucial and necessary step, not simply because these are highly contested terms with a long history and a wide variety of interpretations, but also because they are, as I show, deeply related to transparency. Conquering our desire for authenticity through the ideological performance of neutrality has become one of the most crucial operations of present-day ideology. By appropriating the semantic fields associated with transparency, and modulating the conceptual distance between surplus and lack, a new stage in the evolution of ideology has commenced. What we are witnessing today are the maturing stages of a globally hegemonic neoliberal mindscape, one in which ideology ceases to focus on rational arguments, opinions, and demands, and begins to operate on a metaphorical dimension that both structures and supersedes the level of semantic content. By discussing ideas by Marx, Gramsci, Simmel, and Foucault—among other notable thinkers—I lay out the theoretical bases needed to critique and re-conceptualise ideology from the perspective of transparency. This move gives us a different perspective from where to look at the critique of sociohistorical forms of control, power, and centralisation—instead of truth, the production of belief; along with meaning, sociocultural valence; in the place of rationality, a reconsideration of the role of affect.","author":[{"dropping-particle":"","family":"Valdovinos","given":"Jorge I","non-dropping-particle":"","parse-names":false,"suffix":""}],"editor":[{"dropping-particle":"","family":"Valdovinos","given":"Jorge I","non-dropping-particle":"","parse-names":false,"suffix":""}],"id":"ITEM-1","issued":{"date-parts":[["2022"]]},"page":"81-140","publisher":"Springer International Publishing","publisher-place":"Cham","title":"Ideology, Hegemony, Neoliberalism, and Critique BT  - Transparency and Critical Theory: The Becoming-Transparent of Ideology","type":"chapter"},"uris":["http://www.mendeley.com/documents/?uuid=c5be550a-bd60-44e3-9cad-477e274dd5cc"]}],"mendeley":{"formattedCitation":"(Valdovinos, 2022)","manualFormatting":"Valdovinos, 2022)","plainTextFormattedCitation":"(Valdovinos, 2022)","previouslyFormattedCitation":"(Valdovinos,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Valdovinos, 2022)</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9621DB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education, hegemony can be understood as the process by which certain values ​​and standards are imposed and accepted by educational institutions and students as universal truths.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{"citationItems":[{"id":"ITEM-1","itemData":{"DOI":"10.1093/acrefore/9780190264093.013.1033","abstract":"The study of the curriculum and educational knowledge is a study of ideology. The curriculum is never neutral. It always reflects or embodies ideological positions. Ideologies present within the curriculum are negotiated and formulated through multilayered processes of strategic compromise, assent, and resistance. And as such, the curriculum ideologies become operationalized in both overt and hidden means—constructing subjects and objects of knowledge in active as well as passive ways. Teaching is always a political act, and discussions and debates over curriculum ideologies have a long history within the field of curriculum studies. In terms of its function related to the organization and valuing of knowledge, it remains important to recognize not only the contested nature of the curriculum but also how such contestations have ideological dimensions in the framing of the curriculum.Curriculum ideologies manifest in terms of what might be thought of as values, visions of the future, and venues or forms. This is to say, the curriculum is imbued with processes for valuing assumed choices related to its design, development, and implementation. These choices draw from ideologically based assumptions about the curriculum’s basis in political, economic, historical, sociocultural, psychological, and other realities—whether they be discursive or material in effect. Additionally, these curriculum choices also pertain to the means by which the curriculum achieves these goals or objectives through the formulation of designed experiences, activities, or other forms of learning opportunities.The curriculum—in certain regards as finding principle in the conveying of knowledge through a system of organization related to an outset purpose—has, as a central component to some degree, a vision of a future. The curriculum is something simultaneously constructed and enacted in the present, with often the expressed purpose of having implications and ramifications for the future. The curriculum’s role and purpose in constructing both tested and untested or imagined feasibilities again has to do with some type of vision of learning inflected by ideology. This may even take the form of envisioning a future that is actually a vision of the past in some form, or perhaps a returning to a remembered time that may have existed for some but not others, or by extension a similarly romanticized remembering of a mythic past, for instance. Ultimately, the curriculum, whether translated i…","author":[{"dropping-particle":"","family":"Crowley","given":"Christopher B","non-dropping-particle":"","parse-names":false,"suffix":""}],"id":"ITEM-1","issued":{"date-parts":[["2021"]]},"language":"English","publisher":"Oxford University Press","title":"Curriculum Ideologies","type":"article"},"uris":["http://www.mendeley.com/documents/?uuid=1055b46a-3151-4d97-8f44-57559f771629"]}],"mendeley":{"formattedCitation":"(Crowley, 2021)","plainTextFormattedCitation":"(Crowley, 2021)","previouslyFormattedCitation":"(Crowley,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(Crowley,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curriculum and educational standards often become arenas for hegemony, as they determine what constitutes "valid knowledge" and the skills "needed" in society.</w:t>
      </w:r>
    </w:p>
    <w:p w14:paraId="441BAF5B"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global standards in vocational education is a concrete manifestation of hegemonic practices. International standards, such as the Standards of Training, Certification, and Watchkeeping for Fishing Vessel Personnel (STCW-F) established by the IMO, indirectly establish a new "normal" in maritime vocational education. Vocational schools seeking global recognition must adapt to these standards, even though local conditions may not fully support them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{"citationItems":[{"id":"ITEM-1","itemData":{"DOI":"10.3126/tvet.v1i15.45170","abstract":"&amp;lt;p&amp;gt;Recent digital revolution is rapidly transforming the world of work and the skills profiles of many occupations. Major forces driving changes in the world of work include globalization, rapid advances in information and communications technology, changes in financial markets, new business strategies, new management practices and new forms of work. The uncertainty emerging from the fast changing environment, technological development has increased ethical and social responsibility. TVET was often a second choice of the students and was disregarded as a significant player in academic orientation in some years back. Now, that statement has been slowly discarded since awareness increased and through quality in education it is proved that TVET are the best providers of knowledgeable and skilled workers in the 21st century. Quality assurance in TVET is a concept that is concerned with high performance in entire academic process involving activities such as teaching, learning, infrastructure, students’ behavior and so on. The TEVT sector and its policy makers respond rapidly to the changing scenario. Good quality education is very necessary in the total development of the student, which ensures proper development, job prospects and the realization of academic goals and objectives. There are varied factors working against the realization of quality TVET. Practical partnerships between public and private actors will have an increasingly important role to play in the delivery of TVET programs so that the fresh TVET graduates have to be world class and the education quality has to maintain of global standards. This paper outlines and discusses the relevancy and quality assurance need in TEVT to meet the requirements in the coming future.&amp;lt;/p&amp;gt;","author":[{"dropping-particle":"","family":"Bhatta","given":"Kushmakar","non-dropping-particle":"","parse-names":false,"suffix":""}],"container-title":"Journal of Technical and Vocational Education and Training","id":"ITEM-1","issue":"15 SE  - Articles","issued":{"date-parts":[["2021","4","1"]]},"page":"71-82","title":"Ensuring Quality Assurance in Technical and Vocational Education and Training","type":"article-journal","volume":"1"},"uris":["http://www.mendeley.com/documents/?uuid=41fe3c89-0cc8-4603-a8c8-6c9f2fa325c3"]}],"mendeley":{"formattedCitation":"(Bhatta, 2021)","plainTextFormattedCitation":"(Bhatta, 2021)","previouslyFormattedCitation":"(Bhatta,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(Bhatta, 2021)</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5230BD9" w14:textId="6CC728EF"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Educational hegemony can be seen in several key aspects: a curriculum where learning content is structured according to global standards, often </w:t>
      </w:r>
      <w:r w:rsidR="00314AB2">
        <w:rPr>
          <w:rFonts w:asciiTheme="minorBidi" w:hAnsiTheme="minorBidi" w:cstheme="minorBidi"/>
          <w:iCs/>
          <w:lang w:val="id-ID"/>
        </w:rPr>
        <w:t>marginalising</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local knowledge; competency standards where </w:t>
      </w:r>
      <w:r w:rsidR="00314AB2">
        <w:rPr>
          <w:rFonts w:asciiTheme="minorBidi" w:hAnsiTheme="minorBidi" w:cstheme="minorBidi"/>
          <w:iCs/>
          <w:lang w:val="id-ID"/>
        </w:rPr>
        <w:t>recognised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skills are those that meet global market needs, not just local needs; and certification where expertise is only legitimate if it meets </w:t>
      </w:r>
      <w:r w:rsidR="00314AB2">
        <w:rPr>
          <w:rFonts w:asciiTheme="minorBidi" w:hAnsiTheme="minorBidi" w:cstheme="minorBidi"/>
          <w:iCs/>
          <w:lang w:val="id-ID"/>
        </w:rPr>
        <w:t>recognised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international standards. </w:t>
      </w:r>
    </w:p>
    <w:p w14:paraId="32D8C7D4" w14:textId="5C8A8335" w:rsidR="00673E32" w:rsidRDefault="00A60E7A" w:rsidP="00A258DB">
      <w:pPr>
        <w:pStyle w:val="Body"/>
        <w:rPr>
          <w:rFonts w:ascii="Arial" w:hAnsi="Arial" w:cs="Arial"/>
        </w:rPr>
      </w:pPr>
      <w:r w:rsidRPr="00982587">
        <w:rPr>
          <w:rFonts w:asciiTheme="minorBidi" w:hAnsiTheme="minorBidi" w:cstheme="minorBidi"/>
          <w:iCs/>
          <w:lang w:val="id-ID"/>
        </w:rPr>
        <w:lastRenderedPageBreak/>
        <w:t>In the context of this research, the hegemony of global standards is present through the curriculum, learning methods, and competency certification in the Fishing Vessel Nautical program at SMK 5 Balikpapan. This phenomenon follows Gramsci's analysis that hegemony works through ideological mechanisms that shape collective consciousness, so educational actors (teachers, students, schools) accept the dominance of global standards as necessary. However, hegemony is never absolute; there is always room for adaptation and resistance from local actors, which makes schools an arena for negotiation between global standards and local needs</w:t>
      </w:r>
    </w:p>
    <w:p w14:paraId="2746FC99" w14:textId="71065514" w:rsidR="00673E32" w:rsidRPr="00673E32" w:rsidRDefault="00673E32" w:rsidP="00A258DB">
      <w:pPr>
        <w:pStyle w:val="Body"/>
        <w:rPr>
          <w:rFonts w:ascii="Arial" w:hAnsi="Arial" w:cs="Arial"/>
          <w:b/>
          <w:sz w:val="22"/>
        </w:rPr>
      </w:pPr>
      <w:r>
        <w:rPr>
          <w:rFonts w:ascii="Arial" w:hAnsi="Arial" w:cs="Arial"/>
          <w:b/>
          <w:sz w:val="22"/>
        </w:rPr>
        <w:t>2.</w:t>
      </w:r>
      <w:r w:rsidRPr="00673E32">
        <w:rPr>
          <w:rFonts w:ascii="Arial" w:hAnsi="Arial" w:cs="Arial"/>
          <w:b/>
          <w:sz w:val="22"/>
        </w:rPr>
        <w:t>2.</w:t>
      </w:r>
      <w:r w:rsidRPr="00A60E7A">
        <w:rPr>
          <w:rFonts w:ascii="Arial" w:hAnsi="Arial" w:cs="Arial"/>
          <w:b/>
          <w:sz w:val="24"/>
          <w:szCs w:val="22"/>
        </w:rPr>
        <w:t xml:space="preserve"> </w:t>
      </w:r>
      <w:r w:rsidR="00A60E7A" w:rsidRPr="00A60E7A">
        <w:rPr>
          <w:rFonts w:asciiTheme="minorBidi" w:hAnsiTheme="minorBidi" w:cstheme="minorBidi"/>
          <w:b/>
          <w:bCs/>
          <w:iCs/>
          <w:sz w:val="22"/>
          <w:szCs w:val="22"/>
          <w:lang w:val="id-ID"/>
        </w:rPr>
        <w:t>Global Standards in Vocational Education</w:t>
      </w:r>
    </w:p>
    <w:p w14:paraId="4DF09E22" w14:textId="31B30D00" w:rsidR="00A60E7A" w:rsidRPr="00982587" w:rsidRDefault="00314AB2" w:rsidP="00A258DB">
      <w:pPr>
        <w:spacing w:after="240"/>
        <w:jc w:val="both"/>
        <w:rPr>
          <w:rFonts w:asciiTheme="minorBidi" w:hAnsiTheme="minorBidi" w:cstheme="minorBidi"/>
          <w:iCs/>
          <w:lang w:val="id-ID"/>
        </w:rPr>
      </w:pPr>
      <w:r>
        <w:rPr>
          <w:rFonts w:asciiTheme="minorBidi" w:hAnsiTheme="minorBidi" w:cstheme="minorBidi"/>
          <w:iCs/>
          <w:lang w:val="id-ID"/>
        </w:rPr>
        <w:t>Globalisation</w:t>
      </w:r>
      <w:r w:rsidRPr="00982587">
        <w:rPr>
          <w:rFonts w:asciiTheme="minorBidi" w:hAnsiTheme="minorBidi" w:cstheme="minorBidi"/>
          <w:iCs/>
          <w:lang w:val="id-ID"/>
        </w:rPr>
        <w:t xml:space="preserve"> </w:t>
      </w:r>
      <w:r w:rsidR="00A60E7A" w:rsidRPr="00982587">
        <w:rPr>
          <w:rFonts w:asciiTheme="minorBidi" w:hAnsiTheme="minorBidi" w:cstheme="minorBidi"/>
          <w:iCs/>
          <w:lang w:val="id-ID"/>
        </w:rPr>
        <w:t xml:space="preserve">has had far-reaching implications for education systems, particularly vocational education, which is directly oriented toward the world of work. Vocational education is required to produce graduates with competencies commensurate with global industry needs. As </w:t>
      </w:r>
      <w:r>
        <w:rPr>
          <w:rFonts w:asciiTheme="minorBidi" w:hAnsiTheme="minorBidi" w:cstheme="minorBidi"/>
          <w:iCs/>
          <w:lang w:val="id-ID"/>
        </w:rPr>
        <w:t>emphasised</w:t>
      </w:r>
      <w:r w:rsidRPr="00982587">
        <w:rPr>
          <w:rFonts w:asciiTheme="minorBidi" w:hAnsiTheme="minorBidi" w:cstheme="minorBidi"/>
          <w:iCs/>
          <w:lang w:val="id-ID"/>
        </w:rPr>
        <w:t xml:space="preserve"> </w:t>
      </w:r>
      <w:r w:rsidR="00A60E7A" w:rsidRPr="00982587">
        <w:rPr>
          <w:rFonts w:asciiTheme="minorBidi" w:hAnsiTheme="minorBidi" w:cstheme="minorBidi"/>
          <w:iCs/>
          <w:lang w:val="id-ID"/>
        </w:rPr>
        <w:t xml:space="preserve">by UNESCO-UNEVOC </w:t>
      </w:r>
      <w:r w:rsidR="00A60E7A" w:rsidRPr="00982587">
        <w:rPr>
          <w:rFonts w:asciiTheme="minorBidi" w:hAnsiTheme="minorBidi" w:cstheme="minorBidi"/>
          <w:iCs/>
          <w:lang w:val="id-ID"/>
        </w:rPr>
        <w:fldChar w:fldCharType="begin" w:fldLock="1"/>
      </w:r>
      <w:r w:rsidR="00A60E7A" w:rsidRPr="00982587">
        <w:rPr>
          <w:rFonts w:asciiTheme="minorBidi" w:hAnsiTheme="minorBidi" w:cstheme="minorBidi"/>
          <w:iCs/>
          <w:lang w:val="id-ID"/>
        </w:rPr>
        <w:instrText>ADDIN CSL_CITATION {"citationItems":[{"id":"ITEM-1","itemData":{"author":[{"dropping-particle":"","family":"Holmes","given":"Keith","non-dropping-particle":"","parse-names":false,"suffix":""},{"dropping-particle":"","family":"Chakroun","given":"Marope B","non-dropping-particle":"","parse-names":false,"suffix":""}],"container-title":"Professional Education and Economic Needs of the Black Sea Region","id":"ITEM-1","issued":{"date-parts":[["2015"]]},"page":"62-77","title":"Unleashing the Potential: Transforming Technical and Vocational Education and Training","type":"paper-conference"},"uris":["http://www.mendeley.com/documents/?uuid=632ee5fc-e927-49bd-9929-da325a90395a"]}],"mendeley":{"formattedCitation":"(Holmes &amp; Chakroun, 2015)","plainTextFormattedCitation":"(Holmes &amp; Chakroun, 2015)","previouslyFormattedCitation":"(Holmes &amp; Chakroun, 2015)"},"properties":{"noteIndex":0},"schema":"https://github.com/citation-style-language/schema/raw/master/csl-citation.json"}</w:instrText>
      </w:r>
      <w:r w:rsidR="00A60E7A" w:rsidRPr="00982587">
        <w:rPr>
          <w:rFonts w:asciiTheme="minorBidi" w:hAnsiTheme="minorBidi" w:cstheme="minorBidi"/>
          <w:iCs/>
          <w:lang w:val="id-ID"/>
        </w:rPr>
        <w:fldChar w:fldCharType="separate"/>
      </w:r>
      <w:r w:rsidR="00A60E7A" w:rsidRPr="00982587">
        <w:rPr>
          <w:rFonts w:asciiTheme="minorBidi" w:hAnsiTheme="minorBidi" w:cstheme="minorBidi"/>
          <w:iCs/>
          <w:noProof/>
          <w:lang w:val="id-ID"/>
        </w:rPr>
        <w:t>(Holmes &amp; Chakroun, 2015)</w:t>
      </w:r>
      <w:r w:rsidR="00A60E7A" w:rsidRPr="00982587">
        <w:rPr>
          <w:rFonts w:asciiTheme="minorBidi" w:hAnsiTheme="minorBidi" w:cstheme="minorBidi"/>
          <w:iCs/>
          <w:lang w:val="id-ID"/>
        </w:rPr>
        <w:fldChar w:fldCharType="end"/>
      </w:r>
      <w:r w:rsidR="00A60E7A" w:rsidRPr="00982587">
        <w:rPr>
          <w:rFonts w:asciiTheme="minorBidi" w:hAnsiTheme="minorBidi" w:cstheme="minorBidi"/>
          <w:iCs/>
          <w:lang w:val="id-ID"/>
        </w:rPr>
        <w:t xml:space="preserve">, </w:t>
      </w:r>
      <w:r>
        <w:rPr>
          <w:rFonts w:asciiTheme="minorBidi" w:hAnsiTheme="minorBidi" w:cstheme="minorBidi"/>
          <w:iCs/>
          <w:lang w:val="id-ID"/>
        </w:rPr>
        <w:t>Globalisation</w:t>
      </w:r>
      <w:r w:rsidRPr="00982587">
        <w:rPr>
          <w:rFonts w:asciiTheme="minorBidi" w:hAnsiTheme="minorBidi" w:cstheme="minorBidi"/>
          <w:iCs/>
          <w:lang w:val="id-ID"/>
        </w:rPr>
        <w:t xml:space="preserve"> </w:t>
      </w:r>
      <w:r w:rsidR="00A60E7A" w:rsidRPr="00982587">
        <w:rPr>
          <w:rFonts w:asciiTheme="minorBidi" w:hAnsiTheme="minorBidi" w:cstheme="minorBidi"/>
          <w:iCs/>
          <w:lang w:val="id-ID"/>
        </w:rPr>
        <w:t>positions vocational education as key to increasing workforce competitiveness; thus, international standards are used as a reference in designing curricula, training, and certification.</w:t>
      </w:r>
    </w:p>
    <w:p w14:paraId="22EF635B" w14:textId="3D067CF6"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{"citationItems":[{"id":"ITEM-1","itemData":{"DOI":"10.1080/03075079.2017.1359823","ISSN":"0307-5079","author":[{"dropping-particle":"","family":"Marginson","given":"Simon","non-dropping-particle":"","parse-names":false,"suffix":""}],"container-title":"Studies in Higher Education","id":"ITEM-1","issue":"2","issued":{"date-parts":[["2019","2","1"]]},"note":"doi: 10.1080/03075079.2017.1359823","page":"287-301","publisher":"SRHE Website","title":"Limitations of Human Capital Theory","type":"article-journal","volume":"44"},"uris":["http://www.mendeley.com/documents/?uuid=41c4b5d0-15ff-4c20-b28c-7a98e46abe5b"]}],"mendeley":{"formattedCitation":"(Marginson, 2019)","plainTextFormattedCitation":"(Marginson, 2019)","previouslyFormattedCitation":"(Marginson,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(Marginson,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this process is a form of "</w:t>
      </w:r>
      <w:r w:rsidR="00314AB2">
        <w:rPr>
          <w:rFonts w:asciiTheme="minorBidi" w:hAnsiTheme="minorBidi" w:cstheme="minorBidi"/>
          <w:iCs/>
          <w:lang w:val="id-ID"/>
        </w:rPr>
        <w:t>standardisation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of education," where global standards create homogeneity of competencies while often ignoring local uniqueness. As a result, vocational education institutions face a dilemma: follow global trends for international recognition, or maintain relevance to local needs.</w:t>
      </w:r>
    </w:p>
    <w:p w14:paraId="54C36E34" w14:textId="3CF4B98A"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maritime sector is one of the sectors most impacted by global standards. The International Maritime </w:t>
      </w:r>
      <w:r w:rsidR="00314AB2">
        <w:rPr>
          <w:rFonts w:asciiTheme="minorBidi" w:hAnsiTheme="minorBidi" w:cstheme="minorBidi"/>
          <w:iCs/>
          <w:lang w:val="id-ID"/>
        </w:rPr>
        <w:t>Organisation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(IMO) establishes international regulations to ensure shipping safety, crew competence, and the sustainability of fisheries resources. One important instrument is the 1995 Standards of Training, Certification, and Watchkeeping for Fishing Vessel Personnel (STCW-F), which sets minimum standards for training and certification for fishing vessel crews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8679A0E" w14:textId="137ECA9D"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STCW-F is a key requirement for maritime vocational education graduates to be </w:t>
      </w:r>
      <w:r w:rsidR="00314AB2">
        <w:rPr>
          <w:rFonts w:asciiTheme="minorBidi" w:hAnsiTheme="minorBidi" w:cstheme="minorBidi"/>
          <w:iCs/>
          <w:lang w:val="id-ID"/>
        </w:rPr>
        <w:t>recognised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globally. Research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10.18520/cs/v124/i11/1329-1338","ISSN":"0011-3891","author":[{"dropping-particle":"","family":"Gills","given":"Reshma","non-dropping-particle":"","parse-names":false,"suffix":""},{"dropping-particle":"","family":"Ramachandran","given":"C","non-dropping-particle":"","parse-names":false,"suffix":""},{"dropping-particle":"","family":"Vipinkumar","given":"V P","non-dropping-particle":"","parse-names":false,"suffix":""},{"dropping-particle":"","family":"Kumar","given":"Manish","non-dropping-particle":"","parse-names":false,"suffix":""},{"dropping-particle":"","family":"Varghese","given":"Eldho","non-dropping-particle":"","parse-names":false,"suffix":""},{"dropping-particle":"","family":"Jayasankar","given":"Jayaraman","non-dropping-particle":"","parse-names":false,"suffix":""},{"dropping-particle":"","family":"Padua","given":"Shelton","non-dropping-particle":"","parse-names":false,"suffix":""},{"dropping-particle":"","family":"Kumar","given":"R Narayana","non-dropping-particle":"","parse-names":false,"suffix":""},{"dropping-particle":"","family":"Krishna","given":"Pooja","non-dropping-particle":"","parse-names":false,"suffix":""},{"dropping-particle":"V","family":"Ambrose","given":"T","non-dropping-particle":"","parse-names":false,"suffix":""}],"container-title":"Current Science (00113891)","id":"ITEM-1","issue":"11","issued":{"date-parts":[["2023"]]},"title":"Education-world of work mismatch: a multidimensional competence gap analysis for reorienting the fisheries vocational education system in India.","type":"article-journal","volume":"124"},"uris":["http://www.mendeley.com/documents/?uuid=ab60e243-e7e0-47e3-89c9-d004d4469b83"]}],"mendeley":{"formattedCitation":"(Gills et al., 2023)","plainTextFormattedCitation":"(Gills et al., 2023)","previouslyFormattedCitation":"(Gills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(Gills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shows that countries adopting STCW-F tend to produce more competitive graduates in the international job market. However, they also highlight the gap between global standards and local practices, particularly in developing countries facing infrastructure constraints.</w:t>
      </w:r>
    </w:p>
    <w:p w14:paraId="698DEAC4" w14:textId="022F9698"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As an archipelagic nation with over 17,000 islands, Indonesia has a strategic interest in maritime vocational education. Maritime vocational schools (SMK), including the Fishing Vessel Nautical program, prepare graduates who meet international standards to compete in the global shipping and capture fisheries industry. However, several significant challenges exist: The economy of coastal communities is still primarily based on traditional fisheries, so graduates with global competencies are often not optimally absorbed in the local environment</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{"citationItems":[{"id":"ITEM-1","itemData":{"author":[{"dropping-particle":"","family":"Tjiptady","given":"Bella Cornelia","non-dropping-particle":"","parse-names":false,"suffix":""},{"dropping-particle":"","family":"Yoto","given":"Tuwoso","non-dropping-particle":"","parse-names":false,"suffix":""}],"container-title":"International Journal of Innovation","id":"ITEM-1","issue":"1","issued":{"date-parts":[["2019"]]},"page":"7","title":"Improving the quality of vocational education in the 4.0 industrial revolution by using the teaching factory approach","type":"article-journal","volume":"8"},"uris":["http://www.mendeley.com/documents/?uuid=62575961-ee6d-495d-98a9-7db6bfbc8315"]}],"mendeley":{"formattedCitation":"(Tjiptady &amp; Yoto, 2019)","plainTextFormattedCitation":"(Tjiptady &amp; Yoto, 2019)","previouslyFormattedCitation":"(Tjiptady &amp; Yoto,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(Tjiptady &amp; Yoto,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Local wisdom, where traditional fishing practices contain local knowledge and technology, is at risk of being </w:t>
      </w:r>
      <w:r w:rsidR="00314AB2">
        <w:rPr>
          <w:rFonts w:asciiTheme="minorBidi" w:hAnsiTheme="minorBidi" w:cstheme="minorBidi"/>
          <w:iCs/>
          <w:lang w:val="id-ID"/>
        </w:rPr>
        <w:t>marginalised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if the curriculum only adheres to global standards. School facilities are limited, with many maritime vocational schools in Indonesia lacking adequate practical equipment, laboratories, or training vessels to meet STCW-F standards</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{"citationItems":[{"id":"ITEM-1","itemData":{"ISBN":"9462525870","author":[{"dropping-particle":"","family":"Samani","given":"Muchlas","non-dropping-particle":"","parse-names":false,"suffix":""}],"container-title":"International Conference on Indonesian Technical Vocational Education and Association (APTEKINDO 2018)","id":"ITEM-1","issued":{"date-parts":[["2018"]]},"page":"45-47","publisher":"Atlantis Press","title":"Vocational education in the era of industry 4.0: an Indonesia case","type":"paper-conference"},"uris":["http://www.mendeley.com/documents/?uuid=244c463f-326e-4ea8-8b5a-53aceeb89502"]}],"mendeley":{"formattedCitation":"(Samani, 2018)","plainTextFormattedCitation":"(Samani, 2018)","previouslyFormattedCitation":"(Samani,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(Samani, 2018)</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9553B97" w14:textId="76B1097A" w:rsidR="00673E32"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This situation </w:t>
      </w:r>
      <w:r w:rsidR="00314AB2">
        <w:rPr>
          <w:rFonts w:asciiTheme="minorBidi" w:hAnsiTheme="minorBidi" w:cstheme="minorBidi"/>
          <w:iCs/>
          <w:lang w:val="id-ID"/>
        </w:rPr>
        <w:t>emphasises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that implementing global standards in vocational education in Indonesia is a negotiation arena. Global standards are needed to improve quality and competitiveness; on the other hand, schools must adapt to resource limitations and local needs that differ from international requirements.</w:t>
      </w:r>
    </w:p>
    <w:p w14:paraId="0554BA6C" w14:textId="65EE19B4" w:rsidR="00673E32" w:rsidRPr="00673E32" w:rsidRDefault="00673E32" w:rsidP="00A258DB">
      <w:pPr>
        <w:pStyle w:val="Body"/>
        <w:rPr>
          <w:rFonts w:ascii="Arial" w:hAnsi="Arial" w:cs="Arial"/>
          <w:b/>
          <w:sz w:val="22"/>
        </w:rPr>
      </w:pPr>
      <w:r>
        <w:rPr>
          <w:rFonts w:ascii="Arial" w:hAnsi="Arial" w:cs="Arial"/>
          <w:b/>
          <w:sz w:val="22"/>
        </w:rPr>
        <w:lastRenderedPageBreak/>
        <w:t>2.</w:t>
      </w:r>
      <w:r w:rsidRPr="00673E32">
        <w:rPr>
          <w:rFonts w:ascii="Arial" w:hAnsi="Arial" w:cs="Arial"/>
          <w:b/>
          <w:sz w:val="22"/>
        </w:rPr>
        <w:t xml:space="preserve">3. </w:t>
      </w:r>
      <w:r w:rsidR="00A60E7A" w:rsidRPr="00A60E7A">
        <w:rPr>
          <w:rFonts w:asciiTheme="minorBidi" w:hAnsiTheme="minorBidi" w:cstheme="minorBidi"/>
          <w:b/>
          <w:bCs/>
          <w:iCs/>
          <w:sz w:val="22"/>
          <w:szCs w:val="22"/>
          <w:lang w:val="id-ID"/>
        </w:rPr>
        <w:t>Vocational Education Policy in Indonesia</w:t>
      </w:r>
    </w:p>
    <w:p w14:paraId="2711971C" w14:textId="32CDF938"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Vocational education in Indonesia, particularly at the Vocational High School (SMK) level, is designed to produce work-ready graduates in line with industry needs. This is </w:t>
      </w:r>
      <w:r w:rsidR="00314AB2">
        <w:rPr>
          <w:rFonts w:asciiTheme="minorBidi" w:hAnsiTheme="minorBidi" w:cstheme="minorBidi"/>
          <w:iCs/>
          <w:lang w:val="id-ID"/>
        </w:rPr>
        <w:t>emphasised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in the Ministry of Education and Culture's policy (Kemendikbud, 2020), which states that vocational education's primary mission is to equip students with practical skills, professional attitudes, and technical competencies to be directly absorbed into the workforce. This educational model is also seen as a government strategy to reduce unemployment and increase national competitiveness in the era of </w:t>
      </w:r>
      <w:r w:rsidR="00314AB2">
        <w:rPr>
          <w:rFonts w:asciiTheme="minorBidi" w:hAnsiTheme="minorBidi" w:cstheme="minorBidi"/>
          <w:iCs/>
          <w:lang w:val="id-ID"/>
        </w:rPr>
        <w:t>globalisation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2331186X.2024.2340858","ISSN":"null","author":[{"dropping-particle":"","family":"Yoana","given":"","non-dropping-particle":"","parse-names":false,"suffix":""},{"dropping-particle":"","family":"Auwalin","given":"Ilmiawan","non-dropping-particle":"","parse-names":false,"suffix":""},{"dropping-particle":"","family":"Rumayya","given":"","non-dropping-particle":"","parse-names":false,"suffix":""}],"container-title":"Cogent Education","id":"ITEM-1","issue":"1","issued":{"date-parts":[["2024","12","31"]]},"note":"doi: 10.1080/2331186X.2024.2340858","page":"2340858","publisher":"Cogent OA","title":"The role of vocational education on unemployment in Indonesia","type":"article-journal","volume":"11"},"uris":["http://www.mendeley.com/documents/?uuid=9346cf61-2b46-4190-acd1-9d270fbb1182"]}],"mendeley":{"formattedCitation":"(Yoana et al., 2024)","plainTextFormattedCitation":"(Yoana et al., 2024)","previouslyFormattedCitation":"(Yoana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(Yoana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8DED3E7"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Despite this, vocational education in Indonesia still faces a classic problem: a mismatch between school curriculum and actual needs in the workplace.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{"citationItems":[{"id":"ITEM-1","itemData":{"DOI":"10.1007/s10499-014-9843-x","ISSN":"1573-143X","abstract":"There is an increasing demand for highly skilled workers in all advanced industrialised economies. Although most jobs require occupation-specific skills to carry them out, it is widely recognised that generic skills are ever more needed by job seekers, to increase job opportunities and maintain employability; this applies to all sectors of the economy, from selling cars to undertaking marine research. Several recent European Union strategy documents emphasise the importance of generic skills. However, the apparent mismatch between the skills sets that employers seek and that job seekers offer remains a major challenge. This paper focuses on perceptions of and attitudes to generic skills training for university graduates intending to gain employment in aquaculture, fisheries or other marine sectors and presents the results of a survey administered to academics, industry representatives, students (at different stages of their academic career) and graduates. The various respondents regarded most of the 39 generic skills under investigation as important, with none classified as unimportant. However, students undertaking different types of degree (i.e. B.Sc., M.Sc. and Ph.D.) prioritized different generic skills and the level of importance ascribed to generic skills training increased as students progressed in their university careers. On the other hand, university staff and other employers were fairly consistent in their choice of the most important generic skills. We argue that there remains a need to place generic skills and employability attributes and attitudes at the centre of the higher education curriculum.","author":[{"dropping-particle":"","family":"Pita","given":"Cristina","non-dropping-particle":"","parse-names":false,"suffix":""},{"dropping-particle":"","family":"Eleftheriou","given":"Margaret","non-dropping-particle":"","parse-names":false,"suffix":""},{"dropping-particle":"","family":"Fernández-Borrás","given":"Jaime","non-dropping-particle":"","parse-names":false,"suffix":""},{"dropping-particle":"","family":"Gonçalves","given":"Susana","non-dropping-particle":"","parse-names":false,"suffix":""},{"dropping-particle":"","family":"Mente","given":"Eleni","non-dropping-particle":"","parse-names":false,"suffix":""},{"dropping-particle":"","family":"Santos","given":"M Begoña","non-dropping-particle":"","parse-names":false,"suffix":""},{"dropping-particle":"","family":"Seixas","given":"Sónia","non-dropping-particle":"","parse-names":false,"suffix":""},{"dropping-particle":"","family":"Pierce","given":"Graham J","non-dropping-particle":"","parse-names":false,"suffix":""}],"container-title":"Aquaculture International","id":"ITEM-1","issue":"3","issued":{"date-parts":[["2015"]]},"page":"767-786","title":"Generic skills needs for graduate employment in the aquaculture, fisheries and related sectors in Europe","type":"article-journal","volume":"23"},"uris":["http://www.mendeley.com/documents/?uuid=5ce7af9a-00e5-46af-bb11-b65bcaba943e"]}],"mendeley":{"formattedCitation":"(Pita et al., 2015)","plainTextFormattedCitation":"(Pita et al., 2015)","previouslyFormattedCitation":"(Pita et al., 2015)"},"properties":{"noteIndex":0},"schema":"https://github.com/citation-style-language/schema/raw/master/csl-citation.json"}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(Pita et al., 2015)</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indicate that vocational high school graduates are often not entirely relevant to the skills required by industry, particularly in the maritime and fisheries sectors, which require competencies based on international standards. Furthermore,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{"citationItems":[{"id":"ITEM-1","itemData":{"DOI":"10.1007/978-981-13-0250-3_5","ISBN":"978-981-13-0250-3","abstract":"India and many other countries in the Asian region have placed varying emphases on general and vocational education, depending upon several historical, social, economic and political considerations. Further, with rapid transformation of societies in social, political, economic, technological and education spheres there has been a sea change in the perspectives on the need for and nature of vocational education and training. This chapter provides a brief account of the progress made by the countries in the Asian region in vocational education and training, and discusses a few important emerging issues of serious concern.","author":[{"dropping-particle":"","family":"Tilak","given":"Jandhyala B G","non-dropping-particle":"","parse-names":false,"suffix":""}],"editor":[{"dropping-particle":"","family":"Tilak","given":"Jandhyala B G","non-dropping-particle":"","parse-names":false,"suffix":""}],"id":"ITEM-1","issued":{"date-parts":[["2018"]]},"page":"203-220","publisher":"Springer Singapore","publisher-place":"Singapore","title":"Vocational Education and Training in Asia BT  - Education and Development in India: Critical Issues in Public Policy and Development","type":"chapter"},"uris":["http://www.mendeley.com/documents/?uuid=da259809-e108-4019-8deb-165280fa6edb"]}],"mendeley":{"formattedCitation":"(Tilak, 2018)","plainTextFormattedCitation":"(Tilak, 2018)","previouslyFormattedCitation":"(Tilak,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(Tilak, 2018)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highlighted that this mismatch is exacerbated by minimal industry involvement in curriculum development and limited school practical facilities. This gap is even more striking in the maritime sector because schools often lack training vessels, simulators, or internationally certified instructors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2076-328X","author":[{"dropping-particle":"","family":"Ye","given":"Jian-Hong","non-dropping-particle":"","parse-names":false,"suffix":""},{"dropping-particle":"","family":"He","given":"Zhen","non-dropping-particle":"","parse-names":false,"suffix":""},{"dropping-particle":"","family":"Bai","given":"Bin","non-dropping-particle":"","parse-names":false,"suffix":""},{"dropping-particle":"","family":"Wu","given":"Yu-Feng","non-dropping-particle":"","parse-names":false,"suffix":""}],"container-title":"Behavioral Sciences","id":"ITEM-1","issue":"10","issued":{"date-parts":[["2024"]]},"page":"859","publisher":"MDPI","title":"Sustainability of technical and vocational education and training (TVET) along with vocational psychology","type":"article","volume":"14"},"uris":["http://www.mendeley.com/documents/?uuid=a25986d5-75ae-403c-b45e-326b82f6e229"]}],"mendeley":{"formattedCitation":"(Ye et al., 2024)","plainTextFormattedCitation":"(Ye et al., 2024)","previouslyFormattedCitation":"(Ye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(Ye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477430BD" w14:textId="22DEACAB"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recent years, the Indonesian government has </w:t>
      </w:r>
      <w:r w:rsidR="00314AB2">
        <w:rPr>
          <w:rFonts w:asciiTheme="minorBidi" w:hAnsiTheme="minorBidi" w:cstheme="minorBidi"/>
          <w:iCs/>
          <w:lang w:val="id-ID"/>
        </w:rPr>
        <w:t>prioritised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vocational education as a strategic priority to increase workforce competitiveness in the global era. This is reflected in various recent policies that directly influence the direction of vocational high school (SMK) development, including fishing vessel nautical engineering (NKPI). </w:t>
      </w:r>
    </w:p>
    <w:p w14:paraId="4F7EAB1C" w14:textId="43D52F70"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 xml:space="preserve">Presidential Regulation Number 68 of 2022 concerning the </w:t>
      </w:r>
      <w:r w:rsidR="00314AB2">
        <w:rPr>
          <w:rFonts w:asciiTheme="minorBidi" w:hAnsiTheme="minorBidi" w:cstheme="minorBidi"/>
          <w:iCs/>
          <w:lang w:val="id-ID"/>
        </w:rPr>
        <w:t>Revitalisation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of Vocational Education and Training </w:t>
      </w:r>
      <w:r w:rsidR="00314AB2">
        <w:rPr>
          <w:rFonts w:asciiTheme="minorBidi" w:hAnsiTheme="minorBidi" w:cstheme="minorBidi"/>
          <w:iCs/>
          <w:lang w:val="id-ID"/>
        </w:rPr>
        <w:t>emphasises synchronising</w:t>
      </w:r>
      <w:r w:rsidRPr="00982587">
        <w:rPr>
          <w:rFonts w:asciiTheme="minorBidi" w:hAnsiTheme="minorBidi" w:cstheme="minorBidi"/>
          <w:iCs/>
          <w:lang w:val="id-ID"/>
        </w:rPr>
        <w:t xml:space="preserve"> vocational education with industry needs. This Presidential Regulation encourages collaboration between the government, business, and industry (DUDI) to produce graduates with skills relevant to global developments.</w:t>
      </w:r>
    </w:p>
    <w:p w14:paraId="497732F4"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The 8+i Link and Match Policy, launched by the Ministry of Education, Culture, Research, and Technology, strengthens the implementation of industry-based vocational education. The 8+i principles encompass various aspects, such as an industry-based curriculum, the involvement of guest teachers from industry practitioners, structured internship programs, competency certification, applied research, and workforce recruitment. This scheme is designed to bridge the gap between the world of school and the real workplace needs.</w:t>
      </w:r>
    </w:p>
    <w:p w14:paraId="7CEA960D" w14:textId="6489B00E"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 xml:space="preserve">Implementing the Independent Curriculum for Vocational High Schools (SMK) provides more flexibility for schools to develop expertise concentrations. In the context of the Fishing Vessel Nautical Program (NKPI), this curriculum integrates global standards, including the International Maritime </w:t>
      </w:r>
      <w:r w:rsidR="00314AB2">
        <w:rPr>
          <w:rFonts w:asciiTheme="minorBidi" w:hAnsiTheme="minorBidi" w:cstheme="minorBidi"/>
          <w:iCs/>
          <w:lang w:val="id-ID"/>
        </w:rPr>
        <w:t>Organisation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(IMO) and the Standards of Training, Certification, and Watchkeeping for Fishing Vessel Personnel (STCW-F). Thus, students are not only prepared for local needs but are also directed to meet the demands of global competence.</w:t>
      </w:r>
    </w:p>
    <w:p w14:paraId="4E8B61A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policy demonstrates the state's commitment to improving the quality of vocational education. However, the integration of global standards through this policy also demonstrates a process of educational hegemony that demands schools adhere to global norms, requiring schools to negotiate between global demands and local realities in daily educational practices.</w:t>
      </w:r>
    </w:p>
    <w:p w14:paraId="286A6FE0" w14:textId="1DCA96E5"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Using Gramsci's hegemonic perspective, this study views the implementation of global standards in vocational education as not a neutral process but an ideological one involving domination, consensus, adaptation, and resistance. Global standards shape educational frameworks and orientations, but local actors (teachers, students, schools, and communities) can interpret, adapt, and even challenge this domination. </w:t>
      </w:r>
    </w:p>
    <w:p w14:paraId="6DB84233" w14:textId="119D8CDB" w:rsidR="007F7B32" w:rsidRDefault="00270C7C" w:rsidP="00A258DB">
      <w:pPr>
        <w:pStyle w:val="AbstHead"/>
        <w:jc w:val="both"/>
        <w:rPr>
          <w:rFonts w:ascii="Arial" w:hAnsi="Arial" w:cs="Arial"/>
        </w:rPr>
      </w:pPr>
      <w:r>
        <w:rPr>
          <w:rFonts w:ascii="Arial" w:hAnsi="Arial" w:cs="Arial"/>
        </w:rPr>
        <w:lastRenderedPageBreak/>
        <w:t>3</w:t>
      </w:r>
      <w:r w:rsidR="00902823">
        <w:rPr>
          <w:rFonts w:ascii="Arial" w:hAnsi="Arial" w:cs="Arial"/>
        </w:rPr>
        <w:t xml:space="preserve">. </w:t>
      </w:r>
      <w:r w:rsidR="00314AB2">
        <w:rPr>
          <w:rFonts w:ascii="Arial" w:hAnsi="Arial" w:cs="Arial"/>
        </w:rPr>
        <w:t xml:space="preserve">Methods </w:t>
      </w:r>
    </w:p>
    <w:p w14:paraId="4C5ECE64" w14:textId="78C7ABC2" w:rsidR="00C212EE" w:rsidRPr="00C212EE" w:rsidRDefault="00270C7C" w:rsidP="00A258DB">
      <w:pPr>
        <w:pStyle w:val="Body"/>
        <w:rPr>
          <w:rFonts w:ascii="Arial" w:hAnsi="Arial" w:cs="Arial"/>
          <w:b/>
          <w:sz w:val="22"/>
        </w:rPr>
      </w:pPr>
      <w:r>
        <w:rPr>
          <w:rFonts w:ascii="Arial" w:hAnsi="Arial" w:cs="Arial"/>
          <w:b/>
          <w:sz w:val="22"/>
        </w:rPr>
        <w:t>3</w:t>
      </w:r>
      <w:r w:rsidR="00DA7E33">
        <w:rPr>
          <w:rFonts w:ascii="Arial" w:hAnsi="Arial" w:cs="Arial"/>
          <w:b/>
          <w:sz w:val="22"/>
        </w:rPr>
        <w:t>.</w:t>
      </w:r>
      <w:r w:rsidR="00C212EE" w:rsidRPr="00C212EE">
        <w:rPr>
          <w:rFonts w:ascii="Arial" w:hAnsi="Arial" w:cs="Arial"/>
          <w:b/>
          <w:sz w:val="22"/>
        </w:rPr>
        <w:t xml:space="preserve">1. </w:t>
      </w:r>
      <w:r w:rsidR="003D4C74" w:rsidRPr="00982587">
        <w:rPr>
          <w:rFonts w:asciiTheme="minorBidi" w:hAnsiTheme="minorBidi" w:cstheme="minorBidi"/>
          <w:b/>
          <w:bCs/>
          <w:iCs/>
          <w:lang w:val="id-ID"/>
        </w:rPr>
        <w:t>Research Type and Approach</w:t>
      </w:r>
    </w:p>
    <w:p w14:paraId="56313F59" w14:textId="15C112D1" w:rsidR="00C212EE" w:rsidRDefault="003D4C74" w:rsidP="00A258DB">
      <w:pPr>
        <w:pStyle w:val="Body"/>
        <w:rPr>
          <w:rFonts w:ascii="Arial" w:hAnsi="Arial" w:cs="Arial"/>
        </w:rPr>
      </w:pPr>
      <w:r w:rsidRPr="00982587">
        <w:rPr>
          <w:rFonts w:asciiTheme="minorBidi" w:hAnsiTheme="minorBidi" w:cstheme="minorBidi"/>
          <w:iCs/>
          <w:lang w:val="id-ID"/>
        </w:rPr>
        <w:t>This research uses a qualitative approach with a case study design. This approach was chosen because the research focuses on deeply understanding the phenomenon of the hegemony of global standards in a specific context, namely the Fishing Vessel Nautical program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{"citationItems":[{"id":"ITEM-1","itemData":{"author":[{"dropping-particle":"","family":"Creswell","given":"John W.; Cheryl N. Poth.","non-dropping-particle":"","parse-names":false,"suffix":""}],"id":"ITEM-1","issued":{"date-parts":[["2016"]]},"publisher":"Sage Publications","title":"Qualitative Inquiry and Research Design: Choosing Among Five Approaches","type":"book"},"uris":["http://www.mendeley.com/documents/?uuid=002c33c4-1d7b-460d-ba5f-a12b9bbacada"]}],"mendeley":{"formattedCitation":"(Creswell, 2016)","plainTextFormattedCitation":"(Creswell, 2016)","previouslyFormattedCitation":"(Creswell, 2016)"},"properties":{"noteIndex":0},"schema":"https://github.com/citation-style-language/schema/raw/master/csl-citation.json"}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(Creswell, 2016)</w:t>
      </w:r>
      <w:r w:rsidRPr="00982587">
        <w:rPr>
          <w:rFonts w:asciiTheme="minorBidi" w:hAnsiTheme="minorBidi" w:cstheme="minorBidi"/>
          <w:iCs/>
          <w:lang w:val="id-ID"/>
        </w:rPr>
        <w:fldChar w:fldCharType="end"/>
      </w:r>
      <w:r w:rsidR="00314AB2">
        <w:rPr>
          <w:rFonts w:asciiTheme="minorBidi" w:hAnsiTheme="minorBidi" w:cstheme="minorBidi"/>
          <w:iCs/>
          <w:lang w:val="id-ID"/>
        </w:rPr>
        <w:t>Qualitative</w:t>
      </w:r>
      <w:r w:rsidRPr="00982587">
        <w:rPr>
          <w:rFonts w:asciiTheme="minorBidi" w:hAnsiTheme="minorBidi" w:cstheme="minorBidi"/>
          <w:iCs/>
          <w:lang w:val="id-ID"/>
        </w:rPr>
        <w:t xml:space="preserve"> research explores meaning and social processes in natural settings. Meanwhile,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{"citationItems":[{"id":"ITEM-1","itemData":{"author":[{"dropping-particle":"","family":"Yin","given":"Robert K.","non-dropping-particle":"","parse-names":false,"suffix":""}],"id":"ITEM-1","issued":{"date-parts":[["2018"]]},"publisher":"Sage Publications","publisher-place":"Thousand Oaks, CA, US","title":"Case Study Research and Applications","type":"book"},"uris":["http://www.mendeley.com/documents/?uuid=e09a1bb8-2afe-424a-8889-6c9a3969ba6e"]}],"mendeley":{"formattedCitation":"(Yin, 2018)","plainTextFormattedCitation":"(Yin, 2018)","previouslyFormattedCitation":"(Yin,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(Yin, 2018)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case studies are appropriate when researchers want to </w:t>
      </w:r>
      <w:r w:rsidR="00314AB2">
        <w:rPr>
          <w:rFonts w:asciiTheme="minorBidi" w:hAnsiTheme="minorBidi" w:cstheme="minorBidi"/>
          <w:iCs/>
          <w:lang w:val="id-ID"/>
        </w:rPr>
        <w:t>analyse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contemporary phenomena in a real-life context. Therefore, this research is not intended for statistical </w:t>
      </w:r>
      <w:r w:rsidR="00314AB2">
        <w:rPr>
          <w:rFonts w:asciiTheme="minorBidi" w:hAnsiTheme="minorBidi" w:cstheme="minorBidi"/>
          <w:iCs/>
          <w:lang w:val="id-ID"/>
        </w:rPr>
        <w:t>generalisation</w:t>
      </w:r>
      <w:r w:rsidRPr="00982587">
        <w:rPr>
          <w:rFonts w:asciiTheme="minorBidi" w:hAnsiTheme="minorBidi" w:cstheme="minorBidi"/>
          <w:iCs/>
          <w:lang w:val="id-ID"/>
        </w:rPr>
        <w:t>, but rather to generate contextual theoretical and practical understanding.</w:t>
      </w:r>
    </w:p>
    <w:p w14:paraId="4FEE8B45" w14:textId="557765F2" w:rsidR="00DA7E33" w:rsidRPr="00DA7E33" w:rsidRDefault="00270C7C" w:rsidP="00A258DB">
      <w:pPr>
        <w:pStyle w:val="Body"/>
        <w:rPr>
          <w:rFonts w:ascii="Arial" w:hAnsi="Arial" w:cs="Arial"/>
          <w:b/>
          <w:sz w:val="22"/>
        </w:rPr>
      </w:pPr>
      <w:r>
        <w:rPr>
          <w:rFonts w:ascii="Arial" w:hAnsi="Arial" w:cs="Arial"/>
          <w:b/>
          <w:sz w:val="22"/>
        </w:rPr>
        <w:t>3</w:t>
      </w:r>
      <w:r w:rsidR="00DA7E33">
        <w:rPr>
          <w:rFonts w:ascii="Arial" w:hAnsi="Arial" w:cs="Arial"/>
          <w:b/>
          <w:sz w:val="22"/>
        </w:rPr>
        <w:t>.</w:t>
      </w:r>
      <w:r w:rsidR="00DA7E33" w:rsidRPr="00DA7E33">
        <w:rPr>
          <w:rFonts w:ascii="Arial" w:hAnsi="Arial" w:cs="Arial"/>
          <w:b/>
          <w:sz w:val="22"/>
        </w:rPr>
        <w:t>2. Research Location</w:t>
      </w:r>
    </w:p>
    <w:p w14:paraId="0FC2B393" w14:textId="13486B19" w:rsidR="00DA7E33" w:rsidRDefault="003D4C74" w:rsidP="00A258DB">
      <w:pPr>
        <w:pStyle w:val="Body"/>
        <w:rPr>
          <w:rFonts w:ascii="Arial" w:hAnsi="Arial" w:cs="Arial"/>
        </w:rPr>
      </w:pPr>
      <w:r w:rsidRPr="00982587">
        <w:rPr>
          <w:rFonts w:asciiTheme="minorBidi" w:hAnsiTheme="minorBidi" w:cstheme="minorBidi"/>
          <w:iCs/>
          <w:lang w:val="id-ID"/>
        </w:rPr>
        <w:t>This research was conducted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 East Kalimantan, focusing on the Fishing Vessel Nautical expertise program. This location was chosen based on the consideration that State Vocational School 5 Balikpapan is one of the maritime-based vocational high schools that has implemented a globally oriented curriculum and competency standards, including references to International Maritime </w:t>
      </w:r>
      <w:r w:rsidR="00314AB2">
        <w:rPr>
          <w:rFonts w:asciiTheme="minorBidi" w:hAnsiTheme="minorBidi" w:cstheme="minorBidi"/>
          <w:iCs/>
          <w:lang w:val="id-ID"/>
        </w:rPr>
        <w:t>Organisation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(IMO) regulations and the Standards of Training, Certification, and Watchkeeping for Fishing Vessel Personnel (STCW-F). This context makes this school relevant as a case study to </w:t>
      </w:r>
      <w:r w:rsidR="00314AB2">
        <w:rPr>
          <w:rFonts w:asciiTheme="minorBidi" w:hAnsiTheme="minorBidi" w:cstheme="minorBidi"/>
          <w:iCs/>
          <w:lang w:val="id-ID"/>
        </w:rPr>
        <w:t>analyse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the hegemony of global standards, adaptation strategies, and their implications for vocational education practices at the local level.</w:t>
      </w:r>
    </w:p>
    <w:p w14:paraId="0A0776EC" w14:textId="1D3DA73D"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3. Research Subjects</w:t>
      </w:r>
    </w:p>
    <w:p w14:paraId="5B69EEAF" w14:textId="2D771D03"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The subjects of this study were determined using purposive sampling techniques, namely the deliberate selection of informants based on their direct relationship to the phenomenon being studied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{"citationItems":[{"id":"ITEM-1","itemData":{"author":[{"dropping-particle":"","family":"Creswell","given":"John W.; Cheryl N. Poth.","non-dropping-particle":"","parse-names":false,"suffix":""}],"id":"ITEM-1","issued":{"date-parts":[["2016"]]},"publisher":"Sage Publications","title":"Qualitative Inquiry and Research Design: Choosing Among Five Approaches","type":"book"},"uris":["http://www.mendeley.com/documents/?uuid=002c33c4-1d7b-460d-ba5f-a12b9bbacada"]}],"mendeley":{"formattedCitation":"(Creswell, 2016)","plainTextFormattedCitation":"(Creswell, 2016)","previouslyFormattedCitation":"(Creswell, 2016)"},"properties":{"noteIndex":0},"schema":"https://github.com/citation-style-language/schema/raw/master/csl-citation.json"}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(Creswell, 2016)</w:t>
      </w:r>
      <w:r w:rsidRPr="00982587">
        <w:rPr>
          <w:rFonts w:asciiTheme="minorBidi" w:hAnsiTheme="minorBidi" w:cstheme="minorBidi"/>
          <w:iCs/>
          <w:lang w:val="id-ID"/>
        </w:rPr>
        <w:fldChar w:fldCharType="end"/>
      </w:r>
      <w:r w:rsidRPr="00982587">
        <w:rPr>
          <w:rFonts w:asciiTheme="minorBidi" w:hAnsiTheme="minorBidi" w:cstheme="minorBidi"/>
          <w:iCs/>
          <w:lang w:val="id-ID"/>
        </w:rPr>
        <w:t>. The informants involved include: Productive Nautical teachers, who are directly involved in the learning process based on global standards. Students of the Fishing Vessel Nautical program are parties who directly experience implementing the curriculum and competency standards. School management (principal and vice principal for curriculum), who play a role in formulating policies and implementing vocational programs. External stakeholders, such as the Education Office and industry/fisheries (if relevant), provide perspectives on the relationship between schools, policies, and industry needs. This combination of informants was selected so that the data obtained can provide a comprehensive picture of the dynamics of the hegemony of global standards in vocational education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w:t>
      </w:r>
    </w:p>
    <w:p w14:paraId="09F69D33" w14:textId="60560B9B"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4. Data Collection Techniques</w:t>
      </w:r>
    </w:p>
    <w:p w14:paraId="54F95709" w14:textId="5083D0E3"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Data collection in this study was conducted using three main techniques: In-depth interviews with productive teachers, students of the Fishing Vessel Nautical program, school management, and external stakeholders. The interviews aimed to explore their experiences, perspectives, and adaptation strategies regarding implementing global standards in vocational education. Participatory observation was conducted directly during learning activities, laboratory practices, and nautical simulations. This technique was used to understand the dynamics of implementing a global standards-based curriculum in daily teaching and learning. Document analysis: The documents </w:t>
      </w:r>
      <w:r w:rsidR="00314AB2">
        <w:rPr>
          <w:rFonts w:asciiTheme="minorBidi" w:hAnsiTheme="minorBidi" w:cstheme="minorBidi"/>
          <w:iCs/>
          <w:lang w:val="id-ID"/>
        </w:rPr>
        <w:t>analysed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included the curriculum, syllabus, learning modules, competency certification documents, and school policies related to international </w:t>
      </w:r>
      <w:r w:rsidRPr="00982587">
        <w:rPr>
          <w:rFonts w:asciiTheme="minorBidi" w:hAnsiTheme="minorBidi" w:cstheme="minorBidi"/>
          <w:iCs/>
          <w:lang w:val="id-ID"/>
        </w:rPr>
        <w:lastRenderedPageBreak/>
        <w:t xml:space="preserve">standards. Document analysis was used to identify how global standards are </w:t>
      </w:r>
      <w:r w:rsidR="00314AB2">
        <w:rPr>
          <w:rFonts w:asciiTheme="minorBidi" w:hAnsiTheme="minorBidi" w:cstheme="minorBidi"/>
          <w:iCs/>
          <w:lang w:val="id-ID"/>
        </w:rPr>
        <w:t>internalised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into school policies and practices. Combining these three techniques enabled the researcher to obtain comprehensive and triangulated data regarding the phenomenon of global standards hegemony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w:t>
      </w:r>
    </w:p>
    <w:p w14:paraId="7C8CE63B" w14:textId="3E9EDB6E"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5. Data Analysis Techniques</w:t>
      </w:r>
    </w:p>
    <w:p w14:paraId="44697033" w14:textId="6BF182C2"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The data analysis in this study used an interactive model developed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{"citationItems":[{"id":"ITEM-1","itemData":{"author":[{"dropping-particle":"","family":"Matthew B. Miles, A. Michael Huberman","given":"Johnny Saldana","non-dropping-particle":"","parse-names":false,"suffix":""}],"id":"ITEM-1","issued":{"date-parts":[["2014"]]},"publisher":"Sage Publications","publisher-place":"United Kingdom","title":"Qualitative Data Analysis: A Methods Sourcebook","type":"book"},"uris":["http://www.mendeley.com/documents/?uuid=588d1ba0-31d1-4990-83e1-996234b600e4"]}],"mendeley":{"formattedCitation":"(Matthew B. Miles, A. Michael Huberman, 2014)","plainTextFormattedCitation":"(Matthew B. Miles, A. Michael Huberman, 2014)","previouslyFormattedCitation":"(Matthew B. Miles, A. Michael Huberman, 2014)"},"properties":{"noteIndex":0},"schema":"https://github.com/citation-style-language/schema/raw/master/csl-citation.json"}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(Matthew B. Miles, A. Michael Huberman, 2014)</w:t>
      </w:r>
      <w:r w:rsidRPr="00982587">
        <w:rPr>
          <w:rFonts w:asciiTheme="minorBidi" w:hAnsiTheme="minorBidi" w:cstheme="minorBidi"/>
          <w:iCs/>
          <w:lang w:val="id-ID"/>
        </w:rPr>
        <w:fldChar w:fldCharType="end"/>
      </w:r>
      <w:r w:rsidRPr="00982587">
        <w:rPr>
          <w:rFonts w:asciiTheme="minorBidi" w:hAnsiTheme="minorBidi" w:cstheme="minorBidi"/>
          <w:iCs/>
          <w:lang w:val="id-ID"/>
        </w:rPr>
        <w:t>. The analysis process was carried out continuously from data collection to conclusion drawing, with the following steps: Data condensation. Data obtained through interviews, observations, and documents were selected, focused, and simplified to highlight aspects relevant to the themes of global standard hegemony, adaptation strategies, and forms of resistance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 data presentation. The condensed data were arranged in matrices, tables, or thematic categories. This presentation facilitated the researcher in identifying patterns, such as categories of hegemony, forms of school adaptation, and potential resistance to global standards: conclusion drawing and verification. Temporary conclusions drawn during the research process were continuously verified with additional data or triangulation between sources. This process aimed to ensure the validity of the findings before they were </w:t>
      </w:r>
      <w:r w:rsidR="00314AB2">
        <w:rPr>
          <w:rFonts w:asciiTheme="minorBidi" w:hAnsiTheme="minorBidi" w:cstheme="minorBidi"/>
          <w:iCs/>
          <w:lang w:val="id-ID"/>
        </w:rPr>
        <w:t>finalised</w:t>
      </w:r>
      <w:r w:rsidRPr="00982587">
        <w:rPr>
          <w:rFonts w:asciiTheme="minorBidi" w:hAnsiTheme="minorBidi" w:cstheme="minorBidi"/>
          <w:iCs/>
          <w:lang w:val="id-ID"/>
        </w:rPr>
        <w:t>. With this approach, the analysis is carried out interactively, systematically, and repeatedly to produce a deep understanding of the dynamics of the hegemony of global standards in vocational education.</w:t>
      </w:r>
    </w:p>
    <w:p w14:paraId="1C023DA7" w14:textId="341F4CA0"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6. Data Validity Testing</w:t>
      </w:r>
    </w:p>
    <w:p w14:paraId="0F753208" w14:textId="18C3A5CE" w:rsidR="00D30E3C" w:rsidRPr="00FB3A86" w:rsidRDefault="003D4C74" w:rsidP="00A258DB">
      <w:pPr>
        <w:pStyle w:val="Body"/>
        <w:rPr>
          <w:rFonts w:ascii="Arial" w:hAnsi="Arial" w:cs="Arial"/>
        </w:rPr>
      </w:pPr>
      <w:r w:rsidRPr="00982587">
        <w:rPr>
          <w:rFonts w:asciiTheme="minorBidi" w:hAnsiTheme="minorBidi" w:cstheme="minorBidi"/>
          <w:iCs/>
          <w:lang w:val="id-ID"/>
        </w:rPr>
        <w:t xml:space="preserve">To ensure the validity and reliability of the findings, this study employed several data validity testing strategies, including source triangulation. Data was obtained from various sources, including productive teachers, students, school management, and official documents, to compare and confirm information across sources </w:t>
      </w:r>
      <w:r w:rsidR="00314AB2">
        <w:rPr>
          <w:rFonts w:asciiTheme="minorBidi" w:hAnsiTheme="minorBidi" w:cstheme="minorBidi"/>
          <w:iCs/>
          <w:lang w:val="id-ID"/>
        </w:rPr>
        <w:t xml:space="preserve">through </w:t>
      </w:r>
      <w:r w:rsidRPr="00982587">
        <w:rPr>
          <w:rFonts w:asciiTheme="minorBidi" w:hAnsiTheme="minorBidi" w:cstheme="minorBidi"/>
          <w:iCs/>
          <w:lang w:val="id-ID"/>
        </w:rPr>
        <w:t>technique triangulation. Data was collected through in-depth interviews, participant observation, and document analysis. A comparison of the results from different techniques strengthened data consistency, such as member checking. Interview results and initial interpretations were relayed to informants to ensure that the data and meanings captured by the researcher align with their experiences. By implementing triangulation and member checking, this study is expected to have a high level of validity and scientifically accountable findings.</w:t>
      </w:r>
    </w:p>
    <w:p w14:paraId="5877035B" w14:textId="755DF531" w:rsidR="00DA7E33" w:rsidRDefault="00000F8F" w:rsidP="00A258DB">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E392CCB" w14:textId="5CE05C2E" w:rsidR="00347AFB" w:rsidRPr="00347AFB" w:rsidRDefault="00347AFB" w:rsidP="00A258DB">
      <w:pPr>
        <w:pStyle w:val="Body"/>
        <w:numPr>
          <w:ilvl w:val="0"/>
          <w:numId w:val="36"/>
        </w:numPr>
        <w:ind w:left="426" w:hanging="426"/>
        <w:rPr>
          <w:rFonts w:ascii="Arial" w:hAnsi="Arial" w:cs="Arial"/>
          <w:b/>
          <w:sz w:val="22"/>
          <w:szCs w:val="22"/>
        </w:rPr>
      </w:pPr>
      <w:r w:rsidRPr="00347AFB">
        <w:rPr>
          <w:rFonts w:asciiTheme="minorBidi" w:hAnsiTheme="minorBidi" w:cstheme="minorBidi"/>
          <w:b/>
          <w:bCs/>
          <w:iCs/>
          <w:sz w:val="22"/>
          <w:szCs w:val="22"/>
          <w:lang w:val="id-ID"/>
        </w:rPr>
        <w:t>Empirical Findings: Contextual Basis of Global Standard Hegemony in Nautical Vocational Education</w:t>
      </w:r>
    </w:p>
    <w:p w14:paraId="7AA8FFC1" w14:textId="2B3234B4" w:rsidR="00347AFB" w:rsidRPr="00347AFB" w:rsidRDefault="00D3187E" w:rsidP="00347AFB">
      <w:pPr>
        <w:spacing w:after="240"/>
        <w:ind w:firstLine="709"/>
        <w:jc w:val="both"/>
        <w:rPr>
          <w:rFonts w:asciiTheme="minorBidi" w:hAnsiTheme="minorBidi" w:cstheme="minorBidi"/>
          <w:iCs/>
          <w:lang w:val="id-ID"/>
        </w:rPr>
      </w:pPr>
      <w:r>
        <w:t xml:space="preserve">Findings from in-depth interviews and participatory observations reveal a strong influence of global standards established by the International Maritime </w:t>
      </w:r>
      <w:proofErr w:type="spellStart"/>
      <w:r w:rsidR="00314AB2">
        <w:t>Organisation</w:t>
      </w:r>
      <w:proofErr w:type="spellEnd"/>
      <w:r w:rsidR="00314AB2">
        <w:t xml:space="preserve"> </w:t>
      </w:r>
      <w:r>
        <w:t xml:space="preserve">(IMO) through the </w:t>
      </w:r>
      <w:r>
        <w:rPr>
          <w:rStyle w:val="Emphasis"/>
          <w:color w:val="0E101A"/>
        </w:rPr>
        <w:t>Standards of Training, Certification, and Watchkeeping for Fishing Vessel Personnel</w:t>
      </w:r>
      <w:r>
        <w:t xml:space="preserve"> (STCW-F) on the practices of teachers and students at State Vocational School 5, Balikpapan.</w:t>
      </w:r>
    </w:p>
    <w:p w14:paraId="27A5C379" w14:textId="401CAA58"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 xml:space="preserve">Field observations indicate that the learning process within the Fishing Vessel Nautical Expertise Program is predominantly practice-oriented, </w:t>
      </w:r>
      <w:r w:rsidR="00314AB2">
        <w:rPr>
          <w:rFonts w:asciiTheme="minorBidi" w:hAnsiTheme="minorBidi" w:cstheme="minorBidi"/>
          <w:iCs/>
          <w:lang w:val="id-ID"/>
        </w:rPr>
        <w:t>emphasising</w:t>
      </w:r>
      <w:r w:rsidR="00314AB2" w:rsidRPr="00D3187E">
        <w:rPr>
          <w:rFonts w:asciiTheme="minorBidi" w:hAnsiTheme="minorBidi" w:cstheme="minorBidi"/>
          <w:iCs/>
          <w:lang w:val="id-ID"/>
        </w:rPr>
        <w:t xml:space="preserve"> </w:t>
      </w:r>
      <w:r w:rsidRPr="00D3187E">
        <w:rPr>
          <w:rFonts w:asciiTheme="minorBidi" w:hAnsiTheme="minorBidi" w:cstheme="minorBidi"/>
          <w:iCs/>
          <w:lang w:val="id-ID"/>
        </w:rPr>
        <w:t>navigation simulation, safety modules, and competency-based training. However, the limited availability of modern simulators forces teachers to adapt their instructional methods by combining simulation technology with traditional lectures and classroom discussions. As one teacher explained:</w:t>
      </w:r>
    </w:p>
    <w:p w14:paraId="1D48CA08"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lastRenderedPageBreak/>
        <w:t>"We follow a curriculum developed in accordance with IMO standards. The challenge is how the school's facilities can support these standards." (Interview, Nautical Teacher, 9/2025)</w:t>
      </w:r>
    </w:p>
    <w:p w14:paraId="190AE641" w14:textId="0C7B5CEA" w:rsidR="00347AFB" w:rsidRDefault="00D3187E" w:rsidP="00D3187E">
      <w:pPr>
        <w:spacing w:after="240"/>
        <w:ind w:firstLine="709"/>
        <w:jc w:val="both"/>
        <w:rPr>
          <w:rFonts w:asciiTheme="minorBidi" w:hAnsiTheme="minorBidi" w:cstheme="minorBidi"/>
          <w:iCs/>
        </w:rPr>
      </w:pPr>
      <w:r w:rsidRPr="00D3187E">
        <w:rPr>
          <w:rFonts w:asciiTheme="minorBidi" w:hAnsiTheme="minorBidi" w:cstheme="minorBidi"/>
          <w:iCs/>
          <w:lang w:val="id-ID"/>
        </w:rPr>
        <w:t>Students' experiences reinforce this dynamic. While they engage with formal instruction based on international procedures, they also participate in internships aboard local fishing vessels. This dual exposure allows them to contrast global standards with local maritime practices, providing valuable contextual insights. However, many students highlight the challenges the mandatory international certification process poses, particularly the high cost and technical complexity. One student expressed:</w:t>
      </w:r>
    </w:p>
    <w:p w14:paraId="177D8D01"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“International certification is mandatory if you want to work on large ships. But the costs are high, and we often feel unprepared.” (Interview, NKPI Student, 2024)</w:t>
      </w:r>
    </w:p>
    <w:p w14:paraId="46971B9B"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These empirical findings suggest that global standards influence formal curriculum design, pedagogical practices, certification systems, and students’ professional aspirations. Nevertheless, implementation remains constrained by material limitations, local infrastructure, and socio-economic barriers.</w:t>
      </w:r>
    </w:p>
    <w:p w14:paraId="2E0AE4A6"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Building upon the empirical evidence above, the hegemony of global standards in the Fishing Vessel Nautical Vocational Education (NKPI) program manifests across three interrelated domains: curriculum alignment, pedagogical adaptation, and competency certification.</w:t>
      </w:r>
    </w:p>
    <w:p w14:paraId="72F277E3" w14:textId="0488DD8F"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First, curriculum and syllabus documents align with STCW-F regulations, particularly regarding navigation safety, ship operation, and maritime management. Teachers confirm that instructional content is directed toward meeting international requirements, even though limited practical facilities hinder full implementation. This finding highlights the structural gap between global expectations and local capabilities</w:t>
      </w:r>
      <w:r w:rsidR="00314AB2">
        <w:rPr>
          <w:rFonts w:asciiTheme="minorBidi" w:hAnsiTheme="minorBidi" w:cstheme="minorBidi"/>
          <w:iCs/>
          <w:lang w:val="id-ID"/>
        </w:rPr>
        <w:t>,</w:t>
      </w:r>
      <w:r>
        <w:rPr>
          <w:rFonts w:asciiTheme="minorBidi" w:hAnsiTheme="minorBidi" w:cstheme="minorBidi"/>
          <w:iCs/>
          <w:lang w:val="id-ID"/>
        </w:rPr>
        <w:t xml:space="preserve"> </w:t>
      </w:r>
      <w:r w:rsidRPr="00D3187E">
        <w:rPr>
          <w:rFonts w:asciiTheme="minorBidi" w:hAnsiTheme="minorBidi" w:cstheme="minorBidi"/>
          <w:iCs/>
          <w:lang w:val="id-ID"/>
        </w:rPr>
        <w:t>a similar challenge in other developing countries (Zoolfakar et al., 2017; Afriansyah, 2021).</w:t>
      </w:r>
    </w:p>
    <w:p w14:paraId="5AEE3986"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 xml:space="preserve">Second, learning methods are designed to be competency-based and simulation-oriented, but teachers must modify their approaches to accommodate resource constraints. They act as mediators who negotiate global standards with local realities, integrating traditional pedagogical techniques and contextual materials. This reflects the </w:t>
      </w:r>
      <w:r w:rsidRPr="00D3187E">
        <w:rPr>
          <w:rFonts w:asciiTheme="minorBidi" w:hAnsiTheme="minorBidi" w:cstheme="minorBidi"/>
          <w:i/>
          <w:lang w:val="id-ID"/>
        </w:rPr>
        <w:t>Teacher Agency Theory</w:t>
      </w:r>
      <w:r w:rsidRPr="00D3187E">
        <w:rPr>
          <w:rFonts w:asciiTheme="minorBidi" w:hAnsiTheme="minorBidi" w:cstheme="minorBidi"/>
          <w:iCs/>
          <w:lang w:val="id-ID"/>
        </w:rPr>
        <w:t xml:space="preserve"> (Cong-Lem, 2021), which posits that teachers are not mere implementers of policy but adaptive agents capable of modifying external standards to maintain local relevance.</w:t>
      </w:r>
    </w:p>
    <w:p w14:paraId="00219F7A"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Third, competency certification based on IMO/STCW-F standards is a primary requirement for students seeking to work on international or large-scale fishing vessels. Certification is conducted under the supervision of the Indonesian Ministry of Transportation, representing the IMO. However, from the students’ perspective, this requirement is burdensome due to the high financial cost and technical nature of the exams, leading to unequal preparedness.</w:t>
      </w:r>
    </w:p>
    <w:p w14:paraId="67AE2D5E" w14:textId="26BFBA5A" w:rsidR="00347AFB"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 xml:space="preserve">These findings demonstrate how global standards operate as both technical instruments and mechanisms of educational hegemony. In Gramscian terms, such hegemony is achieved through “consent,” as teachers and students </w:t>
      </w:r>
      <w:r w:rsidR="00314AB2">
        <w:rPr>
          <w:rFonts w:asciiTheme="minorBidi" w:hAnsiTheme="minorBidi" w:cstheme="minorBidi"/>
          <w:iCs/>
          <w:lang w:val="id-ID"/>
        </w:rPr>
        <w:t>internalise</w:t>
      </w:r>
      <w:r w:rsidR="00314AB2" w:rsidRPr="00D3187E">
        <w:rPr>
          <w:rFonts w:asciiTheme="minorBidi" w:hAnsiTheme="minorBidi" w:cstheme="minorBidi"/>
          <w:iCs/>
          <w:lang w:val="id-ID"/>
        </w:rPr>
        <w:t xml:space="preserve"> </w:t>
      </w:r>
      <w:r w:rsidRPr="00D3187E">
        <w:rPr>
          <w:rFonts w:asciiTheme="minorBidi" w:hAnsiTheme="minorBidi" w:cstheme="minorBidi"/>
          <w:iCs/>
          <w:lang w:val="id-ID"/>
        </w:rPr>
        <w:t>these standards as natural and inevitable</w:t>
      </w:r>
      <w:r w:rsidR="00444A23">
        <w:rPr>
          <w:rFonts w:asciiTheme="minorBidi" w:hAnsiTheme="minorBidi" w:cstheme="minorBidi"/>
          <w:iCs/>
          <w:lang w:val="id-ID"/>
        </w:rPr>
        <w:t>,</w:t>
      </w:r>
      <w:r>
        <w:rPr>
          <w:rFonts w:asciiTheme="minorBidi" w:hAnsiTheme="minorBidi" w:cstheme="minorBidi"/>
          <w:iCs/>
          <w:lang w:val="id-ID"/>
        </w:rPr>
        <w:t xml:space="preserve"> </w:t>
      </w:r>
      <w:r w:rsidRPr="00D3187E">
        <w:rPr>
          <w:rFonts w:asciiTheme="minorBidi" w:hAnsiTheme="minorBidi" w:cstheme="minorBidi"/>
          <w:iCs/>
          <w:lang w:val="id-ID"/>
        </w:rPr>
        <w:t>even when they perpetuate inequality through disparities in resources and access.</w:t>
      </w:r>
    </w:p>
    <w:p w14:paraId="19CBCE00" w14:textId="6A0AEAB2" w:rsidR="00863BD3" w:rsidRPr="00631058" w:rsidRDefault="003D4C74" w:rsidP="00A258DB">
      <w:pPr>
        <w:tabs>
          <w:tab w:val="left" w:pos="1080"/>
        </w:tabs>
        <w:spacing w:after="240"/>
        <w:ind w:left="851" w:hanging="851"/>
        <w:jc w:val="both"/>
        <w:rPr>
          <w:rFonts w:ascii="Arial" w:hAnsi="Arial"/>
          <w:bCs/>
        </w:rPr>
      </w:pPr>
      <w:bookmarkStart w:id="1" w:name="_Hlk209797710"/>
      <w:r w:rsidRPr="00982587">
        <w:rPr>
          <w:rFonts w:asciiTheme="minorBidi" w:hAnsiTheme="minorBidi" w:cstheme="minorBidi"/>
          <w:b/>
          <w:bCs/>
          <w:iCs/>
        </w:rPr>
        <w:t>Tabl</w:t>
      </w:r>
      <w:r w:rsidR="00A11EC2">
        <w:rPr>
          <w:rFonts w:asciiTheme="minorBidi" w:hAnsiTheme="minorBidi" w:cstheme="minorBidi"/>
          <w:b/>
          <w:bCs/>
          <w:iCs/>
        </w:rPr>
        <w:t>e</w:t>
      </w:r>
      <w:r w:rsidRPr="00982587">
        <w:rPr>
          <w:rFonts w:asciiTheme="minorBidi" w:hAnsiTheme="minorBidi" w:cstheme="minorBidi"/>
          <w:b/>
          <w:bCs/>
          <w:iCs/>
        </w:rPr>
        <w:t xml:space="preserve"> 1:</w:t>
      </w:r>
      <w:r w:rsidRPr="00982587">
        <w:rPr>
          <w:rFonts w:asciiTheme="minorBidi" w:hAnsiTheme="minorBidi" w:cstheme="minorBidi"/>
          <w:iCs/>
        </w:rPr>
        <w:t xml:space="preserve"> Field Data Findings on the Form of Global Standard Hegemony in Vocational Education</w:t>
      </w:r>
    </w:p>
    <w:tbl>
      <w:tblPr>
        <w:tblW w:w="8114" w:type="dxa"/>
        <w:tblInd w:w="108" w:type="dxa"/>
        <w:tblLook w:val="04A0" w:firstRow="1" w:lastRow="0" w:firstColumn="1" w:lastColumn="0" w:noHBand="0" w:noVBand="1"/>
      </w:tblPr>
      <w:tblGrid>
        <w:gridCol w:w="1400"/>
        <w:gridCol w:w="4162"/>
        <w:gridCol w:w="2552"/>
      </w:tblGrid>
      <w:tr w:rsidR="003D4C74" w:rsidRPr="00F51C7A" w14:paraId="48CA51E1" w14:textId="77777777" w:rsidTr="003B7976">
        <w:trPr>
          <w:trHeight w:val="228"/>
          <w:tblHeader/>
        </w:trPr>
        <w:tc>
          <w:tcPr>
            <w:tcW w:w="1400" w:type="dxa"/>
            <w:tcBorders>
              <w:top w:val="single" w:sz="4" w:space="0" w:color="auto"/>
              <w:left w:val="nil"/>
              <w:bottom w:val="single" w:sz="4" w:space="0" w:color="auto"/>
              <w:right w:val="nil"/>
            </w:tcBorders>
            <w:hideMark/>
          </w:tcPr>
          <w:p w14:paraId="68541B47" w14:textId="0F60F895"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lastRenderedPageBreak/>
              <w:t>Aspect</w:t>
            </w:r>
          </w:p>
        </w:tc>
        <w:tc>
          <w:tcPr>
            <w:tcW w:w="4162" w:type="dxa"/>
            <w:tcBorders>
              <w:top w:val="single" w:sz="4" w:space="0" w:color="auto"/>
              <w:left w:val="nil"/>
              <w:bottom w:val="single" w:sz="4" w:space="0" w:color="auto"/>
              <w:right w:val="nil"/>
            </w:tcBorders>
            <w:hideMark/>
          </w:tcPr>
          <w:p w14:paraId="7DA76701" w14:textId="5C9269EF"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Key Findings</w:t>
            </w:r>
          </w:p>
        </w:tc>
        <w:tc>
          <w:tcPr>
            <w:tcW w:w="2552" w:type="dxa"/>
            <w:tcBorders>
              <w:top w:val="single" w:sz="4" w:space="0" w:color="auto"/>
              <w:left w:val="nil"/>
              <w:bottom w:val="single" w:sz="4" w:space="0" w:color="auto"/>
              <w:right w:val="nil"/>
            </w:tcBorders>
            <w:hideMark/>
          </w:tcPr>
          <w:p w14:paraId="1A278701" w14:textId="57212989"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Data source</w:t>
            </w:r>
          </w:p>
        </w:tc>
      </w:tr>
      <w:tr w:rsidR="003D4C74" w:rsidRPr="00F51C7A" w14:paraId="6263CE30" w14:textId="77777777" w:rsidTr="003D4C74">
        <w:trPr>
          <w:trHeight w:val="752"/>
        </w:trPr>
        <w:tc>
          <w:tcPr>
            <w:tcW w:w="1400" w:type="dxa"/>
            <w:tcBorders>
              <w:top w:val="nil"/>
              <w:left w:val="nil"/>
              <w:bottom w:val="nil"/>
              <w:right w:val="nil"/>
            </w:tcBorders>
            <w:hideMark/>
          </w:tcPr>
          <w:p w14:paraId="14B402C7" w14:textId="66491CB8"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Curriculum</w:t>
            </w:r>
          </w:p>
        </w:tc>
        <w:tc>
          <w:tcPr>
            <w:tcW w:w="4162" w:type="dxa"/>
            <w:tcBorders>
              <w:top w:val="nil"/>
              <w:left w:val="nil"/>
              <w:bottom w:val="nil"/>
              <w:right w:val="nil"/>
            </w:tcBorders>
            <w:hideMark/>
          </w:tcPr>
          <w:p w14:paraId="58DB3E32" w14:textId="3EC6D81E"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 xml:space="preserve">Adapted to STCW-F; focus on safety, navigation, </w:t>
            </w:r>
            <w:r w:rsidR="00314AB2">
              <w:rPr>
                <w:rFonts w:asciiTheme="minorBidi" w:hAnsiTheme="minorBidi" w:cstheme="minorBidi"/>
                <w:color w:val="000000"/>
                <w:lang w:eastAsia="en-ID"/>
              </w:rPr>
              <w:t xml:space="preserve">and </w:t>
            </w:r>
            <w:r w:rsidRPr="00982587">
              <w:rPr>
                <w:rFonts w:asciiTheme="minorBidi" w:hAnsiTheme="minorBidi" w:cstheme="minorBidi"/>
                <w:color w:val="000000"/>
                <w:lang w:eastAsia="en-ID"/>
              </w:rPr>
              <w:t>ship operations; practice facilities are still limited.</w:t>
            </w:r>
          </w:p>
        </w:tc>
        <w:tc>
          <w:tcPr>
            <w:tcW w:w="2552" w:type="dxa"/>
            <w:tcBorders>
              <w:top w:val="nil"/>
              <w:left w:val="nil"/>
              <w:bottom w:val="nil"/>
              <w:right w:val="nil"/>
            </w:tcBorders>
            <w:hideMark/>
          </w:tcPr>
          <w:p w14:paraId="6DEDDCF4" w14:textId="1EB634CF"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Nautika Teacher Interview (9/2025).</w:t>
            </w:r>
          </w:p>
        </w:tc>
      </w:tr>
      <w:tr w:rsidR="003D4C74" w:rsidRPr="00F51C7A" w14:paraId="549A3D91" w14:textId="77777777" w:rsidTr="003D4C74">
        <w:trPr>
          <w:trHeight w:val="1020"/>
        </w:trPr>
        <w:tc>
          <w:tcPr>
            <w:tcW w:w="1400" w:type="dxa"/>
            <w:tcBorders>
              <w:top w:val="nil"/>
              <w:left w:val="nil"/>
              <w:bottom w:val="nil"/>
              <w:right w:val="nil"/>
            </w:tcBorders>
            <w:hideMark/>
          </w:tcPr>
          <w:p w14:paraId="29E9F6C8" w14:textId="67FBC5CA"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Learning methods</w:t>
            </w:r>
          </w:p>
        </w:tc>
        <w:tc>
          <w:tcPr>
            <w:tcW w:w="4162" w:type="dxa"/>
            <w:tcBorders>
              <w:top w:val="nil"/>
              <w:left w:val="nil"/>
              <w:bottom w:val="nil"/>
              <w:right w:val="nil"/>
            </w:tcBorders>
            <w:hideMark/>
          </w:tcPr>
          <w:p w14:paraId="0FAD2D5A" w14:textId="633B6C90"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Navigation simulation practice, safety modules, competency-based training; simulator limitations → combination with lectures &amp; discussions.</w:t>
            </w:r>
          </w:p>
        </w:tc>
        <w:tc>
          <w:tcPr>
            <w:tcW w:w="2552" w:type="dxa"/>
            <w:tcBorders>
              <w:top w:val="nil"/>
              <w:left w:val="nil"/>
              <w:bottom w:val="nil"/>
              <w:right w:val="nil"/>
            </w:tcBorders>
            <w:hideMark/>
          </w:tcPr>
          <w:p w14:paraId="01B18F3F" w14:textId="29F3EB94"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Observation at State Vocational School 5</w:t>
            </w:r>
            <w:r w:rsidR="00314AB2">
              <w:rPr>
                <w:rFonts w:asciiTheme="minorBidi" w:hAnsiTheme="minorBidi" w:cstheme="minorBidi"/>
                <w:color w:val="000000"/>
                <w:lang w:eastAsia="en-ID"/>
              </w:rPr>
              <w:t>,</w:t>
            </w:r>
            <w:r w:rsidRPr="00982587">
              <w:rPr>
                <w:rFonts w:asciiTheme="minorBidi" w:hAnsiTheme="minorBidi" w:cstheme="minorBidi"/>
                <w:color w:val="000000"/>
                <w:lang w:eastAsia="en-ID"/>
              </w:rPr>
              <w:t xml:space="preserve"> Balikpapan.</w:t>
            </w:r>
          </w:p>
        </w:tc>
      </w:tr>
      <w:tr w:rsidR="003D4C74" w:rsidRPr="00F51C7A" w14:paraId="63878DE1" w14:textId="77777777" w:rsidTr="003D4C74">
        <w:trPr>
          <w:trHeight w:val="802"/>
        </w:trPr>
        <w:tc>
          <w:tcPr>
            <w:tcW w:w="1400" w:type="dxa"/>
            <w:tcBorders>
              <w:top w:val="nil"/>
              <w:left w:val="nil"/>
              <w:bottom w:val="single" w:sz="4" w:space="0" w:color="auto"/>
              <w:right w:val="nil"/>
            </w:tcBorders>
            <w:hideMark/>
          </w:tcPr>
          <w:p w14:paraId="207A6125" w14:textId="27F757A3"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Competency Certification</w:t>
            </w:r>
          </w:p>
        </w:tc>
        <w:tc>
          <w:tcPr>
            <w:tcW w:w="4162" w:type="dxa"/>
            <w:tcBorders>
              <w:top w:val="nil"/>
              <w:left w:val="nil"/>
              <w:bottom w:val="single" w:sz="4" w:space="0" w:color="auto"/>
              <w:right w:val="nil"/>
            </w:tcBorders>
            <w:hideMark/>
          </w:tcPr>
          <w:p w14:paraId="11ED9EE9" w14:textId="1E4DEF67"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Global certification is mandatory</w:t>
            </w:r>
            <w:r w:rsidR="00314AB2">
              <w:rPr>
                <w:rFonts w:asciiTheme="minorBidi" w:hAnsiTheme="minorBidi" w:cstheme="minorBidi"/>
                <w:color w:val="000000"/>
                <w:lang w:eastAsia="en-ID"/>
              </w:rPr>
              <w:t>,</w:t>
            </w:r>
            <w:r w:rsidR="00314AB2" w:rsidRPr="00982587">
              <w:rPr>
                <w:rFonts w:asciiTheme="minorBidi" w:hAnsiTheme="minorBidi" w:cstheme="minorBidi"/>
                <w:color w:val="000000"/>
                <w:lang w:eastAsia="en-ID"/>
              </w:rPr>
              <w:t xml:space="preserve"> </w:t>
            </w:r>
            <w:proofErr w:type="spellStart"/>
            <w:r w:rsidR="00314AB2">
              <w:rPr>
                <w:rFonts w:asciiTheme="minorBidi" w:hAnsiTheme="minorBidi" w:cstheme="minorBidi"/>
                <w:color w:val="000000"/>
                <w:lang w:eastAsia="en-ID"/>
              </w:rPr>
              <w:t>recognised</w:t>
            </w:r>
            <w:proofErr w:type="spellEnd"/>
            <w:r w:rsidR="00314AB2" w:rsidRPr="00982587">
              <w:rPr>
                <w:rFonts w:asciiTheme="minorBidi" w:hAnsiTheme="minorBidi" w:cstheme="minorBidi"/>
                <w:color w:val="000000"/>
                <w:lang w:eastAsia="en-ID"/>
              </w:rPr>
              <w:t xml:space="preserve"> </w:t>
            </w:r>
            <w:r w:rsidRPr="00982587">
              <w:rPr>
                <w:rFonts w:asciiTheme="minorBidi" w:hAnsiTheme="minorBidi" w:cstheme="minorBidi"/>
                <w:color w:val="000000"/>
                <w:lang w:eastAsia="en-ID"/>
              </w:rPr>
              <w:t>by the Indonesian Ministry of Transportation</w:t>
            </w:r>
            <w:r w:rsidR="00314AB2">
              <w:rPr>
                <w:rFonts w:asciiTheme="minorBidi" w:hAnsiTheme="minorBidi" w:cstheme="minorBidi"/>
                <w:color w:val="000000"/>
                <w:lang w:eastAsia="en-ID"/>
              </w:rPr>
              <w:t>,</w:t>
            </w:r>
            <w:r w:rsidR="00314AB2" w:rsidRPr="00982587">
              <w:rPr>
                <w:rFonts w:asciiTheme="minorBidi" w:hAnsiTheme="minorBidi" w:cstheme="minorBidi"/>
                <w:color w:val="000000"/>
                <w:lang w:eastAsia="en-ID"/>
              </w:rPr>
              <w:t xml:space="preserve"> </w:t>
            </w:r>
            <w:r w:rsidR="00314AB2">
              <w:rPr>
                <w:rFonts w:asciiTheme="minorBidi" w:hAnsiTheme="minorBidi" w:cstheme="minorBidi"/>
                <w:color w:val="000000"/>
                <w:lang w:eastAsia="en-ID"/>
              </w:rPr>
              <w:t xml:space="preserve">and </w:t>
            </w:r>
            <w:r w:rsidRPr="00982587">
              <w:rPr>
                <w:rFonts w:asciiTheme="minorBidi" w:hAnsiTheme="minorBidi" w:cstheme="minorBidi"/>
                <w:color w:val="000000"/>
                <w:lang w:eastAsia="en-ID"/>
              </w:rPr>
              <w:t>perceived as difficult due to high costs and technical materials.</w:t>
            </w:r>
          </w:p>
        </w:tc>
        <w:tc>
          <w:tcPr>
            <w:tcW w:w="2552" w:type="dxa"/>
            <w:tcBorders>
              <w:top w:val="nil"/>
              <w:left w:val="nil"/>
              <w:bottom w:val="single" w:sz="4" w:space="0" w:color="auto"/>
              <w:right w:val="nil"/>
            </w:tcBorders>
            <w:hideMark/>
          </w:tcPr>
          <w:p w14:paraId="63F61BA5" w14:textId="09FD5BFD"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NKPI Student Interview (2024).</w:t>
            </w:r>
          </w:p>
        </w:tc>
      </w:tr>
    </w:tbl>
    <w:bookmarkEnd w:id="1"/>
    <w:p w14:paraId="57AB7D61" w14:textId="1A034622" w:rsidR="003D4C74" w:rsidRPr="00982587" w:rsidRDefault="003D4C74" w:rsidP="00A258DB">
      <w:pPr>
        <w:spacing w:before="240" w:after="240"/>
        <w:jc w:val="both"/>
        <w:rPr>
          <w:rFonts w:asciiTheme="minorBidi" w:hAnsiTheme="minorBidi" w:cstheme="minorBidi"/>
          <w:iCs/>
          <w:lang w:val="id-ID"/>
        </w:rPr>
      </w:pPr>
      <w:r w:rsidRPr="00982587">
        <w:rPr>
          <w:rFonts w:asciiTheme="minorBidi" w:hAnsiTheme="minorBidi" w:cstheme="minorBidi"/>
          <w:iCs/>
          <w:lang w:val="id-ID"/>
        </w:rPr>
        <w:t>Based on the data above, the research results indicate that the curriculum and syllabus at State Vocational School 5 Balikpapan</w:t>
      </w:r>
      <w:r w:rsidR="00314AB2">
        <w:rPr>
          <w:rFonts w:asciiTheme="minorBidi" w:hAnsiTheme="minorBidi" w:cstheme="minorBidi"/>
          <w:iCs/>
          <w:lang w:val="id-ID"/>
        </w:rPr>
        <w:t>,</w:t>
      </w:r>
      <w:r w:rsidRPr="00982587">
        <w:rPr>
          <w:rFonts w:asciiTheme="minorBidi" w:hAnsiTheme="minorBidi" w:cstheme="minorBidi"/>
          <w:iCs/>
          <w:lang w:val="id-ID"/>
        </w:rPr>
        <w:t xml:space="preserve"> have been aligned with STCW-F regulations. Emphasis is placed on core competencies such as navigational safety, navigation, and handling of fishing vessel operations. Statements from productive teachers confirm that the learning direction follows international standards, but the main obstacle lies in the limited practical facilities. This demonstrates a gap between the demands of global standards and the readiness of local infrastructure. This finding aligns with research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{"citationItems":[{"id":"ITEM-1","itemData":{"DOI":"10.1109/USYS.2017.8309436","ISBN":"VO  -","author":[{"dropping-particle":"","family":"Zoolfakar","given":"M R","non-dropping-particle":"","parse-names":false,"suffix":""},{"dropping-particle":"","family":"Manaf","given":"M D S","non-dropping-particle":"","parse-names":false,"suffix":""},{"dropping-particle":"","family":"Yahaya","given":"A H","non-dropping-particle":"","parse-names":false,"suffix":""}],"container-title":"2017 IEEE 7th International Conference on Underwater System Technology: Theory and Applications (USYS)","id":"ITEM-1","issued":{"date-parts":[["2017"]]},"page":"1-5","title":"Issues faced by fishermen on the implementation of STCW-F 1995: East Malaysia","type":"paper-conference"},"uris":["http://www.mendeley.com/documents/?uuid=4ef7e62a-0d26-4241-8e21-b6d0c939fdfb"]}],"mendeley":{"formattedCitation":"(Zoolfakar et al., 2017)","manualFormatting":"(Zoolfakar et al., 2017","plainTextFormattedCitation":"(Zoolfakar et al., 2017)","previouslyFormattedCitation":"(Zoolfakar et al., 2017)"},"properties":{"noteIndex":0},"schema":"https://github.com/citation-style-language/schema/raw/master/csl-citation.json"}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(Zoolfakar et al., 2017</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{"citationItems":[{"id":"ITEM-1","itemData":{"DOI":"https://doi.org/10.1163/24519391-06020011","author":[{"dropping-particle":"","family":"Afriansyah","given":"Arie","non-dropping-particle":"","parse-names":false,"suffix":""}],"container-title":"Asia-Pacific Journal of Ocean Law and Policy","id":"ITEM-1","issue":"2","issued":{"date-parts":[["2021"]]},"language":"English","page":"309-312","publisher":"Brill | Nijhoff","publisher-place":"Leiden, The Netherlands","title":"Indonesia: Domestic Challenges for Indonesia in Implementing the 1995 stcw-F Convention","type":"article-journal","volume":"6"},"uris":["http://www.mendeley.com/documents/?uuid=a10a87f5-e652-46e8-8b27-6fa0ada68481"]}],"mendeley":{"formattedCitation":"(Afriansyah, 2021)","manualFormatting":"Afriansyah, 2021)","plainTextFormattedCitation":"(Afriansyah, 2021)","previouslyFormattedCitation":"(Afriansyah,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Afriansyah, 2021)</w:t>
      </w:r>
      <w:r w:rsidRPr="00982587">
        <w:rPr>
          <w:rFonts w:asciiTheme="minorBidi" w:hAnsiTheme="minorBidi" w:cstheme="minorBidi"/>
          <w:iCs/>
          <w:lang w:val="id-ID"/>
        </w:rPr>
        <w:fldChar w:fldCharType="end"/>
      </w:r>
      <w:r w:rsidR="00D3187E">
        <w:rPr>
          <w:rFonts w:asciiTheme="minorBidi" w:hAnsiTheme="minorBidi" w:cstheme="minorBidi"/>
          <w:iCs/>
          <w:lang w:val="id-ID"/>
        </w:rPr>
        <w:t xml:space="preserve"> </w:t>
      </w:r>
      <w:r w:rsidRPr="00982587">
        <w:rPr>
          <w:rFonts w:asciiTheme="minorBidi" w:hAnsiTheme="minorBidi" w:cstheme="minorBidi"/>
          <w:iCs/>
          <w:lang w:val="id-ID"/>
        </w:rPr>
        <w:t>which revealed that STCW-F implementation in developing countries is often partial due to limited facilities and certified instructors. Thus, the hegemony of global standards in the curriculum context is evident in the pressure to adapt teaching content, even though implementation in practice is less than ideal.</w:t>
      </w:r>
    </w:p>
    <w:p w14:paraId="68F5D36B" w14:textId="5F684620"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Meanwhile, field observations show that the learning methods at State Vocational School 5 Balikpapan are oriented towards practice, particularly navigation simulations, safety modules, and competency-based learning. However, simulator technology's limitations mean teachers must still combine it with traditional methods, such as lectures and discussions. This indicates pedagogical adaptations made by teachers to maintain compliance with international standards despite limited resources. This situation is also found in maritime schools in Europe, as reported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{"citationItems":[{"id":"ITEM-1","itemData":{"DOI":"10.1007/s13437-020-00224-w","ISSN":"1654-1642","abstract":"The purpose of this study is to develop a new educational approach responding to the needs of new areas of knowledge, skills, and attitudes in maritime education and training (MET) as set forth in the recently published Global Maritime Professional initiative (IAMU 2019). In particular, this study explores the development of a collaborative e-learning approach targeting young maritime professionals coming together from different MET institutions. An action research process has been employed, where faculty, administrators, and students from four MET institutions participated to understand evolving educational needs and the need for new educational approaches. Based on the outcome, a new collaborative e-learning approach was tested and evaluated with students from the MET institutions. The findings give evidence of new educational needs in MET concerning leadership, teamwork, communication, cultural awareness, and new technology applications. The results point toward how collaboration is needed to infuse new topical expertise to MET institutions and to enable students (and instructors) to increase collaboration, including the importance of socialization between students from different MET institutions; how it is possible to develop new dynamic e-learning materials to give students access to new topic expertise; and the provisions of application and analytical learning activities with an e-learning educational approach. MET institutions are under pressure to develop new educational topics and approaches. At the same time, they are experiencing resource constraints and tend to operate in isolation. The results of this study provide a route forward as to how MET institutions can come together to develop new forms of education using the latest e-learning educational methods and technologies.","author":[{"dropping-particle":"","family":"Bolmsten","given":"Johan","non-dropping-particle":"","parse-names":false,"suffix":""},{"dropping-particle":"","family":"Manuel","given":"Michael Ekow","non-dropping-particle":"","parse-names":false,"suffix":""},{"dropping-particle":"","family":"Kaizer","given":"Adam","non-dropping-particle":"","parse-names":false,"suffix":""},{"dropping-particle":"","family":"Kasepõld","given":"Kadi","non-dropping-particle":"","parse-names":false,"suffix":""},{"dropping-particle":"","family":"Sköld","given":"Daniel","non-dropping-particle":"","parse-names":false,"suffix":""},{"dropping-particle":"","family":"Ziemska","given":"Monika","non-dropping-particle":"","parse-names":false,"suffix":""}],"container-title":"WMU Journal of Maritime Affairs","id":"ITEM-1","issue":"3","issued":{"date-parts":[["2021"]]},"page":"309-333","title":"Educating the Global Maritime Professional—a case of collaborative e-learning","type":"article-journal","volume":"20"},"uris":["http://www.mendeley.com/documents/?uuid=13df4b71-5631-4788-8f48-477f6f0da08a"]}],"mendeley":{"formattedCitation":"(Bolmsten et al., 2021)","manualFormatting":"(Bolmsten et al., 2021","plainTextFormattedCitation":"(Bolmsten et al., 2021)","previouslyFormattedCitation":"(Bolmsten et al.,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(Bolmsten et al.,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{"citationItems":[{"id":"ITEM-1","itemData":{"DOI":"10.1057/s41278-022-00217-x","ISSN":"1479-2931 (Print)","abstract":"The Industrial Revolution 4.0 has not left the transportation sector behind. All  modes of transportation have, to some extent, already been affected, and maritime is the last to join them. Currently available technology makes autonomous merchant ships a possible alternative to conventional, manned vessels with seafarers. This upcoming shift requires the preparation of necessary policies, such as rethinking obsolete training curricula, in relation to a variety of aspects of the industry, including the future of seafaring as a profession. To formulate such policies, the views of professional seafarers and scholars are sometimes solicited, but the opinions of industry entrants are often neglected. However, the latter may also have some interesting views on the future of their profession, which may be relevant to policy-makers. The results of a worldwide survey, conducted using the Computer-Assisted Web Interviewing (CAWI) method, suggest that the future generation of seafarers fears automation less than their mentors. Although they expect their skills to be useful in automation-driven shipping, they also feel that their Maritime Education and Training institutions (MET) are not doing enough to prepare them for the challenges that the future may hold. This may be due to a lack or poor coverage of shipping autonomization issues in MET curricula, which was mentioned by as many as 41.9% of the respondents. This finding advocates for rethinking the curricula of METs and human resources management in the shipping industry of the future.","author":[{"dropping-particle":"","family":"Bogusławski","given":"Krzysztof","non-dropping-particle":"","parse-names":false,"suffix":""},{"dropping-particle":"","family":"Gil","given":"Mateusz","non-dropping-particle":"","parse-names":false,"suffix":""},{"dropping-particle":"","family":"Nasur","given":"Jan","non-dropping-particle":"","parse-names":false,"suffix":""},{"dropping-particle":"","family":"Wróbel","given":"Krzysztof","non-dropping-particle":"","parse-names":false,"suffix":""}],"container-title":"Maritime Economics &amp; Logistics","id":"ITEM-1","issue":"2","issued":{"date-parts":[["2022"]]},"language":"eng","page":"327-343","title":"Implications of autonomous shipping for maritime education and training: the  cadet’s perspective.","type":"article","volume":"24"},"uris":["http://www.mendeley.com/documents/?uuid=f94326e4-2cb1-4699-b457-4e00e29365a0"]}],"mendeley":{"formattedCitation":"(Bogusławski et al., 2022)","manualFormatting":"Bogusławski et al., 2022)","plainTextFormattedCitation":"(Bogusławski et al., 2022)","previouslyFormattedCitation":"(Bogusławski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Bogusławski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w:t>
      </w:r>
      <w:r w:rsidR="00314AB2">
        <w:rPr>
          <w:rFonts w:asciiTheme="minorBidi" w:hAnsiTheme="minorBidi" w:cstheme="minorBidi"/>
          <w:iCs/>
          <w:lang w:val="id-ID"/>
        </w:rPr>
        <w:t>emphasises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a universal dilemma in maritime education: integrating IMO standards with limited facilities and teaching approaches at the secondary level. Thus, this pedagogical challenge is not only local but also global.</w:t>
      </w:r>
      <w:r w:rsidR="00D3187E">
        <w:rPr>
          <w:rFonts w:asciiTheme="minorBidi" w:hAnsiTheme="minorBidi" w:cstheme="minorBidi"/>
          <w:iCs/>
          <w:lang w:val="id-ID"/>
        </w:rPr>
        <w:t xml:space="preserve"> </w:t>
      </w:r>
    </w:p>
    <w:p w14:paraId="39BCA044"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research results show that competency certification based on IMO/STCW-F standards is an absolute requirement for Fishing Vessel Nautical Expertise Program graduates. Schools' emphasis on mandatory certification exams reinforces the position of international certification as a form of legitimacy for graduates' competency globally. However, from the students' perspective, this obligation presents a significant burden due to the exam materials' high cost and technical nature, resulting in unequal preparedness.</w:t>
      </w:r>
    </w:p>
    <w:p w14:paraId="145D15DD"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phenomenon demonstrates how global standards function as technical rules and instruments of vocational education hegemony. Referring to Gramsci's theory, hegemony operates through creating "normality" that is accepted as natural and inevitable. In this context, IMO/STCW-F standards are accepted by teachers, students, and educational institutions as universal truths that must be followed, even though they reinforce inequality in practice. Schools with limited facilities and students with economic constraints struggle to meet these global demands fully.</w:t>
      </w:r>
    </w:p>
    <w:p w14:paraId="521C8BDC" w14:textId="2FB1D576"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 xml:space="preserve">These findings reinforce the argument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{"citationItems":[{"id":"ITEM-1","itemData":{"DOI":"10.1108/CR-10-2020-0128","ISSN":"1059-5422","abstract":"This study aims to review and try to understand the importance of complexity management for maritime business to gain competitiveness in global business environment. The purpose of the study is to discuss and evaluate managing change and requirements of understanding the complexity management.To find peer-reviewed journal publications, a large scientific database used by searching Web of Science and Scopus as the most relevant abstract and citation databases that provide peer-reviewed literature data for many different academic disciplines and selected papers evaluated from the maritime business context.As a conceptual paper, the contribution of the study is to offer practical/required management applications with the help of six proposes for making better management decisions to confront future challenges to catch organizational competitiveness and success. With adaptation of complexity management, maritime stakeholders able to create an important core competency.The research has some limitations and further research into this area should be extended. This study is designed as a first step to provide an insight to the field and to understand the main views of the subject. Subsequently, complexity management in maritime business is a slightly deficient area of research, which offers remarkable research opportunities. First, it would be fruitful to collect qualitative data to examine the current issues and changing business environment of the maritime business. Second, it would be helpful develop quantitative models to offer practical solutions from the maritime stakeholders’ point of view according to loading/discharging/transportation requirements. Future studies should deepen the subject with the help of simulation models of operations or agent based applications of stakeholder problems or vessel/ship-owner management implementations to understand changing circumstances of new business environment for the sake of managing complexity.As the core point of view in strategic management; “achieving and sustaining” competitive advantage in organizations always takes an important place in organizational survival. With the help mentioned proposes stakeholders of the system could understand the ways of dealing with the complexities of new business world which enhances organizational competitiveness.Maritime business could be defined as a social ecosystem which has it is own dynamics and customs. Socio-eco systems, like all complex systems, show unique non-line…","author":[{"dropping-particle":"","family":"Akpinar","given":"Hatice","non-dropping-particle":"","parse-names":false,"suffix":""},{"dropping-particle":"","family":"Ozer-Caylan","given":"Didem","non-dropping-particle":"","parse-names":false,"suffix":""}],"container-title":"Competitiveness Review","id":"ITEM-1","issue":"4","issued":{"date-parts":[["2021","2","26"]]},"page":"582-599","title":"Managing complexity in maritime business: understanding the smart changes of globalization","type":"article-journal","volume":"32"},"uris":["http://www.mendeley.com/documents/?uuid=d47e6560-a287-439d-9737-7b4d6e65bb33"]}],"mendeley":{"formattedCitation":"(Akpinar &amp; Ozer-Caylan, 2021)","plainTextFormattedCitation":"(Akpinar &amp; Ozer-Caylan, 2021)","previouslyFormattedCitation":"(Akpinar &amp; Ozer-Caylan,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(Akpinar &amp; Ozer-Caylan,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00314AB2">
        <w:rPr>
          <w:rFonts w:asciiTheme="minorBidi" w:hAnsiTheme="minorBidi" w:cstheme="minorBidi"/>
          <w:iCs/>
          <w:lang w:val="id-ID"/>
        </w:rPr>
        <w:t>The</w:t>
      </w:r>
      <w:r w:rsidRPr="00982587">
        <w:rPr>
          <w:rFonts w:asciiTheme="minorBidi" w:hAnsiTheme="minorBidi" w:cstheme="minorBidi"/>
          <w:iCs/>
          <w:lang w:val="id-ID"/>
        </w:rPr>
        <w:t xml:space="preserve"> </w:t>
      </w:r>
      <w:r w:rsidR="00314AB2">
        <w:rPr>
          <w:rFonts w:asciiTheme="minorBidi" w:hAnsiTheme="minorBidi" w:cstheme="minorBidi"/>
          <w:iCs/>
          <w:lang w:val="id-ID"/>
        </w:rPr>
        <w:t>globalisation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of maritime education creates an asymmetry between developed and developing countries. Educational institutions in developing countries tend to be passive recipients of global standards without full scope for negotiation, thus reliance on international regulations further reinforces unequal power relations. Thus, competency certification becomes a measure of professionalism and a symbol of the dominance of global standards over local educational practices.</w:t>
      </w:r>
    </w:p>
    <w:p w14:paraId="4D68AEAF" w14:textId="3C1CA562" w:rsidR="00902823" w:rsidRDefault="003D4C74" w:rsidP="00A258DB">
      <w:pPr>
        <w:pStyle w:val="Body"/>
        <w:rPr>
          <w:rFonts w:ascii="Arial" w:hAnsi="Arial" w:cs="Arial"/>
        </w:rPr>
      </w:pPr>
      <w:r w:rsidRPr="00982587">
        <w:rPr>
          <w:rFonts w:asciiTheme="minorBidi" w:hAnsiTheme="minorBidi" w:cstheme="minorBidi"/>
          <w:iCs/>
          <w:lang w:val="id-ID"/>
        </w:rPr>
        <w:t>Therefore, it can be concluded that the hegemony of global standards at State Vocational School 5 Balikpapan</w:t>
      </w:r>
      <w:r w:rsidR="00314AB2">
        <w:rPr>
          <w:rFonts w:asciiTheme="minorBidi" w:hAnsiTheme="minorBidi" w:cstheme="minorBidi"/>
          <w:iCs/>
          <w:lang w:val="id-ID"/>
        </w:rPr>
        <w:t>,</w:t>
      </w:r>
      <w:r w:rsidRPr="00982587">
        <w:rPr>
          <w:rFonts w:asciiTheme="minorBidi" w:hAnsiTheme="minorBidi" w:cstheme="minorBidi"/>
          <w:iCs/>
          <w:lang w:val="id-ID"/>
        </w:rPr>
        <w:t xml:space="preserve"> is evident in three main aspects: a curriculum aligned with the International Monetary Fund (IMO), learning methods geared toward global competencies, and competency certification, which is an absolute requirement for entering the international workforce.</w:t>
      </w:r>
    </w:p>
    <w:p w14:paraId="16A10F7D" w14:textId="5E048618" w:rsidR="00206361" w:rsidRPr="003D4C74" w:rsidRDefault="003D4C74" w:rsidP="00A258DB">
      <w:pPr>
        <w:pStyle w:val="Body"/>
        <w:numPr>
          <w:ilvl w:val="0"/>
          <w:numId w:val="36"/>
        </w:numPr>
        <w:ind w:left="426" w:hanging="426"/>
        <w:rPr>
          <w:rFonts w:asciiTheme="minorBidi" w:hAnsiTheme="minorBidi" w:cstheme="minorBidi"/>
          <w:b/>
          <w:bCs/>
          <w:iCs/>
          <w:sz w:val="22"/>
          <w:szCs w:val="22"/>
          <w:lang w:val="id-ID"/>
        </w:rPr>
      </w:pPr>
      <w:r w:rsidRPr="003D4C74">
        <w:rPr>
          <w:rFonts w:asciiTheme="minorBidi" w:hAnsiTheme="minorBidi" w:cstheme="minorBidi"/>
          <w:b/>
          <w:bCs/>
          <w:iCs/>
          <w:sz w:val="22"/>
          <w:szCs w:val="22"/>
          <w:lang w:val="id-ID"/>
        </w:rPr>
        <w:t>Adaptation Strategies to the Hegemony of Global Standards in the Practice of Vocational Education for Fishing Vessels</w:t>
      </w:r>
    </w:p>
    <w:p w14:paraId="6E575CA1" w14:textId="5456DDA4"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Implementing global standards in vocational education for nautical fishing vessels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w:t>
      </w:r>
      <w:r w:rsidR="00314AB2">
        <w:rPr>
          <w:rFonts w:asciiTheme="minorBidi" w:hAnsiTheme="minorBidi" w:cstheme="minorBidi"/>
          <w:iCs/>
          <w:lang w:val="id-ID"/>
        </w:rPr>
        <w:t>,</w:t>
      </w:r>
      <w:r w:rsidRPr="00982587">
        <w:rPr>
          <w:rFonts w:asciiTheme="minorBidi" w:hAnsiTheme="minorBidi" w:cstheme="minorBidi"/>
          <w:iCs/>
          <w:lang w:val="id-ID"/>
        </w:rPr>
        <w:t xml:space="preserve"> not only presents challenges but also encourages various adaptation strategies by teachers, students, and school management. This adaptation can be understood as a form of hegemonic negotiation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{"citationItems":[{"id":"ITEM-1","itemData":{"DOI":"10.4324/9780429355363","ISBN":"9780429355363","author":[{"dropping-particle":"","family":"Tim Prentki","given":"Nicola Abraham","non-dropping-particle":"","parse-names":false,"suffix":""}],"id":"ITEM-1","issued":{"date-parts":[["2020"]]},"publisher":"Routledge","publisher-place":"London","title":"The Applied Theatre Reader","type":"book"},"uris":["http://www.mendeley.com/documents/?uuid=424a5cc9-2ea5-4d9b-afc0-7051f336b024"]}],"mendeley":{"formattedCitation":"(Tim Prentki, 2020)","plainTextFormattedCitation":"(Tim Prentki, 2020)","previouslyFormattedCitation":"(Tim Prentki, 2020)"},"properties":{"noteIndex":0},"schema":"https://github.com/citation-style-language/schema/raw/master/csl-citation.json"}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(Tim Prentki, 2020)</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in which local actors do not entirely reject global standards but instead adapt them to be more </w:t>
      </w:r>
      <w:r w:rsidR="00314AB2">
        <w:rPr>
          <w:rFonts w:asciiTheme="minorBidi" w:hAnsiTheme="minorBidi" w:cstheme="minorBidi"/>
          <w:iCs/>
          <w:lang w:val="id-ID"/>
        </w:rPr>
        <w:t>contextualised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to local conditions.</w:t>
      </w:r>
    </w:p>
    <w:p w14:paraId="288980E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Productive nautical teachers employ adaptation strategies by modifying the curriculum. The STCW-F standards remain the primary reference but are adapted to local needs. For example, in navigation practice lessons, in addition to teaching international procedures, teachers also incorporate field experiences relevant to the characteristics of East Kalimantan waters. Teachers act as mediators between global standards and the limited school facilities. They use simple media such as simulation videos, ship models, and limited field practice to address the limited practical resources. One teacher said: “We know international standards must be followed, but we also add local knowledge, so that the children can immediately jump on fishing boats in Balikpapan.” (Interview, Nautika Teacher, 9/2025).</w:t>
      </w:r>
    </w:p>
    <w:p w14:paraId="3E23E86D" w14:textId="2381CB40"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Students also develop adaptation strategies through a dual learning process. On the one hand, they follow a formal STCW-F-based curriculum, while on the other, they actively </w:t>
      </w:r>
      <w:r w:rsidR="00314AB2">
        <w:rPr>
          <w:rFonts w:asciiTheme="minorBidi" w:hAnsiTheme="minorBidi" w:cstheme="minorBidi"/>
          <w:iCs/>
          <w:lang w:val="id-ID"/>
        </w:rPr>
        <w:t>utilise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internships on local fishing vessels. Through these internship experiences, students can compare international standards with everyday practices in the field. Despite the gap between the two, students view global standards as a competitive advantage that provides added value, especially if they plan to work on large-scale vessels or foreign vessels.</w:t>
      </w:r>
    </w:p>
    <w:p w14:paraId="02987FC2"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school management is taking adaptive steps by designing various forms of industry collaboration. One concrete implementation is the Link and Match 8+i program, in which the school forged a memorandum of understanding (MoU) with a fishing company in Balikpapan. This collaboration includes providing internship programs, involving industry guest teachers, and competency certification opportunities. Furthermore, the school is seeking support from the local government to improve laboratory and simulator facilities, bringing learning closer to international standards.</w:t>
      </w:r>
    </w:p>
    <w:p w14:paraId="2F69E701"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addition to internal efforts, the school is also building collaborations with external parties, such as the Education Office and the Ministry of Transportation. This collaboration primarily relates to the implementation of STCW-F-based certification tests. Schools can adapt to global regulations through this collaboration without bearing the entire financial burden. This support </w:t>
      </w:r>
      <w:r w:rsidRPr="00982587">
        <w:rPr>
          <w:rFonts w:asciiTheme="minorBidi" w:hAnsiTheme="minorBidi" w:cstheme="minorBidi"/>
          <w:iCs/>
          <w:lang w:val="id-ID"/>
        </w:rPr>
        <w:lastRenderedPageBreak/>
        <w:t>helps alleviate resource constraints while strengthening the school's legitimacy in implementing global standards.</w:t>
      </w:r>
    </w:p>
    <w:p w14:paraId="264705C9" w14:textId="0CCFEDAE" w:rsidR="00631058" w:rsidRDefault="003D4C74" w:rsidP="00A258DB">
      <w:pPr>
        <w:tabs>
          <w:tab w:val="left" w:pos="1080"/>
        </w:tabs>
        <w:spacing w:after="240"/>
        <w:ind w:left="851" w:hanging="851"/>
        <w:jc w:val="both"/>
        <w:rPr>
          <w:rFonts w:ascii="Arial" w:hAnsi="Arial" w:cs="Arial"/>
        </w:rPr>
      </w:pPr>
      <w:r w:rsidRPr="00982587">
        <w:rPr>
          <w:rFonts w:asciiTheme="minorBidi" w:hAnsiTheme="minorBidi" w:cstheme="minorBidi"/>
          <w:b/>
          <w:bCs/>
          <w:iCs/>
        </w:rPr>
        <w:t xml:space="preserve">Table 2: </w:t>
      </w:r>
      <w:r w:rsidRPr="00982587">
        <w:rPr>
          <w:rFonts w:asciiTheme="minorBidi" w:hAnsiTheme="minorBidi" w:cstheme="minorBidi"/>
          <w:iCs/>
        </w:rPr>
        <w:t>Adaptation Strategies to the Hegemony of Global Standards in Vocational Education Practices</w:t>
      </w:r>
    </w:p>
    <w:tbl>
      <w:tblPr>
        <w:tblW w:w="8114" w:type="dxa"/>
        <w:tblInd w:w="108" w:type="dxa"/>
        <w:tblLook w:val="04A0" w:firstRow="1" w:lastRow="0" w:firstColumn="1" w:lastColumn="0" w:noHBand="0" w:noVBand="1"/>
      </w:tblPr>
      <w:tblGrid>
        <w:gridCol w:w="1418"/>
        <w:gridCol w:w="2443"/>
        <w:gridCol w:w="2127"/>
        <w:gridCol w:w="2126"/>
      </w:tblGrid>
      <w:tr w:rsidR="003D4C74" w:rsidRPr="008805CF" w14:paraId="3E990AA7" w14:textId="77777777" w:rsidTr="00A258DB">
        <w:trPr>
          <w:trHeight w:val="258"/>
          <w:tblHeader/>
        </w:trPr>
        <w:tc>
          <w:tcPr>
            <w:tcW w:w="1418" w:type="dxa"/>
            <w:tcBorders>
              <w:top w:val="single" w:sz="4" w:space="0" w:color="auto"/>
              <w:left w:val="nil"/>
              <w:bottom w:val="single" w:sz="4" w:space="0" w:color="auto"/>
              <w:right w:val="nil"/>
            </w:tcBorders>
            <w:hideMark/>
          </w:tcPr>
          <w:p w14:paraId="0CB407C5" w14:textId="34DC73BB"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Actors</w:t>
            </w:r>
          </w:p>
        </w:tc>
        <w:tc>
          <w:tcPr>
            <w:tcW w:w="2443" w:type="dxa"/>
            <w:tcBorders>
              <w:top w:val="single" w:sz="4" w:space="0" w:color="auto"/>
              <w:left w:val="nil"/>
              <w:bottom w:val="single" w:sz="4" w:space="0" w:color="auto"/>
              <w:right w:val="nil"/>
            </w:tcBorders>
            <w:hideMark/>
          </w:tcPr>
          <w:p w14:paraId="719AC517" w14:textId="1903CCA4"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Adaptation Strategies</w:t>
            </w:r>
          </w:p>
        </w:tc>
        <w:tc>
          <w:tcPr>
            <w:tcW w:w="2127" w:type="dxa"/>
            <w:tcBorders>
              <w:top w:val="single" w:sz="4" w:space="0" w:color="auto"/>
              <w:left w:val="nil"/>
              <w:bottom w:val="single" w:sz="4" w:space="0" w:color="auto"/>
              <w:right w:val="nil"/>
            </w:tcBorders>
            <w:hideMark/>
          </w:tcPr>
          <w:p w14:paraId="5987E9DB" w14:textId="24DAABD9"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Practical Examples</w:t>
            </w:r>
          </w:p>
        </w:tc>
        <w:tc>
          <w:tcPr>
            <w:tcW w:w="2126" w:type="dxa"/>
            <w:tcBorders>
              <w:top w:val="single" w:sz="4" w:space="0" w:color="auto"/>
              <w:left w:val="nil"/>
              <w:bottom w:val="single" w:sz="4" w:space="0" w:color="auto"/>
              <w:right w:val="nil"/>
            </w:tcBorders>
            <w:hideMark/>
          </w:tcPr>
          <w:p w14:paraId="4E2362FB" w14:textId="27E1AB0F"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Data Sources</w:t>
            </w:r>
          </w:p>
        </w:tc>
      </w:tr>
      <w:tr w:rsidR="003D4C74" w:rsidRPr="008805CF" w14:paraId="47B0E883" w14:textId="77777777" w:rsidTr="00A258DB">
        <w:trPr>
          <w:trHeight w:val="1020"/>
        </w:trPr>
        <w:tc>
          <w:tcPr>
            <w:tcW w:w="1418" w:type="dxa"/>
            <w:tcBorders>
              <w:top w:val="nil"/>
              <w:left w:val="nil"/>
              <w:bottom w:val="nil"/>
              <w:right w:val="nil"/>
            </w:tcBorders>
            <w:hideMark/>
          </w:tcPr>
          <w:p w14:paraId="103A8FD9" w14:textId="2C8D4E02"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Teacher</w:t>
            </w:r>
          </w:p>
        </w:tc>
        <w:tc>
          <w:tcPr>
            <w:tcW w:w="2443" w:type="dxa"/>
            <w:tcBorders>
              <w:top w:val="nil"/>
              <w:left w:val="nil"/>
              <w:bottom w:val="nil"/>
              <w:right w:val="nil"/>
            </w:tcBorders>
            <w:hideMark/>
          </w:tcPr>
          <w:p w14:paraId="31AD2FE1" w14:textId="31BB23C4" w:rsidR="003D4C74" w:rsidRPr="008805CF" w:rsidRDefault="003B7976" w:rsidP="00A258DB">
            <w:pPr>
              <w:rPr>
                <w:rFonts w:ascii="Arial" w:hAnsi="Arial" w:cs="Arial"/>
                <w:color w:val="000000"/>
                <w:lang w:val="en-ID" w:eastAsia="en-ID"/>
              </w:rPr>
            </w:pPr>
            <w:r w:rsidRPr="003B7976">
              <w:rPr>
                <w:rFonts w:asciiTheme="minorBidi" w:hAnsiTheme="minorBidi" w:cstheme="minorBidi"/>
                <w:color w:val="000000"/>
                <w:lang w:eastAsia="en-ID"/>
              </w:rPr>
              <w:t>Modify the STCW-F curriculum by integrating local materials; use simple media and hybrid simulations.</w:t>
            </w:r>
          </w:p>
        </w:tc>
        <w:tc>
          <w:tcPr>
            <w:tcW w:w="2127" w:type="dxa"/>
            <w:tcBorders>
              <w:top w:val="nil"/>
              <w:left w:val="nil"/>
              <w:bottom w:val="nil"/>
              <w:right w:val="nil"/>
            </w:tcBorders>
            <w:hideMark/>
          </w:tcPr>
          <w:p w14:paraId="5C129F7B" w14:textId="3166544C" w:rsidR="003D4C74" w:rsidRPr="008805CF" w:rsidRDefault="003B7976" w:rsidP="00A258DB">
            <w:pPr>
              <w:rPr>
                <w:rFonts w:ascii="Arial" w:hAnsi="Arial" w:cs="Arial"/>
                <w:color w:val="000000"/>
                <w:lang w:val="en-ID" w:eastAsia="en-ID"/>
              </w:rPr>
            </w:pPr>
            <w:r w:rsidRPr="003B7976">
              <w:rPr>
                <w:rFonts w:asciiTheme="minorBidi" w:hAnsiTheme="minorBidi" w:cstheme="minorBidi"/>
                <w:color w:val="000000"/>
                <w:lang w:eastAsia="en-ID"/>
              </w:rPr>
              <w:t>Combine international navigation procedures with local maritime knowledge.</w:t>
            </w:r>
          </w:p>
        </w:tc>
        <w:tc>
          <w:tcPr>
            <w:tcW w:w="2126" w:type="dxa"/>
            <w:tcBorders>
              <w:top w:val="nil"/>
              <w:left w:val="nil"/>
              <w:bottom w:val="nil"/>
              <w:right w:val="nil"/>
            </w:tcBorders>
            <w:hideMark/>
          </w:tcPr>
          <w:p w14:paraId="517D1C3B" w14:textId="2BD1617A" w:rsidR="003D4C74" w:rsidRPr="00631058"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Nautika Teacher Interview (9/2025).</w:t>
            </w:r>
          </w:p>
        </w:tc>
      </w:tr>
      <w:tr w:rsidR="003D4C74" w:rsidRPr="008805CF" w14:paraId="36176AC7" w14:textId="77777777" w:rsidTr="00A258DB">
        <w:trPr>
          <w:trHeight w:val="1020"/>
        </w:trPr>
        <w:tc>
          <w:tcPr>
            <w:tcW w:w="1418" w:type="dxa"/>
            <w:tcBorders>
              <w:top w:val="nil"/>
              <w:left w:val="nil"/>
              <w:bottom w:val="nil"/>
              <w:right w:val="nil"/>
            </w:tcBorders>
            <w:hideMark/>
          </w:tcPr>
          <w:p w14:paraId="68D4C4B3" w14:textId="6AC4AF5D"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Student</w:t>
            </w:r>
          </w:p>
        </w:tc>
        <w:tc>
          <w:tcPr>
            <w:tcW w:w="2443" w:type="dxa"/>
            <w:tcBorders>
              <w:top w:val="nil"/>
              <w:left w:val="nil"/>
              <w:bottom w:val="nil"/>
              <w:right w:val="nil"/>
            </w:tcBorders>
            <w:hideMark/>
          </w:tcPr>
          <w:p w14:paraId="458B026F" w14:textId="371B265E" w:rsidR="003D4C74" w:rsidRPr="008805CF" w:rsidRDefault="003B7976" w:rsidP="00A258DB">
            <w:pPr>
              <w:rPr>
                <w:rFonts w:ascii="Arial" w:hAnsi="Arial" w:cs="Arial"/>
                <w:color w:val="000000"/>
                <w:lang w:val="en-ID" w:eastAsia="en-ID"/>
              </w:rPr>
            </w:pPr>
            <w:r>
              <w:t>Engage in dual learning: formal STCW-F curriculum and local vessel internships; perceive global certification as career capital.</w:t>
            </w:r>
          </w:p>
        </w:tc>
        <w:tc>
          <w:tcPr>
            <w:tcW w:w="2127" w:type="dxa"/>
            <w:tcBorders>
              <w:top w:val="nil"/>
              <w:left w:val="nil"/>
              <w:bottom w:val="nil"/>
              <w:right w:val="nil"/>
            </w:tcBorders>
            <w:hideMark/>
          </w:tcPr>
          <w:p w14:paraId="00E93C63" w14:textId="17018ADA" w:rsidR="003D4C74" w:rsidRPr="008805CF" w:rsidRDefault="003B7976" w:rsidP="00A258DB">
            <w:pPr>
              <w:rPr>
                <w:rFonts w:ascii="Arial" w:hAnsi="Arial" w:cs="Arial"/>
                <w:color w:val="000000"/>
                <w:lang w:val="en-ID" w:eastAsia="en-ID"/>
              </w:rPr>
            </w:pPr>
            <w:r>
              <w:t>Internship on a fishing boat while studying STCW-F materials.</w:t>
            </w:r>
          </w:p>
        </w:tc>
        <w:tc>
          <w:tcPr>
            <w:tcW w:w="2126" w:type="dxa"/>
            <w:tcBorders>
              <w:top w:val="nil"/>
              <w:left w:val="nil"/>
              <w:bottom w:val="nil"/>
              <w:right w:val="nil"/>
            </w:tcBorders>
            <w:hideMark/>
          </w:tcPr>
          <w:p w14:paraId="0EBE5033" w14:textId="533959FF"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NKPI student observation.</w:t>
            </w:r>
          </w:p>
        </w:tc>
      </w:tr>
      <w:tr w:rsidR="003D4C74" w:rsidRPr="008805CF" w14:paraId="44F4F0B6" w14:textId="77777777" w:rsidTr="00A258DB">
        <w:trPr>
          <w:trHeight w:val="1020"/>
        </w:trPr>
        <w:tc>
          <w:tcPr>
            <w:tcW w:w="1418" w:type="dxa"/>
            <w:tcBorders>
              <w:top w:val="nil"/>
              <w:left w:val="nil"/>
              <w:bottom w:val="nil"/>
              <w:right w:val="nil"/>
            </w:tcBorders>
            <w:hideMark/>
          </w:tcPr>
          <w:p w14:paraId="3B6826C1" w14:textId="2945EE49"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School Management</w:t>
            </w:r>
          </w:p>
        </w:tc>
        <w:tc>
          <w:tcPr>
            <w:tcW w:w="2443" w:type="dxa"/>
            <w:tcBorders>
              <w:top w:val="nil"/>
              <w:left w:val="nil"/>
              <w:bottom w:val="nil"/>
              <w:right w:val="nil"/>
            </w:tcBorders>
            <w:hideMark/>
          </w:tcPr>
          <w:p w14:paraId="25A37CCD" w14:textId="2A2F41C3" w:rsidR="003D4C74" w:rsidRPr="008805CF" w:rsidRDefault="003B7976" w:rsidP="00A258DB">
            <w:pPr>
              <w:rPr>
                <w:rFonts w:ascii="Arial" w:hAnsi="Arial" w:cs="Arial"/>
                <w:color w:val="000000"/>
                <w:lang w:val="en-ID" w:eastAsia="en-ID"/>
              </w:rPr>
            </w:pPr>
            <w:r>
              <w:t>Establish industry collaboration (</w:t>
            </w:r>
            <w:r>
              <w:rPr>
                <w:rStyle w:val="Emphasis"/>
              </w:rPr>
              <w:t>Link and Match 8+i</w:t>
            </w:r>
            <w:r>
              <w:t>), invite guest teachers, and facilitate certification; seek government support for facilities.</w:t>
            </w:r>
          </w:p>
        </w:tc>
        <w:tc>
          <w:tcPr>
            <w:tcW w:w="2127" w:type="dxa"/>
            <w:tcBorders>
              <w:top w:val="nil"/>
              <w:left w:val="nil"/>
              <w:bottom w:val="nil"/>
              <w:right w:val="nil"/>
            </w:tcBorders>
            <w:hideMark/>
          </w:tcPr>
          <w:p w14:paraId="0BF79147" w14:textId="56D14B1D" w:rsidR="003D4C74" w:rsidRPr="008805CF" w:rsidRDefault="003B7976" w:rsidP="00A258DB">
            <w:pPr>
              <w:rPr>
                <w:rFonts w:ascii="Arial" w:hAnsi="Arial" w:cs="Arial"/>
                <w:color w:val="000000"/>
                <w:lang w:val="en-ID" w:eastAsia="en-ID"/>
              </w:rPr>
            </w:pPr>
            <w:r>
              <w:t>MoU with fishing companies for internships and guest lectures.</w:t>
            </w:r>
          </w:p>
        </w:tc>
        <w:tc>
          <w:tcPr>
            <w:tcW w:w="2126" w:type="dxa"/>
            <w:tcBorders>
              <w:top w:val="nil"/>
              <w:left w:val="nil"/>
              <w:bottom w:val="nil"/>
              <w:right w:val="nil"/>
            </w:tcBorders>
            <w:hideMark/>
          </w:tcPr>
          <w:p w14:paraId="338D0B3D" w14:textId="678FBBD2"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Cooperation documents and management interviews.</w:t>
            </w:r>
          </w:p>
        </w:tc>
      </w:tr>
      <w:tr w:rsidR="003D4C74" w:rsidRPr="008805CF" w14:paraId="14C74DBD" w14:textId="77777777" w:rsidTr="00A258DB">
        <w:trPr>
          <w:trHeight w:val="1020"/>
        </w:trPr>
        <w:tc>
          <w:tcPr>
            <w:tcW w:w="1418" w:type="dxa"/>
            <w:tcBorders>
              <w:top w:val="nil"/>
              <w:left w:val="nil"/>
              <w:bottom w:val="single" w:sz="4" w:space="0" w:color="auto"/>
              <w:right w:val="nil"/>
            </w:tcBorders>
            <w:hideMark/>
          </w:tcPr>
          <w:p w14:paraId="0D0783CA" w14:textId="0442927F"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External Collaboration</w:t>
            </w:r>
          </w:p>
        </w:tc>
        <w:tc>
          <w:tcPr>
            <w:tcW w:w="2443" w:type="dxa"/>
            <w:tcBorders>
              <w:top w:val="nil"/>
              <w:left w:val="nil"/>
              <w:bottom w:val="single" w:sz="4" w:space="0" w:color="auto"/>
              <w:right w:val="nil"/>
            </w:tcBorders>
            <w:hideMark/>
          </w:tcPr>
          <w:p w14:paraId="745790E8" w14:textId="156821A3"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Collaboration with the Department of Education &amp; Ministry of Transportation for the STCW-F certification test.</w:t>
            </w:r>
          </w:p>
        </w:tc>
        <w:tc>
          <w:tcPr>
            <w:tcW w:w="2127" w:type="dxa"/>
            <w:tcBorders>
              <w:top w:val="nil"/>
              <w:left w:val="nil"/>
              <w:bottom w:val="single" w:sz="4" w:space="0" w:color="auto"/>
              <w:right w:val="nil"/>
            </w:tcBorders>
            <w:hideMark/>
          </w:tcPr>
          <w:p w14:paraId="5E5EFAC8" w14:textId="47B6CA28"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Certification is facilitated through the support of the Ministry of Transportation.</w:t>
            </w:r>
          </w:p>
        </w:tc>
        <w:tc>
          <w:tcPr>
            <w:tcW w:w="2126" w:type="dxa"/>
            <w:tcBorders>
              <w:top w:val="nil"/>
              <w:left w:val="nil"/>
              <w:bottom w:val="single" w:sz="4" w:space="0" w:color="auto"/>
              <w:right w:val="nil"/>
            </w:tcBorders>
            <w:hideMark/>
          </w:tcPr>
          <w:p w14:paraId="7CC7B713" w14:textId="3273D9A9"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School archives related to the implementation of certification.</w:t>
            </w:r>
          </w:p>
        </w:tc>
      </w:tr>
    </w:tbl>
    <w:p w14:paraId="2B69E1A0" w14:textId="51497C0F" w:rsidR="003D4C74" w:rsidRPr="00982587" w:rsidRDefault="003D4C74" w:rsidP="00A258DB">
      <w:pPr>
        <w:spacing w:before="240" w:after="240"/>
        <w:ind w:firstLine="709"/>
        <w:jc w:val="both"/>
        <w:rPr>
          <w:rFonts w:asciiTheme="minorBidi" w:hAnsiTheme="minorBidi" w:cstheme="minorBidi"/>
          <w:iCs/>
        </w:rPr>
      </w:pPr>
      <w:r w:rsidRPr="00982587">
        <w:rPr>
          <w:rFonts w:asciiTheme="minorBidi" w:hAnsiTheme="minorBidi" w:cstheme="minorBidi"/>
          <w:iCs/>
          <w:lang w:val="id-ID"/>
        </w:rPr>
        <w:t xml:space="preserve">Based on the data above, productive nautical teachers implemented an adaptation strategy by modifying the curriculum. The STCW-F standards remained the reference, but were integrated with local materials. In navigation practice, for example, in addition to teaching international procedures, teachers include field experiences related to the waters of East Kalimantan. They </w:t>
      </w:r>
      <w:r w:rsidR="00314AB2">
        <w:rPr>
          <w:rFonts w:asciiTheme="minorBidi" w:hAnsiTheme="minorBidi" w:cstheme="minorBidi"/>
          <w:iCs/>
          <w:lang w:val="id-ID"/>
        </w:rPr>
        <w:t>utilised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simple media, simulation videos, and miniatures to overcome limited facilities. This finding aligns with</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13636820.2023.2266727","ISSN":"1363-6820","author":[{"dropping-particle":"","family":"Suhonen","given":"Riikka","non-dropping-particle":"","parse-names":false,"suffix":""},{"dropping-particle":"","family":"Rajala","given":"Antti","non-dropping-particle":"","parse-names":false,"suffix":""},{"dropping-particle":"","family":"Cantell","given":"Hannele","non-dropping-particle":"","parse-names":false,"suffix":""},{"dropping-particle":"","family":"Kallioniemi","given":"Arto","non-dropping-particle":"","parse-names":false,"suffix":""}],"container-title":"Journal of Vocational Education &amp; Training","id":"ITEM-1","issue":"2","issued":{"date-parts":[["2024","3","14"]]},"note":"doi: 10.1080/13636820.2023.2266727","page":"354-380","publisher":"Routledge","title":"From training workers to educating global citizens: how teachers view their opportunities of addressing controversial global issues in vocational education","type":"article-journal","volume":"76"},"uris":["http://www.mendeley.com/documents/?uuid=a327415d-6097-4994-9d17-e127e81c1dd9"]}],"mendeley":{"formattedCitation":"(Suhonen et al., 2024)","plainTextFormattedCitation":"(Suhonen et al., 2024)","previouslyFormattedCitation":"(Suhonen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(Suhonen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r w:rsidR="00D3187E">
        <w:rPr>
          <w:rFonts w:asciiTheme="minorBidi" w:hAnsiTheme="minorBidi" w:cstheme="minorBidi"/>
          <w:iCs/>
          <w:lang w:val="id-ID"/>
        </w:rPr>
        <w:t xml:space="preserve"> </w:t>
      </w:r>
      <w:r w:rsidRPr="00982587">
        <w:rPr>
          <w:rFonts w:asciiTheme="minorBidi" w:hAnsiTheme="minorBidi" w:cstheme="minorBidi"/>
          <w:iCs/>
          <w:lang w:val="id-ID"/>
        </w:rPr>
        <w:t xml:space="preserve">who asserted that teachers in developing countries often act as adaptive agents in </w:t>
      </w:r>
      <w:r w:rsidR="00314AB2">
        <w:rPr>
          <w:rFonts w:asciiTheme="minorBidi" w:hAnsiTheme="minorBidi" w:cstheme="minorBidi"/>
          <w:iCs/>
          <w:lang w:val="id-ID"/>
        </w:rPr>
        <w:t>contextualising</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global standards to suit local needs. Theoretically, this aligns with the Teacher Agency Theory</w:t>
      </w:r>
      <w:r w:rsidRPr="00982587">
        <w:rPr>
          <w:rFonts w:asciiTheme="minorBidi" w:hAnsiTheme="minorBidi" w:cstheme="minorBidi"/>
          <w:iCs/>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{"citationItems":[{"id":"ITEM-1","itemData":{"ISSN":"1837-6290","author":[{"dropping-particle":"","family":"Cong-Lem","given":"Ngo","non-dropping-particle":"","parse-names":false,"suffix":""}],"container-title":"Issues in educational research","id":"ITEM-1","issue":"3","issued":{"date-parts":[["2021"]]},"page":"718-738","publisher":"Institutes for Educational Research in NSW, SA and WA Perth, WA","title":"Teacher agency: A systematic review of international literature","type":"article-journal","volume":"31"},"uris":["http://www.mendeley.com/documents/?uuid=c97a133f-b40a-44da-9125-149d75fc98fa"]}],"mendeley":{"formattedCitation":"(Cong-Lem, 2021)","plainTextFormattedCitation":"(Cong-Lem, 2021)","previouslyFormattedCitation":"(Cong-Lem,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(Cong-Lem,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w:t>
      </w:r>
      <w:r w:rsidR="00314AB2">
        <w:rPr>
          <w:rFonts w:asciiTheme="minorBidi" w:hAnsiTheme="minorBidi" w:cstheme="minorBidi"/>
          <w:iCs/>
          <w:lang w:val="id-ID"/>
        </w:rPr>
        <w:t>emphasises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the role of teachers as adaptive agents who negotiate external standards with local contexts. Teachers are not only policy implementers but also creators who adapt standards to maintain their relevance.</w:t>
      </w:r>
    </w:p>
    <w:p w14:paraId="180183DB" w14:textId="0B2929CA" w:rsidR="003D4C74" w:rsidRPr="00982587" w:rsidRDefault="003D4C74" w:rsidP="00A258DB">
      <w:pPr>
        <w:spacing w:after="240"/>
        <w:ind w:firstLine="709"/>
        <w:jc w:val="both"/>
        <w:rPr>
          <w:rFonts w:asciiTheme="minorBidi" w:hAnsiTheme="minorBidi" w:cstheme="minorBidi"/>
          <w:iCs/>
        </w:rPr>
      </w:pPr>
      <w:r w:rsidRPr="00982587">
        <w:rPr>
          <w:rFonts w:asciiTheme="minorBidi" w:hAnsiTheme="minorBidi" w:cstheme="minorBidi"/>
          <w:iCs/>
        </w:rPr>
        <w:t xml:space="preserve">Students then develop a dual learning strategy: following a formal STCW-F-based curriculum while undertaking internships on local vessels. The internship experience allows students to compare global standards with local practices. Despite the gap, students view global standards as a competitive advantage for careers on large or foreign vessels. This phenomenon can be understood through Experiential Learning Theory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{"citationItems":[{"id":"ITEM-1","itemData":{"DOI":"10.1016/j.tate.2022.103919","ISSN":"0742-051X","abstract":"The debate on how to teach entrepreneurship effectively, motivating students to be entrepreneurs and assisting them in the development of entrepreneurial skills and competences, has come into evidence. With this in mind, experiential learning comes into prominence in the teaching of entrepreneurship, being considered a pedagogical approach in which students learn by doing. Therefore, the objective of this work was to carry out a systematic literature review on the application and evaluation of experiential learning in entrepreneurship education. The literature - published in journals from different subject areas and mainly concentrated in Europe - has been classified and coded, resulting in a structure of what has been done so far, with recommendations to guide future research. It is concluded that experiential learning has been recently used as an approach for entrepreneurial education as it contributes to a positive impact on entrepreneurial intention and to the development of entrepreneurial skills and competences. Different activities result in distinct benefits for the teaching-learning process in entrepreneurship, but also demand challenges to be faced. Implications to practice were thus provided.","author":[{"dropping-particle":"","family":"Motta","given":"Victória Figueiredo","non-dropping-particle":"","parse-names":false,"suffix":""},{"dropping-particle":"","family":"Galina","given":"Simone Vasconcelos Ribeiro","non-dropping-particle":"","parse-names":false,"suffix":""}],"container-title":"Teaching and Teacher Education","id":"ITEM-1","issued":{"date-parts":[["2023"]]},"page":"103919","title":"Experiential learning in entrepreneurship education: A systematic literature review","type":"article-journal","volume":"121"},"uris":["http://www.mendeley.com/documents/?uuid=a5b86c85-db1e-42a1-a76e-9733378c698f"]}],"mendeley":{"formattedCitation":"(Motta &amp; Galina, 2023)","plainTextFormattedCitation":"(Motta &amp; Galina, 2023)","previouslyFormattedCitation":"(Motta &amp; Galina, 2023)"},"properties":{"noteIndex":0},"schema":"https://github.com/citation-style-language/schema/raw/master/csl-citation.json"}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(Motta &amp; Galina, 2023)</w:t>
      </w:r>
      <w:r w:rsidRPr="00982587">
        <w:rPr>
          <w:rFonts w:asciiTheme="minorBidi" w:hAnsiTheme="minorBidi" w:cstheme="minorBidi"/>
          <w:iCs/>
        </w:rPr>
        <w:fldChar w:fldCharType="end"/>
      </w:r>
      <w:r w:rsidRPr="00982587">
        <w:rPr>
          <w:rFonts w:asciiTheme="minorBidi" w:hAnsiTheme="minorBidi" w:cstheme="minorBidi"/>
          <w:iCs/>
          <w:lang w:val="id-ID"/>
        </w:rPr>
        <w:t xml:space="preserve">, which explains that </w:t>
      </w:r>
      <w:r w:rsidR="00314AB2">
        <w:rPr>
          <w:rFonts w:asciiTheme="minorBidi" w:hAnsiTheme="minorBidi" w:cstheme="minorBidi"/>
          <w:iCs/>
          <w:lang w:val="id-ID"/>
        </w:rPr>
        <w:t>organisations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with limited resources will forge external relationships to obtain the necessary support. In this context, the school adapts by making industry and government strategic partners.</w:t>
      </w:r>
    </w:p>
    <w:p w14:paraId="0D2C1C0A" w14:textId="4534D1CC" w:rsidR="003D4C74" w:rsidRPr="00982587" w:rsidRDefault="003D4C74" w:rsidP="00A258DB">
      <w:pPr>
        <w:spacing w:after="240"/>
        <w:ind w:firstLine="709"/>
        <w:jc w:val="both"/>
        <w:rPr>
          <w:rFonts w:asciiTheme="minorBidi" w:hAnsiTheme="minorBidi" w:cstheme="minorBidi"/>
          <w:iCs/>
        </w:rPr>
      </w:pPr>
      <w:r w:rsidRPr="00982587">
        <w:rPr>
          <w:rFonts w:asciiTheme="minorBidi" w:hAnsiTheme="minorBidi" w:cstheme="minorBidi"/>
          <w:iCs/>
          <w:lang w:val="id-ID"/>
        </w:rPr>
        <w:lastRenderedPageBreak/>
        <w:t>The school's management designs adaptation strategies by establishing industry partnerships, such as the Link and Match 8+i program, which includes internships, guest teachers, and certification opportunities. The school also seeks local government support for facility improvements, particularly laboratories and simulators, to bring learning closer to international standards. This analysis aligns with Resource Dependence Theory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{"citationItems":[{"id":"ITEM-1","itemData":{"DOI":"10.1007/s11301-020-00192-8","ISSN":"2198-1639","abstract":"This study aims to present a general overview of the Resource Dependence Theory (RDT) literature using bibliometric analysis. I included 474 articles published in 165 journals in the Web of Science database between 1975 and 2019 in the analysis. Firstly, an overview of the 474 articles has been presented based on specific bibliometric indicators. Later, bibliometric methods such as co-word, citation, and co-citation analysis were conducted on the articles. Utilizing bibliometric methods, it allowed us to map out the evolution of the RDT literature, providing a comprehensive view of the dynamics (or structure) of the field and identifying the fundamental studies, journals, authors, sub-topics (theme) and their interconnections and relationship networks. As a result of the study, two significant findings have been reached: (i) the scope of RDT is limited to strategic options rather than the main concepts and assumptions of the theory, and (ii) RDT has been studied along with other theories or perspectives. Especially, as a result of the co-word and co-citation analysis, it was concluded that there is a strong relationship between RDT and the discipline of strategic management.","author":[{"dropping-particle":"","family":"Ozturk","given":"Oguzhan","non-dropping-particle":"","parse-names":false,"suffix":""}],"container-title":"Management Review Quarterly","id":"ITEM-1","issue":"3","issued":{"date-parts":[["2021"]]},"page":"525-552","title":"Bibliometric review of resource dependence theory literature: an overview","type":"article-journal","volume":"71"},"uris":["http://www.mendeley.com/documents/?uuid=53ab39a6-c8bc-4b71-9c58-e43f862e6017"]}],"mendeley":{"formattedCitation":"(Ozturk, 2021)","plainTextFormattedCitation":"(Ozturk, 2021)","previouslyFormattedCitation":"(Ozturk, 2021)"},"properties":{"noteIndex":0},"schema":"https://github.com/citation-style-language/schema/raw/master/csl-citation.json"}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(Ozturk, 2021)</w:t>
      </w:r>
      <w:r w:rsidRPr="00982587">
        <w:rPr>
          <w:rFonts w:asciiTheme="minorBidi" w:hAnsiTheme="minorBidi" w:cstheme="minorBidi"/>
          <w:iCs/>
        </w:rPr>
        <w:fldChar w:fldCharType="end"/>
      </w:r>
      <w:r w:rsidRPr="00982587">
        <w:rPr>
          <w:rFonts w:asciiTheme="minorBidi" w:hAnsiTheme="minorBidi" w:cstheme="minorBidi"/>
          <w:iCs/>
          <w:lang w:val="id-ID"/>
        </w:rPr>
        <w:t xml:space="preserve">, which explains that </w:t>
      </w:r>
      <w:r w:rsidR="00314AB2">
        <w:rPr>
          <w:rFonts w:asciiTheme="minorBidi" w:hAnsiTheme="minorBidi" w:cstheme="minorBidi"/>
          <w:iCs/>
          <w:lang w:val="id-ID"/>
        </w:rPr>
        <w:t>organisations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with limited resources will forge external relationships to obtain the necessary support. In this context, the school adapts by making industry and government strategic partners.</w:t>
      </w:r>
    </w:p>
    <w:p w14:paraId="703C56F0" w14:textId="1661476B"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Schools also collaborate with the Department of Education and the Ministry of Transportation to administer STCW-F-based certification. This collaboration reduces the school's financial burden and provides official legitimacy for implementing global standards. This aligns with Collaborative Governance Theory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00987BD1">
        <w:rPr>
          <w:rFonts w:asciiTheme="minorBidi" w:hAnsiTheme="minorBidi" w:cstheme="minorBidi"/>
          <w:iCs/>
        </w:rPr>
        <w:instrText>ADDIN CSL_CITATION {"citationItems":[{"id":"ITEM-1","itemData":{"DOI":"10.1080/14719037.2021.1878777","ISSN":"1471-9037","author":[{"dropping-particle":"","family":"Bianchi","given":"Carmine","non-dropping-particle":"","parse-names":false,"suffix":""},{"dropping-particle":"","family":"Nasi","given":"Greta","non-dropping-particle":"","parse-names":false,"suffix":""},{"dropping-particle":"","family":"Rivenbark","given":"William C","non-dropping-particle":"","parse-names":false,"suffix":""}],"container-title":"Public Management Review","id":"ITEM-1","issue":"11","issued":{"date-parts":[["2021","11","2"]]},"note":"doi: 10.1080/14719037.2021.1878777","page":"1581-1589","publisher":"Routledge","title":"Implementing collaborative governance: models, experiences, and challenges","type":"article-journal","volume":"23"},"uris":["http://www.mendeley.com/documents/?uuid=8a1fa5d1-9a8c-49b2-bf3a-6108f7f364c5"]}],"mendeley":{"formattedCitation":"(Bianchi et al., 2021)","plainTextFormattedCitation":"(Bianchi et al., 2021)","previouslyFormattedCitation":"(Bianchi et al., 2021)"},"properties":{"noteIndex":0},"schema":"https://github.com/citation-style-language/schema/raw/master/csl-citation.json"}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(Bianchi et al., 2021)</w:t>
      </w:r>
      <w:r w:rsidRPr="00982587">
        <w:rPr>
          <w:rFonts w:asciiTheme="minorBidi" w:hAnsiTheme="minorBidi" w:cstheme="minorBidi"/>
          <w:iCs/>
        </w:rPr>
        <w:fldChar w:fldCharType="end"/>
      </w:r>
      <w:r w:rsidRPr="00982587">
        <w:rPr>
          <w:rFonts w:asciiTheme="minorBidi" w:hAnsiTheme="minorBidi" w:cstheme="minorBidi"/>
          <w:iCs/>
          <w:lang w:val="id-ID"/>
        </w:rPr>
        <w:t xml:space="preserve">, </w:t>
      </w:r>
      <w:r w:rsidR="00314AB2">
        <w:rPr>
          <w:rFonts w:asciiTheme="minorBidi" w:hAnsiTheme="minorBidi" w:cstheme="minorBidi"/>
          <w:iCs/>
          <w:lang w:val="id-ID"/>
        </w:rPr>
        <w:t>emphasising</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the importance of partnerships between actors in addressing policy complexity. With external collaboration, schools serve as recipients of standards and active partners in implementing global regulations. </w:t>
      </w:r>
    </w:p>
    <w:p w14:paraId="55E034F0" w14:textId="2CFD9237"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 xml:space="preserve">This adaptation strategy demonstrates that the hegemony of global standards is not entirely coercive, but instead negotiated by local actors. According to Gramsci's framework, this condition reflects a "hegemony of consent," teachers, students, and schools accept global standards as legitimate but modify them to remain relevant to local needs. This finding is consistent with research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14767724.2022.2095502","ISSN":"1476-7724","author":[{"dropping-particle":"","family":"Kim","given":"Sueun","non-dropping-particle":"","parse-names":false,"suffix":""},{"dropping-particle":"","family":"Cho","given":"Younghan","non-dropping-particle":"","parse-names":false,"suffix":""}],"container-title":"Globalisation, Societies and Education","id":"ITEM-1","issued":{"date-parts":[["2022"]]},"note":"doi: 10.1080/14767724.2022.2095502","page":"1-13","publisher":"Routledge","title":"Complicit mobility: Southeast Asian students in Korean Studies and their inter-Asia knowledge migrations","type":"article-journal"},"uris":["http://www.mendeley.com/documents/?uuid=b58ab083-4c30-4da0-8d4e-1e63816e9843"]}],"mendeley":{"formattedCitation":"(Kim &amp; Cho, 2022)","manualFormatting":"(Kim &amp; Cho, 2022","plainTextFormattedCitation":"(Kim &amp; Cho, 2022)","previouslyFormattedCitation":"(Kim &amp; Cho,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(Kim &amp; Cho,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{"citationItems":[{"id":"ITEM-1","itemData":{"DOI":"10.1108/IJDRBE-02-2023-0010","ISSN":"1759-5908","abstract":"This paper is part of the ERASMUS+-funded Strengthening University Enterprise Collaboration for Resilient Communities in Asia (SECRA) project. This study aims to map collaborative architecture between partner universities and the public/private sectors to provide a contextualised collaboration framework for disaster resilience (DR) in South-East Asia.Documentary reviews were conducted in partner countries to establish the current context of university enterprise collaborations (UEC) in South-East Asia. A concept-centric approach permitted the synthesis of concepts from each country review, allowing for comparisons between collaborative practices that impact the success of DR collaborations.The review identified that funding, continuity, long-term strategic plans and practical implementation are lacking in partner countries. However, each country demonstrated good practices and identified enablers and barriers that impact DR collaborations.The synthesis revealed a lack of a practical understanding of real-world barriers. Further research is needed to understand real-world experiences in DR collaborations and to provide insights into barriers, enablers and good practices in DR collaborations. Gaining an “on-the-ground” perspective will provide detailed insights and the feasibility of implementation.The findings provide the foundations for developing a heuristic UEC framework that can inform policies and practices for DR in partner countries.The findings can inform various stakeholder policies and practices and promote the exchange of ideas between stakeholders to enhance DR in South-East Asia.The results are relevant within the South-East Asian, as governments have intensified the adoption of measures to encourage UEC for DR.","author":[{"dropping-particle":"","family":"Tucker","given":"Rebeka Catherine","non-dropping-particle":"","parse-names":false,"suffix":""},{"dropping-particle":"","family":"Liyanage","given":"Champika","non-dropping-particle":"","parse-names":false,"suffix":""},{"dropping-particle":"","family":"Robinson","given":"Sarita Jane","non-dropping-particle":"","parse-names":false,"suffix":""},{"dropping-particle":"","family":"Montebon","given":"Darryl Roy","non-dropping-particle":"","parse-names":false,"suffix":""},{"dropping-particle":"","family":"Gotangco Gonzales","given":"Charlotte Kendra","non-dropping-particle":"","parse-names":false,"suffix":""},{"dropping-particle":"","family":"Olpoc","given":"Joselito C","non-dropping-particle":"","parse-names":false,"suffix":""},{"dropping-particle":"","family":"Patacsil","given":"Liza B","non-dropping-particle":"","parse-names":false,"suffix":""},{"dropping-particle":"","family":"Tantanee","given":"Sarintip","non-dropping-particle":"","parse-names":false,"suffix":""},{"dropping-particle":"","family":"Buranajarukorn","given":"Panu","non-dropping-particle":"","parse-names":false,"suffix":""},{"dropping-particle":"","family":"Apichayaku","given":"Orawan Sirisawat","non-dropping-particle":"","parse-names":false,"suffix":""},{"dropping-particle":"","family":"Weerasinghe","given":"Rukmal N","non-dropping-particle":"","parse-names":false,"suffix":""},{"dropping-particle":"","family":"Dissanayake","given":"Rsanjith","non-dropping-particle":"","parse-names":false,"suffix":""}],"container-title":"International Journal of Disaster Resilience in the Built Environment","id":"ITEM-1","issue":"1","issued":{"date-parts":[["2023","8","10"]]},"page":"104-128","title":"Understanding university enterprise collaboration for disaster resilience in South-East Asia","type":"article-journal","volume":"16"},"uris":["http://www.mendeley.com/documents/?uuid=57dca815-9cbe-4ac3-aa79-4296b3072516"]}],"mendeley":{"formattedCitation":"(Tucker et al., 2023)","manualFormatting":"Tucker et al., 2023)","plainTextFormattedCitation":"(Tucker et al., 2023)","previouslyFormattedCitation":"(Tucker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Tucker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show that vocational schools in Southeast Asia employ a hybrid strategy of international standards and local wisdom to adapt to the pressures of </w:t>
      </w:r>
      <w:r w:rsidR="00314AB2">
        <w:rPr>
          <w:rFonts w:asciiTheme="minorBidi" w:hAnsiTheme="minorBidi" w:cstheme="minorBidi"/>
          <w:iCs/>
          <w:lang w:val="id-ID"/>
        </w:rPr>
        <w:t>globalisation</w:t>
      </w:r>
      <w:r w:rsidRPr="00982587">
        <w:rPr>
          <w:rFonts w:asciiTheme="minorBidi" w:hAnsiTheme="minorBidi" w:cstheme="minorBidi"/>
          <w:iCs/>
          <w:lang w:val="id-ID"/>
        </w:rPr>
        <w:t>.</w:t>
      </w:r>
    </w:p>
    <w:p w14:paraId="53A04EB8" w14:textId="536E79CE" w:rsidR="003D4C74" w:rsidRPr="003D4C74" w:rsidRDefault="003D4C74" w:rsidP="00A258DB">
      <w:pPr>
        <w:pStyle w:val="Body"/>
        <w:numPr>
          <w:ilvl w:val="0"/>
          <w:numId w:val="36"/>
        </w:numPr>
        <w:ind w:left="426" w:hanging="426"/>
        <w:rPr>
          <w:rFonts w:asciiTheme="minorBidi" w:hAnsiTheme="minorBidi" w:cstheme="minorBidi"/>
          <w:b/>
          <w:bCs/>
          <w:iCs/>
          <w:sz w:val="22"/>
          <w:szCs w:val="22"/>
          <w:lang w:val="id-ID"/>
        </w:rPr>
      </w:pPr>
      <w:r w:rsidRPr="00982587">
        <w:rPr>
          <w:rFonts w:asciiTheme="minorBidi" w:hAnsiTheme="minorBidi" w:cstheme="minorBidi"/>
          <w:b/>
          <w:bCs/>
          <w:iCs/>
          <w:lang w:val="id-ID"/>
        </w:rPr>
        <w:t>Implications of Global Standards Hegemony in the Practice of Vocational Education for Fishing Vessels.</w:t>
      </w:r>
    </w:p>
    <w:p w14:paraId="15A081BC" w14:textId="0ABEA91A"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implementation of global standards in vocational education for nautical vessels, particularly STCW-F, has several important implications at the individual (teachers and students), institutional (schools), and policy (government and industry) levels. These implications reflect the consequences of the hegemonic negotiation process, in which international standards are adopted and adapted, creating both opportunities and challenges.</w:t>
      </w:r>
    </w:p>
    <w:p w14:paraId="499DBE1F" w14:textId="77777777" w:rsidR="003D4C74" w:rsidRPr="00982587" w:rsidRDefault="003D4C74" w:rsidP="00A258D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Students </w:t>
      </w:r>
    </w:p>
    <w:p w14:paraId="43938746" w14:textId="16DF0041"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the STCW-F global standards in nautical vocational education directly impacts student competency. They acquire multi-layered skills, including technical skills based on internationally </w:t>
      </w:r>
      <w:r w:rsidR="00314AB2">
        <w:rPr>
          <w:rFonts w:asciiTheme="minorBidi" w:hAnsiTheme="minorBidi" w:cstheme="minorBidi"/>
          <w:iCs/>
          <w:lang w:val="id-ID"/>
        </w:rPr>
        <w:t>recognised</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global standards and local understanding relevant to national fisheries practices. This combination strengthens students' competitiveness in the global job market while ensuring their skills remain relevant to domestic needs, such as operating fishing vessels in Indonesian waters.</w:t>
      </w:r>
    </w:p>
    <w:p w14:paraId="1C4C3F1F" w14:textId="56932317" w:rsidR="003D4C74" w:rsidRPr="003D4C74"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However, significant challenges remain. The limited availability of modern facilities, such as navigation simulators and practical laboratories, makes students' preparedness for global certification exams uneven. On the one hand, the Human Capital Theory proposed by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{"citationItems":[{"id":"ITEM-1","itemData":{"DOI":"10.1007/s10943-022-01665-8","ISSN":"1573-6571","abstract":"Psychological, social, cultural, emotional, and organizational perspectives consistently highlight human capital's importance in the literature. We argue that the collective view of different capitals with self-notion is essential for establishing impression, image, and self-esteem. According to the review findings, religious capital could predict context-specific psychological, cultural, social, emotional, and organizational capital. This acknowledgment can assist academics in better understanding how religion, social psychology, and other capitals co-create value in human capital development. This study includes several possible future paths and notes remarkable qualities that can enhance human capital value development research.","author":[{"dropping-particle":"","family":"Abbas","given":"Ansar","non-dropping-particle":"","parse-names":false,"suffix":""},{"dropping-particle":"","family":"Ekowati","given":"Dian","non-dropping-particle":"","parse-names":false,"suffix":""},{"dropping-particle":"","family":"Suhariadi","given":"Fendy","non-dropping-particle":"","parse-names":false,"suffix":""},{"dropping-particle":"","family":"Anwar","given":"Aisha","non-dropping-particle":"","parse-names":false,"suffix":""}],"container-title":"Journal of Religion and Health","id":"ITEM-1","issue":"3","issued":{"date-parts":[["2024"]]},"page":"2168-2200","title":"Human Capital Creation: A Collective Psychological, Social, Organizational and Religious Perspective","type":"article-journal","volume":"63"},"uris":["http://www.mendeley.com/documents/?uuid=286257d7-1ab2-4379-aaec-6e0a23e4b670"]}],"mendeley":{"formattedCitation":"(Abbas et al., 2024)","plainTextFormattedCitation":"(Abbas et al., 2024)","previouslyFormattedCitation":"(Abbas et al., 2024)"},"properties":{"noteIndex":0},"schema":"https://github.com/citation-style-language/schema/raw/master/csl-citation.json"}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(Abbas et al., 2024)</w:t>
      </w:r>
      <w:r w:rsidRPr="00982587">
        <w:rPr>
          <w:rFonts w:asciiTheme="minorBidi" w:hAnsiTheme="minorBidi" w:cstheme="minorBidi"/>
          <w:iCs/>
        </w:rPr>
        <w:fldChar w:fldCharType="end"/>
      </w:r>
      <w:r w:rsidRPr="00982587">
        <w:rPr>
          <w:rFonts w:asciiTheme="minorBidi" w:hAnsiTheme="minorBidi" w:cstheme="minorBidi"/>
          <w:iCs/>
          <w:lang w:val="id-ID"/>
        </w:rPr>
        <w:t xml:space="preserve"> emphasizes that international skills, including global certification, will increase the marketability of the workforce, both nationally and internationally. On the other hand, this situation intersects with the Access to Education Theory presented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{"citationItems":[{"id":"ITEM-1","itemData":{"ISSN":"0575-5700","author":[{"dropping-particle":"","family":"Derrick","given":"Matthew","non-dropping-particle":"","parse-names":false,"suffix":""}],"container-title":"California Geographer","id":"ITEM-1","issued":{"date-parts":[["2021"]]},"title":"CrisisWriting on the California State University.","type":"article-journal","volume":"60"},"uris":["http://www.mendeley.com/documents/?uuid=16829f55-5ac4-45c8-9e03-61c216eab7b5"]}],"mendeley":{"formattedCitation":"(Derrick, 2021)","plainTextFormattedCitation":"(Derrick, 2021)","previouslyFormattedCitation":"(Derrick,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(Derrick, 2021)</w:t>
      </w:r>
      <w:r w:rsidRPr="00982587">
        <w:rPr>
          <w:rFonts w:asciiTheme="minorBidi" w:hAnsiTheme="minorBidi" w:cstheme="minorBidi"/>
          <w:iCs/>
          <w:lang w:val="id-ID"/>
        </w:rPr>
        <w:fldChar w:fldCharType="end"/>
      </w:r>
      <w:r w:rsidRPr="00982587">
        <w:rPr>
          <w:rFonts w:asciiTheme="minorBidi" w:hAnsiTheme="minorBidi" w:cstheme="minorBidi"/>
          <w:iCs/>
          <w:lang w:val="id-ID"/>
        </w:rPr>
        <w:t>, where inequalities in the availability of facilities can hinder students from obtaining equal opportunities. Thus, while global standards open up competitive opportunities, limited access has the potential to deepen gaps among students.</w:t>
      </w:r>
    </w:p>
    <w:p w14:paraId="341E3AFD" w14:textId="77777777" w:rsidR="003D4C74" w:rsidRPr="00982587" w:rsidRDefault="003D4C74" w:rsidP="00A258D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lastRenderedPageBreak/>
        <w:t xml:space="preserve">Implications for Teachers </w:t>
      </w:r>
    </w:p>
    <w:p w14:paraId="06C9D4A1" w14:textId="6172D5BD"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Implementing the STCW-F global standards also has significant implications for productive teachers in the field of nautical sciences. Teachers must </w:t>
      </w:r>
      <w:r w:rsidR="00314AB2">
        <w:rPr>
          <w:rFonts w:asciiTheme="minorBidi" w:hAnsiTheme="minorBidi" w:cstheme="minorBidi"/>
          <w:iCs/>
          <w:lang w:val="id-ID"/>
        </w:rPr>
        <w:t>fulfil</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a dual role: implementers of global standards and mediators of local knowledge. On the one hand, they must ensure that the curriculum, teaching methods, and assessments comply with international regulations established by the IMO. On the other hand, teachers must </w:t>
      </w:r>
      <w:r w:rsidR="00314AB2">
        <w:rPr>
          <w:rFonts w:asciiTheme="minorBidi" w:hAnsiTheme="minorBidi" w:cstheme="minorBidi"/>
          <w:iCs/>
          <w:lang w:val="id-ID"/>
        </w:rPr>
        <w:t>contextualise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the material by incorporating local experiences and practices to make learning more relevant to fisheries conditions in Indonesia.</w:t>
      </w:r>
      <w:r w:rsidRPr="00982587">
        <w:rPr>
          <w:rFonts w:asciiTheme="minorBidi" w:hAnsiTheme="minorBidi" w:cstheme="minorBidi"/>
          <w:iCs/>
        </w:rPr>
        <w:t xml:space="preserve"> </w:t>
      </w:r>
    </w:p>
    <w:p w14:paraId="07EEDA5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dual role enriches teachers' professionalism by encouraging creativity in developing hybrid curricula that combine global standards with local needs. However, the consequence is an increased workload. Teachers are not only required to master complex international standards but also to adapt to limited resources, such as the lack of modern simulators, and integrate materials based on local experiences.</w:t>
      </w:r>
    </w:p>
    <w:p w14:paraId="713BEC43" w14:textId="0D7E99DE" w:rsidR="003D4C74"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This situation can be explained through the concept of Teacher Agency proposed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{"citationItems":[{"id":"ITEM-1","itemData":{"DOI":"10.2991/assehr.k.210525.080","ISBN":"9462393834","author":[{"dropping-particle":"","family":"Farmasari","given":"Santi","non-dropping-particle":"","parse-names":false,"suffix":""}],"container-title":"2nd Annual Conference on Education and Social Science (ACCESS 2020)","id":"ITEM-1","issued":{"date-parts":[["2021"]]},"page":"224-229","publisher":"Atlantis Press","title":"Understanding teacher agency in practice: An ecological approach","type":"paper-conference"},"uris":["http://www.mendeley.com/documents/?uuid=f47127f7-dbac-4d38-a23f-b19c0d28e436"]}],"mendeley":{"formattedCitation":"(Farmasari, 2021)","plainTextFormattedCitation":"(Farmasari, 2021)","previouslyFormattedCitation":"(Farmasari,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(Farmasari, 2021)</w:t>
      </w:r>
      <w:r w:rsidRPr="00982587">
        <w:rPr>
          <w:rFonts w:asciiTheme="minorBidi" w:hAnsiTheme="minorBidi" w:cstheme="minorBidi"/>
          <w:iCs/>
          <w:lang w:val="id-ID"/>
        </w:rPr>
        <w:fldChar w:fldCharType="end"/>
      </w:r>
      <w:r w:rsidR="00314AB2">
        <w:rPr>
          <w:rFonts w:asciiTheme="minorBidi" w:hAnsiTheme="minorBidi" w:cstheme="minorBidi"/>
          <w:iCs/>
          <w:lang w:val="id-ID"/>
        </w:rPr>
        <w:t>In</w:t>
      </w:r>
      <w:r w:rsidRPr="00982587">
        <w:rPr>
          <w:rFonts w:asciiTheme="minorBidi" w:hAnsiTheme="minorBidi" w:cstheme="minorBidi"/>
          <w:iCs/>
          <w:lang w:val="id-ID"/>
        </w:rPr>
        <w:t xml:space="preserve"> which teachers are viewed as active agents capable of making pedagogical decisions appropriate to the context they face. Furthermore, Vygotsky's Cultural Mediation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{"citationItems":[{"id":"ITEM-1","itemData":{"author":[{"dropping-particle":"","family":"Vygotsky","given":"L. S.","non-dropping-particle":"","parse-names":false,"suffix":""}],"id":"ITEM-1","issued":{"date-parts":[["1978"]]},"publisher":"Cambridge","publisher-place":"Amerika","title":"Mind in Society: The Development of Higher Psychological Processes","type":"book"},"uris":["http://www.mendeley.com/documents/?uuid=cf69b495-ea7b-4fe4-997c-fbdf72feffca"]}],"mendeley":{"formattedCitation":"(Vygotsky, 1978)","plainTextFormattedCitation":"(Vygotsky, 1978)","previouslyFormattedCitation":"(Vygotsky, 1978)"},"properties":{"noteIndex":0},"schema":"https://github.com/citation-style-language/schema/raw/master/csl-citation.json"}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(Vygotsky, 1978)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reinforces the understanding that teachers function as cultural mediators, bridging global standards with local knowledge to make learning more meaningful for students. Thus, teachers are not merely implementers of global regulations but also crucial actors in negotiating educational hegemony.</w:t>
      </w:r>
    </w:p>
    <w:p w14:paraId="5DEB3AA6" w14:textId="77777777" w:rsidR="00FF066B" w:rsidRPr="00982587" w:rsidRDefault="00FF066B" w:rsidP="00A258DB">
      <w:pPr>
        <w:spacing w:after="240"/>
        <w:jc w:val="both"/>
        <w:rPr>
          <w:rFonts w:asciiTheme="minorBidi" w:hAnsiTheme="minorBidi" w:cstheme="minorBidi"/>
          <w:iCs/>
          <w:lang w:val="id-ID"/>
        </w:rPr>
      </w:pPr>
    </w:p>
    <w:p w14:paraId="22E3B550" w14:textId="77777777" w:rsidR="003D4C74" w:rsidRPr="00982587" w:rsidRDefault="003D4C74" w:rsidP="00FF066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Schools </w:t>
      </w:r>
    </w:p>
    <w:p w14:paraId="14AF71F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For school management, the implementation of the STCW-F global standards has a direct impact on the institution's legitimacy and reputation. Adopting these international standards is seen as a means to increase public, government, and industry confidence in the quality of graduates. Collaboration with the fisheries industry through the Link and Match program and local government support for facility improvements are key school strategies in responding to global demands. This allows schools to expand their collaborative networks while improving learning resources like laboratories and simulators.</w:t>
      </w:r>
    </w:p>
    <w:p w14:paraId="29B4CC08"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However, implementing global standards also presents serious challenges, particularly concerning financing. Procuring modern equipment that complies with international regulations is expensive and often burdens school budgets. This situation creates a dilemma: on the one hand, schools want to maintain legitimacy by meeting global standards, but on the other hand, they are constrained by limited resources.</w:t>
      </w:r>
    </w:p>
    <w:p w14:paraId="18040F92" w14:textId="028B6656"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This situation can be understood through Institutional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{"citationItems":[{"id":"ITEM-1","itemData":{"DOI":"10.1007/978-3-658-31439-2_17","ISBN":"978-3-658-31439-2","abstract":"Der organisationssoziologische Beitrag von Paul J. DiMaggio und Walter W. Powell, die an der New York University und der Stanford University forschen und lehren, zählt zu den am häufigsten zitierten Aufsätzen in der Soziologie und Organisationsforschung der letzten Jahrzehnte. Er wurde vielfach nachgedruckt und hat zahlreiche empirische und theoretische Forschungen angeregt, die ebenso wie der Beitrag von DiMaggio und Powell auch im Bereich der Wirtschaftssoziologie von großer Bedeutung sind.","author":[{"dropping-particle":"","family":"Krücken","given":"Georg","non-dropping-particle":"","parse-names":false,"suffix":""}],"editor":[{"dropping-particle":"","family":"Kraemer","given":"Klaus","non-dropping-particle":"","parse-names":false,"suffix":""},{"dropping-particle":"","family":"Brugger","given":"Florian","non-dropping-particle":"","parse-names":false,"suffix":""}],"id":"ITEM-1","issued":{"date-parts":[["2021"]]},"page":"205-210","publisher":"Springer Fachmedien Wiesbaden","publisher-place":"Wiesbaden","title":"Paul J. DiMaggio und Walter W. Powell: The Iron Cage Revisited: Institutional Isomorphism and Collective Rationality in Organizational Fields BT  - Schlüsselwerke der Wirtschaftssoziologie","type":"chapter"},"uris":["http://www.mendeley.com/documents/?uuid=bc525350-fc63-4187-9f7a-5f1cf86b5965"]}],"mendeley":{"formattedCitation":"(Krücken, 2021)","plainTextFormattedCitation":"(Krücken, 2021)","previouslyFormattedCitation":"(Krücken,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(Krücken,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explains that educational </w:t>
      </w:r>
      <w:r w:rsidR="00314AB2">
        <w:rPr>
          <w:rFonts w:asciiTheme="minorBidi" w:hAnsiTheme="minorBidi" w:cstheme="minorBidi"/>
          <w:iCs/>
          <w:lang w:val="id-ID"/>
        </w:rPr>
        <w:t>organisations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tend to adopt global practices to gain legitimacy and avoid external pressures. Furthermore, Resource Dependence Theory</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{"citationItems":[{"id":"ITEM-1","itemData":{"DOI":"10.1007/s11301-020-00192-8","ISSN":"2198-1639","abstract":"This study aims to present a general overview of the Resource Dependence Theory (RDT) literature using bibliometric analysis. I included 474 articles published in 165 journals in the Web of Science database between 1975 and 2019 in the analysis. Firstly, an overview of the 474 articles has been presented based on specific bibliometric indicators. Later, bibliometric methods such as co-word, citation, and co-citation analysis were conducted on the articles. Utilizing bibliometric methods, it allowed us to map out the evolution of the RDT literature, providing a comprehensive view of the dynamics (or structure) of the field and identifying the fundamental studies, journals, authors, sub-topics (theme) and their interconnections and relationship networks. As a result of the study, two significant findings have been reached: (i) the scope of RDT is limited to strategic options rather than the main concepts and assumptions of the theory, and (ii) RDT has been studied along with other theories or perspectives. Especially, as a result of the co-word and co-citation analysis, it was concluded that there is a strong relationship between RDT and the discipline of strategic management.","author":[{"dropping-particle":"","family":"Ozturk","given":"Oguzhan","non-dropping-particle":"","parse-names":false,"suffix":""}],"container-title":"Management Review Quarterly","id":"ITEM-1","issue":"3","issued":{"date-parts":[["2021"]]},"page":"525-552","title":"Bibliometric review of resource dependence theory literature: an overview","type":"article-journal","volume":"71"},"uris":["http://www.mendeley.com/documents/?uuid=53ab39a6-c8bc-4b71-9c58-e43f862e6017"]}],"mendeley":{"formattedCitation":"(Ozturk, 2021)","manualFormatting":"(Ozturk, 2021","plainTextFormattedCitation":"(Ozturk, 2021)","previouslyFormattedCitation":"(Ozturk,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(Ozturk,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{"citationItems":[{"id":"ITEM-1","itemData":{"DOI":"10.1177/0149206320982650","ISSN":"0149-2063","abstract":"The resource-based view of the firm has become dominant within the field of strategic management, yet it has had surprisingly little influence within organization theory. In this article, we document the divide between strategy and organization theory and propose an interpretation. Choices of theories are largely driven by a researcher?s dependent variables, and the questions ?Why do firms do what they do?? and ?Why do some firms perform better than others?? can have distinct answers. Thus, strategic management scholars and organization theorists are like howler monkeys and spider monkeys, coexisting peacefully in the same ecosystem by dining on different dependent variables. We further speculate on the looming existential crisis for both fields as traditional firms are increasingly unsustainable due to the transformation wrought by the digital revolution in product markets and the markets for capital, labor, and supplies.","author":[{"dropping-particle":"","family":"Davis","given":" Gerald F","non-dropping-particle":"","parse-names":false,"suffix":""},{"dropping-particle":"","family":"DeWitt","given":" Theodore","non-dropping-particle":"","parse-names":false,"suffix":""}],"container-title":"Journal of Management","id":"ITEM-1","issue":"7","issued":{"date-parts":[["2021","1","4"]]},"note":"doi: 10.1177/0149206320982650","page":"1684-1697","publisher":"SAGE Publications Inc","title":"Organization Theory and the Resource-Based View of the Firm: The Great Divide","type":"article-journal","volume":"47"},"uris":["http://www.mendeley.com/documents/?uuid=1c333717-1029-453d-932b-8c49f5cafc33"]}],"mendeley":{"formattedCitation":"(Davis &amp; DeWitt, 2021)","manualFormatting":"Davis &amp; DeWitt, 2021)","plainTextFormattedCitation":"(Davis &amp; DeWitt, 2021)","previouslyFormattedCitation":"(Davis &amp; DeWitt,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Davis &amp; DeWitt,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w:t>
      </w:r>
      <w:r w:rsidR="00314AB2">
        <w:rPr>
          <w:rFonts w:asciiTheme="minorBidi" w:hAnsiTheme="minorBidi" w:cstheme="minorBidi"/>
          <w:iCs/>
          <w:lang w:val="id-ID"/>
        </w:rPr>
        <w:t>organisations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with limited resources must establish relationships with external actors, particularly industry and government, to obtain the necessary support. Thus, school management is a mediator, balancing global demands with internal capacity and external support.</w:t>
      </w:r>
    </w:p>
    <w:p w14:paraId="6ED62482" w14:textId="77777777" w:rsidR="003D4C74" w:rsidRPr="00982587" w:rsidRDefault="003D4C74" w:rsidP="00FF066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Policy and Industry Implications </w:t>
      </w:r>
    </w:p>
    <w:p w14:paraId="28439294"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Implementing the STCW-F global standards impacts schools and has strategic implications for maritime education policy and the fisheries industry. From a policy perspective, international standards encourage synergy between vocational schools, the government, and industry to ensure a globally competitive workforce. Regulations based on international standards allow the government to improve the quality of vocational school graduates while strengthening Indonesia's position in the global maritime industry.</w:t>
      </w:r>
    </w:p>
    <w:p w14:paraId="435AFB47"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For the fisheries industry, having graduates with global certification is considered an important added value. This certification enhances the workforce's credibility in the eyes of national companies and meets international market requirements regarding safety and security on board vessels. Graduates with IMO certification have the potential to expand the Indonesian industry's access to global markets, particularly in the context of fishery exports and large-scale vessel operations.</w:t>
      </w:r>
    </w:p>
    <w:p w14:paraId="14669F86" w14:textId="38E1B08F"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However, in practice, challenges remain in the form of regional disparities and limited school resources. Therefore, affirmative policies are needed to ensure that educational institutions in areas with limited facilities can also meet global standards. This aligns with World Systems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{"citationItems":[{"id":"ITEM-1","itemData":{"DOI":"10.1111/ajes.12472","ISSN":"0002-9246","author":[{"dropping-particle":"","family":"Frame","given":"Mariko L","non-dropping-particle":"","parse-names":false,"suffix":""}],"container-title":"American Journal of Economics and Sociology","id":"ITEM-1","issue":"3","issued":{"date-parts":[["2022"]]},"page":"503-534","publisher":"Wiley Online Library","title":"Ecological imperialism: A world</w:instrText>
      </w:r>
      <w:r w:rsidRPr="00982587">
        <w:rPr>
          <w:rFonts w:ascii="Cambria Math" w:hAnsi="Cambria Math" w:cs="Cambria Math"/>
          <w:iCs/>
          <w:lang w:val="id-ID"/>
        </w:rPr>
        <w:instrText>‐</w:instrText>
      </w:r>
      <w:r w:rsidRPr="00982587">
        <w:rPr>
          <w:rFonts w:asciiTheme="minorBidi" w:hAnsiTheme="minorBidi" w:cstheme="minorBidi"/>
          <w:iCs/>
          <w:lang w:val="id-ID"/>
        </w:rPr>
        <w:instrText>systems approach","type":"article-journal","volume":"81"},"uris":["http://www.mendeley.com/documents/?uuid=760ecf08-47f0-48c8-9cc9-4596acb2c5d0"]}],"mendeley":{"formattedCitation":"(Frame, 2022)","plainTextFormattedCitation":"(Frame, 2022)","previouslyFormattedCitation":"(Frame,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(Frame,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explains that in the global system, countries or institutions in semi-peripheral and peripheral positions tend to be recipients of standards set by the </w:t>
      </w:r>
      <w:r w:rsidR="00314AB2">
        <w:rPr>
          <w:rFonts w:asciiTheme="minorBidi" w:hAnsiTheme="minorBidi" w:cstheme="minorBidi"/>
          <w:iCs/>
          <w:lang w:val="id-ID"/>
        </w:rPr>
        <w:t>centre</w:t>
      </w:r>
      <w:r w:rsidRPr="00982587">
        <w:rPr>
          <w:rFonts w:asciiTheme="minorBidi" w:hAnsiTheme="minorBidi" w:cstheme="minorBidi"/>
          <w:iCs/>
          <w:lang w:val="id-ID"/>
        </w:rPr>
        <w:t xml:space="preserve">. In the context of maritime vocational education, Indonesia risks becoming a mere recipient of regulations without bargaining power if affirmative supporting policies do not support it. Furthermore, Public Policy Implementation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{"citationItems":[{"id":"ITEM-1","itemData":{"DOI":"10.1080/13597566.2024.2358498","ISSN":"1359-7566","author":[{"dropping-particle":"","family":"Coletti","given":"Paola","non-dropping-particle":"","parse-names":false,"suffix":""}],"container-title":"Regional &amp; Federal Studies","id":"ITEM-1","issued":{"date-parts":[["2024"]]},"note":"doi: 10.1080/13597566.2024.2358498","page":"1-26","publisher":"RSA Website","title":"Dismantling of European environmental policy: how great expectations in Brussels are dashed by Italian subnational implementation","type":"article-journal"},"uris":["http://www.mendeley.com/documents/?uuid=11e94a78-f2e0-483b-8785-ba60b275330a"]}],"mendeley":{"formattedCitation":"(Coletti, 2024)","plainTextFormattedCitation":"(Coletti, 2024)","previouslyFormattedCitation":"(Coletti,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(Coletti,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the success of global policies at the local level is heavily influenced by coordination between actors, resource availability, and the commitment of implementing institutions.</w:t>
      </w:r>
    </w:p>
    <w:p w14:paraId="40028B28" w14:textId="453F2416"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Therefore, the successful implementation of global standards in nautical vocational education is primarily determined by the extent to which national policies can bridge international demands with local conditions and how industry </w:t>
      </w:r>
      <w:r w:rsidR="00314AB2">
        <w:rPr>
          <w:rFonts w:asciiTheme="minorBidi" w:hAnsiTheme="minorBidi" w:cstheme="minorBidi"/>
          <w:iCs/>
          <w:lang w:val="id-ID"/>
        </w:rPr>
        <w:t>utilises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graduates' global competencies as a competitive asset in the international market.</w:t>
      </w:r>
    </w:p>
    <w:p w14:paraId="5043C50D" w14:textId="6287B9A6" w:rsidR="003D4C74" w:rsidRDefault="003D4C74" w:rsidP="00A258DB">
      <w:pPr>
        <w:pStyle w:val="Body"/>
        <w:rPr>
          <w:rFonts w:asciiTheme="minorBidi" w:hAnsiTheme="minorBidi" w:cstheme="minorBidi"/>
          <w:iCs/>
          <w:lang w:val="id-ID"/>
        </w:rPr>
      </w:pPr>
      <w:r w:rsidRPr="00982587">
        <w:rPr>
          <w:rFonts w:asciiTheme="minorBidi" w:hAnsiTheme="minorBidi" w:cstheme="minorBidi"/>
          <w:iCs/>
          <w:lang w:val="id-ID"/>
        </w:rPr>
        <w:t>These implications suggest that the hegemony of global standards operates through consensus, not mere coercion. Referring to Gramsci's theory, local actors' acceptance of global standards and subsequent modifications create new space for agency. Thus, vocational education practices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w:t>
      </w:r>
      <w:r w:rsidR="00314AB2">
        <w:rPr>
          <w:rFonts w:asciiTheme="minorBidi" w:hAnsiTheme="minorBidi" w:cstheme="minorBidi"/>
          <w:iCs/>
          <w:lang w:val="id-ID"/>
        </w:rPr>
        <w:t>,</w:t>
      </w:r>
      <w:r w:rsidRPr="00982587">
        <w:rPr>
          <w:rFonts w:asciiTheme="minorBidi" w:hAnsiTheme="minorBidi" w:cstheme="minorBidi"/>
          <w:iCs/>
          <w:lang w:val="id-ID"/>
        </w:rPr>
        <w:t xml:space="preserve"> reflect a </w:t>
      </w:r>
      <w:r w:rsidR="00314AB2">
        <w:rPr>
          <w:rFonts w:asciiTheme="minorBidi" w:hAnsiTheme="minorBidi" w:cstheme="minorBidi"/>
          <w:iCs/>
          <w:lang w:val="id-ID"/>
        </w:rPr>
        <w:t>glocalisation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pattern that combines global practices and local wisdom. This aligns with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{"citationItems":[{"id":"ITEM-1","itemData":{"DOI":"10.1080/02671522.2019.1633560","ISSN":"0267-1522","author":[{"dropping-particle":"","family":"Tight","given":"Malcolm","non-dropping-particle":"","parse-names":false,"suffix":""}],"container-title":"Research Papers in Education","id":"ITEM-1","issue":"1","issued":{"date-parts":[["2021","1","2"]]},"note":"doi: 10.1080/02671522.2019.1633560","page":"52-74","publisher":"Routledge","title":"Globalization and internationalization as frameworks for higher education research","type":"article-journal","volume":"36"},"uris":["http://www.mendeley.com/documents/?uuid=5d16b9a0-99cb-4b49-9fe7-526232fad046"]}],"mendeley":{"formattedCitation":"(Tight, 2021)","manualFormatting":"(Tight, 2021","plainTextFormattedCitation":"(Tight, 2021)","previouslyFormattedCitation":"(Tight,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(Tight,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-030-66003-1","ISBN":"9783030660024","author":[{"dropping-particle":"","family":"Zajda","given":"Joseph","non-dropping-particle":"","parse-names":false,"suffix":""}],"id":"ITEM-1","issued":{"date-parts":[["2021"]]},"publisher":"Australian Catholic University","publisher-place":"Melbourne, Australia","title":"Third International Handbook of Globalisation , Education and Policy Research","type":"book"},"uris":["http://www.mendeley.com/documents/?uuid=a01fd8cc-460f-4ea9-a6e2-d71748726af1"]}],"mendeley":{"formattedCitation":"(Zajda, 2021)","manualFormatting":"Zajda, 2021)","plainTextFormattedCitation":"(Zajda, 2021)","previouslyFormattedCitation":"(Zajda,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Zajda,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w:t>
      </w:r>
      <w:r w:rsidR="00314AB2">
        <w:rPr>
          <w:rFonts w:asciiTheme="minorBidi" w:hAnsiTheme="minorBidi" w:cstheme="minorBidi"/>
          <w:iCs/>
          <w:lang w:val="id-ID"/>
        </w:rPr>
        <w:t>emphasises</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 xml:space="preserve">that the </w:t>
      </w:r>
      <w:r w:rsidR="00314AB2">
        <w:rPr>
          <w:rFonts w:asciiTheme="minorBidi" w:hAnsiTheme="minorBidi" w:cstheme="minorBidi"/>
          <w:iCs/>
          <w:lang w:val="id-ID"/>
        </w:rPr>
        <w:t>globalisation</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of education in developing countries is never passively accepted but is always negotiated within the local context.</w:t>
      </w:r>
    </w:p>
    <w:p w14:paraId="4F7C075F" w14:textId="42401E49" w:rsidR="0015621D" w:rsidRDefault="0015621D" w:rsidP="0015621D">
      <w:pPr>
        <w:pStyle w:val="ListParagraph"/>
        <w:numPr>
          <w:ilvl w:val="0"/>
          <w:numId w:val="37"/>
        </w:numPr>
        <w:spacing w:after="240"/>
        <w:ind w:left="284" w:hanging="284"/>
        <w:jc w:val="both"/>
        <w:rPr>
          <w:rFonts w:asciiTheme="minorBidi" w:hAnsiTheme="minorBidi" w:cstheme="minorBidi"/>
          <w:iCs/>
          <w:lang w:val="en-ID"/>
        </w:rPr>
      </w:pPr>
      <w:r w:rsidRPr="0015621D">
        <w:rPr>
          <w:rFonts w:asciiTheme="minorBidi" w:hAnsiTheme="minorBidi" w:cstheme="minorBidi"/>
          <w:iCs/>
          <w:lang w:val="en-ID"/>
        </w:rPr>
        <w:t>Significance to Stakeholders</w:t>
      </w:r>
    </w:p>
    <w:p w14:paraId="22A51B15" w14:textId="4F2181E5" w:rsidR="0015621D" w:rsidRPr="0015621D" w:rsidRDefault="0015621D" w:rsidP="0015621D">
      <w:pPr>
        <w:pStyle w:val="Body"/>
        <w:rPr>
          <w:rFonts w:asciiTheme="minorBidi" w:hAnsiTheme="minorBidi" w:cstheme="minorBidi"/>
          <w:iCs/>
          <w:lang w:val="id-ID"/>
        </w:rPr>
      </w:pPr>
      <w:r w:rsidRPr="0015621D">
        <w:rPr>
          <w:rFonts w:asciiTheme="minorBidi" w:hAnsiTheme="minorBidi" w:cstheme="minorBidi"/>
          <w:iCs/>
          <w:lang w:val="id-ID"/>
        </w:rPr>
        <w:t>This research holds significant implications for multiple stakeholders: a) For government bodies, the findings provide evidence-based recommendations for designing equitable, globally aligned TVET policies;</w:t>
      </w:r>
      <w:r>
        <w:rPr>
          <w:rFonts w:asciiTheme="minorBidi" w:hAnsiTheme="minorBidi" w:cstheme="minorBidi"/>
          <w:iCs/>
        </w:rPr>
        <w:t xml:space="preserve"> b) </w:t>
      </w:r>
      <w:r w:rsidRPr="0015621D">
        <w:rPr>
          <w:rFonts w:asciiTheme="minorBidi" w:hAnsiTheme="minorBidi" w:cstheme="minorBidi"/>
          <w:iCs/>
          <w:lang w:val="id-ID"/>
        </w:rPr>
        <w:t>For vocational institutions, they offer insights into managing curriculum adaptation, teacher development, and industry collaboration effectively;</w:t>
      </w:r>
      <w:r>
        <w:rPr>
          <w:rFonts w:asciiTheme="minorBidi" w:hAnsiTheme="minorBidi" w:cstheme="minorBidi"/>
          <w:iCs/>
        </w:rPr>
        <w:t xml:space="preserve"> c) </w:t>
      </w:r>
      <w:r w:rsidRPr="0015621D">
        <w:rPr>
          <w:rFonts w:asciiTheme="minorBidi" w:hAnsiTheme="minorBidi" w:cstheme="minorBidi"/>
          <w:iCs/>
          <w:lang w:val="id-ID"/>
        </w:rPr>
        <w:t>For maritime and fisheries industries, the study highlights the importance of engaging with schools to ensure workforce readiness and certification alignment;</w:t>
      </w:r>
      <w:r>
        <w:rPr>
          <w:rFonts w:asciiTheme="minorBidi" w:hAnsiTheme="minorBidi" w:cstheme="minorBidi"/>
          <w:iCs/>
        </w:rPr>
        <w:t xml:space="preserve"> d) </w:t>
      </w:r>
      <w:r w:rsidRPr="0015621D">
        <w:rPr>
          <w:rFonts w:asciiTheme="minorBidi" w:hAnsiTheme="minorBidi" w:cstheme="minorBidi"/>
          <w:iCs/>
          <w:lang w:val="id-ID"/>
        </w:rPr>
        <w:t>For international organizations (e.g., IMO), the research contributes to understanding how global standards are localized and negotiated within developing-country contexts.</w:t>
      </w:r>
      <w:r>
        <w:rPr>
          <w:rFonts w:asciiTheme="minorBidi" w:hAnsiTheme="minorBidi" w:cstheme="minorBidi"/>
          <w:iCs/>
        </w:rPr>
        <w:t xml:space="preserve"> </w:t>
      </w:r>
    </w:p>
    <w:p w14:paraId="656C2CCF" w14:textId="0BEA0CD2" w:rsidR="0015621D" w:rsidRPr="0015621D" w:rsidRDefault="0015621D" w:rsidP="0015621D">
      <w:pPr>
        <w:pStyle w:val="Body"/>
        <w:rPr>
          <w:rFonts w:asciiTheme="minorBidi" w:hAnsiTheme="minorBidi" w:cstheme="minorBidi"/>
          <w:iCs/>
        </w:rPr>
      </w:pPr>
      <w:r w:rsidRPr="0015621D">
        <w:rPr>
          <w:rFonts w:asciiTheme="minorBidi" w:hAnsiTheme="minorBidi" w:cstheme="minorBidi"/>
          <w:iCs/>
        </w:rPr>
        <w:t xml:space="preserve">Overall, these implications affirm that the hegemony of global standards operates not through coercion but through consensus and negotiated adaptation. As Gramsci’s framework suggests, local actors actively reinterpret global norms to create “glocalized” educational practices that balance international quality with local wisdom. This finding aligns with previous </w:t>
      </w:r>
      <w:r w:rsidRPr="0015621D">
        <w:rPr>
          <w:rFonts w:asciiTheme="minorBidi" w:hAnsiTheme="minorBidi" w:cstheme="minorBidi"/>
          <w:iCs/>
        </w:rPr>
        <w:lastRenderedPageBreak/>
        <w:t xml:space="preserve">studies (Tight, 2021; Zajda, 2021), confirming that the </w:t>
      </w:r>
      <w:proofErr w:type="spellStart"/>
      <w:r w:rsidR="00314AB2">
        <w:rPr>
          <w:rFonts w:asciiTheme="minorBidi" w:hAnsiTheme="minorBidi" w:cstheme="minorBidi"/>
          <w:iCs/>
        </w:rPr>
        <w:t>globalisation</w:t>
      </w:r>
      <w:proofErr w:type="spellEnd"/>
      <w:r w:rsidR="00314AB2" w:rsidRPr="0015621D">
        <w:rPr>
          <w:rFonts w:asciiTheme="minorBidi" w:hAnsiTheme="minorBidi" w:cstheme="minorBidi"/>
          <w:iCs/>
        </w:rPr>
        <w:t xml:space="preserve"> </w:t>
      </w:r>
      <w:r w:rsidRPr="0015621D">
        <w:rPr>
          <w:rFonts w:asciiTheme="minorBidi" w:hAnsiTheme="minorBidi" w:cstheme="minorBidi"/>
          <w:iCs/>
        </w:rPr>
        <w:t>of education in developing contexts is never passive but continuously reshaped through local agency.</w:t>
      </w:r>
    </w:p>
    <w:p w14:paraId="6B84A139" w14:textId="77777777" w:rsidR="00B01FCD" w:rsidRDefault="00000F8F" w:rsidP="00A258DB">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37AA5201" w14:textId="2CFA7CE7" w:rsidR="003D4C74" w:rsidRPr="00982587" w:rsidRDefault="003D4C74" w:rsidP="00A258DB">
      <w:pPr>
        <w:pStyle w:val="Body"/>
        <w:rPr>
          <w:rFonts w:asciiTheme="minorBidi" w:hAnsiTheme="minorBidi" w:cstheme="minorBidi"/>
          <w:iCs/>
          <w:lang w:val="id-ID"/>
        </w:rPr>
      </w:pPr>
      <w:r w:rsidRPr="00982587">
        <w:rPr>
          <w:rFonts w:asciiTheme="minorBidi" w:hAnsiTheme="minorBidi" w:cstheme="minorBidi"/>
          <w:iCs/>
          <w:lang w:val="id-ID"/>
        </w:rPr>
        <w:t>This study found that global standards, particularly STCW-F, dominate the curriculum, learning methods, and competency certification in the Fishing Vessel Nautical program at State Vocational School 5</w:t>
      </w:r>
      <w:r w:rsidR="00314AB2">
        <w:rPr>
          <w:rFonts w:asciiTheme="minorBidi" w:hAnsiTheme="minorBidi" w:cstheme="minorBidi"/>
          <w:iCs/>
          <w:lang w:val="id-ID"/>
        </w:rPr>
        <w:t>,</w:t>
      </w:r>
      <w:r w:rsidRPr="00982587">
        <w:rPr>
          <w:rFonts w:asciiTheme="minorBidi" w:hAnsiTheme="minorBidi" w:cstheme="minorBidi"/>
          <w:iCs/>
          <w:lang w:val="id-ID"/>
        </w:rPr>
        <w:t xml:space="preserve"> Balikpapan. This demonstrates the presence of global hegemony influencing the orientation of vocational education. However, the implementation of these standards has not been entirely smooth. Teachers and students have adapted, and even resisted, to align international standards with resource limitations and local fisheries needs. This process confirms that global standards bring opportunities for improving quality and international competitiveness, as well as challenges in maintaining relevance to the local context. Thus, the practice of maritime vocational education at this school reflects a negotiation between global demands and local conditions, while also providing important input for developing more contextual and sustainable vocational education policies. Based on these findings, several steps can be taken: schools need to strengthen practical facilities and collaboration with industry; teachers are encouraged to continue developing hybrid learning that integrates global standards with local knowledge; students should </w:t>
      </w:r>
      <w:r w:rsidR="00314AB2">
        <w:rPr>
          <w:rFonts w:asciiTheme="minorBidi" w:hAnsiTheme="minorBidi" w:cstheme="minorBidi"/>
          <w:iCs/>
          <w:lang w:val="id-ID"/>
        </w:rPr>
        <w:t>utilise</w:t>
      </w:r>
      <w:r w:rsidR="00314AB2" w:rsidRPr="00982587">
        <w:rPr>
          <w:rFonts w:asciiTheme="minorBidi" w:hAnsiTheme="minorBidi" w:cstheme="minorBidi"/>
          <w:iCs/>
          <w:lang w:val="id-ID"/>
        </w:rPr>
        <w:t xml:space="preserve"> </w:t>
      </w:r>
      <w:r w:rsidRPr="00982587">
        <w:rPr>
          <w:rFonts w:asciiTheme="minorBidi" w:hAnsiTheme="minorBidi" w:cstheme="minorBidi"/>
          <w:iCs/>
          <w:lang w:val="id-ID"/>
        </w:rPr>
        <w:t>internships as a bridge between international theory and local practice. Meanwhile, the government and policymakers must provide regulatory and funding support to make maritime vocational education more contextual and sustainable.</w:t>
      </w:r>
    </w:p>
    <w:p w14:paraId="709AC295" w14:textId="77777777" w:rsidR="00242968" w:rsidRPr="00242968" w:rsidRDefault="00242968" w:rsidP="00A258DB">
      <w:pPr>
        <w:pStyle w:val="AcknHead"/>
        <w:jc w:val="both"/>
        <w:rPr>
          <w:rFonts w:ascii="Arial" w:hAnsi="Arial" w:cs="Arial"/>
        </w:rPr>
      </w:pPr>
      <w:r w:rsidRPr="00242968">
        <w:rPr>
          <w:rFonts w:ascii="Arial" w:hAnsi="Arial" w:cs="Arial"/>
        </w:rPr>
        <w:t>RECOMMENDATIONS</w:t>
      </w:r>
    </w:p>
    <w:p w14:paraId="53FD8495" w14:textId="20966EA1" w:rsidR="004A5F0C" w:rsidRDefault="00987BD1" w:rsidP="00A258DB">
      <w:pPr>
        <w:pStyle w:val="Body"/>
        <w:rPr>
          <w:rFonts w:ascii="Arial" w:hAnsi="Arial" w:cs="Arial"/>
        </w:rPr>
      </w:pPr>
      <w:r w:rsidRPr="00987BD1">
        <w:rPr>
          <w:rFonts w:ascii="Arial" w:hAnsi="Arial" w:cs="Arial"/>
        </w:rPr>
        <w:t xml:space="preserve">To increase the relevance and sustainability of maritime vocational education, State Vocational School 5 Balikpapan needs to strengthen its practical facilities and forge broader collaborations with industry. Teachers are encouraged to develop hybrid learning, integrating global standards with local knowledge. At the same time, students are expected to </w:t>
      </w:r>
      <w:proofErr w:type="spellStart"/>
      <w:r w:rsidR="00314AB2">
        <w:rPr>
          <w:rFonts w:ascii="Arial" w:hAnsi="Arial" w:cs="Arial"/>
        </w:rPr>
        <w:t>utilise</w:t>
      </w:r>
      <w:proofErr w:type="spellEnd"/>
      <w:r w:rsidR="00314AB2" w:rsidRPr="00987BD1">
        <w:rPr>
          <w:rFonts w:ascii="Arial" w:hAnsi="Arial" w:cs="Arial"/>
        </w:rPr>
        <w:t xml:space="preserve"> </w:t>
      </w:r>
      <w:r w:rsidRPr="00987BD1">
        <w:rPr>
          <w:rFonts w:ascii="Arial" w:hAnsi="Arial" w:cs="Arial"/>
        </w:rPr>
        <w:t>internship programs as a bridge between international theory and local fisheries practices. Furthermore, the government needs to provide support through more flexible regulations and adequate funding to enable maritime vocational education to develop contextually and be globally competitive.</w:t>
      </w:r>
    </w:p>
    <w:p w14:paraId="36C9CCD7" w14:textId="5D092DCD" w:rsidR="005853F2" w:rsidRDefault="005853F2" w:rsidP="0014104E">
      <w:pPr>
        <w:pStyle w:val="ReferHead"/>
        <w:spacing w:before="240"/>
        <w:jc w:val="both"/>
        <w:rPr>
          <w:rFonts w:ascii="Arial" w:hAnsi="Arial" w:cs="Arial"/>
        </w:rPr>
      </w:pPr>
    </w:p>
    <w:p w14:paraId="442EFA13" w14:textId="593C7442" w:rsidR="00C337C6" w:rsidRDefault="00C337C6" w:rsidP="0014104E">
      <w:pPr>
        <w:pStyle w:val="ReferHead"/>
        <w:spacing w:before="240"/>
        <w:jc w:val="both"/>
        <w:rPr>
          <w:rFonts w:ascii="Arial" w:hAnsi="Arial" w:cs="Arial"/>
        </w:rPr>
      </w:pPr>
    </w:p>
    <w:p w14:paraId="7F44DB25" w14:textId="67262D5F" w:rsidR="00C337C6" w:rsidRDefault="00C95345" w:rsidP="0014104E">
      <w:pPr>
        <w:pStyle w:val="ReferHead"/>
        <w:spacing w:before="240"/>
        <w:jc w:val="both"/>
        <w:rPr>
          <w:rFonts w:ascii="Arial" w:hAnsi="Arial" w:cs="Arial"/>
        </w:rPr>
      </w:pPr>
      <w:r w:rsidRPr="00C95345">
        <w:rPr>
          <w:noProof/>
        </w:rPr>
        <w:drawing>
          <wp:inline distT="0" distB="0" distL="0" distR="0" wp14:anchorId="3D2E2B7A" wp14:editId="05A77A0A">
            <wp:extent cx="5212080" cy="37334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3733448"/>
                    </a:xfrm>
                    <a:prstGeom prst="rect">
                      <a:avLst/>
                    </a:prstGeom>
                    <a:noFill/>
                    <a:ln>
                      <a:noFill/>
                    </a:ln>
                  </pic:spPr>
                </pic:pic>
              </a:graphicData>
            </a:graphic>
          </wp:inline>
        </w:drawing>
      </w:r>
    </w:p>
    <w:p w14:paraId="42B0C249" w14:textId="1988F91F" w:rsidR="00B01FCD" w:rsidRDefault="00B01FCD" w:rsidP="0014104E">
      <w:pPr>
        <w:pStyle w:val="ReferHead"/>
        <w:spacing w:before="240"/>
        <w:jc w:val="both"/>
        <w:rPr>
          <w:rFonts w:ascii="Arial" w:hAnsi="Arial" w:cs="Arial"/>
        </w:rPr>
      </w:pPr>
      <w:r w:rsidRPr="00FB3A86">
        <w:rPr>
          <w:rFonts w:ascii="Arial" w:hAnsi="Arial" w:cs="Arial"/>
        </w:rPr>
        <w:t>References</w:t>
      </w:r>
    </w:p>
    <w:p w14:paraId="78562F12" w14:textId="1A39226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fldChar w:fldCharType="begin" w:fldLock="1"/>
      </w:r>
      <w:r>
        <w:instrText xml:space="preserve">ADDIN Mendeley Bibliography CSL_BIBLIOGRAPHY </w:instrText>
      </w:r>
      <w:r>
        <w:fldChar w:fldCharType="separate"/>
      </w:r>
      <w:r w:rsidRPr="00987BD1">
        <w:rPr>
          <w:rFonts w:cs="Helvetica"/>
          <w:noProof/>
          <w:szCs w:val="24"/>
        </w:rPr>
        <w:t xml:space="preserve">Abbas, A., Ekowati, D., Suhariadi, F., &amp; Anwar, A. (2024). Human Capital Creation: A Collective Psychological, Social, Organizational and Religious Perspective. </w:t>
      </w:r>
      <w:r w:rsidRPr="00987BD1">
        <w:rPr>
          <w:rFonts w:cs="Helvetica"/>
          <w:i/>
          <w:iCs/>
          <w:noProof/>
          <w:szCs w:val="24"/>
        </w:rPr>
        <w:t>Journal of Religion and Health</w:t>
      </w:r>
      <w:r w:rsidRPr="00987BD1">
        <w:rPr>
          <w:rFonts w:cs="Helvetica"/>
          <w:noProof/>
          <w:szCs w:val="24"/>
        </w:rPr>
        <w:t xml:space="preserve">, </w:t>
      </w:r>
      <w:r w:rsidRPr="00987BD1">
        <w:rPr>
          <w:rFonts w:cs="Helvetica"/>
          <w:i/>
          <w:iCs/>
          <w:noProof/>
          <w:szCs w:val="24"/>
        </w:rPr>
        <w:t>63</w:t>
      </w:r>
      <w:r w:rsidRPr="00987BD1">
        <w:rPr>
          <w:rFonts w:cs="Helvetica"/>
          <w:noProof/>
          <w:szCs w:val="24"/>
        </w:rPr>
        <w:t>(3), 2168–2200. https://doi.org/10.1007/s10943-022-01665-8</w:t>
      </w:r>
    </w:p>
    <w:p w14:paraId="1D58AD0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Afriansyah, A. (2021). Indonesia: Domestic Challenges for Indonesia in Implementing the 1995 stcw-F Convention. </w:t>
      </w:r>
      <w:r w:rsidRPr="00987BD1">
        <w:rPr>
          <w:rFonts w:cs="Helvetica"/>
          <w:i/>
          <w:iCs/>
          <w:noProof/>
          <w:szCs w:val="24"/>
        </w:rPr>
        <w:t>Asia-Pacific Journal of Ocean Law and Policy</w:t>
      </w:r>
      <w:r w:rsidRPr="00987BD1">
        <w:rPr>
          <w:rFonts w:cs="Helvetica"/>
          <w:noProof/>
          <w:szCs w:val="24"/>
        </w:rPr>
        <w:t xml:space="preserve">, </w:t>
      </w:r>
      <w:r w:rsidRPr="00987BD1">
        <w:rPr>
          <w:rFonts w:cs="Helvetica"/>
          <w:i/>
          <w:iCs/>
          <w:noProof/>
          <w:szCs w:val="24"/>
        </w:rPr>
        <w:t>6</w:t>
      </w:r>
      <w:r w:rsidRPr="00987BD1">
        <w:rPr>
          <w:rFonts w:cs="Helvetica"/>
          <w:noProof/>
          <w:szCs w:val="24"/>
        </w:rPr>
        <w:t>(2), 309–312. https://doi.org/https://doi.org/10.1163/24519391-06020011</w:t>
      </w:r>
    </w:p>
    <w:p w14:paraId="6DF2467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Akpinar, H., &amp; Ozer-Caylan, D. (2021). Managing complexity in maritime business: understanding the smart changes of globalization. </w:t>
      </w:r>
      <w:r w:rsidRPr="00987BD1">
        <w:rPr>
          <w:rFonts w:cs="Helvetica"/>
          <w:i/>
          <w:iCs/>
          <w:noProof/>
          <w:szCs w:val="24"/>
        </w:rPr>
        <w:t>Competitiveness Review</w:t>
      </w:r>
      <w:r w:rsidRPr="00987BD1">
        <w:rPr>
          <w:rFonts w:cs="Helvetica"/>
          <w:noProof/>
          <w:szCs w:val="24"/>
        </w:rPr>
        <w:t xml:space="preserve">, </w:t>
      </w:r>
      <w:r w:rsidRPr="00987BD1">
        <w:rPr>
          <w:rFonts w:cs="Helvetica"/>
          <w:i/>
          <w:iCs/>
          <w:noProof/>
          <w:szCs w:val="24"/>
        </w:rPr>
        <w:t>32</w:t>
      </w:r>
      <w:r w:rsidRPr="00987BD1">
        <w:rPr>
          <w:rFonts w:cs="Helvetica"/>
          <w:noProof/>
          <w:szCs w:val="24"/>
        </w:rPr>
        <w:t>(4), 582–599. https://doi.org/10.1108/CR-10-2020-0128</w:t>
      </w:r>
    </w:p>
    <w:p w14:paraId="0285750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Ali, M. (2021). Vocational students’ perception and readiness in facing globalization, industry revolution 4.0 and society 5.0. </w:t>
      </w:r>
      <w:r w:rsidRPr="00987BD1">
        <w:rPr>
          <w:rFonts w:cs="Helvetica"/>
          <w:i/>
          <w:iCs/>
          <w:noProof/>
          <w:szCs w:val="24"/>
        </w:rPr>
        <w:t>Journal of Physics: Conference Series</w:t>
      </w:r>
      <w:r w:rsidRPr="00987BD1">
        <w:rPr>
          <w:rFonts w:cs="Helvetica"/>
          <w:noProof/>
          <w:szCs w:val="24"/>
        </w:rPr>
        <w:t xml:space="preserve">, </w:t>
      </w:r>
      <w:r w:rsidRPr="00987BD1">
        <w:rPr>
          <w:rFonts w:cs="Helvetica"/>
          <w:i/>
          <w:iCs/>
          <w:noProof/>
          <w:szCs w:val="24"/>
        </w:rPr>
        <w:t>1833</w:t>
      </w:r>
      <w:r w:rsidRPr="00987BD1">
        <w:rPr>
          <w:rFonts w:cs="Helvetica"/>
          <w:noProof/>
          <w:szCs w:val="24"/>
        </w:rPr>
        <w:t>(1), 12050. https://doi.org/10.1088/1742-6596/1833/1/012050</w:t>
      </w:r>
    </w:p>
    <w:p w14:paraId="54E68F4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Asamoah Agyekum, H. (2024). Tackling Maritime Security in the Gulf of Guinea: Interactions Between Global Shipping and Ghanaian State Agents. </w:t>
      </w:r>
      <w:r w:rsidRPr="00987BD1">
        <w:rPr>
          <w:rFonts w:cs="Helvetica"/>
          <w:i/>
          <w:iCs/>
          <w:noProof/>
          <w:szCs w:val="24"/>
        </w:rPr>
        <w:t>African Security</w:t>
      </w:r>
      <w:r w:rsidRPr="00987BD1">
        <w:rPr>
          <w:rFonts w:cs="Helvetica"/>
          <w:noProof/>
          <w:szCs w:val="24"/>
        </w:rPr>
        <w:t xml:space="preserve">, </w:t>
      </w:r>
      <w:r w:rsidRPr="00987BD1">
        <w:rPr>
          <w:rFonts w:cs="Helvetica"/>
          <w:i/>
          <w:iCs/>
          <w:noProof/>
          <w:szCs w:val="24"/>
        </w:rPr>
        <w:t>17</w:t>
      </w:r>
      <w:r w:rsidRPr="00987BD1">
        <w:rPr>
          <w:rFonts w:cs="Helvetica"/>
          <w:noProof/>
          <w:szCs w:val="24"/>
        </w:rPr>
        <w:t>(1–2), 115–140. https://doi.org/10.1080/19392206.2024.2379186</w:t>
      </w:r>
    </w:p>
    <w:p w14:paraId="2C13E14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Bhatta, K. (2021). Ensuring Quality Assurance in Technical and Vocational Education and Training. </w:t>
      </w:r>
      <w:r w:rsidRPr="00987BD1">
        <w:rPr>
          <w:rFonts w:cs="Helvetica"/>
          <w:i/>
          <w:iCs/>
          <w:noProof/>
          <w:szCs w:val="24"/>
        </w:rPr>
        <w:t>Journal of Technical and Vocational Education and Training</w:t>
      </w:r>
      <w:r w:rsidRPr="00987BD1">
        <w:rPr>
          <w:rFonts w:cs="Helvetica"/>
          <w:noProof/>
          <w:szCs w:val="24"/>
        </w:rPr>
        <w:t xml:space="preserve">, </w:t>
      </w:r>
      <w:r w:rsidRPr="00987BD1">
        <w:rPr>
          <w:rFonts w:cs="Helvetica"/>
          <w:i/>
          <w:iCs/>
          <w:noProof/>
          <w:szCs w:val="24"/>
        </w:rPr>
        <w:t>1</w:t>
      </w:r>
      <w:r w:rsidRPr="00987BD1">
        <w:rPr>
          <w:rFonts w:cs="Helvetica"/>
          <w:noProof/>
          <w:szCs w:val="24"/>
        </w:rPr>
        <w:t>(15 SE-Articles), 71–82. https://doi.org/10.3126/tvet.v1i15.45170</w:t>
      </w:r>
    </w:p>
    <w:p w14:paraId="11B53D27"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lastRenderedPageBreak/>
        <w:t xml:space="preserve">Bianchi, C., Nasi, G., &amp; Rivenbark, W. C. (2021). Implementing collaborative governance: models, experiences, and challenges. </w:t>
      </w:r>
      <w:r w:rsidRPr="00987BD1">
        <w:rPr>
          <w:rFonts w:cs="Helvetica"/>
          <w:i/>
          <w:iCs/>
          <w:noProof/>
          <w:szCs w:val="24"/>
        </w:rPr>
        <w:t>Public Management Review</w:t>
      </w:r>
      <w:r w:rsidRPr="00987BD1">
        <w:rPr>
          <w:rFonts w:cs="Helvetica"/>
          <w:noProof/>
          <w:szCs w:val="24"/>
        </w:rPr>
        <w:t xml:space="preserve">, </w:t>
      </w:r>
      <w:r w:rsidRPr="00987BD1">
        <w:rPr>
          <w:rFonts w:cs="Helvetica"/>
          <w:i/>
          <w:iCs/>
          <w:noProof/>
          <w:szCs w:val="24"/>
        </w:rPr>
        <w:t>23</w:t>
      </w:r>
      <w:r w:rsidRPr="00987BD1">
        <w:rPr>
          <w:rFonts w:cs="Helvetica"/>
          <w:noProof/>
          <w:szCs w:val="24"/>
        </w:rPr>
        <w:t>(11), 1581–1589. https://doi.org/10.1080/14719037.2021.1878777</w:t>
      </w:r>
    </w:p>
    <w:p w14:paraId="70F7C008" w14:textId="4DF9226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Bogusławski, K., Gil, M., Nasur, J., &amp; Wróbel, K. (2022). Implications of autonomous shipping for maritime education and training: the</w:t>
      </w:r>
      <w:r w:rsidR="00D3187E">
        <w:rPr>
          <w:rFonts w:cs="Helvetica"/>
          <w:noProof/>
          <w:szCs w:val="24"/>
        </w:rPr>
        <w:t xml:space="preserve"> </w:t>
      </w:r>
      <w:r w:rsidRPr="00987BD1">
        <w:rPr>
          <w:rFonts w:cs="Helvetica"/>
          <w:noProof/>
          <w:szCs w:val="24"/>
        </w:rPr>
        <w:t xml:space="preserve">cadet’s perspective. In </w:t>
      </w:r>
      <w:r w:rsidRPr="00987BD1">
        <w:rPr>
          <w:rFonts w:cs="Helvetica"/>
          <w:i/>
          <w:iCs/>
          <w:noProof/>
          <w:szCs w:val="24"/>
        </w:rPr>
        <w:t>Maritime Economics &amp; Logistics</w:t>
      </w:r>
      <w:r w:rsidRPr="00987BD1">
        <w:rPr>
          <w:rFonts w:cs="Helvetica"/>
          <w:noProof/>
          <w:szCs w:val="24"/>
        </w:rPr>
        <w:t xml:space="preserve"> (Vol. 24, Issue 2, pp. 327–343). https://doi.org/10.1057/s41278-022-00217-x</w:t>
      </w:r>
    </w:p>
    <w:p w14:paraId="6B8EDBF4" w14:textId="28B658D8"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Bolmsten, J., Manuel, M. E., Kaizer, A., Kasepõld, K., Sköld, D., &amp; Ziemska, M. (2021). Educating the Global Maritime Professional</w:t>
      </w:r>
      <w:r w:rsidR="00D3187E">
        <w:rPr>
          <w:rFonts w:cs="Helvetica"/>
          <w:noProof/>
          <w:szCs w:val="24"/>
        </w:rPr>
        <w:t xml:space="preserve"> </w:t>
      </w:r>
      <w:r w:rsidRPr="00987BD1">
        <w:rPr>
          <w:rFonts w:cs="Helvetica"/>
          <w:noProof/>
          <w:szCs w:val="24"/>
        </w:rPr>
        <w:t xml:space="preserve">a case of collaborative e-learning. </w:t>
      </w:r>
      <w:r w:rsidRPr="00987BD1">
        <w:rPr>
          <w:rFonts w:cs="Helvetica"/>
          <w:i/>
          <w:iCs/>
          <w:noProof/>
          <w:szCs w:val="24"/>
        </w:rPr>
        <w:t>WMU Journal of Maritime Affairs</w:t>
      </w:r>
      <w:r w:rsidRPr="00987BD1">
        <w:rPr>
          <w:rFonts w:cs="Helvetica"/>
          <w:noProof/>
          <w:szCs w:val="24"/>
        </w:rPr>
        <w:t xml:space="preserve">, </w:t>
      </w:r>
      <w:r w:rsidRPr="00987BD1">
        <w:rPr>
          <w:rFonts w:cs="Helvetica"/>
          <w:i/>
          <w:iCs/>
          <w:noProof/>
          <w:szCs w:val="24"/>
        </w:rPr>
        <w:t>20</w:t>
      </w:r>
      <w:r w:rsidRPr="00987BD1">
        <w:rPr>
          <w:rFonts w:cs="Helvetica"/>
          <w:noProof/>
          <w:szCs w:val="24"/>
        </w:rPr>
        <w:t>(3), 309–333. https://doi.org/10.1007/s13437-020-00224-w</w:t>
      </w:r>
    </w:p>
    <w:p w14:paraId="629912F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Buttigieg, J. (2023). The Prison Notebooks: Antonio Gramsci’s Work in Progress. In </w:t>
      </w:r>
      <w:r w:rsidRPr="00987BD1">
        <w:rPr>
          <w:rFonts w:cs="Helvetica"/>
          <w:i/>
          <w:iCs/>
          <w:noProof/>
          <w:szCs w:val="24"/>
        </w:rPr>
        <w:t>Rethinking Marxism</w:t>
      </w:r>
      <w:r w:rsidRPr="00987BD1">
        <w:rPr>
          <w:rFonts w:cs="Helvetica"/>
          <w:noProof/>
          <w:szCs w:val="24"/>
        </w:rPr>
        <w:t xml:space="preserve"> (pp. 37–42). Routledge.</w:t>
      </w:r>
    </w:p>
    <w:p w14:paraId="2579097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Cader, I. T., &amp; Sundrijo, D. A. (2023). Critical Analysis of Neo-Gramscian Hegemony. </w:t>
      </w:r>
      <w:r w:rsidRPr="00987BD1">
        <w:rPr>
          <w:rFonts w:cs="Helvetica"/>
          <w:i/>
          <w:iCs/>
          <w:noProof/>
          <w:szCs w:val="24"/>
        </w:rPr>
        <w:t>Eduvest - Journal of Universal Studies</w:t>
      </w:r>
      <w:r w:rsidRPr="00987BD1">
        <w:rPr>
          <w:rFonts w:cs="Helvetica"/>
          <w:noProof/>
          <w:szCs w:val="24"/>
        </w:rPr>
        <w:t xml:space="preserve">, </w:t>
      </w:r>
      <w:r w:rsidRPr="00987BD1">
        <w:rPr>
          <w:rFonts w:cs="Helvetica"/>
          <w:i/>
          <w:iCs/>
          <w:noProof/>
          <w:szCs w:val="24"/>
        </w:rPr>
        <w:t>3</w:t>
      </w:r>
      <w:r w:rsidRPr="00987BD1">
        <w:rPr>
          <w:rFonts w:cs="Helvetica"/>
          <w:noProof/>
          <w:szCs w:val="24"/>
        </w:rPr>
        <w:t>(8 SE-Articles), 1435–1448. https://doi.org/10.59188/eduvest.v3i8.894</w:t>
      </w:r>
    </w:p>
    <w:p w14:paraId="2F6CC02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Coletti, P. (2024). Dismantling of European environmental policy: how great expectations in Brussels are dashed by Italian subnational implementation. </w:t>
      </w:r>
      <w:r w:rsidRPr="00987BD1">
        <w:rPr>
          <w:rFonts w:cs="Helvetica"/>
          <w:i/>
          <w:iCs/>
          <w:noProof/>
          <w:szCs w:val="24"/>
        </w:rPr>
        <w:t>Regional &amp; Federal Studies</w:t>
      </w:r>
      <w:r w:rsidRPr="00987BD1">
        <w:rPr>
          <w:rFonts w:cs="Helvetica"/>
          <w:noProof/>
          <w:szCs w:val="24"/>
        </w:rPr>
        <w:t>, 1–26. https://doi.org/10.1080/13597566.2024.2358498</w:t>
      </w:r>
    </w:p>
    <w:p w14:paraId="7A1421D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Cong-Lem, N. (2021). Teacher agency: A systematic review of international literature. </w:t>
      </w:r>
      <w:r w:rsidRPr="00987BD1">
        <w:rPr>
          <w:rFonts w:cs="Helvetica"/>
          <w:i/>
          <w:iCs/>
          <w:noProof/>
          <w:szCs w:val="24"/>
        </w:rPr>
        <w:t>Issues in Educational Research</w:t>
      </w:r>
      <w:r w:rsidRPr="00987BD1">
        <w:rPr>
          <w:rFonts w:cs="Helvetica"/>
          <w:noProof/>
          <w:szCs w:val="24"/>
        </w:rPr>
        <w:t xml:space="preserve">, </w:t>
      </w:r>
      <w:r w:rsidRPr="00987BD1">
        <w:rPr>
          <w:rFonts w:cs="Helvetica"/>
          <w:i/>
          <w:iCs/>
          <w:noProof/>
          <w:szCs w:val="24"/>
        </w:rPr>
        <w:t>31</w:t>
      </w:r>
      <w:r w:rsidRPr="00987BD1">
        <w:rPr>
          <w:rFonts w:cs="Helvetica"/>
          <w:noProof/>
          <w:szCs w:val="24"/>
        </w:rPr>
        <w:t>(3), 718–738.</w:t>
      </w:r>
    </w:p>
    <w:p w14:paraId="7162D2C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Creswell, J. W. . C. N. P. (2016). </w:t>
      </w:r>
      <w:r w:rsidRPr="00987BD1">
        <w:rPr>
          <w:rFonts w:cs="Helvetica"/>
          <w:i/>
          <w:iCs/>
          <w:noProof/>
          <w:szCs w:val="24"/>
        </w:rPr>
        <w:t>Qualitative Inquiry and Research Design: Choosing Among Five Approaches</w:t>
      </w:r>
      <w:r w:rsidRPr="00987BD1">
        <w:rPr>
          <w:rFonts w:cs="Helvetica"/>
          <w:noProof/>
          <w:szCs w:val="24"/>
        </w:rPr>
        <w:t>. Sage Publications.</w:t>
      </w:r>
    </w:p>
    <w:p w14:paraId="773CF36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Crowley, C. B. (2021). </w:t>
      </w:r>
      <w:r w:rsidRPr="00987BD1">
        <w:rPr>
          <w:rFonts w:cs="Helvetica"/>
          <w:i/>
          <w:iCs/>
          <w:noProof/>
          <w:szCs w:val="24"/>
        </w:rPr>
        <w:t>Curriculum Ideologies</w:t>
      </w:r>
      <w:r w:rsidRPr="00987BD1">
        <w:rPr>
          <w:rFonts w:cs="Helvetica"/>
          <w:noProof/>
          <w:szCs w:val="24"/>
        </w:rPr>
        <w:t>. Oxford University Press. https://doi.org/10.1093/acrefore/9780190264093.013.1033</w:t>
      </w:r>
    </w:p>
    <w:p w14:paraId="7853CCC0" w14:textId="416BB7FF"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Davis,</w:t>
      </w:r>
      <w:r w:rsidR="00D3187E">
        <w:rPr>
          <w:rFonts w:cs="Helvetica"/>
          <w:noProof/>
          <w:szCs w:val="24"/>
        </w:rPr>
        <w:t xml:space="preserve"> </w:t>
      </w:r>
      <w:r w:rsidRPr="00987BD1">
        <w:rPr>
          <w:rFonts w:cs="Helvetica"/>
          <w:noProof/>
          <w:szCs w:val="24"/>
        </w:rPr>
        <w:t>Gerald F, &amp; DeWitt,</w:t>
      </w:r>
      <w:r w:rsidR="00D3187E">
        <w:rPr>
          <w:rFonts w:cs="Helvetica"/>
          <w:noProof/>
          <w:szCs w:val="24"/>
        </w:rPr>
        <w:t xml:space="preserve"> </w:t>
      </w:r>
      <w:r w:rsidRPr="00987BD1">
        <w:rPr>
          <w:rFonts w:cs="Helvetica"/>
          <w:noProof/>
          <w:szCs w:val="24"/>
        </w:rPr>
        <w:t xml:space="preserve">Theodore. (2021). Organization Theory and the Resource-Based View of the Firm: The Great Divide. </w:t>
      </w:r>
      <w:r w:rsidRPr="00987BD1">
        <w:rPr>
          <w:rFonts w:cs="Helvetica"/>
          <w:i/>
          <w:iCs/>
          <w:noProof/>
          <w:szCs w:val="24"/>
        </w:rPr>
        <w:t>Journal of Management</w:t>
      </w:r>
      <w:r w:rsidRPr="00987BD1">
        <w:rPr>
          <w:rFonts w:cs="Helvetica"/>
          <w:noProof/>
          <w:szCs w:val="24"/>
        </w:rPr>
        <w:t xml:space="preserve">, </w:t>
      </w:r>
      <w:r w:rsidRPr="00987BD1">
        <w:rPr>
          <w:rFonts w:cs="Helvetica"/>
          <w:i/>
          <w:iCs/>
          <w:noProof/>
          <w:szCs w:val="24"/>
        </w:rPr>
        <w:t>47</w:t>
      </w:r>
      <w:r w:rsidRPr="00987BD1">
        <w:rPr>
          <w:rFonts w:cs="Helvetica"/>
          <w:noProof/>
          <w:szCs w:val="24"/>
        </w:rPr>
        <w:t>(7), 1684–1697. https://doi.org/10.1177/0149206320982650</w:t>
      </w:r>
    </w:p>
    <w:p w14:paraId="41E2E37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Derrick, M. (2021). CrisisWriting on the California State University. </w:t>
      </w:r>
      <w:r w:rsidRPr="00987BD1">
        <w:rPr>
          <w:rFonts w:cs="Helvetica"/>
          <w:i/>
          <w:iCs/>
          <w:noProof/>
          <w:szCs w:val="24"/>
        </w:rPr>
        <w:t>California Geographer</w:t>
      </w:r>
      <w:r w:rsidRPr="00987BD1">
        <w:rPr>
          <w:rFonts w:cs="Helvetica"/>
          <w:noProof/>
          <w:szCs w:val="24"/>
        </w:rPr>
        <w:t xml:space="preserve">, </w:t>
      </w:r>
      <w:r w:rsidRPr="00987BD1">
        <w:rPr>
          <w:rFonts w:cs="Helvetica"/>
          <w:i/>
          <w:iCs/>
          <w:noProof/>
          <w:szCs w:val="24"/>
        </w:rPr>
        <w:t>60</w:t>
      </w:r>
      <w:r w:rsidRPr="00987BD1">
        <w:rPr>
          <w:rFonts w:cs="Helvetica"/>
          <w:noProof/>
          <w:szCs w:val="24"/>
        </w:rPr>
        <w:t>.</w:t>
      </w:r>
    </w:p>
    <w:p w14:paraId="383C9CCD"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Essel, D., Jin, Z., Bowers, J. O., &amp; Abdul-Salam, R. (2023). Green maritime practices in an emerging economy towards the achievement of sustainable development: a Ghanaian context. </w:t>
      </w:r>
      <w:r w:rsidRPr="00987BD1">
        <w:rPr>
          <w:rFonts w:cs="Helvetica"/>
          <w:i/>
          <w:iCs/>
          <w:noProof/>
          <w:szCs w:val="24"/>
        </w:rPr>
        <w:t>Benchmarking: An International Journal</w:t>
      </w:r>
      <w:r w:rsidRPr="00987BD1">
        <w:rPr>
          <w:rFonts w:cs="Helvetica"/>
          <w:noProof/>
          <w:szCs w:val="24"/>
        </w:rPr>
        <w:t xml:space="preserve">, </w:t>
      </w:r>
      <w:r w:rsidRPr="00987BD1">
        <w:rPr>
          <w:rFonts w:cs="Helvetica"/>
          <w:i/>
          <w:iCs/>
          <w:noProof/>
          <w:szCs w:val="24"/>
        </w:rPr>
        <w:t>30</w:t>
      </w:r>
      <w:r w:rsidRPr="00987BD1">
        <w:rPr>
          <w:rFonts w:cs="Helvetica"/>
          <w:noProof/>
          <w:szCs w:val="24"/>
        </w:rPr>
        <w:t>(9), 3637–3673. https://doi.org/10.1108/BIJ-10-2021-0629</w:t>
      </w:r>
    </w:p>
    <w:p w14:paraId="08583F2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Farmasari, S. (2021). Understanding teacher agency in practice: An ecological approach. </w:t>
      </w:r>
      <w:r w:rsidRPr="00987BD1">
        <w:rPr>
          <w:rFonts w:cs="Helvetica"/>
          <w:i/>
          <w:iCs/>
          <w:noProof/>
          <w:szCs w:val="24"/>
        </w:rPr>
        <w:t>2nd Annual Conference on Education and Social Science (ACCESS 2020)</w:t>
      </w:r>
      <w:r w:rsidRPr="00987BD1">
        <w:rPr>
          <w:rFonts w:cs="Helvetica"/>
          <w:noProof/>
          <w:szCs w:val="24"/>
        </w:rPr>
        <w:t>, 224–229. https://doi.org/10.2991/assehr.k.210525.080</w:t>
      </w:r>
    </w:p>
    <w:p w14:paraId="3C7AF350"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Fekry, A. R., Kaddour, O., &amp; Selmy, A. (2024). The Role of Standards of Training, Certification and Watch-Keeping for Fishing Vessels (STCW-F 1995) to Enhance the Personal Safety and Fishing Activities, Egypt. </w:t>
      </w:r>
      <w:r w:rsidRPr="00987BD1">
        <w:rPr>
          <w:rFonts w:cs="Helvetica"/>
          <w:i/>
          <w:iCs/>
          <w:noProof/>
          <w:szCs w:val="24"/>
        </w:rPr>
        <w:t>Egyptian Journal of Aquatic Biology &amp; Fisheries</w:t>
      </w:r>
      <w:r w:rsidRPr="00987BD1">
        <w:rPr>
          <w:rFonts w:cs="Helvetica"/>
          <w:noProof/>
          <w:szCs w:val="24"/>
        </w:rPr>
        <w:t xml:space="preserve">, </w:t>
      </w:r>
      <w:r w:rsidRPr="00987BD1">
        <w:rPr>
          <w:rFonts w:cs="Helvetica"/>
          <w:i/>
          <w:iCs/>
          <w:noProof/>
          <w:szCs w:val="24"/>
        </w:rPr>
        <w:t>28</w:t>
      </w:r>
      <w:r w:rsidRPr="00987BD1">
        <w:rPr>
          <w:rFonts w:cs="Helvetica"/>
          <w:noProof/>
          <w:szCs w:val="24"/>
        </w:rPr>
        <w:t>(4). https://doi.org/10.21608/ejabf.2024.369448</w:t>
      </w:r>
    </w:p>
    <w:p w14:paraId="53D5167C" w14:textId="7D43BE4B"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Flynn,</w:t>
      </w:r>
      <w:r w:rsidR="00D3187E">
        <w:rPr>
          <w:rFonts w:cs="Helvetica"/>
          <w:noProof/>
          <w:szCs w:val="24"/>
        </w:rPr>
        <w:t xml:space="preserve"> </w:t>
      </w:r>
      <w:r w:rsidRPr="00987BD1">
        <w:rPr>
          <w:rFonts w:cs="Helvetica"/>
          <w:noProof/>
          <w:szCs w:val="24"/>
        </w:rPr>
        <w:t xml:space="preserve">Susan. (2019). Revisiting hegemony: A Gramscian analysis for contemporary social work. </w:t>
      </w:r>
      <w:r w:rsidRPr="00987BD1">
        <w:rPr>
          <w:rFonts w:cs="Helvetica"/>
          <w:i/>
          <w:iCs/>
          <w:noProof/>
          <w:szCs w:val="24"/>
        </w:rPr>
        <w:t>Irish Journal of Sociology</w:t>
      </w:r>
      <w:r w:rsidRPr="00987BD1">
        <w:rPr>
          <w:rFonts w:cs="Helvetica"/>
          <w:noProof/>
          <w:szCs w:val="24"/>
        </w:rPr>
        <w:t xml:space="preserve">, </w:t>
      </w:r>
      <w:r w:rsidRPr="00987BD1">
        <w:rPr>
          <w:rFonts w:cs="Helvetica"/>
          <w:i/>
          <w:iCs/>
          <w:noProof/>
          <w:szCs w:val="24"/>
        </w:rPr>
        <w:t>29</w:t>
      </w:r>
      <w:r w:rsidRPr="00987BD1">
        <w:rPr>
          <w:rFonts w:cs="Helvetica"/>
          <w:noProof/>
          <w:szCs w:val="24"/>
        </w:rPr>
        <w:t>(1), 77–96. https://doi.org/10.1177/0791603519884201</w:t>
      </w:r>
    </w:p>
    <w:p w14:paraId="30CC656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Frame, M. L. (2022). Ecological imperialism: A world</w:t>
      </w:r>
      <w:r w:rsidRPr="00987BD1">
        <w:rPr>
          <w:rFonts w:ascii="Cambria Math" w:hAnsi="Cambria Math" w:cs="Cambria Math"/>
          <w:noProof/>
          <w:szCs w:val="24"/>
        </w:rPr>
        <w:t>‐</w:t>
      </w:r>
      <w:r w:rsidRPr="00987BD1">
        <w:rPr>
          <w:rFonts w:cs="Helvetica"/>
          <w:noProof/>
          <w:szCs w:val="24"/>
        </w:rPr>
        <w:t xml:space="preserve">systems approach. </w:t>
      </w:r>
      <w:r w:rsidRPr="00987BD1">
        <w:rPr>
          <w:rFonts w:cs="Helvetica"/>
          <w:i/>
          <w:iCs/>
          <w:noProof/>
          <w:szCs w:val="24"/>
        </w:rPr>
        <w:t>American Journal of Economics and Sociology</w:t>
      </w:r>
      <w:r w:rsidRPr="00987BD1">
        <w:rPr>
          <w:rFonts w:cs="Helvetica"/>
          <w:noProof/>
          <w:szCs w:val="24"/>
        </w:rPr>
        <w:t xml:space="preserve">, </w:t>
      </w:r>
      <w:r w:rsidRPr="00987BD1">
        <w:rPr>
          <w:rFonts w:cs="Helvetica"/>
          <w:i/>
          <w:iCs/>
          <w:noProof/>
          <w:szCs w:val="24"/>
        </w:rPr>
        <w:t>81</w:t>
      </w:r>
      <w:r w:rsidRPr="00987BD1">
        <w:rPr>
          <w:rFonts w:cs="Helvetica"/>
          <w:noProof/>
          <w:szCs w:val="24"/>
        </w:rPr>
        <w:t>(3), 503–534. https://doi.org/10.1111/ajes.12472</w:t>
      </w:r>
    </w:p>
    <w:p w14:paraId="2C5A9F1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Gills, R., Ramachandran, C., Vipinkumar, V. P., Kumar, M., Varghese, E., Jayasankar, J., Padua, S., Kumar, R. N., Krishna, P., &amp; Ambrose, T. V. (2023). Education-world of work mismatch: a multidimensional competence gap analysis for reorienting the fisheries vocational education system in India. </w:t>
      </w:r>
      <w:r w:rsidRPr="00987BD1">
        <w:rPr>
          <w:rFonts w:cs="Helvetica"/>
          <w:i/>
          <w:iCs/>
          <w:noProof/>
          <w:szCs w:val="24"/>
        </w:rPr>
        <w:t>Current Science (00113891)</w:t>
      </w:r>
      <w:r w:rsidRPr="00987BD1">
        <w:rPr>
          <w:rFonts w:cs="Helvetica"/>
          <w:noProof/>
          <w:szCs w:val="24"/>
        </w:rPr>
        <w:t xml:space="preserve">, </w:t>
      </w:r>
      <w:r w:rsidRPr="00987BD1">
        <w:rPr>
          <w:rFonts w:cs="Helvetica"/>
          <w:i/>
          <w:iCs/>
          <w:noProof/>
          <w:szCs w:val="24"/>
        </w:rPr>
        <w:t>124</w:t>
      </w:r>
      <w:r w:rsidRPr="00987BD1">
        <w:rPr>
          <w:rFonts w:cs="Helvetica"/>
          <w:noProof/>
          <w:szCs w:val="24"/>
        </w:rPr>
        <w:t xml:space="preserve">(11). </w:t>
      </w:r>
      <w:r w:rsidRPr="00987BD1">
        <w:rPr>
          <w:rFonts w:cs="Helvetica"/>
          <w:noProof/>
          <w:szCs w:val="24"/>
        </w:rPr>
        <w:lastRenderedPageBreak/>
        <w:t>https://doi.org/10.18520/cs/v124/i11/1329-1338</w:t>
      </w:r>
    </w:p>
    <w:p w14:paraId="2B95450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González-Cancelas, N., Vaca-Cabrero, J., &amp; Camarero-Orive, A. (2025). The Role of the Fishing Sector in the Blue Economy: Prioritization, Environmental Challenges, and Sustainable Strategies in Europe, with a Focus on Spain. </w:t>
      </w:r>
      <w:r w:rsidRPr="00987BD1">
        <w:rPr>
          <w:rFonts w:cs="Helvetica"/>
          <w:i/>
          <w:iCs/>
          <w:noProof/>
          <w:szCs w:val="24"/>
        </w:rPr>
        <w:t>Journal of Marine Science and Engineering</w:t>
      </w:r>
      <w:r w:rsidRPr="00987BD1">
        <w:rPr>
          <w:rFonts w:cs="Helvetica"/>
          <w:noProof/>
          <w:szCs w:val="24"/>
        </w:rPr>
        <w:t xml:space="preserve">, </w:t>
      </w:r>
      <w:r w:rsidRPr="00987BD1">
        <w:rPr>
          <w:rFonts w:cs="Helvetica"/>
          <w:i/>
          <w:iCs/>
          <w:noProof/>
          <w:szCs w:val="24"/>
        </w:rPr>
        <w:t>13</w:t>
      </w:r>
      <w:r w:rsidRPr="00987BD1">
        <w:rPr>
          <w:rFonts w:cs="Helvetica"/>
          <w:noProof/>
          <w:szCs w:val="24"/>
        </w:rPr>
        <w:t>(3), 621. https://doi.org/10.1088/1742-6596/1833/1/012050</w:t>
      </w:r>
    </w:p>
    <w:p w14:paraId="18865FC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Holmes, K., &amp; Chakroun, M. B. (2015). Unleashing the Potential: Transforming Technical and Vocational Education and Training. </w:t>
      </w:r>
      <w:r w:rsidRPr="00987BD1">
        <w:rPr>
          <w:rFonts w:cs="Helvetica"/>
          <w:i/>
          <w:iCs/>
          <w:noProof/>
          <w:szCs w:val="24"/>
        </w:rPr>
        <w:t>Professional Education and Economic Needs of the Black Sea Region</w:t>
      </w:r>
      <w:r w:rsidRPr="00987BD1">
        <w:rPr>
          <w:rFonts w:cs="Helvetica"/>
          <w:noProof/>
          <w:szCs w:val="24"/>
        </w:rPr>
        <w:t>, 62–77.</w:t>
      </w:r>
    </w:p>
    <w:p w14:paraId="7614681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Idris, M. D., Feng, X., &amp; Dyo, V. (2024). Revolutionizing Higher Education: Unleashing the Potential of Large Language Models for Strategic Transformation. </w:t>
      </w:r>
      <w:r w:rsidRPr="00987BD1">
        <w:rPr>
          <w:rFonts w:cs="Helvetica"/>
          <w:i/>
          <w:iCs/>
          <w:noProof/>
          <w:szCs w:val="24"/>
        </w:rPr>
        <w:t>IEEE Access</w:t>
      </w:r>
      <w:r w:rsidRPr="00987BD1">
        <w:rPr>
          <w:rFonts w:cs="Helvetica"/>
          <w:noProof/>
          <w:szCs w:val="24"/>
        </w:rPr>
        <w:t xml:space="preserve">, </w:t>
      </w:r>
      <w:r w:rsidRPr="00987BD1">
        <w:rPr>
          <w:rFonts w:cs="Helvetica"/>
          <w:i/>
          <w:iCs/>
          <w:noProof/>
          <w:szCs w:val="24"/>
        </w:rPr>
        <w:t>12</w:t>
      </w:r>
      <w:r w:rsidRPr="00987BD1">
        <w:rPr>
          <w:rFonts w:cs="Helvetica"/>
          <w:noProof/>
          <w:szCs w:val="24"/>
        </w:rPr>
        <w:t>, 67738–67757. https://doi.org/10.1109/ACCESS.2024.3400164</w:t>
      </w:r>
    </w:p>
    <w:p w14:paraId="07EB548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Kim, S., &amp; Cho, Y. (2022). Complicit mobility: Southeast Asian students in Korean Studies and their inter-Asia knowledge migrations. </w:t>
      </w:r>
      <w:r w:rsidRPr="00987BD1">
        <w:rPr>
          <w:rFonts w:cs="Helvetica"/>
          <w:i/>
          <w:iCs/>
          <w:noProof/>
          <w:szCs w:val="24"/>
        </w:rPr>
        <w:t>Globalisation, Societies and Education</w:t>
      </w:r>
      <w:r w:rsidRPr="00987BD1">
        <w:rPr>
          <w:rFonts w:cs="Helvetica"/>
          <w:noProof/>
          <w:szCs w:val="24"/>
        </w:rPr>
        <w:t>, 1–13. https://doi.org/10.1080/14767724.2022.2095502</w:t>
      </w:r>
    </w:p>
    <w:p w14:paraId="6A160B1E" w14:textId="27F26CAC"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Krücken, G. (2021). </w:t>
      </w:r>
      <w:r w:rsidRPr="00987BD1">
        <w:rPr>
          <w:rFonts w:cs="Helvetica"/>
          <w:i/>
          <w:iCs/>
          <w:noProof/>
          <w:szCs w:val="24"/>
        </w:rPr>
        <w:t>Paul J. DiMaggio und Walter W. Powell: The Iron Cage Revisited: Institutional Isomorphism and Collective Rationality in Organizational Fields BT</w:t>
      </w:r>
      <w:r w:rsidR="00D3187E">
        <w:rPr>
          <w:rFonts w:cs="Helvetica"/>
          <w:i/>
          <w:iCs/>
          <w:noProof/>
          <w:szCs w:val="24"/>
        </w:rPr>
        <w:t xml:space="preserve"> </w:t>
      </w:r>
      <w:r w:rsidRPr="00987BD1">
        <w:rPr>
          <w:rFonts w:cs="Helvetica"/>
          <w:i/>
          <w:iCs/>
          <w:noProof/>
          <w:szCs w:val="24"/>
        </w:rPr>
        <w:t>- Schlüsselwerke der Wirtschaftssoziologie</w:t>
      </w:r>
      <w:r w:rsidRPr="00987BD1">
        <w:rPr>
          <w:rFonts w:cs="Helvetica"/>
          <w:noProof/>
          <w:szCs w:val="24"/>
        </w:rPr>
        <w:t xml:space="preserve"> (K. Kraemer &amp; F. Brugger (eds.); pp. 205–210). Springer Fachmedien Wiesbaden. https://doi.org/10.1007/978-3-658-31439-2_17</w:t>
      </w:r>
    </w:p>
    <w:p w14:paraId="6AB55C7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Marginson, S. (2019). Limitations of Human Capital Theory. </w:t>
      </w:r>
      <w:r w:rsidRPr="00987BD1">
        <w:rPr>
          <w:rFonts w:cs="Helvetica"/>
          <w:i/>
          <w:iCs/>
          <w:noProof/>
          <w:szCs w:val="24"/>
        </w:rPr>
        <w:t>Studies in Higher Education</w:t>
      </w:r>
      <w:r w:rsidRPr="00987BD1">
        <w:rPr>
          <w:rFonts w:cs="Helvetica"/>
          <w:noProof/>
          <w:szCs w:val="24"/>
        </w:rPr>
        <w:t xml:space="preserve">, </w:t>
      </w:r>
      <w:r w:rsidRPr="00987BD1">
        <w:rPr>
          <w:rFonts w:cs="Helvetica"/>
          <w:i/>
          <w:iCs/>
          <w:noProof/>
          <w:szCs w:val="24"/>
        </w:rPr>
        <w:t>44</w:t>
      </w:r>
      <w:r w:rsidRPr="00987BD1">
        <w:rPr>
          <w:rFonts w:cs="Helvetica"/>
          <w:noProof/>
          <w:szCs w:val="24"/>
        </w:rPr>
        <w:t>(2), 287–301. https://doi.org/10.1080/03075079.2017.1359823</w:t>
      </w:r>
    </w:p>
    <w:p w14:paraId="4AA8D72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Matthew B. Miles, A. Michael Huberman, J. S. (2014). </w:t>
      </w:r>
      <w:r w:rsidRPr="00987BD1">
        <w:rPr>
          <w:rFonts w:cs="Helvetica"/>
          <w:i/>
          <w:iCs/>
          <w:noProof/>
          <w:szCs w:val="24"/>
        </w:rPr>
        <w:t>Qualitative Data Analysis: A Methods Sourcebook</w:t>
      </w:r>
      <w:r w:rsidRPr="00987BD1">
        <w:rPr>
          <w:rFonts w:cs="Helvetica"/>
          <w:noProof/>
          <w:szCs w:val="24"/>
        </w:rPr>
        <w:t>. Sage Publications.</w:t>
      </w:r>
    </w:p>
    <w:p w14:paraId="4A54086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McGrath, S., &amp; Russon, J.-A. (2023). TVET SI: Towards sustainable vocational education and training: Thinking beyond the formal. </w:t>
      </w:r>
      <w:r w:rsidRPr="00987BD1">
        <w:rPr>
          <w:rFonts w:cs="Helvetica"/>
          <w:i/>
          <w:iCs/>
          <w:noProof/>
          <w:szCs w:val="24"/>
        </w:rPr>
        <w:t>Southern African Journal of Environmental Education</w:t>
      </w:r>
      <w:r w:rsidRPr="00987BD1">
        <w:rPr>
          <w:rFonts w:cs="Helvetica"/>
          <w:noProof/>
          <w:szCs w:val="24"/>
        </w:rPr>
        <w:t xml:space="preserve">, </w:t>
      </w:r>
      <w:r w:rsidRPr="00987BD1">
        <w:rPr>
          <w:rFonts w:cs="Helvetica"/>
          <w:i/>
          <w:iCs/>
          <w:noProof/>
          <w:szCs w:val="24"/>
        </w:rPr>
        <w:t>39</w:t>
      </w:r>
      <w:r w:rsidRPr="00987BD1">
        <w:rPr>
          <w:rFonts w:cs="Helvetica"/>
          <w:noProof/>
          <w:szCs w:val="24"/>
        </w:rPr>
        <w:t>. https://doi.org/10.4314/sajee.v39i.03</w:t>
      </w:r>
    </w:p>
    <w:p w14:paraId="14D2571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Motta, V. F., &amp; Galina, S. V. R. (2023). Experiential learning in entrepreneurship education: A systematic literature review. </w:t>
      </w:r>
      <w:r w:rsidRPr="00987BD1">
        <w:rPr>
          <w:rFonts w:cs="Helvetica"/>
          <w:i/>
          <w:iCs/>
          <w:noProof/>
          <w:szCs w:val="24"/>
        </w:rPr>
        <w:t>Teaching and Teacher Education</w:t>
      </w:r>
      <w:r w:rsidRPr="00987BD1">
        <w:rPr>
          <w:rFonts w:cs="Helvetica"/>
          <w:noProof/>
          <w:szCs w:val="24"/>
        </w:rPr>
        <w:t xml:space="preserve">, </w:t>
      </w:r>
      <w:r w:rsidRPr="00987BD1">
        <w:rPr>
          <w:rFonts w:cs="Helvetica"/>
          <w:i/>
          <w:iCs/>
          <w:noProof/>
          <w:szCs w:val="24"/>
        </w:rPr>
        <w:t>121</w:t>
      </w:r>
      <w:r w:rsidRPr="00987BD1">
        <w:rPr>
          <w:rFonts w:cs="Helvetica"/>
          <w:noProof/>
          <w:szCs w:val="24"/>
        </w:rPr>
        <w:t>, 103919. https://doi.org/10.1016/j.tate.2022.103919</w:t>
      </w:r>
    </w:p>
    <w:p w14:paraId="6462FB3E" w14:textId="3ED9929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Nakar,</w:t>
      </w:r>
      <w:r w:rsidR="00D3187E">
        <w:rPr>
          <w:rFonts w:cs="Helvetica"/>
          <w:noProof/>
          <w:szCs w:val="24"/>
        </w:rPr>
        <w:t xml:space="preserve"> </w:t>
      </w:r>
      <w:r w:rsidRPr="00987BD1">
        <w:rPr>
          <w:rFonts w:cs="Helvetica"/>
          <w:noProof/>
          <w:szCs w:val="24"/>
        </w:rPr>
        <w:t>Sonal, &amp; Olssen,</w:t>
      </w:r>
      <w:r w:rsidR="00D3187E">
        <w:rPr>
          <w:rFonts w:cs="Helvetica"/>
          <w:noProof/>
          <w:szCs w:val="24"/>
        </w:rPr>
        <w:t xml:space="preserve"> </w:t>
      </w:r>
      <w:r w:rsidRPr="00987BD1">
        <w:rPr>
          <w:rFonts w:cs="Helvetica"/>
          <w:noProof/>
          <w:szCs w:val="24"/>
        </w:rPr>
        <w:t xml:space="preserve">Mark. (2021). The effects of neoliberalism: Teachers’ experiences and ethical dilemmas to policy initiatives within vocational education and training in Australia. </w:t>
      </w:r>
      <w:r w:rsidRPr="00987BD1">
        <w:rPr>
          <w:rFonts w:cs="Helvetica"/>
          <w:i/>
          <w:iCs/>
          <w:noProof/>
          <w:szCs w:val="24"/>
        </w:rPr>
        <w:t>Policy Futures in Education</w:t>
      </w:r>
      <w:r w:rsidRPr="00987BD1">
        <w:rPr>
          <w:rFonts w:cs="Helvetica"/>
          <w:noProof/>
          <w:szCs w:val="24"/>
        </w:rPr>
        <w:t xml:space="preserve">, </w:t>
      </w:r>
      <w:r w:rsidRPr="00987BD1">
        <w:rPr>
          <w:rFonts w:cs="Helvetica"/>
          <w:i/>
          <w:iCs/>
          <w:noProof/>
          <w:szCs w:val="24"/>
        </w:rPr>
        <w:t>20</w:t>
      </w:r>
      <w:r w:rsidRPr="00987BD1">
        <w:rPr>
          <w:rFonts w:cs="Helvetica"/>
          <w:noProof/>
          <w:szCs w:val="24"/>
        </w:rPr>
        <w:t>(8), 986–1003. https://doi.org/10.1177/14782103211040350</w:t>
      </w:r>
    </w:p>
    <w:p w14:paraId="444D721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Nakar, S. (2019). Impact of ethical dilemmas on well-being of teachers in vocational education and training in Queensland, Australia. </w:t>
      </w:r>
      <w:r w:rsidRPr="00987BD1">
        <w:rPr>
          <w:rFonts w:cs="Helvetica"/>
          <w:i/>
          <w:iCs/>
          <w:noProof/>
          <w:szCs w:val="24"/>
        </w:rPr>
        <w:t>International Journal of Training Research</w:t>
      </w:r>
      <w:r w:rsidRPr="00987BD1">
        <w:rPr>
          <w:rFonts w:cs="Helvetica"/>
          <w:noProof/>
          <w:szCs w:val="24"/>
        </w:rPr>
        <w:t xml:space="preserve">, </w:t>
      </w:r>
      <w:r w:rsidRPr="00987BD1">
        <w:rPr>
          <w:rFonts w:cs="Helvetica"/>
          <w:i/>
          <w:iCs/>
          <w:noProof/>
          <w:szCs w:val="24"/>
        </w:rPr>
        <w:t>17</w:t>
      </w:r>
      <w:r w:rsidRPr="00987BD1">
        <w:rPr>
          <w:rFonts w:cs="Helvetica"/>
          <w:noProof/>
          <w:szCs w:val="24"/>
        </w:rPr>
        <w:t>(1), 35–49. https://doi.org/10.1080/14480220.2019.1602122</w:t>
      </w:r>
    </w:p>
    <w:p w14:paraId="6A1E736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Novaglio, C., Bax, N., Boschetti, F., Emad, G. R., Frusher, S., Fullbrook, L., Hemer, M., Jennings, S., van Putten, I., Robinson, L. M., Spain, E., Vince, J., Voyer, M., Wood, G., &amp; Fulton, E. A. (2022). Deep aspirations: towards a sustainable offshore Blue Economy. </w:t>
      </w:r>
      <w:r w:rsidRPr="00987BD1">
        <w:rPr>
          <w:rFonts w:cs="Helvetica"/>
          <w:i/>
          <w:iCs/>
          <w:noProof/>
          <w:szCs w:val="24"/>
        </w:rPr>
        <w:t>Reviews in Fish Biology and Fisheries</w:t>
      </w:r>
      <w:r w:rsidRPr="00987BD1">
        <w:rPr>
          <w:rFonts w:cs="Helvetica"/>
          <w:noProof/>
          <w:szCs w:val="24"/>
        </w:rPr>
        <w:t xml:space="preserve">, </w:t>
      </w:r>
      <w:r w:rsidRPr="00987BD1">
        <w:rPr>
          <w:rFonts w:cs="Helvetica"/>
          <w:i/>
          <w:iCs/>
          <w:noProof/>
          <w:szCs w:val="24"/>
        </w:rPr>
        <w:t>32</w:t>
      </w:r>
      <w:r w:rsidRPr="00987BD1">
        <w:rPr>
          <w:rFonts w:cs="Helvetica"/>
          <w:noProof/>
          <w:szCs w:val="24"/>
        </w:rPr>
        <w:t>(1), 209–230. https://doi.org/10.1007/s11160-020-09628-6</w:t>
      </w:r>
    </w:p>
    <w:p w14:paraId="2D3F411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Ozturk, O. (2021). Bibliometric review of resource dependence theory literature: an overview. </w:t>
      </w:r>
      <w:r w:rsidRPr="00987BD1">
        <w:rPr>
          <w:rFonts w:cs="Helvetica"/>
          <w:i/>
          <w:iCs/>
          <w:noProof/>
          <w:szCs w:val="24"/>
        </w:rPr>
        <w:t>Management Review Quarterly</w:t>
      </w:r>
      <w:r w:rsidRPr="00987BD1">
        <w:rPr>
          <w:rFonts w:cs="Helvetica"/>
          <w:noProof/>
          <w:szCs w:val="24"/>
        </w:rPr>
        <w:t xml:space="preserve">, </w:t>
      </w:r>
      <w:r w:rsidRPr="00987BD1">
        <w:rPr>
          <w:rFonts w:cs="Helvetica"/>
          <w:i/>
          <w:iCs/>
          <w:noProof/>
          <w:szCs w:val="24"/>
        </w:rPr>
        <w:t>71</w:t>
      </w:r>
      <w:r w:rsidRPr="00987BD1">
        <w:rPr>
          <w:rFonts w:cs="Helvetica"/>
          <w:noProof/>
          <w:szCs w:val="24"/>
        </w:rPr>
        <w:t>(3), 525–552. https://doi.org/10.1007/s11301-020-00192-8</w:t>
      </w:r>
    </w:p>
    <w:p w14:paraId="6EAFF78C"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Pita, C., Eleftheriou, M., Fernández-Borrás, J., Gonçalves, S., Mente, E., Santos, M. B., Seixas, S., &amp; Pierce, G. J. (2015). Generic skills needs for graduate employment in the aquaculture, fisheries and related sectors in Europe. </w:t>
      </w:r>
      <w:r w:rsidRPr="00987BD1">
        <w:rPr>
          <w:rFonts w:cs="Helvetica"/>
          <w:i/>
          <w:iCs/>
          <w:noProof/>
          <w:szCs w:val="24"/>
        </w:rPr>
        <w:t>Aquaculture International</w:t>
      </w:r>
      <w:r w:rsidRPr="00987BD1">
        <w:rPr>
          <w:rFonts w:cs="Helvetica"/>
          <w:noProof/>
          <w:szCs w:val="24"/>
        </w:rPr>
        <w:t xml:space="preserve">, </w:t>
      </w:r>
      <w:r w:rsidRPr="00987BD1">
        <w:rPr>
          <w:rFonts w:cs="Helvetica"/>
          <w:i/>
          <w:iCs/>
          <w:noProof/>
          <w:szCs w:val="24"/>
        </w:rPr>
        <w:t>23</w:t>
      </w:r>
      <w:r w:rsidRPr="00987BD1">
        <w:rPr>
          <w:rFonts w:cs="Helvetica"/>
          <w:noProof/>
          <w:szCs w:val="24"/>
        </w:rPr>
        <w:t>(3), 767–786. https://doi.org/10.1007/s10499-014-9843-x</w:t>
      </w:r>
    </w:p>
    <w:p w14:paraId="6FB8B5E9"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Rizvi, F., Lingard, B., &amp; Rinne, R. (2022). Reimagining globalization and education: an </w:t>
      </w:r>
      <w:r w:rsidRPr="00987BD1">
        <w:rPr>
          <w:rFonts w:cs="Helvetica"/>
          <w:noProof/>
          <w:szCs w:val="24"/>
        </w:rPr>
        <w:lastRenderedPageBreak/>
        <w:t xml:space="preserve">Introduction. In </w:t>
      </w:r>
      <w:r w:rsidRPr="00987BD1">
        <w:rPr>
          <w:rFonts w:cs="Helvetica"/>
          <w:i/>
          <w:iCs/>
          <w:noProof/>
          <w:szCs w:val="24"/>
        </w:rPr>
        <w:t>Reimagining globalization and education</w:t>
      </w:r>
      <w:r w:rsidRPr="00987BD1">
        <w:rPr>
          <w:rFonts w:cs="Helvetica"/>
          <w:noProof/>
          <w:szCs w:val="24"/>
        </w:rPr>
        <w:t xml:space="preserve"> (pp. 1–10). Routledge. https://doi.org/10.4324/9781003207528</w:t>
      </w:r>
    </w:p>
    <w:p w14:paraId="1C2795D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Samani, M. (2018). Vocational education in the era of industry 4.0: an Indonesia case. </w:t>
      </w:r>
      <w:r w:rsidRPr="00987BD1">
        <w:rPr>
          <w:rFonts w:cs="Helvetica"/>
          <w:i/>
          <w:iCs/>
          <w:noProof/>
          <w:szCs w:val="24"/>
        </w:rPr>
        <w:t>International Conference on Indonesian Technical Vocational Education and Association (APTEKINDO 2018)</w:t>
      </w:r>
      <w:r w:rsidRPr="00987BD1">
        <w:rPr>
          <w:rFonts w:cs="Helvetica"/>
          <w:noProof/>
          <w:szCs w:val="24"/>
        </w:rPr>
        <w:t>, 45–47.</w:t>
      </w:r>
    </w:p>
    <w:p w14:paraId="35AB5B9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Suhonen, R., Rajala, A., Cantell, H., &amp; Kallioniemi, A. (2024). From training workers to educating global citizens: how teachers view their opportunities of addressing controversial global issues in vocational education. </w:t>
      </w:r>
      <w:r w:rsidRPr="00987BD1">
        <w:rPr>
          <w:rFonts w:cs="Helvetica"/>
          <w:i/>
          <w:iCs/>
          <w:noProof/>
          <w:szCs w:val="24"/>
        </w:rPr>
        <w:t>Journal of Vocational Education &amp; Training</w:t>
      </w:r>
      <w:r w:rsidRPr="00987BD1">
        <w:rPr>
          <w:rFonts w:cs="Helvetica"/>
          <w:noProof/>
          <w:szCs w:val="24"/>
        </w:rPr>
        <w:t xml:space="preserve">, </w:t>
      </w:r>
      <w:r w:rsidRPr="00987BD1">
        <w:rPr>
          <w:rFonts w:cs="Helvetica"/>
          <w:i/>
          <w:iCs/>
          <w:noProof/>
          <w:szCs w:val="24"/>
        </w:rPr>
        <w:t>76</w:t>
      </w:r>
      <w:r w:rsidRPr="00987BD1">
        <w:rPr>
          <w:rFonts w:cs="Helvetica"/>
          <w:noProof/>
          <w:szCs w:val="24"/>
        </w:rPr>
        <w:t>(2), 354–380. https://doi.org/10.1080/13636820.2023.2266727</w:t>
      </w:r>
    </w:p>
    <w:p w14:paraId="09E5F34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Tight, M. (2021). Globalization and internationalization as frameworks for higher education research. </w:t>
      </w:r>
      <w:r w:rsidRPr="00987BD1">
        <w:rPr>
          <w:rFonts w:cs="Helvetica"/>
          <w:i/>
          <w:iCs/>
          <w:noProof/>
          <w:szCs w:val="24"/>
        </w:rPr>
        <w:t>Research Papers in Education</w:t>
      </w:r>
      <w:r w:rsidRPr="00987BD1">
        <w:rPr>
          <w:rFonts w:cs="Helvetica"/>
          <w:noProof/>
          <w:szCs w:val="24"/>
        </w:rPr>
        <w:t xml:space="preserve">, </w:t>
      </w:r>
      <w:r w:rsidRPr="00987BD1">
        <w:rPr>
          <w:rFonts w:cs="Helvetica"/>
          <w:i/>
          <w:iCs/>
          <w:noProof/>
          <w:szCs w:val="24"/>
        </w:rPr>
        <w:t>36</w:t>
      </w:r>
      <w:r w:rsidRPr="00987BD1">
        <w:rPr>
          <w:rFonts w:cs="Helvetica"/>
          <w:noProof/>
          <w:szCs w:val="24"/>
        </w:rPr>
        <w:t>(1), 52–74. https://doi.org/10.1080/02671522.2019.1633560</w:t>
      </w:r>
    </w:p>
    <w:p w14:paraId="55B26D1D" w14:textId="0045FFA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Tilak, J. B. G. (2018). </w:t>
      </w:r>
      <w:r w:rsidRPr="00987BD1">
        <w:rPr>
          <w:rFonts w:cs="Helvetica"/>
          <w:i/>
          <w:iCs/>
          <w:noProof/>
          <w:szCs w:val="24"/>
        </w:rPr>
        <w:t>Vocational Education and Training in Asia BT</w:t>
      </w:r>
      <w:r w:rsidR="00D3187E">
        <w:rPr>
          <w:rFonts w:cs="Helvetica"/>
          <w:i/>
          <w:iCs/>
          <w:noProof/>
          <w:szCs w:val="24"/>
        </w:rPr>
        <w:t xml:space="preserve"> </w:t>
      </w:r>
      <w:r w:rsidRPr="00987BD1">
        <w:rPr>
          <w:rFonts w:cs="Helvetica"/>
          <w:i/>
          <w:iCs/>
          <w:noProof/>
          <w:szCs w:val="24"/>
        </w:rPr>
        <w:t>- Education and Development in India: Critical Issues in Public Policy and Development</w:t>
      </w:r>
      <w:r w:rsidRPr="00987BD1">
        <w:rPr>
          <w:rFonts w:cs="Helvetica"/>
          <w:noProof/>
          <w:szCs w:val="24"/>
        </w:rPr>
        <w:t xml:space="preserve"> (J. B. G. Tilak (ed.); pp. 203–220). Springer Singapore. https://doi.org/10.1007/978-981-13-0250-3_5</w:t>
      </w:r>
    </w:p>
    <w:p w14:paraId="3910E39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Tim Prentki, N. A. (2020). </w:t>
      </w:r>
      <w:r w:rsidRPr="00987BD1">
        <w:rPr>
          <w:rFonts w:cs="Helvetica"/>
          <w:i/>
          <w:iCs/>
          <w:noProof/>
          <w:szCs w:val="24"/>
        </w:rPr>
        <w:t>The Applied Theatre Reader</w:t>
      </w:r>
      <w:r w:rsidRPr="00987BD1">
        <w:rPr>
          <w:rFonts w:cs="Helvetica"/>
          <w:noProof/>
          <w:szCs w:val="24"/>
        </w:rPr>
        <w:t>. Routledge. https://doi.org/10.4324/9780429355363</w:t>
      </w:r>
    </w:p>
    <w:p w14:paraId="57F769C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Tjiptady, B. C., &amp; Yoto, T. (2019). Improving the quality of vocational education in the 4.0 industrial revolution by using the teaching factory approach. </w:t>
      </w:r>
      <w:r w:rsidRPr="00987BD1">
        <w:rPr>
          <w:rFonts w:cs="Helvetica"/>
          <w:i/>
          <w:iCs/>
          <w:noProof/>
          <w:szCs w:val="24"/>
        </w:rPr>
        <w:t>International Journal of Innovation</w:t>
      </w:r>
      <w:r w:rsidRPr="00987BD1">
        <w:rPr>
          <w:rFonts w:cs="Helvetica"/>
          <w:noProof/>
          <w:szCs w:val="24"/>
        </w:rPr>
        <w:t xml:space="preserve">, </w:t>
      </w:r>
      <w:r w:rsidRPr="00987BD1">
        <w:rPr>
          <w:rFonts w:cs="Helvetica"/>
          <w:i/>
          <w:iCs/>
          <w:noProof/>
          <w:szCs w:val="24"/>
        </w:rPr>
        <w:t>8</w:t>
      </w:r>
      <w:r w:rsidRPr="00987BD1">
        <w:rPr>
          <w:rFonts w:cs="Helvetica"/>
          <w:noProof/>
          <w:szCs w:val="24"/>
        </w:rPr>
        <w:t>(1), 7.</w:t>
      </w:r>
    </w:p>
    <w:p w14:paraId="49A1B5E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Tucker, R. C., Liyanage, C., Robinson, S. J., Montebon, D. R., Gotangco Gonzales, C. K., Olpoc, J. C., Patacsil, L. B., Tantanee, S., Buranajarukorn, P., Apichayaku, O. S., Weerasinghe, R. N., &amp; Dissanayake, R. (2023). Understanding university enterprise collaboration for disaster resilience in South-East Asia. </w:t>
      </w:r>
      <w:r w:rsidRPr="00987BD1">
        <w:rPr>
          <w:rFonts w:cs="Helvetica"/>
          <w:i/>
          <w:iCs/>
          <w:noProof/>
          <w:szCs w:val="24"/>
        </w:rPr>
        <w:t>International Journal of Disaster Resilience in the Built Environment</w:t>
      </w:r>
      <w:r w:rsidRPr="00987BD1">
        <w:rPr>
          <w:rFonts w:cs="Helvetica"/>
          <w:noProof/>
          <w:szCs w:val="24"/>
        </w:rPr>
        <w:t xml:space="preserve">, </w:t>
      </w:r>
      <w:r w:rsidRPr="00987BD1">
        <w:rPr>
          <w:rFonts w:cs="Helvetica"/>
          <w:i/>
          <w:iCs/>
          <w:noProof/>
          <w:szCs w:val="24"/>
        </w:rPr>
        <w:t>16</w:t>
      </w:r>
      <w:r w:rsidRPr="00987BD1">
        <w:rPr>
          <w:rFonts w:cs="Helvetica"/>
          <w:noProof/>
          <w:szCs w:val="24"/>
        </w:rPr>
        <w:t>(1), 104–128. https://doi.org/10.1108/IJDRBE-02-2023-0010</w:t>
      </w:r>
    </w:p>
    <w:p w14:paraId="5BCD65F8" w14:textId="140B742F"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Valdovinos, J. I. (2022). </w:t>
      </w:r>
      <w:r w:rsidRPr="00987BD1">
        <w:rPr>
          <w:rFonts w:cs="Helvetica"/>
          <w:i/>
          <w:iCs/>
          <w:noProof/>
          <w:szCs w:val="24"/>
        </w:rPr>
        <w:t>Ideology, Hegemony, Neoliberalism, and Critique BT</w:t>
      </w:r>
      <w:r w:rsidR="00D3187E">
        <w:rPr>
          <w:rFonts w:cs="Helvetica"/>
          <w:i/>
          <w:iCs/>
          <w:noProof/>
          <w:szCs w:val="24"/>
        </w:rPr>
        <w:t xml:space="preserve"> </w:t>
      </w:r>
      <w:r w:rsidRPr="00987BD1">
        <w:rPr>
          <w:rFonts w:cs="Helvetica"/>
          <w:i/>
          <w:iCs/>
          <w:noProof/>
          <w:szCs w:val="24"/>
        </w:rPr>
        <w:t>- Transparency and Critical Theory: The Becoming-Transparent of Ideology</w:t>
      </w:r>
      <w:r w:rsidRPr="00987BD1">
        <w:rPr>
          <w:rFonts w:cs="Helvetica"/>
          <w:noProof/>
          <w:szCs w:val="24"/>
        </w:rPr>
        <w:t xml:space="preserve"> (J. I. Valdovinos (ed.); pp. 81–140). Springer International Publishing. https://doi.org/10.1007/978-3-030-95546-5_3</w:t>
      </w:r>
    </w:p>
    <w:p w14:paraId="71CDB44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Vygotsky, L. S. (1978). </w:t>
      </w:r>
      <w:r w:rsidRPr="00987BD1">
        <w:rPr>
          <w:rFonts w:cs="Helvetica"/>
          <w:i/>
          <w:iCs/>
          <w:noProof/>
          <w:szCs w:val="24"/>
        </w:rPr>
        <w:t>Mind in Society: The Development of Higher Psychological Processes</w:t>
      </w:r>
      <w:r w:rsidRPr="00987BD1">
        <w:rPr>
          <w:rFonts w:cs="Helvetica"/>
          <w:noProof/>
          <w:szCs w:val="24"/>
        </w:rPr>
        <w:t>. Cambridge. https://www.amazon.com/Mind-Society-Development-Psychological-Processes/dp/0674576292</w:t>
      </w:r>
    </w:p>
    <w:p w14:paraId="7B8927A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Ye, J.-H., He, Z., Bai, B., &amp; Wu, Y.-F. (2024). Sustainability of technical and vocational education and training (TVET) along with vocational psychology. In </w:t>
      </w:r>
      <w:r w:rsidRPr="00987BD1">
        <w:rPr>
          <w:rFonts w:cs="Helvetica"/>
          <w:i/>
          <w:iCs/>
          <w:noProof/>
          <w:szCs w:val="24"/>
        </w:rPr>
        <w:t>Behavioral Sciences</w:t>
      </w:r>
      <w:r w:rsidRPr="00987BD1">
        <w:rPr>
          <w:rFonts w:cs="Helvetica"/>
          <w:noProof/>
          <w:szCs w:val="24"/>
        </w:rPr>
        <w:t xml:space="preserve"> (Vol. 14, Issue 10, p. 859). MDPI.</w:t>
      </w:r>
    </w:p>
    <w:p w14:paraId="57C3569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Yin, R. K. (2018). </w:t>
      </w:r>
      <w:r w:rsidRPr="00987BD1">
        <w:rPr>
          <w:rFonts w:cs="Helvetica"/>
          <w:i/>
          <w:iCs/>
          <w:noProof/>
          <w:szCs w:val="24"/>
        </w:rPr>
        <w:t>Case Study Research and Applications</w:t>
      </w:r>
      <w:r w:rsidRPr="00987BD1">
        <w:rPr>
          <w:rFonts w:cs="Helvetica"/>
          <w:noProof/>
          <w:szCs w:val="24"/>
        </w:rPr>
        <w:t>. Sage Publications.</w:t>
      </w:r>
    </w:p>
    <w:p w14:paraId="7BDD8A6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Yoana, Auwalin, I., &amp; Rumayya. (2024). The role of vocational education on unemployment in Indonesia. </w:t>
      </w:r>
      <w:r w:rsidRPr="00987BD1">
        <w:rPr>
          <w:rFonts w:cs="Helvetica"/>
          <w:i/>
          <w:iCs/>
          <w:noProof/>
          <w:szCs w:val="24"/>
        </w:rPr>
        <w:t>Cogent Education</w:t>
      </w:r>
      <w:r w:rsidRPr="00987BD1">
        <w:rPr>
          <w:rFonts w:cs="Helvetica"/>
          <w:noProof/>
          <w:szCs w:val="24"/>
        </w:rPr>
        <w:t xml:space="preserve">, </w:t>
      </w:r>
      <w:r w:rsidRPr="00987BD1">
        <w:rPr>
          <w:rFonts w:cs="Helvetica"/>
          <w:i/>
          <w:iCs/>
          <w:noProof/>
          <w:szCs w:val="24"/>
        </w:rPr>
        <w:t>11</w:t>
      </w:r>
      <w:r w:rsidRPr="00987BD1">
        <w:rPr>
          <w:rFonts w:cs="Helvetica"/>
          <w:noProof/>
          <w:szCs w:val="24"/>
        </w:rPr>
        <w:t>(1), 2340858. https://doi.org/10.1080/2331186X.2024.2340858</w:t>
      </w:r>
    </w:p>
    <w:p w14:paraId="7D12E64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Young, M., &amp; Hordern, J. (2022). Does the vocational curriculum have a future? </w:t>
      </w:r>
      <w:r w:rsidRPr="00987BD1">
        <w:rPr>
          <w:rFonts w:cs="Helvetica"/>
          <w:i/>
          <w:iCs/>
          <w:noProof/>
          <w:szCs w:val="24"/>
        </w:rPr>
        <w:t>Journal of Vocational Education &amp; Training</w:t>
      </w:r>
      <w:r w:rsidRPr="00987BD1">
        <w:rPr>
          <w:rFonts w:cs="Helvetica"/>
          <w:noProof/>
          <w:szCs w:val="24"/>
        </w:rPr>
        <w:t xml:space="preserve">, </w:t>
      </w:r>
      <w:r w:rsidRPr="00987BD1">
        <w:rPr>
          <w:rFonts w:cs="Helvetica"/>
          <w:i/>
          <w:iCs/>
          <w:noProof/>
          <w:szCs w:val="24"/>
        </w:rPr>
        <w:t>74</w:t>
      </w:r>
      <w:r w:rsidRPr="00987BD1">
        <w:rPr>
          <w:rFonts w:cs="Helvetica"/>
          <w:noProof/>
          <w:szCs w:val="24"/>
        </w:rPr>
        <w:t>(1), 68–88. https://doi.org/10.1080/13636820.2020.1833078</w:t>
      </w:r>
    </w:p>
    <w:p w14:paraId="59185A3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Zajda, J. (2021). </w:t>
      </w:r>
      <w:r w:rsidRPr="00987BD1">
        <w:rPr>
          <w:rFonts w:cs="Helvetica"/>
          <w:i/>
          <w:iCs/>
          <w:noProof/>
          <w:szCs w:val="24"/>
        </w:rPr>
        <w:t>Third International Handbook of Globalisation , Education and Policy Research</w:t>
      </w:r>
      <w:r w:rsidRPr="00987BD1">
        <w:rPr>
          <w:rFonts w:cs="Helvetica"/>
          <w:noProof/>
          <w:szCs w:val="24"/>
        </w:rPr>
        <w:t>. Australian Catholic University. https://doi.org/10.1007/978-3-030-66003-1</w:t>
      </w:r>
    </w:p>
    <w:p w14:paraId="164949D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Zembylas, M. (2023). The affective ideology of the OECD global competence framework: implications for intercultural communication education. </w:t>
      </w:r>
      <w:r w:rsidRPr="00987BD1">
        <w:rPr>
          <w:rFonts w:cs="Helvetica"/>
          <w:i/>
          <w:iCs/>
          <w:noProof/>
          <w:szCs w:val="24"/>
        </w:rPr>
        <w:t>Pedagogy, Culture &amp; Society</w:t>
      </w:r>
      <w:r w:rsidRPr="00987BD1">
        <w:rPr>
          <w:rFonts w:cs="Helvetica"/>
          <w:noProof/>
          <w:szCs w:val="24"/>
        </w:rPr>
        <w:t xml:space="preserve">, </w:t>
      </w:r>
      <w:r w:rsidRPr="00987BD1">
        <w:rPr>
          <w:rFonts w:cs="Helvetica"/>
          <w:i/>
          <w:iCs/>
          <w:noProof/>
          <w:szCs w:val="24"/>
        </w:rPr>
        <w:t>31</w:t>
      </w:r>
      <w:r w:rsidRPr="00987BD1">
        <w:rPr>
          <w:rFonts w:cs="Helvetica"/>
          <w:noProof/>
          <w:szCs w:val="24"/>
        </w:rPr>
        <w:t>(2), 305–323. https://doi.org/10.1080/14681366.2022.2164336</w:t>
      </w:r>
    </w:p>
    <w:p w14:paraId="14A2ABDA" w14:textId="77777777" w:rsidR="00987BD1" w:rsidRPr="00987BD1" w:rsidRDefault="00987BD1" w:rsidP="00987BD1">
      <w:pPr>
        <w:widowControl w:val="0"/>
        <w:autoSpaceDE w:val="0"/>
        <w:autoSpaceDN w:val="0"/>
        <w:adjustRightInd w:val="0"/>
        <w:spacing w:before="80" w:after="80"/>
        <w:ind w:left="480" w:hanging="480"/>
        <w:jc w:val="both"/>
        <w:rPr>
          <w:rFonts w:cs="Helvetica"/>
          <w:noProof/>
        </w:rPr>
      </w:pPr>
      <w:r w:rsidRPr="00987BD1">
        <w:rPr>
          <w:rFonts w:cs="Helvetica"/>
          <w:noProof/>
          <w:szCs w:val="24"/>
        </w:rPr>
        <w:lastRenderedPageBreak/>
        <w:t xml:space="preserve">Zoolfakar, M. R., Manaf, M. D. S., &amp; Yahaya, A. H. (2017). Issues faced by fishermen on the implementation of STCW-F 1995: East Malaysia. </w:t>
      </w:r>
      <w:r w:rsidRPr="00987BD1">
        <w:rPr>
          <w:rFonts w:cs="Helvetica"/>
          <w:i/>
          <w:iCs/>
          <w:noProof/>
          <w:szCs w:val="24"/>
        </w:rPr>
        <w:t>2017 IEEE 7th International Conference on Underwater System Technology: Theory and Applications (USYS)</w:t>
      </w:r>
      <w:r w:rsidRPr="00987BD1">
        <w:rPr>
          <w:rFonts w:cs="Helvetica"/>
          <w:noProof/>
          <w:szCs w:val="24"/>
        </w:rPr>
        <w:t>, 1–5. https://doi.org/10.1109/USYS.2017.8309436</w:t>
      </w:r>
    </w:p>
    <w:p w14:paraId="028E4713" w14:textId="04EEA7A7" w:rsidR="00987BD1" w:rsidRPr="008B0729" w:rsidRDefault="00987BD1" w:rsidP="00987BD1">
      <w:pPr>
        <w:pStyle w:val="Body"/>
        <w:spacing w:before="80" w:after="80"/>
        <w:sectPr w:rsidR="00987BD1" w:rsidRPr="008B0729" w:rsidSect="005853F2">
          <w:headerReference w:type="even" r:id="rId9"/>
          <w:headerReference w:type="default" r:id="rId10"/>
          <w:footerReference w:type="even" r:id="rId11"/>
          <w:footerReference w:type="default" r:id="rId12"/>
          <w:headerReference w:type="first" r:id="rId13"/>
          <w:footerReference w:type="first" r:id="rId14"/>
          <w:pgSz w:w="12240" w:h="15840"/>
          <w:pgMar w:top="2016" w:right="2016" w:bottom="1440" w:left="2016" w:header="720" w:footer="1123" w:gutter="0"/>
          <w:cols w:space="720"/>
          <w:docGrid w:linePitch="272"/>
        </w:sectPr>
      </w:pPr>
      <w:r>
        <w:fldChar w:fldCharType="end"/>
      </w:r>
    </w:p>
    <w:p w14:paraId="27495D73" w14:textId="77777777" w:rsidR="00B01FCD" w:rsidRPr="00FB3A86" w:rsidRDefault="00B01FCD" w:rsidP="00987BD1">
      <w:pPr>
        <w:pStyle w:val="Appendix"/>
        <w:spacing w:after="0"/>
        <w:jc w:val="both"/>
        <w:rPr>
          <w:rFonts w:ascii="Arial" w:hAnsi="Arial" w:cs="Arial"/>
          <w:b w:val="0"/>
        </w:rPr>
      </w:pPr>
    </w:p>
    <w:sectPr w:rsidR="00B01FCD" w:rsidRPr="00FB3A86" w:rsidSect="005853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FDF6" w14:textId="77777777" w:rsidR="00D0727F" w:rsidRDefault="00D0727F" w:rsidP="00C37E61">
      <w:r>
        <w:separator/>
      </w:r>
    </w:p>
  </w:endnote>
  <w:endnote w:type="continuationSeparator" w:id="0">
    <w:p w14:paraId="571C13B9" w14:textId="77777777" w:rsidR="00D0727F" w:rsidRDefault="00D072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FE0D" w14:textId="77777777" w:rsidR="005853F2" w:rsidRDefault="00585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1D9F" w14:textId="77777777" w:rsidR="005853F2" w:rsidRDefault="0058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0109" w14:textId="77777777" w:rsidR="005853F2" w:rsidRDefault="0058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0D0C" w14:textId="77777777" w:rsidR="00D0727F" w:rsidRDefault="00D0727F" w:rsidP="00C37E61">
      <w:r>
        <w:separator/>
      </w:r>
    </w:p>
  </w:footnote>
  <w:footnote w:type="continuationSeparator" w:id="0">
    <w:p w14:paraId="0E06F934" w14:textId="77777777" w:rsidR="00D0727F" w:rsidRDefault="00D072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A894" w14:textId="612E2B78" w:rsidR="005853F2" w:rsidRDefault="00000000">
    <w:pPr>
      <w:pStyle w:val="Header"/>
    </w:pPr>
    <w:r>
      <w:rPr>
        <w:noProof/>
      </w:rPr>
      <w:pict w14:anchorId="444D3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1872" w14:textId="1C8A0424" w:rsidR="005853F2" w:rsidRDefault="00000000">
    <w:pPr>
      <w:pStyle w:val="Header"/>
    </w:pPr>
    <w:r>
      <w:rPr>
        <w:noProof/>
      </w:rPr>
      <w:pict w14:anchorId="16F05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9535" w14:textId="33935276" w:rsidR="005853F2" w:rsidRDefault="00000000">
    <w:pPr>
      <w:pStyle w:val="Header"/>
    </w:pPr>
    <w:r>
      <w:rPr>
        <w:noProof/>
      </w:rPr>
      <w:pict w14:anchorId="101C9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68"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B25A7D"/>
    <w:multiLevelType w:val="hybridMultilevel"/>
    <w:tmpl w:val="6B9E2C5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10231F1"/>
    <w:multiLevelType w:val="multilevel"/>
    <w:tmpl w:val="707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BC4E15"/>
    <w:multiLevelType w:val="hybridMultilevel"/>
    <w:tmpl w:val="BC3264E2"/>
    <w:lvl w:ilvl="0" w:tplc="E3C82812">
      <w:start w:val="2"/>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37CEA"/>
    <w:multiLevelType w:val="hybridMultilevel"/>
    <w:tmpl w:val="05307C8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9803AE9"/>
    <w:multiLevelType w:val="hybridMultilevel"/>
    <w:tmpl w:val="AE4E7B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A8A32D3"/>
    <w:multiLevelType w:val="hybridMultilevel"/>
    <w:tmpl w:val="246212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5671AA"/>
    <w:multiLevelType w:val="hybridMultilevel"/>
    <w:tmpl w:val="00DC6F16"/>
    <w:lvl w:ilvl="0" w:tplc="94C833C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0302EF"/>
    <w:multiLevelType w:val="hybridMultilevel"/>
    <w:tmpl w:val="8D0EFE94"/>
    <w:lvl w:ilvl="0" w:tplc="8530FA96">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B7A03"/>
    <w:multiLevelType w:val="hybridMultilevel"/>
    <w:tmpl w:val="DC9C0788"/>
    <w:lvl w:ilvl="0" w:tplc="22DE024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44646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6455912">
    <w:abstractNumId w:val="17"/>
  </w:num>
  <w:num w:numId="3" w16cid:durableId="780564207">
    <w:abstractNumId w:val="30"/>
  </w:num>
  <w:num w:numId="4" w16cid:durableId="449173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4399914">
    <w:abstractNumId w:val="7"/>
  </w:num>
  <w:num w:numId="6" w16cid:durableId="2122219204">
    <w:abstractNumId w:val="6"/>
  </w:num>
  <w:num w:numId="7" w16cid:durableId="70473494">
    <w:abstractNumId w:val="1"/>
  </w:num>
  <w:num w:numId="8" w16cid:durableId="2028871270">
    <w:abstractNumId w:val="12"/>
  </w:num>
  <w:num w:numId="9" w16cid:durableId="78911554">
    <w:abstractNumId w:val="33"/>
  </w:num>
  <w:num w:numId="10" w16cid:durableId="361056415">
    <w:abstractNumId w:val="2"/>
  </w:num>
  <w:num w:numId="11" w16cid:durableId="367948344">
    <w:abstractNumId w:val="24"/>
  </w:num>
  <w:num w:numId="12" w16cid:durableId="403069282">
    <w:abstractNumId w:val="3"/>
  </w:num>
  <w:num w:numId="13" w16cid:durableId="713501737">
    <w:abstractNumId w:val="23"/>
  </w:num>
  <w:num w:numId="14" w16cid:durableId="227418535">
    <w:abstractNumId w:val="8"/>
  </w:num>
  <w:num w:numId="15" w16cid:durableId="1619871115">
    <w:abstractNumId w:val="28"/>
  </w:num>
  <w:num w:numId="16" w16cid:durableId="1033311738">
    <w:abstractNumId w:val="5"/>
  </w:num>
  <w:num w:numId="17" w16cid:durableId="1286883422">
    <w:abstractNumId w:val="29"/>
  </w:num>
  <w:num w:numId="18" w16cid:durableId="963198202">
    <w:abstractNumId w:val="14"/>
  </w:num>
  <w:num w:numId="19" w16cid:durableId="2110538735">
    <w:abstractNumId w:val="37"/>
  </w:num>
  <w:num w:numId="20" w16cid:durableId="114179604">
    <w:abstractNumId w:val="11"/>
  </w:num>
  <w:num w:numId="21" w16cid:durableId="1857386009">
    <w:abstractNumId w:val="9"/>
  </w:num>
  <w:num w:numId="22" w16cid:durableId="329917734">
    <w:abstractNumId w:val="13"/>
  </w:num>
  <w:num w:numId="23" w16cid:durableId="2073041713">
    <w:abstractNumId w:val="26"/>
  </w:num>
  <w:num w:numId="24" w16cid:durableId="365637686">
    <w:abstractNumId w:val="34"/>
  </w:num>
  <w:num w:numId="25" w16cid:durableId="1852646629">
    <w:abstractNumId w:val="4"/>
  </w:num>
  <w:num w:numId="26" w16cid:durableId="1310403252">
    <w:abstractNumId w:val="19"/>
  </w:num>
  <w:num w:numId="27" w16cid:durableId="505749331">
    <w:abstractNumId w:val="27"/>
  </w:num>
  <w:num w:numId="28" w16cid:durableId="2146507517">
    <w:abstractNumId w:val="35"/>
  </w:num>
  <w:num w:numId="29" w16cid:durableId="1389456200">
    <w:abstractNumId w:val="32"/>
  </w:num>
  <w:num w:numId="30" w16cid:durableId="1567952565">
    <w:abstractNumId w:val="10"/>
  </w:num>
  <w:num w:numId="31" w16cid:durableId="1312321137">
    <w:abstractNumId w:val="31"/>
  </w:num>
  <w:num w:numId="32" w16cid:durableId="297612231">
    <w:abstractNumId w:val="15"/>
  </w:num>
  <w:num w:numId="33" w16cid:durableId="1594893192">
    <w:abstractNumId w:val="18"/>
  </w:num>
  <w:num w:numId="34" w16cid:durableId="51347030">
    <w:abstractNumId w:val="21"/>
  </w:num>
  <w:num w:numId="35" w16cid:durableId="1010914800">
    <w:abstractNumId w:val="20"/>
  </w:num>
  <w:num w:numId="36" w16cid:durableId="1769734229">
    <w:abstractNumId w:val="25"/>
  </w:num>
  <w:num w:numId="37" w16cid:durableId="1194920886">
    <w:abstractNumId w:val="36"/>
  </w:num>
  <w:num w:numId="38" w16cid:durableId="568658195">
    <w:abstractNumId w:val="22"/>
  </w:num>
  <w:num w:numId="39" w16cid:durableId="282661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wMLM0NzUzMDI2MrZQ0lEKTi0uzszPAykwqgUAvoH2nywAAAA="/>
  </w:docVars>
  <w:rsids>
    <w:rsidRoot w:val="00AA6219"/>
    <w:rsid w:val="00000F8F"/>
    <w:rsid w:val="00030174"/>
    <w:rsid w:val="0003777F"/>
    <w:rsid w:val="0004579C"/>
    <w:rsid w:val="000A1A88"/>
    <w:rsid w:val="000A47FA"/>
    <w:rsid w:val="000A65D3"/>
    <w:rsid w:val="000B1E33"/>
    <w:rsid w:val="000D689F"/>
    <w:rsid w:val="000E7B7B"/>
    <w:rsid w:val="000E7D62"/>
    <w:rsid w:val="00103357"/>
    <w:rsid w:val="00123C9F"/>
    <w:rsid w:val="00126190"/>
    <w:rsid w:val="00130F17"/>
    <w:rsid w:val="001320BF"/>
    <w:rsid w:val="0014104E"/>
    <w:rsid w:val="0015621D"/>
    <w:rsid w:val="00162AE8"/>
    <w:rsid w:val="00163BC4"/>
    <w:rsid w:val="001761AD"/>
    <w:rsid w:val="00191062"/>
    <w:rsid w:val="00192B72"/>
    <w:rsid w:val="001A29D8"/>
    <w:rsid w:val="001A5CAA"/>
    <w:rsid w:val="001B0427"/>
    <w:rsid w:val="001D3A51"/>
    <w:rsid w:val="001E10D2"/>
    <w:rsid w:val="001E25B4"/>
    <w:rsid w:val="001E44FE"/>
    <w:rsid w:val="00200595"/>
    <w:rsid w:val="00204835"/>
    <w:rsid w:val="00206361"/>
    <w:rsid w:val="00231920"/>
    <w:rsid w:val="0023195C"/>
    <w:rsid w:val="0024282C"/>
    <w:rsid w:val="00242968"/>
    <w:rsid w:val="002460DC"/>
    <w:rsid w:val="00250985"/>
    <w:rsid w:val="002556F6"/>
    <w:rsid w:val="00266C02"/>
    <w:rsid w:val="00270C7C"/>
    <w:rsid w:val="00283105"/>
    <w:rsid w:val="00284C4C"/>
    <w:rsid w:val="00287E68"/>
    <w:rsid w:val="00296529"/>
    <w:rsid w:val="002B27FB"/>
    <w:rsid w:val="002B685A"/>
    <w:rsid w:val="002C57D2"/>
    <w:rsid w:val="002D5686"/>
    <w:rsid w:val="002E04F2"/>
    <w:rsid w:val="002E0D56"/>
    <w:rsid w:val="00314AB2"/>
    <w:rsid w:val="00315186"/>
    <w:rsid w:val="0033343E"/>
    <w:rsid w:val="00347AFB"/>
    <w:rsid w:val="003512C2"/>
    <w:rsid w:val="003528C8"/>
    <w:rsid w:val="00371FB6"/>
    <w:rsid w:val="003763C1"/>
    <w:rsid w:val="00376BBE"/>
    <w:rsid w:val="0039224F"/>
    <w:rsid w:val="003A43A4"/>
    <w:rsid w:val="003A7E18"/>
    <w:rsid w:val="003B7976"/>
    <w:rsid w:val="003C4588"/>
    <w:rsid w:val="003C4C86"/>
    <w:rsid w:val="003C6258"/>
    <w:rsid w:val="003D4C74"/>
    <w:rsid w:val="003E2904"/>
    <w:rsid w:val="00401927"/>
    <w:rsid w:val="0041027F"/>
    <w:rsid w:val="00412475"/>
    <w:rsid w:val="00423789"/>
    <w:rsid w:val="004240B0"/>
    <w:rsid w:val="00440F43"/>
    <w:rsid w:val="00441B6F"/>
    <w:rsid w:val="00444A23"/>
    <w:rsid w:val="00446221"/>
    <w:rsid w:val="00450E62"/>
    <w:rsid w:val="004539DB"/>
    <w:rsid w:val="00471A80"/>
    <w:rsid w:val="004A5F0C"/>
    <w:rsid w:val="004D305E"/>
    <w:rsid w:val="004D4277"/>
    <w:rsid w:val="00502516"/>
    <w:rsid w:val="00505F06"/>
    <w:rsid w:val="00506828"/>
    <w:rsid w:val="0053056E"/>
    <w:rsid w:val="00554FDA"/>
    <w:rsid w:val="0057354F"/>
    <w:rsid w:val="005853F2"/>
    <w:rsid w:val="00596E16"/>
    <w:rsid w:val="005C6D4E"/>
    <w:rsid w:val="005C784C"/>
    <w:rsid w:val="005D0C99"/>
    <w:rsid w:val="005D17F6"/>
    <w:rsid w:val="005E5539"/>
    <w:rsid w:val="00602BF5"/>
    <w:rsid w:val="00604EB0"/>
    <w:rsid w:val="00617FDD"/>
    <w:rsid w:val="00631058"/>
    <w:rsid w:val="00633614"/>
    <w:rsid w:val="00633F68"/>
    <w:rsid w:val="00636EB2"/>
    <w:rsid w:val="006375B8"/>
    <w:rsid w:val="0066510A"/>
    <w:rsid w:val="00673E32"/>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C13"/>
    <w:rsid w:val="0077749E"/>
    <w:rsid w:val="00790ADA"/>
    <w:rsid w:val="007D2288"/>
    <w:rsid w:val="007D57B5"/>
    <w:rsid w:val="007E088F"/>
    <w:rsid w:val="007E4866"/>
    <w:rsid w:val="007F7B32"/>
    <w:rsid w:val="00804BC2"/>
    <w:rsid w:val="0081431A"/>
    <w:rsid w:val="0083216F"/>
    <w:rsid w:val="0084066B"/>
    <w:rsid w:val="00860000"/>
    <w:rsid w:val="00863BD3"/>
    <w:rsid w:val="008641ED"/>
    <w:rsid w:val="00866D66"/>
    <w:rsid w:val="008671C6"/>
    <w:rsid w:val="00875803"/>
    <w:rsid w:val="008805CF"/>
    <w:rsid w:val="008A4239"/>
    <w:rsid w:val="008B0729"/>
    <w:rsid w:val="008B459E"/>
    <w:rsid w:val="008B5647"/>
    <w:rsid w:val="008E13AE"/>
    <w:rsid w:val="008E1506"/>
    <w:rsid w:val="008E710C"/>
    <w:rsid w:val="008F69D6"/>
    <w:rsid w:val="00902823"/>
    <w:rsid w:val="009138FF"/>
    <w:rsid w:val="00915CA6"/>
    <w:rsid w:val="00927834"/>
    <w:rsid w:val="009500A6"/>
    <w:rsid w:val="00957C18"/>
    <w:rsid w:val="009659BA"/>
    <w:rsid w:val="00983040"/>
    <w:rsid w:val="00987BD1"/>
    <w:rsid w:val="00987F07"/>
    <w:rsid w:val="009B3FB9"/>
    <w:rsid w:val="009C2465"/>
    <w:rsid w:val="009C6F0C"/>
    <w:rsid w:val="009D35A0"/>
    <w:rsid w:val="009D7EB7"/>
    <w:rsid w:val="009E048A"/>
    <w:rsid w:val="009E08E9"/>
    <w:rsid w:val="009E3DB9"/>
    <w:rsid w:val="009E488E"/>
    <w:rsid w:val="009E6E35"/>
    <w:rsid w:val="009F0EDA"/>
    <w:rsid w:val="00A03B96"/>
    <w:rsid w:val="00A05B19"/>
    <w:rsid w:val="00A1134E"/>
    <w:rsid w:val="00A11EC2"/>
    <w:rsid w:val="00A24E7E"/>
    <w:rsid w:val="00A258C3"/>
    <w:rsid w:val="00A258DB"/>
    <w:rsid w:val="00A347C0"/>
    <w:rsid w:val="00A51431"/>
    <w:rsid w:val="00A539AD"/>
    <w:rsid w:val="00A60E7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B24"/>
    <w:rsid w:val="00BD34B6"/>
    <w:rsid w:val="00BE62AD"/>
    <w:rsid w:val="00BF0C54"/>
    <w:rsid w:val="00BF121F"/>
    <w:rsid w:val="00BF1F80"/>
    <w:rsid w:val="00C166EF"/>
    <w:rsid w:val="00C17EB0"/>
    <w:rsid w:val="00C212EE"/>
    <w:rsid w:val="00C27F5F"/>
    <w:rsid w:val="00C30A0F"/>
    <w:rsid w:val="00C337C6"/>
    <w:rsid w:val="00C3561D"/>
    <w:rsid w:val="00C37E61"/>
    <w:rsid w:val="00C70F1B"/>
    <w:rsid w:val="00C71A47"/>
    <w:rsid w:val="00C7464C"/>
    <w:rsid w:val="00C802C3"/>
    <w:rsid w:val="00C80873"/>
    <w:rsid w:val="00C85588"/>
    <w:rsid w:val="00C8768F"/>
    <w:rsid w:val="00C95345"/>
    <w:rsid w:val="00CD6755"/>
    <w:rsid w:val="00CD6856"/>
    <w:rsid w:val="00CE0089"/>
    <w:rsid w:val="00CE793C"/>
    <w:rsid w:val="00CF193C"/>
    <w:rsid w:val="00D0727F"/>
    <w:rsid w:val="00D173F1"/>
    <w:rsid w:val="00D30E3C"/>
    <w:rsid w:val="00D3187E"/>
    <w:rsid w:val="00D72560"/>
    <w:rsid w:val="00D74CB0"/>
    <w:rsid w:val="00D8295D"/>
    <w:rsid w:val="00DA7E33"/>
    <w:rsid w:val="00DC2A65"/>
    <w:rsid w:val="00DE15F0"/>
    <w:rsid w:val="00DE5663"/>
    <w:rsid w:val="00DE78AA"/>
    <w:rsid w:val="00E053D0"/>
    <w:rsid w:val="00E12D5A"/>
    <w:rsid w:val="00E15994"/>
    <w:rsid w:val="00E3114E"/>
    <w:rsid w:val="00E31A70"/>
    <w:rsid w:val="00E356BB"/>
    <w:rsid w:val="00E35B02"/>
    <w:rsid w:val="00E66496"/>
    <w:rsid w:val="00E66B35"/>
    <w:rsid w:val="00E66E10"/>
    <w:rsid w:val="00E769F6"/>
    <w:rsid w:val="00E8407C"/>
    <w:rsid w:val="00E84F3C"/>
    <w:rsid w:val="00EA012C"/>
    <w:rsid w:val="00EC6A55"/>
    <w:rsid w:val="00ED0288"/>
    <w:rsid w:val="00EE52CB"/>
    <w:rsid w:val="00EF581D"/>
    <w:rsid w:val="00EF7FD8"/>
    <w:rsid w:val="00F004A1"/>
    <w:rsid w:val="00F06F59"/>
    <w:rsid w:val="00F17988"/>
    <w:rsid w:val="00F459BF"/>
    <w:rsid w:val="00F469F0"/>
    <w:rsid w:val="00F51C7A"/>
    <w:rsid w:val="00F53273"/>
    <w:rsid w:val="00F7428E"/>
    <w:rsid w:val="00F755E4"/>
    <w:rsid w:val="00F77D02"/>
    <w:rsid w:val="00FB3A86"/>
    <w:rsid w:val="00FD36C8"/>
    <w:rsid w:val="00FF0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241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59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C212EE"/>
    <w:rPr>
      <w:vertAlign w:val="superscript"/>
    </w:rPr>
  </w:style>
  <w:style w:type="paragraph" w:styleId="ListParagraph">
    <w:name w:val="List Paragraph"/>
    <w:basedOn w:val="Normal"/>
    <w:uiPriority w:val="34"/>
    <w:qFormat/>
    <w:rsid w:val="00631058"/>
    <w:pPr>
      <w:ind w:left="720"/>
      <w:contextualSpacing/>
    </w:pPr>
  </w:style>
  <w:style w:type="character" w:customStyle="1" w:styleId="HeaderChar">
    <w:name w:val="Header Char"/>
    <w:basedOn w:val="DefaultParagraphFont"/>
    <w:link w:val="Header"/>
    <w:uiPriority w:val="99"/>
    <w:rsid w:val="00A60E7A"/>
    <w:rPr>
      <w:rFonts w:ascii="Helvetica" w:hAnsi="Helvetica"/>
    </w:rPr>
  </w:style>
  <w:style w:type="character" w:customStyle="1" w:styleId="Heading3Char">
    <w:name w:val="Heading 3 Char"/>
    <w:basedOn w:val="DefaultParagraphFont"/>
    <w:link w:val="Heading3"/>
    <w:semiHidden/>
    <w:rsid w:val="00F459B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47AFB"/>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347AFB"/>
    <w:rPr>
      <w:b/>
      <w:bCs/>
    </w:rPr>
  </w:style>
  <w:style w:type="paragraph" w:styleId="Revision">
    <w:name w:val="Revision"/>
    <w:hidden/>
    <w:uiPriority w:val="99"/>
    <w:semiHidden/>
    <w:rsid w:val="00314AB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4096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03899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531506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2759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0359839">
      <w:bodyDiv w:val="1"/>
      <w:marLeft w:val="0"/>
      <w:marRight w:val="0"/>
      <w:marTop w:val="0"/>
      <w:marBottom w:val="0"/>
      <w:divBdr>
        <w:top w:val="none" w:sz="0" w:space="0" w:color="auto"/>
        <w:left w:val="none" w:sz="0" w:space="0" w:color="auto"/>
        <w:bottom w:val="none" w:sz="0" w:space="0" w:color="auto"/>
        <w:right w:val="none" w:sz="0" w:space="0" w:color="auto"/>
      </w:divBdr>
    </w:div>
    <w:div w:id="13730749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2060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6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CBCD-9337-4736-A730-DE9B3DA0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21</Pages>
  <Words>24284</Words>
  <Characters>138423</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162383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23</cp:revision>
  <cp:lastPrinted>1999-07-06T11:00:00Z</cp:lastPrinted>
  <dcterms:created xsi:type="dcterms:W3CDTF">2025-09-26T10:03:00Z</dcterms:created>
  <dcterms:modified xsi:type="dcterms:W3CDTF">2025-10-16T11:25:00Z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15cdf733-5c62-30e4-95ed-69f3d345ef8f</vt:lpwstr>
  </property>
  <property fmtid="{D5CDD505-2E9C-101B-9397-08002B2CF9AE}" pid="24" name="Mendeley Citation Style_1">
    <vt:lpwstr>http://www.zotero.org/styles/apa</vt:lpwstr>
  </property>
  <property fmtid="{D5CDD505-2E9C-101B-9397-08002B2CF9AE}" pid="25" name="GrammarlyDocumentId">
    <vt:lpwstr>181bb494-08db-4128-b8b0-a6f2cf7d8f25</vt:lpwstr>
  </property>
</Properties>
</file>