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58FFA" w14:textId="5F96A5D9" w:rsidR="004A581E" w:rsidRDefault="0011606B" w:rsidP="001807C1">
      <w:pPr>
        <w:spacing w:after="160" w:line="259" w:lineRule="auto"/>
        <w:jc w:val="both"/>
        <w:rPr>
          <w:rFonts w:ascii="Arial" w:hAnsi="Arial" w:cs="Arial"/>
          <w:bCs/>
          <w:iCs/>
          <w:kern w:val="28"/>
          <w:sz w:val="36"/>
        </w:rPr>
      </w:pPr>
      <w:r w:rsidRPr="0011606B">
        <w:rPr>
          <w:rFonts w:ascii="Arial" w:hAnsi="Arial" w:cs="Arial"/>
          <w:bCs/>
          <w:iCs/>
          <w:kern w:val="28"/>
          <w:sz w:val="36"/>
        </w:rPr>
        <w:t>Case study</w:t>
      </w:r>
    </w:p>
    <w:p w14:paraId="0DDBD6AE" w14:textId="77777777" w:rsidR="004A581E" w:rsidRDefault="004A581E" w:rsidP="001807C1">
      <w:pPr>
        <w:spacing w:after="160" w:line="259" w:lineRule="auto"/>
        <w:jc w:val="both"/>
        <w:rPr>
          <w:rFonts w:ascii="Arial" w:hAnsi="Arial" w:cs="Arial"/>
          <w:bCs/>
          <w:iCs/>
          <w:kern w:val="28"/>
          <w:sz w:val="36"/>
        </w:rPr>
      </w:pPr>
    </w:p>
    <w:p w14:paraId="2E80CCEC" w14:textId="77777777" w:rsidR="005A4A2F" w:rsidRDefault="005A4A2F" w:rsidP="005A4A2F">
      <w:pPr>
        <w:spacing w:after="160" w:line="259" w:lineRule="auto"/>
        <w:jc w:val="both"/>
        <w:rPr>
          <w:rFonts w:ascii="Arial" w:hAnsi="Arial" w:cs="Arial"/>
          <w:bCs/>
          <w:iCs/>
          <w:kern w:val="28"/>
          <w:sz w:val="36"/>
        </w:rPr>
      </w:pPr>
      <w:r w:rsidRPr="005A4A2F">
        <w:rPr>
          <w:rFonts w:ascii="Arial" w:hAnsi="Arial" w:cs="Arial"/>
          <w:bCs/>
          <w:iCs/>
          <w:kern w:val="28"/>
          <w:sz w:val="36"/>
        </w:rPr>
        <w:t>Mortality and Morbidity in Extremely Preterm Infants: A Retrospective C</w:t>
      </w:r>
      <w:bookmarkStart w:id="0" w:name="_GoBack"/>
      <w:bookmarkEnd w:id="0"/>
      <w:r w:rsidRPr="005A4A2F">
        <w:rPr>
          <w:rFonts w:ascii="Arial" w:hAnsi="Arial" w:cs="Arial"/>
          <w:bCs/>
          <w:iCs/>
          <w:kern w:val="28"/>
          <w:sz w:val="36"/>
        </w:rPr>
        <w:t xml:space="preserve">ase Analysis and Literature Review. </w:t>
      </w:r>
    </w:p>
    <w:p w14:paraId="113F78DE" w14:textId="77777777" w:rsidR="008C172A" w:rsidRDefault="008C172A" w:rsidP="008C172A">
      <w:pPr>
        <w:pStyle w:val="Author"/>
        <w:jc w:val="center"/>
        <w:rPr>
          <w:rFonts w:ascii="Arial" w:hAnsi="Arial" w:cs="Arial"/>
        </w:rPr>
      </w:pPr>
    </w:p>
    <w:p w14:paraId="079E3F82" w14:textId="77777777" w:rsidR="00154322" w:rsidRPr="00E16339" w:rsidRDefault="00154322" w:rsidP="001807C1">
      <w:pPr>
        <w:spacing w:after="160" w:line="259" w:lineRule="auto"/>
        <w:jc w:val="both"/>
        <w:rPr>
          <w:rFonts w:ascii="Arial" w:hAnsi="Arial" w:cs="Arial"/>
          <w:bCs/>
          <w:iCs/>
          <w:kern w:val="28"/>
          <w:sz w:val="36"/>
        </w:rPr>
      </w:pPr>
    </w:p>
    <w:p w14:paraId="7E09220C" w14:textId="77777777" w:rsidR="002C57D2" w:rsidRPr="00E16339" w:rsidRDefault="002C57D2" w:rsidP="00441B6F">
      <w:pPr>
        <w:pStyle w:val="Affiliation"/>
        <w:spacing w:after="0" w:line="240" w:lineRule="auto"/>
        <w:jc w:val="both"/>
        <w:rPr>
          <w:rFonts w:ascii="Arial" w:hAnsi="Arial" w:cs="Arial"/>
        </w:rPr>
      </w:pPr>
    </w:p>
    <w:p w14:paraId="3F6C1CF9" w14:textId="47BC37DB" w:rsidR="00B01FCD" w:rsidRPr="00E16339" w:rsidRDefault="007A2ED0" w:rsidP="00441B6F">
      <w:pPr>
        <w:pStyle w:val="Copyright"/>
        <w:spacing w:after="0" w:line="240" w:lineRule="auto"/>
        <w:jc w:val="both"/>
        <w:rPr>
          <w:rFonts w:ascii="Arial" w:hAnsi="Arial" w:cs="Arial"/>
        </w:rPr>
        <w:sectPr w:rsidR="00B01FCD" w:rsidRPr="00E16339" w:rsidSect="006D1190">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sidRPr="00E16339">
        <w:rPr>
          <w:rFonts w:ascii="Arial" w:hAnsi="Arial" w:cs="Arial"/>
          <w:noProof/>
        </w:rPr>
        <mc:AlternateContent>
          <mc:Choice Requires="wps">
            <w:drawing>
              <wp:inline distT="0" distB="0" distL="0" distR="0" wp14:anchorId="2366FAD7" wp14:editId="7BECD534">
                <wp:extent cx="5303520" cy="635"/>
                <wp:effectExtent l="11430" t="10795" r="9525" b="17780"/>
                <wp:docPr id="355544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oel="http://schemas.microsoft.com/office/2019/extlst">
            <w:pict>
              <v:shapetype w14:anchorId="74AED48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E16339">
        <w:rPr>
          <w:rFonts w:ascii="Arial" w:hAnsi="Arial" w:cs="Arial"/>
        </w:rPr>
        <w:t>.</w:t>
      </w:r>
    </w:p>
    <w:p w14:paraId="31A0449D" w14:textId="3E8151C8" w:rsidR="00B01FCD" w:rsidRPr="00E16339" w:rsidRDefault="00B01FCD" w:rsidP="00441B6F">
      <w:pPr>
        <w:pStyle w:val="AbstHead"/>
        <w:spacing w:after="0"/>
        <w:jc w:val="both"/>
        <w:rPr>
          <w:rFonts w:ascii="Arial" w:hAnsi="Arial" w:cs="Arial"/>
        </w:rPr>
      </w:pPr>
      <w:r w:rsidRPr="00E16339">
        <w:rPr>
          <w:rFonts w:ascii="Arial" w:hAnsi="Arial" w:cs="Arial"/>
        </w:rPr>
        <w:t>ABSTRACT</w:t>
      </w:r>
      <w:r w:rsidR="0066510A" w:rsidRPr="00E16339">
        <w:rPr>
          <w:rFonts w:ascii="Arial" w:hAnsi="Arial" w:cs="Arial"/>
        </w:rPr>
        <w:t xml:space="preserve"> </w:t>
      </w:r>
    </w:p>
    <w:p w14:paraId="6C7511CD" w14:textId="77777777" w:rsidR="00790ADA" w:rsidRPr="00E16339" w:rsidRDefault="00790ADA" w:rsidP="007A19D0">
      <w:pPr>
        <w:pStyle w:val="AbstHead"/>
        <w:spacing w:after="0"/>
        <w:jc w:val="both"/>
        <w:rPr>
          <w:b w:val="0"/>
          <w:caps w:val="0"/>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E16339" w14:paraId="710BDB2B" w14:textId="77777777" w:rsidTr="00CC440B">
        <w:tc>
          <w:tcPr>
            <w:tcW w:w="9576" w:type="dxa"/>
            <w:shd w:val="clear" w:color="auto" w:fill="F2F2F2"/>
          </w:tcPr>
          <w:p w14:paraId="351CD737" w14:textId="77777777" w:rsidR="005A4A2F" w:rsidRPr="00EA6373" w:rsidRDefault="005A4A2F" w:rsidP="005A4A2F">
            <w:pPr>
              <w:spacing w:after="160" w:line="259" w:lineRule="auto"/>
              <w:jc w:val="both"/>
            </w:pPr>
            <w:r w:rsidRPr="00EA6373">
              <w:rPr>
                <w:b/>
                <w:bCs/>
              </w:rPr>
              <w:t>Aims:</w:t>
            </w:r>
            <w:r w:rsidRPr="00EA6373">
              <w:t xml:space="preserve"> To describe mortality and morbidity among preterm infants who died during hospitalization in a Moroccan tertiary center and to contextualize findings with the literature.</w:t>
            </w:r>
          </w:p>
          <w:p w14:paraId="2E7924A9" w14:textId="77777777" w:rsidR="005A4A2F" w:rsidRPr="00EA6373" w:rsidRDefault="005A4A2F" w:rsidP="005A4A2F">
            <w:pPr>
              <w:spacing w:after="160" w:line="259" w:lineRule="auto"/>
              <w:jc w:val="both"/>
            </w:pPr>
            <w:r w:rsidRPr="00EA6373">
              <w:rPr>
                <w:b/>
                <w:bCs/>
              </w:rPr>
              <w:t>Study Design:</w:t>
            </w:r>
            <w:r w:rsidRPr="00EA6373">
              <w:t xml:space="preserve"> Retrospective case analysis and literature review.</w:t>
            </w:r>
          </w:p>
          <w:p w14:paraId="78802C66" w14:textId="77777777" w:rsidR="005A4A2F" w:rsidRPr="00EA6373" w:rsidRDefault="005A4A2F" w:rsidP="005A4A2F">
            <w:pPr>
              <w:spacing w:after="160" w:line="259" w:lineRule="auto"/>
              <w:jc w:val="both"/>
            </w:pPr>
            <w:r w:rsidRPr="00EA6373">
              <w:rPr>
                <w:b/>
                <w:bCs/>
              </w:rPr>
              <w:t>Setting &amp; Period:</w:t>
            </w:r>
            <w:r w:rsidRPr="00EA6373">
              <w:t xml:space="preserve"> NICU, HMIMV, Rabat, Morocco; 2019–2025.</w:t>
            </w:r>
          </w:p>
          <w:p w14:paraId="6834506B" w14:textId="77777777" w:rsidR="005A4A2F" w:rsidRPr="00EA6373" w:rsidRDefault="005A4A2F" w:rsidP="005A4A2F">
            <w:pPr>
              <w:spacing w:after="160" w:line="259" w:lineRule="auto"/>
              <w:jc w:val="both"/>
            </w:pPr>
            <w:r w:rsidRPr="00EA6373">
              <w:rPr>
                <w:b/>
                <w:bCs/>
              </w:rPr>
              <w:t>Methods:</w:t>
            </w:r>
            <w:r w:rsidRPr="00EA6373">
              <w:t xml:space="preserve"> Fourteen in-hospital deaths among preterm infants were reviewed. Maternal factors, gestational age, birth weight, complications, and timing of death were abstracted.</w:t>
            </w:r>
          </w:p>
          <w:p w14:paraId="39FE1361" w14:textId="77777777" w:rsidR="005A4A2F" w:rsidRPr="00EA6373" w:rsidRDefault="005A4A2F" w:rsidP="005A4A2F">
            <w:pPr>
              <w:spacing w:after="160" w:line="259" w:lineRule="auto"/>
              <w:jc w:val="both"/>
            </w:pPr>
            <w:r w:rsidRPr="00EA6373">
              <w:rPr>
                <w:b/>
                <w:bCs/>
              </w:rPr>
              <w:t>Results:</w:t>
            </w:r>
            <w:r w:rsidRPr="00EA6373">
              <w:t xml:space="preserve"> Infections were the leading attribution (8/14; 57%), followed by respiratory distress syndrome (3/14; 21%) and congenital anomalies (3/14; 21%). Early deaths (&lt;7 days) were 3/14 (21%); late deaths (≥7 days) 11/14 (79%). All RDS-related deaths occurred early, whereas infection- and anomaly-related deaths occurred late.</w:t>
            </w:r>
          </w:p>
          <w:p w14:paraId="0AA4D855" w14:textId="633A4967" w:rsidR="007C00D0" w:rsidRPr="00E16339" w:rsidRDefault="005A4A2F" w:rsidP="005A4A2F">
            <w:pPr>
              <w:spacing w:after="160" w:line="259" w:lineRule="auto"/>
              <w:rPr>
                <w:rFonts w:ascii="Arial" w:hAnsi="Arial" w:cs="Arial"/>
              </w:rPr>
            </w:pPr>
            <w:r w:rsidRPr="00EA6373">
              <w:rPr>
                <w:b/>
                <w:bCs/>
              </w:rPr>
              <w:t>Conclusion:</w:t>
            </w:r>
            <w:r w:rsidRPr="00EA6373">
              <w:t xml:space="preserve"> Mortality among extremely/very preterm infants remains high. The predominance of late, infection-related deaths contrasts with many high-income reports and underscores priorities such as antenatal corticosteroids, Kangaroo Mother Care, early breastfeeding, and infection prevention.</w:t>
            </w:r>
          </w:p>
        </w:tc>
      </w:tr>
    </w:tbl>
    <w:p w14:paraId="6EE3EA7C" w14:textId="77777777" w:rsidR="00636EB2" w:rsidRPr="00E16339" w:rsidRDefault="00636EB2" w:rsidP="00441B6F">
      <w:pPr>
        <w:pStyle w:val="Body"/>
        <w:spacing w:after="0"/>
        <w:rPr>
          <w:rFonts w:ascii="Arial" w:hAnsi="Arial" w:cs="Arial"/>
          <w:i/>
        </w:rPr>
      </w:pPr>
    </w:p>
    <w:p w14:paraId="09938C57" w14:textId="4B0CA960" w:rsidR="005A4A2F" w:rsidRPr="00E16339" w:rsidRDefault="00A24E7E" w:rsidP="008C172A">
      <w:pPr>
        <w:spacing w:after="160" w:line="259" w:lineRule="auto"/>
        <w:jc w:val="both"/>
        <w:rPr>
          <w:rFonts w:ascii="Arial" w:hAnsi="Arial" w:cs="Arial"/>
          <w:i/>
        </w:rPr>
      </w:pPr>
      <w:r w:rsidRPr="00E16339">
        <w:rPr>
          <w:rFonts w:ascii="Arial" w:hAnsi="Arial" w:cs="Arial"/>
          <w:i/>
        </w:rPr>
        <w:t xml:space="preserve">Keywords: </w:t>
      </w:r>
      <w:r w:rsidR="005A4A2F" w:rsidRPr="009A27F9">
        <w:rPr>
          <w:rFonts w:ascii="Arial" w:hAnsi="Arial" w:cs="Arial"/>
          <w:i/>
        </w:rPr>
        <w:t>preterm birth; neonatal mortality; very preterm; infection; respiratory distress syndrome; Morocco</w:t>
      </w:r>
      <w:r w:rsidR="005A4A2F" w:rsidRPr="00E16339">
        <w:rPr>
          <w:rFonts w:ascii="Arial" w:hAnsi="Arial" w:cs="Arial"/>
          <w:i/>
        </w:rPr>
        <w:t>.</w:t>
      </w:r>
    </w:p>
    <w:p w14:paraId="7B3EA54D" w14:textId="56361C41" w:rsidR="00253381" w:rsidRPr="00E16339" w:rsidRDefault="00902823" w:rsidP="00CC440B">
      <w:pPr>
        <w:pStyle w:val="AbstHead"/>
        <w:spacing w:after="0"/>
        <w:jc w:val="both"/>
        <w:rPr>
          <w:rFonts w:ascii="Arial" w:hAnsi="Arial" w:cs="Arial"/>
        </w:rPr>
      </w:pPr>
      <w:r w:rsidRPr="00E16339">
        <w:rPr>
          <w:rFonts w:ascii="Arial" w:hAnsi="Arial" w:cs="Arial"/>
        </w:rPr>
        <w:t xml:space="preserve">1. </w:t>
      </w:r>
      <w:r w:rsidR="00B01FCD" w:rsidRPr="00E16339">
        <w:rPr>
          <w:rFonts w:ascii="Arial" w:hAnsi="Arial" w:cs="Arial"/>
        </w:rPr>
        <w:t>INTRODUCTION</w:t>
      </w:r>
      <w:r w:rsidR="007F7B32" w:rsidRPr="00E16339">
        <w:rPr>
          <w:rFonts w:ascii="Arial" w:hAnsi="Arial" w:cs="Arial"/>
        </w:rPr>
        <w:t xml:space="preserve"> </w:t>
      </w:r>
    </w:p>
    <w:p w14:paraId="3B29AC30" w14:textId="77777777" w:rsidR="005A4A2F" w:rsidRDefault="007C00D0" w:rsidP="005A4A2F">
      <w:pPr>
        <w:spacing w:after="160" w:line="259" w:lineRule="auto"/>
      </w:pPr>
      <w:r w:rsidRPr="00E16339">
        <w:rPr>
          <w:rFonts w:ascii="Arial" w:hAnsi="Arial" w:cs="Arial"/>
        </w:rPr>
        <w:br/>
      </w:r>
      <w:r w:rsidR="005A4A2F">
        <w:t>Preterm birth remains the leading cause of neonatal mortality worldwide. According to the 2024 UN-IGME estimates [1], recent progress in reducing newborn deaths has slowed and large disparities persist between high- and low-income settings. Within this context, we describe mortality and morbidity among preterm infants who died during hospitalization in a Moroccan tertiary center and contextualize these findings with the literature, with particular attention to the timing and primary attributions of death.</w:t>
      </w:r>
    </w:p>
    <w:p w14:paraId="48BF8F38" w14:textId="77777777" w:rsidR="005A4A2F" w:rsidRDefault="005A4A2F" w:rsidP="005A4A2F">
      <w:pPr>
        <w:spacing w:after="160" w:line="259" w:lineRule="auto"/>
      </w:pPr>
      <w:r>
        <w:lastRenderedPageBreak/>
        <w:t>Preterm birth is defined as delivery before 37 completed weeks of gestation [2]. Outcomes for extremely preterm and very low birth weight infants vary widely across settings due to differences in resources, perinatal practices, and postnatal care capacity [3]. These differences can influence both the distribution of primary attributions of death (e.g., respiratory distress syndrome vs. infection) and the timing of mortality within the neonatal period.</w:t>
      </w:r>
    </w:p>
    <w:p w14:paraId="714696C5" w14:textId="17DAB035" w:rsidR="001F0B3A" w:rsidRPr="005A4A2F" w:rsidRDefault="005A4A2F" w:rsidP="005A4A2F">
      <w:pPr>
        <w:spacing w:after="160" w:line="259" w:lineRule="auto"/>
      </w:pPr>
      <w:r>
        <w:t xml:space="preserve">Despite a growing body of global data, evidence from North African tertiary centers remains limited, and many reports aggregate survivors and non-survivors, obscuring patterns specific to in-hospital deaths. To address this gap, we conducted a retrospective case analysis in the neonatal intensive care unit (NICU) of </w:t>
      </w:r>
      <w:proofErr w:type="spellStart"/>
      <w:r>
        <w:t>Hôpital</w:t>
      </w:r>
      <w:proofErr w:type="spellEnd"/>
      <w:r>
        <w:t xml:space="preserve"> </w:t>
      </w:r>
      <w:proofErr w:type="spellStart"/>
      <w:r>
        <w:t>d’Enfants</w:t>
      </w:r>
      <w:proofErr w:type="spellEnd"/>
      <w:r>
        <w:t xml:space="preserve"> HMIMV, Rabat (2019–2025), focusing on preterm infants who died during hospitalization. Our objectives were to characterize maternal and neonatal profiles, identify the primary attributions of death, and examine their timing, thereby highlighting pragmatic opportunities for quality improvement in similar resource-constrained settings.</w:t>
      </w:r>
    </w:p>
    <w:p w14:paraId="18535F5A" w14:textId="77777777" w:rsidR="00790ADA" w:rsidRPr="00E16339" w:rsidRDefault="00790ADA" w:rsidP="00441B6F">
      <w:pPr>
        <w:pStyle w:val="Body"/>
        <w:spacing w:after="0"/>
        <w:rPr>
          <w:rFonts w:ascii="Arial" w:hAnsi="Arial" w:cs="Arial"/>
        </w:rPr>
      </w:pPr>
    </w:p>
    <w:p w14:paraId="517DAB9A" w14:textId="088E725A" w:rsidR="007F7B32" w:rsidRPr="00E16339" w:rsidRDefault="00902823" w:rsidP="00441B6F">
      <w:pPr>
        <w:pStyle w:val="AbstHead"/>
        <w:spacing w:after="0"/>
        <w:jc w:val="both"/>
        <w:rPr>
          <w:rFonts w:ascii="Arial" w:hAnsi="Arial" w:cs="Arial"/>
        </w:rPr>
      </w:pPr>
      <w:r w:rsidRPr="00E16339">
        <w:t>2. MATERIAL AND METHODS</w:t>
      </w:r>
    </w:p>
    <w:p w14:paraId="300AE9D8" w14:textId="77777777" w:rsidR="005A4A2F" w:rsidRPr="007511FE" w:rsidRDefault="005A4A2F" w:rsidP="005A4A2F">
      <w:pPr>
        <w:spacing w:after="160" w:line="259" w:lineRule="auto"/>
        <w:jc w:val="both"/>
        <w:rPr>
          <w:rFonts w:ascii="Arial" w:hAnsi="Arial" w:cs="Arial"/>
        </w:rPr>
      </w:pPr>
    </w:p>
    <w:p w14:paraId="2DB9C22F" w14:textId="77777777" w:rsidR="005A4A2F" w:rsidRPr="007511FE" w:rsidRDefault="005A4A2F" w:rsidP="005A4A2F">
      <w:pPr>
        <w:spacing w:after="160" w:line="259" w:lineRule="auto"/>
        <w:jc w:val="both"/>
        <w:rPr>
          <w:rFonts w:ascii="Arial" w:hAnsi="Arial" w:cs="Arial"/>
        </w:rPr>
      </w:pPr>
      <w:r w:rsidRPr="007511FE">
        <w:rPr>
          <w:rFonts w:ascii="Arial" w:hAnsi="Arial" w:cs="Arial"/>
        </w:rPr>
        <w:t>This retrospective descriptive study was conducted in the Neonatology Department of HMIMV, Rabat, Morocco, between January 2019 and March 2025. Fourteen in-hospital deaths among preterm infants were identified from hospital records. Given the rarity of these events and feasibility constraints, a retrospective design was chosen to ensure complete case capture and to provide a baseline for quality-improvement work.</w:t>
      </w:r>
    </w:p>
    <w:p w14:paraId="4A5B6030" w14:textId="77777777" w:rsidR="005A4A2F" w:rsidRPr="007511FE" w:rsidRDefault="005A4A2F" w:rsidP="005A4A2F">
      <w:pPr>
        <w:spacing w:after="160" w:line="259" w:lineRule="auto"/>
        <w:jc w:val="both"/>
        <w:rPr>
          <w:rFonts w:ascii="Arial" w:hAnsi="Arial" w:cs="Arial"/>
          <w:b/>
          <w:bCs/>
        </w:rPr>
      </w:pPr>
      <w:r w:rsidRPr="007511FE">
        <w:rPr>
          <w:rFonts w:ascii="Arial" w:hAnsi="Arial" w:cs="Arial"/>
          <w:b/>
          <w:bCs/>
        </w:rPr>
        <w:t>Inclusion and exclusion criteria</w:t>
      </w:r>
    </w:p>
    <w:p w14:paraId="2E85E67C" w14:textId="77777777" w:rsidR="005A4A2F" w:rsidRPr="007511FE" w:rsidRDefault="005A4A2F" w:rsidP="005A4A2F">
      <w:pPr>
        <w:spacing w:after="160" w:line="259" w:lineRule="auto"/>
        <w:jc w:val="both"/>
        <w:rPr>
          <w:rFonts w:ascii="Arial" w:hAnsi="Arial" w:cs="Arial"/>
        </w:rPr>
      </w:pPr>
      <w:r w:rsidRPr="007511FE">
        <w:rPr>
          <w:rFonts w:ascii="Arial" w:hAnsi="Arial" w:cs="Arial"/>
        </w:rPr>
        <w:t>We included all preterm infants (gestational age &lt;37 completed weeks) admitted to the unit who died before discharge during their index hospitalization in the study period. We excluded term infants, out-of-hospital deaths, and cases with missing essential data on gestational age or outcome. When multiple admissions occurred for the same infant, only the terminal admission was considered.</w:t>
      </w:r>
    </w:p>
    <w:p w14:paraId="61E7DCBD" w14:textId="77777777" w:rsidR="005A4A2F" w:rsidRPr="007511FE" w:rsidRDefault="005A4A2F" w:rsidP="005A4A2F">
      <w:pPr>
        <w:spacing w:after="160" w:line="259" w:lineRule="auto"/>
        <w:jc w:val="both"/>
        <w:rPr>
          <w:rFonts w:ascii="Arial" w:hAnsi="Arial" w:cs="Arial"/>
          <w:b/>
          <w:bCs/>
        </w:rPr>
      </w:pPr>
      <w:r w:rsidRPr="007511FE">
        <w:rPr>
          <w:rFonts w:ascii="Arial" w:hAnsi="Arial" w:cs="Arial"/>
          <w:b/>
          <w:bCs/>
        </w:rPr>
        <w:t>Data collection and variables</w:t>
      </w:r>
    </w:p>
    <w:p w14:paraId="170C399F" w14:textId="77777777" w:rsidR="005A4A2F" w:rsidRPr="007511FE" w:rsidRDefault="005A4A2F" w:rsidP="005A4A2F">
      <w:pPr>
        <w:spacing w:after="160" w:line="259" w:lineRule="auto"/>
        <w:jc w:val="both"/>
        <w:rPr>
          <w:rFonts w:ascii="Arial" w:hAnsi="Arial" w:cs="Arial"/>
        </w:rPr>
      </w:pPr>
      <w:r w:rsidRPr="007511FE">
        <w:rPr>
          <w:rFonts w:ascii="Arial" w:hAnsi="Arial" w:cs="Arial"/>
        </w:rPr>
        <w:t>For each case, maternal and neonatal variables were extracted from the medical record using a standardized sheet. Maternal variables included age, parity, history of miscarriage/abortion, prior preterm birth, hypertensive disorders of pregnancy (including preeclampsia), and infections. Mode of delivery (vaginal or cesarean) and its indication were recorded. Neonatal variables included gestational age (completed weeks), birth weight, anthropometric measurements, and Apgar scores at 1 and 5 minutes. Neonatal complications assessed were respiratory distress syndrome (RDS), sepsis, necrotizing enterocolitis (NEC), intraventricular hemorrhage (IVH), congenital anomalies, and metabolic disorders.</w:t>
      </w:r>
    </w:p>
    <w:p w14:paraId="4B0B3F02" w14:textId="77777777" w:rsidR="005A4A2F" w:rsidRPr="007511FE" w:rsidRDefault="005A4A2F" w:rsidP="005A4A2F">
      <w:pPr>
        <w:spacing w:after="160" w:line="259" w:lineRule="auto"/>
        <w:jc w:val="both"/>
        <w:rPr>
          <w:rFonts w:ascii="Arial" w:hAnsi="Arial" w:cs="Arial"/>
          <w:b/>
          <w:bCs/>
        </w:rPr>
      </w:pPr>
      <w:r w:rsidRPr="007511FE">
        <w:rPr>
          <w:rFonts w:ascii="Arial" w:hAnsi="Arial" w:cs="Arial"/>
          <w:b/>
          <w:bCs/>
        </w:rPr>
        <w:t>Death attribution and timing</w:t>
      </w:r>
    </w:p>
    <w:p w14:paraId="097D1D0D" w14:textId="77777777" w:rsidR="005A4A2F" w:rsidRPr="007511FE" w:rsidRDefault="005A4A2F" w:rsidP="005A4A2F">
      <w:pPr>
        <w:spacing w:after="160" w:line="259" w:lineRule="auto"/>
        <w:jc w:val="both"/>
        <w:rPr>
          <w:rFonts w:ascii="Arial" w:hAnsi="Arial" w:cs="Arial"/>
        </w:rPr>
      </w:pPr>
      <w:r w:rsidRPr="007511FE">
        <w:rPr>
          <w:rFonts w:ascii="Arial" w:hAnsi="Arial" w:cs="Arial"/>
        </w:rPr>
        <w:t>For reporting consistency across tables and text, each death was assigned a primary attribution based on the treating team’s documentation and grouped into three categories: (</w:t>
      </w:r>
      <w:proofErr w:type="spellStart"/>
      <w:r w:rsidRPr="007511FE">
        <w:rPr>
          <w:rFonts w:ascii="Arial" w:hAnsi="Arial" w:cs="Arial"/>
        </w:rPr>
        <w:t>i</w:t>
      </w:r>
      <w:proofErr w:type="spellEnd"/>
      <w:r w:rsidRPr="007511FE">
        <w:rPr>
          <w:rFonts w:ascii="Arial" w:hAnsi="Arial" w:cs="Arial"/>
        </w:rPr>
        <w:t>) infection (suspected/confirmed sepsis, pneumonia, or meningitis), (ii) respiratory distress syndrome (RDS), and (iii) congenital anomalies (structural or chromosomal). Timing of death was summarized in two ways: (a) a dichotomous classification—early (&lt;7 completed days of life) versus late (≥7 days)—and (b) finer descriptive bands to aid interpretation: &lt;24 hours, 1–</w:t>
      </w:r>
      <w:r w:rsidRPr="007511FE">
        <w:rPr>
          <w:rFonts w:ascii="Arial" w:hAnsi="Arial" w:cs="Arial"/>
        </w:rPr>
        <w:lastRenderedPageBreak/>
        <w:t>6 days, and ≥7 days. When the exact hour of death was unavailable, timing was assigned using the best available documentation in the chart.</w:t>
      </w:r>
    </w:p>
    <w:p w14:paraId="1FD02FBA" w14:textId="77777777" w:rsidR="005A4A2F" w:rsidRPr="007511FE" w:rsidRDefault="005A4A2F" w:rsidP="005A4A2F">
      <w:pPr>
        <w:spacing w:after="160" w:line="259" w:lineRule="auto"/>
        <w:jc w:val="both"/>
        <w:rPr>
          <w:rFonts w:ascii="Arial" w:hAnsi="Arial" w:cs="Arial"/>
          <w:b/>
          <w:bCs/>
        </w:rPr>
      </w:pPr>
      <w:r w:rsidRPr="007511FE">
        <w:rPr>
          <w:rFonts w:ascii="Arial" w:hAnsi="Arial" w:cs="Arial"/>
          <w:b/>
          <w:bCs/>
        </w:rPr>
        <w:t>Statistical analysis and comparative context</w:t>
      </w:r>
    </w:p>
    <w:p w14:paraId="10C3A84C" w14:textId="77777777" w:rsidR="005A4A2F" w:rsidRPr="007511FE" w:rsidRDefault="005A4A2F" w:rsidP="005A4A2F">
      <w:pPr>
        <w:spacing w:after="160" w:line="259" w:lineRule="auto"/>
        <w:jc w:val="both"/>
        <w:rPr>
          <w:rFonts w:ascii="Arial" w:hAnsi="Arial" w:cs="Arial"/>
        </w:rPr>
      </w:pPr>
      <w:r w:rsidRPr="007511FE">
        <w:rPr>
          <w:rFonts w:ascii="Arial" w:hAnsi="Arial" w:cs="Arial"/>
        </w:rPr>
        <w:t>The primary analysis was descriptive. Categorical variables are presented as counts and percentages; continuous variables as means with standard deviations or medians with interquartile ranges, as appropriate. Denominators reflect available data (fields missing in the chart were excluded from percentage calculations). No formal hypothesis testing was performed. To situate our findings, we narratively compared patterns with selected published series from Ethiopia, Tunisia, Ghana, Trinidad and Tobago, and cohorts from high-income countries.</w:t>
      </w:r>
    </w:p>
    <w:p w14:paraId="3D1C2827" w14:textId="77777777" w:rsidR="005A4A2F" w:rsidRPr="007511FE" w:rsidRDefault="005A4A2F" w:rsidP="005A4A2F">
      <w:pPr>
        <w:spacing w:after="160" w:line="259" w:lineRule="auto"/>
        <w:jc w:val="both"/>
        <w:rPr>
          <w:rFonts w:ascii="Arial" w:hAnsi="Arial" w:cs="Arial"/>
          <w:b/>
          <w:bCs/>
        </w:rPr>
      </w:pPr>
      <w:r w:rsidRPr="007511FE">
        <w:rPr>
          <w:rFonts w:ascii="Arial" w:hAnsi="Arial" w:cs="Arial"/>
          <w:b/>
          <w:bCs/>
        </w:rPr>
        <w:t>Ethics</w:t>
      </w:r>
    </w:p>
    <w:p w14:paraId="77220E30" w14:textId="54EDEA68" w:rsidR="00202CE6" w:rsidRDefault="005A4A2F" w:rsidP="005A4A2F">
      <w:pPr>
        <w:spacing w:after="160" w:line="259" w:lineRule="auto"/>
        <w:jc w:val="both"/>
        <w:rPr>
          <w:rFonts w:ascii="Arial" w:hAnsi="Arial" w:cs="Arial"/>
        </w:rPr>
      </w:pPr>
      <w:r w:rsidRPr="007511FE">
        <w:rPr>
          <w:rFonts w:ascii="Arial" w:hAnsi="Arial" w:cs="Arial"/>
        </w:rPr>
        <w:t>This retrospective analysis used anonymized data. The institutional review board approved the study protocol and granted a waiver of individual informed consent due to the retrospective design and use of de-identified records.</w:t>
      </w:r>
    </w:p>
    <w:p w14:paraId="7793E7A7" w14:textId="77777777" w:rsidR="00202CE6" w:rsidRPr="00E16339" w:rsidRDefault="00202CE6" w:rsidP="00441B6F">
      <w:pPr>
        <w:pStyle w:val="Body"/>
        <w:spacing w:after="0"/>
        <w:rPr>
          <w:rFonts w:ascii="Arial" w:hAnsi="Arial" w:cs="Arial"/>
        </w:rPr>
      </w:pPr>
    </w:p>
    <w:p w14:paraId="374047A7" w14:textId="22096F89" w:rsidR="00902823" w:rsidRPr="00E16339" w:rsidRDefault="00000F8F" w:rsidP="00441B6F">
      <w:pPr>
        <w:pStyle w:val="Head1"/>
        <w:spacing w:after="0"/>
        <w:jc w:val="both"/>
        <w:rPr>
          <w:rFonts w:ascii="Arial" w:hAnsi="Arial" w:cs="Arial"/>
        </w:rPr>
      </w:pPr>
      <w:r w:rsidRPr="00E16339">
        <w:t xml:space="preserve">3. RESULTS </w:t>
      </w:r>
    </w:p>
    <w:p w14:paraId="32E97D50" w14:textId="77777777" w:rsidR="00253381" w:rsidRPr="00E16339" w:rsidRDefault="00253381" w:rsidP="00253381">
      <w:pPr>
        <w:spacing w:after="160" w:line="259" w:lineRule="auto"/>
      </w:pPr>
    </w:p>
    <w:p w14:paraId="3900F686" w14:textId="77777777" w:rsidR="005A4A2F" w:rsidRPr="00635263" w:rsidRDefault="005A4A2F" w:rsidP="005A4A2F">
      <w:pPr>
        <w:spacing w:after="160" w:line="259" w:lineRule="auto"/>
        <w:jc w:val="both"/>
        <w:rPr>
          <w:rFonts w:ascii="Arial" w:hAnsi="Arial" w:cs="Arial"/>
        </w:rPr>
      </w:pPr>
      <w:r w:rsidRPr="00017387">
        <w:rPr>
          <w:rFonts w:ascii="Arial" w:hAnsi="Arial" w:cs="Arial"/>
          <w:b/>
          <w:bCs/>
        </w:rPr>
        <w:t>Cohort overview.</w:t>
      </w:r>
      <w:r w:rsidRPr="00017387">
        <w:rPr>
          <w:rFonts w:ascii="Arial" w:hAnsi="Arial" w:cs="Arial"/>
        </w:rPr>
        <w:t xml:space="preserve"> Fourteen preterm infants died during their hospital stay. The mean gestational age was 29.4 weeks (range 27–33) and the mean birth weight was 1,350 g (range 900–1,900).</w:t>
      </w:r>
      <w:r w:rsidRPr="00030B81">
        <w:rPr>
          <w:rFonts w:ascii="Courier New" w:hAnsi="Courier New" w:cs="Courier New"/>
          <w:b/>
          <w:lang w:eastAsia="fr-MA"/>
        </w:rPr>
        <w:t xml:space="preserve"> </w:t>
      </w:r>
      <w:r w:rsidRPr="00635263">
        <w:rPr>
          <w:rFonts w:ascii="Arial" w:hAnsi="Arial" w:cs="Arial"/>
        </w:rPr>
        <w:t>Baseline characteristics are summarized in Table 1</w:t>
      </w:r>
      <w:r w:rsidRPr="005677A4">
        <w:rPr>
          <w:rFonts w:ascii="Arial" w:hAnsi="Arial" w:cs="Arial"/>
        </w:rPr>
        <w:t>. Figure 1 shows the relationship between gestational age, birth weight, and cause of death.</w:t>
      </w:r>
    </w:p>
    <w:p w14:paraId="74FE4F4A" w14:textId="77777777" w:rsidR="005A4A2F" w:rsidRPr="00017387" w:rsidRDefault="005A4A2F" w:rsidP="005A4A2F">
      <w:pPr>
        <w:spacing w:after="160" w:line="259" w:lineRule="auto"/>
        <w:jc w:val="both"/>
        <w:rPr>
          <w:rFonts w:ascii="Arial" w:hAnsi="Arial" w:cs="Arial"/>
        </w:rPr>
      </w:pPr>
      <w:r w:rsidRPr="00017387">
        <w:rPr>
          <w:rFonts w:ascii="Arial" w:hAnsi="Arial" w:cs="Arial"/>
          <w:b/>
          <w:bCs/>
        </w:rPr>
        <w:t>Attribution of death.</w:t>
      </w:r>
      <w:r w:rsidRPr="00017387">
        <w:rPr>
          <w:rFonts w:ascii="Arial" w:hAnsi="Arial" w:cs="Arial"/>
        </w:rPr>
        <w:t xml:space="preserve"> Infections were the leading attribution, accounting for 8 of 14 deaths (57%). Three deaths (21%) were linked primarily to respiratory distress syndrome, and three (21%) to congenital anomalies. Additional major complications documented were necrotizing enterocolitis in 2 infants (14%), intraventricular hemorrhage in 1 (7%), and a metabolic disorder in 1 (7%) (</w:t>
      </w:r>
      <w:r w:rsidRPr="00C541B8">
        <w:rPr>
          <w:rFonts w:ascii="Arial" w:hAnsi="Arial" w:cs="Arial"/>
        </w:rPr>
        <w:t>Table 2; Table 2a</w:t>
      </w:r>
      <w:r w:rsidRPr="005677A4">
        <w:rPr>
          <w:rFonts w:ascii="Arial" w:hAnsi="Arial" w:cs="Arial"/>
        </w:rPr>
        <w:t>).</w:t>
      </w:r>
    </w:p>
    <w:p w14:paraId="5B34B734" w14:textId="77777777" w:rsidR="005A4A2F" w:rsidRPr="00017387" w:rsidRDefault="005A4A2F" w:rsidP="005A4A2F">
      <w:pPr>
        <w:spacing w:after="160" w:line="259" w:lineRule="auto"/>
        <w:jc w:val="both"/>
        <w:rPr>
          <w:rFonts w:ascii="Arial" w:hAnsi="Arial" w:cs="Arial"/>
        </w:rPr>
      </w:pPr>
      <w:r w:rsidRPr="00017387">
        <w:rPr>
          <w:rFonts w:ascii="Arial" w:hAnsi="Arial" w:cs="Arial"/>
          <w:b/>
          <w:bCs/>
        </w:rPr>
        <w:t>Temporal pattern.</w:t>
      </w:r>
      <w:r w:rsidRPr="00017387">
        <w:rPr>
          <w:rFonts w:ascii="Arial" w:hAnsi="Arial" w:cs="Arial"/>
        </w:rPr>
        <w:t xml:space="preserve"> Deaths before day 7 numbered 3/14 (21%), whereas 11/14 (79%) occurred on or after day 7 (Table 3).</w:t>
      </w:r>
    </w:p>
    <w:p w14:paraId="10652055" w14:textId="77777777" w:rsidR="005A4A2F" w:rsidRPr="00017387" w:rsidRDefault="005A4A2F" w:rsidP="005A4A2F">
      <w:pPr>
        <w:spacing w:after="160" w:line="259" w:lineRule="auto"/>
        <w:jc w:val="both"/>
        <w:rPr>
          <w:rFonts w:ascii="Arial" w:hAnsi="Arial" w:cs="Arial"/>
        </w:rPr>
      </w:pPr>
      <w:r w:rsidRPr="00017387">
        <w:rPr>
          <w:rFonts w:ascii="Arial" w:hAnsi="Arial" w:cs="Arial"/>
          <w:b/>
          <w:bCs/>
        </w:rPr>
        <w:t>Cause-by-timing view</w:t>
      </w:r>
      <w:r w:rsidRPr="00017387">
        <w:rPr>
          <w:rFonts w:ascii="Arial" w:hAnsi="Arial" w:cs="Arial"/>
        </w:rPr>
        <w:t>. All deaths attributed to respiratory distress syndrome occurred within the first week; infection-related deaths and deaths associated with congenital anomalies occurred from day 7 onward.</w:t>
      </w:r>
    </w:p>
    <w:p w14:paraId="1EC1F5DE" w14:textId="713D133D" w:rsidR="005A4A2F" w:rsidRPr="008C172A" w:rsidRDefault="005A4A2F" w:rsidP="008C172A">
      <w:pPr>
        <w:spacing w:after="160" w:line="259" w:lineRule="auto"/>
        <w:jc w:val="both"/>
        <w:rPr>
          <w:rFonts w:ascii="Arial" w:hAnsi="Arial" w:cs="Arial"/>
        </w:rPr>
      </w:pPr>
      <w:r w:rsidRPr="00017387">
        <w:rPr>
          <w:rFonts w:ascii="Arial" w:hAnsi="Arial" w:cs="Arial"/>
          <w:b/>
          <w:bCs/>
        </w:rPr>
        <w:t>Context.</w:t>
      </w:r>
      <w:r w:rsidRPr="00017387">
        <w:rPr>
          <w:rFonts w:ascii="Arial" w:hAnsi="Arial" w:cs="Arial"/>
        </w:rPr>
        <w:t xml:space="preserve"> The prominence of late, infection-related deaths contrasts with many reports from high-income settings and resembles patterns described in comparable low- and middle-income hospitals.</w:t>
      </w:r>
    </w:p>
    <w:p w14:paraId="708874C0" w14:textId="3582AD3F" w:rsidR="005A4A2F" w:rsidRPr="00E16339" w:rsidRDefault="005A4A2F" w:rsidP="008C172A">
      <w:pPr>
        <w:spacing w:after="160" w:line="259" w:lineRule="auto"/>
        <w:jc w:val="both"/>
        <w:rPr>
          <w:rFonts w:ascii="Arial" w:hAnsi="Arial" w:cs="Arial"/>
          <w:b/>
          <w:bCs/>
        </w:rPr>
      </w:pPr>
      <w:r w:rsidRPr="00E16339">
        <w:rPr>
          <w:rFonts w:ascii="Arial" w:hAnsi="Arial" w:cs="Arial"/>
          <w:b/>
          <w:bCs/>
        </w:rPr>
        <w:t xml:space="preserve">Figures: </w:t>
      </w:r>
    </w:p>
    <w:p w14:paraId="3DF3EB14" w14:textId="77777777" w:rsidR="005A4A2F" w:rsidRPr="00E16339" w:rsidRDefault="005A4A2F" w:rsidP="005A4A2F">
      <w:pPr>
        <w:spacing w:after="160" w:line="259" w:lineRule="auto"/>
        <w:jc w:val="both"/>
        <w:rPr>
          <w:rFonts w:ascii="Arial" w:hAnsi="Arial" w:cs="Arial"/>
        </w:rPr>
      </w:pPr>
      <w:r w:rsidRPr="00E16339">
        <w:rPr>
          <w:rFonts w:ascii="Arial" w:hAnsi="Arial" w:cs="Arial"/>
        </w:rPr>
        <w:t>Figure 1. Relationship between gestational age, birth weight, and cause of death (n=14). Each point represents a preterm infant. Colors indicate main cause: RDS, infections, or anomalies.</w:t>
      </w:r>
    </w:p>
    <w:p w14:paraId="5542558D" w14:textId="74CEEE4D" w:rsidR="005A4A2F" w:rsidRPr="00E16339" w:rsidRDefault="005A4A2F" w:rsidP="008C172A">
      <w:pPr>
        <w:spacing w:after="160" w:line="259" w:lineRule="auto"/>
        <w:jc w:val="center"/>
        <w:rPr>
          <w:rFonts w:ascii="Arial" w:hAnsi="Arial" w:cs="Arial"/>
        </w:rPr>
      </w:pPr>
      <w:r w:rsidRPr="00E16339">
        <w:rPr>
          <w:noProof/>
        </w:rPr>
        <w:lastRenderedPageBreak/>
        <w:drawing>
          <wp:inline distT="0" distB="0" distL="0" distR="0" wp14:anchorId="2982E935" wp14:editId="1E394C94">
            <wp:extent cx="3439886" cy="2656189"/>
            <wp:effectExtent l="0" t="0" r="8255" b="0"/>
            <wp:docPr id="6191036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86732" cy="2692362"/>
                    </a:xfrm>
                    <a:prstGeom prst="rect">
                      <a:avLst/>
                    </a:prstGeom>
                    <a:noFill/>
                    <a:ln>
                      <a:noFill/>
                    </a:ln>
                  </pic:spPr>
                </pic:pic>
              </a:graphicData>
            </a:graphic>
          </wp:inline>
        </w:drawing>
      </w:r>
    </w:p>
    <w:p w14:paraId="6CD8F430" w14:textId="77777777" w:rsidR="005A4A2F" w:rsidRPr="00E16339" w:rsidRDefault="005A4A2F" w:rsidP="005A4A2F">
      <w:pPr>
        <w:spacing w:after="160" w:line="259" w:lineRule="auto"/>
        <w:jc w:val="both"/>
        <w:rPr>
          <w:rFonts w:ascii="Arial" w:hAnsi="Arial" w:cs="Arial"/>
        </w:rPr>
      </w:pPr>
      <w:r w:rsidRPr="00E16339">
        <w:rPr>
          <w:rFonts w:ascii="Arial" w:hAnsi="Arial" w:cs="Arial"/>
        </w:rPr>
        <w:t>Figure 2. Gestational age by maternal age category. Boxplot showing lower GA at birth in infants of mothers ≥35 years.</w:t>
      </w:r>
    </w:p>
    <w:p w14:paraId="5A1CB9D7" w14:textId="77777777" w:rsidR="005A4A2F" w:rsidRPr="00E16339" w:rsidRDefault="005A4A2F" w:rsidP="005A4A2F">
      <w:pPr>
        <w:spacing w:after="160" w:line="259" w:lineRule="auto"/>
        <w:jc w:val="center"/>
      </w:pPr>
      <w:r w:rsidRPr="00E16339">
        <w:rPr>
          <w:noProof/>
        </w:rPr>
        <w:drawing>
          <wp:inline distT="0" distB="0" distL="0" distR="0" wp14:anchorId="173B97B2" wp14:editId="6437378B">
            <wp:extent cx="3592286" cy="3379147"/>
            <wp:effectExtent l="0" t="0" r="8255" b="0"/>
            <wp:docPr id="55651530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21366" cy="3406502"/>
                    </a:xfrm>
                    <a:prstGeom prst="rect">
                      <a:avLst/>
                    </a:prstGeom>
                    <a:noFill/>
                    <a:ln>
                      <a:noFill/>
                    </a:ln>
                  </pic:spPr>
                </pic:pic>
              </a:graphicData>
            </a:graphic>
          </wp:inline>
        </w:drawing>
      </w:r>
    </w:p>
    <w:p w14:paraId="22CB9E6B" w14:textId="77777777" w:rsidR="005A4A2F" w:rsidRPr="00E16339" w:rsidRDefault="005A4A2F" w:rsidP="005A4A2F">
      <w:pPr>
        <w:spacing w:after="160" w:line="259" w:lineRule="auto"/>
        <w:jc w:val="both"/>
        <w:rPr>
          <w:rFonts w:ascii="Arial" w:hAnsi="Arial" w:cs="Arial"/>
          <w:b/>
          <w:bCs/>
        </w:rPr>
      </w:pPr>
      <w:r w:rsidRPr="00E16339">
        <w:rPr>
          <w:rFonts w:ascii="Arial" w:hAnsi="Arial" w:cs="Arial"/>
          <w:b/>
          <w:bCs/>
        </w:rPr>
        <w:t>Tables</w:t>
      </w:r>
    </w:p>
    <w:p w14:paraId="788943B0" w14:textId="77777777" w:rsidR="005A4A2F" w:rsidRPr="00E16339" w:rsidRDefault="005A4A2F" w:rsidP="005A4A2F">
      <w:pPr>
        <w:spacing w:after="160" w:line="259" w:lineRule="auto"/>
        <w:jc w:val="both"/>
        <w:rPr>
          <w:rFonts w:ascii="Arial" w:hAnsi="Arial" w:cs="Arial"/>
        </w:rPr>
      </w:pPr>
      <w:r>
        <w:t>Table 1. Baseline characteristics of preterm infants (N=14).</w:t>
      </w:r>
    </w:p>
    <w:tbl>
      <w:tblPr>
        <w:tblStyle w:val="PlainTable2"/>
        <w:tblW w:w="0" w:type="auto"/>
        <w:tblLook w:val="04A0" w:firstRow="1" w:lastRow="0" w:firstColumn="1" w:lastColumn="0" w:noHBand="0" w:noVBand="1"/>
      </w:tblPr>
      <w:tblGrid>
        <w:gridCol w:w="4112"/>
        <w:gridCol w:w="4096"/>
      </w:tblGrid>
      <w:tr w:rsidR="005A4A2F" w14:paraId="0AB5B972" w14:textId="77777777" w:rsidTr="007269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44F6A874" w14:textId="77777777" w:rsidR="005A4A2F" w:rsidRDefault="005A4A2F" w:rsidP="00726990">
            <w:r>
              <w:t>Variable</w:t>
            </w:r>
          </w:p>
        </w:tc>
        <w:tc>
          <w:tcPr>
            <w:tcW w:w="4320" w:type="dxa"/>
          </w:tcPr>
          <w:p w14:paraId="45A94B2C" w14:textId="77777777" w:rsidR="005A4A2F" w:rsidRDefault="005A4A2F" w:rsidP="00726990">
            <w:pPr>
              <w:cnfStyle w:val="100000000000" w:firstRow="1" w:lastRow="0" w:firstColumn="0" w:lastColumn="0" w:oddVBand="0" w:evenVBand="0" w:oddHBand="0" w:evenHBand="0" w:firstRowFirstColumn="0" w:firstRowLastColumn="0" w:lastRowFirstColumn="0" w:lastRowLastColumn="0"/>
            </w:pPr>
            <w:r>
              <w:t>Findings</w:t>
            </w:r>
          </w:p>
        </w:tc>
      </w:tr>
      <w:tr w:rsidR="005A4A2F" w14:paraId="1B0F8F0B" w14:textId="77777777" w:rsidTr="00726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7897F173" w14:textId="77777777" w:rsidR="005A4A2F" w:rsidRDefault="005A4A2F" w:rsidP="00726990">
            <w:r>
              <w:t>Mean gestational age (weeks)</w:t>
            </w:r>
          </w:p>
        </w:tc>
        <w:tc>
          <w:tcPr>
            <w:tcW w:w="4320" w:type="dxa"/>
          </w:tcPr>
          <w:p w14:paraId="7816BAF7" w14:textId="77777777" w:rsidR="005A4A2F" w:rsidRDefault="005A4A2F" w:rsidP="00726990">
            <w:pPr>
              <w:cnfStyle w:val="000000100000" w:firstRow="0" w:lastRow="0" w:firstColumn="0" w:lastColumn="0" w:oddVBand="0" w:evenVBand="0" w:oddHBand="1" w:evenHBand="0" w:firstRowFirstColumn="0" w:firstRowLastColumn="0" w:lastRowFirstColumn="0" w:lastRowLastColumn="0"/>
            </w:pPr>
            <w:r>
              <w:t>29.4 (range: 27–33)</w:t>
            </w:r>
          </w:p>
        </w:tc>
      </w:tr>
      <w:tr w:rsidR="005A4A2F" w14:paraId="11747882" w14:textId="77777777" w:rsidTr="00726990">
        <w:tc>
          <w:tcPr>
            <w:cnfStyle w:val="001000000000" w:firstRow="0" w:lastRow="0" w:firstColumn="1" w:lastColumn="0" w:oddVBand="0" w:evenVBand="0" w:oddHBand="0" w:evenHBand="0" w:firstRowFirstColumn="0" w:firstRowLastColumn="0" w:lastRowFirstColumn="0" w:lastRowLastColumn="0"/>
            <w:tcW w:w="4320" w:type="dxa"/>
          </w:tcPr>
          <w:p w14:paraId="3EEF4F78" w14:textId="77777777" w:rsidR="005A4A2F" w:rsidRDefault="005A4A2F" w:rsidP="00726990">
            <w:r>
              <w:t>Extremely preterm (&lt;28 weeks)</w:t>
            </w:r>
          </w:p>
        </w:tc>
        <w:tc>
          <w:tcPr>
            <w:tcW w:w="4320" w:type="dxa"/>
          </w:tcPr>
          <w:p w14:paraId="7DC88A74" w14:textId="77777777" w:rsidR="005A4A2F" w:rsidRDefault="005A4A2F" w:rsidP="00726990">
            <w:pPr>
              <w:cnfStyle w:val="000000000000" w:firstRow="0" w:lastRow="0" w:firstColumn="0" w:lastColumn="0" w:oddVBand="0" w:evenVBand="0" w:oddHBand="0" w:evenHBand="0" w:firstRowFirstColumn="0" w:firstRowLastColumn="0" w:lastRowFirstColumn="0" w:lastRowLastColumn="0"/>
            </w:pPr>
            <w:r>
              <w:t>5 (36%)</w:t>
            </w:r>
          </w:p>
        </w:tc>
      </w:tr>
      <w:tr w:rsidR="005A4A2F" w14:paraId="4E8D7B2C" w14:textId="77777777" w:rsidTr="00726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3C3FCA26" w14:textId="77777777" w:rsidR="005A4A2F" w:rsidRDefault="005A4A2F" w:rsidP="00726990">
            <w:r>
              <w:t>Very preterm (28–31 weeks)</w:t>
            </w:r>
          </w:p>
        </w:tc>
        <w:tc>
          <w:tcPr>
            <w:tcW w:w="4320" w:type="dxa"/>
          </w:tcPr>
          <w:p w14:paraId="763AF31C" w14:textId="77777777" w:rsidR="005A4A2F" w:rsidRDefault="005A4A2F" w:rsidP="00726990">
            <w:pPr>
              <w:cnfStyle w:val="000000100000" w:firstRow="0" w:lastRow="0" w:firstColumn="0" w:lastColumn="0" w:oddVBand="0" w:evenVBand="0" w:oddHBand="1" w:evenHBand="0" w:firstRowFirstColumn="0" w:firstRowLastColumn="0" w:lastRowFirstColumn="0" w:lastRowLastColumn="0"/>
            </w:pPr>
            <w:r>
              <w:t>7 (50%)</w:t>
            </w:r>
          </w:p>
        </w:tc>
      </w:tr>
      <w:tr w:rsidR="005A4A2F" w14:paraId="2D51893C" w14:textId="77777777" w:rsidTr="00726990">
        <w:tc>
          <w:tcPr>
            <w:cnfStyle w:val="001000000000" w:firstRow="0" w:lastRow="0" w:firstColumn="1" w:lastColumn="0" w:oddVBand="0" w:evenVBand="0" w:oddHBand="0" w:evenHBand="0" w:firstRowFirstColumn="0" w:firstRowLastColumn="0" w:lastRowFirstColumn="0" w:lastRowLastColumn="0"/>
            <w:tcW w:w="4320" w:type="dxa"/>
          </w:tcPr>
          <w:p w14:paraId="24BB2685" w14:textId="77777777" w:rsidR="005A4A2F" w:rsidRDefault="005A4A2F" w:rsidP="00726990">
            <w:r>
              <w:lastRenderedPageBreak/>
              <w:t>Moderate preterm (32–34 weeks)</w:t>
            </w:r>
          </w:p>
        </w:tc>
        <w:tc>
          <w:tcPr>
            <w:tcW w:w="4320" w:type="dxa"/>
          </w:tcPr>
          <w:p w14:paraId="3AC1867F" w14:textId="77777777" w:rsidR="005A4A2F" w:rsidRDefault="005A4A2F" w:rsidP="00726990">
            <w:pPr>
              <w:cnfStyle w:val="000000000000" w:firstRow="0" w:lastRow="0" w:firstColumn="0" w:lastColumn="0" w:oddVBand="0" w:evenVBand="0" w:oddHBand="0" w:evenHBand="0" w:firstRowFirstColumn="0" w:firstRowLastColumn="0" w:lastRowFirstColumn="0" w:lastRowLastColumn="0"/>
            </w:pPr>
            <w:r>
              <w:t>2 (14%)</w:t>
            </w:r>
          </w:p>
        </w:tc>
      </w:tr>
      <w:tr w:rsidR="005A4A2F" w14:paraId="2B7A293C" w14:textId="77777777" w:rsidTr="00726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2C0A8722" w14:textId="77777777" w:rsidR="005A4A2F" w:rsidRDefault="005A4A2F" w:rsidP="00726990">
            <w:r>
              <w:t>Mean birth weight (g)</w:t>
            </w:r>
          </w:p>
        </w:tc>
        <w:tc>
          <w:tcPr>
            <w:tcW w:w="4320" w:type="dxa"/>
          </w:tcPr>
          <w:p w14:paraId="2AEEF001" w14:textId="77777777" w:rsidR="005A4A2F" w:rsidRDefault="005A4A2F" w:rsidP="00726990">
            <w:pPr>
              <w:cnfStyle w:val="000000100000" w:firstRow="0" w:lastRow="0" w:firstColumn="0" w:lastColumn="0" w:oddVBand="0" w:evenVBand="0" w:oddHBand="1" w:evenHBand="0" w:firstRowFirstColumn="0" w:firstRowLastColumn="0" w:lastRowFirstColumn="0" w:lastRowLastColumn="0"/>
            </w:pPr>
            <w:r>
              <w:t>1350 (range: 900–1900)</w:t>
            </w:r>
          </w:p>
        </w:tc>
      </w:tr>
      <w:tr w:rsidR="005A4A2F" w14:paraId="1D5BA9C3" w14:textId="77777777" w:rsidTr="00726990">
        <w:tc>
          <w:tcPr>
            <w:cnfStyle w:val="001000000000" w:firstRow="0" w:lastRow="0" w:firstColumn="1" w:lastColumn="0" w:oddVBand="0" w:evenVBand="0" w:oddHBand="0" w:evenHBand="0" w:firstRowFirstColumn="0" w:firstRowLastColumn="0" w:lastRowFirstColumn="0" w:lastRowLastColumn="0"/>
            <w:tcW w:w="4320" w:type="dxa"/>
          </w:tcPr>
          <w:p w14:paraId="088CB898" w14:textId="77777777" w:rsidR="005A4A2F" w:rsidRDefault="005A4A2F" w:rsidP="00726990">
            <w:r>
              <w:t>VLBW (&lt;1500 g)</w:t>
            </w:r>
          </w:p>
        </w:tc>
        <w:tc>
          <w:tcPr>
            <w:tcW w:w="4320" w:type="dxa"/>
          </w:tcPr>
          <w:p w14:paraId="199251DF" w14:textId="77777777" w:rsidR="005A4A2F" w:rsidRDefault="005A4A2F" w:rsidP="00726990">
            <w:pPr>
              <w:cnfStyle w:val="000000000000" w:firstRow="0" w:lastRow="0" w:firstColumn="0" w:lastColumn="0" w:oddVBand="0" w:evenVBand="0" w:oddHBand="0" w:evenHBand="0" w:firstRowFirstColumn="0" w:firstRowLastColumn="0" w:lastRowFirstColumn="0" w:lastRowLastColumn="0"/>
            </w:pPr>
            <w:r>
              <w:t>9 (64%)</w:t>
            </w:r>
          </w:p>
        </w:tc>
      </w:tr>
      <w:tr w:rsidR="005A4A2F" w14:paraId="76662EF5" w14:textId="77777777" w:rsidTr="00726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608C57D5" w14:textId="77777777" w:rsidR="005A4A2F" w:rsidRDefault="005A4A2F" w:rsidP="00726990">
            <w:r>
              <w:t>Male: Female</w:t>
            </w:r>
          </w:p>
        </w:tc>
        <w:tc>
          <w:tcPr>
            <w:tcW w:w="4320" w:type="dxa"/>
          </w:tcPr>
          <w:p w14:paraId="031276DA" w14:textId="77777777" w:rsidR="005A4A2F" w:rsidRDefault="005A4A2F" w:rsidP="00726990">
            <w:pPr>
              <w:cnfStyle w:val="000000100000" w:firstRow="0" w:lastRow="0" w:firstColumn="0" w:lastColumn="0" w:oddVBand="0" w:evenVBand="0" w:oddHBand="1" w:evenHBand="0" w:firstRowFirstColumn="0" w:firstRowLastColumn="0" w:lastRowFirstColumn="0" w:lastRowLastColumn="0"/>
            </w:pPr>
            <w:r>
              <w:t>≈ 1:1</w:t>
            </w:r>
          </w:p>
        </w:tc>
      </w:tr>
      <w:tr w:rsidR="005A4A2F" w14:paraId="3F3BEE27" w14:textId="77777777" w:rsidTr="00726990">
        <w:tc>
          <w:tcPr>
            <w:cnfStyle w:val="001000000000" w:firstRow="0" w:lastRow="0" w:firstColumn="1" w:lastColumn="0" w:oddVBand="0" w:evenVBand="0" w:oddHBand="0" w:evenHBand="0" w:firstRowFirstColumn="0" w:firstRowLastColumn="0" w:lastRowFirstColumn="0" w:lastRowLastColumn="0"/>
            <w:tcW w:w="4320" w:type="dxa"/>
          </w:tcPr>
          <w:p w14:paraId="49245BD3" w14:textId="77777777" w:rsidR="005A4A2F" w:rsidRDefault="005A4A2F" w:rsidP="00726990">
            <w:r>
              <w:t>Maternal age ≥35 years</w:t>
            </w:r>
          </w:p>
        </w:tc>
        <w:tc>
          <w:tcPr>
            <w:tcW w:w="4320" w:type="dxa"/>
          </w:tcPr>
          <w:p w14:paraId="12E390EF" w14:textId="77777777" w:rsidR="005A4A2F" w:rsidRDefault="005A4A2F" w:rsidP="00726990">
            <w:pPr>
              <w:cnfStyle w:val="000000000000" w:firstRow="0" w:lastRow="0" w:firstColumn="0" w:lastColumn="0" w:oddVBand="0" w:evenVBand="0" w:oddHBand="0" w:evenHBand="0" w:firstRowFirstColumn="0" w:firstRowLastColumn="0" w:lastRowFirstColumn="0" w:lastRowLastColumn="0"/>
            </w:pPr>
            <w:r>
              <w:t>4 (29%)</w:t>
            </w:r>
          </w:p>
        </w:tc>
      </w:tr>
    </w:tbl>
    <w:p w14:paraId="792C1306" w14:textId="77777777" w:rsidR="005A4A2F" w:rsidRPr="00E16339" w:rsidRDefault="005A4A2F" w:rsidP="005A4A2F">
      <w:pPr>
        <w:spacing w:after="160" w:line="259" w:lineRule="auto"/>
        <w:jc w:val="both"/>
        <w:rPr>
          <w:rFonts w:ascii="Arial" w:hAnsi="Arial" w:cs="Arial"/>
        </w:rPr>
      </w:pPr>
    </w:p>
    <w:p w14:paraId="2AE2CA9C" w14:textId="77777777" w:rsidR="005A4A2F" w:rsidRPr="00E16339" w:rsidRDefault="005A4A2F" w:rsidP="005A4A2F">
      <w:pPr>
        <w:spacing w:after="160" w:line="259" w:lineRule="auto"/>
        <w:jc w:val="both"/>
        <w:rPr>
          <w:rFonts w:ascii="Arial" w:hAnsi="Arial" w:cs="Arial"/>
        </w:rPr>
      </w:pPr>
      <w:r w:rsidRPr="00043ADC">
        <w:rPr>
          <w:rFonts w:ascii="Arial" w:hAnsi="Arial" w:cs="Arial"/>
        </w:rPr>
        <w:t>Table 2. Primary causes of death among preterm infants (N=14).</w:t>
      </w:r>
    </w:p>
    <w:tbl>
      <w:tblPr>
        <w:tblStyle w:val="PlainTable2"/>
        <w:tblW w:w="0" w:type="auto"/>
        <w:tblLook w:val="04A0" w:firstRow="1" w:lastRow="0" w:firstColumn="1" w:lastColumn="0" w:noHBand="0" w:noVBand="1"/>
      </w:tblPr>
      <w:tblGrid>
        <w:gridCol w:w="2835"/>
        <w:gridCol w:w="2676"/>
        <w:gridCol w:w="2697"/>
      </w:tblGrid>
      <w:tr w:rsidR="005A4A2F" w14:paraId="02B9E976" w14:textId="77777777" w:rsidTr="007269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59839F35" w14:textId="77777777" w:rsidR="005A4A2F" w:rsidRDefault="005A4A2F" w:rsidP="00726990">
            <w:r>
              <w:t>Primary cause of death</w:t>
            </w:r>
          </w:p>
        </w:tc>
        <w:tc>
          <w:tcPr>
            <w:tcW w:w="2880" w:type="dxa"/>
          </w:tcPr>
          <w:p w14:paraId="297F9A9C" w14:textId="77777777" w:rsidR="005A4A2F" w:rsidRDefault="005A4A2F" w:rsidP="00726990">
            <w:pPr>
              <w:cnfStyle w:val="100000000000" w:firstRow="1" w:lastRow="0" w:firstColumn="0" w:lastColumn="0" w:oddVBand="0" w:evenVBand="0" w:oddHBand="0" w:evenHBand="0" w:firstRowFirstColumn="0" w:firstRowLastColumn="0" w:lastRowFirstColumn="0" w:lastRowLastColumn="0"/>
            </w:pPr>
            <w:r>
              <w:t>n</w:t>
            </w:r>
          </w:p>
        </w:tc>
        <w:tc>
          <w:tcPr>
            <w:tcW w:w="2880" w:type="dxa"/>
          </w:tcPr>
          <w:p w14:paraId="1F5B0ACC" w14:textId="77777777" w:rsidR="005A4A2F" w:rsidRDefault="005A4A2F" w:rsidP="00726990">
            <w:pPr>
              <w:cnfStyle w:val="100000000000" w:firstRow="1" w:lastRow="0" w:firstColumn="0" w:lastColumn="0" w:oddVBand="0" w:evenVBand="0" w:oddHBand="0" w:evenHBand="0" w:firstRowFirstColumn="0" w:firstRowLastColumn="0" w:lastRowFirstColumn="0" w:lastRowLastColumn="0"/>
            </w:pPr>
            <w:r>
              <w:t>%</w:t>
            </w:r>
          </w:p>
        </w:tc>
      </w:tr>
      <w:tr w:rsidR="005A4A2F" w14:paraId="1D2F3AAF" w14:textId="77777777" w:rsidTr="00726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313E13EF" w14:textId="77777777" w:rsidR="005A4A2F" w:rsidRDefault="005A4A2F" w:rsidP="00726990">
            <w:r>
              <w:t>Infections (late-onset sepsis/HCAP/CLABSI, etc.)</w:t>
            </w:r>
          </w:p>
        </w:tc>
        <w:tc>
          <w:tcPr>
            <w:tcW w:w="2880" w:type="dxa"/>
          </w:tcPr>
          <w:p w14:paraId="358F76EB" w14:textId="77777777" w:rsidR="005A4A2F" w:rsidRDefault="005A4A2F" w:rsidP="00726990">
            <w:pPr>
              <w:cnfStyle w:val="000000100000" w:firstRow="0" w:lastRow="0" w:firstColumn="0" w:lastColumn="0" w:oddVBand="0" w:evenVBand="0" w:oddHBand="1" w:evenHBand="0" w:firstRowFirstColumn="0" w:firstRowLastColumn="0" w:lastRowFirstColumn="0" w:lastRowLastColumn="0"/>
            </w:pPr>
            <w:r>
              <w:t>8</w:t>
            </w:r>
          </w:p>
        </w:tc>
        <w:tc>
          <w:tcPr>
            <w:tcW w:w="2880" w:type="dxa"/>
          </w:tcPr>
          <w:p w14:paraId="5BD1DD9A" w14:textId="77777777" w:rsidR="005A4A2F" w:rsidRDefault="005A4A2F" w:rsidP="00726990">
            <w:pPr>
              <w:cnfStyle w:val="000000100000" w:firstRow="0" w:lastRow="0" w:firstColumn="0" w:lastColumn="0" w:oddVBand="0" w:evenVBand="0" w:oddHBand="1" w:evenHBand="0" w:firstRowFirstColumn="0" w:firstRowLastColumn="0" w:lastRowFirstColumn="0" w:lastRowLastColumn="0"/>
            </w:pPr>
            <w:r>
              <w:t>57.1</w:t>
            </w:r>
          </w:p>
        </w:tc>
      </w:tr>
      <w:tr w:rsidR="005A4A2F" w14:paraId="6136A6FB" w14:textId="77777777" w:rsidTr="00726990">
        <w:tc>
          <w:tcPr>
            <w:cnfStyle w:val="001000000000" w:firstRow="0" w:lastRow="0" w:firstColumn="1" w:lastColumn="0" w:oddVBand="0" w:evenVBand="0" w:oddHBand="0" w:evenHBand="0" w:firstRowFirstColumn="0" w:firstRowLastColumn="0" w:lastRowFirstColumn="0" w:lastRowLastColumn="0"/>
            <w:tcW w:w="2880" w:type="dxa"/>
          </w:tcPr>
          <w:p w14:paraId="37EB07F8" w14:textId="77777777" w:rsidR="005A4A2F" w:rsidRDefault="005A4A2F" w:rsidP="00726990">
            <w:r>
              <w:t>Respiratory distress syndrome (RDS)</w:t>
            </w:r>
          </w:p>
        </w:tc>
        <w:tc>
          <w:tcPr>
            <w:tcW w:w="2880" w:type="dxa"/>
          </w:tcPr>
          <w:p w14:paraId="4E9D7801" w14:textId="77777777" w:rsidR="005A4A2F" w:rsidRDefault="005A4A2F" w:rsidP="00726990">
            <w:pPr>
              <w:cnfStyle w:val="000000000000" w:firstRow="0" w:lastRow="0" w:firstColumn="0" w:lastColumn="0" w:oddVBand="0" w:evenVBand="0" w:oddHBand="0" w:evenHBand="0" w:firstRowFirstColumn="0" w:firstRowLastColumn="0" w:lastRowFirstColumn="0" w:lastRowLastColumn="0"/>
            </w:pPr>
            <w:r>
              <w:t>3</w:t>
            </w:r>
          </w:p>
        </w:tc>
        <w:tc>
          <w:tcPr>
            <w:tcW w:w="2880" w:type="dxa"/>
          </w:tcPr>
          <w:p w14:paraId="0A11A013" w14:textId="77777777" w:rsidR="005A4A2F" w:rsidRDefault="005A4A2F" w:rsidP="00726990">
            <w:pPr>
              <w:cnfStyle w:val="000000000000" w:firstRow="0" w:lastRow="0" w:firstColumn="0" w:lastColumn="0" w:oddVBand="0" w:evenVBand="0" w:oddHBand="0" w:evenHBand="0" w:firstRowFirstColumn="0" w:firstRowLastColumn="0" w:lastRowFirstColumn="0" w:lastRowLastColumn="0"/>
            </w:pPr>
            <w:r>
              <w:t>21.4</w:t>
            </w:r>
          </w:p>
        </w:tc>
      </w:tr>
      <w:tr w:rsidR="005A4A2F" w14:paraId="74B57E52" w14:textId="77777777" w:rsidTr="00726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08B0E03A" w14:textId="77777777" w:rsidR="005A4A2F" w:rsidRDefault="005A4A2F" w:rsidP="00726990">
            <w:r>
              <w:t>Congenital anomalies</w:t>
            </w:r>
          </w:p>
        </w:tc>
        <w:tc>
          <w:tcPr>
            <w:tcW w:w="2880" w:type="dxa"/>
          </w:tcPr>
          <w:p w14:paraId="0496B9E9" w14:textId="77777777" w:rsidR="005A4A2F" w:rsidRDefault="005A4A2F" w:rsidP="00726990">
            <w:pPr>
              <w:cnfStyle w:val="000000100000" w:firstRow="0" w:lastRow="0" w:firstColumn="0" w:lastColumn="0" w:oddVBand="0" w:evenVBand="0" w:oddHBand="1" w:evenHBand="0" w:firstRowFirstColumn="0" w:firstRowLastColumn="0" w:lastRowFirstColumn="0" w:lastRowLastColumn="0"/>
            </w:pPr>
            <w:r>
              <w:t>3</w:t>
            </w:r>
          </w:p>
        </w:tc>
        <w:tc>
          <w:tcPr>
            <w:tcW w:w="2880" w:type="dxa"/>
          </w:tcPr>
          <w:p w14:paraId="2566D2E6" w14:textId="77777777" w:rsidR="005A4A2F" w:rsidRDefault="005A4A2F" w:rsidP="00726990">
            <w:pPr>
              <w:cnfStyle w:val="000000100000" w:firstRow="0" w:lastRow="0" w:firstColumn="0" w:lastColumn="0" w:oddVBand="0" w:evenVBand="0" w:oddHBand="1" w:evenHBand="0" w:firstRowFirstColumn="0" w:firstRowLastColumn="0" w:lastRowFirstColumn="0" w:lastRowLastColumn="0"/>
            </w:pPr>
            <w:r>
              <w:t>21.4</w:t>
            </w:r>
          </w:p>
        </w:tc>
      </w:tr>
    </w:tbl>
    <w:p w14:paraId="71BBF58A" w14:textId="77777777" w:rsidR="005A4A2F" w:rsidRDefault="005A4A2F" w:rsidP="005A4A2F"/>
    <w:p w14:paraId="52C7A2BF" w14:textId="77777777" w:rsidR="005A4A2F" w:rsidRDefault="005A4A2F" w:rsidP="005A4A2F">
      <w:r>
        <w:t>Table 2a. Associated complications recorded in the cohort (N=14).</w:t>
      </w:r>
    </w:p>
    <w:p w14:paraId="4FBB5DB7" w14:textId="77777777" w:rsidR="005A4A2F" w:rsidRDefault="005A4A2F" w:rsidP="005A4A2F"/>
    <w:tbl>
      <w:tblPr>
        <w:tblStyle w:val="PlainTable2"/>
        <w:tblW w:w="0" w:type="auto"/>
        <w:tblLook w:val="04A0" w:firstRow="1" w:lastRow="0" w:firstColumn="1" w:lastColumn="0" w:noHBand="0" w:noVBand="1"/>
      </w:tblPr>
      <w:tblGrid>
        <w:gridCol w:w="2793"/>
        <w:gridCol w:w="2698"/>
        <w:gridCol w:w="2717"/>
      </w:tblGrid>
      <w:tr w:rsidR="005A4A2F" w14:paraId="2AF55EB6" w14:textId="77777777" w:rsidTr="007269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620717A3" w14:textId="77777777" w:rsidR="005A4A2F" w:rsidRDefault="005A4A2F" w:rsidP="00726990">
            <w:r>
              <w:t>Associated complication</w:t>
            </w:r>
          </w:p>
        </w:tc>
        <w:tc>
          <w:tcPr>
            <w:tcW w:w="2880" w:type="dxa"/>
          </w:tcPr>
          <w:p w14:paraId="4522A01B" w14:textId="77777777" w:rsidR="005A4A2F" w:rsidRDefault="005A4A2F" w:rsidP="00726990">
            <w:pPr>
              <w:cnfStyle w:val="100000000000" w:firstRow="1" w:lastRow="0" w:firstColumn="0" w:lastColumn="0" w:oddVBand="0" w:evenVBand="0" w:oddHBand="0" w:evenHBand="0" w:firstRowFirstColumn="0" w:firstRowLastColumn="0" w:lastRowFirstColumn="0" w:lastRowLastColumn="0"/>
            </w:pPr>
            <w:r>
              <w:t>n</w:t>
            </w:r>
          </w:p>
        </w:tc>
        <w:tc>
          <w:tcPr>
            <w:tcW w:w="2880" w:type="dxa"/>
          </w:tcPr>
          <w:p w14:paraId="5C65081E" w14:textId="77777777" w:rsidR="005A4A2F" w:rsidRDefault="005A4A2F" w:rsidP="00726990">
            <w:pPr>
              <w:cnfStyle w:val="100000000000" w:firstRow="1" w:lastRow="0" w:firstColumn="0" w:lastColumn="0" w:oddVBand="0" w:evenVBand="0" w:oddHBand="0" w:evenHBand="0" w:firstRowFirstColumn="0" w:firstRowLastColumn="0" w:lastRowFirstColumn="0" w:lastRowLastColumn="0"/>
            </w:pPr>
            <w:r>
              <w:t>%</w:t>
            </w:r>
          </w:p>
        </w:tc>
      </w:tr>
      <w:tr w:rsidR="005A4A2F" w14:paraId="690AB798" w14:textId="77777777" w:rsidTr="00726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223F309B" w14:textId="77777777" w:rsidR="005A4A2F" w:rsidRDefault="005A4A2F" w:rsidP="00726990">
            <w:r>
              <w:t>Necrotizing enterocolitis (NEC)</w:t>
            </w:r>
          </w:p>
        </w:tc>
        <w:tc>
          <w:tcPr>
            <w:tcW w:w="2880" w:type="dxa"/>
          </w:tcPr>
          <w:p w14:paraId="6D385E88" w14:textId="77777777" w:rsidR="005A4A2F" w:rsidRDefault="005A4A2F" w:rsidP="00726990">
            <w:pPr>
              <w:cnfStyle w:val="000000100000" w:firstRow="0" w:lastRow="0" w:firstColumn="0" w:lastColumn="0" w:oddVBand="0" w:evenVBand="0" w:oddHBand="1" w:evenHBand="0" w:firstRowFirstColumn="0" w:firstRowLastColumn="0" w:lastRowFirstColumn="0" w:lastRowLastColumn="0"/>
            </w:pPr>
            <w:r>
              <w:t>2</w:t>
            </w:r>
          </w:p>
        </w:tc>
        <w:tc>
          <w:tcPr>
            <w:tcW w:w="2880" w:type="dxa"/>
          </w:tcPr>
          <w:p w14:paraId="268F7866" w14:textId="77777777" w:rsidR="005A4A2F" w:rsidRDefault="005A4A2F" w:rsidP="00726990">
            <w:pPr>
              <w:cnfStyle w:val="000000100000" w:firstRow="0" w:lastRow="0" w:firstColumn="0" w:lastColumn="0" w:oddVBand="0" w:evenVBand="0" w:oddHBand="1" w:evenHBand="0" w:firstRowFirstColumn="0" w:firstRowLastColumn="0" w:lastRowFirstColumn="0" w:lastRowLastColumn="0"/>
            </w:pPr>
            <w:r>
              <w:t>14.3</w:t>
            </w:r>
          </w:p>
        </w:tc>
      </w:tr>
      <w:tr w:rsidR="005A4A2F" w14:paraId="56C4026B" w14:textId="77777777" w:rsidTr="00726990">
        <w:tc>
          <w:tcPr>
            <w:cnfStyle w:val="001000000000" w:firstRow="0" w:lastRow="0" w:firstColumn="1" w:lastColumn="0" w:oddVBand="0" w:evenVBand="0" w:oddHBand="0" w:evenHBand="0" w:firstRowFirstColumn="0" w:firstRowLastColumn="0" w:lastRowFirstColumn="0" w:lastRowLastColumn="0"/>
            <w:tcW w:w="2880" w:type="dxa"/>
          </w:tcPr>
          <w:p w14:paraId="5B323A8D" w14:textId="77777777" w:rsidR="005A4A2F" w:rsidRDefault="005A4A2F" w:rsidP="00726990">
            <w:r>
              <w:t>Intraventricular hemorrhage (IVH)</w:t>
            </w:r>
          </w:p>
        </w:tc>
        <w:tc>
          <w:tcPr>
            <w:tcW w:w="2880" w:type="dxa"/>
          </w:tcPr>
          <w:p w14:paraId="30FD287D" w14:textId="77777777" w:rsidR="005A4A2F" w:rsidRDefault="005A4A2F" w:rsidP="00726990">
            <w:pPr>
              <w:cnfStyle w:val="000000000000" w:firstRow="0" w:lastRow="0" w:firstColumn="0" w:lastColumn="0" w:oddVBand="0" w:evenVBand="0" w:oddHBand="0" w:evenHBand="0" w:firstRowFirstColumn="0" w:firstRowLastColumn="0" w:lastRowFirstColumn="0" w:lastRowLastColumn="0"/>
            </w:pPr>
            <w:r>
              <w:t>1</w:t>
            </w:r>
          </w:p>
        </w:tc>
        <w:tc>
          <w:tcPr>
            <w:tcW w:w="2880" w:type="dxa"/>
          </w:tcPr>
          <w:p w14:paraId="7B070126" w14:textId="77777777" w:rsidR="005A4A2F" w:rsidRDefault="005A4A2F" w:rsidP="00726990">
            <w:pPr>
              <w:cnfStyle w:val="000000000000" w:firstRow="0" w:lastRow="0" w:firstColumn="0" w:lastColumn="0" w:oddVBand="0" w:evenVBand="0" w:oddHBand="0" w:evenHBand="0" w:firstRowFirstColumn="0" w:firstRowLastColumn="0" w:lastRowFirstColumn="0" w:lastRowLastColumn="0"/>
            </w:pPr>
            <w:r>
              <w:t>7.1</w:t>
            </w:r>
          </w:p>
        </w:tc>
      </w:tr>
      <w:tr w:rsidR="005A4A2F" w14:paraId="136D578C" w14:textId="77777777" w:rsidTr="00726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389DA733" w14:textId="77777777" w:rsidR="005A4A2F" w:rsidRDefault="005A4A2F" w:rsidP="00726990">
            <w:r>
              <w:t>Metabolic disorder</w:t>
            </w:r>
          </w:p>
        </w:tc>
        <w:tc>
          <w:tcPr>
            <w:tcW w:w="2880" w:type="dxa"/>
          </w:tcPr>
          <w:p w14:paraId="132431B0" w14:textId="77777777" w:rsidR="005A4A2F" w:rsidRDefault="005A4A2F" w:rsidP="00726990">
            <w:pPr>
              <w:cnfStyle w:val="000000100000" w:firstRow="0" w:lastRow="0" w:firstColumn="0" w:lastColumn="0" w:oddVBand="0" w:evenVBand="0" w:oddHBand="1" w:evenHBand="0" w:firstRowFirstColumn="0" w:firstRowLastColumn="0" w:lastRowFirstColumn="0" w:lastRowLastColumn="0"/>
            </w:pPr>
            <w:r>
              <w:t>1</w:t>
            </w:r>
          </w:p>
        </w:tc>
        <w:tc>
          <w:tcPr>
            <w:tcW w:w="2880" w:type="dxa"/>
          </w:tcPr>
          <w:p w14:paraId="6E92DE76" w14:textId="77777777" w:rsidR="005A4A2F" w:rsidRDefault="005A4A2F" w:rsidP="00726990">
            <w:pPr>
              <w:cnfStyle w:val="000000100000" w:firstRow="0" w:lastRow="0" w:firstColumn="0" w:lastColumn="0" w:oddVBand="0" w:evenVBand="0" w:oddHBand="1" w:evenHBand="0" w:firstRowFirstColumn="0" w:firstRowLastColumn="0" w:lastRowFirstColumn="0" w:lastRowLastColumn="0"/>
            </w:pPr>
            <w:r>
              <w:t>7.1</w:t>
            </w:r>
          </w:p>
        </w:tc>
      </w:tr>
    </w:tbl>
    <w:p w14:paraId="64C440F1" w14:textId="77777777" w:rsidR="005A4A2F" w:rsidRDefault="005A4A2F" w:rsidP="005A4A2F"/>
    <w:p w14:paraId="57FC4866" w14:textId="77777777" w:rsidR="005A4A2F" w:rsidRDefault="005A4A2F" w:rsidP="005A4A2F">
      <w:r>
        <w:t>Abbreviations: RDS, respiratory distress syndrome; NEC, necrotizing enterocolitis; IVH, intraventricular hemorrhage.</w:t>
      </w:r>
    </w:p>
    <w:p w14:paraId="04724BA6" w14:textId="77777777" w:rsidR="005A4A2F" w:rsidRDefault="005A4A2F" w:rsidP="005A4A2F">
      <w:pPr>
        <w:spacing w:after="160" w:line="259" w:lineRule="auto"/>
        <w:jc w:val="both"/>
        <w:rPr>
          <w:rFonts w:ascii="Arial" w:hAnsi="Arial" w:cs="Arial"/>
        </w:rPr>
      </w:pPr>
    </w:p>
    <w:p w14:paraId="2FCCC392" w14:textId="77777777" w:rsidR="005A4A2F" w:rsidRPr="00E16339" w:rsidRDefault="005A4A2F" w:rsidP="005A4A2F">
      <w:pPr>
        <w:spacing w:after="160" w:line="259" w:lineRule="auto"/>
        <w:jc w:val="both"/>
        <w:rPr>
          <w:rFonts w:ascii="Arial" w:hAnsi="Arial" w:cs="Arial"/>
        </w:rPr>
      </w:pPr>
      <w:r w:rsidRPr="00E16339">
        <w:rPr>
          <w:rFonts w:ascii="Arial" w:hAnsi="Arial" w:cs="Arial"/>
        </w:rPr>
        <w:t>Table 3. Timing of death by cause.</w:t>
      </w:r>
    </w:p>
    <w:tbl>
      <w:tblPr>
        <w:tblStyle w:val="PlainTable2"/>
        <w:tblW w:w="0" w:type="auto"/>
        <w:tblLook w:val="04A0" w:firstRow="1" w:lastRow="0" w:firstColumn="1" w:lastColumn="0" w:noHBand="0" w:noVBand="1"/>
      </w:tblPr>
      <w:tblGrid>
        <w:gridCol w:w="2085"/>
        <w:gridCol w:w="2042"/>
        <w:gridCol w:w="2042"/>
        <w:gridCol w:w="2039"/>
      </w:tblGrid>
      <w:tr w:rsidR="005A4A2F" w14:paraId="2B9EEA28" w14:textId="77777777" w:rsidTr="007269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5D778E94" w14:textId="77777777" w:rsidR="005A4A2F" w:rsidRDefault="005A4A2F" w:rsidP="00726990">
            <w:r>
              <w:t>Cause of death</w:t>
            </w:r>
          </w:p>
        </w:tc>
        <w:tc>
          <w:tcPr>
            <w:tcW w:w="2160" w:type="dxa"/>
          </w:tcPr>
          <w:p w14:paraId="4EA5BC1A" w14:textId="77777777" w:rsidR="005A4A2F" w:rsidRDefault="005A4A2F" w:rsidP="00726990">
            <w:pPr>
              <w:cnfStyle w:val="100000000000" w:firstRow="1" w:lastRow="0" w:firstColumn="0" w:lastColumn="0" w:oddVBand="0" w:evenVBand="0" w:oddHBand="0" w:evenHBand="0" w:firstRowFirstColumn="0" w:firstRowLastColumn="0" w:lastRowFirstColumn="0" w:lastRowLastColumn="0"/>
            </w:pPr>
            <w:r>
              <w:t>Early (&lt;7 days)</w:t>
            </w:r>
          </w:p>
        </w:tc>
        <w:tc>
          <w:tcPr>
            <w:tcW w:w="2160" w:type="dxa"/>
          </w:tcPr>
          <w:p w14:paraId="472E0058" w14:textId="77777777" w:rsidR="005A4A2F" w:rsidRDefault="005A4A2F" w:rsidP="00726990">
            <w:pPr>
              <w:cnfStyle w:val="100000000000" w:firstRow="1" w:lastRow="0" w:firstColumn="0" w:lastColumn="0" w:oddVBand="0" w:evenVBand="0" w:oddHBand="0" w:evenHBand="0" w:firstRowFirstColumn="0" w:firstRowLastColumn="0" w:lastRowFirstColumn="0" w:lastRowLastColumn="0"/>
            </w:pPr>
            <w:r>
              <w:t>Late (≥7 days)</w:t>
            </w:r>
          </w:p>
        </w:tc>
        <w:tc>
          <w:tcPr>
            <w:tcW w:w="2160" w:type="dxa"/>
          </w:tcPr>
          <w:p w14:paraId="4AD01413" w14:textId="77777777" w:rsidR="005A4A2F" w:rsidRDefault="005A4A2F" w:rsidP="00726990">
            <w:pPr>
              <w:cnfStyle w:val="100000000000" w:firstRow="1" w:lastRow="0" w:firstColumn="0" w:lastColumn="0" w:oddVBand="0" w:evenVBand="0" w:oddHBand="0" w:evenHBand="0" w:firstRowFirstColumn="0" w:firstRowLastColumn="0" w:lastRowFirstColumn="0" w:lastRowLastColumn="0"/>
            </w:pPr>
            <w:r>
              <w:t>Total</w:t>
            </w:r>
          </w:p>
        </w:tc>
      </w:tr>
      <w:tr w:rsidR="005A4A2F" w14:paraId="6CC202B2" w14:textId="77777777" w:rsidTr="00726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0A89BE6D" w14:textId="77777777" w:rsidR="005A4A2F" w:rsidRDefault="005A4A2F" w:rsidP="00726990">
            <w:r>
              <w:t>RDS</w:t>
            </w:r>
          </w:p>
        </w:tc>
        <w:tc>
          <w:tcPr>
            <w:tcW w:w="2160" w:type="dxa"/>
          </w:tcPr>
          <w:p w14:paraId="615B106C" w14:textId="77777777" w:rsidR="005A4A2F" w:rsidRDefault="005A4A2F" w:rsidP="00726990">
            <w:pPr>
              <w:cnfStyle w:val="000000100000" w:firstRow="0" w:lastRow="0" w:firstColumn="0" w:lastColumn="0" w:oddVBand="0" w:evenVBand="0" w:oddHBand="1" w:evenHBand="0" w:firstRowFirstColumn="0" w:firstRowLastColumn="0" w:lastRowFirstColumn="0" w:lastRowLastColumn="0"/>
            </w:pPr>
            <w:r>
              <w:t>3</w:t>
            </w:r>
          </w:p>
        </w:tc>
        <w:tc>
          <w:tcPr>
            <w:tcW w:w="2160" w:type="dxa"/>
          </w:tcPr>
          <w:p w14:paraId="7D91DB3E" w14:textId="77777777" w:rsidR="005A4A2F" w:rsidRDefault="005A4A2F" w:rsidP="00726990">
            <w:pPr>
              <w:cnfStyle w:val="000000100000" w:firstRow="0" w:lastRow="0" w:firstColumn="0" w:lastColumn="0" w:oddVBand="0" w:evenVBand="0" w:oddHBand="1" w:evenHBand="0" w:firstRowFirstColumn="0" w:firstRowLastColumn="0" w:lastRowFirstColumn="0" w:lastRowLastColumn="0"/>
            </w:pPr>
            <w:r>
              <w:t>0</w:t>
            </w:r>
          </w:p>
        </w:tc>
        <w:tc>
          <w:tcPr>
            <w:tcW w:w="2160" w:type="dxa"/>
          </w:tcPr>
          <w:p w14:paraId="5F94DBD2" w14:textId="77777777" w:rsidR="005A4A2F" w:rsidRDefault="005A4A2F" w:rsidP="00726990">
            <w:pPr>
              <w:cnfStyle w:val="000000100000" w:firstRow="0" w:lastRow="0" w:firstColumn="0" w:lastColumn="0" w:oddVBand="0" w:evenVBand="0" w:oddHBand="1" w:evenHBand="0" w:firstRowFirstColumn="0" w:firstRowLastColumn="0" w:lastRowFirstColumn="0" w:lastRowLastColumn="0"/>
            </w:pPr>
            <w:r>
              <w:t>3</w:t>
            </w:r>
          </w:p>
        </w:tc>
      </w:tr>
      <w:tr w:rsidR="005A4A2F" w14:paraId="0D2F12CB" w14:textId="77777777" w:rsidTr="00726990">
        <w:tc>
          <w:tcPr>
            <w:cnfStyle w:val="001000000000" w:firstRow="0" w:lastRow="0" w:firstColumn="1" w:lastColumn="0" w:oddVBand="0" w:evenVBand="0" w:oddHBand="0" w:evenHBand="0" w:firstRowFirstColumn="0" w:firstRowLastColumn="0" w:lastRowFirstColumn="0" w:lastRowLastColumn="0"/>
            <w:tcW w:w="2160" w:type="dxa"/>
          </w:tcPr>
          <w:p w14:paraId="69EE46B8" w14:textId="77777777" w:rsidR="005A4A2F" w:rsidRDefault="005A4A2F" w:rsidP="00726990">
            <w:r>
              <w:t>Infections</w:t>
            </w:r>
          </w:p>
        </w:tc>
        <w:tc>
          <w:tcPr>
            <w:tcW w:w="2160" w:type="dxa"/>
          </w:tcPr>
          <w:p w14:paraId="751BFBF3" w14:textId="77777777" w:rsidR="005A4A2F" w:rsidRDefault="005A4A2F" w:rsidP="00726990">
            <w:pPr>
              <w:cnfStyle w:val="000000000000" w:firstRow="0" w:lastRow="0" w:firstColumn="0" w:lastColumn="0" w:oddVBand="0" w:evenVBand="0" w:oddHBand="0" w:evenHBand="0" w:firstRowFirstColumn="0" w:firstRowLastColumn="0" w:lastRowFirstColumn="0" w:lastRowLastColumn="0"/>
            </w:pPr>
            <w:r>
              <w:t>0</w:t>
            </w:r>
          </w:p>
        </w:tc>
        <w:tc>
          <w:tcPr>
            <w:tcW w:w="2160" w:type="dxa"/>
          </w:tcPr>
          <w:p w14:paraId="4D9D83D3" w14:textId="77777777" w:rsidR="005A4A2F" w:rsidRDefault="005A4A2F" w:rsidP="00726990">
            <w:pPr>
              <w:cnfStyle w:val="000000000000" w:firstRow="0" w:lastRow="0" w:firstColumn="0" w:lastColumn="0" w:oddVBand="0" w:evenVBand="0" w:oddHBand="0" w:evenHBand="0" w:firstRowFirstColumn="0" w:firstRowLastColumn="0" w:lastRowFirstColumn="0" w:lastRowLastColumn="0"/>
            </w:pPr>
            <w:r>
              <w:t>8</w:t>
            </w:r>
          </w:p>
        </w:tc>
        <w:tc>
          <w:tcPr>
            <w:tcW w:w="2160" w:type="dxa"/>
          </w:tcPr>
          <w:p w14:paraId="2ED71AE2" w14:textId="77777777" w:rsidR="005A4A2F" w:rsidRDefault="005A4A2F" w:rsidP="00726990">
            <w:pPr>
              <w:cnfStyle w:val="000000000000" w:firstRow="0" w:lastRow="0" w:firstColumn="0" w:lastColumn="0" w:oddVBand="0" w:evenVBand="0" w:oddHBand="0" w:evenHBand="0" w:firstRowFirstColumn="0" w:firstRowLastColumn="0" w:lastRowFirstColumn="0" w:lastRowLastColumn="0"/>
            </w:pPr>
            <w:r>
              <w:t>8</w:t>
            </w:r>
          </w:p>
        </w:tc>
      </w:tr>
      <w:tr w:rsidR="005A4A2F" w14:paraId="04320308" w14:textId="77777777" w:rsidTr="00726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61F09C2F" w14:textId="77777777" w:rsidR="005A4A2F" w:rsidRDefault="005A4A2F" w:rsidP="00726990">
            <w:r>
              <w:t>Congenital anomalies</w:t>
            </w:r>
          </w:p>
        </w:tc>
        <w:tc>
          <w:tcPr>
            <w:tcW w:w="2160" w:type="dxa"/>
          </w:tcPr>
          <w:p w14:paraId="66A497E1" w14:textId="77777777" w:rsidR="005A4A2F" w:rsidRDefault="005A4A2F" w:rsidP="00726990">
            <w:pPr>
              <w:cnfStyle w:val="000000100000" w:firstRow="0" w:lastRow="0" w:firstColumn="0" w:lastColumn="0" w:oddVBand="0" w:evenVBand="0" w:oddHBand="1" w:evenHBand="0" w:firstRowFirstColumn="0" w:firstRowLastColumn="0" w:lastRowFirstColumn="0" w:lastRowLastColumn="0"/>
            </w:pPr>
            <w:r>
              <w:t>0</w:t>
            </w:r>
          </w:p>
        </w:tc>
        <w:tc>
          <w:tcPr>
            <w:tcW w:w="2160" w:type="dxa"/>
          </w:tcPr>
          <w:p w14:paraId="536386A7" w14:textId="77777777" w:rsidR="005A4A2F" w:rsidRDefault="005A4A2F" w:rsidP="00726990">
            <w:pPr>
              <w:cnfStyle w:val="000000100000" w:firstRow="0" w:lastRow="0" w:firstColumn="0" w:lastColumn="0" w:oddVBand="0" w:evenVBand="0" w:oddHBand="1" w:evenHBand="0" w:firstRowFirstColumn="0" w:firstRowLastColumn="0" w:lastRowFirstColumn="0" w:lastRowLastColumn="0"/>
            </w:pPr>
            <w:r>
              <w:t>3</w:t>
            </w:r>
          </w:p>
        </w:tc>
        <w:tc>
          <w:tcPr>
            <w:tcW w:w="2160" w:type="dxa"/>
          </w:tcPr>
          <w:p w14:paraId="2C318E6F" w14:textId="77777777" w:rsidR="005A4A2F" w:rsidRDefault="005A4A2F" w:rsidP="00726990">
            <w:pPr>
              <w:cnfStyle w:val="000000100000" w:firstRow="0" w:lastRow="0" w:firstColumn="0" w:lastColumn="0" w:oddVBand="0" w:evenVBand="0" w:oddHBand="1" w:evenHBand="0" w:firstRowFirstColumn="0" w:firstRowLastColumn="0" w:lastRowFirstColumn="0" w:lastRowLastColumn="0"/>
            </w:pPr>
            <w:r>
              <w:t>3</w:t>
            </w:r>
          </w:p>
        </w:tc>
      </w:tr>
      <w:tr w:rsidR="005A4A2F" w14:paraId="66EE9287" w14:textId="77777777" w:rsidTr="00726990">
        <w:tc>
          <w:tcPr>
            <w:cnfStyle w:val="001000000000" w:firstRow="0" w:lastRow="0" w:firstColumn="1" w:lastColumn="0" w:oddVBand="0" w:evenVBand="0" w:oddHBand="0" w:evenHBand="0" w:firstRowFirstColumn="0" w:firstRowLastColumn="0" w:lastRowFirstColumn="0" w:lastRowLastColumn="0"/>
            <w:tcW w:w="2160" w:type="dxa"/>
          </w:tcPr>
          <w:p w14:paraId="0DAB010F" w14:textId="77777777" w:rsidR="005A4A2F" w:rsidRDefault="005A4A2F" w:rsidP="00726990">
            <w:r>
              <w:t>Total</w:t>
            </w:r>
          </w:p>
        </w:tc>
        <w:tc>
          <w:tcPr>
            <w:tcW w:w="2160" w:type="dxa"/>
          </w:tcPr>
          <w:p w14:paraId="745443EF" w14:textId="77777777" w:rsidR="005A4A2F" w:rsidRDefault="005A4A2F" w:rsidP="00726990">
            <w:pPr>
              <w:cnfStyle w:val="000000000000" w:firstRow="0" w:lastRow="0" w:firstColumn="0" w:lastColumn="0" w:oddVBand="0" w:evenVBand="0" w:oddHBand="0" w:evenHBand="0" w:firstRowFirstColumn="0" w:firstRowLastColumn="0" w:lastRowFirstColumn="0" w:lastRowLastColumn="0"/>
            </w:pPr>
            <w:r>
              <w:t>3</w:t>
            </w:r>
          </w:p>
        </w:tc>
        <w:tc>
          <w:tcPr>
            <w:tcW w:w="2160" w:type="dxa"/>
          </w:tcPr>
          <w:p w14:paraId="5FBF1D76" w14:textId="77777777" w:rsidR="005A4A2F" w:rsidRDefault="005A4A2F" w:rsidP="00726990">
            <w:pPr>
              <w:cnfStyle w:val="000000000000" w:firstRow="0" w:lastRow="0" w:firstColumn="0" w:lastColumn="0" w:oddVBand="0" w:evenVBand="0" w:oddHBand="0" w:evenHBand="0" w:firstRowFirstColumn="0" w:firstRowLastColumn="0" w:lastRowFirstColumn="0" w:lastRowLastColumn="0"/>
            </w:pPr>
            <w:r>
              <w:t>11</w:t>
            </w:r>
          </w:p>
        </w:tc>
        <w:tc>
          <w:tcPr>
            <w:tcW w:w="2160" w:type="dxa"/>
          </w:tcPr>
          <w:p w14:paraId="41DA189A" w14:textId="77777777" w:rsidR="005A4A2F" w:rsidRDefault="005A4A2F" w:rsidP="00726990">
            <w:pPr>
              <w:cnfStyle w:val="000000000000" w:firstRow="0" w:lastRow="0" w:firstColumn="0" w:lastColumn="0" w:oddVBand="0" w:evenVBand="0" w:oddHBand="0" w:evenHBand="0" w:firstRowFirstColumn="0" w:firstRowLastColumn="0" w:lastRowFirstColumn="0" w:lastRowLastColumn="0"/>
            </w:pPr>
            <w:r>
              <w:t>14</w:t>
            </w:r>
          </w:p>
        </w:tc>
      </w:tr>
    </w:tbl>
    <w:p w14:paraId="697822ED" w14:textId="77777777" w:rsidR="005A4A2F" w:rsidRPr="00E16339" w:rsidRDefault="00F63597" w:rsidP="005A4A2F">
      <w:pPr>
        <w:spacing w:after="160" w:line="259" w:lineRule="auto"/>
        <w:jc w:val="both"/>
        <w:rPr>
          <w:rFonts w:ascii="Arial" w:hAnsi="Arial" w:cs="Arial"/>
        </w:rPr>
      </w:pPr>
      <w:r>
        <w:rPr>
          <w:rFonts w:ascii="Arial" w:hAnsi="Arial" w:cs="Arial"/>
        </w:rPr>
        <w:pict w14:anchorId="203B6CDA">
          <v:rect id="_x0000_i1025" style="width:0;height:1.5pt" o:hralign="center" o:hrstd="t" o:hr="t"/>
        </w:pict>
      </w:r>
    </w:p>
    <w:p w14:paraId="58704F18" w14:textId="77777777" w:rsidR="00E16339" w:rsidRPr="00E16339" w:rsidRDefault="00E16339" w:rsidP="00E16339">
      <w:pPr>
        <w:spacing w:after="160" w:line="259" w:lineRule="auto"/>
        <w:jc w:val="both"/>
        <w:rPr>
          <w:rFonts w:ascii="Arial" w:hAnsi="Arial" w:cs="Arial"/>
          <w:b/>
          <w:bCs/>
        </w:rPr>
      </w:pPr>
    </w:p>
    <w:p w14:paraId="1B320E27" w14:textId="6A55C130" w:rsidR="008C172A" w:rsidRPr="008C172A" w:rsidRDefault="00F63597" w:rsidP="008C172A">
      <w:pPr>
        <w:spacing w:after="160" w:line="259" w:lineRule="auto"/>
        <w:jc w:val="both"/>
        <w:rPr>
          <w:rFonts w:ascii="Arial" w:hAnsi="Arial" w:cs="Arial"/>
        </w:rPr>
      </w:pPr>
      <w:bookmarkStart w:id="1" w:name="tables"/>
      <w:r>
        <w:rPr>
          <w:rFonts w:ascii="Arial" w:hAnsi="Arial" w:cs="Arial"/>
        </w:rPr>
        <w:pict w14:anchorId="348980B1">
          <v:rect id="_x0000_i1026" style="width:0;height:1.5pt" o:hralign="center" o:hrstd="t" o:hr="t"/>
        </w:pict>
      </w:r>
      <w:bookmarkEnd w:id="1"/>
    </w:p>
    <w:p w14:paraId="6136A226" w14:textId="77777777" w:rsidR="008C172A" w:rsidRDefault="008C172A" w:rsidP="00053DF3">
      <w:pPr>
        <w:pStyle w:val="Head1"/>
        <w:spacing w:after="0"/>
        <w:jc w:val="both"/>
      </w:pPr>
    </w:p>
    <w:p w14:paraId="3D616A4E" w14:textId="77777777" w:rsidR="008C172A" w:rsidRDefault="008C172A" w:rsidP="00053DF3">
      <w:pPr>
        <w:pStyle w:val="Head1"/>
        <w:spacing w:after="0"/>
        <w:jc w:val="both"/>
      </w:pPr>
    </w:p>
    <w:p w14:paraId="1CD63076" w14:textId="07F782CB" w:rsidR="007C00D0" w:rsidRPr="00E16339" w:rsidRDefault="00053DF3" w:rsidP="00053DF3">
      <w:pPr>
        <w:pStyle w:val="Head1"/>
        <w:spacing w:after="0"/>
        <w:jc w:val="both"/>
      </w:pPr>
      <w:r w:rsidRPr="00E16339">
        <w:t xml:space="preserve">4. </w:t>
      </w:r>
      <w:r w:rsidR="007C00D0" w:rsidRPr="00E16339">
        <w:t>Discussion</w:t>
      </w:r>
    </w:p>
    <w:p w14:paraId="7C979DC9" w14:textId="77777777" w:rsidR="005A4A2F" w:rsidRDefault="005A4A2F" w:rsidP="005A4A2F">
      <w:pPr>
        <w:spacing w:after="160" w:line="259" w:lineRule="auto"/>
        <w:jc w:val="both"/>
      </w:pPr>
    </w:p>
    <w:p w14:paraId="50747A13" w14:textId="4DDB995F" w:rsidR="005A4A2F" w:rsidRDefault="005A4A2F" w:rsidP="005A4A2F">
      <w:pPr>
        <w:spacing w:after="160" w:line="259" w:lineRule="auto"/>
        <w:jc w:val="both"/>
        <w:rPr>
          <w:rFonts w:ascii="Arial" w:hAnsi="Arial" w:cs="Arial"/>
        </w:rPr>
      </w:pPr>
      <w:r w:rsidRPr="00E50388">
        <w:t>This retrospective case analysis</w:t>
      </w:r>
      <w:r>
        <w:t xml:space="preserve"> provides insights into the mortality and morbidity associated with extreme prematurity. In our cohort, the majority were born before 30 weeks and weighed &lt;1500 g (Table 1), confirming immaturity and very low birth weight as major predictors of neonatal death [3, 5].</w:t>
      </w:r>
      <w:bookmarkStart w:id="2" w:name="etiology-of-death-and-timing"/>
    </w:p>
    <w:p w14:paraId="1F7C009F" w14:textId="77777777" w:rsidR="005A4A2F" w:rsidRPr="00EF3632" w:rsidRDefault="005A4A2F" w:rsidP="005A4A2F">
      <w:pPr>
        <w:spacing w:after="160" w:line="259" w:lineRule="auto"/>
        <w:jc w:val="both"/>
        <w:rPr>
          <w:rFonts w:ascii="Arial" w:hAnsi="Arial" w:cs="Arial"/>
        </w:rPr>
      </w:pPr>
      <w:r w:rsidRPr="00EF3632">
        <w:rPr>
          <w:rFonts w:ascii="Arial" w:hAnsi="Arial" w:cs="Arial"/>
        </w:rPr>
        <w:t>Etiology of Death and Timing</w:t>
      </w:r>
    </w:p>
    <w:p w14:paraId="7330A5CE" w14:textId="77777777" w:rsidR="005A4A2F" w:rsidRPr="00E16339" w:rsidRDefault="005A4A2F" w:rsidP="005A4A2F">
      <w:pPr>
        <w:spacing w:after="160" w:line="259" w:lineRule="auto"/>
        <w:jc w:val="both"/>
        <w:rPr>
          <w:rFonts w:ascii="Arial" w:hAnsi="Arial" w:cs="Arial"/>
        </w:rPr>
      </w:pPr>
      <w:r w:rsidRPr="00EF3632">
        <w:rPr>
          <w:rFonts w:ascii="Arial" w:hAnsi="Arial" w:cs="Arial"/>
        </w:rPr>
        <w:lastRenderedPageBreak/>
        <w:t>The causes of death reflect a dual burden. RDS predominated at the lowest gestational ages and birth weights; infections occurred later among moderately preterm infants; and congenital anomalies contributed across groups (Tables 2–3). Figure 1 confirms this etiologic shift: RDS in the most immature, infections among those who survived longer, and anomalies across groups. These findings are consistent with reports from Ethiopia (RDS and asphyxia as predictors [5]) and Tunisia (nosocomial infections in late deaths [7]). Similar patterns have been reported in Caribbean LMIC settings, including Trinidad and Tobago [14]. By contrast, high-income cohorts report substantially higher survival at 25 weeks with widespread use of antenatal corticosteroids and surfactant [3,9]; results from large HIC cohorts such as EPIPAGE-2 therefore differ [13].</w:t>
      </w:r>
    </w:p>
    <w:p w14:paraId="2C55CC12" w14:textId="77777777" w:rsidR="005A4A2F" w:rsidRPr="00E16339" w:rsidRDefault="005A4A2F" w:rsidP="005A4A2F">
      <w:pPr>
        <w:spacing w:after="160" w:line="259" w:lineRule="auto"/>
        <w:jc w:val="both"/>
        <w:rPr>
          <w:rFonts w:ascii="Arial" w:hAnsi="Arial" w:cs="Arial"/>
        </w:rPr>
      </w:pPr>
      <w:bookmarkStart w:id="3" w:name="maternal-risk-factors"/>
      <w:bookmarkEnd w:id="2"/>
      <w:r w:rsidRPr="00E16339">
        <w:rPr>
          <w:rFonts w:ascii="Arial" w:hAnsi="Arial" w:cs="Arial"/>
        </w:rPr>
        <w:t>Maternal Risk Factors</w:t>
      </w:r>
    </w:p>
    <w:p w14:paraId="7282884E" w14:textId="77777777" w:rsidR="005A4A2F" w:rsidRPr="00E16339" w:rsidRDefault="005A4A2F" w:rsidP="005A4A2F">
      <w:pPr>
        <w:spacing w:after="160" w:line="259" w:lineRule="auto"/>
        <w:jc w:val="both"/>
        <w:rPr>
          <w:rFonts w:ascii="Arial" w:hAnsi="Arial" w:cs="Arial"/>
        </w:rPr>
      </w:pPr>
      <w:r>
        <w:t>Maternal age was an important determinant. In our series, 29% of mothers were ≥35 years (Table 1). Figure 2 shows their infants had lower gestational ages, likely linked to hypertensive disorders, preeclampsia, and placental abnormalities. This matches previous studies reporting increased prematurity risk in mothers &gt;40 and &lt;17 years [6, 7]. Limited antenatal care and socio-economic factors also play key roles in LMICs [8].</w:t>
      </w:r>
    </w:p>
    <w:bookmarkEnd w:id="3"/>
    <w:p w14:paraId="14B41A44" w14:textId="77777777" w:rsidR="005A4A2F" w:rsidRPr="00E16339" w:rsidRDefault="005A4A2F" w:rsidP="005A4A2F">
      <w:pPr>
        <w:spacing w:after="160" w:line="259" w:lineRule="auto"/>
        <w:jc w:val="both"/>
        <w:rPr>
          <w:rFonts w:ascii="Arial" w:hAnsi="Arial" w:cs="Arial"/>
        </w:rPr>
      </w:pPr>
      <w:r w:rsidRPr="00E16339">
        <w:rPr>
          <w:rFonts w:ascii="Arial" w:hAnsi="Arial" w:cs="Arial"/>
        </w:rPr>
        <w:t>Clinical and Public Health Implications</w:t>
      </w:r>
    </w:p>
    <w:p w14:paraId="5C6054FB" w14:textId="77777777" w:rsidR="005A4A2F" w:rsidRPr="00E16339" w:rsidRDefault="005A4A2F" w:rsidP="005A4A2F">
      <w:pPr>
        <w:spacing w:after="160" w:line="259" w:lineRule="auto"/>
        <w:jc w:val="both"/>
        <w:rPr>
          <w:rFonts w:ascii="Arial" w:hAnsi="Arial" w:cs="Arial"/>
        </w:rPr>
      </w:pPr>
      <w:r w:rsidRPr="00E16339">
        <w:rPr>
          <w:rFonts w:ascii="Arial" w:hAnsi="Arial" w:cs="Arial"/>
        </w:rPr>
        <w:t>Our findings highlight that early deaths are mostly due to immaturity, while late deaths are preventable. Priorities include antenatal corticosteroids, early non-invasive ventilation, Kangaroo Mother Care, breastfeeding, and infection prevention [9,11,12]. Strengthening perinatal networks and access to evidence-based interventions is essential to reduce mortality gaps between low- and high-resource settings.</w:t>
      </w:r>
      <w:r>
        <w:rPr>
          <w:rFonts w:ascii="Arial" w:hAnsi="Arial" w:cs="Arial"/>
        </w:rPr>
        <w:t xml:space="preserve"> </w:t>
      </w:r>
      <w:r w:rsidRPr="00BC6C1F">
        <w:rPr>
          <w:rFonts w:ascii="Arial" w:hAnsi="Arial" w:cs="Arial"/>
        </w:rPr>
        <w:t>This pattern is consistent with global evidence on the burden and preventability of neonatal sepsis [10].</w:t>
      </w:r>
    </w:p>
    <w:p w14:paraId="56BCBBB1" w14:textId="77777777" w:rsidR="00790ADA" w:rsidRPr="00E16339" w:rsidRDefault="00790ADA" w:rsidP="00441B6F">
      <w:pPr>
        <w:pStyle w:val="Body"/>
        <w:spacing w:after="0"/>
        <w:rPr>
          <w:rFonts w:ascii="Arial" w:hAnsi="Arial" w:cs="Arial"/>
        </w:rPr>
      </w:pPr>
    </w:p>
    <w:p w14:paraId="217966D2" w14:textId="204A14BB" w:rsidR="00B01FCD" w:rsidRPr="00E16339" w:rsidRDefault="00053DF3" w:rsidP="00441B6F">
      <w:pPr>
        <w:pStyle w:val="ConcHead"/>
        <w:spacing w:after="0"/>
        <w:jc w:val="both"/>
        <w:rPr>
          <w:rFonts w:ascii="Arial" w:hAnsi="Arial" w:cs="Arial"/>
        </w:rPr>
      </w:pPr>
      <w:r w:rsidRPr="00E16339">
        <w:t>5</w:t>
      </w:r>
      <w:r w:rsidR="00000F8F" w:rsidRPr="00E16339">
        <w:t>. CONCLUSION</w:t>
      </w:r>
    </w:p>
    <w:p w14:paraId="333D694C" w14:textId="77777777" w:rsidR="005A4A2F" w:rsidRPr="00E16339" w:rsidRDefault="005A4A2F" w:rsidP="005A4A2F">
      <w:pPr>
        <w:pStyle w:val="Body"/>
        <w:spacing w:after="0"/>
        <w:rPr>
          <w:rFonts w:ascii="Arial" w:hAnsi="Arial" w:cs="Arial"/>
        </w:rPr>
      </w:pPr>
    </w:p>
    <w:p w14:paraId="55FD4E11" w14:textId="77777777" w:rsidR="005A4A2F" w:rsidRPr="00E16339" w:rsidRDefault="005A4A2F" w:rsidP="005A4A2F">
      <w:pPr>
        <w:spacing w:after="160" w:line="259" w:lineRule="auto"/>
        <w:jc w:val="both"/>
        <w:rPr>
          <w:rFonts w:ascii="Arial" w:hAnsi="Arial" w:cs="Arial"/>
        </w:rPr>
      </w:pPr>
      <w:r w:rsidRPr="008B38ED">
        <w:rPr>
          <w:rFonts w:ascii="Arial" w:hAnsi="Arial" w:cs="Arial"/>
        </w:rPr>
        <w:t>This retrospective case analysis shows that most in-hospital deaths among extremely/very preterm infants occurred after the first week of life and were predominantly attributed to infections (8/14; 57%), whereas respiratory distress syndrome accounted for fewer cases and occurred exclusively in the early period. These findings—together with the birth-weight and gestational-age profiles—highlight opportunities to reduce late mortality through pragmatic, high-impact measures: timely antenatal corticosteroids, Kangaroo Mother Care, early and exclusive breastfeeding support, rigorous infection-prevention practices (hygiene bundles, catheter care, antibiotic stewardship), and context-adapted respiratory management. Strengthening documentation and audit processes will also enable better surveillance of early versus late outcomes and evaluation of targeted quality-improvement interventions.</w:t>
      </w:r>
    </w:p>
    <w:p w14:paraId="251F0C93" w14:textId="77777777" w:rsidR="008C172A" w:rsidRPr="00E16339" w:rsidRDefault="008C172A" w:rsidP="008C172A">
      <w:pPr>
        <w:pStyle w:val="Body"/>
        <w:spacing w:after="0"/>
        <w:rPr>
          <w:rFonts w:ascii="Arial" w:hAnsi="Arial" w:cs="Arial"/>
        </w:rPr>
      </w:pPr>
    </w:p>
    <w:p w14:paraId="33323959" w14:textId="77777777" w:rsidR="008C172A" w:rsidRPr="00E16339" w:rsidRDefault="008C172A" w:rsidP="008C172A">
      <w:pPr>
        <w:pStyle w:val="AcknHead"/>
        <w:spacing w:after="0"/>
        <w:jc w:val="both"/>
        <w:rPr>
          <w:rFonts w:ascii="Arial" w:hAnsi="Arial" w:cs="Arial"/>
        </w:rPr>
      </w:pPr>
      <w:r w:rsidRPr="00E16339">
        <w:t>ACKNOWLEDGEMENTS</w:t>
      </w:r>
    </w:p>
    <w:p w14:paraId="28CECBEC" w14:textId="77777777" w:rsidR="008C172A" w:rsidRPr="00E16339" w:rsidRDefault="008C172A" w:rsidP="008C172A">
      <w:pPr>
        <w:pStyle w:val="Body"/>
        <w:spacing w:after="0"/>
        <w:rPr>
          <w:rFonts w:ascii="Arial" w:hAnsi="Arial" w:cs="Arial"/>
        </w:rPr>
      </w:pPr>
    </w:p>
    <w:p w14:paraId="2071E63E" w14:textId="77777777" w:rsidR="008C172A" w:rsidRPr="00E16339" w:rsidRDefault="008C172A" w:rsidP="008C172A">
      <w:pPr>
        <w:spacing w:after="160" w:line="259" w:lineRule="auto"/>
        <w:jc w:val="both"/>
      </w:pPr>
      <w:r w:rsidRPr="00E16339">
        <w:t xml:space="preserve">The authors would like to thank the medical and nursing staff of the Neonatology Department at the Mohammed V Military </w:t>
      </w:r>
      <w:r w:rsidRPr="00E16339">
        <w:rPr>
          <w:rFonts w:ascii="Arial" w:hAnsi="Arial" w:cs="Arial"/>
        </w:rPr>
        <w:t>Teaching</w:t>
      </w:r>
      <w:r w:rsidRPr="00E16339">
        <w:t xml:space="preserve"> Hospital, Rabat, Morocco, for their valuable contribution to the care of preterm infants and for their assistance in data collection. No external funding was received for this work.</w:t>
      </w:r>
    </w:p>
    <w:p w14:paraId="51369844" w14:textId="77777777" w:rsidR="008C172A" w:rsidRPr="00E16339" w:rsidRDefault="008C172A" w:rsidP="008C172A"/>
    <w:p w14:paraId="367C5B45" w14:textId="77777777" w:rsidR="008C172A" w:rsidRPr="00E16339" w:rsidRDefault="008C172A" w:rsidP="008C172A">
      <w:pPr>
        <w:pStyle w:val="ReferHead"/>
        <w:spacing w:after="0"/>
        <w:jc w:val="both"/>
        <w:rPr>
          <w:rFonts w:ascii="Arial" w:hAnsi="Arial" w:cs="Arial"/>
          <w:bCs/>
        </w:rPr>
      </w:pPr>
      <w:r w:rsidRPr="00E16339">
        <w:rPr>
          <w:rFonts w:ascii="Arial" w:hAnsi="Arial" w:cs="Arial"/>
          <w:bCs/>
        </w:rPr>
        <w:lastRenderedPageBreak/>
        <w:t>Competing interests</w:t>
      </w:r>
    </w:p>
    <w:p w14:paraId="5BC6357D" w14:textId="77777777" w:rsidR="008C172A" w:rsidRPr="00E16339" w:rsidRDefault="008C172A" w:rsidP="008C172A">
      <w:pPr>
        <w:pStyle w:val="ReferHead"/>
        <w:spacing w:after="0"/>
        <w:jc w:val="both"/>
        <w:rPr>
          <w:rFonts w:ascii="Arial" w:hAnsi="Arial" w:cs="Arial"/>
          <w:b w:val="0"/>
          <w:caps w:val="0"/>
          <w:sz w:val="20"/>
        </w:rPr>
      </w:pPr>
      <w:r w:rsidRPr="00E16339">
        <w:rPr>
          <w:rFonts w:ascii="Arial" w:hAnsi="Arial" w:cs="Arial"/>
          <w:b w:val="0"/>
          <w:caps w:val="0"/>
          <w:sz w:val="20"/>
        </w:rPr>
        <w:t>The authors declare no conflict of interest.</w:t>
      </w:r>
    </w:p>
    <w:p w14:paraId="5DFEEAEE" w14:textId="77777777" w:rsidR="008C172A" w:rsidRPr="00E16339" w:rsidRDefault="008C172A" w:rsidP="008C172A">
      <w:pPr>
        <w:pStyle w:val="ReferHead"/>
        <w:spacing w:after="0"/>
        <w:jc w:val="both"/>
        <w:rPr>
          <w:rFonts w:ascii="Arial" w:hAnsi="Arial" w:cs="Arial"/>
          <w:b w:val="0"/>
          <w:caps w:val="0"/>
          <w:sz w:val="20"/>
        </w:rPr>
      </w:pPr>
    </w:p>
    <w:p w14:paraId="1787833B" w14:textId="77777777" w:rsidR="008C172A" w:rsidRPr="00E16339" w:rsidRDefault="008C172A" w:rsidP="008C172A">
      <w:pPr>
        <w:pStyle w:val="ReferHead"/>
        <w:spacing w:after="0"/>
        <w:jc w:val="both"/>
        <w:rPr>
          <w:rFonts w:ascii="Arial" w:hAnsi="Arial" w:cs="Arial"/>
          <w:bCs/>
        </w:rPr>
      </w:pPr>
      <w:r w:rsidRPr="00E16339">
        <w:rPr>
          <w:rFonts w:ascii="Arial" w:hAnsi="Arial" w:cs="Arial"/>
          <w:bCs/>
        </w:rPr>
        <w:t>Authors’ Contributions</w:t>
      </w:r>
    </w:p>
    <w:p w14:paraId="44C22EF2" w14:textId="77777777" w:rsidR="008C172A" w:rsidRPr="002A5E9C" w:rsidRDefault="008C172A" w:rsidP="008C172A">
      <w:pPr>
        <w:spacing w:after="160" w:line="259" w:lineRule="auto"/>
        <w:jc w:val="both"/>
      </w:pPr>
      <w:r>
        <w:t xml:space="preserve">M. </w:t>
      </w:r>
      <w:proofErr w:type="spellStart"/>
      <w:r>
        <w:t>Afroukh</w:t>
      </w:r>
      <w:proofErr w:type="spellEnd"/>
      <w:r>
        <w:t xml:space="preserve"> designed the study, collected the clinical and epidemiological data, and drafted the first version of the manuscript. E. </w:t>
      </w:r>
      <w:proofErr w:type="spellStart"/>
      <w:r>
        <w:t>Bahous</w:t>
      </w:r>
      <w:proofErr w:type="spellEnd"/>
      <w:r>
        <w:t xml:space="preserve"> contributed to the clinical analyses, data interpretation, and manuscript revision. R. </w:t>
      </w:r>
      <w:proofErr w:type="spellStart"/>
      <w:r>
        <w:t>Abilkacime</w:t>
      </w:r>
      <w:proofErr w:type="spellEnd"/>
      <w:r>
        <w:t xml:space="preserve"> supervised the study, validated the methodology, and provided critical revision of the manuscript. All authors read and approved the final version of the manuscript.</w:t>
      </w:r>
    </w:p>
    <w:p w14:paraId="72FD2ACA" w14:textId="77777777" w:rsidR="008C172A" w:rsidRPr="00E16339" w:rsidRDefault="008C172A" w:rsidP="008C172A">
      <w:pPr>
        <w:pStyle w:val="ReferHead"/>
        <w:spacing w:after="0"/>
        <w:jc w:val="both"/>
        <w:rPr>
          <w:rFonts w:ascii="Arial" w:hAnsi="Arial" w:cs="Arial"/>
          <w:b w:val="0"/>
          <w:caps w:val="0"/>
          <w:sz w:val="20"/>
        </w:rPr>
      </w:pPr>
    </w:p>
    <w:p w14:paraId="755F706E" w14:textId="77777777" w:rsidR="008C172A" w:rsidRPr="00E16339" w:rsidRDefault="008C172A" w:rsidP="008C172A">
      <w:pPr>
        <w:pStyle w:val="ReferHead"/>
        <w:spacing w:after="0"/>
        <w:jc w:val="both"/>
        <w:rPr>
          <w:rFonts w:ascii="Arial" w:hAnsi="Arial" w:cs="Arial"/>
          <w:bCs/>
        </w:rPr>
      </w:pPr>
      <w:r w:rsidRPr="00E16339">
        <w:rPr>
          <w:rFonts w:ascii="Arial" w:hAnsi="Arial" w:cs="Arial"/>
          <w:bCs/>
        </w:rPr>
        <w:t>Consent (where applicable)</w:t>
      </w:r>
    </w:p>
    <w:p w14:paraId="69691F46" w14:textId="77777777" w:rsidR="008C172A" w:rsidRPr="00E16339" w:rsidRDefault="008C172A" w:rsidP="008C172A">
      <w:pPr>
        <w:pStyle w:val="ReferHead"/>
        <w:spacing w:after="0"/>
        <w:jc w:val="both"/>
        <w:rPr>
          <w:rFonts w:ascii="Arial" w:hAnsi="Arial" w:cs="Arial"/>
          <w:b w:val="0"/>
          <w:caps w:val="0"/>
          <w:sz w:val="20"/>
        </w:rPr>
      </w:pPr>
    </w:p>
    <w:p w14:paraId="00E1AF41" w14:textId="77777777" w:rsidR="008C172A" w:rsidRPr="00E16339" w:rsidRDefault="008C172A" w:rsidP="008C172A">
      <w:pPr>
        <w:pStyle w:val="ReferHead"/>
        <w:spacing w:after="0"/>
        <w:jc w:val="both"/>
        <w:rPr>
          <w:rFonts w:ascii="Arial" w:hAnsi="Arial" w:cs="Arial"/>
          <w:b w:val="0"/>
          <w:caps w:val="0"/>
          <w:sz w:val="20"/>
        </w:rPr>
      </w:pPr>
      <w:r w:rsidRPr="00E16339">
        <w:rPr>
          <w:rFonts w:ascii="Arial" w:hAnsi="Arial" w:cs="Arial"/>
          <w:b w:val="0"/>
          <w:caps w:val="0"/>
          <w:sz w:val="20"/>
        </w:rPr>
        <w:t>Not applicable. Individual consent was not required as data were collected retrospectively and anonymized.</w:t>
      </w:r>
    </w:p>
    <w:p w14:paraId="6D0CF686" w14:textId="77777777" w:rsidR="008C172A" w:rsidRPr="00E16339" w:rsidRDefault="008C172A" w:rsidP="008C172A">
      <w:pPr>
        <w:pStyle w:val="ReferHead"/>
        <w:spacing w:after="0"/>
        <w:jc w:val="both"/>
        <w:rPr>
          <w:rFonts w:ascii="Arial" w:hAnsi="Arial" w:cs="Arial"/>
          <w:b w:val="0"/>
          <w:caps w:val="0"/>
          <w:sz w:val="20"/>
        </w:rPr>
      </w:pPr>
    </w:p>
    <w:p w14:paraId="255A6F70" w14:textId="77777777" w:rsidR="008C172A" w:rsidRPr="00E16339" w:rsidRDefault="008C172A" w:rsidP="008C172A">
      <w:pPr>
        <w:pStyle w:val="ReferHead"/>
        <w:spacing w:after="0"/>
        <w:jc w:val="both"/>
        <w:rPr>
          <w:rFonts w:ascii="Arial" w:hAnsi="Arial" w:cs="Arial"/>
          <w:bCs/>
        </w:rPr>
      </w:pPr>
      <w:r w:rsidRPr="00E16339">
        <w:rPr>
          <w:rFonts w:ascii="Arial" w:hAnsi="Arial" w:cs="Arial"/>
          <w:bCs/>
        </w:rPr>
        <w:t>Ethical approval (where applicable)</w:t>
      </w:r>
    </w:p>
    <w:p w14:paraId="1971EB57" w14:textId="77777777" w:rsidR="008C172A" w:rsidRDefault="008C172A" w:rsidP="008C172A">
      <w:pPr>
        <w:pStyle w:val="ReferHead"/>
        <w:spacing w:after="0"/>
        <w:jc w:val="both"/>
        <w:rPr>
          <w:rFonts w:ascii="Arial" w:hAnsi="Arial" w:cs="Arial"/>
          <w:b w:val="0"/>
          <w:caps w:val="0"/>
          <w:sz w:val="20"/>
        </w:rPr>
      </w:pPr>
    </w:p>
    <w:p w14:paraId="425E1F4E" w14:textId="77777777" w:rsidR="008C172A" w:rsidRPr="000737E1" w:rsidRDefault="008C172A" w:rsidP="008C172A">
      <w:pPr>
        <w:pStyle w:val="ReferHead"/>
        <w:spacing w:after="0"/>
        <w:jc w:val="both"/>
        <w:rPr>
          <w:rFonts w:ascii="Arial" w:hAnsi="Arial" w:cs="Arial"/>
          <w:b w:val="0"/>
          <w:caps w:val="0"/>
          <w:sz w:val="20"/>
        </w:rPr>
      </w:pPr>
      <w:r w:rsidRPr="00B638F0">
        <w:rPr>
          <w:rFonts w:ascii="Arial" w:hAnsi="Arial" w:cs="Arial"/>
          <w:b w:val="0"/>
          <w:caps w:val="0"/>
          <w:sz w:val="20"/>
        </w:rPr>
        <w:t>The study protocol was approved by the institutional review board; individual informed consent was waived due to the retrospective, anonymized design.</w:t>
      </w:r>
    </w:p>
    <w:p w14:paraId="7980EDCD" w14:textId="77777777" w:rsidR="008C172A" w:rsidRPr="00362DA6" w:rsidRDefault="008C172A" w:rsidP="008C172A">
      <w:pPr>
        <w:pStyle w:val="Body"/>
        <w:spacing w:after="0"/>
        <w:jc w:val="left"/>
        <w:rPr>
          <w:rFonts w:ascii="Arial" w:hAnsi="Arial" w:cs="Arial"/>
          <w:b/>
          <w:bCs/>
        </w:rPr>
      </w:pPr>
    </w:p>
    <w:p w14:paraId="622FBBDE" w14:textId="77777777" w:rsidR="008C172A" w:rsidRPr="00C0683F" w:rsidRDefault="008C172A" w:rsidP="008C172A">
      <w:pPr>
        <w:pStyle w:val="DefAcrHead"/>
        <w:spacing w:after="0"/>
        <w:jc w:val="both"/>
        <w:rPr>
          <w:rFonts w:ascii="Arial" w:hAnsi="Arial" w:cs="Arial"/>
        </w:rPr>
      </w:pPr>
      <w:r w:rsidRPr="00C0683F">
        <w:rPr>
          <w:rFonts w:ascii="Arial" w:hAnsi="Arial" w:cs="Arial"/>
        </w:rPr>
        <w:t>Definitions, Acronyms, Abbreviations</w:t>
      </w:r>
    </w:p>
    <w:p w14:paraId="5C473127" w14:textId="77777777" w:rsidR="008C172A" w:rsidRPr="00C0683F" w:rsidRDefault="008C172A" w:rsidP="008C172A">
      <w:pPr>
        <w:pStyle w:val="Body"/>
        <w:spacing w:after="0"/>
        <w:jc w:val="left"/>
      </w:pPr>
      <w:r w:rsidRPr="00C0683F">
        <w:t xml:space="preserve">GA: Gestational Age; </w:t>
      </w:r>
    </w:p>
    <w:p w14:paraId="32358886" w14:textId="77777777" w:rsidR="008C172A" w:rsidRPr="00C0683F" w:rsidRDefault="008C172A" w:rsidP="008C172A">
      <w:pPr>
        <w:pStyle w:val="Body"/>
        <w:spacing w:after="0"/>
        <w:jc w:val="left"/>
      </w:pPr>
      <w:r w:rsidRPr="00C0683F">
        <w:t xml:space="preserve">BW: Birth Weight; </w:t>
      </w:r>
    </w:p>
    <w:p w14:paraId="4AC350F9" w14:textId="77777777" w:rsidR="008C172A" w:rsidRPr="00C0683F" w:rsidRDefault="008C172A" w:rsidP="008C172A">
      <w:pPr>
        <w:pStyle w:val="Body"/>
        <w:spacing w:after="0"/>
        <w:jc w:val="left"/>
      </w:pPr>
      <w:r w:rsidRPr="00C0683F">
        <w:t>VLBW: Very Low Birth Weight (&lt;1500 g);</w:t>
      </w:r>
    </w:p>
    <w:p w14:paraId="4206478F" w14:textId="77777777" w:rsidR="008C172A" w:rsidRPr="00C0683F" w:rsidRDefault="008C172A" w:rsidP="008C172A">
      <w:pPr>
        <w:pStyle w:val="Body"/>
        <w:spacing w:after="0"/>
        <w:jc w:val="left"/>
      </w:pPr>
      <w:r w:rsidRPr="00C0683F">
        <w:t xml:space="preserve">ELBW: Extremely Low Birth Weight (&lt;1000 g); </w:t>
      </w:r>
    </w:p>
    <w:p w14:paraId="05F41065" w14:textId="77777777" w:rsidR="008C172A" w:rsidRPr="00C0683F" w:rsidRDefault="008C172A" w:rsidP="008C172A">
      <w:pPr>
        <w:pStyle w:val="Body"/>
        <w:spacing w:after="0"/>
        <w:jc w:val="left"/>
      </w:pPr>
      <w:r w:rsidRPr="00C0683F">
        <w:t>RDS: Respiratory Distress Syndrome;</w:t>
      </w:r>
    </w:p>
    <w:p w14:paraId="7F25A531" w14:textId="77777777" w:rsidR="008C172A" w:rsidRPr="00C0683F" w:rsidRDefault="008C172A" w:rsidP="008C172A">
      <w:pPr>
        <w:pStyle w:val="Body"/>
        <w:spacing w:after="0"/>
        <w:jc w:val="left"/>
      </w:pPr>
      <w:r w:rsidRPr="00C0683F">
        <w:t xml:space="preserve">NEC: Necrotizing Enterocolitis; </w:t>
      </w:r>
    </w:p>
    <w:p w14:paraId="623F32F9" w14:textId="77777777" w:rsidR="008C172A" w:rsidRPr="00C0683F" w:rsidRDefault="008C172A" w:rsidP="008C172A">
      <w:pPr>
        <w:pStyle w:val="Body"/>
        <w:spacing w:after="0"/>
        <w:jc w:val="left"/>
      </w:pPr>
      <w:r w:rsidRPr="00C0683F">
        <w:t>IVH: Intraventricular Hemorrhage;</w:t>
      </w:r>
    </w:p>
    <w:p w14:paraId="2D936322" w14:textId="77777777" w:rsidR="008C172A" w:rsidRPr="00C0683F" w:rsidRDefault="008C172A" w:rsidP="008C172A">
      <w:pPr>
        <w:pStyle w:val="Body"/>
        <w:spacing w:after="0"/>
        <w:jc w:val="left"/>
      </w:pPr>
      <w:r w:rsidRPr="00C0683F">
        <w:t>KMC: Kangaroo Mother Care;</w:t>
      </w:r>
    </w:p>
    <w:p w14:paraId="0A4EDFAE" w14:textId="77777777" w:rsidR="008C172A" w:rsidRPr="00C0683F" w:rsidRDefault="008C172A" w:rsidP="008C172A">
      <w:pPr>
        <w:pStyle w:val="Body"/>
        <w:spacing w:after="0"/>
        <w:jc w:val="left"/>
      </w:pPr>
      <w:r w:rsidRPr="00C0683F">
        <w:t>NICU: Neonatal Intensive Care Unit.</w:t>
      </w:r>
    </w:p>
    <w:p w14:paraId="0EE7BEE6" w14:textId="77777777" w:rsidR="008C172A" w:rsidRDefault="008C172A" w:rsidP="008C172A">
      <w:pPr>
        <w:pStyle w:val="Body"/>
        <w:spacing w:after="0"/>
        <w:jc w:val="left"/>
      </w:pPr>
      <w:r w:rsidRPr="00AA058E">
        <w:t>HAP/HCAP: Hospital-Acquired Pneumonia;</w:t>
      </w:r>
    </w:p>
    <w:p w14:paraId="6B93493B" w14:textId="77777777" w:rsidR="008C172A" w:rsidRPr="00AA058E" w:rsidRDefault="008C172A" w:rsidP="008C172A">
      <w:pPr>
        <w:pStyle w:val="Body"/>
        <w:spacing w:after="0"/>
        <w:jc w:val="left"/>
      </w:pPr>
      <w:r w:rsidRPr="00AA058E">
        <w:t>CLABSI: Central Line–Associated Bloodstream Infection.</w:t>
      </w:r>
    </w:p>
    <w:p w14:paraId="0C6D47CF" w14:textId="77777777" w:rsidR="008C172A" w:rsidRDefault="008C172A" w:rsidP="008C172A">
      <w:pPr>
        <w:pStyle w:val="Appendix"/>
        <w:spacing w:after="0"/>
        <w:jc w:val="both"/>
        <w:rPr>
          <w:rFonts w:ascii="Arial" w:hAnsi="Arial" w:cs="Arial"/>
        </w:rPr>
      </w:pPr>
    </w:p>
    <w:p w14:paraId="57688EEA" w14:textId="77777777" w:rsidR="008C172A" w:rsidRPr="00270720" w:rsidRDefault="008C172A" w:rsidP="008C172A">
      <w:pPr>
        <w:pStyle w:val="DefAcrHead"/>
        <w:spacing w:after="0"/>
        <w:jc w:val="both"/>
        <w:rPr>
          <w:highlight w:val="yellow"/>
        </w:rPr>
      </w:pPr>
      <w:r w:rsidRPr="008C172A">
        <w:rPr>
          <w:rFonts w:ascii="Arial" w:hAnsi="Arial" w:cs="Arial"/>
        </w:rPr>
        <w:t>Disclaimer (Artificial intelligence)</w:t>
      </w:r>
    </w:p>
    <w:p w14:paraId="613F821E" w14:textId="77777777" w:rsidR="008C172A" w:rsidRPr="00270720" w:rsidRDefault="008C172A" w:rsidP="008C172A">
      <w:pPr>
        <w:rPr>
          <w:highlight w:val="yellow"/>
        </w:rPr>
      </w:pPr>
    </w:p>
    <w:p w14:paraId="22DA488D" w14:textId="57609D5C" w:rsidR="008C172A" w:rsidRPr="008C172A" w:rsidRDefault="008C172A" w:rsidP="008C172A">
      <w:r w:rsidRPr="008C172A">
        <w:t xml:space="preserve">Author(s) hereby declare that NO generative AI technologies such as Large Language Models (ChatGPT, COPILOT, etc.) and text-to-image generators have been used during the writing or editing of this manuscript. </w:t>
      </w:r>
    </w:p>
    <w:p w14:paraId="4EF2E3A9" w14:textId="77777777" w:rsidR="008C172A" w:rsidRPr="007242D3" w:rsidRDefault="008C172A" w:rsidP="008C172A">
      <w:pPr>
        <w:pStyle w:val="ReferHead"/>
        <w:spacing w:after="0"/>
        <w:jc w:val="both"/>
        <w:rPr>
          <w:rFonts w:ascii="Arial" w:hAnsi="Arial" w:cs="Arial"/>
        </w:rPr>
      </w:pPr>
      <w:r w:rsidRPr="00E16339">
        <w:rPr>
          <w:rFonts w:ascii="Arial" w:hAnsi="Arial" w:cs="Arial"/>
        </w:rPr>
        <w:t>References</w:t>
      </w:r>
    </w:p>
    <w:p w14:paraId="5714A8BA" w14:textId="77777777" w:rsidR="008C172A" w:rsidRDefault="008C172A" w:rsidP="008C172A">
      <w:pPr>
        <w:pStyle w:val="Body"/>
        <w:spacing w:after="0"/>
        <w:jc w:val="left"/>
        <w:rPr>
          <w:rFonts w:ascii="Arial" w:hAnsi="Arial" w:cs="Arial"/>
          <w:b/>
          <w:bCs/>
        </w:rPr>
      </w:pPr>
    </w:p>
    <w:p w14:paraId="4E99DBB5" w14:textId="77777777" w:rsidR="008C172A" w:rsidRPr="007242D3" w:rsidRDefault="008C172A" w:rsidP="008C172A">
      <w:pPr>
        <w:pStyle w:val="Body"/>
        <w:numPr>
          <w:ilvl w:val="0"/>
          <w:numId w:val="38"/>
        </w:numPr>
        <w:ind w:left="284" w:hanging="284"/>
      </w:pPr>
      <w:r w:rsidRPr="007242D3">
        <w:t>United Nations Inter-</w:t>
      </w:r>
      <w:proofErr w:type="gramStart"/>
      <w:r w:rsidRPr="007242D3">
        <w:t>agency</w:t>
      </w:r>
      <w:proofErr w:type="gramEnd"/>
      <w:r w:rsidRPr="007242D3">
        <w:t xml:space="preserve"> Group for Child Mortality Estimation (UN IGME). Levels and Trends in Child Mortality 2023. New York: UNICEF; 2024. Available from: https://data.unicef.org/resources/levels-and-trends-in-child-mortality-2023/</w:t>
      </w:r>
    </w:p>
    <w:p w14:paraId="7F8E9D6B" w14:textId="77777777" w:rsidR="008C172A" w:rsidRPr="007242D3" w:rsidRDefault="008C172A" w:rsidP="008C172A">
      <w:pPr>
        <w:pStyle w:val="Body"/>
        <w:numPr>
          <w:ilvl w:val="0"/>
          <w:numId w:val="38"/>
        </w:numPr>
        <w:ind w:left="284" w:hanging="284"/>
      </w:pPr>
      <w:r w:rsidRPr="007242D3">
        <w:t>World Health Organization. Preterm birth – Fact sheet. Geneva: WHO; 2023 May 10. Available from: https://www.who.int/news-room/fact-sheets/detail/preterm-birth</w:t>
      </w:r>
    </w:p>
    <w:p w14:paraId="1D3A1CF1" w14:textId="77777777" w:rsidR="008C172A" w:rsidRPr="007242D3" w:rsidRDefault="008C172A" w:rsidP="008C172A">
      <w:pPr>
        <w:pStyle w:val="Body"/>
        <w:numPr>
          <w:ilvl w:val="0"/>
          <w:numId w:val="38"/>
        </w:numPr>
        <w:ind w:left="284" w:hanging="284"/>
      </w:pPr>
      <w:r w:rsidRPr="007242D3">
        <w:rPr>
          <w:lang w:val="fr-MA"/>
        </w:rPr>
        <w:t xml:space="preserve">Stoll BJ, Hansen NI, Bell EF, et al. </w:t>
      </w:r>
      <w:r w:rsidRPr="007242D3">
        <w:t>Neonatal outcomes of extremely preterm infants from the NICHD Neonatal Research Network. Pediatrics. 2010;126(3):443–56. doi:10.1542/peds.2009-2959</w:t>
      </w:r>
    </w:p>
    <w:p w14:paraId="597501D2" w14:textId="77777777" w:rsidR="008C172A" w:rsidRPr="007242D3" w:rsidRDefault="008C172A" w:rsidP="008C172A">
      <w:pPr>
        <w:pStyle w:val="Body"/>
        <w:numPr>
          <w:ilvl w:val="0"/>
          <w:numId w:val="38"/>
        </w:numPr>
        <w:ind w:left="284" w:hanging="284"/>
      </w:pPr>
      <w:r w:rsidRPr="007242D3">
        <w:lastRenderedPageBreak/>
        <w:t xml:space="preserve">Edwards EM, Ehret DEY, Soll RF, </w:t>
      </w:r>
      <w:proofErr w:type="spellStart"/>
      <w:r w:rsidRPr="007242D3">
        <w:t>Horbar</w:t>
      </w:r>
      <w:proofErr w:type="spellEnd"/>
      <w:r w:rsidRPr="007242D3">
        <w:t xml:space="preserve"> JD, et al. Survival of infants born at 22 to 25 weeks’ gestation receiving care in the NICU: 2020–2022. Pediatrics. 2024;154(4</w:t>
      </w:r>
      <w:proofErr w:type="gramStart"/>
      <w:r w:rsidRPr="007242D3">
        <w:t>):e</w:t>
      </w:r>
      <w:proofErr w:type="gramEnd"/>
      <w:r w:rsidRPr="007242D3">
        <w:t>2024065963. doi:10.1542/peds.2024-065963</w:t>
      </w:r>
    </w:p>
    <w:p w14:paraId="78D3BEEF" w14:textId="77777777" w:rsidR="008C172A" w:rsidRPr="007242D3" w:rsidRDefault="008C172A" w:rsidP="008C172A">
      <w:pPr>
        <w:pStyle w:val="Body"/>
        <w:numPr>
          <w:ilvl w:val="0"/>
          <w:numId w:val="38"/>
        </w:numPr>
        <w:ind w:left="284" w:hanging="284"/>
      </w:pPr>
      <w:proofErr w:type="spellStart"/>
      <w:r w:rsidRPr="007242D3">
        <w:t>Girma</w:t>
      </w:r>
      <w:proofErr w:type="spellEnd"/>
      <w:r w:rsidRPr="007242D3">
        <w:t xml:space="preserve"> B, </w:t>
      </w:r>
      <w:proofErr w:type="spellStart"/>
      <w:r w:rsidRPr="007242D3">
        <w:t>Tsegaye</w:t>
      </w:r>
      <w:proofErr w:type="spellEnd"/>
      <w:r w:rsidRPr="007242D3">
        <w:t xml:space="preserve"> B, Alemayehu T, Wondimu M. Survival and predictors of mortality among preterm neonates: a 5-year cohort study in Northern Ethiopia. Front </w:t>
      </w:r>
      <w:proofErr w:type="spellStart"/>
      <w:r w:rsidRPr="007242D3">
        <w:t>Pediatr</w:t>
      </w:r>
      <w:proofErr w:type="spellEnd"/>
      <w:r w:rsidRPr="007242D3">
        <w:t xml:space="preserve">. </w:t>
      </w:r>
      <w:proofErr w:type="gramStart"/>
      <w:r w:rsidRPr="007242D3">
        <w:t>2023;10:1083749</w:t>
      </w:r>
      <w:proofErr w:type="gramEnd"/>
      <w:r w:rsidRPr="007242D3">
        <w:t>. doi:10.3389/fped.2022.1083749</w:t>
      </w:r>
    </w:p>
    <w:p w14:paraId="6E50DB5F" w14:textId="77777777" w:rsidR="008C172A" w:rsidRPr="007242D3" w:rsidRDefault="008C172A" w:rsidP="008C172A">
      <w:pPr>
        <w:pStyle w:val="Body"/>
        <w:numPr>
          <w:ilvl w:val="0"/>
          <w:numId w:val="38"/>
        </w:numPr>
        <w:ind w:left="284" w:hanging="284"/>
      </w:pPr>
      <w:proofErr w:type="spellStart"/>
      <w:r w:rsidRPr="007242D3">
        <w:t>Tirore</w:t>
      </w:r>
      <w:proofErr w:type="spellEnd"/>
      <w:r w:rsidRPr="007242D3">
        <w:t xml:space="preserve"> LL, Abate AT, Tesfaye Z, et al. Incidence of mortality and its predictors among preterm neonates admitted to the NICU of NEMMCSH. BMC </w:t>
      </w:r>
      <w:proofErr w:type="spellStart"/>
      <w:r w:rsidRPr="007242D3">
        <w:t>Pediatr</w:t>
      </w:r>
      <w:proofErr w:type="spellEnd"/>
      <w:r w:rsidRPr="007242D3">
        <w:t xml:space="preserve">. </w:t>
      </w:r>
      <w:proofErr w:type="gramStart"/>
      <w:r w:rsidRPr="007242D3">
        <w:t>2024;24:92</w:t>
      </w:r>
      <w:proofErr w:type="gramEnd"/>
      <w:r w:rsidRPr="007242D3">
        <w:t>. doi:10.1186/s12887-024-04992-9</w:t>
      </w:r>
    </w:p>
    <w:p w14:paraId="2EFCB1CA" w14:textId="77777777" w:rsidR="008C172A" w:rsidRPr="007242D3" w:rsidRDefault="008C172A" w:rsidP="008C172A">
      <w:pPr>
        <w:pStyle w:val="Body"/>
        <w:numPr>
          <w:ilvl w:val="0"/>
          <w:numId w:val="38"/>
        </w:numPr>
        <w:ind w:left="284" w:hanging="284"/>
      </w:pPr>
      <w:proofErr w:type="spellStart"/>
      <w:r w:rsidRPr="007242D3">
        <w:t>Chioukh</w:t>
      </w:r>
      <w:proofErr w:type="spellEnd"/>
      <w:r w:rsidRPr="007242D3">
        <w:t xml:space="preserve"> FZ, Ben </w:t>
      </w:r>
      <w:proofErr w:type="spellStart"/>
      <w:r w:rsidRPr="007242D3">
        <w:t>Ameur</w:t>
      </w:r>
      <w:proofErr w:type="spellEnd"/>
      <w:r w:rsidRPr="007242D3">
        <w:t xml:space="preserve"> K, Ben </w:t>
      </w:r>
      <w:proofErr w:type="spellStart"/>
      <w:r w:rsidRPr="007242D3">
        <w:t>Miled</w:t>
      </w:r>
      <w:proofErr w:type="spellEnd"/>
      <w:r w:rsidRPr="007242D3">
        <w:t xml:space="preserve"> N, et al. Extremely preterm infants in Tunisia: Where are we now? Tunis Med. 2018;96(8–9):510–13. PMID: 30430530. Available from: https://latunisiemedicale.com/index.php/tunismed/article/view/3434</w:t>
      </w:r>
    </w:p>
    <w:p w14:paraId="2F3D69FA" w14:textId="77777777" w:rsidR="008C172A" w:rsidRPr="007242D3" w:rsidRDefault="008C172A" w:rsidP="008C172A">
      <w:pPr>
        <w:pStyle w:val="Body"/>
        <w:numPr>
          <w:ilvl w:val="0"/>
          <w:numId w:val="38"/>
        </w:numPr>
        <w:ind w:left="284" w:hanging="284"/>
      </w:pPr>
      <w:proofErr w:type="spellStart"/>
      <w:r w:rsidRPr="006C3A38">
        <w:rPr>
          <w:lang w:val="fr-MA"/>
        </w:rPr>
        <w:t>Agbeno</w:t>
      </w:r>
      <w:proofErr w:type="spellEnd"/>
      <w:r w:rsidRPr="006C3A38">
        <w:rPr>
          <w:lang w:val="fr-MA"/>
        </w:rPr>
        <w:t xml:space="preserve"> EK, </w:t>
      </w:r>
      <w:proofErr w:type="spellStart"/>
      <w:r w:rsidRPr="006C3A38">
        <w:rPr>
          <w:lang w:val="fr-MA"/>
        </w:rPr>
        <w:t>Osarfo</w:t>
      </w:r>
      <w:proofErr w:type="spellEnd"/>
      <w:r w:rsidRPr="006C3A38">
        <w:rPr>
          <w:lang w:val="fr-MA"/>
        </w:rPr>
        <w:t xml:space="preserve"> J, </w:t>
      </w:r>
      <w:proofErr w:type="spellStart"/>
      <w:r w:rsidRPr="006C3A38">
        <w:rPr>
          <w:lang w:val="fr-MA"/>
        </w:rPr>
        <w:t>Ashong</w:t>
      </w:r>
      <w:proofErr w:type="spellEnd"/>
      <w:r w:rsidRPr="006C3A38">
        <w:rPr>
          <w:lang w:val="fr-MA"/>
        </w:rPr>
        <w:t xml:space="preserve"> J, et al. </w:t>
      </w:r>
      <w:r w:rsidRPr="007242D3">
        <w:t xml:space="preserve">Determinants of preterm survival in a tertiary hospital in Ghana: a ten-year review. </w:t>
      </w:r>
      <w:proofErr w:type="spellStart"/>
      <w:r w:rsidRPr="007242D3">
        <w:t>PLoS</w:t>
      </w:r>
      <w:proofErr w:type="spellEnd"/>
      <w:r w:rsidRPr="007242D3">
        <w:t xml:space="preserve"> One. 2021;16(1</w:t>
      </w:r>
      <w:proofErr w:type="gramStart"/>
      <w:r w:rsidRPr="007242D3">
        <w:t>):e</w:t>
      </w:r>
      <w:proofErr w:type="gramEnd"/>
      <w:r w:rsidRPr="007242D3">
        <w:t xml:space="preserve">0246005. </w:t>
      </w:r>
      <w:proofErr w:type="gramStart"/>
      <w:r w:rsidRPr="007242D3">
        <w:t>doi:10.1371/journal.pone</w:t>
      </w:r>
      <w:proofErr w:type="gramEnd"/>
      <w:r w:rsidRPr="007242D3">
        <w:t>.0246005</w:t>
      </w:r>
    </w:p>
    <w:p w14:paraId="62175C42" w14:textId="77777777" w:rsidR="008C172A" w:rsidRPr="007242D3" w:rsidRDefault="008C172A" w:rsidP="008C172A">
      <w:pPr>
        <w:pStyle w:val="Body"/>
        <w:numPr>
          <w:ilvl w:val="0"/>
          <w:numId w:val="38"/>
        </w:numPr>
        <w:ind w:left="284" w:hanging="284"/>
      </w:pPr>
      <w:r w:rsidRPr="006C3A38">
        <w:rPr>
          <w:lang w:val="fr-MA"/>
        </w:rPr>
        <w:t xml:space="preserve">Sweet DG, </w:t>
      </w:r>
      <w:proofErr w:type="spellStart"/>
      <w:r w:rsidRPr="006C3A38">
        <w:rPr>
          <w:lang w:val="fr-MA"/>
        </w:rPr>
        <w:t>Carnielli</w:t>
      </w:r>
      <w:proofErr w:type="spellEnd"/>
      <w:r w:rsidRPr="006C3A38">
        <w:rPr>
          <w:lang w:val="fr-MA"/>
        </w:rPr>
        <w:t xml:space="preserve"> V, </w:t>
      </w:r>
      <w:proofErr w:type="spellStart"/>
      <w:r w:rsidRPr="006C3A38">
        <w:rPr>
          <w:lang w:val="fr-MA"/>
        </w:rPr>
        <w:t>Greisen</w:t>
      </w:r>
      <w:proofErr w:type="spellEnd"/>
      <w:r w:rsidRPr="006C3A38">
        <w:rPr>
          <w:lang w:val="fr-MA"/>
        </w:rPr>
        <w:t xml:space="preserve"> G, et al. </w:t>
      </w:r>
      <w:r w:rsidRPr="007242D3">
        <w:t>European Consensus Guidelines on the Management of Respiratory Distress Syndrome—2019 Update. Neonatology. 2019;115(4):432–50. doi:10.1159/000499361</w:t>
      </w:r>
    </w:p>
    <w:p w14:paraId="353B31E9" w14:textId="77777777" w:rsidR="008C172A" w:rsidRPr="007242D3" w:rsidRDefault="008C172A" w:rsidP="008C172A">
      <w:pPr>
        <w:pStyle w:val="Body"/>
        <w:numPr>
          <w:ilvl w:val="0"/>
          <w:numId w:val="38"/>
        </w:numPr>
        <w:ind w:left="284" w:hanging="284"/>
      </w:pPr>
      <w:r w:rsidRPr="007242D3">
        <w:t>Shane AL, Sánchez PJ, Stoll BJ. Neonatal sepsis. Lancet. 2017;390(10104):1770–80. doi:10.1016/S0140-6736(17)31002-4</w:t>
      </w:r>
    </w:p>
    <w:p w14:paraId="3AF67AA2" w14:textId="77777777" w:rsidR="008C172A" w:rsidRPr="007242D3" w:rsidRDefault="008C172A" w:rsidP="008C172A">
      <w:pPr>
        <w:pStyle w:val="Body"/>
        <w:numPr>
          <w:ilvl w:val="0"/>
          <w:numId w:val="38"/>
        </w:numPr>
        <w:ind w:left="284" w:hanging="284"/>
      </w:pPr>
      <w:r w:rsidRPr="007242D3">
        <w:t xml:space="preserve">Roberts D, Brown J, Medley N, Dalziel SR. Antenatal corticosteroids for accelerating fetal lung maturation for women at risk of preterm birth. Cochrane Database Syst Rev. 2017;3:CD004454. </w:t>
      </w:r>
      <w:proofErr w:type="gramStart"/>
      <w:r w:rsidRPr="007242D3">
        <w:t>doi:10.1002/14651858.CD004454.pub3</w:t>
      </w:r>
      <w:proofErr w:type="gramEnd"/>
    </w:p>
    <w:p w14:paraId="1CCB5B2A" w14:textId="77777777" w:rsidR="008C172A" w:rsidRPr="007242D3" w:rsidRDefault="008C172A" w:rsidP="008C172A">
      <w:pPr>
        <w:pStyle w:val="Body"/>
        <w:numPr>
          <w:ilvl w:val="0"/>
          <w:numId w:val="38"/>
        </w:numPr>
        <w:ind w:left="284" w:hanging="284"/>
      </w:pPr>
      <w:r w:rsidRPr="007242D3">
        <w:t>Conde-</w:t>
      </w:r>
      <w:proofErr w:type="spellStart"/>
      <w:r w:rsidRPr="007242D3">
        <w:t>Agudelo</w:t>
      </w:r>
      <w:proofErr w:type="spellEnd"/>
      <w:r w:rsidRPr="007242D3">
        <w:t xml:space="preserve"> A, Díaz-Rossello JL. Kangaroo Mother Care to reduce morbidity and mortality in low birthweight infants. Cochrane Database Syst Rev. 2016;8:CD002771. </w:t>
      </w:r>
      <w:proofErr w:type="gramStart"/>
      <w:r w:rsidRPr="007242D3">
        <w:t>doi:10.1002/14651858.CD002771.pub4</w:t>
      </w:r>
      <w:proofErr w:type="gramEnd"/>
    </w:p>
    <w:p w14:paraId="40752A95" w14:textId="77777777" w:rsidR="008C172A" w:rsidRPr="007242D3" w:rsidRDefault="008C172A" w:rsidP="008C172A">
      <w:pPr>
        <w:pStyle w:val="Body"/>
        <w:numPr>
          <w:ilvl w:val="0"/>
          <w:numId w:val="38"/>
        </w:numPr>
        <w:ind w:left="284" w:hanging="284"/>
      </w:pPr>
      <w:r w:rsidRPr="006C3A38">
        <w:rPr>
          <w:lang w:val="fr-MA"/>
        </w:rPr>
        <w:t xml:space="preserve">Ancel PY, Goffinet F, Kuhn P, et al. </w:t>
      </w:r>
      <w:r w:rsidRPr="007242D3">
        <w:t xml:space="preserve">Survival and morbidity of preterm children born at 22 through 34 weeks’ gestation in France in 2011: results of the EPIPAGE-2 cohort study. JAMA </w:t>
      </w:r>
      <w:proofErr w:type="spellStart"/>
      <w:r w:rsidRPr="007242D3">
        <w:t>Pediatr</w:t>
      </w:r>
      <w:proofErr w:type="spellEnd"/>
      <w:r w:rsidRPr="007242D3">
        <w:t>. 2015;169(3):230–8. doi:10.1001/jamapediatrics.2014.3351</w:t>
      </w:r>
    </w:p>
    <w:p w14:paraId="69EF652D" w14:textId="77777777" w:rsidR="008C172A" w:rsidRPr="007242D3" w:rsidRDefault="008C172A" w:rsidP="008C172A">
      <w:pPr>
        <w:pStyle w:val="Body"/>
        <w:numPr>
          <w:ilvl w:val="0"/>
          <w:numId w:val="38"/>
        </w:numPr>
        <w:ind w:left="284" w:hanging="284"/>
      </w:pPr>
      <w:proofErr w:type="spellStart"/>
      <w:r w:rsidRPr="007242D3">
        <w:t>Cupen</w:t>
      </w:r>
      <w:proofErr w:type="spellEnd"/>
      <w:r w:rsidRPr="007242D3">
        <w:t xml:space="preserve"> K, </w:t>
      </w:r>
      <w:proofErr w:type="spellStart"/>
      <w:r w:rsidRPr="007242D3">
        <w:t>Barran</w:t>
      </w:r>
      <w:proofErr w:type="spellEnd"/>
      <w:r w:rsidRPr="007242D3">
        <w:t xml:space="preserve"> A, Singh V, </w:t>
      </w:r>
      <w:proofErr w:type="spellStart"/>
      <w:r w:rsidRPr="007242D3">
        <w:t>Dialsingh</w:t>
      </w:r>
      <w:proofErr w:type="spellEnd"/>
      <w:r w:rsidRPr="007242D3">
        <w:t xml:space="preserve"> I. Risk factors associated with preterm neonatal mortality: a case study using data from Mt. Hope Women’s Hospital in Trinidad and Tobago. Children (Basel). 2017;4(12):108. doi:10.3390/children4120108</w:t>
      </w:r>
    </w:p>
    <w:p w14:paraId="2C0CDC25" w14:textId="77777777" w:rsidR="00E63270" w:rsidRDefault="00E63270" w:rsidP="00441B6F">
      <w:pPr>
        <w:pStyle w:val="Appendix"/>
        <w:spacing w:after="0"/>
        <w:jc w:val="both"/>
        <w:rPr>
          <w:rFonts w:ascii="Arial" w:hAnsi="Arial" w:cs="Arial"/>
        </w:rPr>
      </w:pPr>
    </w:p>
    <w:p w14:paraId="56CCF63D" w14:textId="77777777" w:rsidR="00E63270" w:rsidRPr="00FB3A86" w:rsidRDefault="00E63270" w:rsidP="00441B6F">
      <w:pPr>
        <w:pStyle w:val="Appendix"/>
        <w:spacing w:after="0"/>
        <w:jc w:val="both"/>
        <w:rPr>
          <w:rFonts w:ascii="Arial" w:hAnsi="Arial" w:cs="Arial"/>
          <w:b w:val="0"/>
        </w:rPr>
        <w:sectPr w:rsidR="00E63270" w:rsidRPr="00FB3A86" w:rsidSect="006D1190">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100F71F5" w14:textId="77777777" w:rsidR="00B01FCD" w:rsidRPr="00FB3A86" w:rsidRDefault="00B01FCD" w:rsidP="00441B6F">
      <w:pPr>
        <w:pStyle w:val="Appendix"/>
        <w:spacing w:after="0"/>
        <w:jc w:val="both"/>
        <w:rPr>
          <w:rFonts w:ascii="Arial" w:hAnsi="Arial" w:cs="Arial"/>
          <w:b w:val="0"/>
        </w:rPr>
      </w:pPr>
    </w:p>
    <w:sectPr w:rsidR="00B01FCD" w:rsidRPr="00FB3A86" w:rsidSect="006D119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90825" w14:textId="77777777" w:rsidR="00F63597" w:rsidRDefault="00F63597" w:rsidP="00C37E61">
      <w:r>
        <w:separator/>
      </w:r>
    </w:p>
  </w:endnote>
  <w:endnote w:type="continuationSeparator" w:id="0">
    <w:p w14:paraId="7F0629FA" w14:textId="77777777" w:rsidR="00F63597" w:rsidRDefault="00F6359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259DB" w14:textId="77777777" w:rsidR="009E048A" w:rsidRDefault="009E048A">
    <w:pPr>
      <w:pStyle w:val="Footer"/>
      <w:rPr>
        <w:rFonts w:ascii="Arial" w:hAnsi="Arial" w:cs="Arial"/>
        <w:sz w:val="16"/>
      </w:rPr>
    </w:pPr>
  </w:p>
  <w:p w14:paraId="02DDFFE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9ADFBA2" w14:textId="77777777" w:rsidR="009E048A" w:rsidRDefault="009E048A">
    <w:pPr>
      <w:pStyle w:val="Footer"/>
      <w:rPr>
        <w:rFonts w:ascii="Arial" w:hAnsi="Arial" w:cs="Arial"/>
        <w:sz w:val="16"/>
      </w:rPr>
    </w:pPr>
  </w:p>
  <w:p w14:paraId="429B45B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840A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819FC" w14:textId="77777777" w:rsidR="00F63597" w:rsidRDefault="00F63597" w:rsidP="00C37E61">
      <w:r>
        <w:separator/>
      </w:r>
    </w:p>
  </w:footnote>
  <w:footnote w:type="continuationSeparator" w:id="0">
    <w:p w14:paraId="40C66960" w14:textId="77777777" w:rsidR="00F63597" w:rsidRDefault="00F6359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84BC9" w14:textId="2E67006B" w:rsidR="006D1190" w:rsidRDefault="00F63597">
    <w:pPr>
      <w:pStyle w:val="Header"/>
    </w:pPr>
    <w:r>
      <w:rPr>
        <w:noProof/>
      </w:rPr>
      <w:pict w14:anchorId="005DE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1754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7EBF7" w14:textId="5C86B2D2" w:rsidR="006D1190" w:rsidRDefault="00F63597">
    <w:pPr>
      <w:pStyle w:val="Header"/>
    </w:pPr>
    <w:r>
      <w:rPr>
        <w:noProof/>
      </w:rPr>
      <w:pict w14:anchorId="423DEB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1754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893FB" w14:textId="4FDCC156" w:rsidR="00296529" w:rsidRPr="00296529" w:rsidRDefault="00F63597" w:rsidP="00296529">
    <w:pPr>
      <w:ind w:left="2160"/>
      <w:jc w:val="center"/>
      <w:rPr>
        <w:rFonts w:ascii="Times New Roman" w:eastAsia="Calibri" w:hAnsi="Times New Roman"/>
        <w:i/>
        <w:sz w:val="18"/>
        <w:szCs w:val="22"/>
      </w:rPr>
    </w:pPr>
    <w:r>
      <w:rPr>
        <w:noProof/>
      </w:rPr>
      <w:pict w14:anchorId="0D534D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1754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6B1BA4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B443B8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3ACFFB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EDBD0F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1EDB0A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69F1E0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30CDB" w14:textId="6D8AD8FE" w:rsidR="006D1190" w:rsidRDefault="00F63597">
    <w:pPr>
      <w:pStyle w:val="Header"/>
    </w:pPr>
    <w:r>
      <w:rPr>
        <w:noProof/>
      </w:rPr>
      <w:pict w14:anchorId="2A3C7C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17547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B6B2D" w14:textId="2D68497C" w:rsidR="006D1190" w:rsidRDefault="00F63597">
    <w:pPr>
      <w:pStyle w:val="Header"/>
    </w:pPr>
    <w:r>
      <w:rPr>
        <w:noProof/>
      </w:rPr>
      <w:pict w14:anchorId="56F5C3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17547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BF9AC" w14:textId="05F091C4" w:rsidR="006D1190" w:rsidRDefault="00F63597">
    <w:pPr>
      <w:pStyle w:val="Header"/>
    </w:pPr>
    <w:r>
      <w:rPr>
        <w:noProof/>
      </w:rPr>
      <w:pict w14:anchorId="3A3B09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17547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0A7A64"/>
    <w:multiLevelType w:val="hybridMultilevel"/>
    <w:tmpl w:val="A8622B44"/>
    <w:lvl w:ilvl="0" w:tplc="380C000F">
      <w:start w:val="1"/>
      <w:numFmt w:val="decimal"/>
      <w:lvlText w:val="%1."/>
      <w:lvlJc w:val="left"/>
      <w:pPr>
        <w:ind w:left="720" w:hanging="360"/>
      </w:pPr>
    </w:lvl>
    <w:lvl w:ilvl="1" w:tplc="20802E5A">
      <w:numFmt w:val="bullet"/>
      <w:lvlText w:val=""/>
      <w:lvlJc w:val="left"/>
      <w:pPr>
        <w:ind w:left="1440" w:hanging="360"/>
      </w:pPr>
      <w:rPr>
        <w:rFonts w:ascii="Arial" w:eastAsia="Times New Roman" w:hAnsi="Arial" w:cs="Arial" w:hint="default"/>
      </w:r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9B2A0F"/>
    <w:multiLevelType w:val="multilevel"/>
    <w:tmpl w:val="61C40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B7622A1"/>
    <w:multiLevelType w:val="hybridMultilevel"/>
    <w:tmpl w:val="86D62970"/>
    <w:lvl w:ilvl="0" w:tplc="380C000F">
      <w:start w:val="1"/>
      <w:numFmt w:val="decimal"/>
      <w:lvlText w:val="%1."/>
      <w:lvlJc w:val="left"/>
      <w:pPr>
        <w:ind w:left="720" w:hanging="360"/>
      </w:pPr>
    </w:lvl>
    <w:lvl w:ilvl="1" w:tplc="380C0019">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78457A"/>
    <w:multiLevelType w:val="hybridMultilevel"/>
    <w:tmpl w:val="3844ECAA"/>
    <w:lvl w:ilvl="0" w:tplc="380C000F">
      <w:start w:val="1"/>
      <w:numFmt w:val="decimal"/>
      <w:lvlText w:val="%1."/>
      <w:lvlJc w:val="left"/>
      <w:pPr>
        <w:ind w:left="720" w:hanging="360"/>
      </w:p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1390B0D"/>
    <w:multiLevelType w:val="multilevel"/>
    <w:tmpl w:val="3A1C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D5138E"/>
    <w:multiLevelType w:val="hybridMultilevel"/>
    <w:tmpl w:val="DAF8F836"/>
    <w:lvl w:ilvl="0" w:tplc="380C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A5476EF"/>
    <w:multiLevelType w:val="multilevel"/>
    <w:tmpl w:val="11F43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847076"/>
    <w:multiLevelType w:val="hybridMultilevel"/>
    <w:tmpl w:val="414C9558"/>
    <w:lvl w:ilvl="0" w:tplc="380C000F">
      <w:start w:val="1"/>
      <w:numFmt w:val="decimal"/>
      <w:lvlText w:val="%1."/>
      <w:lvlJc w:val="left"/>
      <w:pPr>
        <w:ind w:left="720" w:hanging="360"/>
      </w:pPr>
    </w:lvl>
    <w:lvl w:ilvl="1" w:tplc="380C0019">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2068D0"/>
    <w:multiLevelType w:val="hybridMultilevel"/>
    <w:tmpl w:val="9F32B79A"/>
    <w:lvl w:ilvl="0" w:tplc="380C0001">
      <w:start w:val="1"/>
      <w:numFmt w:val="bullet"/>
      <w:lvlText w:val=""/>
      <w:lvlJc w:val="left"/>
      <w:pPr>
        <w:ind w:left="1080" w:hanging="360"/>
      </w:pPr>
      <w:rPr>
        <w:rFonts w:ascii="Symbol" w:hAnsi="Symbol" w:hint="default"/>
      </w:rPr>
    </w:lvl>
    <w:lvl w:ilvl="1" w:tplc="380C0003" w:tentative="1">
      <w:start w:val="1"/>
      <w:numFmt w:val="bullet"/>
      <w:lvlText w:val="o"/>
      <w:lvlJc w:val="left"/>
      <w:pPr>
        <w:ind w:left="1800" w:hanging="360"/>
      </w:pPr>
      <w:rPr>
        <w:rFonts w:ascii="Courier New" w:hAnsi="Courier New" w:cs="Courier New" w:hint="default"/>
      </w:rPr>
    </w:lvl>
    <w:lvl w:ilvl="2" w:tplc="380C0005" w:tentative="1">
      <w:start w:val="1"/>
      <w:numFmt w:val="bullet"/>
      <w:lvlText w:val=""/>
      <w:lvlJc w:val="left"/>
      <w:pPr>
        <w:ind w:left="2520" w:hanging="360"/>
      </w:pPr>
      <w:rPr>
        <w:rFonts w:ascii="Wingdings" w:hAnsi="Wingdings" w:hint="default"/>
      </w:rPr>
    </w:lvl>
    <w:lvl w:ilvl="3" w:tplc="380C0001" w:tentative="1">
      <w:start w:val="1"/>
      <w:numFmt w:val="bullet"/>
      <w:lvlText w:val=""/>
      <w:lvlJc w:val="left"/>
      <w:pPr>
        <w:ind w:left="3240" w:hanging="360"/>
      </w:pPr>
      <w:rPr>
        <w:rFonts w:ascii="Symbol" w:hAnsi="Symbol" w:hint="default"/>
      </w:rPr>
    </w:lvl>
    <w:lvl w:ilvl="4" w:tplc="380C0003" w:tentative="1">
      <w:start w:val="1"/>
      <w:numFmt w:val="bullet"/>
      <w:lvlText w:val="o"/>
      <w:lvlJc w:val="left"/>
      <w:pPr>
        <w:ind w:left="3960" w:hanging="360"/>
      </w:pPr>
      <w:rPr>
        <w:rFonts w:ascii="Courier New" w:hAnsi="Courier New" w:cs="Courier New" w:hint="default"/>
      </w:rPr>
    </w:lvl>
    <w:lvl w:ilvl="5" w:tplc="380C0005" w:tentative="1">
      <w:start w:val="1"/>
      <w:numFmt w:val="bullet"/>
      <w:lvlText w:val=""/>
      <w:lvlJc w:val="left"/>
      <w:pPr>
        <w:ind w:left="4680" w:hanging="360"/>
      </w:pPr>
      <w:rPr>
        <w:rFonts w:ascii="Wingdings" w:hAnsi="Wingdings" w:hint="default"/>
      </w:rPr>
    </w:lvl>
    <w:lvl w:ilvl="6" w:tplc="380C0001" w:tentative="1">
      <w:start w:val="1"/>
      <w:numFmt w:val="bullet"/>
      <w:lvlText w:val=""/>
      <w:lvlJc w:val="left"/>
      <w:pPr>
        <w:ind w:left="5400" w:hanging="360"/>
      </w:pPr>
      <w:rPr>
        <w:rFonts w:ascii="Symbol" w:hAnsi="Symbol" w:hint="default"/>
      </w:rPr>
    </w:lvl>
    <w:lvl w:ilvl="7" w:tplc="380C0003" w:tentative="1">
      <w:start w:val="1"/>
      <w:numFmt w:val="bullet"/>
      <w:lvlText w:val="o"/>
      <w:lvlJc w:val="left"/>
      <w:pPr>
        <w:ind w:left="6120" w:hanging="360"/>
      </w:pPr>
      <w:rPr>
        <w:rFonts w:ascii="Courier New" w:hAnsi="Courier New" w:cs="Courier New" w:hint="default"/>
      </w:rPr>
    </w:lvl>
    <w:lvl w:ilvl="8" w:tplc="380C0005" w:tentative="1">
      <w:start w:val="1"/>
      <w:numFmt w:val="bullet"/>
      <w:lvlText w:val=""/>
      <w:lvlJc w:val="left"/>
      <w:pPr>
        <w:ind w:left="6840" w:hanging="360"/>
      </w:pPr>
      <w:rPr>
        <w:rFonts w:ascii="Wingdings" w:hAnsi="Wingdings" w:hint="default"/>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34"/>
  </w:num>
  <w:num w:numId="10">
    <w:abstractNumId w:val="2"/>
  </w:num>
  <w:num w:numId="11">
    <w:abstractNumId w:val="24"/>
  </w:num>
  <w:num w:numId="12">
    <w:abstractNumId w:val="3"/>
  </w:num>
  <w:num w:numId="13">
    <w:abstractNumId w:val="21"/>
  </w:num>
  <w:num w:numId="14">
    <w:abstractNumId w:val="9"/>
  </w:num>
  <w:num w:numId="15">
    <w:abstractNumId w:val="29"/>
  </w:num>
  <w:num w:numId="16">
    <w:abstractNumId w:val="5"/>
  </w:num>
  <w:num w:numId="17">
    <w:abstractNumId w:val="30"/>
  </w:num>
  <w:num w:numId="18">
    <w:abstractNumId w:val="16"/>
  </w:num>
  <w:num w:numId="19">
    <w:abstractNumId w:val="37"/>
  </w:num>
  <w:num w:numId="20">
    <w:abstractNumId w:val="12"/>
  </w:num>
  <w:num w:numId="21">
    <w:abstractNumId w:val="10"/>
  </w:num>
  <w:num w:numId="22">
    <w:abstractNumId w:val="15"/>
  </w:num>
  <w:num w:numId="23">
    <w:abstractNumId w:val="27"/>
  </w:num>
  <w:num w:numId="24">
    <w:abstractNumId w:val="35"/>
  </w:num>
  <w:num w:numId="25">
    <w:abstractNumId w:val="4"/>
  </w:num>
  <w:num w:numId="26">
    <w:abstractNumId w:val="19"/>
  </w:num>
  <w:num w:numId="27">
    <w:abstractNumId w:val="28"/>
  </w:num>
  <w:num w:numId="28">
    <w:abstractNumId w:val="36"/>
  </w:num>
  <w:num w:numId="29">
    <w:abstractNumId w:val="33"/>
  </w:num>
  <w:num w:numId="30">
    <w:abstractNumId w:val="11"/>
  </w:num>
  <w:num w:numId="31">
    <w:abstractNumId w:val="22"/>
  </w:num>
  <w:num w:numId="32">
    <w:abstractNumId w:val="23"/>
  </w:num>
  <w:num w:numId="33">
    <w:abstractNumId w:val="14"/>
  </w:num>
  <w:num w:numId="34">
    <w:abstractNumId w:val="20"/>
  </w:num>
  <w:num w:numId="35">
    <w:abstractNumId w:val="25"/>
  </w:num>
  <w:num w:numId="36">
    <w:abstractNumId w:val="7"/>
  </w:num>
  <w:num w:numId="37">
    <w:abstractNumId w:val="18"/>
  </w:num>
  <w:num w:numId="38">
    <w:abstractNumId w:val="26"/>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MA"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MA"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59D"/>
    <w:rsid w:val="00000F8F"/>
    <w:rsid w:val="000064C4"/>
    <w:rsid w:val="000130B1"/>
    <w:rsid w:val="00021A8E"/>
    <w:rsid w:val="00030174"/>
    <w:rsid w:val="0003752C"/>
    <w:rsid w:val="0004148D"/>
    <w:rsid w:val="0004579C"/>
    <w:rsid w:val="00053DF3"/>
    <w:rsid w:val="000A44A6"/>
    <w:rsid w:val="000A47FA"/>
    <w:rsid w:val="000A65D3"/>
    <w:rsid w:val="000B1E33"/>
    <w:rsid w:val="000C285C"/>
    <w:rsid w:val="000C79AB"/>
    <w:rsid w:val="000D689F"/>
    <w:rsid w:val="000E7B7B"/>
    <w:rsid w:val="000E7D62"/>
    <w:rsid w:val="0010059A"/>
    <w:rsid w:val="00103357"/>
    <w:rsid w:val="00114664"/>
    <w:rsid w:val="0011606B"/>
    <w:rsid w:val="001203B4"/>
    <w:rsid w:val="00123C9F"/>
    <w:rsid w:val="00126190"/>
    <w:rsid w:val="00130F17"/>
    <w:rsid w:val="001320BF"/>
    <w:rsid w:val="00142D25"/>
    <w:rsid w:val="00154322"/>
    <w:rsid w:val="00163BC4"/>
    <w:rsid w:val="001807C1"/>
    <w:rsid w:val="0018611C"/>
    <w:rsid w:val="00191062"/>
    <w:rsid w:val="00192B72"/>
    <w:rsid w:val="001A29D8"/>
    <w:rsid w:val="001A5CAA"/>
    <w:rsid w:val="001B0427"/>
    <w:rsid w:val="001D3A51"/>
    <w:rsid w:val="001D5017"/>
    <w:rsid w:val="001E10D2"/>
    <w:rsid w:val="001E254B"/>
    <w:rsid w:val="001E25B4"/>
    <w:rsid w:val="001E44FE"/>
    <w:rsid w:val="001F0B3A"/>
    <w:rsid w:val="00200595"/>
    <w:rsid w:val="00202CE6"/>
    <w:rsid w:val="00204835"/>
    <w:rsid w:val="00226812"/>
    <w:rsid w:val="00231920"/>
    <w:rsid w:val="0023195C"/>
    <w:rsid w:val="0024282C"/>
    <w:rsid w:val="002460DC"/>
    <w:rsid w:val="00247169"/>
    <w:rsid w:val="00250985"/>
    <w:rsid w:val="00253381"/>
    <w:rsid w:val="002556F6"/>
    <w:rsid w:val="00283105"/>
    <w:rsid w:val="00284C4C"/>
    <w:rsid w:val="002877A6"/>
    <w:rsid w:val="00287E68"/>
    <w:rsid w:val="00296529"/>
    <w:rsid w:val="002B27FB"/>
    <w:rsid w:val="002B685A"/>
    <w:rsid w:val="002C57D2"/>
    <w:rsid w:val="002D3A38"/>
    <w:rsid w:val="002E0D56"/>
    <w:rsid w:val="003108CB"/>
    <w:rsid w:val="00315186"/>
    <w:rsid w:val="0033343E"/>
    <w:rsid w:val="003512C2"/>
    <w:rsid w:val="00362DA6"/>
    <w:rsid w:val="00371FB6"/>
    <w:rsid w:val="003763C1"/>
    <w:rsid w:val="00376BBE"/>
    <w:rsid w:val="0039224F"/>
    <w:rsid w:val="003A43A4"/>
    <w:rsid w:val="003A4939"/>
    <w:rsid w:val="003A7E18"/>
    <w:rsid w:val="003C4C86"/>
    <w:rsid w:val="003C6258"/>
    <w:rsid w:val="003E2904"/>
    <w:rsid w:val="003E4E56"/>
    <w:rsid w:val="003E5BC2"/>
    <w:rsid w:val="00401927"/>
    <w:rsid w:val="0040411F"/>
    <w:rsid w:val="0041027F"/>
    <w:rsid w:val="00412475"/>
    <w:rsid w:val="00423789"/>
    <w:rsid w:val="004246AB"/>
    <w:rsid w:val="00440F43"/>
    <w:rsid w:val="00441B6F"/>
    <w:rsid w:val="00446221"/>
    <w:rsid w:val="00450E62"/>
    <w:rsid w:val="004539DB"/>
    <w:rsid w:val="004617AA"/>
    <w:rsid w:val="00466675"/>
    <w:rsid w:val="00471A80"/>
    <w:rsid w:val="00476AC8"/>
    <w:rsid w:val="00481CEB"/>
    <w:rsid w:val="004A581E"/>
    <w:rsid w:val="004A5990"/>
    <w:rsid w:val="004D305E"/>
    <w:rsid w:val="004D4277"/>
    <w:rsid w:val="004F3894"/>
    <w:rsid w:val="00502516"/>
    <w:rsid w:val="00505F06"/>
    <w:rsid w:val="00506828"/>
    <w:rsid w:val="0053056E"/>
    <w:rsid w:val="00530D71"/>
    <w:rsid w:val="00535DF9"/>
    <w:rsid w:val="00547CAC"/>
    <w:rsid w:val="00554DA0"/>
    <w:rsid w:val="00554FDA"/>
    <w:rsid w:val="005601A7"/>
    <w:rsid w:val="005652B8"/>
    <w:rsid w:val="005669C0"/>
    <w:rsid w:val="00584193"/>
    <w:rsid w:val="00591B0E"/>
    <w:rsid w:val="00595E84"/>
    <w:rsid w:val="005A4A2F"/>
    <w:rsid w:val="005A6BF8"/>
    <w:rsid w:val="005C784C"/>
    <w:rsid w:val="005D17F6"/>
    <w:rsid w:val="005E5539"/>
    <w:rsid w:val="00602BF5"/>
    <w:rsid w:val="00606B01"/>
    <w:rsid w:val="00617FDD"/>
    <w:rsid w:val="00633614"/>
    <w:rsid w:val="00633F68"/>
    <w:rsid w:val="00636EB2"/>
    <w:rsid w:val="006375B8"/>
    <w:rsid w:val="0066510A"/>
    <w:rsid w:val="00673F9F"/>
    <w:rsid w:val="00682F0E"/>
    <w:rsid w:val="00686953"/>
    <w:rsid w:val="00687DEA"/>
    <w:rsid w:val="00687E67"/>
    <w:rsid w:val="006967F7"/>
    <w:rsid w:val="006A250C"/>
    <w:rsid w:val="006A3039"/>
    <w:rsid w:val="006B21D3"/>
    <w:rsid w:val="006B2E60"/>
    <w:rsid w:val="006B57D0"/>
    <w:rsid w:val="006C2F60"/>
    <w:rsid w:val="006D011D"/>
    <w:rsid w:val="006D1190"/>
    <w:rsid w:val="006D30FF"/>
    <w:rsid w:val="006D6940"/>
    <w:rsid w:val="006D73E6"/>
    <w:rsid w:val="006F11EC"/>
    <w:rsid w:val="006F75A0"/>
    <w:rsid w:val="0070082C"/>
    <w:rsid w:val="00706EEF"/>
    <w:rsid w:val="00720D23"/>
    <w:rsid w:val="007359FE"/>
    <w:rsid w:val="007369E6"/>
    <w:rsid w:val="00737583"/>
    <w:rsid w:val="0074369A"/>
    <w:rsid w:val="00744E02"/>
    <w:rsid w:val="00746E59"/>
    <w:rsid w:val="00754C9A"/>
    <w:rsid w:val="0075599A"/>
    <w:rsid w:val="00761D52"/>
    <w:rsid w:val="0077749E"/>
    <w:rsid w:val="00790ADA"/>
    <w:rsid w:val="007A19D0"/>
    <w:rsid w:val="007A2ED0"/>
    <w:rsid w:val="007B00C2"/>
    <w:rsid w:val="007C00D0"/>
    <w:rsid w:val="007D2288"/>
    <w:rsid w:val="007E088F"/>
    <w:rsid w:val="007E17AE"/>
    <w:rsid w:val="007E447E"/>
    <w:rsid w:val="007F2FF3"/>
    <w:rsid w:val="007F7B32"/>
    <w:rsid w:val="00804BC2"/>
    <w:rsid w:val="0081431A"/>
    <w:rsid w:val="00822AAF"/>
    <w:rsid w:val="008277F2"/>
    <w:rsid w:val="0083216F"/>
    <w:rsid w:val="00833C5D"/>
    <w:rsid w:val="00841881"/>
    <w:rsid w:val="008465A1"/>
    <w:rsid w:val="00851E95"/>
    <w:rsid w:val="00860000"/>
    <w:rsid w:val="00862026"/>
    <w:rsid w:val="008625ED"/>
    <w:rsid w:val="00863BD3"/>
    <w:rsid w:val="008641ED"/>
    <w:rsid w:val="00866D66"/>
    <w:rsid w:val="008671C6"/>
    <w:rsid w:val="00875803"/>
    <w:rsid w:val="0088194C"/>
    <w:rsid w:val="008958D4"/>
    <w:rsid w:val="008B459E"/>
    <w:rsid w:val="008B67D8"/>
    <w:rsid w:val="008C0297"/>
    <w:rsid w:val="008C172A"/>
    <w:rsid w:val="008E13AE"/>
    <w:rsid w:val="008E1506"/>
    <w:rsid w:val="008E710C"/>
    <w:rsid w:val="008F69D6"/>
    <w:rsid w:val="00902823"/>
    <w:rsid w:val="00915CA6"/>
    <w:rsid w:val="00927834"/>
    <w:rsid w:val="009328E4"/>
    <w:rsid w:val="00943A29"/>
    <w:rsid w:val="009500A6"/>
    <w:rsid w:val="00957C18"/>
    <w:rsid w:val="009659BA"/>
    <w:rsid w:val="00983040"/>
    <w:rsid w:val="009B3FB9"/>
    <w:rsid w:val="009B7F54"/>
    <w:rsid w:val="009C1C52"/>
    <w:rsid w:val="009C2465"/>
    <w:rsid w:val="009D35A0"/>
    <w:rsid w:val="009D7EB7"/>
    <w:rsid w:val="009E048A"/>
    <w:rsid w:val="009E08E9"/>
    <w:rsid w:val="009E3DB9"/>
    <w:rsid w:val="009E6E35"/>
    <w:rsid w:val="009F0EDA"/>
    <w:rsid w:val="009F2905"/>
    <w:rsid w:val="00A02C70"/>
    <w:rsid w:val="00A03B96"/>
    <w:rsid w:val="00A05B19"/>
    <w:rsid w:val="00A1134E"/>
    <w:rsid w:val="00A24E7E"/>
    <w:rsid w:val="00A258C3"/>
    <w:rsid w:val="00A347C0"/>
    <w:rsid w:val="00A42CB5"/>
    <w:rsid w:val="00A51431"/>
    <w:rsid w:val="00A539AD"/>
    <w:rsid w:val="00A91243"/>
    <w:rsid w:val="00A9300E"/>
    <w:rsid w:val="00A94063"/>
    <w:rsid w:val="00AA6219"/>
    <w:rsid w:val="00AA74E0"/>
    <w:rsid w:val="00AB703F"/>
    <w:rsid w:val="00AC6BB8"/>
    <w:rsid w:val="00AD72D3"/>
    <w:rsid w:val="00AE008F"/>
    <w:rsid w:val="00B01FCD"/>
    <w:rsid w:val="00B1776C"/>
    <w:rsid w:val="00B23998"/>
    <w:rsid w:val="00B34749"/>
    <w:rsid w:val="00B37A25"/>
    <w:rsid w:val="00B42975"/>
    <w:rsid w:val="00B52583"/>
    <w:rsid w:val="00B52896"/>
    <w:rsid w:val="00B53AF9"/>
    <w:rsid w:val="00B80239"/>
    <w:rsid w:val="00B95236"/>
    <w:rsid w:val="00B96BD9"/>
    <w:rsid w:val="00BA1B01"/>
    <w:rsid w:val="00BA2641"/>
    <w:rsid w:val="00BB37AA"/>
    <w:rsid w:val="00BC53A0"/>
    <w:rsid w:val="00BE29EA"/>
    <w:rsid w:val="00BE62AD"/>
    <w:rsid w:val="00BF121F"/>
    <w:rsid w:val="00BF1F80"/>
    <w:rsid w:val="00C16260"/>
    <w:rsid w:val="00C166EF"/>
    <w:rsid w:val="00C17EB0"/>
    <w:rsid w:val="00C27F5F"/>
    <w:rsid w:val="00C30A0F"/>
    <w:rsid w:val="00C37E61"/>
    <w:rsid w:val="00C70F1B"/>
    <w:rsid w:val="00C7155D"/>
    <w:rsid w:val="00C71A47"/>
    <w:rsid w:val="00C7464C"/>
    <w:rsid w:val="00C7607D"/>
    <w:rsid w:val="00C85588"/>
    <w:rsid w:val="00CB7C03"/>
    <w:rsid w:val="00CC440B"/>
    <w:rsid w:val="00CD6755"/>
    <w:rsid w:val="00CD6856"/>
    <w:rsid w:val="00CE0089"/>
    <w:rsid w:val="00CE793C"/>
    <w:rsid w:val="00CF193C"/>
    <w:rsid w:val="00D173F1"/>
    <w:rsid w:val="00D23ED0"/>
    <w:rsid w:val="00D52413"/>
    <w:rsid w:val="00D713F6"/>
    <w:rsid w:val="00D74CB0"/>
    <w:rsid w:val="00D8295D"/>
    <w:rsid w:val="00D91E11"/>
    <w:rsid w:val="00DA59D9"/>
    <w:rsid w:val="00DB4BFE"/>
    <w:rsid w:val="00DC2A65"/>
    <w:rsid w:val="00DE15F0"/>
    <w:rsid w:val="00DE5663"/>
    <w:rsid w:val="00DE78AA"/>
    <w:rsid w:val="00E01FB5"/>
    <w:rsid w:val="00E053D0"/>
    <w:rsid w:val="00E15994"/>
    <w:rsid w:val="00E16339"/>
    <w:rsid w:val="00E3114E"/>
    <w:rsid w:val="00E31A70"/>
    <w:rsid w:val="00E33AFF"/>
    <w:rsid w:val="00E35B02"/>
    <w:rsid w:val="00E62907"/>
    <w:rsid w:val="00E63270"/>
    <w:rsid w:val="00E66496"/>
    <w:rsid w:val="00E66B35"/>
    <w:rsid w:val="00E66E10"/>
    <w:rsid w:val="00E769F6"/>
    <w:rsid w:val="00E8407C"/>
    <w:rsid w:val="00E84F3C"/>
    <w:rsid w:val="00E95CCF"/>
    <w:rsid w:val="00EA012C"/>
    <w:rsid w:val="00EB22F0"/>
    <w:rsid w:val="00EC660A"/>
    <w:rsid w:val="00EC6A55"/>
    <w:rsid w:val="00ED0288"/>
    <w:rsid w:val="00EE52CB"/>
    <w:rsid w:val="00EF581D"/>
    <w:rsid w:val="00EF7FD8"/>
    <w:rsid w:val="00F06F59"/>
    <w:rsid w:val="00F17988"/>
    <w:rsid w:val="00F435BE"/>
    <w:rsid w:val="00F460D0"/>
    <w:rsid w:val="00F469F0"/>
    <w:rsid w:val="00F53273"/>
    <w:rsid w:val="00F63597"/>
    <w:rsid w:val="00F71C15"/>
    <w:rsid w:val="00F71F0F"/>
    <w:rsid w:val="00F73B85"/>
    <w:rsid w:val="00F755E4"/>
    <w:rsid w:val="00F77D02"/>
    <w:rsid w:val="00FA3282"/>
    <w:rsid w:val="00FB3A86"/>
    <w:rsid w:val="00FC6F5C"/>
    <w:rsid w:val="00FD36C8"/>
    <w:rsid w:val="00FF2A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E1CBBE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720D23"/>
    <w:rPr>
      <w:rFonts w:ascii="Times New Roman" w:hAnsi="Times New Roman"/>
      <w:sz w:val="24"/>
      <w:szCs w:val="24"/>
    </w:rPr>
  </w:style>
  <w:style w:type="paragraph" w:styleId="ListParagraph">
    <w:name w:val="List Paragraph"/>
    <w:basedOn w:val="Normal"/>
    <w:uiPriority w:val="34"/>
    <w:qFormat/>
    <w:rsid w:val="003108CB"/>
    <w:pPr>
      <w:ind w:left="720"/>
      <w:contextualSpacing/>
    </w:pPr>
  </w:style>
  <w:style w:type="character" w:customStyle="1" w:styleId="FooterChar">
    <w:name w:val="Footer Char"/>
    <w:basedOn w:val="DefaultParagraphFont"/>
    <w:link w:val="Footer"/>
    <w:rsid w:val="00C7155D"/>
    <w:rPr>
      <w:rFonts w:ascii="Helvetica" w:hAnsi="Helvetica"/>
    </w:rPr>
  </w:style>
  <w:style w:type="paragraph" w:styleId="BodyText">
    <w:name w:val="Body Text"/>
    <w:basedOn w:val="Normal"/>
    <w:link w:val="BodyTextChar"/>
    <w:semiHidden/>
    <w:unhideWhenUsed/>
    <w:rsid w:val="009C1C52"/>
    <w:pPr>
      <w:spacing w:after="120"/>
    </w:pPr>
  </w:style>
  <w:style w:type="character" w:customStyle="1" w:styleId="BodyTextChar">
    <w:name w:val="Body Text Char"/>
    <w:basedOn w:val="DefaultParagraphFont"/>
    <w:link w:val="BodyText"/>
    <w:semiHidden/>
    <w:rsid w:val="009C1C52"/>
    <w:rPr>
      <w:rFonts w:ascii="Helvetica" w:hAnsi="Helvetica"/>
    </w:rPr>
  </w:style>
  <w:style w:type="paragraph" w:customStyle="1" w:styleId="FirstParagraph">
    <w:name w:val="First Paragraph"/>
    <w:basedOn w:val="BodyText"/>
    <w:next w:val="BodyText"/>
    <w:qFormat/>
    <w:rsid w:val="009C1C52"/>
    <w:pPr>
      <w:spacing w:before="180" w:after="180"/>
    </w:pPr>
    <w:rPr>
      <w:rFonts w:asciiTheme="minorHAnsi" w:eastAsiaTheme="minorHAnsi" w:hAnsiTheme="minorHAnsi" w:cstheme="minorBidi"/>
      <w:sz w:val="24"/>
      <w:szCs w:val="24"/>
    </w:rPr>
  </w:style>
  <w:style w:type="table" w:customStyle="1" w:styleId="Table">
    <w:name w:val="Table"/>
    <w:semiHidden/>
    <w:unhideWhenUsed/>
    <w:qFormat/>
    <w:rsid w:val="007C00D0"/>
    <w:pPr>
      <w:spacing w:after="200"/>
    </w:pPr>
    <w:rPr>
      <w:rFonts w:asciiTheme="minorHAnsi" w:eastAsiaTheme="minorHAnsi" w:hAnsiTheme="minorHAnsi" w:cstheme="minorBidi"/>
      <w:sz w:val="24"/>
      <w:szCs w:val="24"/>
      <w:lang w:val="fr-MA" w:eastAsia="fr-MA"/>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styleId="TableGridLight">
    <w:name w:val="Grid Table Light"/>
    <w:basedOn w:val="TableNormal"/>
    <w:uiPriority w:val="40"/>
    <w:rsid w:val="007C00D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7C00D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7C00D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Accent1">
    <w:name w:val="Grid Table 4 Accent 1"/>
    <w:basedOn w:val="TableNormal"/>
    <w:uiPriority w:val="49"/>
    <w:rsid w:val="00E1633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6">
    <w:name w:val="Grid Table 4 Accent 6"/>
    <w:basedOn w:val="TableNormal"/>
    <w:uiPriority w:val="49"/>
    <w:rsid w:val="00E1633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1Light-Accent3">
    <w:name w:val="List Table 1 Light Accent 3"/>
    <w:basedOn w:val="TableNormal"/>
    <w:uiPriority w:val="46"/>
    <w:rsid w:val="00E1633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2">
    <w:name w:val="List Table 1 Light Accent 2"/>
    <w:basedOn w:val="TableNormal"/>
    <w:uiPriority w:val="46"/>
    <w:rsid w:val="00E1633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4">
    <w:name w:val="List Table 2 Accent 4"/>
    <w:basedOn w:val="TableNormal"/>
    <w:uiPriority w:val="47"/>
    <w:rsid w:val="00E1633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6277500">
      <w:bodyDiv w:val="1"/>
      <w:marLeft w:val="0"/>
      <w:marRight w:val="0"/>
      <w:marTop w:val="0"/>
      <w:marBottom w:val="0"/>
      <w:divBdr>
        <w:top w:val="none" w:sz="0" w:space="0" w:color="auto"/>
        <w:left w:val="none" w:sz="0" w:space="0" w:color="auto"/>
        <w:bottom w:val="none" w:sz="0" w:space="0" w:color="auto"/>
        <w:right w:val="none" w:sz="0" w:space="0" w:color="auto"/>
      </w:divBdr>
    </w:div>
    <w:div w:id="40329951">
      <w:bodyDiv w:val="1"/>
      <w:marLeft w:val="0"/>
      <w:marRight w:val="0"/>
      <w:marTop w:val="0"/>
      <w:marBottom w:val="0"/>
      <w:divBdr>
        <w:top w:val="none" w:sz="0" w:space="0" w:color="auto"/>
        <w:left w:val="none" w:sz="0" w:space="0" w:color="auto"/>
        <w:bottom w:val="none" w:sz="0" w:space="0" w:color="auto"/>
        <w:right w:val="none" w:sz="0" w:space="0" w:color="auto"/>
      </w:divBdr>
    </w:div>
    <w:div w:id="41566874">
      <w:bodyDiv w:val="1"/>
      <w:marLeft w:val="0"/>
      <w:marRight w:val="0"/>
      <w:marTop w:val="0"/>
      <w:marBottom w:val="0"/>
      <w:divBdr>
        <w:top w:val="none" w:sz="0" w:space="0" w:color="auto"/>
        <w:left w:val="none" w:sz="0" w:space="0" w:color="auto"/>
        <w:bottom w:val="none" w:sz="0" w:space="0" w:color="auto"/>
        <w:right w:val="none" w:sz="0" w:space="0" w:color="auto"/>
      </w:divBdr>
    </w:div>
    <w:div w:id="43532171">
      <w:bodyDiv w:val="1"/>
      <w:marLeft w:val="0"/>
      <w:marRight w:val="0"/>
      <w:marTop w:val="0"/>
      <w:marBottom w:val="0"/>
      <w:divBdr>
        <w:top w:val="none" w:sz="0" w:space="0" w:color="auto"/>
        <w:left w:val="none" w:sz="0" w:space="0" w:color="auto"/>
        <w:bottom w:val="none" w:sz="0" w:space="0" w:color="auto"/>
        <w:right w:val="none" w:sz="0" w:space="0" w:color="auto"/>
      </w:divBdr>
    </w:div>
    <w:div w:id="51005103">
      <w:bodyDiv w:val="1"/>
      <w:marLeft w:val="0"/>
      <w:marRight w:val="0"/>
      <w:marTop w:val="0"/>
      <w:marBottom w:val="0"/>
      <w:divBdr>
        <w:top w:val="none" w:sz="0" w:space="0" w:color="auto"/>
        <w:left w:val="none" w:sz="0" w:space="0" w:color="auto"/>
        <w:bottom w:val="none" w:sz="0" w:space="0" w:color="auto"/>
        <w:right w:val="none" w:sz="0" w:space="0" w:color="auto"/>
      </w:divBdr>
    </w:div>
    <w:div w:id="103616610">
      <w:bodyDiv w:val="1"/>
      <w:marLeft w:val="0"/>
      <w:marRight w:val="0"/>
      <w:marTop w:val="0"/>
      <w:marBottom w:val="0"/>
      <w:divBdr>
        <w:top w:val="none" w:sz="0" w:space="0" w:color="auto"/>
        <w:left w:val="none" w:sz="0" w:space="0" w:color="auto"/>
        <w:bottom w:val="none" w:sz="0" w:space="0" w:color="auto"/>
        <w:right w:val="none" w:sz="0" w:space="0" w:color="auto"/>
      </w:divBdr>
    </w:div>
    <w:div w:id="112670962">
      <w:bodyDiv w:val="1"/>
      <w:marLeft w:val="0"/>
      <w:marRight w:val="0"/>
      <w:marTop w:val="0"/>
      <w:marBottom w:val="0"/>
      <w:divBdr>
        <w:top w:val="none" w:sz="0" w:space="0" w:color="auto"/>
        <w:left w:val="none" w:sz="0" w:space="0" w:color="auto"/>
        <w:bottom w:val="none" w:sz="0" w:space="0" w:color="auto"/>
        <w:right w:val="none" w:sz="0" w:space="0" w:color="auto"/>
      </w:divBdr>
    </w:div>
    <w:div w:id="119425024">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4973831">
      <w:bodyDiv w:val="1"/>
      <w:marLeft w:val="0"/>
      <w:marRight w:val="0"/>
      <w:marTop w:val="0"/>
      <w:marBottom w:val="0"/>
      <w:divBdr>
        <w:top w:val="none" w:sz="0" w:space="0" w:color="auto"/>
        <w:left w:val="none" w:sz="0" w:space="0" w:color="auto"/>
        <w:bottom w:val="none" w:sz="0" w:space="0" w:color="auto"/>
        <w:right w:val="none" w:sz="0" w:space="0" w:color="auto"/>
      </w:divBdr>
    </w:div>
    <w:div w:id="218443203">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0356365">
      <w:bodyDiv w:val="1"/>
      <w:marLeft w:val="0"/>
      <w:marRight w:val="0"/>
      <w:marTop w:val="0"/>
      <w:marBottom w:val="0"/>
      <w:divBdr>
        <w:top w:val="none" w:sz="0" w:space="0" w:color="auto"/>
        <w:left w:val="none" w:sz="0" w:space="0" w:color="auto"/>
        <w:bottom w:val="none" w:sz="0" w:space="0" w:color="auto"/>
        <w:right w:val="none" w:sz="0" w:space="0" w:color="auto"/>
      </w:divBdr>
    </w:div>
    <w:div w:id="394473620">
      <w:bodyDiv w:val="1"/>
      <w:marLeft w:val="0"/>
      <w:marRight w:val="0"/>
      <w:marTop w:val="0"/>
      <w:marBottom w:val="0"/>
      <w:divBdr>
        <w:top w:val="none" w:sz="0" w:space="0" w:color="auto"/>
        <w:left w:val="none" w:sz="0" w:space="0" w:color="auto"/>
        <w:bottom w:val="none" w:sz="0" w:space="0" w:color="auto"/>
        <w:right w:val="none" w:sz="0" w:space="0" w:color="auto"/>
      </w:divBdr>
    </w:div>
    <w:div w:id="473717715">
      <w:bodyDiv w:val="1"/>
      <w:marLeft w:val="0"/>
      <w:marRight w:val="0"/>
      <w:marTop w:val="0"/>
      <w:marBottom w:val="0"/>
      <w:divBdr>
        <w:top w:val="none" w:sz="0" w:space="0" w:color="auto"/>
        <w:left w:val="none" w:sz="0" w:space="0" w:color="auto"/>
        <w:bottom w:val="none" w:sz="0" w:space="0" w:color="auto"/>
        <w:right w:val="none" w:sz="0" w:space="0" w:color="auto"/>
      </w:divBdr>
    </w:div>
    <w:div w:id="50201447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4549749">
      <w:bodyDiv w:val="1"/>
      <w:marLeft w:val="0"/>
      <w:marRight w:val="0"/>
      <w:marTop w:val="0"/>
      <w:marBottom w:val="0"/>
      <w:divBdr>
        <w:top w:val="none" w:sz="0" w:space="0" w:color="auto"/>
        <w:left w:val="none" w:sz="0" w:space="0" w:color="auto"/>
        <w:bottom w:val="none" w:sz="0" w:space="0" w:color="auto"/>
        <w:right w:val="none" w:sz="0" w:space="0" w:color="auto"/>
      </w:divBdr>
    </w:div>
    <w:div w:id="676806653">
      <w:bodyDiv w:val="1"/>
      <w:marLeft w:val="0"/>
      <w:marRight w:val="0"/>
      <w:marTop w:val="0"/>
      <w:marBottom w:val="0"/>
      <w:divBdr>
        <w:top w:val="none" w:sz="0" w:space="0" w:color="auto"/>
        <w:left w:val="none" w:sz="0" w:space="0" w:color="auto"/>
        <w:bottom w:val="none" w:sz="0" w:space="0" w:color="auto"/>
        <w:right w:val="none" w:sz="0" w:space="0" w:color="auto"/>
      </w:divBdr>
    </w:div>
    <w:div w:id="702556452">
      <w:bodyDiv w:val="1"/>
      <w:marLeft w:val="0"/>
      <w:marRight w:val="0"/>
      <w:marTop w:val="0"/>
      <w:marBottom w:val="0"/>
      <w:divBdr>
        <w:top w:val="none" w:sz="0" w:space="0" w:color="auto"/>
        <w:left w:val="none" w:sz="0" w:space="0" w:color="auto"/>
        <w:bottom w:val="none" w:sz="0" w:space="0" w:color="auto"/>
        <w:right w:val="none" w:sz="0" w:space="0" w:color="auto"/>
      </w:divBdr>
    </w:div>
    <w:div w:id="703749150">
      <w:bodyDiv w:val="1"/>
      <w:marLeft w:val="0"/>
      <w:marRight w:val="0"/>
      <w:marTop w:val="0"/>
      <w:marBottom w:val="0"/>
      <w:divBdr>
        <w:top w:val="none" w:sz="0" w:space="0" w:color="auto"/>
        <w:left w:val="none" w:sz="0" w:space="0" w:color="auto"/>
        <w:bottom w:val="none" w:sz="0" w:space="0" w:color="auto"/>
        <w:right w:val="none" w:sz="0" w:space="0" w:color="auto"/>
      </w:divBdr>
    </w:div>
    <w:div w:id="793711740">
      <w:bodyDiv w:val="1"/>
      <w:marLeft w:val="0"/>
      <w:marRight w:val="0"/>
      <w:marTop w:val="0"/>
      <w:marBottom w:val="0"/>
      <w:divBdr>
        <w:top w:val="none" w:sz="0" w:space="0" w:color="auto"/>
        <w:left w:val="none" w:sz="0" w:space="0" w:color="auto"/>
        <w:bottom w:val="none" w:sz="0" w:space="0" w:color="auto"/>
        <w:right w:val="none" w:sz="0" w:space="0" w:color="auto"/>
      </w:divBdr>
    </w:div>
    <w:div w:id="895359958">
      <w:bodyDiv w:val="1"/>
      <w:marLeft w:val="0"/>
      <w:marRight w:val="0"/>
      <w:marTop w:val="0"/>
      <w:marBottom w:val="0"/>
      <w:divBdr>
        <w:top w:val="none" w:sz="0" w:space="0" w:color="auto"/>
        <w:left w:val="none" w:sz="0" w:space="0" w:color="auto"/>
        <w:bottom w:val="none" w:sz="0" w:space="0" w:color="auto"/>
        <w:right w:val="none" w:sz="0" w:space="0" w:color="auto"/>
      </w:divBdr>
    </w:div>
    <w:div w:id="925109837">
      <w:bodyDiv w:val="1"/>
      <w:marLeft w:val="0"/>
      <w:marRight w:val="0"/>
      <w:marTop w:val="0"/>
      <w:marBottom w:val="0"/>
      <w:divBdr>
        <w:top w:val="none" w:sz="0" w:space="0" w:color="auto"/>
        <w:left w:val="none" w:sz="0" w:space="0" w:color="auto"/>
        <w:bottom w:val="none" w:sz="0" w:space="0" w:color="auto"/>
        <w:right w:val="none" w:sz="0" w:space="0" w:color="auto"/>
      </w:divBdr>
    </w:div>
    <w:div w:id="95586481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5809708">
      <w:bodyDiv w:val="1"/>
      <w:marLeft w:val="0"/>
      <w:marRight w:val="0"/>
      <w:marTop w:val="0"/>
      <w:marBottom w:val="0"/>
      <w:divBdr>
        <w:top w:val="none" w:sz="0" w:space="0" w:color="auto"/>
        <w:left w:val="none" w:sz="0" w:space="0" w:color="auto"/>
        <w:bottom w:val="none" w:sz="0" w:space="0" w:color="auto"/>
        <w:right w:val="none" w:sz="0" w:space="0" w:color="auto"/>
      </w:divBdr>
    </w:div>
    <w:div w:id="1017195087">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8955453">
      <w:bodyDiv w:val="1"/>
      <w:marLeft w:val="0"/>
      <w:marRight w:val="0"/>
      <w:marTop w:val="0"/>
      <w:marBottom w:val="0"/>
      <w:divBdr>
        <w:top w:val="none" w:sz="0" w:space="0" w:color="auto"/>
        <w:left w:val="none" w:sz="0" w:space="0" w:color="auto"/>
        <w:bottom w:val="none" w:sz="0" w:space="0" w:color="auto"/>
        <w:right w:val="none" w:sz="0" w:space="0" w:color="auto"/>
      </w:divBdr>
    </w:div>
    <w:div w:id="1146356912">
      <w:bodyDiv w:val="1"/>
      <w:marLeft w:val="0"/>
      <w:marRight w:val="0"/>
      <w:marTop w:val="0"/>
      <w:marBottom w:val="0"/>
      <w:divBdr>
        <w:top w:val="none" w:sz="0" w:space="0" w:color="auto"/>
        <w:left w:val="none" w:sz="0" w:space="0" w:color="auto"/>
        <w:bottom w:val="none" w:sz="0" w:space="0" w:color="auto"/>
        <w:right w:val="none" w:sz="0" w:space="0" w:color="auto"/>
      </w:divBdr>
    </w:div>
    <w:div w:id="1177306310">
      <w:bodyDiv w:val="1"/>
      <w:marLeft w:val="0"/>
      <w:marRight w:val="0"/>
      <w:marTop w:val="0"/>
      <w:marBottom w:val="0"/>
      <w:divBdr>
        <w:top w:val="none" w:sz="0" w:space="0" w:color="auto"/>
        <w:left w:val="none" w:sz="0" w:space="0" w:color="auto"/>
        <w:bottom w:val="none" w:sz="0" w:space="0" w:color="auto"/>
        <w:right w:val="none" w:sz="0" w:space="0" w:color="auto"/>
      </w:divBdr>
    </w:div>
    <w:div w:id="1237134509">
      <w:bodyDiv w:val="1"/>
      <w:marLeft w:val="0"/>
      <w:marRight w:val="0"/>
      <w:marTop w:val="0"/>
      <w:marBottom w:val="0"/>
      <w:divBdr>
        <w:top w:val="none" w:sz="0" w:space="0" w:color="auto"/>
        <w:left w:val="none" w:sz="0" w:space="0" w:color="auto"/>
        <w:bottom w:val="none" w:sz="0" w:space="0" w:color="auto"/>
        <w:right w:val="none" w:sz="0" w:space="0" w:color="auto"/>
      </w:divBdr>
    </w:div>
    <w:div w:id="1256130684">
      <w:bodyDiv w:val="1"/>
      <w:marLeft w:val="0"/>
      <w:marRight w:val="0"/>
      <w:marTop w:val="0"/>
      <w:marBottom w:val="0"/>
      <w:divBdr>
        <w:top w:val="none" w:sz="0" w:space="0" w:color="auto"/>
        <w:left w:val="none" w:sz="0" w:space="0" w:color="auto"/>
        <w:bottom w:val="none" w:sz="0" w:space="0" w:color="auto"/>
        <w:right w:val="none" w:sz="0" w:space="0" w:color="auto"/>
      </w:divBdr>
    </w:div>
    <w:div w:id="1276908629">
      <w:bodyDiv w:val="1"/>
      <w:marLeft w:val="0"/>
      <w:marRight w:val="0"/>
      <w:marTop w:val="0"/>
      <w:marBottom w:val="0"/>
      <w:divBdr>
        <w:top w:val="none" w:sz="0" w:space="0" w:color="auto"/>
        <w:left w:val="none" w:sz="0" w:space="0" w:color="auto"/>
        <w:bottom w:val="none" w:sz="0" w:space="0" w:color="auto"/>
        <w:right w:val="none" w:sz="0" w:space="0" w:color="auto"/>
      </w:divBdr>
    </w:div>
    <w:div w:id="1320227820">
      <w:bodyDiv w:val="1"/>
      <w:marLeft w:val="0"/>
      <w:marRight w:val="0"/>
      <w:marTop w:val="0"/>
      <w:marBottom w:val="0"/>
      <w:divBdr>
        <w:top w:val="none" w:sz="0" w:space="0" w:color="auto"/>
        <w:left w:val="none" w:sz="0" w:space="0" w:color="auto"/>
        <w:bottom w:val="none" w:sz="0" w:space="0" w:color="auto"/>
        <w:right w:val="none" w:sz="0" w:space="0" w:color="auto"/>
      </w:divBdr>
    </w:div>
    <w:div w:id="1327783729">
      <w:bodyDiv w:val="1"/>
      <w:marLeft w:val="0"/>
      <w:marRight w:val="0"/>
      <w:marTop w:val="0"/>
      <w:marBottom w:val="0"/>
      <w:divBdr>
        <w:top w:val="none" w:sz="0" w:space="0" w:color="auto"/>
        <w:left w:val="none" w:sz="0" w:space="0" w:color="auto"/>
        <w:bottom w:val="none" w:sz="0" w:space="0" w:color="auto"/>
        <w:right w:val="none" w:sz="0" w:space="0" w:color="auto"/>
      </w:divBdr>
    </w:div>
    <w:div w:id="1335114202">
      <w:bodyDiv w:val="1"/>
      <w:marLeft w:val="0"/>
      <w:marRight w:val="0"/>
      <w:marTop w:val="0"/>
      <w:marBottom w:val="0"/>
      <w:divBdr>
        <w:top w:val="none" w:sz="0" w:space="0" w:color="auto"/>
        <w:left w:val="none" w:sz="0" w:space="0" w:color="auto"/>
        <w:bottom w:val="none" w:sz="0" w:space="0" w:color="auto"/>
        <w:right w:val="none" w:sz="0" w:space="0" w:color="auto"/>
      </w:divBdr>
    </w:div>
    <w:div w:id="1449661900">
      <w:bodyDiv w:val="1"/>
      <w:marLeft w:val="0"/>
      <w:marRight w:val="0"/>
      <w:marTop w:val="0"/>
      <w:marBottom w:val="0"/>
      <w:divBdr>
        <w:top w:val="none" w:sz="0" w:space="0" w:color="auto"/>
        <w:left w:val="none" w:sz="0" w:space="0" w:color="auto"/>
        <w:bottom w:val="none" w:sz="0" w:space="0" w:color="auto"/>
        <w:right w:val="none" w:sz="0" w:space="0" w:color="auto"/>
      </w:divBdr>
    </w:div>
    <w:div w:id="1558321881">
      <w:bodyDiv w:val="1"/>
      <w:marLeft w:val="0"/>
      <w:marRight w:val="0"/>
      <w:marTop w:val="0"/>
      <w:marBottom w:val="0"/>
      <w:divBdr>
        <w:top w:val="none" w:sz="0" w:space="0" w:color="auto"/>
        <w:left w:val="none" w:sz="0" w:space="0" w:color="auto"/>
        <w:bottom w:val="none" w:sz="0" w:space="0" w:color="auto"/>
        <w:right w:val="none" w:sz="0" w:space="0" w:color="auto"/>
      </w:divBdr>
    </w:div>
    <w:div w:id="1569804146">
      <w:bodyDiv w:val="1"/>
      <w:marLeft w:val="0"/>
      <w:marRight w:val="0"/>
      <w:marTop w:val="0"/>
      <w:marBottom w:val="0"/>
      <w:divBdr>
        <w:top w:val="none" w:sz="0" w:space="0" w:color="auto"/>
        <w:left w:val="none" w:sz="0" w:space="0" w:color="auto"/>
        <w:bottom w:val="none" w:sz="0" w:space="0" w:color="auto"/>
        <w:right w:val="none" w:sz="0" w:space="0" w:color="auto"/>
      </w:divBdr>
    </w:div>
    <w:div w:id="1570311042">
      <w:bodyDiv w:val="1"/>
      <w:marLeft w:val="0"/>
      <w:marRight w:val="0"/>
      <w:marTop w:val="0"/>
      <w:marBottom w:val="0"/>
      <w:divBdr>
        <w:top w:val="none" w:sz="0" w:space="0" w:color="auto"/>
        <w:left w:val="none" w:sz="0" w:space="0" w:color="auto"/>
        <w:bottom w:val="none" w:sz="0" w:space="0" w:color="auto"/>
        <w:right w:val="none" w:sz="0" w:space="0" w:color="auto"/>
      </w:divBdr>
    </w:div>
    <w:div w:id="1584870716">
      <w:bodyDiv w:val="1"/>
      <w:marLeft w:val="0"/>
      <w:marRight w:val="0"/>
      <w:marTop w:val="0"/>
      <w:marBottom w:val="0"/>
      <w:divBdr>
        <w:top w:val="none" w:sz="0" w:space="0" w:color="auto"/>
        <w:left w:val="none" w:sz="0" w:space="0" w:color="auto"/>
        <w:bottom w:val="none" w:sz="0" w:space="0" w:color="auto"/>
        <w:right w:val="none" w:sz="0" w:space="0" w:color="auto"/>
      </w:divBdr>
    </w:div>
    <w:div w:id="1670676258">
      <w:bodyDiv w:val="1"/>
      <w:marLeft w:val="0"/>
      <w:marRight w:val="0"/>
      <w:marTop w:val="0"/>
      <w:marBottom w:val="0"/>
      <w:divBdr>
        <w:top w:val="none" w:sz="0" w:space="0" w:color="auto"/>
        <w:left w:val="none" w:sz="0" w:space="0" w:color="auto"/>
        <w:bottom w:val="none" w:sz="0" w:space="0" w:color="auto"/>
        <w:right w:val="none" w:sz="0" w:space="0" w:color="auto"/>
      </w:divBdr>
    </w:div>
    <w:div w:id="1711298778">
      <w:bodyDiv w:val="1"/>
      <w:marLeft w:val="0"/>
      <w:marRight w:val="0"/>
      <w:marTop w:val="0"/>
      <w:marBottom w:val="0"/>
      <w:divBdr>
        <w:top w:val="none" w:sz="0" w:space="0" w:color="auto"/>
        <w:left w:val="none" w:sz="0" w:space="0" w:color="auto"/>
        <w:bottom w:val="none" w:sz="0" w:space="0" w:color="auto"/>
        <w:right w:val="none" w:sz="0" w:space="0" w:color="auto"/>
      </w:divBdr>
    </w:div>
    <w:div w:id="1731270050">
      <w:bodyDiv w:val="1"/>
      <w:marLeft w:val="0"/>
      <w:marRight w:val="0"/>
      <w:marTop w:val="0"/>
      <w:marBottom w:val="0"/>
      <w:divBdr>
        <w:top w:val="none" w:sz="0" w:space="0" w:color="auto"/>
        <w:left w:val="none" w:sz="0" w:space="0" w:color="auto"/>
        <w:bottom w:val="none" w:sz="0" w:space="0" w:color="auto"/>
        <w:right w:val="none" w:sz="0" w:space="0" w:color="auto"/>
      </w:divBdr>
    </w:div>
    <w:div w:id="173141941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0101139">
      <w:bodyDiv w:val="1"/>
      <w:marLeft w:val="0"/>
      <w:marRight w:val="0"/>
      <w:marTop w:val="0"/>
      <w:marBottom w:val="0"/>
      <w:divBdr>
        <w:top w:val="none" w:sz="0" w:space="0" w:color="auto"/>
        <w:left w:val="none" w:sz="0" w:space="0" w:color="auto"/>
        <w:bottom w:val="none" w:sz="0" w:space="0" w:color="auto"/>
        <w:right w:val="none" w:sz="0" w:space="0" w:color="auto"/>
      </w:divBdr>
    </w:div>
    <w:div w:id="1820535267">
      <w:bodyDiv w:val="1"/>
      <w:marLeft w:val="0"/>
      <w:marRight w:val="0"/>
      <w:marTop w:val="0"/>
      <w:marBottom w:val="0"/>
      <w:divBdr>
        <w:top w:val="none" w:sz="0" w:space="0" w:color="auto"/>
        <w:left w:val="none" w:sz="0" w:space="0" w:color="auto"/>
        <w:bottom w:val="none" w:sz="0" w:space="0" w:color="auto"/>
        <w:right w:val="none" w:sz="0" w:space="0" w:color="auto"/>
      </w:divBdr>
    </w:div>
    <w:div w:id="1841431265">
      <w:bodyDiv w:val="1"/>
      <w:marLeft w:val="0"/>
      <w:marRight w:val="0"/>
      <w:marTop w:val="0"/>
      <w:marBottom w:val="0"/>
      <w:divBdr>
        <w:top w:val="none" w:sz="0" w:space="0" w:color="auto"/>
        <w:left w:val="none" w:sz="0" w:space="0" w:color="auto"/>
        <w:bottom w:val="none" w:sz="0" w:space="0" w:color="auto"/>
        <w:right w:val="none" w:sz="0" w:space="0" w:color="auto"/>
      </w:divBdr>
    </w:div>
    <w:div w:id="1894149740">
      <w:bodyDiv w:val="1"/>
      <w:marLeft w:val="0"/>
      <w:marRight w:val="0"/>
      <w:marTop w:val="0"/>
      <w:marBottom w:val="0"/>
      <w:divBdr>
        <w:top w:val="none" w:sz="0" w:space="0" w:color="auto"/>
        <w:left w:val="none" w:sz="0" w:space="0" w:color="auto"/>
        <w:bottom w:val="none" w:sz="0" w:space="0" w:color="auto"/>
        <w:right w:val="none" w:sz="0" w:space="0" w:color="auto"/>
      </w:divBdr>
    </w:div>
    <w:div w:id="1918856799">
      <w:bodyDiv w:val="1"/>
      <w:marLeft w:val="0"/>
      <w:marRight w:val="0"/>
      <w:marTop w:val="0"/>
      <w:marBottom w:val="0"/>
      <w:divBdr>
        <w:top w:val="none" w:sz="0" w:space="0" w:color="auto"/>
        <w:left w:val="none" w:sz="0" w:space="0" w:color="auto"/>
        <w:bottom w:val="none" w:sz="0" w:space="0" w:color="auto"/>
        <w:right w:val="none" w:sz="0" w:space="0" w:color="auto"/>
      </w:divBdr>
    </w:div>
    <w:div w:id="195116540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2591211">
      <w:bodyDiv w:val="1"/>
      <w:marLeft w:val="0"/>
      <w:marRight w:val="0"/>
      <w:marTop w:val="0"/>
      <w:marBottom w:val="0"/>
      <w:divBdr>
        <w:top w:val="none" w:sz="0" w:space="0" w:color="auto"/>
        <w:left w:val="none" w:sz="0" w:space="0" w:color="auto"/>
        <w:bottom w:val="none" w:sz="0" w:space="0" w:color="auto"/>
        <w:right w:val="none" w:sz="0" w:space="0" w:color="auto"/>
      </w:divBdr>
    </w:div>
    <w:div w:id="212534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D7833-5D22-4857-AD9F-0181B4FC6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252</TotalTime>
  <Pages>8</Pages>
  <Words>2476</Words>
  <Characters>14114</Characters>
  <Application>Microsoft Office Word</Application>
  <DocSecurity>0</DocSecurity>
  <Lines>117</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16557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35</cp:revision>
  <cp:lastPrinted>2025-09-20T00:35:00Z</cp:lastPrinted>
  <dcterms:created xsi:type="dcterms:W3CDTF">2025-09-23T22:40:00Z</dcterms:created>
  <dcterms:modified xsi:type="dcterms:W3CDTF">2025-10-13T07:52:00Z</dcterms:modified>
</cp:coreProperties>
</file>