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D90FB4" w14:textId="39B81191" w:rsidR="002B0288" w:rsidRPr="00760399" w:rsidRDefault="00B26BE7" w:rsidP="00760399">
      <w:pPr>
        <w:pStyle w:val="NormalWeb"/>
        <w:spacing w:before="0" w:beforeAutospacing="0" w:after="0" w:afterAutospacing="0" w:line="276" w:lineRule="auto"/>
        <w:jc w:val="center"/>
        <w:rPr>
          <w:rFonts w:ascii="Arial" w:eastAsia="-webkit-standard" w:hAnsi="Arial" w:cs="Arial"/>
          <w:sz w:val="36"/>
          <w:szCs w:val="36"/>
        </w:rPr>
      </w:pPr>
      <w:r w:rsidRPr="00760399">
        <w:rPr>
          <w:rFonts w:ascii="Arial" w:eastAsia="-webkit-standard" w:hAnsi="Arial" w:cs="Arial"/>
          <w:b/>
          <w:sz w:val="36"/>
          <w:szCs w:val="36"/>
        </w:rPr>
        <w:t xml:space="preserve">Electric And Hybrid Vehicles </w:t>
      </w:r>
      <w:r w:rsidR="00F00906">
        <w:rPr>
          <w:rFonts w:ascii="Arial" w:eastAsia="-webkit-standard" w:hAnsi="Arial" w:cs="Arial"/>
          <w:b/>
          <w:sz w:val="36"/>
          <w:szCs w:val="36"/>
        </w:rPr>
        <w:t>a</w:t>
      </w:r>
      <w:r w:rsidRPr="00760399">
        <w:rPr>
          <w:rFonts w:ascii="Arial" w:eastAsia="-webkit-standard" w:hAnsi="Arial" w:cs="Arial"/>
          <w:b/>
          <w:sz w:val="36"/>
          <w:szCs w:val="36"/>
        </w:rPr>
        <w:t xml:space="preserve">s Emission-Mitigation Strategies: Lessons </w:t>
      </w:r>
      <w:r w:rsidR="00F00906">
        <w:rPr>
          <w:rFonts w:ascii="Arial" w:eastAsia="-webkit-standard" w:hAnsi="Arial" w:cs="Arial"/>
          <w:b/>
          <w:sz w:val="36"/>
          <w:szCs w:val="36"/>
        </w:rPr>
        <w:t>f</w:t>
      </w:r>
      <w:r w:rsidRPr="00760399">
        <w:rPr>
          <w:rFonts w:ascii="Arial" w:eastAsia="-webkit-standard" w:hAnsi="Arial" w:cs="Arial"/>
          <w:b/>
          <w:sz w:val="36"/>
          <w:szCs w:val="36"/>
        </w:rPr>
        <w:t xml:space="preserve">rom Nigeria </w:t>
      </w:r>
      <w:r w:rsidR="00F00906">
        <w:rPr>
          <w:rFonts w:ascii="Arial" w:eastAsia="-webkit-standard" w:hAnsi="Arial" w:cs="Arial"/>
          <w:b/>
          <w:sz w:val="36"/>
          <w:szCs w:val="36"/>
        </w:rPr>
        <w:t>W</w:t>
      </w:r>
      <w:r w:rsidRPr="00760399">
        <w:rPr>
          <w:rFonts w:ascii="Arial" w:eastAsia="-webkit-standard" w:hAnsi="Arial" w:cs="Arial"/>
          <w:b/>
          <w:sz w:val="36"/>
          <w:szCs w:val="36"/>
        </w:rPr>
        <w:t>ithin Global Sustainable Transportation Discourses</w:t>
      </w:r>
    </w:p>
    <w:p w14:paraId="0D00404F" w14:textId="77777777" w:rsidR="002B0288" w:rsidRPr="00976CA5" w:rsidRDefault="00976DE9">
      <w:pPr>
        <w:pStyle w:val="NormalWeb"/>
        <w:spacing w:beforeAutospacing="0" w:after="0" w:afterAutospacing="0" w:line="27" w:lineRule="atLeast"/>
        <w:jc w:val="center"/>
        <w:rPr>
          <w:rFonts w:eastAsia="-webkit-standard"/>
        </w:rPr>
      </w:pPr>
      <w:r w:rsidRPr="00976CA5">
        <w:rPr>
          <w:rFonts w:eastAsia="-webkit-standard"/>
        </w:rPr>
        <w:t> </w:t>
      </w:r>
    </w:p>
    <w:p w14:paraId="206A5A89" w14:textId="49D5D428" w:rsidR="00BF1D56" w:rsidRDefault="00BF1D56" w:rsidP="00636520">
      <w:pPr>
        <w:pStyle w:val="NormalWeb"/>
        <w:spacing w:before="0" w:beforeAutospacing="0" w:after="0" w:afterAutospacing="0" w:line="276" w:lineRule="auto"/>
        <w:jc w:val="center"/>
        <w:rPr>
          <w:rFonts w:ascii="Arial" w:eastAsia="-webkit-standard" w:hAnsi="Arial" w:cs="Arial"/>
          <w:sz w:val="22"/>
          <w:szCs w:val="22"/>
        </w:rPr>
      </w:pPr>
    </w:p>
    <w:p w14:paraId="2B38CF1C" w14:textId="77777777" w:rsidR="00666017" w:rsidRPr="00760399" w:rsidRDefault="00666017" w:rsidP="00636520">
      <w:pPr>
        <w:pStyle w:val="NormalWeb"/>
        <w:spacing w:before="0" w:beforeAutospacing="0" w:after="0" w:afterAutospacing="0" w:line="276" w:lineRule="auto"/>
        <w:jc w:val="center"/>
        <w:rPr>
          <w:rFonts w:ascii="Arial" w:eastAsia="-webkit-standard" w:hAnsi="Arial" w:cs="Arial"/>
          <w:sz w:val="22"/>
          <w:szCs w:val="22"/>
        </w:rPr>
      </w:pPr>
    </w:p>
    <w:p w14:paraId="479A84CD" w14:textId="64D6187B" w:rsidR="002B0288" w:rsidRPr="00760399" w:rsidRDefault="00760399" w:rsidP="00760399">
      <w:pPr>
        <w:pStyle w:val="NormalWeb"/>
        <w:spacing w:beforeAutospacing="0" w:after="0" w:afterAutospacing="0" w:line="27" w:lineRule="atLeast"/>
        <w:jc w:val="both"/>
        <w:rPr>
          <w:rFonts w:ascii="Arial" w:eastAsia="-webkit-standard" w:hAnsi="Arial" w:cs="Arial"/>
          <w:iCs/>
          <w:sz w:val="22"/>
          <w:szCs w:val="22"/>
        </w:rPr>
      </w:pPr>
      <w:r w:rsidRPr="00760399">
        <w:rPr>
          <w:rFonts w:ascii="Arial" w:eastAsia="-webkit-standard" w:hAnsi="Arial" w:cs="Arial"/>
          <w:b/>
          <w:iCs/>
          <w:sz w:val="22"/>
          <w:szCs w:val="22"/>
        </w:rPr>
        <w:t>ABSTRACT</w:t>
      </w:r>
    </w:p>
    <w:p w14:paraId="0849A979" w14:textId="04760BC4" w:rsidR="00D14841" w:rsidRDefault="00976DE9" w:rsidP="00AE383E">
      <w:pPr>
        <w:pStyle w:val="NormalWeb"/>
        <w:spacing w:beforeAutospacing="0" w:after="75" w:afterAutospacing="0" w:line="36" w:lineRule="atLeast"/>
        <w:jc w:val="both"/>
        <w:rPr>
          <w:rFonts w:ascii="Arial" w:eastAsia="-webkit-standard" w:hAnsi="Arial" w:cs="Arial"/>
          <w:iCs/>
          <w:sz w:val="20"/>
          <w:szCs w:val="20"/>
        </w:rPr>
      </w:pPr>
      <w:r w:rsidRPr="00BF1D56">
        <w:rPr>
          <w:rFonts w:ascii="Arial" w:eastAsia="-webkit-standard" w:hAnsi="Arial" w:cs="Arial"/>
          <w:iCs/>
          <w:sz w:val="20"/>
          <w:szCs w:val="20"/>
        </w:rPr>
        <w:t xml:space="preserve">The transport sector in Nigeria is a major contributor to greenhouse gas emissions and urban air pollution. This study investigates the contrasting trends in emissions from electric vehicles (EVs), hybrid-electric vehicles (HEV) and fossil fuel-powered vehicles in Nigeria. The objective of this paper is to explore the role of electric and hybrid vehicles as sustainable transportation options that contribute to emission reduction. It examines the environmental, economic, and technological implications of adopting these vehicles, with a specific focus on Nigeria. It also evaluates global best practices and how they can inform </w:t>
      </w:r>
      <w:r w:rsidR="00BE014F" w:rsidRPr="00BF1D56">
        <w:rPr>
          <w:rFonts w:ascii="Arial" w:eastAsia="-webkit-standard" w:hAnsi="Arial" w:cs="Arial"/>
          <w:iCs/>
          <w:sz w:val="20"/>
          <w:szCs w:val="20"/>
        </w:rPr>
        <w:t>domestic</w:t>
      </w:r>
      <w:r w:rsidRPr="00BF1D56">
        <w:rPr>
          <w:rFonts w:ascii="Arial" w:eastAsia="-webkit-standard" w:hAnsi="Arial" w:cs="Arial"/>
          <w:iCs/>
          <w:sz w:val="20"/>
          <w:szCs w:val="20"/>
        </w:rPr>
        <w:t xml:space="preserve"> policies and infrastructure development. Using recent data from </w:t>
      </w:r>
      <w:r w:rsidR="00BE014F" w:rsidRPr="00BF1D56">
        <w:rPr>
          <w:rFonts w:ascii="Arial" w:eastAsia="-webkit-standard" w:hAnsi="Arial" w:cs="Arial"/>
          <w:iCs/>
          <w:sz w:val="20"/>
          <w:szCs w:val="20"/>
        </w:rPr>
        <w:t xml:space="preserve">the </w:t>
      </w:r>
      <w:r w:rsidRPr="00BF1D56">
        <w:rPr>
          <w:rFonts w:ascii="Arial" w:eastAsia="-webkit-standard" w:hAnsi="Arial" w:cs="Arial"/>
          <w:iCs/>
          <w:sz w:val="20"/>
          <w:szCs w:val="20"/>
        </w:rPr>
        <w:t xml:space="preserve">National Bureau of Statistics (NBS), International Energy Agency (IEA) and </w:t>
      </w:r>
      <w:r w:rsidR="00BE014F" w:rsidRPr="00BF1D56">
        <w:rPr>
          <w:rFonts w:ascii="Arial" w:eastAsia="-webkit-standard" w:hAnsi="Arial" w:cs="Arial"/>
          <w:iCs/>
          <w:sz w:val="20"/>
          <w:szCs w:val="20"/>
        </w:rPr>
        <w:t xml:space="preserve">the </w:t>
      </w:r>
      <w:r w:rsidRPr="00BF1D56">
        <w:rPr>
          <w:rFonts w:ascii="Arial" w:eastAsia="-webkit-standard" w:hAnsi="Arial" w:cs="Arial"/>
          <w:iCs/>
          <w:sz w:val="20"/>
          <w:szCs w:val="20"/>
        </w:rPr>
        <w:t>World Bank</w:t>
      </w:r>
      <w:r w:rsidR="00BE014F" w:rsidRPr="00BF1D56">
        <w:rPr>
          <w:rFonts w:ascii="Arial" w:eastAsia="-webkit-standard" w:hAnsi="Arial" w:cs="Arial"/>
          <w:iCs/>
          <w:sz w:val="20"/>
          <w:szCs w:val="20"/>
        </w:rPr>
        <w:t>,</w:t>
      </w:r>
      <w:r w:rsidRPr="00BF1D56">
        <w:rPr>
          <w:rFonts w:ascii="Arial" w:eastAsia="-webkit-standard" w:hAnsi="Arial" w:cs="Arial"/>
          <w:iCs/>
          <w:sz w:val="20"/>
          <w:szCs w:val="20"/>
        </w:rPr>
        <w:t> scholarly articles and industry sources, the study finds that emissions from EVs are declining, driven by increased adoption, government incentives, and rising public awareness of environmental issues and climate change mitigation. In contrast, emissions from fossil fuel vehicles continue to rise due to rapid growth in vehicle ownership, the prevalence of aging and inefficient vehicles, substandard fuel quality, and inadequate public transport infrastructure. The study concludes that while Nigeria’s efforts to promote EVs are yielding positive results, these gains risk being undermined unless systemic challenges in the broader transport sector are addressed. The paper recommends a comprehensive policy approach, including stronger EV incentives, improved fuel quality regulations, modern public transport investment and stricter emissions standards, to achieve sustained reductions in transport-related emissions. These findings contribute to the discourse on sustainable transportation pathways in developing economies</w:t>
      </w:r>
      <w:r w:rsidR="00BE014F" w:rsidRPr="00BF1D56">
        <w:rPr>
          <w:rFonts w:ascii="Arial" w:eastAsia="-webkit-standard" w:hAnsi="Arial" w:cs="Arial"/>
          <w:iCs/>
          <w:sz w:val="20"/>
          <w:szCs w:val="20"/>
        </w:rPr>
        <w:t>.</w:t>
      </w:r>
    </w:p>
    <w:p w14:paraId="4CD74BB4" w14:textId="77777777" w:rsidR="00BF1D56" w:rsidRPr="00BF1D56" w:rsidRDefault="00BF1D56" w:rsidP="00AE383E">
      <w:pPr>
        <w:pStyle w:val="NormalWeb"/>
        <w:spacing w:beforeAutospacing="0" w:after="75" w:afterAutospacing="0" w:line="36" w:lineRule="atLeast"/>
        <w:jc w:val="both"/>
        <w:rPr>
          <w:rFonts w:ascii="Arial" w:eastAsia="-webkit-standard" w:hAnsi="Arial" w:cs="Arial"/>
          <w:iCs/>
          <w:sz w:val="20"/>
          <w:szCs w:val="20"/>
        </w:rPr>
      </w:pPr>
    </w:p>
    <w:p w14:paraId="188975C8" w14:textId="4844F10D" w:rsidR="002B0288" w:rsidRDefault="00976DE9">
      <w:pPr>
        <w:jc w:val="both"/>
        <w:rPr>
          <w:rFonts w:ascii="Arial" w:hAnsi="Arial" w:cs="Arial"/>
          <w:i/>
          <w:sz w:val="20"/>
          <w:szCs w:val="20"/>
        </w:rPr>
      </w:pPr>
      <w:r w:rsidRPr="00BF1D56">
        <w:rPr>
          <w:rFonts w:ascii="Arial" w:hAnsi="Arial" w:cs="Arial"/>
          <w:b/>
          <w:bCs/>
          <w:iCs/>
          <w:sz w:val="20"/>
          <w:szCs w:val="20"/>
        </w:rPr>
        <w:t>Key words:</w:t>
      </w:r>
      <w:r w:rsidRPr="00BF1D56">
        <w:rPr>
          <w:rFonts w:ascii="Arial" w:hAnsi="Arial" w:cs="Arial"/>
          <w:iCs/>
          <w:sz w:val="20"/>
          <w:szCs w:val="20"/>
        </w:rPr>
        <w:t xml:space="preserve"> </w:t>
      </w:r>
      <w:r w:rsidRPr="00BF1D56">
        <w:rPr>
          <w:rFonts w:ascii="Arial" w:hAnsi="Arial" w:cs="Arial"/>
          <w:i/>
          <w:sz w:val="20"/>
          <w:szCs w:val="20"/>
        </w:rPr>
        <w:t>Electric Vehicles (EVs), Hybrid-Electric Vehicles (HEVs)</w:t>
      </w:r>
      <w:r w:rsidR="0059752F" w:rsidRPr="00BF1D56">
        <w:rPr>
          <w:rFonts w:ascii="Arial" w:hAnsi="Arial" w:cs="Arial"/>
          <w:i/>
          <w:sz w:val="20"/>
          <w:szCs w:val="20"/>
        </w:rPr>
        <w:t>,</w:t>
      </w:r>
      <w:r w:rsidR="00615663" w:rsidRPr="00BF1D56">
        <w:rPr>
          <w:rFonts w:ascii="Arial" w:hAnsi="Arial" w:cs="Arial"/>
          <w:i/>
          <w:sz w:val="20"/>
          <w:szCs w:val="20"/>
        </w:rPr>
        <w:t xml:space="preserve"> </w:t>
      </w:r>
      <w:r w:rsidRPr="00BF1D56">
        <w:rPr>
          <w:rFonts w:ascii="Arial" w:hAnsi="Arial" w:cs="Arial"/>
          <w:i/>
          <w:sz w:val="20"/>
          <w:szCs w:val="20"/>
        </w:rPr>
        <w:t>Sustainable Transportation</w:t>
      </w:r>
      <w:r w:rsidR="00615663" w:rsidRPr="00BF1D56">
        <w:rPr>
          <w:rFonts w:ascii="Arial" w:hAnsi="Arial" w:cs="Arial"/>
          <w:i/>
          <w:sz w:val="20"/>
          <w:szCs w:val="20"/>
        </w:rPr>
        <w:t>, Emissions</w:t>
      </w:r>
    </w:p>
    <w:p w14:paraId="781A7D45" w14:textId="77777777" w:rsidR="00585615" w:rsidRDefault="00585615">
      <w:pPr>
        <w:jc w:val="both"/>
        <w:rPr>
          <w:rFonts w:ascii="Arial" w:hAnsi="Arial" w:cs="Arial"/>
          <w:i/>
          <w:sz w:val="20"/>
          <w:szCs w:val="20"/>
        </w:rPr>
      </w:pPr>
    </w:p>
    <w:p w14:paraId="0796A88F" w14:textId="77777777" w:rsidR="00585615" w:rsidRDefault="00585615">
      <w:pPr>
        <w:jc w:val="both"/>
        <w:rPr>
          <w:rFonts w:ascii="Arial" w:hAnsi="Arial" w:cs="Arial"/>
          <w:i/>
          <w:sz w:val="20"/>
          <w:szCs w:val="20"/>
        </w:rPr>
      </w:pPr>
    </w:p>
    <w:p w14:paraId="0E78EF3F" w14:textId="77777777" w:rsidR="00585615" w:rsidRPr="00585615" w:rsidRDefault="00585615">
      <w:pPr>
        <w:jc w:val="both"/>
        <w:rPr>
          <w:rFonts w:ascii="Arial" w:hAnsi="Arial" w:cs="Arial"/>
          <w:iCs/>
          <w:sz w:val="20"/>
          <w:szCs w:val="20"/>
        </w:rPr>
      </w:pPr>
    </w:p>
    <w:p w14:paraId="5942E4B4" w14:textId="20CD5A5F" w:rsidR="0099084C" w:rsidRPr="00585615" w:rsidRDefault="00585615" w:rsidP="00862730">
      <w:pPr>
        <w:widowControl/>
        <w:autoSpaceDE/>
        <w:autoSpaceDN/>
        <w:spacing w:after="120" w:line="360" w:lineRule="auto"/>
        <w:jc w:val="both"/>
        <w:rPr>
          <w:rFonts w:ascii="Arial" w:eastAsia="Calibri" w:hAnsi="Arial" w:cs="Arial"/>
          <w:b/>
          <w:bCs/>
          <w:kern w:val="2"/>
          <w:lang w:val="en-GB"/>
          <w14:ligatures w14:val="standardContextual"/>
        </w:rPr>
      </w:pPr>
      <w:r w:rsidRPr="00585615">
        <w:rPr>
          <w:rFonts w:ascii="Arial" w:eastAsia="Calibri" w:hAnsi="Arial" w:cs="Arial"/>
          <w:b/>
          <w:bCs/>
          <w:kern w:val="2"/>
          <w:lang w:val="en-GB"/>
          <w14:ligatures w14:val="standardContextual"/>
        </w:rPr>
        <w:t>1.0 INTRODUCTION</w:t>
      </w:r>
    </w:p>
    <w:p w14:paraId="34B7FD4C" w14:textId="6A6BF542" w:rsidR="00962EF0" w:rsidRDefault="005F7DDA" w:rsidP="002F11C2">
      <w:pPr>
        <w:widowControl/>
        <w:autoSpaceDE/>
        <w:autoSpaceDN/>
        <w:spacing w:line="276" w:lineRule="auto"/>
        <w:jc w:val="both"/>
        <w:rPr>
          <w:rFonts w:ascii="Arial" w:hAnsi="Arial" w:cs="Arial"/>
          <w:sz w:val="20"/>
          <w:szCs w:val="20"/>
        </w:rPr>
      </w:pPr>
      <w:r>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The removal of fuel subsidies and concerted efforts by various stakeholders ha</w:t>
      </w:r>
      <w:r w:rsidR="00D14841" w:rsidRPr="00BF1D56">
        <w:rPr>
          <w:rFonts w:ascii="Arial" w:eastAsia="Calibri" w:hAnsi="Arial" w:cs="Arial"/>
          <w:kern w:val="2"/>
          <w:sz w:val="20"/>
          <w:szCs w:val="20"/>
          <w:lang w:val="en-GB"/>
          <w14:ligatures w14:val="standardContextual"/>
        </w:rPr>
        <w:t>ve</w:t>
      </w:r>
      <w:r w:rsidR="0099084C" w:rsidRPr="00BF1D56">
        <w:rPr>
          <w:rFonts w:ascii="Arial" w:eastAsia="Calibri" w:hAnsi="Arial" w:cs="Arial"/>
          <w:kern w:val="2"/>
          <w:sz w:val="20"/>
          <w:szCs w:val="20"/>
          <w:lang w:val="en-GB"/>
          <w14:ligatures w14:val="standardContextual"/>
        </w:rPr>
        <w:t xml:space="preserve"> made the path towards sustainable transportation and reduced pollution </w:t>
      </w:r>
      <w:r w:rsidR="00D14841" w:rsidRPr="00BF1D56">
        <w:rPr>
          <w:rFonts w:ascii="Arial" w:eastAsia="Calibri" w:hAnsi="Arial" w:cs="Arial"/>
          <w:kern w:val="2"/>
          <w:sz w:val="20"/>
          <w:szCs w:val="20"/>
          <w:lang w:val="en-GB"/>
          <w14:ligatures w14:val="standardContextual"/>
        </w:rPr>
        <w:t>seem</w:t>
      </w:r>
      <w:r w:rsidR="0099084C" w:rsidRPr="00BF1D56">
        <w:rPr>
          <w:rFonts w:ascii="Arial" w:eastAsia="Calibri" w:hAnsi="Arial" w:cs="Arial"/>
          <w:kern w:val="2"/>
          <w:sz w:val="20"/>
          <w:szCs w:val="20"/>
          <w:lang w:val="en-GB"/>
          <w14:ligatures w14:val="standardContextual"/>
        </w:rPr>
        <w:t xml:space="preserve"> promising.</w:t>
      </w:r>
      <w:r>
        <w:rPr>
          <w:rFonts w:ascii="Arial" w:eastAsia="Calibri" w:hAnsi="Arial" w:cs="Arial"/>
          <w:kern w:val="2"/>
          <w:sz w:val="20"/>
          <w:szCs w:val="20"/>
          <w:lang w:val="en-GB"/>
          <w14:ligatures w14:val="standardContextual"/>
        </w:rPr>
        <w:t>”</w:t>
      </w:r>
      <w:r w:rsidR="008A5AA0">
        <w:rPr>
          <w:rFonts w:ascii="Arial" w:eastAsia="Calibri" w:hAnsi="Arial" w:cs="Arial"/>
          <w:kern w:val="2"/>
          <w:sz w:val="20"/>
          <w:szCs w:val="20"/>
          <w:lang w:val="en-GB"/>
          <w14:ligatures w14:val="standardContextual"/>
        </w:rPr>
        <w:t xml:space="preserve"> </w:t>
      </w:r>
      <w:r>
        <w:rPr>
          <w:rFonts w:ascii="Arial" w:eastAsia="Calibri" w:hAnsi="Arial" w:cs="Arial"/>
          <w:kern w:val="2"/>
          <w:sz w:val="20"/>
          <w:szCs w:val="20"/>
          <w:lang w:val="en-GB"/>
          <w14:ligatures w14:val="standardContextual"/>
        </w:rPr>
        <w:t>(</w:t>
      </w:r>
      <w:r w:rsidR="008A5AA0">
        <w:rPr>
          <w:color w:val="222222"/>
          <w:highlight w:val="white"/>
        </w:rPr>
        <w:t>Vashishta 2025).</w:t>
      </w:r>
      <w:r w:rsidR="0099084C" w:rsidRPr="00BF1D56">
        <w:rPr>
          <w:rFonts w:ascii="Arial" w:eastAsia="Calibri" w:hAnsi="Arial" w:cs="Arial"/>
          <w:kern w:val="2"/>
          <w:sz w:val="20"/>
          <w:szCs w:val="20"/>
          <w:lang w:val="en-GB"/>
          <w14:ligatures w14:val="standardContextual"/>
        </w:rPr>
        <w:t xml:space="preserve"> </w:t>
      </w:r>
      <w:r>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However, to effectively accelerate this transportation overhaul, policy and regulatory frameworks need to be adjusted</w:t>
      </w:r>
      <w:bookmarkStart w:id="0" w:name="_Hlk207363105"/>
      <w:r>
        <w:rPr>
          <w:rFonts w:ascii="Arial" w:eastAsia="Calibri" w:hAnsi="Arial" w:cs="Arial"/>
          <w:kern w:val="2"/>
          <w:sz w:val="20"/>
          <w:szCs w:val="20"/>
          <w:lang w:val="en-GB"/>
          <w14:ligatures w14:val="standardContextual"/>
        </w:rPr>
        <w:t>”</w:t>
      </w:r>
      <w:r w:rsidR="00144399" w:rsidRPr="00BF1D56">
        <w:rPr>
          <w:rFonts w:ascii="Arial" w:eastAsia="Calibri" w:hAnsi="Arial" w:cs="Arial"/>
          <w:kern w:val="2"/>
          <w:sz w:val="20"/>
          <w:szCs w:val="20"/>
          <w:lang w:val="en-GB"/>
          <w14:ligatures w14:val="standardContextual"/>
        </w:rPr>
        <w:t xml:space="preserve"> </w:t>
      </w:r>
      <w:r w:rsidR="0075677A" w:rsidRPr="00BF1D56">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Okeagu</w:t>
      </w:r>
      <w:r w:rsidR="00144399" w:rsidRPr="00BF1D56">
        <w:rPr>
          <w:rFonts w:ascii="Arial" w:eastAsia="Calibri" w:hAnsi="Arial" w:cs="Arial"/>
          <w:kern w:val="2"/>
          <w:sz w:val="20"/>
          <w:szCs w:val="20"/>
          <w:lang w:val="en-GB"/>
          <w14:ligatures w14:val="standardContextual"/>
        </w:rPr>
        <w:t xml:space="preserve">, </w:t>
      </w:r>
      <w:r w:rsidR="0099084C" w:rsidRPr="00BF1D56">
        <w:rPr>
          <w:rFonts w:ascii="Arial" w:eastAsia="Calibri" w:hAnsi="Arial" w:cs="Arial"/>
          <w:kern w:val="2"/>
          <w:sz w:val="20"/>
          <w:szCs w:val="20"/>
          <w:lang w:val="en-GB"/>
          <w14:ligatures w14:val="standardContextual"/>
        </w:rPr>
        <w:t>2024</w:t>
      </w:r>
      <w:r w:rsidR="0075677A" w:rsidRPr="00BF1D56">
        <w:rPr>
          <w:rFonts w:ascii="Arial" w:eastAsia="Calibri" w:hAnsi="Arial" w:cs="Arial"/>
          <w:kern w:val="2"/>
          <w:sz w:val="20"/>
          <w:szCs w:val="20"/>
          <w:lang w:val="en-GB"/>
          <w14:ligatures w14:val="standardContextual"/>
        </w:rPr>
        <w:t>)</w:t>
      </w:r>
      <w:r w:rsidR="0099084C" w:rsidRPr="00BF1D56">
        <w:rPr>
          <w:rFonts w:ascii="Arial" w:eastAsia="Calibri" w:hAnsi="Arial" w:cs="Arial"/>
          <w:color w:val="EE0000"/>
          <w:kern w:val="2"/>
          <w:sz w:val="20"/>
          <w:szCs w:val="20"/>
          <w:lang w:val="en-GB"/>
          <w14:ligatures w14:val="standardContextual"/>
        </w:rPr>
        <w:t xml:space="preserve">. </w:t>
      </w:r>
      <w:bookmarkEnd w:id="0"/>
      <w:r>
        <w:rPr>
          <w:rFonts w:ascii="Arial" w:eastAsia="Calibri" w:hAnsi="Arial" w:cs="Arial"/>
          <w:color w:val="EE0000"/>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The global increase in vehicle ownership and use has led to a significant rise in greenhouse gas emissions, primarily carbon dioxide (CO</w:t>
      </w:r>
      <w:r w:rsidR="0099084C" w:rsidRPr="00BF1D56">
        <w:rPr>
          <w:rFonts w:ascii="Cambria Math" w:eastAsia="Calibri" w:hAnsi="Cambria Math" w:cs="Cambria Math"/>
          <w:kern w:val="2"/>
          <w:sz w:val="20"/>
          <w:szCs w:val="20"/>
          <w:lang w:val="en-GB"/>
          <w14:ligatures w14:val="standardContextual"/>
        </w:rPr>
        <w:t>₂</w:t>
      </w:r>
      <w:r w:rsidR="0099084C" w:rsidRPr="00BF1D56">
        <w:rPr>
          <w:rFonts w:ascii="Arial" w:eastAsia="Calibri" w:hAnsi="Arial" w:cs="Arial"/>
          <w:kern w:val="2"/>
          <w:sz w:val="20"/>
          <w:szCs w:val="20"/>
          <w:lang w:val="en-GB"/>
          <w14:ligatures w14:val="standardContextual"/>
        </w:rPr>
        <w:t xml:space="preserve">), from the transportation sector. </w:t>
      </w:r>
      <w:r w:rsidR="0099084C" w:rsidRPr="00BF1D56">
        <w:rPr>
          <w:rFonts w:ascii="Arial" w:hAnsi="Arial" w:cs="Arial"/>
          <w:sz w:val="20"/>
          <w:szCs w:val="20"/>
        </w:rPr>
        <w:t>Furthermore, the Nigerian economy heavily depends on crude oil export, which generates about 9</w:t>
      </w:r>
      <w:r w:rsidR="0043519D" w:rsidRPr="00BF1D56">
        <w:rPr>
          <w:rFonts w:ascii="Arial" w:hAnsi="Arial" w:cs="Arial"/>
          <w:sz w:val="20"/>
          <w:szCs w:val="20"/>
        </w:rPr>
        <w:t>0</w:t>
      </w:r>
      <w:r w:rsidR="000112F2" w:rsidRPr="00BF1D56">
        <w:rPr>
          <w:rFonts w:ascii="Arial" w:hAnsi="Arial" w:cs="Arial"/>
          <w:sz w:val="20"/>
          <w:szCs w:val="20"/>
        </w:rPr>
        <w:t xml:space="preserve"> percent</w:t>
      </w:r>
      <w:r w:rsidR="0099084C" w:rsidRPr="00BF1D56">
        <w:rPr>
          <w:rFonts w:ascii="Arial" w:hAnsi="Arial" w:cs="Arial"/>
          <w:color w:val="EE0000"/>
          <w:sz w:val="20"/>
          <w:szCs w:val="20"/>
        </w:rPr>
        <w:t xml:space="preserve"> </w:t>
      </w:r>
      <w:r w:rsidR="0099084C" w:rsidRPr="00BF1D56">
        <w:rPr>
          <w:rFonts w:ascii="Arial" w:hAnsi="Arial" w:cs="Arial"/>
          <w:sz w:val="20"/>
          <w:szCs w:val="20"/>
        </w:rPr>
        <w:t xml:space="preserve">of the total </w:t>
      </w:r>
      <w:r w:rsidR="008826B4" w:rsidRPr="00BF1D56">
        <w:rPr>
          <w:rFonts w:ascii="Arial" w:hAnsi="Arial" w:cs="Arial"/>
          <w:sz w:val="20"/>
          <w:szCs w:val="20"/>
        </w:rPr>
        <w:t>export earnings</w:t>
      </w:r>
      <w:r w:rsidR="0099084C" w:rsidRPr="00BF1D56">
        <w:rPr>
          <w:rFonts w:ascii="Arial" w:hAnsi="Arial" w:cs="Arial"/>
          <w:sz w:val="20"/>
          <w:szCs w:val="20"/>
        </w:rPr>
        <w:t>. This dependence implies that the country is far from decoupling its economy from petroleum</w:t>
      </w:r>
      <w:r w:rsidR="008826B4" w:rsidRPr="00BF1D56">
        <w:rPr>
          <w:rFonts w:ascii="Arial" w:hAnsi="Arial" w:cs="Arial"/>
          <w:sz w:val="20"/>
          <w:szCs w:val="20"/>
        </w:rPr>
        <w:t xml:space="preserve"> resources</w:t>
      </w:r>
      <w:r w:rsidR="0099084C" w:rsidRPr="00BF1D56">
        <w:rPr>
          <w:rFonts w:ascii="Arial" w:hAnsi="Arial" w:cs="Arial"/>
          <w:sz w:val="20"/>
          <w:szCs w:val="20"/>
        </w:rPr>
        <w:t xml:space="preserve">. Nevertheless, there exist several opportunities for low-carbon </w:t>
      </w:r>
      <w:r w:rsidR="008826B4" w:rsidRPr="00BF1D56">
        <w:rPr>
          <w:rFonts w:ascii="Arial" w:hAnsi="Arial" w:cs="Arial"/>
          <w:sz w:val="20"/>
          <w:szCs w:val="20"/>
        </w:rPr>
        <w:t xml:space="preserve">energy sources for the </w:t>
      </w:r>
      <w:r w:rsidR="0099084C" w:rsidRPr="00BF1D56">
        <w:rPr>
          <w:rFonts w:ascii="Arial" w:hAnsi="Arial" w:cs="Arial"/>
          <w:sz w:val="20"/>
          <w:szCs w:val="20"/>
        </w:rPr>
        <w:t>transport</w:t>
      </w:r>
      <w:r w:rsidR="008826B4" w:rsidRPr="00BF1D56">
        <w:rPr>
          <w:rFonts w:ascii="Arial" w:hAnsi="Arial" w:cs="Arial"/>
          <w:sz w:val="20"/>
          <w:szCs w:val="20"/>
        </w:rPr>
        <w:t xml:space="preserve"> sector</w:t>
      </w:r>
      <w:r w:rsidR="0099084C" w:rsidRPr="00BF1D56">
        <w:rPr>
          <w:rFonts w:ascii="Arial" w:hAnsi="Arial" w:cs="Arial"/>
          <w:sz w:val="20"/>
          <w:szCs w:val="20"/>
        </w:rPr>
        <w:t xml:space="preserve">. These include the use of biofuels (1.5 billion litres planned capacity), </w:t>
      </w:r>
      <w:r w:rsidR="00962EF0" w:rsidRPr="00BF1D56">
        <w:rPr>
          <w:rFonts w:ascii="Arial" w:hAnsi="Arial" w:cs="Arial"/>
          <w:sz w:val="20"/>
          <w:szCs w:val="20"/>
        </w:rPr>
        <w:t>n</w:t>
      </w:r>
      <w:r w:rsidR="0099084C" w:rsidRPr="00BF1D56">
        <w:rPr>
          <w:rFonts w:ascii="Arial" w:hAnsi="Arial" w:cs="Arial"/>
          <w:sz w:val="20"/>
          <w:szCs w:val="20"/>
        </w:rPr>
        <w:t>atural gas (187 trillion cubic feet), electrified transport coal (2.7 billion tons)</w:t>
      </w:r>
      <w:r w:rsidR="00962EF0" w:rsidRPr="00BF1D56">
        <w:rPr>
          <w:rFonts w:ascii="Arial" w:hAnsi="Arial" w:cs="Arial"/>
          <w:sz w:val="20"/>
          <w:szCs w:val="20"/>
        </w:rPr>
        <w:t xml:space="preserve">, </w:t>
      </w:r>
      <w:r w:rsidR="0099084C" w:rsidRPr="00BF1D56">
        <w:rPr>
          <w:rFonts w:ascii="Arial" w:hAnsi="Arial" w:cs="Arial"/>
          <w:sz w:val="20"/>
          <w:szCs w:val="20"/>
        </w:rPr>
        <w:t>or natural gas power generation sources</w:t>
      </w:r>
      <w:r>
        <w:rPr>
          <w:rFonts w:ascii="Arial" w:hAnsi="Arial" w:cs="Arial"/>
          <w:sz w:val="20"/>
          <w:szCs w:val="20"/>
        </w:rPr>
        <w:t>”</w:t>
      </w:r>
      <w:r w:rsidR="0043519D" w:rsidRPr="00BF1D56">
        <w:rPr>
          <w:rFonts w:ascii="Arial" w:hAnsi="Arial" w:cs="Arial"/>
          <w:sz w:val="20"/>
          <w:szCs w:val="20"/>
        </w:rPr>
        <w:t xml:space="preserve"> </w:t>
      </w:r>
      <w:r w:rsidR="0075677A" w:rsidRPr="00BF1D56">
        <w:rPr>
          <w:rFonts w:ascii="Arial" w:hAnsi="Arial" w:cs="Arial"/>
          <w:sz w:val="20"/>
          <w:szCs w:val="20"/>
        </w:rPr>
        <w:t xml:space="preserve">(Oladayo, 2025). </w:t>
      </w:r>
    </w:p>
    <w:p w14:paraId="29C28FDC" w14:textId="77777777" w:rsidR="002F11C2" w:rsidRPr="00BF1D56" w:rsidRDefault="002F11C2" w:rsidP="002F11C2">
      <w:pPr>
        <w:widowControl/>
        <w:autoSpaceDE/>
        <w:autoSpaceDN/>
        <w:spacing w:line="276" w:lineRule="auto"/>
        <w:jc w:val="both"/>
        <w:rPr>
          <w:rFonts w:ascii="Arial" w:hAnsi="Arial" w:cs="Arial"/>
          <w:sz w:val="20"/>
          <w:szCs w:val="20"/>
        </w:rPr>
      </w:pPr>
    </w:p>
    <w:p w14:paraId="424D1D7A" w14:textId="1D734290" w:rsidR="00252C98" w:rsidRPr="00BF1D56" w:rsidRDefault="005F7DDA" w:rsidP="002F11C2">
      <w:pPr>
        <w:widowControl/>
        <w:autoSpaceDE/>
        <w:autoSpaceDN/>
        <w:spacing w:line="276" w:lineRule="auto"/>
        <w:jc w:val="both"/>
        <w:rPr>
          <w:rFonts w:ascii="Arial" w:hAnsi="Arial" w:cs="Arial"/>
          <w:sz w:val="20"/>
          <w:szCs w:val="20"/>
        </w:rPr>
      </w:pPr>
      <w:r>
        <w:rPr>
          <w:rFonts w:ascii="Arial" w:hAnsi="Arial" w:cs="Arial"/>
          <w:sz w:val="20"/>
          <w:szCs w:val="20"/>
        </w:rPr>
        <w:t>“</w:t>
      </w:r>
      <w:r w:rsidR="0099084C" w:rsidRPr="00BF1D56">
        <w:rPr>
          <w:rFonts w:ascii="Arial" w:hAnsi="Arial" w:cs="Arial"/>
          <w:sz w:val="20"/>
          <w:szCs w:val="20"/>
        </w:rPr>
        <w:t>Unfortunately, Nigeria is yet to develop its biofuels program</w:t>
      </w:r>
      <w:r w:rsidR="00962EF0" w:rsidRPr="00BF1D56">
        <w:rPr>
          <w:rFonts w:ascii="Arial" w:hAnsi="Arial" w:cs="Arial"/>
          <w:sz w:val="20"/>
          <w:szCs w:val="20"/>
        </w:rPr>
        <w:t>me</w:t>
      </w:r>
      <w:r w:rsidR="0099084C" w:rsidRPr="00BF1D56">
        <w:rPr>
          <w:rFonts w:ascii="Arial" w:hAnsi="Arial" w:cs="Arial"/>
          <w:sz w:val="20"/>
          <w:szCs w:val="20"/>
        </w:rPr>
        <w:t xml:space="preserve">. </w:t>
      </w:r>
      <w:r w:rsidR="00962EF0" w:rsidRPr="00BF1D56">
        <w:rPr>
          <w:rFonts w:ascii="Arial" w:hAnsi="Arial" w:cs="Arial"/>
          <w:sz w:val="20"/>
          <w:szCs w:val="20"/>
        </w:rPr>
        <w:t>It’s</w:t>
      </w:r>
      <w:r w:rsidR="0099084C" w:rsidRPr="00BF1D56">
        <w:rPr>
          <w:rFonts w:ascii="Arial" w:hAnsi="Arial" w:cs="Arial"/>
          <w:sz w:val="20"/>
          <w:szCs w:val="20"/>
        </w:rPr>
        <w:t xml:space="preserve"> vast deposit</w:t>
      </w:r>
      <w:r w:rsidR="00962EF0" w:rsidRPr="00BF1D56">
        <w:rPr>
          <w:rFonts w:ascii="Arial" w:hAnsi="Arial" w:cs="Arial"/>
          <w:sz w:val="20"/>
          <w:szCs w:val="20"/>
        </w:rPr>
        <w:t>s</w:t>
      </w:r>
      <w:r w:rsidR="0099084C" w:rsidRPr="00BF1D56">
        <w:rPr>
          <w:rFonts w:ascii="Arial" w:hAnsi="Arial" w:cs="Arial"/>
          <w:sz w:val="20"/>
          <w:szCs w:val="20"/>
        </w:rPr>
        <w:t xml:space="preserve"> of </w:t>
      </w:r>
      <w:r w:rsidR="00962EF0" w:rsidRPr="00BF1D56">
        <w:rPr>
          <w:rFonts w:ascii="Arial" w:hAnsi="Arial" w:cs="Arial"/>
          <w:sz w:val="20"/>
          <w:szCs w:val="20"/>
        </w:rPr>
        <w:t>n</w:t>
      </w:r>
      <w:r w:rsidR="0099084C" w:rsidRPr="00BF1D56">
        <w:rPr>
          <w:rFonts w:ascii="Arial" w:hAnsi="Arial" w:cs="Arial"/>
          <w:sz w:val="20"/>
          <w:szCs w:val="20"/>
        </w:rPr>
        <w:t>atural gas makes incorporating Compressed Natural Gas (CNG) fueled vehicles into the transport sector feasible. Th</w:t>
      </w:r>
      <w:r w:rsidR="00962EF0" w:rsidRPr="00BF1D56">
        <w:rPr>
          <w:rFonts w:ascii="Arial" w:hAnsi="Arial" w:cs="Arial"/>
          <w:sz w:val="20"/>
          <w:szCs w:val="20"/>
        </w:rPr>
        <w:t xml:space="preserve">is </w:t>
      </w:r>
      <w:r w:rsidR="0099084C" w:rsidRPr="00BF1D56">
        <w:rPr>
          <w:rFonts w:ascii="Arial" w:hAnsi="Arial" w:cs="Arial"/>
          <w:sz w:val="20"/>
          <w:szCs w:val="20"/>
        </w:rPr>
        <w:t xml:space="preserve">strategy has </w:t>
      </w:r>
      <w:r w:rsidR="0099084C" w:rsidRPr="00BF1D56">
        <w:rPr>
          <w:rFonts w:ascii="Arial" w:hAnsi="Arial" w:cs="Arial"/>
          <w:sz w:val="20"/>
          <w:szCs w:val="20"/>
        </w:rPr>
        <w:lastRenderedPageBreak/>
        <w:t>already been adopted in several European, South American, and Asian countries</w:t>
      </w:r>
      <w:r>
        <w:rPr>
          <w:rFonts w:ascii="Arial" w:hAnsi="Arial" w:cs="Arial"/>
          <w:sz w:val="20"/>
          <w:szCs w:val="20"/>
        </w:rPr>
        <w:t>”</w:t>
      </w:r>
      <w:r w:rsidR="00962EF0" w:rsidRPr="00BF1D56">
        <w:rPr>
          <w:rFonts w:ascii="Arial" w:hAnsi="Arial" w:cs="Arial"/>
          <w:sz w:val="20"/>
          <w:szCs w:val="20"/>
        </w:rPr>
        <w:t xml:space="preserve"> </w:t>
      </w:r>
      <w:r w:rsidR="0075677A" w:rsidRPr="00BF1D56">
        <w:rPr>
          <w:rFonts w:ascii="Arial" w:hAnsi="Arial" w:cs="Arial"/>
          <w:sz w:val="20"/>
          <w:szCs w:val="20"/>
        </w:rPr>
        <w:t>(</w:t>
      </w:r>
      <w:r w:rsidR="0043519D" w:rsidRPr="00BF1D56">
        <w:rPr>
          <w:rFonts w:ascii="Arial" w:hAnsi="Arial" w:cs="Arial"/>
          <w:sz w:val="20"/>
          <w:szCs w:val="20"/>
        </w:rPr>
        <w:t xml:space="preserve">National Bureau of Statistics - </w:t>
      </w:r>
      <w:r w:rsidR="0099084C" w:rsidRPr="00BF1D56">
        <w:rPr>
          <w:rFonts w:ascii="Arial" w:hAnsi="Arial" w:cs="Arial"/>
          <w:sz w:val="20"/>
          <w:szCs w:val="20"/>
        </w:rPr>
        <w:t>NBS, 2022</w:t>
      </w:r>
      <w:r w:rsidR="0075677A" w:rsidRPr="00BF1D56">
        <w:rPr>
          <w:rFonts w:ascii="Arial" w:hAnsi="Arial" w:cs="Arial"/>
          <w:sz w:val="20"/>
          <w:szCs w:val="20"/>
        </w:rPr>
        <w:t>)</w:t>
      </w:r>
      <w:r w:rsidR="0099084C" w:rsidRPr="00BF1D56">
        <w:rPr>
          <w:rFonts w:ascii="Arial" w:hAnsi="Arial" w:cs="Arial"/>
          <w:color w:val="EE0000"/>
          <w:sz w:val="20"/>
          <w:szCs w:val="20"/>
        </w:rPr>
        <w:t xml:space="preserve">. </w:t>
      </w:r>
      <w:r>
        <w:rPr>
          <w:rFonts w:ascii="Arial" w:hAnsi="Arial" w:cs="Arial"/>
          <w:color w:val="EE0000"/>
          <w:sz w:val="20"/>
          <w:szCs w:val="20"/>
        </w:rPr>
        <w:t>“</w:t>
      </w:r>
      <w:r w:rsidR="0099084C" w:rsidRPr="00BF1D56">
        <w:rPr>
          <w:rFonts w:ascii="Arial" w:hAnsi="Arial" w:cs="Arial"/>
          <w:sz w:val="20"/>
          <w:szCs w:val="20"/>
        </w:rPr>
        <w:t>In addition, the energy transition to energy-efficient vehicles in Nigeria's transport system could be slow as about 60 % of the country's population still lives below the poverty line. Only about 55.4 % of the Nigerian population has access to electricity, which would also limit the rapid, widespread adoption of electric vehicles</w:t>
      </w:r>
      <w:r>
        <w:rPr>
          <w:rFonts w:ascii="Arial" w:hAnsi="Arial" w:cs="Arial"/>
          <w:sz w:val="20"/>
          <w:szCs w:val="20"/>
        </w:rPr>
        <w:t>”</w:t>
      </w:r>
      <w:r w:rsidR="0099084C" w:rsidRPr="00BF1D56">
        <w:rPr>
          <w:rFonts w:ascii="Arial" w:hAnsi="Arial" w:cs="Arial"/>
          <w:sz w:val="20"/>
          <w:szCs w:val="20"/>
        </w:rPr>
        <w:t xml:space="preserve"> (</w:t>
      </w:r>
      <w:r w:rsidR="001B22B2">
        <w:rPr>
          <w:rFonts w:ascii="Arial" w:hAnsi="Arial" w:cs="Arial"/>
          <w:sz w:val="20"/>
          <w:szCs w:val="20"/>
        </w:rPr>
        <w:t>Dioha</w:t>
      </w:r>
      <w:r w:rsidR="0099084C" w:rsidRPr="00BF1D56">
        <w:rPr>
          <w:rFonts w:ascii="Arial" w:hAnsi="Arial" w:cs="Arial"/>
          <w:sz w:val="20"/>
          <w:szCs w:val="20"/>
        </w:rPr>
        <w:t>, 202</w:t>
      </w:r>
      <w:r w:rsidR="00252AD9" w:rsidRPr="00BF1D56">
        <w:rPr>
          <w:rFonts w:ascii="Arial" w:hAnsi="Arial" w:cs="Arial"/>
          <w:sz w:val="20"/>
          <w:szCs w:val="20"/>
        </w:rPr>
        <w:t>3</w:t>
      </w:r>
      <w:r w:rsidR="0099084C" w:rsidRPr="00BF1D56">
        <w:rPr>
          <w:rFonts w:ascii="Arial" w:hAnsi="Arial" w:cs="Arial"/>
          <w:sz w:val="20"/>
          <w:szCs w:val="20"/>
        </w:rPr>
        <w:t>).</w:t>
      </w:r>
      <w:r w:rsidR="00EB55B1" w:rsidRPr="00BF1D56">
        <w:rPr>
          <w:rFonts w:ascii="Arial" w:hAnsi="Arial" w:cs="Arial"/>
          <w:sz w:val="20"/>
          <w:szCs w:val="20"/>
        </w:rPr>
        <w:t xml:space="preserve"> </w:t>
      </w:r>
      <w:r w:rsidR="0099084C" w:rsidRPr="00BF1D56">
        <w:rPr>
          <w:rFonts w:ascii="Arial" w:hAnsi="Arial" w:cs="Arial"/>
          <w:sz w:val="20"/>
          <w:szCs w:val="20"/>
        </w:rPr>
        <w:t xml:space="preserve">Electric vehicles (EVs) operate solely on electric power stored in rechargeable batteries, producing zero tailpipe emissions. </w:t>
      </w:r>
    </w:p>
    <w:p w14:paraId="62D764CA" w14:textId="77777777" w:rsidR="002F11C2" w:rsidRDefault="002F11C2" w:rsidP="002F11C2">
      <w:pPr>
        <w:widowControl/>
        <w:autoSpaceDE/>
        <w:autoSpaceDN/>
        <w:spacing w:line="276" w:lineRule="auto"/>
        <w:jc w:val="both"/>
        <w:rPr>
          <w:rFonts w:ascii="Arial" w:hAnsi="Arial" w:cs="Arial"/>
          <w:sz w:val="20"/>
          <w:szCs w:val="20"/>
        </w:rPr>
      </w:pPr>
    </w:p>
    <w:p w14:paraId="05F54F8E" w14:textId="50E76D81" w:rsidR="0099084C" w:rsidRPr="00BF1D56" w:rsidRDefault="0099084C" w:rsidP="002F11C2">
      <w:pPr>
        <w:widowControl/>
        <w:autoSpaceDE/>
        <w:autoSpaceDN/>
        <w:spacing w:line="276" w:lineRule="auto"/>
        <w:jc w:val="both"/>
        <w:rPr>
          <w:rFonts w:ascii="Arial" w:hAnsi="Arial" w:cs="Arial"/>
          <w:sz w:val="20"/>
          <w:szCs w:val="20"/>
        </w:rPr>
      </w:pPr>
      <w:r w:rsidRPr="00BF1D56">
        <w:rPr>
          <w:rFonts w:ascii="Arial" w:hAnsi="Arial" w:cs="Arial"/>
          <w:sz w:val="20"/>
          <w:szCs w:val="20"/>
        </w:rPr>
        <w:t>On the other hand, hybrid vehicles combine the benefits of both electric motors and internal combustion engines, offering improved fuel efficiency and lower emissions compared to traditional vehicles.</w:t>
      </w:r>
      <w:r w:rsidR="002C77AD" w:rsidRPr="002C77AD">
        <w:rPr>
          <w:color w:val="222222"/>
          <w:highlight w:val="white"/>
        </w:rPr>
        <w:t xml:space="preserve"> </w:t>
      </w:r>
      <w:r w:rsidR="005F7DDA">
        <w:rPr>
          <w:color w:val="222222"/>
          <w:highlight w:val="white"/>
        </w:rPr>
        <w:t>(</w:t>
      </w:r>
      <w:r w:rsidR="002C77AD">
        <w:rPr>
          <w:color w:val="222222"/>
          <w:highlight w:val="white"/>
        </w:rPr>
        <w:t>Chinthoju, 2025)</w:t>
      </w:r>
      <w:r w:rsidRPr="00BF1D56">
        <w:rPr>
          <w:rFonts w:ascii="Arial" w:hAnsi="Arial" w:cs="Arial"/>
          <w:sz w:val="20"/>
          <w:szCs w:val="20"/>
        </w:rPr>
        <w:t xml:space="preserve"> Plug-in hybrid electric vehicles (PHEVs), a subcategory of hybrids, can be charged via an external power source and run on electricity for shorter trips, thereby further reducing fuel consumption. </w:t>
      </w:r>
      <w:r w:rsidR="005F7DDA">
        <w:rPr>
          <w:rFonts w:ascii="Arial" w:hAnsi="Arial" w:cs="Arial"/>
          <w:sz w:val="20"/>
          <w:szCs w:val="20"/>
        </w:rPr>
        <w:t>(</w:t>
      </w:r>
      <w:r w:rsidR="00B521D3">
        <w:rPr>
          <w:color w:val="222222"/>
          <w:highlight w:val="white"/>
        </w:rPr>
        <w:t>Chinthoju</w:t>
      </w:r>
      <w:r w:rsidR="00B521D3" w:rsidRPr="00BF1D56">
        <w:rPr>
          <w:rFonts w:ascii="Arial" w:hAnsi="Arial" w:cs="Arial"/>
          <w:sz w:val="20"/>
          <w:szCs w:val="20"/>
        </w:rPr>
        <w:t xml:space="preserve"> </w:t>
      </w:r>
      <w:r w:rsidR="00B521D3">
        <w:rPr>
          <w:rFonts w:ascii="Arial" w:hAnsi="Arial" w:cs="Arial"/>
          <w:sz w:val="20"/>
          <w:szCs w:val="20"/>
        </w:rPr>
        <w:t xml:space="preserve">2025). </w:t>
      </w:r>
      <w:r w:rsidR="005F7DDA">
        <w:rPr>
          <w:rFonts w:ascii="Arial" w:hAnsi="Arial" w:cs="Arial"/>
          <w:sz w:val="20"/>
          <w:szCs w:val="20"/>
        </w:rPr>
        <w:t>“</w:t>
      </w:r>
      <w:r w:rsidRPr="00BF1D56">
        <w:rPr>
          <w:rFonts w:ascii="Arial" w:hAnsi="Arial" w:cs="Arial"/>
          <w:sz w:val="20"/>
          <w:szCs w:val="20"/>
        </w:rPr>
        <w:t xml:space="preserve">Together, EVs and hybrid vehicles represent a significant shift in automotive technology, driving innovation in clean energy usage and efficient transport systems. </w:t>
      </w:r>
      <w:r w:rsidRPr="00BF1D56">
        <w:rPr>
          <w:rFonts w:ascii="Arial" w:eastAsia="Calibri" w:hAnsi="Arial" w:cs="Arial"/>
          <w:kern w:val="2"/>
          <w:sz w:val="20"/>
          <w:szCs w:val="20"/>
          <w:lang w:val="en-GB"/>
          <w14:ligatures w14:val="standardContextual"/>
        </w:rPr>
        <w:t xml:space="preserve">Nigeria is the most populous country in Africa with the sixth largest population worldwide. Over the next three decades, the United Nations expects Nigeria’s population to increase from 216 million people to </w:t>
      </w:r>
      <w:r w:rsidR="00962EF0" w:rsidRPr="00BF1D56">
        <w:rPr>
          <w:rFonts w:ascii="Arial" w:eastAsia="Calibri" w:hAnsi="Arial" w:cs="Arial"/>
          <w:kern w:val="2"/>
          <w:sz w:val="20"/>
          <w:szCs w:val="20"/>
          <w:lang w:val="en-GB"/>
          <w14:ligatures w14:val="standardContextual"/>
        </w:rPr>
        <w:t xml:space="preserve">about </w:t>
      </w:r>
      <w:r w:rsidRPr="00BF1D56">
        <w:rPr>
          <w:rFonts w:ascii="Arial" w:eastAsia="Calibri" w:hAnsi="Arial" w:cs="Arial"/>
          <w:kern w:val="2"/>
          <w:sz w:val="20"/>
          <w:szCs w:val="20"/>
          <w:lang w:val="en-GB"/>
          <w14:ligatures w14:val="standardContextual"/>
        </w:rPr>
        <w:t>375 million</w:t>
      </w:r>
      <w:r w:rsidR="005F7DDA">
        <w:rPr>
          <w:rFonts w:ascii="Arial" w:eastAsia="Calibri" w:hAnsi="Arial" w:cs="Arial"/>
          <w:kern w:val="2"/>
          <w:sz w:val="20"/>
          <w:szCs w:val="20"/>
          <w:lang w:val="en-GB"/>
          <w14:ligatures w14:val="standardContextual"/>
        </w:rPr>
        <w:t>”</w:t>
      </w:r>
      <w:r w:rsidR="0043519D" w:rsidRPr="00BF1D56">
        <w:rPr>
          <w:rFonts w:ascii="Arial" w:eastAsia="Calibri" w:hAnsi="Arial" w:cs="Arial"/>
          <w:kern w:val="2"/>
          <w:sz w:val="20"/>
          <w:szCs w:val="20"/>
          <w:lang w:val="en-GB"/>
          <w14:ligatures w14:val="standardContextual"/>
        </w:rPr>
        <w:t xml:space="preserve"> (</w:t>
      </w:r>
      <w:r w:rsidR="0057054E" w:rsidRPr="00BF1D56">
        <w:rPr>
          <w:rFonts w:ascii="Arial" w:eastAsia="Calibri" w:hAnsi="Arial" w:cs="Arial"/>
          <w:kern w:val="2"/>
          <w:sz w:val="20"/>
          <w:szCs w:val="20"/>
          <w:lang w:val="en-GB"/>
          <w14:ligatures w14:val="standardContextual"/>
        </w:rPr>
        <w:t>Ajao</w:t>
      </w:r>
      <w:r w:rsidR="005170CD" w:rsidRPr="00BF1D56">
        <w:rPr>
          <w:rFonts w:ascii="Arial" w:eastAsia="Calibri" w:hAnsi="Arial" w:cs="Arial"/>
          <w:kern w:val="2"/>
          <w:sz w:val="20"/>
          <w:szCs w:val="20"/>
          <w:lang w:val="en-GB"/>
          <w14:ligatures w14:val="standardContextual"/>
        </w:rPr>
        <w:t xml:space="preserve"> &amp; Sadeeq</w:t>
      </w:r>
      <w:r w:rsidR="0057054E" w:rsidRPr="00BF1D56">
        <w:rPr>
          <w:rFonts w:ascii="Arial" w:eastAsia="Calibri" w:hAnsi="Arial" w:cs="Arial"/>
          <w:kern w:val="2"/>
          <w:sz w:val="20"/>
          <w:szCs w:val="20"/>
          <w:lang w:val="en-GB"/>
          <w14:ligatures w14:val="standardContextual"/>
        </w:rPr>
        <w:t>, 2023</w:t>
      </w:r>
      <w:r w:rsidR="0043519D" w:rsidRPr="00BF1D56">
        <w:rPr>
          <w:rFonts w:ascii="Arial" w:eastAsia="Calibri" w:hAnsi="Arial" w:cs="Arial"/>
          <w:kern w:val="2"/>
          <w:sz w:val="20"/>
          <w:szCs w:val="20"/>
          <w:lang w:val="en-GB"/>
          <w14:ligatures w14:val="standardContextual"/>
        </w:rPr>
        <w:t>)</w:t>
      </w:r>
      <w:r w:rsidRPr="00BF1D56">
        <w:rPr>
          <w:rFonts w:ascii="Arial" w:eastAsia="Calibri" w:hAnsi="Arial" w:cs="Arial"/>
          <w:color w:val="EE0000"/>
          <w:kern w:val="2"/>
          <w:sz w:val="20"/>
          <w:szCs w:val="20"/>
          <w:lang w:val="en-GB"/>
          <w14:ligatures w14:val="standardContextual"/>
        </w:rPr>
        <w:t xml:space="preserve">. </w:t>
      </w:r>
      <w:r w:rsidRPr="00BF1D56">
        <w:rPr>
          <w:rFonts w:ascii="Arial" w:eastAsia="Calibri" w:hAnsi="Arial" w:cs="Arial"/>
          <w:kern w:val="2"/>
          <w:sz w:val="20"/>
          <w:szCs w:val="20"/>
          <w:lang w:val="en-GB"/>
          <w14:ligatures w14:val="standardContextual"/>
        </w:rPr>
        <w:t>This will make Nigeria the fourth most populous country after India, China, and the United States.</w:t>
      </w:r>
    </w:p>
    <w:p w14:paraId="20CEAF64" w14:textId="77777777" w:rsidR="002F11C2" w:rsidRDefault="002F11C2" w:rsidP="002F11C2">
      <w:pPr>
        <w:widowControl/>
        <w:autoSpaceDE/>
        <w:autoSpaceDN/>
        <w:spacing w:line="276" w:lineRule="auto"/>
        <w:jc w:val="both"/>
        <w:rPr>
          <w:rFonts w:ascii="Arial" w:hAnsi="Arial" w:cs="Arial"/>
          <w:sz w:val="20"/>
          <w:szCs w:val="20"/>
        </w:rPr>
      </w:pPr>
    </w:p>
    <w:p w14:paraId="2EF99FFA" w14:textId="7C429157" w:rsidR="0099084C" w:rsidRPr="00BF1D56" w:rsidRDefault="0099084C" w:rsidP="002F11C2">
      <w:pPr>
        <w:widowControl/>
        <w:autoSpaceDE/>
        <w:autoSpaceDN/>
        <w:spacing w:line="276" w:lineRule="auto"/>
        <w:jc w:val="both"/>
        <w:rPr>
          <w:rFonts w:ascii="Arial" w:hAnsi="Arial" w:cs="Arial"/>
          <w:sz w:val="20"/>
          <w:szCs w:val="20"/>
        </w:rPr>
      </w:pPr>
      <w:r w:rsidRPr="00BF1D56">
        <w:rPr>
          <w:rFonts w:ascii="Arial" w:hAnsi="Arial" w:cs="Arial"/>
          <w:sz w:val="20"/>
          <w:szCs w:val="20"/>
        </w:rPr>
        <w:t>Despite their numerous benefits, the adoption of electric and hybrid vehicles in Nigeria faces several challenges, including inadequate charging infrastructure, high initial purchase costs, limited public awareness and the dominance of fuel-powered used vehicles in the automobile market. However, with strategic policy interventions, public-private partnerships, and investments in clean energy, these obstacles can be overcome. The government’s role in creating a supportive regulatory environment, alongside private sector innovation, will be critical to ensuring the successful integration of EVs and hybrids into the national transport system.</w:t>
      </w:r>
    </w:p>
    <w:p w14:paraId="636D90A2" w14:textId="7827CF5D" w:rsidR="00456545" w:rsidRPr="00BF1D56" w:rsidRDefault="005F7DDA" w:rsidP="002F11C2">
      <w:pPr>
        <w:widowControl/>
        <w:autoSpaceDE/>
        <w:autoSpaceDN/>
        <w:spacing w:line="276" w:lineRule="auto"/>
        <w:jc w:val="both"/>
        <w:rPr>
          <w:rFonts w:ascii="Arial" w:hAnsi="Arial" w:cs="Arial"/>
          <w:sz w:val="20"/>
          <w:szCs w:val="20"/>
        </w:rPr>
      </w:pPr>
      <w:r>
        <w:rPr>
          <w:rFonts w:ascii="Arial" w:hAnsi="Arial" w:cs="Arial"/>
          <w:sz w:val="20"/>
          <w:szCs w:val="20"/>
        </w:rPr>
        <w:t>“</w:t>
      </w:r>
      <w:r w:rsidR="00456545" w:rsidRPr="00BF1D56">
        <w:rPr>
          <w:rFonts w:ascii="Arial" w:hAnsi="Arial" w:cs="Arial"/>
          <w:sz w:val="20"/>
          <w:szCs w:val="20"/>
        </w:rPr>
        <w:t>In Nigeria, road transport dominates as the principal means of moving goods and people across the country and contributes significantly to the nation's GDP (2.7 %) among other sub-sectors. It is dominated by gasoline and diesel-powered internal combustion engines (ICE). Passenger transport constitutes the majority of road transport and is replete with privately owned cars of which and light commercial vehicles. The modal transport choice makes cars the highest GHG emitter and the target for de</w:t>
      </w:r>
      <w:r w:rsidR="007B4C6A" w:rsidRPr="00BF1D56">
        <w:rPr>
          <w:rFonts w:ascii="Arial" w:hAnsi="Arial" w:cs="Arial"/>
          <w:sz w:val="20"/>
          <w:szCs w:val="20"/>
        </w:rPr>
        <w:t>-</w:t>
      </w:r>
      <w:r w:rsidR="00456545" w:rsidRPr="00BF1D56">
        <w:rPr>
          <w:rFonts w:ascii="Arial" w:hAnsi="Arial" w:cs="Arial"/>
          <w:sz w:val="20"/>
          <w:szCs w:val="20"/>
        </w:rPr>
        <w:t>carbonisation. In 2018, the number of road vehicles consisted of commercial (57.70 %), private (40.98 %), and Government and diplomatic (1.32 %) vehicles</w:t>
      </w:r>
      <w:r>
        <w:rPr>
          <w:rFonts w:ascii="Arial" w:hAnsi="Arial" w:cs="Arial"/>
          <w:sz w:val="20"/>
          <w:szCs w:val="20"/>
        </w:rPr>
        <w:t>”</w:t>
      </w:r>
      <w:r w:rsidR="00456545" w:rsidRPr="00BF1D56">
        <w:rPr>
          <w:rFonts w:ascii="Arial" w:hAnsi="Arial" w:cs="Arial"/>
          <w:sz w:val="20"/>
          <w:szCs w:val="20"/>
        </w:rPr>
        <w:t xml:space="preserve"> (Akujor., 2022).</w:t>
      </w:r>
    </w:p>
    <w:p w14:paraId="34CC08D9" w14:textId="77777777" w:rsidR="00252C98" w:rsidRPr="00BF1D56" w:rsidRDefault="00252C98"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hAnsi="Arial" w:cs="Arial"/>
          <w:sz w:val="20"/>
          <w:szCs w:val="20"/>
        </w:rPr>
        <w:t xml:space="preserve">As the world moves toward a low-carbon future, understanding and embracing cleaner transportation technologies will be essential for nations seeking to balance economic development with environmental responsibility. </w:t>
      </w:r>
      <w:r w:rsidRPr="00BF1D56">
        <w:rPr>
          <w:rFonts w:ascii="Arial" w:eastAsia="Calibri" w:hAnsi="Arial" w:cs="Arial"/>
          <w:kern w:val="2"/>
          <w:sz w:val="20"/>
          <w:szCs w:val="20"/>
          <w:lang w:val="en-GB"/>
          <w14:ligatures w14:val="standardContextual"/>
        </w:rPr>
        <w:t xml:space="preserve">Despite growing awareness of climate change impacts and Nigeria’s commitment to the Paris Agreement, the country’s transport emissions continue to rise. The absence of significant penetration of EVs and HEVs in the Nigerian automobile market highlights a critical gap in policy, infrastructure, and public adoption. </w:t>
      </w:r>
    </w:p>
    <w:p w14:paraId="7F4EF539" w14:textId="77777777" w:rsidR="002F11C2" w:rsidRDefault="002F11C2" w:rsidP="002F11C2">
      <w:pPr>
        <w:widowControl/>
        <w:autoSpaceDE/>
        <w:autoSpaceDN/>
        <w:spacing w:line="276" w:lineRule="auto"/>
        <w:jc w:val="both"/>
        <w:rPr>
          <w:rFonts w:ascii="Arial" w:hAnsi="Arial" w:cs="Arial"/>
          <w:sz w:val="20"/>
          <w:szCs w:val="20"/>
        </w:rPr>
      </w:pPr>
    </w:p>
    <w:p w14:paraId="66B2C3D3" w14:textId="342B61AD" w:rsidR="00156C40" w:rsidRPr="00BF1D56" w:rsidRDefault="0099084C"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hAnsi="Arial" w:cs="Arial"/>
          <w:sz w:val="20"/>
          <w:szCs w:val="20"/>
        </w:rPr>
        <w:t xml:space="preserve">This paper explores the role of electric and hybrid vehicles as sustainable transportation options that contribute to emission reduction. It examines the environmental, economic, and technological implications of adopting these vehicles, with a specific focus on Nigeria. It also evaluates global best practices and how they can inform local policies and infrastructure development. </w:t>
      </w:r>
    </w:p>
    <w:p w14:paraId="2DD18D3D" w14:textId="77777777" w:rsidR="002F11C2" w:rsidRDefault="002F11C2" w:rsidP="002F11C2">
      <w:pPr>
        <w:widowControl/>
        <w:autoSpaceDE/>
        <w:autoSpaceDN/>
        <w:spacing w:line="276" w:lineRule="auto"/>
        <w:jc w:val="both"/>
        <w:rPr>
          <w:rFonts w:ascii="Arial" w:eastAsia="Calibri" w:hAnsi="Arial" w:cs="Arial"/>
          <w:kern w:val="2"/>
          <w:sz w:val="20"/>
          <w:szCs w:val="20"/>
          <w:lang w:val="en-GB"/>
          <w14:ligatures w14:val="standardContextual"/>
        </w:rPr>
      </w:pPr>
    </w:p>
    <w:p w14:paraId="430F38E9" w14:textId="13228193" w:rsidR="00252C98" w:rsidRPr="00BF1D56" w:rsidRDefault="00B9343A"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 xml:space="preserve">The </w:t>
      </w:r>
      <w:r w:rsidR="00156C40" w:rsidRPr="00BF1D56">
        <w:rPr>
          <w:rFonts w:ascii="Arial" w:eastAsia="Calibri" w:hAnsi="Arial" w:cs="Arial"/>
          <w:kern w:val="2"/>
          <w:sz w:val="20"/>
          <w:szCs w:val="20"/>
          <w:lang w:val="en-GB"/>
          <w14:ligatures w14:val="standardContextual"/>
        </w:rPr>
        <w:t xml:space="preserve">main </w:t>
      </w:r>
      <w:r w:rsidRPr="00BF1D56">
        <w:rPr>
          <w:rFonts w:ascii="Arial" w:eastAsia="Calibri" w:hAnsi="Arial" w:cs="Arial"/>
          <w:kern w:val="2"/>
          <w:sz w:val="20"/>
          <w:szCs w:val="20"/>
          <w:lang w:val="en-GB"/>
          <w14:ligatures w14:val="standardContextual"/>
        </w:rPr>
        <w:t>objective of this paper is t</w:t>
      </w:r>
      <w:r w:rsidR="0099084C" w:rsidRPr="00BF1D56">
        <w:rPr>
          <w:rFonts w:ascii="Arial" w:eastAsia="Calibri" w:hAnsi="Arial" w:cs="Arial"/>
          <w:kern w:val="2"/>
          <w:sz w:val="20"/>
          <w:szCs w:val="20"/>
          <w:lang w:val="en-GB"/>
          <w14:ligatures w14:val="standardContextual"/>
        </w:rPr>
        <w:t>o examine the current state of transport-related emissions in Nigeria</w:t>
      </w:r>
      <w:r w:rsidR="00156C40" w:rsidRPr="00BF1D56">
        <w:rPr>
          <w:rFonts w:ascii="Arial" w:eastAsia="Calibri" w:hAnsi="Arial" w:cs="Arial"/>
          <w:kern w:val="2"/>
          <w:sz w:val="20"/>
          <w:szCs w:val="20"/>
          <w:lang w:val="en-GB"/>
          <w14:ligatures w14:val="standardContextual"/>
        </w:rPr>
        <w:t xml:space="preserve"> and to</w:t>
      </w:r>
      <w:r w:rsidR="0099084C" w:rsidRPr="00BF1D56">
        <w:rPr>
          <w:rFonts w:ascii="Arial" w:eastAsia="Calibri" w:hAnsi="Arial" w:cs="Arial"/>
          <w:kern w:val="2"/>
          <w:sz w:val="20"/>
          <w:szCs w:val="20"/>
          <w:lang w:val="en-GB"/>
          <w14:ligatures w14:val="standardContextual"/>
        </w:rPr>
        <w:t xml:space="preserve"> assess the potential of EVs and HEVs as sustainable transportation options. </w:t>
      </w:r>
      <w:r w:rsidR="00156C40" w:rsidRPr="00BF1D56">
        <w:rPr>
          <w:rFonts w:ascii="Arial" w:eastAsia="Calibri" w:hAnsi="Arial" w:cs="Arial"/>
          <w:kern w:val="2"/>
          <w:sz w:val="20"/>
          <w:szCs w:val="20"/>
          <w:lang w:val="en-GB"/>
          <w14:ligatures w14:val="standardContextual"/>
        </w:rPr>
        <w:t xml:space="preserve">The paper will also </w:t>
      </w:r>
      <w:r w:rsidR="0099084C" w:rsidRPr="00BF1D56">
        <w:rPr>
          <w:rFonts w:ascii="Arial" w:eastAsia="Calibri" w:hAnsi="Arial" w:cs="Arial"/>
          <w:kern w:val="2"/>
          <w:sz w:val="20"/>
          <w:szCs w:val="20"/>
          <w:lang w:val="en-GB"/>
          <w14:ligatures w14:val="standardContextual"/>
        </w:rPr>
        <w:t>identify barriers and drivers influencing the adoption of EVs and HEVs in Nigeria</w:t>
      </w:r>
      <w:r w:rsidR="00156C40" w:rsidRPr="00BF1D56">
        <w:rPr>
          <w:rFonts w:ascii="Arial" w:eastAsia="Calibri" w:hAnsi="Arial" w:cs="Arial"/>
          <w:kern w:val="2"/>
          <w:sz w:val="20"/>
          <w:szCs w:val="20"/>
          <w:lang w:val="en-GB"/>
          <w14:ligatures w14:val="standardContextual"/>
        </w:rPr>
        <w:t xml:space="preserve"> towards developing </w:t>
      </w:r>
      <w:r w:rsidR="0099084C" w:rsidRPr="00BF1D56">
        <w:rPr>
          <w:rFonts w:ascii="Arial" w:eastAsia="Calibri" w:hAnsi="Arial" w:cs="Arial"/>
          <w:kern w:val="2"/>
          <w:sz w:val="20"/>
          <w:szCs w:val="20"/>
          <w:lang w:val="en-GB"/>
          <w14:ligatures w14:val="standardContextual"/>
        </w:rPr>
        <w:t xml:space="preserve">a policy-relevant framework/model for promoting sustainable vehicle adoption in Nigeria. </w:t>
      </w:r>
    </w:p>
    <w:p w14:paraId="397B05CC" w14:textId="127C3BCF" w:rsidR="0099084C" w:rsidRPr="00BF1D56" w:rsidRDefault="00B9343A" w:rsidP="002F11C2">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 xml:space="preserve">The paper will </w:t>
      </w:r>
      <w:r w:rsidR="00725CB2" w:rsidRPr="00BF1D56">
        <w:rPr>
          <w:rFonts w:ascii="Arial" w:eastAsia="Calibri" w:hAnsi="Arial" w:cs="Arial"/>
          <w:kern w:val="2"/>
          <w:sz w:val="20"/>
          <w:szCs w:val="20"/>
          <w:lang w:val="en-GB"/>
          <w14:ligatures w14:val="standardContextual"/>
        </w:rPr>
        <w:t>a</w:t>
      </w:r>
      <w:r w:rsidRPr="00BF1D56">
        <w:rPr>
          <w:rFonts w:ascii="Arial" w:eastAsia="Calibri" w:hAnsi="Arial" w:cs="Arial"/>
          <w:kern w:val="2"/>
          <w:sz w:val="20"/>
          <w:szCs w:val="20"/>
          <w:lang w:val="en-GB"/>
          <w14:ligatures w14:val="standardContextual"/>
        </w:rPr>
        <w:t xml:space="preserve">ttempt to provide answers to the following questions: </w:t>
      </w:r>
      <w:r w:rsidR="0099084C" w:rsidRPr="00BF1D56">
        <w:rPr>
          <w:rFonts w:ascii="Arial" w:eastAsia="Calibri" w:hAnsi="Arial" w:cs="Arial"/>
          <w:kern w:val="2"/>
          <w:sz w:val="20"/>
          <w:szCs w:val="20"/>
          <w:lang w:val="en-GB"/>
          <w14:ligatures w14:val="standardContextual"/>
        </w:rPr>
        <w:t xml:space="preserve">What is the extent of emissions from Nigeria’s transportation sector? How can electric and hybrid vehicles contribute to emission reduction? What are the </w:t>
      </w:r>
      <w:r w:rsidR="0099084C" w:rsidRPr="00BF1D56">
        <w:rPr>
          <w:rFonts w:ascii="Arial" w:eastAsia="Calibri" w:hAnsi="Arial" w:cs="Arial"/>
          <w:kern w:val="2"/>
          <w:sz w:val="20"/>
          <w:szCs w:val="20"/>
          <w:lang w:val="en-GB"/>
          <w14:ligatures w14:val="standardContextual"/>
        </w:rPr>
        <w:lastRenderedPageBreak/>
        <w:t>infrastructural and policy barriers to their adoption in Nigeria? What model or framework can guide Nigeria’s transition toward green mobility? This study will provide empirical insights for policymakers, urban planners, and environmental agencies on decarbonizing the transportation sector in Nigeria</w:t>
      </w:r>
      <w:r w:rsidR="00725CB2" w:rsidRPr="00BF1D56">
        <w:rPr>
          <w:rFonts w:ascii="Arial" w:eastAsia="Calibri" w:hAnsi="Arial" w:cs="Arial"/>
          <w:kern w:val="2"/>
          <w:sz w:val="20"/>
          <w:szCs w:val="20"/>
          <w:lang w:val="en-GB"/>
          <w14:ligatures w14:val="standardContextual"/>
        </w:rPr>
        <w:t xml:space="preserve">, thereby contributing </w:t>
      </w:r>
      <w:r w:rsidR="0099084C" w:rsidRPr="00BF1D56">
        <w:rPr>
          <w:rFonts w:ascii="Arial" w:eastAsia="Calibri" w:hAnsi="Arial" w:cs="Arial"/>
          <w:kern w:val="2"/>
          <w:sz w:val="20"/>
          <w:szCs w:val="20"/>
          <w:lang w:val="en-GB"/>
          <w14:ligatures w14:val="standardContextual"/>
        </w:rPr>
        <w:t>to the discourse on sustainable development and green innovation.</w:t>
      </w:r>
    </w:p>
    <w:p w14:paraId="17562D10" w14:textId="77777777" w:rsidR="002F11C2" w:rsidRDefault="002F11C2" w:rsidP="00B8029E">
      <w:pPr>
        <w:widowControl/>
        <w:autoSpaceDE/>
        <w:autoSpaceDN/>
        <w:spacing w:after="160" w:line="360" w:lineRule="auto"/>
        <w:jc w:val="both"/>
        <w:rPr>
          <w:rFonts w:ascii="Arial" w:eastAsia="Calibri" w:hAnsi="Arial" w:cs="Arial"/>
          <w:b/>
          <w:bCs/>
          <w:kern w:val="2"/>
          <w:sz w:val="20"/>
          <w:szCs w:val="20"/>
          <w:lang w:val="en-GB"/>
          <w14:ligatures w14:val="standardContextual"/>
        </w:rPr>
      </w:pPr>
    </w:p>
    <w:p w14:paraId="06B7FD28" w14:textId="677B25B3" w:rsidR="00F727DD" w:rsidRPr="005C18B4" w:rsidRDefault="005C18B4" w:rsidP="00B8029E">
      <w:pPr>
        <w:widowControl/>
        <w:autoSpaceDE/>
        <w:autoSpaceDN/>
        <w:spacing w:after="160" w:line="360" w:lineRule="auto"/>
        <w:jc w:val="both"/>
        <w:rPr>
          <w:rFonts w:ascii="Arial" w:eastAsia="Calibri" w:hAnsi="Arial" w:cs="Arial"/>
          <w:b/>
          <w:bCs/>
          <w:kern w:val="2"/>
          <w:lang w:val="en-GB"/>
          <w14:ligatures w14:val="standardContextual"/>
        </w:rPr>
      </w:pPr>
      <w:r w:rsidRPr="005C18B4">
        <w:rPr>
          <w:rFonts w:ascii="Arial" w:eastAsia="Calibri" w:hAnsi="Arial" w:cs="Arial"/>
          <w:b/>
          <w:bCs/>
          <w:kern w:val="2"/>
          <w:lang w:val="en-GB"/>
          <w14:ligatures w14:val="standardContextual"/>
        </w:rPr>
        <w:t xml:space="preserve">2.0 LITERATURE REVIEW </w:t>
      </w:r>
    </w:p>
    <w:p w14:paraId="3F9A43FE" w14:textId="1E82C578" w:rsidR="0099084C" w:rsidRDefault="00F727DD"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 xml:space="preserve">2.1 </w:t>
      </w:r>
      <w:r w:rsidR="0099084C" w:rsidRPr="00BF1D56">
        <w:rPr>
          <w:rFonts w:ascii="Arial" w:eastAsia="Calibri" w:hAnsi="Arial" w:cs="Arial"/>
          <w:b/>
          <w:bCs/>
          <w:kern w:val="2"/>
          <w:sz w:val="20"/>
          <w:szCs w:val="20"/>
          <w:lang w:val="en-GB"/>
          <w14:ligatures w14:val="standardContextual"/>
        </w:rPr>
        <w:t xml:space="preserve">Conceptual </w:t>
      </w:r>
      <w:r w:rsidR="00B8029E" w:rsidRPr="00BF1D56">
        <w:rPr>
          <w:rFonts w:ascii="Arial" w:eastAsia="Calibri" w:hAnsi="Arial" w:cs="Arial"/>
          <w:b/>
          <w:bCs/>
          <w:kern w:val="2"/>
          <w:sz w:val="20"/>
          <w:szCs w:val="20"/>
          <w:lang w:val="en-GB"/>
          <w14:ligatures w14:val="standardContextual"/>
        </w:rPr>
        <w:t>Issues</w:t>
      </w:r>
    </w:p>
    <w:p w14:paraId="32ECD818" w14:textId="77777777" w:rsidR="005C18B4" w:rsidRPr="00BF1D56" w:rsidRDefault="005C18B4" w:rsidP="005C18B4">
      <w:pPr>
        <w:widowControl/>
        <w:autoSpaceDE/>
        <w:autoSpaceDN/>
        <w:spacing w:line="276" w:lineRule="auto"/>
        <w:jc w:val="both"/>
        <w:rPr>
          <w:rFonts w:ascii="Arial" w:hAnsi="Arial" w:cs="Arial"/>
          <w:strike/>
          <w:color w:val="EE0000"/>
          <w:sz w:val="20"/>
          <w:szCs w:val="20"/>
        </w:rPr>
      </w:pPr>
    </w:p>
    <w:p w14:paraId="6A1CB767" w14:textId="718A4EAC" w:rsidR="0099084C" w:rsidRDefault="0099084C"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Electric Vehicles (EVs)</w:t>
      </w:r>
    </w:p>
    <w:p w14:paraId="6AB4EAC5" w14:textId="531C77DC"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Powered entirely by electric motors and rechargeable batteries.</w:t>
      </w:r>
      <w:r w:rsidRPr="00BF1D56">
        <w:rPr>
          <w:rFonts w:ascii="Arial" w:hAnsi="Arial" w:cs="Arial"/>
          <w:b/>
          <w:bCs/>
          <w:sz w:val="20"/>
          <w:szCs w:val="20"/>
        </w:rPr>
        <w:t xml:space="preserve"> </w:t>
      </w:r>
      <w:r w:rsidR="00636520" w:rsidRPr="00BF1D56">
        <w:rPr>
          <w:rFonts w:ascii="Arial" w:hAnsi="Arial" w:cs="Arial"/>
          <w:sz w:val="20"/>
          <w:szCs w:val="20"/>
        </w:rPr>
        <w:t>K</w:t>
      </w:r>
      <w:r w:rsidRPr="00BF1D56">
        <w:rPr>
          <w:rFonts w:ascii="Arial" w:hAnsi="Arial" w:cs="Arial"/>
          <w:sz w:val="20"/>
          <w:szCs w:val="20"/>
        </w:rPr>
        <w:t>ey</w:t>
      </w:r>
      <w:r w:rsidRPr="00BF1D56">
        <w:rPr>
          <w:rFonts w:ascii="Arial" w:hAnsi="Arial" w:cs="Arial"/>
          <w:color w:val="EE0000"/>
          <w:sz w:val="20"/>
          <w:szCs w:val="20"/>
        </w:rPr>
        <w:t xml:space="preserve"> </w:t>
      </w:r>
      <w:r w:rsidRPr="00BF1D56">
        <w:rPr>
          <w:rFonts w:ascii="Arial" w:hAnsi="Arial" w:cs="Arial"/>
          <w:sz w:val="20"/>
          <w:szCs w:val="20"/>
        </w:rPr>
        <w:t>features of electric vehicles</w:t>
      </w:r>
      <w:r w:rsidR="00254147" w:rsidRPr="00BF1D56">
        <w:rPr>
          <w:rFonts w:ascii="Arial" w:hAnsi="Arial" w:cs="Arial"/>
          <w:sz w:val="20"/>
          <w:szCs w:val="20"/>
        </w:rPr>
        <w:t xml:space="preserve"> include</w:t>
      </w:r>
      <w:r w:rsidRPr="00BF1D56">
        <w:rPr>
          <w:rFonts w:ascii="Arial" w:hAnsi="Arial" w:cs="Arial"/>
          <w:sz w:val="20"/>
          <w:szCs w:val="20"/>
        </w:rPr>
        <w:t xml:space="preserve"> Zero tailpipe emissions (for BEVs), lower operating costs (less fuel and maintenance), quiet and smooth driving experience. rechargeable batteries (lithium-ion is common).</w:t>
      </w:r>
      <w:r w:rsidRPr="00BF1D56">
        <w:rPr>
          <w:rFonts w:ascii="Arial" w:eastAsia="Calibri" w:hAnsi="Arial" w:cs="Arial"/>
          <w:kern w:val="2"/>
          <w:sz w:val="20"/>
          <w:szCs w:val="20"/>
          <w:lang w:val="en-GB"/>
          <w14:ligatures w14:val="standardContextual"/>
        </w:rPr>
        <w:t xml:space="preserve"> EVs emit no tailpipe pollutants and offer high energy efficiency. Examples </w:t>
      </w:r>
      <w:r w:rsidR="00254147" w:rsidRPr="00BF1D56">
        <w:rPr>
          <w:rFonts w:ascii="Arial" w:eastAsia="Calibri" w:hAnsi="Arial" w:cs="Arial"/>
          <w:kern w:val="2"/>
          <w:sz w:val="20"/>
          <w:szCs w:val="20"/>
          <w:lang w:val="en-GB"/>
          <w14:ligatures w14:val="standardContextual"/>
        </w:rPr>
        <w:t xml:space="preserve">of EVs </w:t>
      </w:r>
      <w:r w:rsidRPr="00BF1D56">
        <w:rPr>
          <w:rFonts w:ascii="Arial" w:eastAsia="Calibri" w:hAnsi="Arial" w:cs="Arial"/>
          <w:kern w:val="2"/>
          <w:sz w:val="20"/>
          <w:szCs w:val="20"/>
          <w:lang w:val="en-GB"/>
          <w14:ligatures w14:val="standardContextual"/>
        </w:rPr>
        <w:t>include battery electric vehicles (BEVs) such as the Tesla Model 3 and Nissan Leaf. Battery electric vehicles (BEVs) are</w:t>
      </w:r>
      <w:r w:rsidR="00B9343A" w:rsidRPr="00BF1D56">
        <w:rPr>
          <w:rFonts w:ascii="Arial" w:eastAsia="Calibri" w:hAnsi="Arial" w:cs="Arial"/>
          <w:kern w:val="2"/>
          <w:sz w:val="20"/>
          <w:szCs w:val="20"/>
          <w:lang w:val="en-GB"/>
          <w14:ligatures w14:val="standardContextual"/>
        </w:rPr>
        <w:t xml:space="preserve"> </w:t>
      </w:r>
      <w:r w:rsidR="00254147" w:rsidRPr="00BF1D56">
        <w:rPr>
          <w:rFonts w:ascii="Arial" w:hAnsi="Arial" w:cs="Arial"/>
          <w:sz w:val="20"/>
          <w:szCs w:val="20"/>
        </w:rPr>
        <w:t>powered</w:t>
      </w:r>
      <w:r w:rsidRPr="00BF1D56">
        <w:rPr>
          <w:rFonts w:ascii="Arial" w:hAnsi="Arial" w:cs="Arial"/>
          <w:sz w:val="20"/>
          <w:szCs w:val="20"/>
        </w:rPr>
        <w:t xml:space="preserve"> entirely by electricity stored in batteries, </w:t>
      </w:r>
      <w:r w:rsidR="00254147" w:rsidRPr="00BF1D56">
        <w:rPr>
          <w:rFonts w:ascii="Arial" w:hAnsi="Arial" w:cs="Arial"/>
          <w:sz w:val="20"/>
          <w:szCs w:val="20"/>
        </w:rPr>
        <w:t xml:space="preserve">with </w:t>
      </w:r>
      <w:r w:rsidRPr="00BF1D56">
        <w:rPr>
          <w:rFonts w:ascii="Arial" w:hAnsi="Arial" w:cs="Arial"/>
          <w:sz w:val="20"/>
          <w:szCs w:val="20"/>
        </w:rPr>
        <w:t xml:space="preserve">no petrol or diesel engine, </w:t>
      </w:r>
      <w:r w:rsidR="00254147" w:rsidRPr="00BF1D56">
        <w:rPr>
          <w:rFonts w:ascii="Arial" w:hAnsi="Arial" w:cs="Arial"/>
          <w:sz w:val="20"/>
          <w:szCs w:val="20"/>
        </w:rPr>
        <w:t xml:space="preserve">and they </w:t>
      </w:r>
      <w:r w:rsidRPr="00BF1D56">
        <w:rPr>
          <w:rFonts w:ascii="Arial" w:hAnsi="Arial" w:cs="Arial"/>
          <w:sz w:val="20"/>
          <w:szCs w:val="20"/>
        </w:rPr>
        <w:t>must be plugged in</w:t>
      </w:r>
      <w:r w:rsidR="00254147" w:rsidRPr="00BF1D56">
        <w:rPr>
          <w:rFonts w:ascii="Arial" w:hAnsi="Arial" w:cs="Arial"/>
          <w:sz w:val="20"/>
          <w:szCs w:val="20"/>
        </w:rPr>
        <w:t>to electric sources</w:t>
      </w:r>
      <w:r w:rsidRPr="00BF1D56">
        <w:rPr>
          <w:rFonts w:ascii="Arial" w:hAnsi="Arial" w:cs="Arial"/>
          <w:sz w:val="20"/>
          <w:szCs w:val="20"/>
        </w:rPr>
        <w:t xml:space="preserve"> to charge. </w:t>
      </w:r>
      <w:r w:rsidRPr="00BF1D56">
        <w:rPr>
          <w:rFonts w:ascii="Arial" w:eastAsia="Calibri" w:hAnsi="Arial" w:cs="Arial"/>
          <w:kern w:val="2"/>
          <w:sz w:val="20"/>
          <w:szCs w:val="20"/>
          <w:lang w:val="en-GB"/>
          <w14:ligatures w14:val="standardContextual"/>
        </w:rPr>
        <w:t>Electric Vehicles (EVs) and Hybrid Electric Vehicles (HEVs) have emerged as viable solutions for decarboni</w:t>
      </w:r>
      <w:r w:rsidR="00254147" w:rsidRPr="00BF1D56">
        <w:rPr>
          <w:rFonts w:ascii="Arial" w:eastAsia="Calibri" w:hAnsi="Arial" w:cs="Arial"/>
          <w:kern w:val="2"/>
          <w:sz w:val="20"/>
          <w:szCs w:val="20"/>
          <w:lang w:val="en-GB"/>
          <w14:ligatures w14:val="standardContextual"/>
        </w:rPr>
        <w:t>s</w:t>
      </w:r>
      <w:r w:rsidRPr="00BF1D56">
        <w:rPr>
          <w:rFonts w:ascii="Arial" w:eastAsia="Calibri" w:hAnsi="Arial" w:cs="Arial"/>
          <w:kern w:val="2"/>
          <w:sz w:val="20"/>
          <w:szCs w:val="20"/>
          <w:lang w:val="en-GB"/>
          <w14:ligatures w14:val="standardContextual"/>
        </w:rPr>
        <w:t>ing the transportation sector globally. Their adoption is part of a broader commitment to sustainable development and achieving net-zero emissions by 2050. However, Nigeria lags behind in this transition, primarily due to infrastructural, policy, and economic barriers.</w:t>
      </w:r>
    </w:p>
    <w:p w14:paraId="41115963" w14:textId="77777777" w:rsidR="005C18B4" w:rsidRDefault="005C18B4" w:rsidP="005C18B4">
      <w:pPr>
        <w:widowControl/>
        <w:autoSpaceDE/>
        <w:autoSpaceDN/>
        <w:spacing w:line="276" w:lineRule="auto"/>
        <w:jc w:val="both"/>
        <w:rPr>
          <w:rFonts w:ascii="Arial" w:eastAsia="Calibri" w:hAnsi="Arial" w:cs="Arial"/>
          <w:b/>
          <w:bCs/>
          <w:kern w:val="2"/>
          <w:sz w:val="20"/>
          <w:szCs w:val="20"/>
          <w:lang w:val="en-GB"/>
          <w14:ligatures w14:val="standardContextual"/>
        </w:rPr>
      </w:pPr>
    </w:p>
    <w:p w14:paraId="399F672D" w14:textId="2D08AE3E" w:rsidR="0099084C" w:rsidRPr="00BF1D56" w:rsidRDefault="0099084C"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Hybrid Electric Vehicles (HEVs)</w:t>
      </w:r>
    </w:p>
    <w:p w14:paraId="3345FA7F" w14:textId="4FB183FB" w:rsidR="0099084C" w:rsidRPr="00BF1D56" w:rsidRDefault="0099084C" w:rsidP="005C18B4">
      <w:pPr>
        <w:widowControl/>
        <w:autoSpaceDE/>
        <w:autoSpaceDN/>
        <w:spacing w:line="276" w:lineRule="auto"/>
        <w:jc w:val="both"/>
        <w:rPr>
          <w:rFonts w:ascii="Arial" w:hAnsi="Arial" w:cs="Arial"/>
          <w:sz w:val="20"/>
          <w:szCs w:val="20"/>
        </w:rPr>
      </w:pPr>
      <w:r w:rsidRPr="00BF1D56">
        <w:rPr>
          <w:rFonts w:ascii="Arial" w:eastAsia="Calibri" w:hAnsi="Arial" w:cs="Arial"/>
          <w:kern w:val="2"/>
          <w:sz w:val="20"/>
          <w:szCs w:val="20"/>
          <w:lang w:val="en-GB"/>
          <w14:ligatures w14:val="standardContextual"/>
        </w:rPr>
        <w:t>HEVs combine an internal combustion engine with an electric propulsion system. Unlike EVs, they do not require external charging; instead, they recharge their batteries through regenerative braking and the Internal Combustion Engine (ICE).</w:t>
      </w:r>
      <w:r w:rsidRPr="00BF1D56">
        <w:rPr>
          <w:rFonts w:ascii="Arial" w:hAnsi="Arial" w:cs="Arial"/>
          <w:b/>
          <w:bCs/>
          <w:sz w:val="20"/>
          <w:szCs w:val="20"/>
        </w:rPr>
        <w:t xml:space="preserve"> </w:t>
      </w:r>
      <w:r w:rsidRPr="00BF1D56">
        <w:rPr>
          <w:rFonts w:ascii="Arial" w:hAnsi="Arial" w:cs="Arial"/>
          <w:sz w:val="20"/>
          <w:szCs w:val="20"/>
        </w:rPr>
        <w:t xml:space="preserve">Hybrid Electric Vehicles (HEVs) </w:t>
      </w:r>
      <w:r w:rsidR="00254147" w:rsidRPr="00BF1D56">
        <w:rPr>
          <w:rFonts w:ascii="Arial" w:hAnsi="Arial" w:cs="Arial"/>
          <w:sz w:val="20"/>
          <w:szCs w:val="20"/>
        </w:rPr>
        <w:t>u</w:t>
      </w:r>
      <w:r w:rsidRPr="00BF1D56">
        <w:rPr>
          <w:rFonts w:ascii="Arial" w:hAnsi="Arial" w:cs="Arial"/>
          <w:sz w:val="20"/>
          <w:szCs w:val="20"/>
        </w:rPr>
        <w:t>se both an electric motor and a petrol/diesel engine. The battery is charged by the engine and regenerative braking, not by plugging in. Examples</w:t>
      </w:r>
      <w:r w:rsidR="00254147" w:rsidRPr="00BF1D56">
        <w:rPr>
          <w:rFonts w:ascii="Arial" w:hAnsi="Arial" w:cs="Arial"/>
          <w:sz w:val="20"/>
          <w:szCs w:val="20"/>
        </w:rPr>
        <w:t xml:space="preserve"> include</w:t>
      </w:r>
      <w:r w:rsidRPr="00BF1D56">
        <w:rPr>
          <w:rFonts w:ascii="Arial" w:hAnsi="Arial" w:cs="Arial"/>
          <w:sz w:val="20"/>
          <w:szCs w:val="20"/>
        </w:rPr>
        <w:t xml:space="preserve"> Toyota Prius, Honda Insight.</w:t>
      </w:r>
    </w:p>
    <w:p w14:paraId="5EFAC850" w14:textId="77777777" w:rsidR="005C18B4" w:rsidRDefault="005C18B4" w:rsidP="005C18B4">
      <w:pPr>
        <w:widowControl/>
        <w:autoSpaceDE/>
        <w:autoSpaceDN/>
        <w:spacing w:line="276" w:lineRule="auto"/>
        <w:jc w:val="both"/>
        <w:rPr>
          <w:rFonts w:ascii="Arial" w:hAnsi="Arial" w:cs="Arial"/>
          <w:b/>
          <w:bCs/>
          <w:sz w:val="20"/>
          <w:szCs w:val="20"/>
        </w:rPr>
      </w:pPr>
    </w:p>
    <w:p w14:paraId="1EA7A91D" w14:textId="519F1523" w:rsidR="0099084C" w:rsidRPr="00BF1D56" w:rsidRDefault="0099084C" w:rsidP="005C18B4">
      <w:pPr>
        <w:widowControl/>
        <w:autoSpaceDE/>
        <w:autoSpaceDN/>
        <w:spacing w:line="276" w:lineRule="auto"/>
        <w:jc w:val="both"/>
        <w:rPr>
          <w:rFonts w:ascii="Arial" w:hAnsi="Arial" w:cs="Arial"/>
          <w:sz w:val="20"/>
          <w:szCs w:val="20"/>
        </w:rPr>
      </w:pPr>
      <w:r w:rsidRPr="00BF1D56">
        <w:rPr>
          <w:rFonts w:ascii="Arial" w:hAnsi="Arial" w:cs="Arial"/>
          <w:b/>
          <w:bCs/>
          <w:sz w:val="20"/>
          <w:szCs w:val="20"/>
        </w:rPr>
        <w:t>Plug-in Hybrid Electric Vehicles (PHEVs)</w:t>
      </w:r>
    </w:p>
    <w:p w14:paraId="210F823F" w14:textId="77777777"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hAnsi="Arial" w:cs="Arial"/>
          <w:sz w:val="20"/>
          <w:szCs w:val="20"/>
        </w:rPr>
        <w:t xml:space="preserve">This combines an electric motor with a petrol/diesel engine. It can run on electricity alone for short distances and rechargeable by plugging in and also using the engine. Examples: Toyota Prius Prime, Mitsubishi Outlander PHEV. </w:t>
      </w:r>
      <w:r w:rsidRPr="00BF1D56">
        <w:rPr>
          <w:rFonts w:ascii="Arial" w:eastAsia="Calibri" w:hAnsi="Arial" w:cs="Arial"/>
          <w:kern w:val="2"/>
          <w:sz w:val="20"/>
          <w:szCs w:val="20"/>
          <w:lang w:val="en-GB"/>
          <w14:ligatures w14:val="standardContextual"/>
        </w:rPr>
        <w:t>Plug-in Hybrid Electric Vehicles (PHEVs) offer a hybrid configuration with the added benefit of external battery charging. They can operate in all-electric mode for shorter distances and switch to gasoline engines for extended range.</w:t>
      </w:r>
    </w:p>
    <w:p w14:paraId="16CF8FD4" w14:textId="77777777" w:rsidR="005C18B4" w:rsidRDefault="005C18B4" w:rsidP="005C18B4">
      <w:pPr>
        <w:widowControl/>
        <w:autoSpaceDE/>
        <w:autoSpaceDN/>
        <w:spacing w:line="276" w:lineRule="auto"/>
        <w:jc w:val="both"/>
        <w:rPr>
          <w:rFonts w:ascii="Arial" w:eastAsia="Calibri" w:hAnsi="Arial" w:cs="Arial"/>
          <w:b/>
          <w:bCs/>
          <w:kern w:val="2"/>
          <w:sz w:val="20"/>
          <w:szCs w:val="20"/>
          <w:lang w:val="en-GB"/>
          <w14:ligatures w14:val="standardContextual"/>
        </w:rPr>
      </w:pPr>
    </w:p>
    <w:p w14:paraId="59ED914E" w14:textId="55E394C8" w:rsidR="00D77D42" w:rsidRPr="00BF1D56" w:rsidRDefault="00D77D42"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Emission</w:t>
      </w:r>
    </w:p>
    <w:p w14:paraId="09EC49B0" w14:textId="77777777" w:rsidR="00D77D42" w:rsidRPr="00BF1D56" w:rsidRDefault="00D77D42" w:rsidP="005C18B4">
      <w:pPr>
        <w:widowControl/>
        <w:autoSpaceDE/>
        <w:autoSpaceDN/>
        <w:spacing w:line="276" w:lineRule="auto"/>
        <w:jc w:val="both"/>
        <w:rPr>
          <w:rFonts w:ascii="Arial" w:hAnsi="Arial" w:cs="Arial"/>
          <w:sz w:val="20"/>
          <w:szCs w:val="20"/>
        </w:rPr>
      </w:pPr>
      <w:r w:rsidRPr="00BF1D56">
        <w:rPr>
          <w:rFonts w:ascii="Arial" w:hAnsi="Arial" w:cs="Arial"/>
          <w:sz w:val="20"/>
          <w:szCs w:val="20"/>
        </w:rPr>
        <w:t>Emission refers to the release or discharge of substances typically gases, particles, or energy into the environment, particularly into the atmosphere. In environmental and energy research, emissions often denote the output of greenhouse gases (GHGs) and air pollutants resulting from anthropogenic activities such as transportation, industrial processes, energy production, and agricultural practices. According to the Intergovernmental Panel on Climate Change (IPCC), emissions are quantified in terms of the mass of specific pollutants released over time, such as carbon dioxide (CO</w:t>
      </w:r>
      <w:r w:rsidRPr="00BF1D56">
        <w:rPr>
          <w:rFonts w:ascii="Cambria Math" w:hAnsi="Cambria Math" w:cs="Cambria Math"/>
          <w:sz w:val="20"/>
          <w:szCs w:val="20"/>
        </w:rPr>
        <w:t>₂</w:t>
      </w:r>
      <w:r w:rsidRPr="00BF1D56">
        <w:rPr>
          <w:rFonts w:ascii="Arial" w:hAnsi="Arial" w:cs="Arial"/>
          <w:sz w:val="20"/>
          <w:szCs w:val="20"/>
        </w:rPr>
        <w:t>), methane (CH</w:t>
      </w:r>
      <w:r w:rsidRPr="00BF1D56">
        <w:rPr>
          <w:rFonts w:ascii="Cambria Math" w:hAnsi="Cambria Math" w:cs="Cambria Math"/>
          <w:sz w:val="20"/>
          <w:szCs w:val="20"/>
        </w:rPr>
        <w:t>₄</w:t>
      </w:r>
      <w:r w:rsidRPr="00BF1D56">
        <w:rPr>
          <w:rFonts w:ascii="Arial" w:hAnsi="Arial" w:cs="Arial"/>
          <w:sz w:val="20"/>
          <w:szCs w:val="20"/>
        </w:rPr>
        <w:t>), and nitrous oxide (N</w:t>
      </w:r>
      <w:r w:rsidRPr="00BF1D56">
        <w:rPr>
          <w:rFonts w:ascii="Cambria Math" w:hAnsi="Cambria Math" w:cs="Cambria Math"/>
          <w:sz w:val="20"/>
          <w:szCs w:val="20"/>
        </w:rPr>
        <w:t>₂</w:t>
      </w:r>
      <w:r w:rsidRPr="00BF1D56">
        <w:rPr>
          <w:rFonts w:ascii="Arial" w:hAnsi="Arial" w:cs="Arial"/>
          <w:sz w:val="20"/>
          <w:szCs w:val="20"/>
        </w:rPr>
        <w:t>O), all of which contribute significantly to global warming and climate change.</w:t>
      </w:r>
    </w:p>
    <w:p w14:paraId="6E33A951" w14:textId="77777777" w:rsidR="005C18B4" w:rsidRDefault="005C18B4" w:rsidP="005C18B4">
      <w:pPr>
        <w:widowControl/>
        <w:autoSpaceDE/>
        <w:autoSpaceDN/>
        <w:spacing w:line="276" w:lineRule="auto"/>
        <w:jc w:val="both"/>
        <w:rPr>
          <w:rFonts w:ascii="Arial" w:eastAsia="Calibri" w:hAnsi="Arial" w:cs="Arial"/>
          <w:b/>
          <w:bCs/>
          <w:kern w:val="2"/>
          <w:sz w:val="20"/>
          <w:szCs w:val="20"/>
          <w:lang w:val="en-GB"/>
          <w14:ligatures w14:val="standardContextual"/>
        </w:rPr>
      </w:pPr>
    </w:p>
    <w:p w14:paraId="6B047404" w14:textId="33CD8352"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2.</w:t>
      </w:r>
      <w:r w:rsidR="00C76745" w:rsidRPr="00BF1D56">
        <w:rPr>
          <w:rFonts w:ascii="Arial" w:eastAsia="Calibri" w:hAnsi="Arial" w:cs="Arial"/>
          <w:b/>
          <w:bCs/>
          <w:kern w:val="2"/>
          <w:sz w:val="20"/>
          <w:szCs w:val="20"/>
          <w:lang w:val="en-GB"/>
          <w14:ligatures w14:val="standardContextual"/>
        </w:rPr>
        <w:t>2</w:t>
      </w:r>
      <w:r w:rsidRPr="00BF1D56">
        <w:rPr>
          <w:rFonts w:ascii="Arial" w:eastAsia="Calibri" w:hAnsi="Arial" w:cs="Arial"/>
          <w:kern w:val="2"/>
          <w:sz w:val="20"/>
          <w:szCs w:val="20"/>
          <w:lang w:val="en-GB"/>
          <w14:ligatures w14:val="standardContextual"/>
        </w:rPr>
        <w:t xml:space="preserve"> </w:t>
      </w:r>
      <w:r w:rsidRPr="00BF1D56">
        <w:rPr>
          <w:rFonts w:ascii="Arial" w:eastAsia="Calibri" w:hAnsi="Arial" w:cs="Arial"/>
          <w:b/>
          <w:bCs/>
          <w:kern w:val="2"/>
          <w:sz w:val="20"/>
          <w:szCs w:val="20"/>
          <w:lang w:val="en-GB"/>
          <w14:ligatures w14:val="standardContextual"/>
        </w:rPr>
        <w:t>Empirical Review</w:t>
      </w:r>
      <w:r w:rsidRPr="00BF1D56">
        <w:rPr>
          <w:rFonts w:ascii="Arial" w:eastAsia="Calibri" w:hAnsi="Arial" w:cs="Arial"/>
          <w:kern w:val="2"/>
          <w:sz w:val="20"/>
          <w:szCs w:val="20"/>
          <w:lang w:val="en-GB"/>
          <w14:ligatures w14:val="standardContextual"/>
        </w:rPr>
        <w:t xml:space="preserve"> </w:t>
      </w:r>
    </w:p>
    <w:p w14:paraId="24E3A215" w14:textId="368F8052" w:rsidR="0099084C" w:rsidRPr="00BF1D56" w:rsidRDefault="00C76745"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lastRenderedPageBreak/>
        <w:t>Empirical s</w:t>
      </w:r>
      <w:r w:rsidR="0099084C" w:rsidRPr="00BF1D56">
        <w:rPr>
          <w:rFonts w:ascii="Arial" w:eastAsia="Calibri" w:hAnsi="Arial" w:cs="Arial"/>
          <w:kern w:val="2"/>
          <w:sz w:val="20"/>
          <w:szCs w:val="20"/>
          <w:lang w:val="en-GB"/>
          <w14:ligatures w14:val="standardContextual"/>
        </w:rPr>
        <w:t xml:space="preserve">tudies </w:t>
      </w:r>
      <w:r w:rsidRPr="00BF1D56">
        <w:rPr>
          <w:rFonts w:ascii="Arial" w:eastAsia="Calibri" w:hAnsi="Arial" w:cs="Arial"/>
          <w:kern w:val="2"/>
          <w:sz w:val="20"/>
          <w:szCs w:val="20"/>
          <w:lang w:val="en-GB"/>
          <w14:ligatures w14:val="standardContextual"/>
        </w:rPr>
        <w:t>reveal</w:t>
      </w:r>
      <w:r w:rsidR="0099084C" w:rsidRPr="00BF1D56">
        <w:rPr>
          <w:rFonts w:ascii="Arial" w:eastAsia="Calibri" w:hAnsi="Arial" w:cs="Arial"/>
          <w:kern w:val="2"/>
          <w:sz w:val="20"/>
          <w:szCs w:val="20"/>
          <w:lang w:val="en-GB"/>
          <w14:ligatures w14:val="standardContextual"/>
        </w:rPr>
        <w:t xml:space="preserve"> that the adoption of EVs in Nigeria is minimal. Oduro</w:t>
      </w:r>
      <w:r w:rsidR="00DF641C" w:rsidRPr="00BF1D56">
        <w:rPr>
          <w:rFonts w:ascii="Arial" w:eastAsia="Calibri" w:hAnsi="Arial" w:cs="Arial"/>
          <w:kern w:val="2"/>
          <w:sz w:val="20"/>
          <w:szCs w:val="20"/>
          <w:lang w:val="en-GB"/>
          <w14:ligatures w14:val="standardContextual"/>
        </w:rPr>
        <w:t xml:space="preserve">, et al. </w:t>
      </w:r>
      <w:r w:rsidR="0099084C" w:rsidRPr="00BF1D56">
        <w:rPr>
          <w:rFonts w:ascii="Arial" w:eastAsia="Calibri" w:hAnsi="Arial" w:cs="Arial"/>
          <w:kern w:val="2"/>
          <w:sz w:val="20"/>
          <w:szCs w:val="20"/>
          <w:lang w:val="en-GB"/>
          <w14:ligatures w14:val="standardContextual"/>
        </w:rPr>
        <w:t xml:space="preserve">(2022) noted a lack of charging infrastructure and policy incentives. </w:t>
      </w:r>
      <w:r w:rsidR="001B22B2">
        <w:rPr>
          <w:rFonts w:ascii="Arial" w:eastAsia="Calibri" w:hAnsi="Arial" w:cs="Arial"/>
          <w:kern w:val="2"/>
          <w:sz w:val="20"/>
          <w:szCs w:val="20"/>
          <w:lang w:val="en-GB"/>
          <w14:ligatures w14:val="standardContextual"/>
        </w:rPr>
        <w:t>Okokpuije</w:t>
      </w:r>
      <w:r w:rsidR="0099084C" w:rsidRPr="00BF1D56">
        <w:rPr>
          <w:rFonts w:ascii="Arial" w:eastAsia="Calibri" w:hAnsi="Arial" w:cs="Arial"/>
          <w:kern w:val="2"/>
          <w:sz w:val="20"/>
          <w:szCs w:val="20"/>
          <w:lang w:val="en-GB"/>
          <w14:ligatures w14:val="standardContextual"/>
        </w:rPr>
        <w:t xml:space="preserve"> (202</w:t>
      </w:r>
      <w:r w:rsidR="001B22B2">
        <w:rPr>
          <w:rFonts w:ascii="Arial" w:eastAsia="Calibri" w:hAnsi="Arial" w:cs="Arial"/>
          <w:kern w:val="2"/>
          <w:sz w:val="20"/>
          <w:szCs w:val="20"/>
          <w:lang w:val="en-GB"/>
          <w14:ligatures w14:val="standardContextual"/>
        </w:rPr>
        <w:t>3</w:t>
      </w:r>
      <w:r w:rsidR="0099084C" w:rsidRPr="00BF1D56">
        <w:rPr>
          <w:rFonts w:ascii="Arial" w:eastAsia="Calibri" w:hAnsi="Arial" w:cs="Arial"/>
          <w:kern w:val="2"/>
          <w:sz w:val="20"/>
          <w:szCs w:val="20"/>
          <w:lang w:val="en-GB"/>
          <w14:ligatures w14:val="standardContextual"/>
        </w:rPr>
        <w:t xml:space="preserve">) emphasized electricity unreliability as a major barrier. Nonetheless, the rising importation of hybrid vehicles (especially Toyota Prius and Camry hybrids) suggests growing consumer interest. Globally, countries like Norway, China, and Germany have implemented tax incentives, charging infrastructure, and strict emission regulations to boost EV sales. In 2023, EVs represented 18% of global car sales (IEA, 2023). According to the International Energy Agency (IEA), </w:t>
      </w:r>
      <w:r w:rsidR="005F7DDA">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transportation accounts for nearly 24% of direct CO</w:t>
      </w:r>
      <w:r w:rsidR="0099084C" w:rsidRPr="00BF1D56">
        <w:rPr>
          <w:rFonts w:ascii="Cambria Math" w:eastAsia="Calibri" w:hAnsi="Cambria Math" w:cs="Cambria Math"/>
          <w:kern w:val="2"/>
          <w:sz w:val="20"/>
          <w:szCs w:val="20"/>
          <w:lang w:val="en-GB"/>
          <w14:ligatures w14:val="standardContextual"/>
        </w:rPr>
        <w:t>₂</w:t>
      </w:r>
      <w:r w:rsidR="0099084C" w:rsidRPr="00BF1D56">
        <w:rPr>
          <w:rFonts w:ascii="Arial" w:eastAsia="Calibri" w:hAnsi="Arial" w:cs="Arial"/>
          <w:kern w:val="2"/>
          <w:sz w:val="20"/>
          <w:szCs w:val="20"/>
          <w:lang w:val="en-GB"/>
          <w14:ligatures w14:val="standardContextual"/>
        </w:rPr>
        <w:t xml:space="preserve"> emissions from fuel combustion. The growing trend to explore the vast potential of electric vehicles (EVs) stems from the urgent need to mitigate the substantial </w:t>
      </w:r>
      <w:hyperlink r:id="rId8" w:tooltip="Learn more about environmental impact from ScienceDirect's AI-generated Topic Pages" w:history="1">
        <w:r w:rsidR="0099084C" w:rsidRPr="00BF1D56">
          <w:rPr>
            <w:rFonts w:ascii="Arial" w:eastAsia="Calibri" w:hAnsi="Arial" w:cs="Arial"/>
            <w:kern w:val="2"/>
            <w:sz w:val="20"/>
            <w:szCs w:val="20"/>
            <w:lang w:val="en-GB"/>
            <w14:ligatures w14:val="standardContextual"/>
          </w:rPr>
          <w:t>environmental impact</w:t>
        </w:r>
      </w:hyperlink>
      <w:r w:rsidR="0099084C" w:rsidRPr="00BF1D56">
        <w:rPr>
          <w:rFonts w:ascii="Arial" w:eastAsia="Calibri" w:hAnsi="Arial" w:cs="Arial"/>
          <w:kern w:val="2"/>
          <w:sz w:val="20"/>
          <w:szCs w:val="20"/>
          <w:lang w:val="en-GB"/>
          <w14:ligatures w14:val="standardContextual"/>
        </w:rPr>
        <w:t> caused by </w:t>
      </w:r>
      <w:hyperlink r:id="rId9" w:tooltip="Learn more about internal combustion engine from ScienceDirect's AI-generated Topic Pages" w:history="1">
        <w:r w:rsidR="0099084C" w:rsidRPr="00BF1D56">
          <w:rPr>
            <w:rFonts w:ascii="Arial" w:eastAsia="Calibri" w:hAnsi="Arial" w:cs="Arial"/>
            <w:kern w:val="2"/>
            <w:sz w:val="20"/>
            <w:szCs w:val="20"/>
            <w:lang w:val="en-GB"/>
            <w14:ligatures w14:val="standardContextual"/>
          </w:rPr>
          <w:t>internal combustion engine</w:t>
        </w:r>
      </w:hyperlink>
      <w:r w:rsidR="0099084C" w:rsidRPr="00BF1D56">
        <w:rPr>
          <w:rFonts w:ascii="Arial" w:eastAsia="Calibri" w:hAnsi="Arial" w:cs="Arial"/>
          <w:kern w:val="2"/>
          <w:sz w:val="20"/>
          <w:szCs w:val="20"/>
          <w:lang w:val="en-GB"/>
          <w14:ligatures w14:val="standardContextual"/>
        </w:rPr>
        <w:t> cars. The quest for environmentally sustainable transport solutions has therefore intensified. Among these, Electric Vehicles (EVs) and Hybrid Electric Vehicles (HEVs) are widely promoted as alternatives to conventional internal combustion engine (ICE) vehicles</w:t>
      </w:r>
      <w:r w:rsidR="005F7DDA">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 xml:space="preserve">. </w:t>
      </w:r>
    </w:p>
    <w:p w14:paraId="6ED0659D"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4BCDD75F" w14:textId="32CC253F" w:rsidR="0099084C"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A pilot EV program</w:t>
      </w:r>
      <w:r w:rsidR="00EF0D18" w:rsidRPr="00BF1D56">
        <w:rPr>
          <w:rFonts w:ascii="Arial" w:eastAsia="Calibri" w:hAnsi="Arial" w:cs="Arial"/>
          <w:kern w:val="2"/>
          <w:sz w:val="20"/>
          <w:szCs w:val="20"/>
          <w:lang w:val="en-GB"/>
          <w14:ligatures w14:val="standardContextual"/>
        </w:rPr>
        <w:t>me</w:t>
      </w:r>
      <w:r w:rsidRPr="00BF1D56">
        <w:rPr>
          <w:rFonts w:ascii="Arial" w:eastAsia="Calibri" w:hAnsi="Arial" w:cs="Arial"/>
          <w:kern w:val="2"/>
          <w:sz w:val="20"/>
          <w:szCs w:val="20"/>
          <w:lang w:val="en-GB"/>
          <w14:ligatures w14:val="standardContextual"/>
        </w:rPr>
        <w:t xml:space="preserve"> in Lagos by Stallion Group (Hyundai Kona) reported operational savings and positive user feedback, though scale-up has been limited (</w:t>
      </w:r>
      <w:r w:rsidR="002B6BA6">
        <w:rPr>
          <w:rFonts w:ascii="Arial" w:eastAsia="Calibri" w:hAnsi="Arial" w:cs="Arial"/>
          <w:kern w:val="2"/>
          <w:sz w:val="20"/>
          <w:szCs w:val="20"/>
          <w:lang w:val="en-GB"/>
          <w14:ligatures w14:val="standardContextual"/>
        </w:rPr>
        <w:t>AROWOLO</w:t>
      </w:r>
      <w:r w:rsidRPr="00BF1D56">
        <w:rPr>
          <w:rFonts w:ascii="Arial" w:eastAsia="Calibri" w:hAnsi="Arial" w:cs="Arial"/>
          <w:kern w:val="2"/>
          <w:sz w:val="20"/>
          <w:szCs w:val="20"/>
          <w:lang w:val="en-GB"/>
          <w14:ligatures w14:val="standardContextual"/>
        </w:rPr>
        <w:t xml:space="preserve">, 2022). Also, </w:t>
      </w:r>
      <w:r w:rsidR="005F7DDA">
        <w:rPr>
          <w:rFonts w:ascii="Arial" w:eastAsia="Calibri" w:hAnsi="Arial" w:cs="Arial"/>
          <w:kern w:val="2"/>
          <w:sz w:val="20"/>
          <w:szCs w:val="20"/>
          <w:lang w:val="en-GB"/>
          <w14:ligatures w14:val="standardContextual"/>
        </w:rPr>
        <w:t>“</w:t>
      </w:r>
      <w:r w:rsidRPr="00BF1D56">
        <w:rPr>
          <w:rFonts w:ascii="Arial" w:eastAsia="Calibri" w:hAnsi="Arial" w:cs="Arial"/>
          <w:kern w:val="2"/>
          <w:sz w:val="20"/>
          <w:szCs w:val="20"/>
          <w:lang w:val="en-GB"/>
          <w14:ligatures w14:val="standardContextual"/>
        </w:rPr>
        <w:t xml:space="preserve">Sterling Bank recently launched Nigeria’s first publicly available EV charging station in Lagos. In this context, the bank’s Group Head for Renewable Energy and Transportation, Olabanjo Alimi, in an interview with energytransition.org, </w:t>
      </w:r>
      <w:r w:rsidR="0059607D" w:rsidRPr="00BF1D56">
        <w:rPr>
          <w:rFonts w:ascii="Arial" w:eastAsia="Calibri" w:hAnsi="Arial" w:cs="Arial"/>
          <w:kern w:val="2"/>
          <w:sz w:val="20"/>
          <w:szCs w:val="20"/>
          <w:lang w:val="en-GB"/>
          <w14:ligatures w14:val="standardContextual"/>
        </w:rPr>
        <w:t>a</w:t>
      </w:r>
      <w:r w:rsidRPr="00BF1D56">
        <w:rPr>
          <w:rFonts w:ascii="Arial" w:eastAsia="Calibri" w:hAnsi="Arial" w:cs="Arial"/>
          <w:kern w:val="2"/>
          <w:sz w:val="20"/>
          <w:szCs w:val="20"/>
          <w:lang w:val="en-GB"/>
          <w14:ligatures w14:val="standardContextual"/>
        </w:rPr>
        <w:t xml:space="preserve"> suite of renewable energy-powered transportation solutions, focuses on improving mobility services in Nigeria by providing affordable and cleaner transportation alternatives to petrol and diesel-powered vehicles</w:t>
      </w:r>
      <w:r w:rsidR="005F7DDA">
        <w:rPr>
          <w:rFonts w:ascii="Arial" w:eastAsia="Calibri" w:hAnsi="Arial" w:cs="Arial"/>
          <w:kern w:val="2"/>
          <w:sz w:val="20"/>
          <w:szCs w:val="20"/>
          <w:lang w:val="en-GB"/>
          <w14:ligatures w14:val="standardContextual"/>
        </w:rPr>
        <w:t>”</w:t>
      </w:r>
      <w:r w:rsidR="00C75589" w:rsidRPr="00BF1D56">
        <w:rPr>
          <w:rFonts w:ascii="Arial" w:eastAsia="Calibri" w:hAnsi="Arial" w:cs="Arial"/>
          <w:kern w:val="2"/>
          <w:sz w:val="20"/>
          <w:szCs w:val="20"/>
          <w:lang w:val="en-GB"/>
          <w14:ligatures w14:val="standardContextual"/>
        </w:rPr>
        <w:t xml:space="preserve"> (</w:t>
      </w:r>
      <w:r w:rsidR="00A00D50" w:rsidRPr="00BF1D56">
        <w:rPr>
          <w:rFonts w:ascii="Arial" w:eastAsia="Calibri" w:hAnsi="Arial" w:cs="Arial"/>
          <w:kern w:val="2"/>
          <w:sz w:val="20"/>
          <w:szCs w:val="20"/>
          <w:lang w:val="en-GB"/>
          <w14:ligatures w14:val="standardContextual"/>
        </w:rPr>
        <w:t xml:space="preserve">Farinloye, </w:t>
      </w:r>
      <w:r w:rsidR="00DF641C" w:rsidRPr="00BF1D56">
        <w:rPr>
          <w:rFonts w:ascii="Arial" w:eastAsia="Calibri" w:hAnsi="Arial" w:cs="Arial"/>
          <w:kern w:val="2"/>
          <w:sz w:val="20"/>
          <w:szCs w:val="20"/>
          <w:lang w:val="en-GB"/>
          <w14:ligatures w14:val="standardContextual"/>
        </w:rPr>
        <w:t xml:space="preserve">et al, </w:t>
      </w:r>
      <w:r w:rsidR="00A00D50" w:rsidRPr="00BF1D56">
        <w:rPr>
          <w:rFonts w:ascii="Arial" w:eastAsia="Calibri" w:hAnsi="Arial" w:cs="Arial"/>
          <w:kern w:val="2"/>
          <w:sz w:val="20"/>
          <w:szCs w:val="20"/>
          <w:lang w:val="en-GB"/>
          <w14:ligatures w14:val="standardContextual"/>
        </w:rPr>
        <w:t>2024</w:t>
      </w:r>
      <w:r w:rsidR="00C75589" w:rsidRPr="00BF1D56">
        <w:rPr>
          <w:rFonts w:ascii="Arial" w:eastAsia="Calibri" w:hAnsi="Arial" w:cs="Arial"/>
          <w:kern w:val="2"/>
          <w:sz w:val="20"/>
          <w:szCs w:val="20"/>
          <w:lang w:val="en-GB"/>
          <w14:ligatures w14:val="standardContextual"/>
        </w:rPr>
        <w:t>)</w:t>
      </w:r>
      <w:r w:rsidRPr="00BF1D56">
        <w:rPr>
          <w:rFonts w:ascii="Arial" w:eastAsia="Calibri" w:hAnsi="Arial" w:cs="Arial"/>
          <w:kern w:val="2"/>
          <w:sz w:val="20"/>
          <w:szCs w:val="20"/>
          <w:lang w:val="en-GB"/>
          <w14:ligatures w14:val="standardContextual"/>
        </w:rPr>
        <w:t>.</w:t>
      </w:r>
    </w:p>
    <w:p w14:paraId="186A86F2" w14:textId="77777777" w:rsidR="005C18B4" w:rsidRDefault="005C18B4" w:rsidP="005C18B4">
      <w:pPr>
        <w:widowControl/>
        <w:autoSpaceDE/>
        <w:autoSpaceDN/>
        <w:spacing w:line="276" w:lineRule="auto"/>
        <w:jc w:val="both"/>
        <w:outlineLvl w:val="2"/>
        <w:rPr>
          <w:rFonts w:ascii="Arial" w:eastAsia="Calibri" w:hAnsi="Arial" w:cs="Arial"/>
          <w:kern w:val="2"/>
          <w:sz w:val="20"/>
          <w:szCs w:val="20"/>
          <w14:ligatures w14:val="standardContextual"/>
        </w:rPr>
      </w:pPr>
    </w:p>
    <w:p w14:paraId="18BE014A" w14:textId="25DCB01C" w:rsidR="00A91E02" w:rsidRPr="00BF1D56" w:rsidRDefault="00A91E02" w:rsidP="005C18B4">
      <w:pPr>
        <w:widowControl/>
        <w:autoSpaceDE/>
        <w:autoSpaceDN/>
        <w:spacing w:line="276" w:lineRule="auto"/>
        <w:jc w:val="both"/>
        <w:outlineLvl w:val="2"/>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14:ligatures w14:val="standardContextual"/>
        </w:rPr>
        <w:t xml:space="preserve">Agunbiade </w:t>
      </w:r>
      <w:r w:rsidR="00BA6824" w:rsidRPr="00BF1D56">
        <w:rPr>
          <w:rFonts w:ascii="Arial" w:eastAsia="Calibri" w:hAnsi="Arial" w:cs="Arial"/>
          <w:kern w:val="2"/>
          <w:sz w:val="20"/>
          <w:szCs w:val="20"/>
          <w14:ligatures w14:val="standardContextual"/>
        </w:rPr>
        <w:t xml:space="preserve">and Siyan </w:t>
      </w:r>
      <w:r w:rsidRPr="00BF1D56">
        <w:rPr>
          <w:rFonts w:ascii="Arial" w:eastAsia="Calibri" w:hAnsi="Arial" w:cs="Arial"/>
          <w:kern w:val="2"/>
          <w:sz w:val="20"/>
          <w:szCs w:val="20"/>
          <w14:ligatures w14:val="standardContextual"/>
        </w:rPr>
        <w:t xml:space="preserve">(2020) </w:t>
      </w:r>
      <w:r w:rsidR="00872DA0" w:rsidRPr="00BF1D56">
        <w:rPr>
          <w:rFonts w:ascii="Arial" w:eastAsia="Calibri" w:hAnsi="Arial" w:cs="Arial"/>
          <w:kern w:val="2"/>
          <w:sz w:val="20"/>
          <w:szCs w:val="20"/>
          <w14:ligatures w14:val="standardContextual"/>
        </w:rPr>
        <w:t>assessed</w:t>
      </w:r>
      <w:r w:rsidRPr="00BF1D56">
        <w:rPr>
          <w:rFonts w:ascii="Arial" w:eastAsia="Calibri" w:hAnsi="Arial" w:cs="Arial"/>
          <w:kern w:val="2"/>
          <w:sz w:val="20"/>
          <w:szCs w:val="20"/>
          <w14:ligatures w14:val="standardContextual"/>
        </w:rPr>
        <w:t xml:space="preserve"> </w:t>
      </w:r>
      <w:r w:rsidR="005F7DDA">
        <w:rPr>
          <w:rFonts w:ascii="Arial" w:eastAsia="Calibri" w:hAnsi="Arial" w:cs="Arial"/>
          <w:kern w:val="2"/>
          <w:sz w:val="20"/>
          <w:szCs w:val="20"/>
          <w14:ligatures w14:val="standardContextual"/>
        </w:rPr>
        <w:t>“</w:t>
      </w:r>
      <w:r w:rsidRPr="00BF1D56">
        <w:rPr>
          <w:rFonts w:ascii="Arial" w:eastAsia="Calibri" w:hAnsi="Arial" w:cs="Arial"/>
          <w:kern w:val="2"/>
          <w:sz w:val="20"/>
          <w:szCs w:val="20"/>
          <w14:ligatures w14:val="standardContextual"/>
        </w:rPr>
        <w:t>the Prospects of Electric Vehicles in the Automotive Industry in Nigeria</w:t>
      </w:r>
      <w:r w:rsidR="00872DA0" w:rsidRPr="00BF1D56">
        <w:rPr>
          <w:rFonts w:ascii="Arial" w:eastAsia="Calibri" w:hAnsi="Arial" w:cs="Arial"/>
          <w:kern w:val="2"/>
          <w:sz w:val="20"/>
          <w:szCs w:val="20"/>
          <w14:ligatures w14:val="standardContextual"/>
        </w:rPr>
        <w:t xml:space="preserve"> and the</w:t>
      </w:r>
      <w:r w:rsidR="00BA6824" w:rsidRPr="00BF1D56">
        <w:rPr>
          <w:rFonts w:ascii="Arial" w:hAnsi="Arial" w:cs="Arial"/>
          <w:sz w:val="20"/>
          <w:szCs w:val="20"/>
        </w:rPr>
        <w:t xml:space="preserve">y </w:t>
      </w:r>
      <w:r w:rsidRPr="00BF1D56">
        <w:rPr>
          <w:rFonts w:ascii="Arial" w:hAnsi="Arial" w:cs="Arial"/>
          <w:sz w:val="20"/>
          <w:szCs w:val="20"/>
        </w:rPr>
        <w:t xml:space="preserve">opined that </w:t>
      </w:r>
      <w:r w:rsidRPr="00BF1D56">
        <w:rPr>
          <w:rFonts w:ascii="Arial" w:eastAsia="Calibri" w:hAnsi="Arial" w:cs="Arial"/>
          <w:kern w:val="2"/>
          <w:sz w:val="20"/>
          <w:szCs w:val="20"/>
          <w14:ligatures w14:val="standardContextual"/>
        </w:rPr>
        <w:t>the proportion of EVs to total vehicle sales is growing significantly. This importance of EVs arose because of the need for efficient, clean and environmentally-friendly vehicles, given the need to shift away from reliance on wasting energy sources to power vehicles</w:t>
      </w:r>
      <w:r w:rsidR="00976CA5" w:rsidRPr="00BF1D56">
        <w:rPr>
          <w:rFonts w:ascii="Arial" w:eastAsia="Calibri" w:hAnsi="Arial" w:cs="Arial"/>
          <w:kern w:val="2"/>
          <w:sz w:val="20"/>
          <w:szCs w:val="20"/>
          <w14:ligatures w14:val="standardContextual"/>
        </w:rPr>
        <w:t xml:space="preserve">. </w:t>
      </w:r>
      <w:r w:rsidR="00BA6824" w:rsidRPr="00BF1D56">
        <w:rPr>
          <w:rFonts w:ascii="Arial" w:eastAsia="Calibri" w:hAnsi="Arial" w:cs="Arial"/>
          <w:kern w:val="2"/>
          <w:sz w:val="20"/>
          <w:szCs w:val="20"/>
          <w14:ligatures w14:val="standardContextual"/>
        </w:rPr>
        <w:t xml:space="preserve">They </w:t>
      </w:r>
      <w:r w:rsidR="00976CA5" w:rsidRPr="00BF1D56">
        <w:rPr>
          <w:rFonts w:ascii="Arial" w:eastAsia="Calibri" w:hAnsi="Arial" w:cs="Arial"/>
          <w:kern w:val="2"/>
          <w:sz w:val="20"/>
          <w:szCs w:val="20"/>
          <w14:ligatures w14:val="standardContextual"/>
        </w:rPr>
        <w:t xml:space="preserve"> therefore recommended the need for strong policy direction to chart the way forward and devoting resources to Research and Development of EVs</w:t>
      </w:r>
      <w:r w:rsidR="005F7DDA">
        <w:rPr>
          <w:rFonts w:ascii="Arial" w:eastAsia="Calibri" w:hAnsi="Arial" w:cs="Arial"/>
          <w:kern w:val="2"/>
          <w:sz w:val="20"/>
          <w:szCs w:val="20"/>
          <w14:ligatures w14:val="standardContextual"/>
        </w:rPr>
        <w:t>”</w:t>
      </w:r>
      <w:r w:rsidR="00872DA0" w:rsidRPr="00BF1D56">
        <w:rPr>
          <w:rFonts w:ascii="Arial" w:eastAsia="Calibri" w:hAnsi="Arial" w:cs="Arial"/>
          <w:kern w:val="2"/>
          <w:sz w:val="20"/>
          <w:szCs w:val="20"/>
          <w14:ligatures w14:val="standardContextual"/>
        </w:rPr>
        <w:t>.</w:t>
      </w:r>
    </w:p>
    <w:p w14:paraId="6403E205" w14:textId="376FB32C" w:rsidR="006236E6" w:rsidRPr="00BF1D56" w:rsidRDefault="006236E6" w:rsidP="005C18B4">
      <w:pPr>
        <w:widowControl/>
        <w:autoSpaceDE/>
        <w:autoSpaceDN/>
        <w:spacing w:line="276" w:lineRule="auto"/>
        <w:jc w:val="both"/>
        <w:rPr>
          <w:rFonts w:ascii="Arial" w:hAnsi="Arial" w:cs="Arial"/>
          <w:sz w:val="20"/>
          <w:szCs w:val="20"/>
        </w:rPr>
      </w:pPr>
      <w:r w:rsidRPr="00BF1D56">
        <w:rPr>
          <w:rFonts w:ascii="Arial" w:eastAsia="Calibri" w:hAnsi="Arial" w:cs="Arial"/>
          <w:kern w:val="2"/>
          <w:sz w:val="20"/>
          <w:szCs w:val="20"/>
          <w:lang w:val="en-GB"/>
          <w14:ligatures w14:val="standardContextual"/>
        </w:rPr>
        <w:t xml:space="preserve">According to </w:t>
      </w:r>
      <w:r w:rsidRPr="00BF1D56">
        <w:rPr>
          <w:rFonts w:ascii="Arial" w:eastAsia="Calibri" w:hAnsi="Arial" w:cs="Arial"/>
          <w:kern w:val="2"/>
          <w:sz w:val="20"/>
          <w:szCs w:val="20"/>
          <w:shd w:val="clear" w:color="auto" w:fill="FFFFFF"/>
          <w:lang w:val="en-GB"/>
          <w14:ligatures w14:val="standardContextual"/>
        </w:rPr>
        <w:t>Al-Alawi</w:t>
      </w:r>
      <w:r w:rsidR="00220EB0" w:rsidRPr="00BF1D56">
        <w:rPr>
          <w:rFonts w:ascii="Arial" w:eastAsia="Calibri" w:hAnsi="Arial" w:cs="Arial"/>
          <w:kern w:val="2"/>
          <w:sz w:val="20"/>
          <w:szCs w:val="20"/>
          <w:shd w:val="clear" w:color="auto" w:fill="FFFFFF"/>
          <w:lang w:val="en-GB"/>
          <w14:ligatures w14:val="standardContextual"/>
        </w:rPr>
        <w:t>, et al</w:t>
      </w:r>
      <w:r w:rsidR="00872DA0" w:rsidRPr="00BF1D56">
        <w:rPr>
          <w:rFonts w:ascii="Arial" w:eastAsia="Calibri" w:hAnsi="Arial" w:cs="Arial"/>
          <w:kern w:val="2"/>
          <w:sz w:val="20"/>
          <w:szCs w:val="20"/>
          <w:shd w:val="clear" w:color="auto" w:fill="FFFFFF"/>
          <w:lang w:val="en-GB"/>
          <w14:ligatures w14:val="standardContextual"/>
        </w:rPr>
        <w:t>.</w:t>
      </w:r>
      <w:r w:rsidRPr="00BF1D56">
        <w:rPr>
          <w:rFonts w:ascii="Arial" w:hAnsi="Arial" w:cs="Arial"/>
          <w:sz w:val="20"/>
          <w:szCs w:val="20"/>
        </w:rPr>
        <w:t xml:space="preserve"> (2013), </w:t>
      </w:r>
      <w:r w:rsidR="005F7DDA">
        <w:rPr>
          <w:rFonts w:ascii="Arial" w:hAnsi="Arial" w:cs="Arial"/>
          <w:sz w:val="20"/>
          <w:szCs w:val="20"/>
        </w:rPr>
        <w:t>“</w:t>
      </w:r>
      <w:r w:rsidRPr="00BF1D56">
        <w:rPr>
          <w:rFonts w:ascii="Arial" w:hAnsi="Arial" w:cs="Arial"/>
          <w:sz w:val="20"/>
          <w:szCs w:val="20"/>
        </w:rPr>
        <w:t>h</w:t>
      </w:r>
      <w:r w:rsidR="0099084C" w:rsidRPr="00BF1D56">
        <w:rPr>
          <w:rFonts w:ascii="Arial" w:eastAsia="Calibri" w:hAnsi="Arial" w:cs="Arial"/>
          <w:kern w:val="2"/>
          <w:sz w:val="20"/>
          <w:szCs w:val="20"/>
          <w:lang w:val="en-GB"/>
          <w14:ligatures w14:val="standardContextual"/>
        </w:rPr>
        <w:t>ybrid, plug-in hybrid and electric vehicles (HEVs, PHEVs, and EVs) are emerging automotive products that have the capability to increase vehicle fuel economy, but at an incremental purchase cost relative to conventional vehicles. In general, their reduced </w:t>
      </w:r>
      <w:hyperlink r:id="rId10" w:tooltip="Learn more about petroleum consumption from ScienceDirect's AI-generated Topic Pages" w:history="1">
        <w:r w:rsidR="0099084C" w:rsidRPr="00BF1D56">
          <w:rPr>
            <w:rFonts w:ascii="Arial" w:eastAsia="Calibri" w:hAnsi="Arial" w:cs="Arial"/>
            <w:kern w:val="2"/>
            <w:sz w:val="20"/>
            <w:szCs w:val="20"/>
            <w:lang w:val="en-GB"/>
            <w14:ligatures w14:val="standardContextual"/>
          </w:rPr>
          <w:t>petroleum consumption</w:t>
        </w:r>
      </w:hyperlink>
      <w:r w:rsidR="0099084C" w:rsidRPr="00BF1D56">
        <w:rPr>
          <w:rFonts w:ascii="Arial" w:eastAsia="Calibri" w:hAnsi="Arial" w:cs="Arial"/>
          <w:kern w:val="2"/>
          <w:sz w:val="20"/>
          <w:szCs w:val="20"/>
          <w:lang w:val="en-GB"/>
          <w14:ligatures w14:val="standardContextual"/>
        </w:rPr>
        <w:t> and improved efficiency provides life cycle economic benefits to consumers, society, </w:t>
      </w:r>
      <w:hyperlink r:id="rId11" w:tooltip="Learn more about automakers from ScienceDirect's AI-generated Topic Pages" w:history="1">
        <w:r w:rsidR="0099084C" w:rsidRPr="00BF1D56">
          <w:rPr>
            <w:rFonts w:ascii="Arial" w:eastAsia="Calibri" w:hAnsi="Arial" w:cs="Arial"/>
            <w:kern w:val="2"/>
            <w:sz w:val="20"/>
            <w:szCs w:val="20"/>
            <w:lang w:val="en-GB"/>
            <w14:ligatures w14:val="standardContextual"/>
          </w:rPr>
          <w:t>automakers</w:t>
        </w:r>
      </w:hyperlink>
      <w:r w:rsidR="0099084C" w:rsidRPr="00BF1D56">
        <w:rPr>
          <w:rFonts w:ascii="Arial" w:eastAsia="Calibri" w:hAnsi="Arial" w:cs="Arial"/>
          <w:kern w:val="2"/>
          <w:sz w:val="20"/>
          <w:szCs w:val="20"/>
          <w:lang w:val="en-GB"/>
          <w14:ligatures w14:val="standardContextual"/>
        </w:rPr>
        <w:t>, and policymakers. These stakeholders have sought to understand the role of HEVs, PHEVs, and EVs in the future vehicle fleets by estimating the diffusion rate of these technologies into the automotive marketplace</w:t>
      </w:r>
      <w:r w:rsidR="005F7DDA">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 </w:t>
      </w:r>
    </w:p>
    <w:p w14:paraId="0B9C5971"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56382267" w14:textId="307919A8" w:rsidR="0099084C" w:rsidRPr="00BF1D56" w:rsidRDefault="008F5466"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Shao</w:t>
      </w:r>
      <w:r w:rsidR="00220EB0" w:rsidRPr="00BF1D56">
        <w:rPr>
          <w:rFonts w:ascii="Arial" w:eastAsia="Calibri" w:hAnsi="Arial" w:cs="Arial"/>
          <w:kern w:val="2"/>
          <w:sz w:val="20"/>
          <w:szCs w:val="20"/>
          <w:lang w:val="en-GB"/>
          <w14:ligatures w14:val="standardContextual"/>
        </w:rPr>
        <w:t>, et al.</w:t>
      </w:r>
      <w:r w:rsidRPr="00BF1D56">
        <w:rPr>
          <w:rFonts w:ascii="Arial" w:eastAsia="Calibri" w:hAnsi="Arial" w:cs="Arial"/>
          <w:kern w:val="2"/>
          <w:sz w:val="20"/>
          <w:szCs w:val="20"/>
          <w:lang w:val="en-GB"/>
          <w14:ligatures w14:val="standardContextual"/>
        </w:rPr>
        <w:t xml:space="preserve"> (2025) in </w:t>
      </w:r>
      <w:r w:rsidR="0099084C" w:rsidRPr="00BF1D56">
        <w:rPr>
          <w:rFonts w:ascii="Arial" w:eastAsia="Calibri" w:hAnsi="Arial" w:cs="Arial"/>
          <w:kern w:val="2"/>
          <w:sz w:val="20"/>
          <w:szCs w:val="20"/>
          <w:lang w:val="en-GB"/>
          <w14:ligatures w14:val="standardContextual"/>
        </w:rPr>
        <w:t>his research identifie</w:t>
      </w:r>
      <w:r w:rsidRPr="00BF1D56">
        <w:rPr>
          <w:rFonts w:ascii="Arial" w:eastAsia="Calibri" w:hAnsi="Arial" w:cs="Arial"/>
          <w:kern w:val="2"/>
          <w:sz w:val="20"/>
          <w:szCs w:val="20"/>
          <w:lang w:val="en-GB"/>
          <w14:ligatures w14:val="standardContextual"/>
        </w:rPr>
        <w:t>d</w:t>
      </w:r>
      <w:r w:rsidR="0099084C" w:rsidRPr="00BF1D56">
        <w:rPr>
          <w:rFonts w:ascii="Arial" w:eastAsia="Calibri" w:hAnsi="Arial" w:cs="Arial"/>
          <w:kern w:val="2"/>
          <w:sz w:val="20"/>
          <w:szCs w:val="20"/>
          <w:lang w:val="en-GB"/>
          <w14:ligatures w14:val="standardContextual"/>
        </w:rPr>
        <w:t xml:space="preserve"> </w:t>
      </w:r>
      <w:r w:rsidR="005F7DDA">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 xml:space="preserve">the pressing need to transition to sustainable energy systems in the road transport sector, a key contributor to greenhouse gas (GHG) emissions. The study addresses the gap in policy and technical frameworks for integrating intelligent transportation systems (ITS) and renewable energy solutions in Nigeria's road transport sector. A multi-method approach, including literature review, data analysis, and scenario </w:t>
      </w:r>
      <w:r w:rsidR="001C75DE" w:rsidRPr="00BF1D56">
        <w:rPr>
          <w:rFonts w:ascii="Arial" w:eastAsia="Calibri" w:hAnsi="Arial" w:cs="Arial"/>
          <w:kern w:val="2"/>
          <w:sz w:val="20"/>
          <w:szCs w:val="20"/>
          <w:lang w:val="en-GB"/>
          <w14:ligatures w14:val="standardContextual"/>
        </w:rPr>
        <w:t>modelling</w:t>
      </w:r>
      <w:r w:rsidR="0099084C" w:rsidRPr="00BF1D56">
        <w:rPr>
          <w:rFonts w:ascii="Arial" w:eastAsia="Calibri" w:hAnsi="Arial" w:cs="Arial"/>
          <w:kern w:val="2"/>
          <w:sz w:val="20"/>
          <w:szCs w:val="20"/>
          <w:lang w:val="en-GB"/>
          <w14:ligatures w14:val="standardContextual"/>
        </w:rPr>
        <w:t>, was used to evaluate the impacts of advanced vehicle technologies, organizational management practices, and alternative energy systems, such as hydrogen and biogas. Key findings reveal the potential of smart traffic systems, flexible fuel substitution program</w:t>
      </w:r>
      <w:r w:rsidR="00C05FC7" w:rsidRPr="00BF1D56">
        <w:rPr>
          <w:rFonts w:ascii="Arial" w:eastAsia="Calibri" w:hAnsi="Arial" w:cs="Arial"/>
          <w:kern w:val="2"/>
          <w:sz w:val="20"/>
          <w:szCs w:val="20"/>
          <w:lang w:val="en-GB"/>
          <w14:ligatures w14:val="standardContextual"/>
        </w:rPr>
        <w:t>me</w:t>
      </w:r>
      <w:r w:rsidR="0099084C" w:rsidRPr="00BF1D56">
        <w:rPr>
          <w:rFonts w:ascii="Arial" w:eastAsia="Calibri" w:hAnsi="Arial" w:cs="Arial"/>
          <w:kern w:val="2"/>
          <w:sz w:val="20"/>
          <w:szCs w:val="20"/>
          <w:lang w:val="en-GB"/>
          <w14:ligatures w14:val="standardContextual"/>
        </w:rPr>
        <w:t xml:space="preserve">s, and urban planning reforms to optimize economic and environmental outcomes. This research underscores the significance of technological advancements, efficient management practices, and a transition to renewable energy to meet Nigeria's growing transport demands sustainably. The results provide actionable insights for policymakers to enhance Nigeria's sustainable transport frameworks, contributing to the global agenda for reducing GHG emissions and achieving energy security in </w:t>
      </w:r>
      <w:r w:rsidRPr="00BF1D56">
        <w:rPr>
          <w:rFonts w:ascii="Arial" w:eastAsia="Calibri" w:hAnsi="Arial" w:cs="Arial"/>
          <w:kern w:val="2"/>
          <w:sz w:val="20"/>
          <w:szCs w:val="20"/>
          <w:lang w:val="en-GB"/>
          <w14:ligatures w14:val="standardContextual"/>
        </w:rPr>
        <w:t>U.S.</w:t>
      </w:r>
      <w:r w:rsidR="0099084C" w:rsidRPr="00BF1D56">
        <w:rPr>
          <w:rFonts w:ascii="Arial" w:eastAsia="Calibri" w:hAnsi="Arial" w:cs="Arial"/>
          <w:kern w:val="2"/>
          <w:sz w:val="20"/>
          <w:szCs w:val="20"/>
          <w:lang w:val="en-GB"/>
          <w14:ligatures w14:val="standardContextual"/>
        </w:rPr>
        <w:t>A</w:t>
      </w:r>
      <w:r w:rsidR="005F7DDA">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 xml:space="preserve">. </w:t>
      </w:r>
    </w:p>
    <w:p w14:paraId="4F870F46"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2703FF3A" w14:textId="0D8F66A9" w:rsidR="000A580A" w:rsidRPr="00BF1D56" w:rsidRDefault="0099084C" w:rsidP="005C18B4">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According to the National Bureau of Statistics (NBS</w:t>
      </w:r>
      <w:r w:rsidR="00220EB0" w:rsidRPr="00BF1D56">
        <w:rPr>
          <w:rFonts w:ascii="Arial" w:eastAsia="Calibri" w:hAnsi="Arial" w:cs="Arial"/>
          <w:kern w:val="2"/>
          <w:sz w:val="20"/>
          <w:szCs w:val="20"/>
          <w:lang w:val="en-GB"/>
          <w14:ligatures w14:val="standardContextual"/>
        </w:rPr>
        <w:t>, 2024</w:t>
      </w:r>
      <w:r w:rsidRPr="00BF1D56">
        <w:rPr>
          <w:rFonts w:ascii="Arial" w:eastAsia="Calibri" w:hAnsi="Arial" w:cs="Arial"/>
          <w:kern w:val="2"/>
          <w:sz w:val="20"/>
          <w:szCs w:val="20"/>
          <w:lang w:val="en-GB"/>
          <w14:ligatures w14:val="standardContextual"/>
        </w:rPr>
        <w:t xml:space="preserve">), </w:t>
      </w:r>
      <w:r w:rsidR="005F7DDA">
        <w:rPr>
          <w:rFonts w:ascii="Arial" w:eastAsia="Calibri" w:hAnsi="Arial" w:cs="Arial"/>
          <w:kern w:val="2"/>
          <w:sz w:val="20"/>
          <w:szCs w:val="20"/>
          <w:lang w:val="en-GB"/>
          <w14:ligatures w14:val="standardContextual"/>
        </w:rPr>
        <w:t>“</w:t>
      </w:r>
      <w:r w:rsidRPr="00BF1D56">
        <w:rPr>
          <w:rFonts w:ascii="Arial" w:eastAsia="Calibri" w:hAnsi="Arial" w:cs="Arial"/>
          <w:kern w:val="2"/>
          <w:sz w:val="20"/>
          <w:szCs w:val="20"/>
          <w:lang w:val="en-GB"/>
          <w14:ligatures w14:val="standardContextual"/>
        </w:rPr>
        <w:t xml:space="preserve">there were about 11.8 million vehicles in Nigeria in 2018. Nigeria’s recently launched ETP aims at lowering transportation emissions and achieving 10% biofuel </w:t>
      </w:r>
      <w:r w:rsidRPr="00BF1D56">
        <w:rPr>
          <w:rFonts w:ascii="Arial" w:eastAsia="Calibri" w:hAnsi="Arial" w:cs="Arial"/>
          <w:kern w:val="2"/>
          <w:sz w:val="20"/>
          <w:szCs w:val="20"/>
          <w:lang w:val="en-GB"/>
          <w14:ligatures w14:val="standardContextual"/>
        </w:rPr>
        <w:lastRenderedPageBreak/>
        <w:t>blends by 2030 and 100% electric vehicles by 2060. Compared to conventional fuel-powered mobility, electric mobility (E-Mobility) is a viable option for decreasing transport-related greenhouse gas (GHG) emissions due to the absence of a CO2-emitting combustion engine. Another study employed a bottom-up modelling framework to examine a set of scenarios to generate insights on the techno-economic and environmental implications of increasing levels of electric vehicle (EV) penetration using Nigeria as a case study. Results indicate that, despite Nigeria having a natural gas-dominated electricity system, the deployment of EVs can support the decarbonization of the transportation and power sectors but at a relatively high cost.</w:t>
      </w:r>
      <w:r w:rsidR="005F7DDA">
        <w:rPr>
          <w:rFonts w:ascii="Arial" w:eastAsia="Calibri" w:hAnsi="Arial" w:cs="Arial"/>
          <w:kern w:val="2"/>
          <w:sz w:val="20"/>
          <w:szCs w:val="20"/>
          <w:lang w:val="en-GB"/>
          <w14:ligatures w14:val="standardContextual"/>
        </w:rPr>
        <w:t>”</w:t>
      </w:r>
      <w:r w:rsidRPr="00BF1D56">
        <w:rPr>
          <w:rFonts w:ascii="Arial" w:eastAsia="Calibri" w:hAnsi="Arial" w:cs="Arial"/>
          <w:kern w:val="2"/>
          <w:sz w:val="20"/>
          <w:szCs w:val="20"/>
          <w:lang w:val="en-GB"/>
          <w14:ligatures w14:val="standardContextual"/>
        </w:rPr>
        <w:t xml:space="preserve"> </w:t>
      </w:r>
    </w:p>
    <w:p w14:paraId="3FCABF8F"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428CA68E" w14:textId="69BDC227" w:rsidR="008F5466" w:rsidRPr="00BF1D56" w:rsidRDefault="005F7DDA" w:rsidP="005C18B4">
      <w:pPr>
        <w:widowControl/>
        <w:autoSpaceDE/>
        <w:autoSpaceDN/>
        <w:spacing w:line="276" w:lineRule="auto"/>
        <w:jc w:val="both"/>
        <w:rPr>
          <w:rFonts w:ascii="Arial" w:eastAsia="Calibri" w:hAnsi="Arial" w:cs="Arial"/>
          <w:kern w:val="2"/>
          <w:sz w:val="20"/>
          <w:szCs w:val="20"/>
          <w:lang w:val="en-GB"/>
          <w14:ligatures w14:val="standardContextual"/>
        </w:rPr>
      </w:pPr>
      <w:r>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The cost of EVs would need to drop by 40% to become cost-competitive. However, if variable </w:t>
      </w:r>
      <w:hyperlink r:id="rId12" w:tooltip="Learn more about renewable energy from ScienceDirect's AI-generated Topic Pages" w:history="1">
        <w:r w:rsidR="0099084C" w:rsidRPr="00BF1D56">
          <w:rPr>
            <w:rFonts w:ascii="Arial" w:eastAsia="Calibri" w:hAnsi="Arial" w:cs="Arial"/>
            <w:kern w:val="2"/>
            <w:sz w:val="20"/>
            <w:szCs w:val="20"/>
            <w:lang w:val="en-GB"/>
            <w14:ligatures w14:val="standardContextual"/>
          </w:rPr>
          <w:t>renewable energy</w:t>
        </w:r>
      </w:hyperlink>
      <w:r w:rsidR="0099084C" w:rsidRPr="00BF1D56">
        <w:rPr>
          <w:rFonts w:ascii="Arial" w:eastAsia="Calibri" w:hAnsi="Arial" w:cs="Arial"/>
          <w:kern w:val="2"/>
          <w:sz w:val="20"/>
          <w:szCs w:val="20"/>
          <w:lang w:val="en-GB"/>
          <w14:ligatures w14:val="standardContextual"/>
        </w:rPr>
        <w:t> sources deliver the EVs power requirement with a bidirectional vehicle-to-grid (V2G) charging strategy, then the cost of EVs would need to decline by only 30%. Not all EVs need to participate in a V2G charging strategy in order to realize the full benefits of the strategy. Expanding renewables capacity leads to additional reduction in CO</w:t>
      </w:r>
      <w:r w:rsidR="0099084C" w:rsidRPr="00BF1D56">
        <w:rPr>
          <w:rFonts w:ascii="Arial" w:eastAsia="Calibri" w:hAnsi="Arial" w:cs="Arial"/>
          <w:kern w:val="2"/>
          <w:sz w:val="20"/>
          <w:szCs w:val="20"/>
          <w:vertAlign w:val="subscript"/>
          <w:lang w:val="en-GB"/>
          <w14:ligatures w14:val="standardContextual"/>
        </w:rPr>
        <w:t>2</w:t>
      </w:r>
      <w:r w:rsidR="0099084C" w:rsidRPr="00BF1D56">
        <w:rPr>
          <w:rFonts w:ascii="Arial" w:eastAsia="Calibri" w:hAnsi="Arial" w:cs="Arial"/>
          <w:kern w:val="2"/>
          <w:sz w:val="20"/>
          <w:szCs w:val="20"/>
          <w:lang w:val="en-GB"/>
          <w14:ligatures w14:val="standardContextual"/>
        </w:rPr>
        <w:t> emission and decarbonization cost but at different magnitudes based on the charging strategy</w:t>
      </w:r>
      <w:r>
        <w:rPr>
          <w:rFonts w:ascii="Arial" w:eastAsia="Calibri" w:hAnsi="Arial" w:cs="Arial"/>
          <w:kern w:val="2"/>
          <w:sz w:val="20"/>
          <w:szCs w:val="20"/>
          <w:lang w:val="en-GB"/>
          <w14:ligatures w14:val="standardContextual"/>
        </w:rPr>
        <w:t>”</w:t>
      </w:r>
      <w:r w:rsidR="001D3853" w:rsidRPr="00BF1D56">
        <w:rPr>
          <w:rFonts w:ascii="Arial" w:eastAsia="Calibri" w:hAnsi="Arial" w:cs="Arial"/>
          <w:kern w:val="2"/>
          <w:sz w:val="20"/>
          <w:szCs w:val="20"/>
          <w:lang w:val="en-GB"/>
          <w14:ligatures w14:val="standardContextual"/>
        </w:rPr>
        <w:t xml:space="preserve"> (</w:t>
      </w:r>
      <w:r w:rsidR="0099084C" w:rsidRPr="00BF1D56">
        <w:rPr>
          <w:rFonts w:ascii="Arial" w:eastAsia="Calibri" w:hAnsi="Arial" w:cs="Arial"/>
          <w:kern w:val="2"/>
          <w:sz w:val="20"/>
          <w:szCs w:val="20"/>
          <w:lang w:val="en-GB"/>
          <w14:ligatures w14:val="standardContextual"/>
        </w:rPr>
        <w:t>Dioha</w:t>
      </w:r>
      <w:r w:rsidR="001D3853" w:rsidRPr="00BF1D56">
        <w:rPr>
          <w:rFonts w:ascii="Arial" w:eastAsia="Calibri" w:hAnsi="Arial" w:cs="Arial"/>
          <w:kern w:val="2"/>
          <w:sz w:val="20"/>
          <w:szCs w:val="20"/>
          <w:lang w:val="en-GB"/>
          <w14:ligatures w14:val="standardContextual"/>
        </w:rPr>
        <w:t xml:space="preserve">, </w:t>
      </w:r>
      <w:r w:rsidR="00220EB0" w:rsidRPr="00BF1D56">
        <w:rPr>
          <w:rFonts w:ascii="Arial" w:eastAsia="Calibri" w:hAnsi="Arial" w:cs="Arial"/>
          <w:kern w:val="2"/>
          <w:sz w:val="20"/>
          <w:szCs w:val="20"/>
          <w:lang w:val="en-GB"/>
          <w14:ligatures w14:val="standardContextual"/>
        </w:rPr>
        <w:t>et al</w:t>
      </w:r>
      <w:r w:rsidR="00872DA0" w:rsidRPr="00BF1D56">
        <w:rPr>
          <w:rFonts w:ascii="Arial" w:eastAsia="Calibri" w:hAnsi="Arial" w:cs="Arial"/>
          <w:kern w:val="2"/>
          <w:sz w:val="20"/>
          <w:szCs w:val="20"/>
          <w:lang w:val="en-GB"/>
          <w14:ligatures w14:val="standardContextual"/>
        </w:rPr>
        <w:t>.</w:t>
      </w:r>
      <w:r w:rsidR="00220EB0" w:rsidRPr="00BF1D56">
        <w:rPr>
          <w:rFonts w:ascii="Arial" w:eastAsia="Calibri" w:hAnsi="Arial" w:cs="Arial"/>
          <w:kern w:val="2"/>
          <w:sz w:val="20"/>
          <w:szCs w:val="20"/>
          <w:lang w:val="en-GB"/>
          <w14:ligatures w14:val="standardContextual"/>
        </w:rPr>
        <w:t xml:space="preserve"> </w:t>
      </w:r>
      <w:r w:rsidR="0099084C" w:rsidRPr="00BF1D56">
        <w:rPr>
          <w:rFonts w:ascii="Arial" w:eastAsia="Calibri" w:hAnsi="Arial" w:cs="Arial"/>
          <w:kern w:val="2"/>
          <w:sz w:val="20"/>
          <w:szCs w:val="20"/>
          <w:lang w:val="en-GB"/>
          <w14:ligatures w14:val="standardContextual"/>
        </w:rPr>
        <w:t>2022)</w:t>
      </w:r>
      <w:r w:rsidR="008F5466" w:rsidRPr="00BF1D56">
        <w:rPr>
          <w:rFonts w:ascii="Arial" w:eastAsia="Calibri" w:hAnsi="Arial" w:cs="Arial"/>
          <w:kern w:val="2"/>
          <w:sz w:val="20"/>
          <w:szCs w:val="20"/>
          <w:lang w:val="en-GB"/>
          <w14:ligatures w14:val="standardContextual"/>
        </w:rPr>
        <w:t xml:space="preserve">. </w:t>
      </w:r>
    </w:p>
    <w:p w14:paraId="54FCA64D" w14:textId="77777777" w:rsidR="005C18B4" w:rsidRDefault="005C18B4"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28DE66F6" w14:textId="63C554E1" w:rsidR="0099084C" w:rsidRPr="00BF1D56" w:rsidRDefault="001B22B2" w:rsidP="005C18B4">
      <w:pPr>
        <w:widowControl/>
        <w:autoSpaceDE/>
        <w:autoSpaceDN/>
        <w:spacing w:line="276" w:lineRule="auto"/>
        <w:jc w:val="both"/>
        <w:rPr>
          <w:rFonts w:ascii="Arial" w:eastAsia="Calibri" w:hAnsi="Arial" w:cs="Arial"/>
          <w:kern w:val="2"/>
          <w:sz w:val="20"/>
          <w:szCs w:val="20"/>
          <w:lang w:val="en-GB"/>
          <w14:ligatures w14:val="standardContextual"/>
        </w:rPr>
      </w:pPr>
      <w:r>
        <w:rPr>
          <w:rFonts w:ascii="Arial" w:eastAsia="Calibri" w:hAnsi="Arial" w:cs="Arial"/>
          <w:kern w:val="2"/>
          <w:sz w:val="20"/>
          <w:szCs w:val="20"/>
          <w:lang w:val="en-GB"/>
          <w14:ligatures w14:val="standardContextual"/>
        </w:rPr>
        <w:t>Okokpuije</w:t>
      </w:r>
      <w:r w:rsidR="006236E6" w:rsidRPr="00BF1D56">
        <w:rPr>
          <w:rFonts w:ascii="Arial" w:eastAsia="Calibri" w:hAnsi="Arial" w:cs="Arial"/>
          <w:kern w:val="2"/>
          <w:sz w:val="20"/>
          <w:szCs w:val="20"/>
          <w:lang w:val="en-GB"/>
          <w14:ligatures w14:val="standardContextual"/>
        </w:rPr>
        <w:t xml:space="preserve"> (</w:t>
      </w:r>
      <w:r w:rsidR="005C7871" w:rsidRPr="00BF1D56">
        <w:rPr>
          <w:rFonts w:ascii="Arial" w:eastAsia="Calibri" w:hAnsi="Arial" w:cs="Arial"/>
          <w:kern w:val="2"/>
          <w:sz w:val="20"/>
          <w:szCs w:val="20"/>
          <w:lang w:val="en-GB"/>
          <w14:ligatures w14:val="standardContextual"/>
        </w:rPr>
        <w:t>202</w:t>
      </w:r>
      <w:r>
        <w:rPr>
          <w:rFonts w:ascii="Arial" w:eastAsia="Calibri" w:hAnsi="Arial" w:cs="Arial"/>
          <w:kern w:val="2"/>
          <w:sz w:val="20"/>
          <w:szCs w:val="20"/>
          <w:lang w:val="en-GB"/>
          <w14:ligatures w14:val="standardContextual"/>
        </w:rPr>
        <w:t>3</w:t>
      </w:r>
      <w:r w:rsidR="005C7871" w:rsidRPr="00BF1D56">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 xml:space="preserve"> expects </w:t>
      </w:r>
      <w:r w:rsidR="005F7DDA">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the removal of the fuel subsidy to “substantially” stimulate the electric mobility sector in Nigeria. Experts have also been calling for massive adoption of electric vehicles to replace fossil-based vehicles, eyeing e-mobility as a leading way to build sustainable cities while slashing pollution and carbon emissions.</w:t>
      </w:r>
      <w:r w:rsidR="008F5466" w:rsidRPr="00BF1D56">
        <w:rPr>
          <w:rFonts w:ascii="Arial" w:eastAsia="Calibri" w:hAnsi="Arial" w:cs="Arial"/>
          <w:kern w:val="2"/>
          <w:sz w:val="20"/>
          <w:szCs w:val="20"/>
          <w:lang w:val="en-GB"/>
          <w14:ligatures w14:val="standardContextual"/>
        </w:rPr>
        <w:t xml:space="preserve"> </w:t>
      </w:r>
      <w:r w:rsidR="0099084C" w:rsidRPr="00BF1D56">
        <w:rPr>
          <w:rFonts w:ascii="Arial" w:eastAsia="Calibri" w:hAnsi="Arial" w:cs="Arial"/>
          <w:kern w:val="2"/>
          <w:sz w:val="20"/>
          <w:szCs w:val="20"/>
          <w:lang w:val="en-GB"/>
          <w14:ligatures w14:val="standardContextual"/>
        </w:rPr>
        <w:t>Environmental challenges, specifically air pollution, can further be reduced by 2-wheel vehicles that are powered by lithium batteries or electric bicycles and scooters available for ride-sharing and lease</w:t>
      </w:r>
      <w:r w:rsidR="005F7DDA">
        <w:rPr>
          <w:rFonts w:ascii="Arial" w:eastAsia="Calibri" w:hAnsi="Arial" w:cs="Arial"/>
          <w:kern w:val="2"/>
          <w:sz w:val="20"/>
          <w:szCs w:val="20"/>
          <w:lang w:val="en-GB"/>
          <w14:ligatures w14:val="standardContextual"/>
        </w:rPr>
        <w:t>”</w:t>
      </w:r>
      <w:r w:rsidR="0099084C" w:rsidRPr="00BF1D56">
        <w:rPr>
          <w:rFonts w:ascii="Arial" w:eastAsia="Calibri" w:hAnsi="Arial" w:cs="Arial"/>
          <w:kern w:val="2"/>
          <w:sz w:val="20"/>
          <w:szCs w:val="20"/>
          <w:lang w:val="en-GB"/>
          <w14:ligatures w14:val="standardContextual"/>
        </w:rPr>
        <w:t>.</w:t>
      </w:r>
    </w:p>
    <w:p w14:paraId="681E95AC" w14:textId="77777777" w:rsidR="00FB51D5" w:rsidRPr="00BF1D56" w:rsidRDefault="00FB51D5" w:rsidP="005C18B4">
      <w:pPr>
        <w:widowControl/>
        <w:autoSpaceDE/>
        <w:autoSpaceDN/>
        <w:spacing w:line="276" w:lineRule="auto"/>
        <w:jc w:val="both"/>
        <w:rPr>
          <w:rFonts w:ascii="Arial" w:eastAsia="Calibri" w:hAnsi="Arial" w:cs="Arial"/>
          <w:kern w:val="2"/>
          <w:sz w:val="20"/>
          <w:szCs w:val="20"/>
          <w:lang w:val="en-GB"/>
          <w14:ligatures w14:val="standardContextual"/>
        </w:rPr>
      </w:pPr>
    </w:p>
    <w:p w14:paraId="3AFBC4D0" w14:textId="3F982C73" w:rsidR="0099084C" w:rsidRPr="00BF1D56" w:rsidRDefault="0099084C" w:rsidP="005C18B4">
      <w:pPr>
        <w:widowControl/>
        <w:autoSpaceDE/>
        <w:autoSpaceDN/>
        <w:spacing w:line="276" w:lineRule="auto"/>
        <w:jc w:val="both"/>
        <w:rPr>
          <w:rFonts w:ascii="Arial" w:eastAsia="Calibri" w:hAnsi="Arial" w:cs="Arial"/>
          <w:b/>
          <w:bCs/>
          <w:kern w:val="2"/>
          <w:sz w:val="20"/>
          <w:szCs w:val="20"/>
          <w:lang w:val="en-GB"/>
          <w14:ligatures w14:val="standardContextual"/>
        </w:rPr>
      </w:pPr>
      <w:r w:rsidRPr="00BF1D56">
        <w:rPr>
          <w:rFonts w:ascii="Arial" w:eastAsia="Calibri" w:hAnsi="Arial" w:cs="Arial"/>
          <w:b/>
          <w:bCs/>
          <w:kern w:val="2"/>
          <w:sz w:val="20"/>
          <w:szCs w:val="20"/>
          <w:lang w:val="en-GB"/>
          <w14:ligatures w14:val="standardContextual"/>
        </w:rPr>
        <w:t>2.</w:t>
      </w:r>
      <w:r w:rsidR="00A718AA" w:rsidRPr="00BF1D56">
        <w:rPr>
          <w:rFonts w:ascii="Arial" w:eastAsia="Calibri" w:hAnsi="Arial" w:cs="Arial"/>
          <w:b/>
          <w:bCs/>
          <w:kern w:val="2"/>
          <w:sz w:val="20"/>
          <w:szCs w:val="20"/>
          <w:lang w:val="en-GB"/>
          <w14:ligatures w14:val="standardContextual"/>
        </w:rPr>
        <w:t>3</w:t>
      </w:r>
      <w:r w:rsidRPr="00BF1D56">
        <w:rPr>
          <w:rFonts w:ascii="Arial" w:eastAsia="Calibri" w:hAnsi="Arial" w:cs="Arial"/>
          <w:b/>
          <w:bCs/>
          <w:kern w:val="2"/>
          <w:sz w:val="20"/>
          <w:szCs w:val="20"/>
          <w:lang w:val="en-GB"/>
          <w14:ligatures w14:val="standardContextual"/>
        </w:rPr>
        <w:t xml:space="preserve"> Theoretical Framework</w:t>
      </w:r>
    </w:p>
    <w:p w14:paraId="67BA29D0" w14:textId="77777777" w:rsidR="0099084C" w:rsidRPr="00BF1D56" w:rsidRDefault="0099084C" w:rsidP="005C18B4">
      <w:pPr>
        <w:widowControl/>
        <w:autoSpaceDE/>
        <w:autoSpaceDN/>
        <w:spacing w:line="276" w:lineRule="auto"/>
        <w:jc w:val="both"/>
        <w:rPr>
          <w:rFonts w:ascii="Arial" w:hAnsi="Arial" w:cs="Arial"/>
          <w:sz w:val="20"/>
          <w:szCs w:val="20"/>
        </w:rPr>
      </w:pPr>
      <w:r w:rsidRPr="00BF1D56">
        <w:rPr>
          <w:rFonts w:ascii="Arial" w:hAnsi="Arial" w:cs="Arial"/>
          <w:sz w:val="20"/>
          <w:szCs w:val="20"/>
        </w:rPr>
        <w:t>This study is anchored on two complementary theoretical lenses: the Triple Bottom Line (TBL) Sustainability Theory and key Economic Theories such as Cost-Benefit Analysis (CBA) and Life Cycle Costing (LCC). The TBL framework enables a multidimensional assessment of electric and hybrid vehicles by examining their environmental, social, and economic implications. It provides a structure for analyzing how these vehicle technologies contribute to emission reductions, economic development, and public well-being.</w:t>
      </w:r>
    </w:p>
    <w:p w14:paraId="1187774C" w14:textId="78EAFD1B" w:rsidR="00A74EAC" w:rsidRPr="00BF1D56" w:rsidRDefault="0099084C" w:rsidP="005C18B4">
      <w:pPr>
        <w:widowControl/>
        <w:autoSpaceDE/>
        <w:autoSpaceDN/>
        <w:spacing w:line="276" w:lineRule="auto"/>
        <w:jc w:val="both"/>
        <w:rPr>
          <w:rFonts w:ascii="Arial" w:hAnsi="Arial" w:cs="Arial"/>
          <w:sz w:val="20"/>
          <w:szCs w:val="20"/>
        </w:rPr>
      </w:pPr>
      <w:r w:rsidRPr="00BF1D56">
        <w:rPr>
          <w:rFonts w:ascii="Arial" w:hAnsi="Arial" w:cs="Arial"/>
          <w:sz w:val="20"/>
          <w:szCs w:val="20"/>
        </w:rPr>
        <w:t>Complementarily, CBA and LCC frameworks are used to evaluate the financial viability and long-term cost-effectiveness of these vehicles. These economic theories allow for a critical assessment of the trade-offs between upfront investments and future gains</w:t>
      </w:r>
      <w:r w:rsidR="00691E8E" w:rsidRPr="00BF1D56">
        <w:rPr>
          <w:rFonts w:ascii="Arial" w:hAnsi="Arial" w:cs="Arial"/>
          <w:sz w:val="20"/>
          <w:szCs w:val="20"/>
        </w:rPr>
        <w:t xml:space="preserve"> </w:t>
      </w:r>
      <w:r w:rsidRPr="00BF1D56">
        <w:rPr>
          <w:rFonts w:ascii="Arial" w:hAnsi="Arial" w:cs="Arial"/>
          <w:sz w:val="20"/>
          <w:szCs w:val="20"/>
        </w:rPr>
        <w:t>both for individuals and for national economies transitioning to sustainable transportation.</w:t>
      </w:r>
    </w:p>
    <w:p w14:paraId="010FA07E" w14:textId="27ED0F27" w:rsidR="0099084C" w:rsidRPr="0070674F" w:rsidRDefault="003D61D2" w:rsidP="005C18B4">
      <w:pPr>
        <w:widowControl/>
        <w:autoSpaceDE/>
        <w:autoSpaceDN/>
        <w:spacing w:line="276" w:lineRule="auto"/>
        <w:rPr>
          <w:rFonts w:ascii="Arial" w:eastAsia="Calibri" w:hAnsi="Arial" w:cs="Arial"/>
          <w:b/>
          <w:bCs/>
          <w:kern w:val="2"/>
          <w:lang w:val="en-GB"/>
          <w14:ligatures w14:val="standardContextual"/>
        </w:rPr>
      </w:pPr>
      <w:r w:rsidRPr="0070674F">
        <w:rPr>
          <w:rFonts w:ascii="Arial" w:eastAsia="Calibri" w:hAnsi="Arial" w:cs="Arial"/>
          <w:b/>
          <w:bCs/>
          <w:kern w:val="2"/>
          <w:lang w:val="en-GB"/>
          <w14:ligatures w14:val="standardContextual"/>
        </w:rPr>
        <w:t>3.0 METHODOLOGY</w:t>
      </w:r>
    </w:p>
    <w:p w14:paraId="5473AD3D" w14:textId="77777777" w:rsidR="00CC60E3" w:rsidRPr="0070674F" w:rsidRDefault="0099084C" w:rsidP="0070674F">
      <w:pPr>
        <w:widowControl/>
        <w:autoSpaceDE/>
        <w:autoSpaceDN/>
        <w:spacing w:line="276" w:lineRule="auto"/>
        <w:jc w:val="both"/>
        <w:rPr>
          <w:rFonts w:ascii="Arial" w:eastAsia="Calibri" w:hAnsi="Arial" w:cs="Arial"/>
          <w:kern w:val="2"/>
          <w:sz w:val="20"/>
          <w:szCs w:val="20"/>
          <w:lang w:val="en-GB"/>
          <w14:ligatures w14:val="standardContextual"/>
        </w:rPr>
      </w:pPr>
      <w:r w:rsidRPr="00BF1D56">
        <w:rPr>
          <w:rFonts w:ascii="Arial" w:eastAsia="Calibri" w:hAnsi="Arial" w:cs="Arial"/>
          <w:kern w:val="2"/>
          <w:sz w:val="20"/>
          <w:szCs w:val="20"/>
          <w:lang w:val="en-GB"/>
          <w14:ligatures w14:val="standardContextual"/>
        </w:rPr>
        <w:t xml:space="preserve">The study uses </w:t>
      </w:r>
      <w:r w:rsidR="00174B13" w:rsidRPr="00BF1D56">
        <w:rPr>
          <w:rFonts w:ascii="Arial" w:eastAsia="Calibri" w:hAnsi="Arial" w:cs="Arial"/>
          <w:kern w:val="2"/>
          <w:sz w:val="20"/>
          <w:szCs w:val="20"/>
          <w:lang w:val="en-GB"/>
          <w14:ligatures w14:val="standardContextual"/>
        </w:rPr>
        <w:t>a</w:t>
      </w:r>
      <w:r w:rsidRPr="00BF1D56">
        <w:rPr>
          <w:rFonts w:ascii="Arial" w:eastAsia="Calibri" w:hAnsi="Arial" w:cs="Arial"/>
          <w:kern w:val="2"/>
          <w:sz w:val="20"/>
          <w:szCs w:val="20"/>
          <w:lang w:val="en-GB"/>
          <w14:ligatures w14:val="standardContextual"/>
        </w:rPr>
        <w:t xml:space="preserve">nalysis of transport emission data (2010–2022), fuel consumption, and vehicle registration trends. </w:t>
      </w:r>
      <w:r w:rsidR="008858FF" w:rsidRPr="00BF1D56">
        <w:rPr>
          <w:rFonts w:ascii="Arial" w:eastAsia="Calibri" w:hAnsi="Arial" w:cs="Arial"/>
          <w:kern w:val="2"/>
          <w:sz w:val="20"/>
          <w:szCs w:val="20"/>
          <w:lang w:val="en-GB"/>
          <w14:ligatures w14:val="standardContextual"/>
        </w:rPr>
        <w:t>Content analys</w:t>
      </w:r>
      <w:r w:rsidR="006236E6" w:rsidRPr="00BF1D56">
        <w:rPr>
          <w:rFonts w:ascii="Arial" w:eastAsia="Calibri" w:hAnsi="Arial" w:cs="Arial"/>
          <w:kern w:val="2"/>
          <w:sz w:val="20"/>
          <w:szCs w:val="20"/>
          <w:lang w:val="en-GB"/>
          <w14:ligatures w14:val="standardContextual"/>
        </w:rPr>
        <w:t>i</w:t>
      </w:r>
      <w:r w:rsidR="008858FF" w:rsidRPr="00BF1D56">
        <w:rPr>
          <w:rFonts w:ascii="Arial" w:eastAsia="Calibri" w:hAnsi="Arial" w:cs="Arial"/>
          <w:kern w:val="2"/>
          <w:sz w:val="20"/>
          <w:szCs w:val="20"/>
          <w:lang w:val="en-GB"/>
          <w14:ligatures w14:val="standardContextual"/>
        </w:rPr>
        <w:t>s was also employed in this study.</w:t>
      </w:r>
      <w:r w:rsidR="006236E6" w:rsidRPr="00BF1D56">
        <w:rPr>
          <w:rFonts w:ascii="Arial" w:eastAsia="Calibri" w:hAnsi="Arial" w:cs="Arial"/>
          <w:kern w:val="2"/>
          <w:sz w:val="20"/>
          <w:szCs w:val="20"/>
          <w:lang w:val="en-GB"/>
          <w14:ligatures w14:val="standardContextual"/>
        </w:rPr>
        <w:t xml:space="preserve"> Relevant data were sourced from the </w:t>
      </w:r>
      <w:r w:rsidRPr="00BF1D56">
        <w:rPr>
          <w:rFonts w:ascii="Arial" w:eastAsia="Calibri" w:hAnsi="Arial" w:cs="Arial"/>
          <w:kern w:val="2"/>
          <w:sz w:val="20"/>
          <w:szCs w:val="20"/>
          <w:lang w:val="en-GB"/>
          <w14:ligatures w14:val="standardContextual"/>
        </w:rPr>
        <w:t>National Bureau of</w:t>
      </w:r>
      <w:r w:rsidRPr="0070674F">
        <w:rPr>
          <w:rFonts w:ascii="Arial" w:eastAsia="Calibri" w:hAnsi="Arial" w:cs="Arial"/>
          <w:kern w:val="2"/>
          <w:sz w:val="20"/>
          <w:szCs w:val="20"/>
          <w:lang w:val="en-GB"/>
          <w14:ligatures w14:val="standardContextual"/>
        </w:rPr>
        <w:t xml:space="preserve"> Statistics (NBS), </w:t>
      </w:r>
      <w:r w:rsidR="00A74EAC" w:rsidRPr="0070674F">
        <w:rPr>
          <w:rFonts w:ascii="Arial" w:eastAsia="Calibri" w:hAnsi="Arial" w:cs="Arial"/>
          <w:kern w:val="2"/>
          <w:sz w:val="20"/>
          <w:szCs w:val="20"/>
          <w:lang w:val="en-GB"/>
          <w14:ligatures w14:val="standardContextual"/>
        </w:rPr>
        <w:t xml:space="preserve">International Energy Agency </w:t>
      </w:r>
      <w:r w:rsidRPr="0070674F">
        <w:rPr>
          <w:rFonts w:ascii="Arial" w:eastAsia="Calibri" w:hAnsi="Arial" w:cs="Arial"/>
          <w:kern w:val="2"/>
          <w:sz w:val="20"/>
          <w:szCs w:val="20"/>
          <w:lang w:val="en-GB"/>
          <w14:ligatures w14:val="standardContextual"/>
        </w:rPr>
        <w:t xml:space="preserve">(IEA), World Development </w:t>
      </w:r>
      <w:r w:rsidR="00A74EAC" w:rsidRPr="0070674F">
        <w:rPr>
          <w:rFonts w:ascii="Arial" w:eastAsia="Calibri" w:hAnsi="Arial" w:cs="Arial"/>
          <w:kern w:val="2"/>
          <w:sz w:val="20"/>
          <w:szCs w:val="20"/>
          <w:lang w:val="en-GB"/>
          <w14:ligatures w14:val="standardContextual"/>
        </w:rPr>
        <w:t>Indicators</w:t>
      </w:r>
      <w:r w:rsidRPr="0070674F">
        <w:rPr>
          <w:rFonts w:ascii="Arial" w:eastAsia="Calibri" w:hAnsi="Arial" w:cs="Arial"/>
          <w:kern w:val="2"/>
          <w:sz w:val="20"/>
          <w:szCs w:val="20"/>
          <w:lang w:val="en-GB"/>
          <w14:ligatures w14:val="standardContextual"/>
        </w:rPr>
        <w:t xml:space="preserve"> (WDI).</w:t>
      </w:r>
    </w:p>
    <w:p w14:paraId="372F946A" w14:textId="77777777" w:rsidR="0070674F" w:rsidRPr="0070674F" w:rsidRDefault="0070674F" w:rsidP="0070674F">
      <w:pPr>
        <w:widowControl/>
        <w:autoSpaceDE/>
        <w:autoSpaceDN/>
        <w:spacing w:after="120" w:line="276" w:lineRule="auto"/>
        <w:rPr>
          <w:rFonts w:ascii="Arial" w:eastAsia="Calibri" w:hAnsi="Arial" w:cs="Arial"/>
          <w:b/>
          <w:bCs/>
          <w:kern w:val="2"/>
          <w:lang w:val="en-GB"/>
          <w14:ligatures w14:val="standardContextual"/>
        </w:rPr>
      </w:pPr>
    </w:p>
    <w:p w14:paraId="06514F99" w14:textId="02EB3ED5" w:rsidR="0099084C" w:rsidRDefault="003D61D2" w:rsidP="0070674F">
      <w:pPr>
        <w:widowControl/>
        <w:autoSpaceDE/>
        <w:autoSpaceDN/>
        <w:spacing w:after="120" w:line="276" w:lineRule="auto"/>
        <w:rPr>
          <w:rFonts w:ascii="Arial" w:eastAsia="Calibri" w:hAnsi="Arial" w:cs="Arial"/>
          <w:b/>
          <w:bCs/>
          <w:kern w:val="2"/>
          <w:lang w:val="en-GB"/>
          <w14:ligatures w14:val="standardContextual"/>
        </w:rPr>
      </w:pPr>
      <w:r w:rsidRPr="0070674F">
        <w:rPr>
          <w:rFonts w:ascii="Arial" w:eastAsia="Calibri" w:hAnsi="Arial" w:cs="Arial"/>
          <w:b/>
          <w:bCs/>
          <w:kern w:val="2"/>
          <w:lang w:val="en-GB"/>
          <w14:ligatures w14:val="standardContextual"/>
        </w:rPr>
        <w:t>4.0 DATA ANALYSIS</w:t>
      </w:r>
    </w:p>
    <w:p w14:paraId="0E01897D" w14:textId="28703694" w:rsidR="005B471C" w:rsidRPr="0070674F" w:rsidRDefault="00D26531" w:rsidP="0070674F">
      <w:pPr>
        <w:widowControl/>
        <w:autoSpaceDE/>
        <w:autoSpaceDN/>
        <w:spacing w:after="120" w:line="276" w:lineRule="auto"/>
        <w:rPr>
          <w:rFonts w:ascii="Arial" w:eastAsia="Calibri" w:hAnsi="Arial" w:cs="Arial"/>
          <w:b/>
          <w:bCs/>
          <w:kern w:val="2"/>
          <w:lang w:val="en-GB"/>
          <w14:ligatures w14:val="standardContextual"/>
        </w:rPr>
      </w:pPr>
      <w:r>
        <w:rPr>
          <w:rFonts w:ascii="Arial" w:eastAsia="Calibri" w:hAnsi="Arial" w:cs="Arial"/>
          <w:b/>
          <w:bCs/>
          <w:kern w:val="2"/>
          <w:lang w:val="en-GB"/>
          <w14:ligatures w14:val="standardContextual"/>
        </w:rPr>
        <w:t>Result And Discussion</w:t>
      </w:r>
    </w:p>
    <w:p w14:paraId="6D56226E" w14:textId="77777777" w:rsidR="00A718AA" w:rsidRPr="0070674F" w:rsidRDefault="00A718AA" w:rsidP="0070674F">
      <w:pPr>
        <w:widowControl/>
        <w:autoSpaceDE/>
        <w:autoSpaceDN/>
        <w:spacing w:after="120" w:line="276" w:lineRule="auto"/>
        <w:jc w:val="both"/>
        <w:rPr>
          <w:rFonts w:ascii="Arial" w:hAnsi="Arial" w:cs="Arial"/>
          <w:b/>
          <w:bCs/>
          <w:sz w:val="20"/>
          <w:szCs w:val="20"/>
        </w:rPr>
      </w:pPr>
      <w:r w:rsidRPr="0070674F">
        <w:rPr>
          <w:rFonts w:ascii="Arial" w:eastAsia="Calibri" w:hAnsi="Arial" w:cs="Arial"/>
          <w:b/>
          <w:bCs/>
          <w:kern w:val="2"/>
          <w:sz w:val="20"/>
          <w:szCs w:val="20"/>
          <w:lang w:val="en-GB"/>
          <w14:ligatures w14:val="standardContextual"/>
        </w:rPr>
        <w:t xml:space="preserve">4.1 </w:t>
      </w:r>
      <w:r w:rsidRPr="0070674F">
        <w:rPr>
          <w:rFonts w:ascii="Arial" w:hAnsi="Arial" w:cs="Arial"/>
          <w:b/>
          <w:bCs/>
          <w:sz w:val="20"/>
          <w:szCs w:val="20"/>
        </w:rPr>
        <w:t>Rising Emissions from Fossil Fuel Vehicles</w:t>
      </w:r>
    </w:p>
    <w:p w14:paraId="6C12A073" w14:textId="78EFB5F0" w:rsidR="00FB51D5" w:rsidRPr="0070674F" w:rsidRDefault="00A718AA" w:rsidP="0070674F">
      <w:pPr>
        <w:widowControl/>
        <w:autoSpaceDE/>
        <w:autoSpaceDN/>
        <w:spacing w:after="120" w:line="276" w:lineRule="auto"/>
        <w:jc w:val="both"/>
        <w:rPr>
          <w:rFonts w:ascii="Arial" w:eastAsia="Calibri" w:hAnsi="Arial" w:cs="Arial"/>
          <w:b/>
          <w:bCs/>
          <w:kern w:val="2"/>
          <w:sz w:val="20"/>
          <w:szCs w:val="20"/>
          <w:lang w:val="en-GB"/>
          <w14:ligatures w14:val="standardContextual"/>
        </w:rPr>
      </w:pPr>
      <w:r w:rsidRPr="0070674F">
        <w:rPr>
          <w:rFonts w:ascii="Arial" w:eastAsia="Calibri" w:hAnsi="Arial" w:cs="Arial"/>
          <w:kern w:val="2"/>
          <w:sz w:val="20"/>
          <w:szCs w:val="20"/>
          <w14:ligatures w14:val="standardContextual"/>
        </w:rPr>
        <w:t xml:space="preserve">The Nigerian transportation sector is heavily reliant on fossil fuels, with over 90% of vehicles running on petrol or diesel (NBS, 2022). Most vehicles on Nigerian roads are used imports, many exceeding 10 years in age. According to the International Council on Clean Transportation (ICCT, 2020), the average age of imported used cars is 11.2 years, contributing significantly to carbon monoxide (CO), nitrogen oxides (NOx), and particulate matter </w:t>
      </w:r>
      <w:r w:rsidRPr="0070674F">
        <w:rPr>
          <w:rFonts w:ascii="Arial" w:eastAsia="Calibri" w:hAnsi="Arial" w:cs="Arial"/>
          <w:kern w:val="2"/>
          <w:sz w:val="20"/>
          <w:szCs w:val="20"/>
          <w14:ligatures w14:val="standardContextual"/>
        </w:rPr>
        <w:lastRenderedPageBreak/>
        <w:t xml:space="preserve">emissions. The </w:t>
      </w:r>
      <w:r w:rsidR="001B22B2">
        <w:rPr>
          <w:rFonts w:ascii="Arial" w:eastAsia="Calibri" w:hAnsi="Arial" w:cs="Arial"/>
          <w:kern w:val="2"/>
          <w:sz w:val="20"/>
          <w:szCs w:val="20"/>
          <w14:ligatures w14:val="standardContextual"/>
        </w:rPr>
        <w:t>Ajayi</w:t>
      </w:r>
      <w:r w:rsidRPr="0070674F">
        <w:rPr>
          <w:rFonts w:ascii="Arial" w:eastAsia="Calibri" w:hAnsi="Arial" w:cs="Arial"/>
          <w:kern w:val="2"/>
          <w:sz w:val="20"/>
          <w:szCs w:val="20"/>
          <w14:ligatures w14:val="standardContextual"/>
        </w:rPr>
        <w:t xml:space="preserve"> (2021) estimates that Nigeria's transport sector contributes around 20% of total national greenhouse gas emissions, with urban transport being the most polluting.</w:t>
      </w:r>
    </w:p>
    <w:p w14:paraId="78674C90" w14:textId="595AFDDD" w:rsidR="0099084C" w:rsidRPr="0070674F" w:rsidRDefault="0099084C" w:rsidP="0070674F">
      <w:pPr>
        <w:widowControl/>
        <w:autoSpaceDE/>
        <w:autoSpaceDN/>
        <w:spacing w:after="160" w:line="276" w:lineRule="auto"/>
        <w:rPr>
          <w:rFonts w:ascii="Arial" w:eastAsia="Calibri" w:hAnsi="Arial" w:cs="Arial"/>
          <w:b/>
          <w:bCs/>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Table 1 Transport Sector C</w:t>
      </w:r>
      <w:r w:rsidRPr="0070674F">
        <w:rPr>
          <w:rFonts w:ascii="Arial" w:eastAsia="Calibri" w:hAnsi="Arial" w:cs="Arial"/>
          <w:b/>
          <w:bCs/>
          <w:kern w:val="2"/>
          <w:sz w:val="20"/>
          <w:szCs w:val="20"/>
          <w:vertAlign w:val="subscript"/>
          <w:lang w:val="en-GB"/>
          <w14:ligatures w14:val="standardContextual"/>
        </w:rPr>
        <w:t>02</w:t>
      </w:r>
      <w:r w:rsidRPr="0070674F">
        <w:rPr>
          <w:rFonts w:ascii="Arial" w:eastAsia="Calibri" w:hAnsi="Arial" w:cs="Arial"/>
          <w:kern w:val="2"/>
          <w:sz w:val="20"/>
          <w:szCs w:val="20"/>
          <w:vertAlign w:val="subscript"/>
          <w:lang w:val="en-GB"/>
          <w14:ligatures w14:val="standardContextual"/>
        </w:rPr>
        <w:t xml:space="preserve"> </w:t>
      </w:r>
      <w:r w:rsidRPr="0070674F">
        <w:rPr>
          <w:rFonts w:ascii="Arial" w:eastAsia="Calibri" w:hAnsi="Arial" w:cs="Arial"/>
          <w:b/>
          <w:bCs/>
          <w:kern w:val="2"/>
          <w:sz w:val="20"/>
          <w:szCs w:val="20"/>
          <w:lang w:val="en-GB"/>
          <w14:ligatures w14:val="standardContextual"/>
        </w:rPr>
        <w:t>Emissions</w:t>
      </w:r>
    </w:p>
    <w:tbl>
      <w:tblPr>
        <w:tblStyle w:val="TableGrid1"/>
        <w:tblW w:w="7107" w:type="dxa"/>
        <w:tblInd w:w="895" w:type="dxa"/>
        <w:tblLook w:val="04A0" w:firstRow="1" w:lastRow="0" w:firstColumn="1" w:lastColumn="0" w:noHBand="0" w:noVBand="1"/>
      </w:tblPr>
      <w:tblGrid>
        <w:gridCol w:w="1920"/>
        <w:gridCol w:w="2522"/>
        <w:gridCol w:w="2665"/>
      </w:tblGrid>
      <w:tr w:rsidR="00CC60E3" w:rsidRPr="0070674F" w14:paraId="369AAAD4" w14:textId="77777777" w:rsidTr="00CC60E3">
        <w:trPr>
          <w:trHeight w:val="426"/>
        </w:trPr>
        <w:tc>
          <w:tcPr>
            <w:tcW w:w="1920" w:type="dxa"/>
          </w:tcPr>
          <w:p w14:paraId="2DF1220E" w14:textId="77777777" w:rsidR="00CC60E3" w:rsidRPr="0070674F" w:rsidRDefault="00CC60E3" w:rsidP="0070674F">
            <w:pPr>
              <w:widowControl/>
              <w:autoSpaceDE/>
              <w:autoSpaceDN/>
              <w:jc w:val="center"/>
              <w:rPr>
                <w:rFonts w:ascii="Arial" w:eastAsia="Calibri" w:hAnsi="Arial" w:cs="Arial"/>
                <w:b/>
                <w:bCs/>
                <w:sz w:val="20"/>
                <w:szCs w:val="20"/>
              </w:rPr>
            </w:pPr>
            <w:r w:rsidRPr="0070674F">
              <w:rPr>
                <w:rFonts w:ascii="Arial" w:eastAsia="Calibri" w:hAnsi="Arial" w:cs="Arial"/>
                <w:b/>
                <w:bCs/>
                <w:sz w:val="20"/>
                <w:szCs w:val="20"/>
              </w:rPr>
              <w:t xml:space="preserve">Transport Sector Mt </w:t>
            </w:r>
            <w:bookmarkStart w:id="1" w:name="_Hlk200082119"/>
            <w:r w:rsidRPr="0070674F">
              <w:rPr>
                <w:rFonts w:ascii="Arial" w:eastAsia="Calibri" w:hAnsi="Arial" w:cs="Arial"/>
                <w:b/>
                <w:bCs/>
                <w:sz w:val="20"/>
                <w:szCs w:val="20"/>
              </w:rPr>
              <w:t>C</w:t>
            </w:r>
            <w:r w:rsidRPr="0070674F">
              <w:rPr>
                <w:rFonts w:ascii="Arial" w:eastAsia="Calibri" w:hAnsi="Arial" w:cs="Arial"/>
                <w:b/>
                <w:bCs/>
                <w:sz w:val="20"/>
                <w:szCs w:val="20"/>
                <w:vertAlign w:val="subscript"/>
              </w:rPr>
              <w:t>02</w:t>
            </w:r>
            <w:bookmarkEnd w:id="1"/>
          </w:p>
        </w:tc>
        <w:tc>
          <w:tcPr>
            <w:tcW w:w="2522" w:type="dxa"/>
          </w:tcPr>
          <w:p w14:paraId="7A7DD906" w14:textId="4DAA8FC0" w:rsidR="00CC60E3" w:rsidRPr="0070674F" w:rsidRDefault="00CC60E3" w:rsidP="0070674F">
            <w:pPr>
              <w:widowControl/>
              <w:autoSpaceDE/>
              <w:autoSpaceDN/>
              <w:jc w:val="center"/>
              <w:rPr>
                <w:rFonts w:ascii="Arial" w:eastAsia="Calibri" w:hAnsi="Arial" w:cs="Arial"/>
                <w:b/>
                <w:bCs/>
                <w:sz w:val="20"/>
                <w:szCs w:val="20"/>
              </w:rPr>
            </w:pPr>
            <w:r w:rsidRPr="0070674F">
              <w:rPr>
                <w:rFonts w:ascii="Arial" w:eastAsia="Calibri" w:hAnsi="Arial" w:cs="Arial"/>
                <w:b/>
                <w:bCs/>
                <w:sz w:val="20"/>
                <w:szCs w:val="20"/>
              </w:rPr>
              <w:t>Year</w:t>
            </w:r>
          </w:p>
        </w:tc>
        <w:tc>
          <w:tcPr>
            <w:tcW w:w="2665" w:type="dxa"/>
          </w:tcPr>
          <w:p w14:paraId="16B442BD" w14:textId="5E7DE79B" w:rsidR="00CC60E3" w:rsidRPr="0070674F" w:rsidRDefault="00CC60E3" w:rsidP="0070674F">
            <w:pPr>
              <w:widowControl/>
              <w:autoSpaceDE/>
              <w:autoSpaceDN/>
              <w:jc w:val="center"/>
              <w:rPr>
                <w:rFonts w:ascii="Arial" w:eastAsia="Calibri" w:hAnsi="Arial" w:cs="Arial"/>
                <w:b/>
                <w:bCs/>
                <w:sz w:val="20"/>
                <w:szCs w:val="20"/>
              </w:rPr>
            </w:pPr>
            <w:r w:rsidRPr="0070674F">
              <w:rPr>
                <w:rFonts w:ascii="Arial" w:eastAsia="Calibri" w:hAnsi="Arial" w:cs="Arial"/>
                <w:b/>
                <w:bCs/>
                <w:sz w:val="20"/>
                <w:szCs w:val="20"/>
              </w:rPr>
              <w:t>Emission value</w:t>
            </w:r>
          </w:p>
        </w:tc>
      </w:tr>
      <w:tr w:rsidR="00CC60E3" w:rsidRPr="0070674F" w14:paraId="520A0688" w14:textId="77777777" w:rsidTr="00CC60E3">
        <w:trPr>
          <w:trHeight w:val="426"/>
        </w:trPr>
        <w:tc>
          <w:tcPr>
            <w:tcW w:w="1920" w:type="dxa"/>
          </w:tcPr>
          <w:p w14:paraId="669848A7"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w:t>
            </w:r>
          </w:p>
        </w:tc>
        <w:tc>
          <w:tcPr>
            <w:tcW w:w="2522" w:type="dxa"/>
          </w:tcPr>
          <w:p w14:paraId="79F7B9AF" w14:textId="2359A852" w:rsidR="00CC60E3" w:rsidRPr="0070674F" w:rsidRDefault="00CC60E3" w:rsidP="0070674F">
            <w:pPr>
              <w:widowControl/>
              <w:tabs>
                <w:tab w:val="left" w:pos="902"/>
              </w:tabs>
              <w:autoSpaceDE/>
              <w:autoSpaceDN/>
              <w:jc w:val="center"/>
              <w:rPr>
                <w:rFonts w:ascii="Arial" w:eastAsia="Calibri" w:hAnsi="Arial" w:cs="Arial"/>
                <w:sz w:val="20"/>
                <w:szCs w:val="20"/>
              </w:rPr>
            </w:pPr>
            <w:r w:rsidRPr="0070674F">
              <w:rPr>
                <w:rFonts w:ascii="Arial" w:eastAsia="Calibri" w:hAnsi="Arial" w:cs="Arial"/>
                <w:sz w:val="20"/>
                <w:szCs w:val="20"/>
              </w:rPr>
              <w:t>2010</w:t>
            </w:r>
          </w:p>
        </w:tc>
        <w:tc>
          <w:tcPr>
            <w:tcW w:w="2665" w:type="dxa"/>
          </w:tcPr>
          <w:p w14:paraId="7B280D00" w14:textId="5273A4FB" w:rsidR="00CC60E3" w:rsidRPr="0070674F" w:rsidRDefault="00CC60E3" w:rsidP="0070674F">
            <w:pPr>
              <w:widowControl/>
              <w:tabs>
                <w:tab w:val="left" w:pos="902"/>
              </w:tabs>
              <w:autoSpaceDE/>
              <w:autoSpaceDN/>
              <w:jc w:val="center"/>
              <w:rPr>
                <w:rFonts w:ascii="Arial" w:eastAsia="Calibri" w:hAnsi="Arial" w:cs="Arial"/>
                <w:sz w:val="20"/>
                <w:szCs w:val="20"/>
              </w:rPr>
            </w:pPr>
            <w:r w:rsidRPr="0070674F">
              <w:rPr>
                <w:rFonts w:ascii="Arial" w:eastAsia="Calibri" w:hAnsi="Arial" w:cs="Arial"/>
                <w:sz w:val="20"/>
                <w:szCs w:val="20"/>
              </w:rPr>
              <w:t>29.733</w:t>
            </w:r>
          </w:p>
        </w:tc>
      </w:tr>
      <w:tr w:rsidR="00CC60E3" w:rsidRPr="0070674F" w14:paraId="234E34F3" w14:textId="77777777" w:rsidTr="00CC60E3">
        <w:trPr>
          <w:trHeight w:val="440"/>
        </w:trPr>
        <w:tc>
          <w:tcPr>
            <w:tcW w:w="1920" w:type="dxa"/>
          </w:tcPr>
          <w:p w14:paraId="65A9820B"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w:t>
            </w:r>
          </w:p>
        </w:tc>
        <w:tc>
          <w:tcPr>
            <w:tcW w:w="2522" w:type="dxa"/>
          </w:tcPr>
          <w:p w14:paraId="7AC46524" w14:textId="419B1706"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2011</w:t>
            </w:r>
          </w:p>
        </w:tc>
        <w:tc>
          <w:tcPr>
            <w:tcW w:w="2665" w:type="dxa"/>
          </w:tcPr>
          <w:p w14:paraId="32EEDCC1" w14:textId="73E10BD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31.731</w:t>
            </w:r>
          </w:p>
        </w:tc>
      </w:tr>
      <w:tr w:rsidR="00CC60E3" w:rsidRPr="0070674F" w14:paraId="3C14D61F" w14:textId="77777777" w:rsidTr="00CC60E3">
        <w:trPr>
          <w:trHeight w:val="426"/>
        </w:trPr>
        <w:tc>
          <w:tcPr>
            <w:tcW w:w="1920" w:type="dxa"/>
          </w:tcPr>
          <w:p w14:paraId="0A520B4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3</w:t>
            </w:r>
          </w:p>
        </w:tc>
        <w:tc>
          <w:tcPr>
            <w:tcW w:w="2522" w:type="dxa"/>
          </w:tcPr>
          <w:p w14:paraId="67C54E48" w14:textId="75CF14B9"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2012</w:t>
            </w:r>
          </w:p>
        </w:tc>
        <w:tc>
          <w:tcPr>
            <w:tcW w:w="2665" w:type="dxa"/>
          </w:tcPr>
          <w:p w14:paraId="08872A5D" w14:textId="1CD3C41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35.164</w:t>
            </w:r>
          </w:p>
        </w:tc>
      </w:tr>
      <w:tr w:rsidR="00CC60E3" w:rsidRPr="0070674F" w14:paraId="077BAA7A" w14:textId="77777777" w:rsidTr="00CC60E3">
        <w:trPr>
          <w:trHeight w:val="426"/>
        </w:trPr>
        <w:tc>
          <w:tcPr>
            <w:tcW w:w="1920" w:type="dxa"/>
          </w:tcPr>
          <w:p w14:paraId="06673C21"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w:t>
            </w:r>
          </w:p>
        </w:tc>
        <w:tc>
          <w:tcPr>
            <w:tcW w:w="2522" w:type="dxa"/>
          </w:tcPr>
          <w:p w14:paraId="4CBA8EF4" w14:textId="245AEB5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2013</w:t>
            </w:r>
          </w:p>
        </w:tc>
        <w:tc>
          <w:tcPr>
            <w:tcW w:w="2665" w:type="dxa"/>
          </w:tcPr>
          <w:p w14:paraId="417A81CC" w14:textId="239C9C64"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44.853</w:t>
            </w:r>
          </w:p>
        </w:tc>
      </w:tr>
      <w:tr w:rsidR="00CC60E3" w:rsidRPr="0070674F" w14:paraId="23776E8A" w14:textId="77777777" w:rsidTr="00CC60E3">
        <w:trPr>
          <w:trHeight w:val="426"/>
        </w:trPr>
        <w:tc>
          <w:tcPr>
            <w:tcW w:w="1920" w:type="dxa"/>
          </w:tcPr>
          <w:p w14:paraId="2E47B721"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w:t>
            </w:r>
          </w:p>
        </w:tc>
        <w:tc>
          <w:tcPr>
            <w:tcW w:w="2522" w:type="dxa"/>
          </w:tcPr>
          <w:p w14:paraId="3D7D1C17" w14:textId="4F03B622"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2014</w:t>
            </w:r>
          </w:p>
        </w:tc>
        <w:tc>
          <w:tcPr>
            <w:tcW w:w="2665" w:type="dxa"/>
          </w:tcPr>
          <w:p w14:paraId="1049384B" w14:textId="0B5F1F1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49.18</w:t>
            </w:r>
          </w:p>
        </w:tc>
      </w:tr>
      <w:tr w:rsidR="00CC60E3" w:rsidRPr="0070674F" w14:paraId="42F194FC" w14:textId="77777777" w:rsidTr="00CC60E3">
        <w:trPr>
          <w:trHeight w:val="426"/>
        </w:trPr>
        <w:tc>
          <w:tcPr>
            <w:tcW w:w="1920" w:type="dxa"/>
          </w:tcPr>
          <w:p w14:paraId="37D87668"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6</w:t>
            </w:r>
          </w:p>
        </w:tc>
        <w:tc>
          <w:tcPr>
            <w:tcW w:w="2522" w:type="dxa"/>
          </w:tcPr>
          <w:p w14:paraId="60FBACB1" w14:textId="5C6F1968"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2015</w:t>
            </w:r>
          </w:p>
        </w:tc>
        <w:tc>
          <w:tcPr>
            <w:tcW w:w="2665" w:type="dxa"/>
          </w:tcPr>
          <w:p w14:paraId="06433832" w14:textId="36DFA7C2"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44.72</w:t>
            </w:r>
          </w:p>
        </w:tc>
      </w:tr>
      <w:tr w:rsidR="00CC60E3" w:rsidRPr="0070674F" w14:paraId="7DE32098" w14:textId="77777777" w:rsidTr="00CC60E3">
        <w:trPr>
          <w:trHeight w:val="440"/>
        </w:trPr>
        <w:tc>
          <w:tcPr>
            <w:tcW w:w="1920" w:type="dxa"/>
          </w:tcPr>
          <w:p w14:paraId="48ED5DB7"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7</w:t>
            </w:r>
          </w:p>
        </w:tc>
        <w:tc>
          <w:tcPr>
            <w:tcW w:w="2522" w:type="dxa"/>
          </w:tcPr>
          <w:p w14:paraId="1BAE5ACA" w14:textId="2D2E8991"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2016</w:t>
            </w:r>
          </w:p>
        </w:tc>
        <w:tc>
          <w:tcPr>
            <w:tcW w:w="2665" w:type="dxa"/>
          </w:tcPr>
          <w:p w14:paraId="55310AF9" w14:textId="7F57CF0F"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51.251</w:t>
            </w:r>
          </w:p>
        </w:tc>
      </w:tr>
      <w:tr w:rsidR="00CC60E3" w:rsidRPr="0070674F" w14:paraId="21837214" w14:textId="77777777" w:rsidTr="00CC60E3">
        <w:trPr>
          <w:trHeight w:val="426"/>
        </w:trPr>
        <w:tc>
          <w:tcPr>
            <w:tcW w:w="1920" w:type="dxa"/>
          </w:tcPr>
          <w:p w14:paraId="0D666C72"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8</w:t>
            </w:r>
          </w:p>
        </w:tc>
        <w:tc>
          <w:tcPr>
            <w:tcW w:w="2522" w:type="dxa"/>
          </w:tcPr>
          <w:p w14:paraId="798276F4" w14:textId="6D6050E5"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2017</w:t>
            </w:r>
          </w:p>
        </w:tc>
        <w:tc>
          <w:tcPr>
            <w:tcW w:w="2665" w:type="dxa"/>
          </w:tcPr>
          <w:p w14:paraId="2D5B0365" w14:textId="748BF9E0"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51.297</w:t>
            </w:r>
          </w:p>
        </w:tc>
      </w:tr>
      <w:tr w:rsidR="00CC60E3" w:rsidRPr="0070674F" w14:paraId="2A84BF6C" w14:textId="77777777" w:rsidTr="00CC60E3">
        <w:trPr>
          <w:trHeight w:val="426"/>
        </w:trPr>
        <w:tc>
          <w:tcPr>
            <w:tcW w:w="1920" w:type="dxa"/>
          </w:tcPr>
          <w:p w14:paraId="4ABC2FFF"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9</w:t>
            </w:r>
          </w:p>
        </w:tc>
        <w:tc>
          <w:tcPr>
            <w:tcW w:w="2522" w:type="dxa"/>
          </w:tcPr>
          <w:p w14:paraId="1BA4F46D" w14:textId="230C5D80"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2018</w:t>
            </w:r>
          </w:p>
        </w:tc>
        <w:tc>
          <w:tcPr>
            <w:tcW w:w="2665" w:type="dxa"/>
          </w:tcPr>
          <w:p w14:paraId="308A3576" w14:textId="04C50824"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54.99</w:t>
            </w:r>
          </w:p>
        </w:tc>
      </w:tr>
      <w:tr w:rsidR="00CC60E3" w:rsidRPr="0070674F" w14:paraId="2FF9C43B" w14:textId="77777777" w:rsidTr="00CC60E3">
        <w:trPr>
          <w:trHeight w:val="426"/>
        </w:trPr>
        <w:tc>
          <w:tcPr>
            <w:tcW w:w="1920" w:type="dxa"/>
          </w:tcPr>
          <w:p w14:paraId="41B06DA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10</w:t>
            </w:r>
          </w:p>
        </w:tc>
        <w:tc>
          <w:tcPr>
            <w:tcW w:w="2522" w:type="dxa"/>
          </w:tcPr>
          <w:p w14:paraId="4E291199" w14:textId="2C6BB82A"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2019</w:t>
            </w:r>
          </w:p>
        </w:tc>
        <w:tc>
          <w:tcPr>
            <w:tcW w:w="2665" w:type="dxa"/>
          </w:tcPr>
          <w:p w14:paraId="286B43DC" w14:textId="4B7BD4CE"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58.863</w:t>
            </w:r>
          </w:p>
        </w:tc>
      </w:tr>
      <w:tr w:rsidR="00CC60E3" w:rsidRPr="0070674F" w14:paraId="6B8C177F" w14:textId="77777777" w:rsidTr="00CC60E3">
        <w:trPr>
          <w:trHeight w:val="426"/>
        </w:trPr>
        <w:tc>
          <w:tcPr>
            <w:tcW w:w="1920" w:type="dxa"/>
          </w:tcPr>
          <w:p w14:paraId="1BE9D9F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11</w:t>
            </w:r>
          </w:p>
        </w:tc>
        <w:tc>
          <w:tcPr>
            <w:tcW w:w="2522" w:type="dxa"/>
          </w:tcPr>
          <w:p w14:paraId="25C50128" w14:textId="3B84F3B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2020</w:t>
            </w:r>
          </w:p>
        </w:tc>
        <w:tc>
          <w:tcPr>
            <w:tcW w:w="2665" w:type="dxa"/>
          </w:tcPr>
          <w:p w14:paraId="755B73A0" w14:textId="5255732F"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50.528</w:t>
            </w:r>
          </w:p>
        </w:tc>
      </w:tr>
      <w:tr w:rsidR="00CC60E3" w:rsidRPr="0070674F" w14:paraId="4E72F926" w14:textId="77777777" w:rsidTr="00CC60E3">
        <w:trPr>
          <w:trHeight w:val="426"/>
        </w:trPr>
        <w:tc>
          <w:tcPr>
            <w:tcW w:w="1920" w:type="dxa"/>
          </w:tcPr>
          <w:p w14:paraId="786E5DDE"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12</w:t>
            </w:r>
          </w:p>
        </w:tc>
        <w:tc>
          <w:tcPr>
            <w:tcW w:w="2522" w:type="dxa"/>
          </w:tcPr>
          <w:p w14:paraId="14B37798" w14:textId="768729EB"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2021</w:t>
            </w:r>
          </w:p>
        </w:tc>
        <w:tc>
          <w:tcPr>
            <w:tcW w:w="2665" w:type="dxa"/>
          </w:tcPr>
          <w:p w14:paraId="3D13FBDE" w14:textId="6E511564"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57.231</w:t>
            </w:r>
          </w:p>
        </w:tc>
      </w:tr>
      <w:tr w:rsidR="00CC60E3" w:rsidRPr="0070674F" w14:paraId="3D3DA072" w14:textId="77777777" w:rsidTr="00CC60E3">
        <w:trPr>
          <w:trHeight w:val="426"/>
        </w:trPr>
        <w:tc>
          <w:tcPr>
            <w:tcW w:w="1920" w:type="dxa"/>
          </w:tcPr>
          <w:p w14:paraId="2BCD0A16" w14:textId="77777777"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13</w:t>
            </w:r>
          </w:p>
        </w:tc>
        <w:tc>
          <w:tcPr>
            <w:tcW w:w="2522" w:type="dxa"/>
          </w:tcPr>
          <w:p w14:paraId="43BF2147" w14:textId="3A60062C"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2022</w:t>
            </w:r>
          </w:p>
        </w:tc>
        <w:tc>
          <w:tcPr>
            <w:tcW w:w="2665" w:type="dxa"/>
          </w:tcPr>
          <w:p w14:paraId="7408BB51" w14:textId="3F9F2A6F" w:rsidR="00CC60E3" w:rsidRPr="0070674F" w:rsidRDefault="00CC60E3" w:rsidP="0070674F">
            <w:pPr>
              <w:widowControl/>
              <w:autoSpaceDE/>
              <w:autoSpaceDN/>
              <w:jc w:val="center"/>
              <w:rPr>
                <w:rFonts w:ascii="Arial" w:eastAsia="Calibri" w:hAnsi="Arial" w:cs="Arial"/>
                <w:sz w:val="20"/>
                <w:szCs w:val="20"/>
              </w:rPr>
            </w:pPr>
            <w:r w:rsidRPr="0070674F">
              <w:rPr>
                <w:rFonts w:ascii="Arial" w:eastAsia="Calibri" w:hAnsi="Arial" w:cs="Arial"/>
                <w:sz w:val="20"/>
                <w:szCs w:val="20"/>
              </w:rPr>
              <w:t>60.783</w:t>
            </w:r>
          </w:p>
        </w:tc>
      </w:tr>
    </w:tbl>
    <w:p w14:paraId="004118C6" w14:textId="59795B3B" w:rsidR="0099084C" w:rsidRPr="0070674F" w:rsidRDefault="0099084C" w:rsidP="0070674F">
      <w:pPr>
        <w:widowControl/>
        <w:autoSpaceDE/>
        <w:autoSpaceDN/>
        <w:spacing w:before="120" w:after="120" w:line="276" w:lineRule="auto"/>
        <w:ind w:left="144" w:firstLine="720"/>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Source:</w:t>
      </w:r>
      <w:r w:rsidRPr="0070674F">
        <w:rPr>
          <w:rFonts w:ascii="Arial" w:eastAsia="Calibri" w:hAnsi="Arial" w:cs="Arial"/>
          <w:kern w:val="2"/>
          <w:sz w:val="20"/>
          <w:szCs w:val="20"/>
          <w:lang w:val="en-GB"/>
          <w14:ligatures w14:val="standardContextual"/>
        </w:rPr>
        <w:t xml:space="preserve"> International Energy Agency 2025</w:t>
      </w:r>
    </w:p>
    <w:p w14:paraId="5C6011DC" w14:textId="06BD2A7B" w:rsidR="0099084C" w:rsidRPr="0070674F" w:rsidRDefault="0099084C" w:rsidP="0070674F">
      <w:pPr>
        <w:widowControl/>
        <w:autoSpaceDE/>
        <w:autoSpaceDN/>
        <w:spacing w:after="160" w:line="276" w:lineRule="auto"/>
        <w:rPr>
          <w:rFonts w:ascii="Arial" w:eastAsia="Calibri" w:hAnsi="Arial" w:cs="Arial"/>
          <w:kern w:val="2"/>
          <w:sz w:val="20"/>
          <w:szCs w:val="20"/>
          <w:lang w:val="en-GB"/>
          <w14:ligatures w14:val="standardContextual"/>
        </w:rPr>
      </w:pPr>
      <w:r w:rsidRPr="0070674F">
        <w:rPr>
          <w:rFonts w:ascii="Arial" w:eastAsia="Calibri" w:hAnsi="Arial" w:cs="Arial"/>
          <w:noProof/>
          <w:kern w:val="2"/>
          <w:sz w:val="20"/>
          <w:szCs w:val="20"/>
          <w14:ligatures w14:val="standardContextual"/>
        </w:rPr>
        <mc:AlternateContent>
          <mc:Choice Requires="cx1">
            <w:drawing>
              <wp:inline distT="0" distB="0" distL="0" distR="0" wp14:anchorId="17A7CCD3" wp14:editId="1B698B81">
                <wp:extent cx="5947576" cy="2544417"/>
                <wp:effectExtent l="0" t="0" r="15240" b="8890"/>
                <wp:docPr id="800525495" name="Chart 1">
                  <a:extLst xmlns:a="http://schemas.openxmlformats.org/drawingml/2006/main">
                    <a:ext uri="{FF2B5EF4-FFF2-40B4-BE49-F238E27FC236}">
                      <a16:creationId xmlns:a16="http://schemas.microsoft.com/office/drawing/2014/main" id="{C70482B3-D36D-A8FC-2401-B752F0B0E11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w:drawing>
              <wp:inline distT="0" distB="0" distL="0" distR="0" wp14:anchorId="17A7CCD3" wp14:editId="1B698B81">
                <wp:extent cx="5947576" cy="2544417"/>
                <wp:effectExtent l="0" t="0" r="15240" b="8890"/>
                <wp:docPr id="800525495" name="Chart 1">
                  <a:extLst xmlns:a="http://schemas.openxmlformats.org/drawingml/2006/main">
                    <a:ext uri="{FF2B5EF4-FFF2-40B4-BE49-F238E27FC236}">
                      <a16:creationId xmlns:a16="http://schemas.microsoft.com/office/drawing/2014/main" id="{C70482B3-D36D-A8FC-2401-B752F0B0E11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00525495" name="Chart 1">
                          <a:extLst>
                            <a:ext uri="{FF2B5EF4-FFF2-40B4-BE49-F238E27FC236}">
                              <a16:creationId xmlns:a16="http://schemas.microsoft.com/office/drawing/2014/main" id="{C70482B3-D36D-A8FC-2401-B752F0B0E112}"/>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5947410" cy="2543810"/>
                        </a:xfrm>
                        <a:prstGeom prst="rect">
                          <a:avLst/>
                        </a:prstGeom>
                      </pic:spPr>
                    </pic:pic>
                  </a:graphicData>
                </a:graphic>
              </wp:inline>
            </w:drawing>
          </mc:Fallback>
        </mc:AlternateContent>
      </w:r>
    </w:p>
    <w:p w14:paraId="407D9E50" w14:textId="63CF8872" w:rsidR="00A718AA" w:rsidRPr="0070674F" w:rsidRDefault="00A718AA" w:rsidP="0070674F">
      <w:pPr>
        <w:widowControl/>
        <w:autoSpaceDE/>
        <w:autoSpaceDN/>
        <w:spacing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 xml:space="preserve">Figure 1 </w:t>
      </w:r>
      <w:r w:rsidRPr="0070674F">
        <w:rPr>
          <w:rFonts w:ascii="Arial" w:eastAsia="Calibri" w:hAnsi="Arial" w:cs="Arial"/>
          <w:kern w:val="2"/>
          <w:sz w:val="20"/>
          <w:szCs w:val="20"/>
          <w:lang w:val="en-GB"/>
          <w14:ligatures w14:val="standardContextual"/>
        </w:rPr>
        <w:t>Emission Trends in Nigeria’s Transport Sector</w:t>
      </w:r>
    </w:p>
    <w:p w14:paraId="4E73F31F" w14:textId="14FCC77C" w:rsidR="005C7871" w:rsidRPr="0070674F" w:rsidRDefault="005C7871" w:rsidP="0070674F">
      <w:pPr>
        <w:widowControl/>
        <w:autoSpaceDE/>
        <w:autoSpaceDN/>
        <w:spacing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lastRenderedPageBreak/>
        <w:t>Source:</w:t>
      </w:r>
      <w:r w:rsidRPr="0070674F">
        <w:rPr>
          <w:rFonts w:ascii="Arial" w:eastAsia="Calibri" w:hAnsi="Arial" w:cs="Arial"/>
          <w:kern w:val="2"/>
          <w:sz w:val="20"/>
          <w:szCs w:val="20"/>
          <w:lang w:val="en-GB"/>
          <w14:ligatures w14:val="standardContextual"/>
        </w:rPr>
        <w:t xml:space="preserve"> World Development Indicators (2025).</w:t>
      </w:r>
    </w:p>
    <w:p w14:paraId="46BCCD4A" w14:textId="293CA975" w:rsidR="00CC60E3" w:rsidRPr="0070674F" w:rsidRDefault="0099084C" w:rsidP="0070674F">
      <w:pPr>
        <w:widowControl/>
        <w:autoSpaceDE/>
        <w:autoSpaceDN/>
        <w:spacing w:before="240"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kern w:val="2"/>
          <w:sz w:val="20"/>
          <w:szCs w:val="20"/>
          <w:lang w:val="en-GB"/>
          <w14:ligatures w14:val="standardContextual"/>
        </w:rPr>
        <w:t xml:space="preserve">From </w:t>
      </w:r>
      <w:r w:rsidR="00A718AA" w:rsidRPr="0070674F">
        <w:rPr>
          <w:rFonts w:ascii="Arial" w:eastAsia="Calibri" w:hAnsi="Arial" w:cs="Arial"/>
          <w:kern w:val="2"/>
          <w:sz w:val="20"/>
          <w:szCs w:val="20"/>
          <w:lang w:val="en-GB"/>
          <w14:ligatures w14:val="standardContextual"/>
        </w:rPr>
        <w:t>T</w:t>
      </w:r>
      <w:r w:rsidRPr="0070674F">
        <w:rPr>
          <w:rFonts w:ascii="Arial" w:eastAsia="Calibri" w:hAnsi="Arial" w:cs="Arial"/>
          <w:kern w:val="2"/>
          <w:sz w:val="20"/>
          <w:szCs w:val="20"/>
          <w:lang w:val="en-GB"/>
          <w14:ligatures w14:val="standardContextual"/>
        </w:rPr>
        <w:t xml:space="preserve">able </w:t>
      </w:r>
      <w:r w:rsidR="00A718AA" w:rsidRPr="0070674F">
        <w:rPr>
          <w:rFonts w:ascii="Arial" w:eastAsia="Calibri" w:hAnsi="Arial" w:cs="Arial"/>
          <w:kern w:val="2"/>
          <w:sz w:val="20"/>
          <w:szCs w:val="20"/>
          <w:lang w:val="en-GB"/>
          <w14:ligatures w14:val="standardContextual"/>
        </w:rPr>
        <w:t xml:space="preserve">1 and Figure 1 </w:t>
      </w:r>
      <w:r w:rsidRPr="0070674F">
        <w:rPr>
          <w:rFonts w:ascii="Arial" w:eastAsia="Calibri" w:hAnsi="Arial" w:cs="Arial"/>
          <w:kern w:val="2"/>
          <w:sz w:val="20"/>
          <w:szCs w:val="20"/>
          <w:lang w:val="en-GB"/>
          <w14:ligatures w14:val="standardContextual"/>
        </w:rPr>
        <w:t>above, between 2010 to 2022, Nigeria’s transport sector emissions rose from 29.733 MtCO</w:t>
      </w:r>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lang w:val="en-GB"/>
          <w14:ligatures w14:val="standardContextual"/>
        </w:rPr>
        <w:t xml:space="preserve"> to over 70 MtCO</w:t>
      </w:r>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lang w:val="en-GB"/>
          <w14:ligatures w14:val="standardContextual"/>
        </w:rPr>
        <w:t>. According to WDI (2025), the spike aligns with urbanization and increase in imported second-hand vehicles.</w:t>
      </w:r>
    </w:p>
    <w:p w14:paraId="0368F421" w14:textId="696BF0A7" w:rsidR="0099084C" w:rsidRPr="0070674F" w:rsidRDefault="0099084C" w:rsidP="0070674F">
      <w:pPr>
        <w:widowControl/>
        <w:autoSpaceDE/>
        <w:autoSpaceDN/>
        <w:spacing w:line="276" w:lineRule="auto"/>
        <w:jc w:val="both"/>
        <w:rPr>
          <w:rFonts w:ascii="Arial" w:eastAsia="Calibri" w:hAnsi="Arial" w:cs="Arial"/>
          <w:b/>
          <w:bCs/>
          <w:kern w:val="2"/>
          <w:sz w:val="20"/>
          <w:szCs w:val="20"/>
          <w:lang w:val="en-GB"/>
          <w14:ligatures w14:val="standardContextual"/>
        </w:rPr>
      </w:pPr>
      <w:r w:rsidRPr="0070674F">
        <w:rPr>
          <w:rFonts w:ascii="Arial" w:eastAsia="Calibri" w:hAnsi="Arial" w:cs="Arial"/>
          <w:b/>
          <w:bCs/>
          <w:kern w:val="2"/>
          <w:sz w:val="20"/>
          <w:szCs w:val="20"/>
          <w14:ligatures w14:val="standardContextual"/>
        </w:rPr>
        <w:t>Table 2</w:t>
      </w:r>
      <w:r w:rsidRPr="0070674F">
        <w:rPr>
          <w:rFonts w:ascii="Arial" w:eastAsia="Calibri" w:hAnsi="Arial" w:cs="Arial"/>
          <w:b/>
          <w:bCs/>
          <w:kern w:val="2"/>
          <w:sz w:val="20"/>
          <w:szCs w:val="20"/>
          <w:lang w:val="en-GB"/>
          <w14:ligatures w14:val="standardContextual"/>
        </w:rPr>
        <w:t xml:space="preserve"> Co</w:t>
      </w:r>
      <w:r w:rsidRPr="0070674F">
        <w:rPr>
          <w:rFonts w:ascii="Arial" w:eastAsia="Calibri" w:hAnsi="Arial" w:cs="Arial"/>
          <w:b/>
          <w:bCs/>
          <w:kern w:val="2"/>
          <w:sz w:val="20"/>
          <w:szCs w:val="20"/>
          <w:vertAlign w:val="subscript"/>
          <w:lang w:val="en-GB"/>
          <w14:ligatures w14:val="standardContextual"/>
        </w:rPr>
        <w:t xml:space="preserve">2 </w:t>
      </w:r>
      <w:r w:rsidRPr="0070674F">
        <w:rPr>
          <w:rFonts w:ascii="Arial" w:eastAsia="Calibri" w:hAnsi="Arial" w:cs="Arial"/>
          <w:b/>
          <w:bCs/>
          <w:kern w:val="2"/>
          <w:sz w:val="20"/>
          <w:szCs w:val="20"/>
          <w:lang w:val="en-GB"/>
          <w14:ligatures w14:val="standardContextual"/>
        </w:rPr>
        <w:t>emissions by sector in Nigeria</w:t>
      </w:r>
    </w:p>
    <w:tbl>
      <w:tblPr>
        <w:tblStyle w:val="TableGrid1"/>
        <w:tblW w:w="8370" w:type="dxa"/>
        <w:tblInd w:w="625" w:type="dxa"/>
        <w:tblLook w:val="04A0" w:firstRow="1" w:lastRow="0" w:firstColumn="1" w:lastColumn="0" w:noHBand="0" w:noVBand="1"/>
      </w:tblPr>
      <w:tblGrid>
        <w:gridCol w:w="696"/>
        <w:gridCol w:w="1824"/>
        <w:gridCol w:w="1530"/>
        <w:gridCol w:w="2544"/>
        <w:gridCol w:w="1776"/>
      </w:tblGrid>
      <w:tr w:rsidR="00CC60E3" w:rsidRPr="0070674F" w14:paraId="07FC1D52" w14:textId="77777777" w:rsidTr="0070674F">
        <w:trPr>
          <w:trHeight w:val="549"/>
        </w:trPr>
        <w:tc>
          <w:tcPr>
            <w:tcW w:w="696" w:type="dxa"/>
          </w:tcPr>
          <w:p w14:paraId="56D90C3D" w14:textId="6605C533"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Year</w:t>
            </w:r>
          </w:p>
        </w:tc>
        <w:tc>
          <w:tcPr>
            <w:tcW w:w="1824" w:type="dxa"/>
          </w:tcPr>
          <w:p w14:paraId="5FB7555A" w14:textId="066B2DDE"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Unit</w:t>
            </w:r>
          </w:p>
        </w:tc>
        <w:tc>
          <w:tcPr>
            <w:tcW w:w="1530" w:type="dxa"/>
          </w:tcPr>
          <w:p w14:paraId="6C6A57EC" w14:textId="66BA2EA2"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Transport</w:t>
            </w:r>
          </w:p>
        </w:tc>
        <w:tc>
          <w:tcPr>
            <w:tcW w:w="2544" w:type="dxa"/>
          </w:tcPr>
          <w:p w14:paraId="46BBF2F1" w14:textId="77777777" w:rsidR="00CC60E3" w:rsidRPr="0070674F" w:rsidRDefault="00CC60E3" w:rsidP="0070674F">
            <w:pPr>
              <w:widowControl/>
              <w:autoSpaceDE/>
              <w:autoSpaceDN/>
              <w:rPr>
                <w:rFonts w:ascii="Arial" w:eastAsia="Calibri" w:hAnsi="Arial" w:cs="Arial"/>
                <w:b/>
                <w:bCs/>
                <w:sz w:val="20"/>
                <w:szCs w:val="20"/>
              </w:rPr>
            </w:pPr>
            <w:r w:rsidRPr="0070674F">
              <w:rPr>
                <w:rFonts w:ascii="Arial" w:eastAsia="Calibri" w:hAnsi="Arial" w:cs="Arial"/>
                <w:b/>
                <w:bCs/>
                <w:sz w:val="20"/>
                <w:szCs w:val="20"/>
              </w:rPr>
              <w:t>Electricity and other heat Producer</w:t>
            </w:r>
          </w:p>
        </w:tc>
        <w:tc>
          <w:tcPr>
            <w:tcW w:w="1776" w:type="dxa"/>
          </w:tcPr>
          <w:p w14:paraId="3363EB48" w14:textId="77777777" w:rsidR="00CC60E3" w:rsidRPr="0070674F" w:rsidRDefault="00CC60E3" w:rsidP="0070674F">
            <w:pPr>
              <w:widowControl/>
              <w:autoSpaceDE/>
              <w:autoSpaceDN/>
              <w:jc w:val="both"/>
              <w:rPr>
                <w:rFonts w:ascii="Arial" w:eastAsia="Calibri" w:hAnsi="Arial" w:cs="Arial"/>
                <w:b/>
                <w:bCs/>
                <w:sz w:val="20"/>
                <w:szCs w:val="20"/>
              </w:rPr>
            </w:pPr>
            <w:r w:rsidRPr="0070674F">
              <w:rPr>
                <w:rFonts w:ascii="Arial" w:eastAsia="Calibri" w:hAnsi="Arial" w:cs="Arial"/>
                <w:b/>
                <w:bCs/>
                <w:sz w:val="20"/>
                <w:szCs w:val="20"/>
              </w:rPr>
              <w:t>Other Energies</w:t>
            </w:r>
          </w:p>
        </w:tc>
      </w:tr>
      <w:tr w:rsidR="00CC60E3" w:rsidRPr="0070674F" w14:paraId="15F0D1AB" w14:textId="77777777" w:rsidTr="0070674F">
        <w:trPr>
          <w:trHeight w:val="351"/>
        </w:trPr>
        <w:tc>
          <w:tcPr>
            <w:tcW w:w="696" w:type="dxa"/>
          </w:tcPr>
          <w:p w14:paraId="4B2E91A7" w14:textId="58CB462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2010</w:t>
            </w:r>
          </w:p>
        </w:tc>
        <w:tc>
          <w:tcPr>
            <w:tcW w:w="1824" w:type="dxa"/>
          </w:tcPr>
          <w:p w14:paraId="54969107" w14:textId="09505D2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6DFD9A0B" w14:textId="6E33B4A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29.733</w:t>
            </w:r>
          </w:p>
        </w:tc>
        <w:tc>
          <w:tcPr>
            <w:tcW w:w="2544" w:type="dxa"/>
          </w:tcPr>
          <w:p w14:paraId="350B8E3C"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10.714</w:t>
            </w:r>
          </w:p>
        </w:tc>
        <w:tc>
          <w:tcPr>
            <w:tcW w:w="1776" w:type="dxa"/>
          </w:tcPr>
          <w:p w14:paraId="175C5F8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9.049</w:t>
            </w:r>
          </w:p>
        </w:tc>
      </w:tr>
      <w:tr w:rsidR="00CC60E3" w:rsidRPr="0070674F" w14:paraId="5D2F7BE3" w14:textId="77777777" w:rsidTr="0070674F">
        <w:trPr>
          <w:trHeight w:val="351"/>
        </w:trPr>
        <w:tc>
          <w:tcPr>
            <w:tcW w:w="696" w:type="dxa"/>
          </w:tcPr>
          <w:p w14:paraId="436E12CE" w14:textId="6B137AF6"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2011</w:t>
            </w:r>
          </w:p>
        </w:tc>
        <w:tc>
          <w:tcPr>
            <w:tcW w:w="1824" w:type="dxa"/>
          </w:tcPr>
          <w:p w14:paraId="70D448AB" w14:textId="6561139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52A83C66" w14:textId="255FEB9B"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31.731</w:t>
            </w:r>
          </w:p>
        </w:tc>
        <w:tc>
          <w:tcPr>
            <w:tcW w:w="2544" w:type="dxa"/>
          </w:tcPr>
          <w:p w14:paraId="1B220680"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11.571</w:t>
            </w:r>
          </w:p>
        </w:tc>
        <w:tc>
          <w:tcPr>
            <w:tcW w:w="1776" w:type="dxa"/>
          </w:tcPr>
          <w:p w14:paraId="03601021"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11.329</w:t>
            </w:r>
          </w:p>
        </w:tc>
      </w:tr>
      <w:tr w:rsidR="00CC60E3" w:rsidRPr="0070674F" w14:paraId="38E92722" w14:textId="77777777" w:rsidTr="0070674F">
        <w:trPr>
          <w:trHeight w:val="351"/>
        </w:trPr>
        <w:tc>
          <w:tcPr>
            <w:tcW w:w="696" w:type="dxa"/>
          </w:tcPr>
          <w:p w14:paraId="37CAB71C" w14:textId="583A961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2012</w:t>
            </w:r>
          </w:p>
        </w:tc>
        <w:tc>
          <w:tcPr>
            <w:tcW w:w="1824" w:type="dxa"/>
          </w:tcPr>
          <w:p w14:paraId="76DF80F0" w14:textId="5A9D2708"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01B09E8B" w14:textId="4DE0826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35.164</w:t>
            </w:r>
          </w:p>
        </w:tc>
        <w:tc>
          <w:tcPr>
            <w:tcW w:w="2544" w:type="dxa"/>
          </w:tcPr>
          <w:p w14:paraId="6FBEDD43"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12.826</w:t>
            </w:r>
          </w:p>
        </w:tc>
        <w:tc>
          <w:tcPr>
            <w:tcW w:w="1776" w:type="dxa"/>
          </w:tcPr>
          <w:p w14:paraId="083B37FA"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12.008</w:t>
            </w:r>
          </w:p>
        </w:tc>
      </w:tr>
      <w:tr w:rsidR="00CC60E3" w:rsidRPr="0070674F" w14:paraId="4C1318BE" w14:textId="77777777" w:rsidTr="0070674F">
        <w:trPr>
          <w:trHeight w:val="351"/>
        </w:trPr>
        <w:tc>
          <w:tcPr>
            <w:tcW w:w="696" w:type="dxa"/>
          </w:tcPr>
          <w:p w14:paraId="17F8442A" w14:textId="59EF319A"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2013</w:t>
            </w:r>
          </w:p>
        </w:tc>
        <w:tc>
          <w:tcPr>
            <w:tcW w:w="1824" w:type="dxa"/>
          </w:tcPr>
          <w:p w14:paraId="2A5BB62F" w14:textId="484EB6AA"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638F06A3" w14:textId="09AA15B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44.853</w:t>
            </w:r>
          </w:p>
        </w:tc>
        <w:tc>
          <w:tcPr>
            <w:tcW w:w="2544" w:type="dxa"/>
          </w:tcPr>
          <w:p w14:paraId="00FE7967"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14.504</w:t>
            </w:r>
          </w:p>
        </w:tc>
        <w:tc>
          <w:tcPr>
            <w:tcW w:w="1776" w:type="dxa"/>
          </w:tcPr>
          <w:p w14:paraId="3D842442"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12.184</w:t>
            </w:r>
          </w:p>
        </w:tc>
      </w:tr>
      <w:tr w:rsidR="00CC60E3" w:rsidRPr="0070674F" w14:paraId="0E6E1B3F" w14:textId="77777777" w:rsidTr="0070674F">
        <w:trPr>
          <w:trHeight w:val="342"/>
        </w:trPr>
        <w:tc>
          <w:tcPr>
            <w:tcW w:w="696" w:type="dxa"/>
          </w:tcPr>
          <w:p w14:paraId="21B3B575" w14:textId="0EC269C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2014</w:t>
            </w:r>
          </w:p>
        </w:tc>
        <w:tc>
          <w:tcPr>
            <w:tcW w:w="1824" w:type="dxa"/>
          </w:tcPr>
          <w:p w14:paraId="0645029A" w14:textId="5361D9B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13A90CD0" w14:textId="32166DB2"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49.18</w:t>
            </w:r>
          </w:p>
        </w:tc>
        <w:tc>
          <w:tcPr>
            <w:tcW w:w="2544" w:type="dxa"/>
          </w:tcPr>
          <w:p w14:paraId="575D4E98"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18.042</w:t>
            </w:r>
          </w:p>
        </w:tc>
        <w:tc>
          <w:tcPr>
            <w:tcW w:w="1776" w:type="dxa"/>
          </w:tcPr>
          <w:p w14:paraId="319CFE8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12.714</w:t>
            </w:r>
          </w:p>
        </w:tc>
      </w:tr>
      <w:tr w:rsidR="00CC60E3" w:rsidRPr="0070674F" w14:paraId="5ABBF6FE" w14:textId="77777777" w:rsidTr="0070674F">
        <w:trPr>
          <w:trHeight w:val="351"/>
        </w:trPr>
        <w:tc>
          <w:tcPr>
            <w:tcW w:w="696" w:type="dxa"/>
          </w:tcPr>
          <w:p w14:paraId="25AA82C0" w14:textId="6BE9AE5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2015</w:t>
            </w:r>
          </w:p>
        </w:tc>
        <w:tc>
          <w:tcPr>
            <w:tcW w:w="1824" w:type="dxa"/>
          </w:tcPr>
          <w:p w14:paraId="1966C3B6" w14:textId="7ED3667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31180BB7" w14:textId="0BCAA5A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44.72</w:t>
            </w:r>
          </w:p>
        </w:tc>
        <w:tc>
          <w:tcPr>
            <w:tcW w:w="2544" w:type="dxa"/>
          </w:tcPr>
          <w:p w14:paraId="02863E6E"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19.478</w:t>
            </w:r>
          </w:p>
        </w:tc>
        <w:tc>
          <w:tcPr>
            <w:tcW w:w="1776" w:type="dxa"/>
          </w:tcPr>
          <w:p w14:paraId="7315B85B"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12.438</w:t>
            </w:r>
          </w:p>
        </w:tc>
      </w:tr>
      <w:tr w:rsidR="00CC60E3" w:rsidRPr="0070674F" w14:paraId="0D8AF24D" w14:textId="77777777" w:rsidTr="0070674F">
        <w:trPr>
          <w:trHeight w:val="351"/>
        </w:trPr>
        <w:tc>
          <w:tcPr>
            <w:tcW w:w="696" w:type="dxa"/>
          </w:tcPr>
          <w:p w14:paraId="3892175C" w14:textId="0F101D3C"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2016</w:t>
            </w:r>
          </w:p>
        </w:tc>
        <w:tc>
          <w:tcPr>
            <w:tcW w:w="1824" w:type="dxa"/>
          </w:tcPr>
          <w:p w14:paraId="5796F857" w14:textId="783E4D73"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77FF4AF5" w14:textId="14760735"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51.251</w:t>
            </w:r>
          </w:p>
        </w:tc>
        <w:tc>
          <w:tcPr>
            <w:tcW w:w="2544" w:type="dxa"/>
          </w:tcPr>
          <w:p w14:paraId="17EB8D4C"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22.306</w:t>
            </w:r>
          </w:p>
        </w:tc>
        <w:tc>
          <w:tcPr>
            <w:tcW w:w="1776" w:type="dxa"/>
          </w:tcPr>
          <w:p w14:paraId="42984C7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12.969</w:t>
            </w:r>
          </w:p>
        </w:tc>
      </w:tr>
      <w:tr w:rsidR="00CC60E3" w:rsidRPr="0070674F" w14:paraId="50462899" w14:textId="77777777" w:rsidTr="0070674F">
        <w:trPr>
          <w:trHeight w:val="351"/>
        </w:trPr>
        <w:tc>
          <w:tcPr>
            <w:tcW w:w="696" w:type="dxa"/>
          </w:tcPr>
          <w:p w14:paraId="105BF91F" w14:textId="092E3FF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2017</w:t>
            </w:r>
          </w:p>
        </w:tc>
        <w:tc>
          <w:tcPr>
            <w:tcW w:w="1824" w:type="dxa"/>
          </w:tcPr>
          <w:p w14:paraId="3370CAE4" w14:textId="4E59DFFE"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267E28F3" w14:textId="6E2A725D"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51.297</w:t>
            </w:r>
          </w:p>
        </w:tc>
        <w:tc>
          <w:tcPr>
            <w:tcW w:w="2544" w:type="dxa"/>
          </w:tcPr>
          <w:p w14:paraId="50F5B5D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14.075</w:t>
            </w:r>
          </w:p>
        </w:tc>
        <w:tc>
          <w:tcPr>
            <w:tcW w:w="1776" w:type="dxa"/>
          </w:tcPr>
          <w:p w14:paraId="7D4EB2FA"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13.223</w:t>
            </w:r>
          </w:p>
        </w:tc>
      </w:tr>
      <w:tr w:rsidR="00CC60E3" w:rsidRPr="0070674F" w14:paraId="79B8A434" w14:textId="77777777" w:rsidTr="00A61279">
        <w:trPr>
          <w:trHeight w:val="351"/>
        </w:trPr>
        <w:tc>
          <w:tcPr>
            <w:tcW w:w="696" w:type="dxa"/>
          </w:tcPr>
          <w:p w14:paraId="53D9E76C" w14:textId="68F3029D"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2018</w:t>
            </w:r>
          </w:p>
        </w:tc>
        <w:tc>
          <w:tcPr>
            <w:tcW w:w="1824" w:type="dxa"/>
          </w:tcPr>
          <w:p w14:paraId="69900096" w14:textId="4DB83E1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2E905591" w14:textId="53B1762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54.99</w:t>
            </w:r>
          </w:p>
        </w:tc>
        <w:tc>
          <w:tcPr>
            <w:tcW w:w="2544" w:type="dxa"/>
          </w:tcPr>
          <w:p w14:paraId="722F694C"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15.347</w:t>
            </w:r>
          </w:p>
        </w:tc>
        <w:tc>
          <w:tcPr>
            <w:tcW w:w="1776" w:type="dxa"/>
          </w:tcPr>
          <w:p w14:paraId="1FE78FB5"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12.322</w:t>
            </w:r>
          </w:p>
        </w:tc>
      </w:tr>
      <w:tr w:rsidR="00CC60E3" w:rsidRPr="0070674F" w14:paraId="03B203C7" w14:textId="77777777" w:rsidTr="00A61279">
        <w:trPr>
          <w:trHeight w:val="351"/>
        </w:trPr>
        <w:tc>
          <w:tcPr>
            <w:tcW w:w="696" w:type="dxa"/>
          </w:tcPr>
          <w:p w14:paraId="68294A88" w14:textId="3032D84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2019</w:t>
            </w:r>
          </w:p>
        </w:tc>
        <w:tc>
          <w:tcPr>
            <w:tcW w:w="1824" w:type="dxa"/>
          </w:tcPr>
          <w:p w14:paraId="131D29D6" w14:textId="299F6F5D"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3B8066A9" w14:textId="09141481"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58.863</w:t>
            </w:r>
          </w:p>
        </w:tc>
        <w:tc>
          <w:tcPr>
            <w:tcW w:w="2544" w:type="dxa"/>
          </w:tcPr>
          <w:p w14:paraId="47EF4054"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14.647</w:t>
            </w:r>
          </w:p>
        </w:tc>
        <w:tc>
          <w:tcPr>
            <w:tcW w:w="1776" w:type="dxa"/>
          </w:tcPr>
          <w:p w14:paraId="4083B5AD"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12.514</w:t>
            </w:r>
          </w:p>
        </w:tc>
      </w:tr>
      <w:tr w:rsidR="00CC60E3" w:rsidRPr="0070674F" w14:paraId="6C402EDC" w14:textId="77777777" w:rsidTr="00A61279">
        <w:trPr>
          <w:trHeight w:val="351"/>
        </w:trPr>
        <w:tc>
          <w:tcPr>
            <w:tcW w:w="696" w:type="dxa"/>
          </w:tcPr>
          <w:p w14:paraId="417E83F8" w14:textId="64800146"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2020</w:t>
            </w:r>
          </w:p>
        </w:tc>
        <w:tc>
          <w:tcPr>
            <w:tcW w:w="1824" w:type="dxa"/>
          </w:tcPr>
          <w:p w14:paraId="2D99A7E6" w14:textId="1DBDC701"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5F47A130" w14:textId="175A6CEF"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50.528</w:t>
            </w:r>
          </w:p>
        </w:tc>
        <w:tc>
          <w:tcPr>
            <w:tcW w:w="2544" w:type="dxa"/>
          </w:tcPr>
          <w:p w14:paraId="59FF9B9B"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15.809</w:t>
            </w:r>
          </w:p>
        </w:tc>
        <w:tc>
          <w:tcPr>
            <w:tcW w:w="1776" w:type="dxa"/>
          </w:tcPr>
          <w:p w14:paraId="3E017C19"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11.655</w:t>
            </w:r>
          </w:p>
        </w:tc>
      </w:tr>
      <w:tr w:rsidR="00CC60E3" w:rsidRPr="0070674F" w14:paraId="07297FEB" w14:textId="77777777" w:rsidTr="00A61279">
        <w:trPr>
          <w:trHeight w:val="351"/>
        </w:trPr>
        <w:tc>
          <w:tcPr>
            <w:tcW w:w="696" w:type="dxa"/>
          </w:tcPr>
          <w:p w14:paraId="53B8349C" w14:textId="14882C69"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2021</w:t>
            </w:r>
          </w:p>
        </w:tc>
        <w:tc>
          <w:tcPr>
            <w:tcW w:w="1824" w:type="dxa"/>
          </w:tcPr>
          <w:p w14:paraId="5CC72D7F" w14:textId="471C70B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7552B098" w14:textId="5D4FC185"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57.231</w:t>
            </w:r>
          </w:p>
        </w:tc>
        <w:tc>
          <w:tcPr>
            <w:tcW w:w="2544" w:type="dxa"/>
          </w:tcPr>
          <w:p w14:paraId="004DAF09"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16.275</w:t>
            </w:r>
          </w:p>
        </w:tc>
        <w:tc>
          <w:tcPr>
            <w:tcW w:w="1776" w:type="dxa"/>
          </w:tcPr>
          <w:p w14:paraId="3F408A77"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10.441</w:t>
            </w:r>
          </w:p>
        </w:tc>
      </w:tr>
      <w:tr w:rsidR="00CC60E3" w:rsidRPr="0070674F" w14:paraId="26E5973C" w14:textId="77777777" w:rsidTr="00A31388">
        <w:trPr>
          <w:trHeight w:val="338"/>
        </w:trPr>
        <w:tc>
          <w:tcPr>
            <w:tcW w:w="696" w:type="dxa"/>
          </w:tcPr>
          <w:p w14:paraId="2971F2DD" w14:textId="291CFBA4"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2022</w:t>
            </w:r>
          </w:p>
        </w:tc>
        <w:tc>
          <w:tcPr>
            <w:tcW w:w="1824" w:type="dxa"/>
          </w:tcPr>
          <w:p w14:paraId="137ED4B7" w14:textId="57EE904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Mt Co</w:t>
            </w:r>
            <w:r w:rsidRPr="0070674F">
              <w:rPr>
                <w:rFonts w:ascii="Arial" w:eastAsia="Calibri" w:hAnsi="Arial" w:cs="Arial"/>
                <w:sz w:val="20"/>
                <w:szCs w:val="20"/>
                <w:vertAlign w:val="subscript"/>
              </w:rPr>
              <w:t>2</w:t>
            </w:r>
          </w:p>
        </w:tc>
        <w:tc>
          <w:tcPr>
            <w:tcW w:w="1530" w:type="dxa"/>
          </w:tcPr>
          <w:p w14:paraId="5E1D10D8" w14:textId="79708510"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60.783</w:t>
            </w:r>
          </w:p>
        </w:tc>
        <w:tc>
          <w:tcPr>
            <w:tcW w:w="2544" w:type="dxa"/>
          </w:tcPr>
          <w:p w14:paraId="1C1C0A55"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14.963</w:t>
            </w:r>
          </w:p>
        </w:tc>
        <w:tc>
          <w:tcPr>
            <w:tcW w:w="1776" w:type="dxa"/>
          </w:tcPr>
          <w:p w14:paraId="7AC52CE0" w14:textId="77777777" w:rsidR="00CC60E3" w:rsidRPr="0070674F" w:rsidRDefault="00CC60E3" w:rsidP="0070674F">
            <w:pPr>
              <w:widowControl/>
              <w:autoSpaceDE/>
              <w:autoSpaceDN/>
              <w:jc w:val="both"/>
              <w:rPr>
                <w:rFonts w:ascii="Arial" w:eastAsia="Calibri" w:hAnsi="Arial" w:cs="Arial"/>
                <w:sz w:val="20"/>
                <w:szCs w:val="20"/>
              </w:rPr>
            </w:pPr>
            <w:r w:rsidRPr="0070674F">
              <w:rPr>
                <w:rFonts w:ascii="Arial" w:eastAsia="Calibri" w:hAnsi="Arial" w:cs="Arial"/>
                <w:sz w:val="20"/>
                <w:szCs w:val="20"/>
              </w:rPr>
              <w:t>9.458</w:t>
            </w:r>
          </w:p>
        </w:tc>
      </w:tr>
    </w:tbl>
    <w:p w14:paraId="103D9A39" w14:textId="0943366E" w:rsidR="00080647" w:rsidRPr="0070674F" w:rsidRDefault="005C7871" w:rsidP="0070674F">
      <w:pPr>
        <w:widowControl/>
        <w:autoSpaceDE/>
        <w:autoSpaceDN/>
        <w:spacing w:before="120" w:line="276" w:lineRule="auto"/>
        <w:jc w:val="both"/>
        <w:rPr>
          <w:rFonts w:ascii="Arial" w:eastAsia="Calibri" w:hAnsi="Arial" w:cs="Arial"/>
          <w:b/>
          <w:bCs/>
          <w:color w:val="EE0000"/>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Source:</w:t>
      </w:r>
      <w:r w:rsidRPr="0070674F">
        <w:rPr>
          <w:rFonts w:ascii="Arial" w:eastAsia="Calibri" w:hAnsi="Arial" w:cs="Arial"/>
          <w:kern w:val="2"/>
          <w:sz w:val="20"/>
          <w:szCs w:val="20"/>
          <w:lang w:val="en-GB"/>
          <w14:ligatures w14:val="standardContextual"/>
        </w:rPr>
        <w:t xml:space="preserve"> National Bureau of Statistics (2025),</w:t>
      </w:r>
    </w:p>
    <w:p w14:paraId="5FD1B605" w14:textId="77777777" w:rsidR="0099084C" w:rsidRPr="0070674F" w:rsidRDefault="0099084C" w:rsidP="0070674F">
      <w:pPr>
        <w:widowControl/>
        <w:autoSpaceDE/>
        <w:autoSpaceDN/>
        <w:spacing w:after="160"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noProof/>
          <w:kern w:val="2"/>
          <w:sz w:val="20"/>
          <w:szCs w:val="20"/>
          <w14:ligatures w14:val="standardContextual"/>
        </w:rPr>
        <w:lastRenderedPageBreak/>
        <w:drawing>
          <wp:inline distT="0" distB="0" distL="0" distR="0" wp14:anchorId="3B1986F7" wp14:editId="5D5B86EC">
            <wp:extent cx="6564339" cy="3530379"/>
            <wp:effectExtent l="0" t="0" r="8255" b="0"/>
            <wp:docPr id="1489831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3145" cy="3551249"/>
                    </a:xfrm>
                    <a:prstGeom prst="rect">
                      <a:avLst/>
                    </a:prstGeom>
                    <a:noFill/>
                    <a:ln>
                      <a:noFill/>
                    </a:ln>
                  </pic:spPr>
                </pic:pic>
              </a:graphicData>
            </a:graphic>
          </wp:inline>
        </w:drawing>
      </w:r>
    </w:p>
    <w:p w14:paraId="5F6FCFF9" w14:textId="3793F276" w:rsidR="006F4E61" w:rsidRPr="0070674F" w:rsidRDefault="006F4E61" w:rsidP="0070674F">
      <w:pPr>
        <w:widowControl/>
        <w:autoSpaceDE/>
        <w:autoSpaceDN/>
        <w:spacing w:line="276" w:lineRule="auto"/>
        <w:jc w:val="both"/>
        <w:rPr>
          <w:rFonts w:ascii="Arial" w:eastAsia="Calibri" w:hAnsi="Arial" w:cs="Arial"/>
          <w:kern w:val="2"/>
          <w:sz w:val="20"/>
          <w:szCs w:val="20"/>
          <w:lang w:val="en-GB"/>
          <w14:ligatures w14:val="standardContextual"/>
        </w:rPr>
      </w:pPr>
      <w:r w:rsidRPr="0070674F">
        <w:rPr>
          <w:rFonts w:ascii="Arial" w:eastAsia="Calibri" w:hAnsi="Arial" w:cs="Arial"/>
          <w:b/>
          <w:bCs/>
          <w:kern w:val="2"/>
          <w:sz w:val="20"/>
          <w:szCs w:val="20"/>
          <w:lang w:val="en-GB"/>
          <w14:ligatures w14:val="standardContextual"/>
        </w:rPr>
        <w:t xml:space="preserve">Figure 2 </w:t>
      </w:r>
      <w:r w:rsidRPr="0070674F">
        <w:rPr>
          <w:rFonts w:ascii="Arial" w:eastAsia="Calibri" w:hAnsi="Arial" w:cs="Arial"/>
          <w:kern w:val="2"/>
          <w:sz w:val="20"/>
          <w:szCs w:val="20"/>
          <w:lang w:val="en-GB"/>
          <w14:ligatures w14:val="standardContextual"/>
        </w:rPr>
        <w:t xml:space="preserve">Evolution of </w:t>
      </w:r>
      <w:bookmarkStart w:id="2" w:name="_Hlk200088534"/>
      <w:r w:rsidRPr="0070674F">
        <w:rPr>
          <w:rFonts w:ascii="Arial" w:eastAsia="Calibri" w:hAnsi="Arial" w:cs="Arial"/>
          <w:kern w:val="2"/>
          <w:sz w:val="20"/>
          <w:szCs w:val="20"/>
          <w:lang w:val="en-GB"/>
          <w14:ligatures w14:val="standardContextual"/>
        </w:rPr>
        <w:t>Co</w:t>
      </w:r>
      <w:r w:rsidRPr="0070674F">
        <w:rPr>
          <w:rFonts w:ascii="Arial" w:eastAsia="Calibri" w:hAnsi="Arial" w:cs="Arial"/>
          <w:kern w:val="2"/>
          <w:sz w:val="20"/>
          <w:szCs w:val="20"/>
          <w:vertAlign w:val="subscript"/>
          <w:lang w:val="en-GB"/>
          <w14:ligatures w14:val="standardContextual"/>
        </w:rPr>
        <w:t xml:space="preserve">2 </w:t>
      </w:r>
      <w:r w:rsidRPr="0070674F">
        <w:rPr>
          <w:rFonts w:ascii="Arial" w:eastAsia="Calibri" w:hAnsi="Arial" w:cs="Arial"/>
          <w:kern w:val="2"/>
          <w:sz w:val="20"/>
          <w:szCs w:val="20"/>
          <w:lang w:val="en-GB"/>
          <w14:ligatures w14:val="standardContextual"/>
        </w:rPr>
        <w:t>emissions by sector in Nigeria</w:t>
      </w:r>
    </w:p>
    <w:bookmarkEnd w:id="2"/>
    <w:p w14:paraId="3F41F84D" w14:textId="77777777" w:rsidR="004569FC" w:rsidRPr="0070674F" w:rsidRDefault="004569FC" w:rsidP="0070674F">
      <w:pPr>
        <w:widowControl/>
        <w:autoSpaceDE/>
        <w:autoSpaceDN/>
        <w:spacing w:after="120" w:line="276" w:lineRule="auto"/>
        <w:jc w:val="both"/>
        <w:rPr>
          <w:rFonts w:ascii="Arial" w:eastAsia="Calibri" w:hAnsi="Arial" w:cs="Arial"/>
          <w:b/>
          <w:bCs/>
          <w:kern w:val="2"/>
          <w:sz w:val="20"/>
          <w:szCs w:val="20"/>
          <w:lang w:val="en-GB"/>
          <w14:ligatures w14:val="standardContextual"/>
        </w:rPr>
      </w:pPr>
    </w:p>
    <w:p w14:paraId="4F92BA05" w14:textId="7D8D8F9C" w:rsidR="0099084C" w:rsidRPr="0070674F" w:rsidRDefault="0099084C" w:rsidP="0070674F">
      <w:pPr>
        <w:widowControl/>
        <w:autoSpaceDE/>
        <w:autoSpaceDN/>
        <w:spacing w:after="160" w:line="276" w:lineRule="auto"/>
        <w:jc w:val="both"/>
        <w:rPr>
          <w:rFonts w:ascii="Arial" w:hAnsi="Arial" w:cs="Arial"/>
          <w:sz w:val="20"/>
          <w:szCs w:val="20"/>
        </w:rPr>
      </w:pPr>
      <w:r w:rsidRPr="0070674F">
        <w:rPr>
          <w:rFonts w:ascii="Arial" w:eastAsia="Calibri" w:hAnsi="Arial" w:cs="Arial"/>
          <w:kern w:val="2"/>
          <w:sz w:val="20"/>
          <w:szCs w:val="20"/>
          <w:lang w:val="en-GB"/>
          <w14:ligatures w14:val="standardContextual"/>
        </w:rPr>
        <w:t xml:space="preserve">From the </w:t>
      </w:r>
      <w:r w:rsidR="006F4E61" w:rsidRPr="0070674F">
        <w:rPr>
          <w:rFonts w:ascii="Arial" w:eastAsia="Calibri" w:hAnsi="Arial" w:cs="Arial"/>
          <w:kern w:val="2"/>
          <w:sz w:val="20"/>
          <w:szCs w:val="20"/>
          <w:lang w:val="en-GB"/>
          <w14:ligatures w14:val="standardContextual"/>
        </w:rPr>
        <w:t>Figure</w:t>
      </w:r>
      <w:r w:rsidRPr="0070674F">
        <w:rPr>
          <w:rFonts w:ascii="Arial" w:eastAsia="Calibri" w:hAnsi="Arial" w:cs="Arial"/>
          <w:kern w:val="2"/>
          <w:sz w:val="20"/>
          <w:szCs w:val="20"/>
          <w:lang w:val="en-GB"/>
          <w14:ligatures w14:val="standardContextual"/>
        </w:rPr>
        <w:t xml:space="preserve"> 2 and </w:t>
      </w:r>
      <w:r w:rsidR="006F4E61" w:rsidRPr="0070674F">
        <w:rPr>
          <w:rFonts w:ascii="Arial" w:eastAsia="Calibri" w:hAnsi="Arial" w:cs="Arial"/>
          <w:kern w:val="2"/>
          <w:sz w:val="20"/>
          <w:szCs w:val="20"/>
          <w:lang w:val="en-GB"/>
          <w14:ligatures w14:val="standardContextual"/>
        </w:rPr>
        <w:t>Table</w:t>
      </w:r>
      <w:r w:rsidRPr="0070674F">
        <w:rPr>
          <w:rFonts w:ascii="Arial" w:eastAsia="Calibri" w:hAnsi="Arial" w:cs="Arial"/>
          <w:kern w:val="2"/>
          <w:sz w:val="20"/>
          <w:szCs w:val="20"/>
          <w:lang w:val="en-GB"/>
          <w14:ligatures w14:val="standardContextual"/>
        </w:rPr>
        <w:t xml:space="preserve"> 2 above, between 2010 to 2022, Nigeria’s transport sector emissions rose from 29.733 Mt</w:t>
      </w:r>
      <w:r w:rsidR="008728E5" w:rsidRPr="0070674F">
        <w:rPr>
          <w:rFonts w:ascii="Arial" w:eastAsia="Calibri" w:hAnsi="Arial" w:cs="Arial"/>
          <w:kern w:val="2"/>
          <w:sz w:val="20"/>
          <w:szCs w:val="20"/>
          <w:lang w:val="en-GB"/>
          <w14:ligatures w14:val="standardContextual"/>
        </w:rPr>
        <w:t xml:space="preserve"> </w:t>
      </w:r>
      <w:r w:rsidRPr="0070674F">
        <w:rPr>
          <w:rFonts w:ascii="Arial" w:eastAsia="Calibri" w:hAnsi="Arial" w:cs="Arial"/>
          <w:kern w:val="2"/>
          <w:sz w:val="20"/>
          <w:szCs w:val="20"/>
          <w:lang w:val="en-GB"/>
          <w14:ligatures w14:val="standardContextual"/>
        </w:rPr>
        <w:t>CO</w:t>
      </w:r>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lang w:val="en-GB"/>
          <w14:ligatures w14:val="standardContextual"/>
        </w:rPr>
        <w:t xml:space="preserve"> to over 70 Mt</w:t>
      </w:r>
      <w:r w:rsidR="008728E5" w:rsidRPr="0070674F">
        <w:rPr>
          <w:rFonts w:ascii="Arial" w:eastAsia="Calibri" w:hAnsi="Arial" w:cs="Arial"/>
          <w:kern w:val="2"/>
          <w:sz w:val="20"/>
          <w:szCs w:val="20"/>
          <w:lang w:val="en-GB"/>
          <w14:ligatures w14:val="standardContextual"/>
        </w:rPr>
        <w:t xml:space="preserve"> </w:t>
      </w:r>
      <w:r w:rsidRPr="0070674F">
        <w:rPr>
          <w:rFonts w:ascii="Arial" w:eastAsia="Calibri" w:hAnsi="Arial" w:cs="Arial"/>
          <w:kern w:val="2"/>
          <w:sz w:val="20"/>
          <w:szCs w:val="20"/>
          <w:lang w:val="en-GB"/>
          <w14:ligatures w14:val="standardContextual"/>
        </w:rPr>
        <w:t>CO</w:t>
      </w:r>
      <w:r w:rsidRPr="0070674F">
        <w:rPr>
          <w:rFonts w:ascii="Cambria Math" w:eastAsia="Calibri" w:hAnsi="Cambria Math" w:cs="Cambria Math"/>
          <w:kern w:val="2"/>
          <w:sz w:val="20"/>
          <w:szCs w:val="20"/>
          <w:lang w:val="en-GB"/>
          <w14:ligatures w14:val="standardContextual"/>
        </w:rPr>
        <w:t>₂</w:t>
      </w:r>
      <w:r w:rsidRPr="0070674F">
        <w:rPr>
          <w:rFonts w:ascii="Arial" w:eastAsia="Calibri" w:hAnsi="Arial" w:cs="Arial"/>
          <w:kern w:val="2"/>
          <w:sz w:val="20"/>
          <w:szCs w:val="20"/>
          <w14:ligatures w14:val="standardContextual"/>
        </w:rPr>
        <w:t xml:space="preserve"> while electricity emission have a sharp decrease after 2015, </w:t>
      </w:r>
      <w:r w:rsidRPr="0070674F">
        <w:rPr>
          <w:rFonts w:ascii="Arial" w:hAnsi="Arial" w:cs="Arial"/>
          <w:sz w:val="20"/>
          <w:szCs w:val="20"/>
        </w:rPr>
        <w:t>declining Emissions from Electric Vehicles (EVs). Research indicates that emissions from electric vehicles (EVs) in Nigeria are declining. According to Nwachukwu  (2024), the adoption of EVs has led to measurable reductions in urban air pollution in Lagos and Abuja, with their study noting that EVs contribute "zero direct tailpipe emissions, significantly improving localized air quality".</w:t>
      </w:r>
      <w:r w:rsidR="00974BE8" w:rsidRPr="0070674F">
        <w:rPr>
          <w:rFonts w:ascii="Arial" w:hAnsi="Arial" w:cs="Arial"/>
          <w:sz w:val="20"/>
          <w:szCs w:val="20"/>
        </w:rPr>
        <w:t xml:space="preserve"> </w:t>
      </w:r>
      <w:r w:rsidR="0044407F" w:rsidRPr="0070674F">
        <w:rPr>
          <w:rFonts w:ascii="Arial" w:hAnsi="Arial" w:cs="Arial"/>
          <w:sz w:val="20"/>
          <w:szCs w:val="20"/>
        </w:rPr>
        <w:t>The concern is to move Nigeria to electricity and other energy industry as the graph shows that the combined emissions from these two sources is lower than that of fossil fuel</w:t>
      </w:r>
      <w:r w:rsidR="00807C20" w:rsidRPr="0070674F">
        <w:rPr>
          <w:rFonts w:ascii="Arial" w:hAnsi="Arial" w:cs="Arial"/>
          <w:sz w:val="20"/>
          <w:szCs w:val="20"/>
        </w:rPr>
        <w:t>.</w:t>
      </w:r>
    </w:p>
    <w:p w14:paraId="056CD390" w14:textId="407FF675" w:rsidR="0099084C" w:rsidRPr="0070674F" w:rsidRDefault="0099084C" w:rsidP="0070674F">
      <w:pPr>
        <w:widowControl/>
        <w:autoSpaceDE/>
        <w:autoSpaceDN/>
        <w:spacing w:after="160" w:line="276" w:lineRule="auto"/>
        <w:jc w:val="both"/>
        <w:rPr>
          <w:rFonts w:ascii="Arial" w:hAnsi="Arial" w:cs="Arial"/>
          <w:sz w:val="20"/>
          <w:szCs w:val="20"/>
        </w:rPr>
      </w:pPr>
      <w:r w:rsidRPr="0070674F">
        <w:rPr>
          <w:rFonts w:ascii="Arial" w:hAnsi="Arial" w:cs="Arial"/>
          <w:sz w:val="20"/>
          <w:szCs w:val="20"/>
        </w:rPr>
        <w:t>Conversely, the data shows that emissions from fossil fuel-powered vehicles are on the rise. The National Bureau of Statistics (2024) also reports that Nigeria’s vehicle population has been increasing at approximately 12% annually. Much of this growth is driven by the importation of used vehicles, many of which are older models with poor fuel efficiency and outdated emissions controls. Another contributing factor is poor fuel quality. Adebayo (2025) argue that "in the absence of reliable, affordable public transport options, the majority of Nigerians rely on private vehicles and commercial minibuses, most of which run on high-emission fossil fuels". This reliance increases both traffic congestion and overall transportation-related emissions.</w:t>
      </w:r>
    </w:p>
    <w:p w14:paraId="2A6271A4" w14:textId="77777777" w:rsidR="009D5D5D" w:rsidRDefault="009D5D5D" w:rsidP="00456545">
      <w:pPr>
        <w:widowControl/>
        <w:autoSpaceDE/>
        <w:autoSpaceDN/>
        <w:spacing w:before="160" w:line="360" w:lineRule="auto"/>
        <w:jc w:val="both"/>
        <w:rPr>
          <w:rFonts w:eastAsia="Calibri"/>
          <w:b/>
          <w:bCs/>
          <w:kern w:val="2"/>
          <w:sz w:val="24"/>
          <w:szCs w:val="24"/>
          <w14:ligatures w14:val="standardContextual"/>
        </w:rPr>
      </w:pPr>
    </w:p>
    <w:p w14:paraId="472E487A" w14:textId="77777777" w:rsidR="009D5D5D" w:rsidRDefault="009D5D5D" w:rsidP="00456545">
      <w:pPr>
        <w:widowControl/>
        <w:autoSpaceDE/>
        <w:autoSpaceDN/>
        <w:spacing w:before="160" w:line="360" w:lineRule="auto"/>
        <w:jc w:val="both"/>
        <w:rPr>
          <w:rFonts w:eastAsia="Calibri"/>
          <w:b/>
          <w:bCs/>
          <w:kern w:val="2"/>
          <w:sz w:val="24"/>
          <w:szCs w:val="24"/>
          <w14:ligatures w14:val="standardContextual"/>
        </w:rPr>
      </w:pPr>
    </w:p>
    <w:p w14:paraId="3AFCF442" w14:textId="00C7E3B9" w:rsidR="0099084C" w:rsidRPr="009D5D5D" w:rsidRDefault="003D61D2" w:rsidP="00456545">
      <w:pPr>
        <w:widowControl/>
        <w:autoSpaceDE/>
        <w:autoSpaceDN/>
        <w:spacing w:before="160" w:line="360" w:lineRule="auto"/>
        <w:jc w:val="both"/>
        <w:rPr>
          <w:rFonts w:ascii="Arial" w:eastAsia="Calibri" w:hAnsi="Arial" w:cs="Arial"/>
          <w:kern w:val="2"/>
          <w14:ligatures w14:val="standardContextual"/>
        </w:rPr>
      </w:pPr>
      <w:r w:rsidRPr="009D5D5D">
        <w:rPr>
          <w:rFonts w:ascii="Arial" w:eastAsia="Calibri" w:hAnsi="Arial" w:cs="Arial"/>
          <w:b/>
          <w:bCs/>
          <w:kern w:val="2"/>
          <w14:ligatures w14:val="standardContextual"/>
        </w:rPr>
        <w:t>5.0</w:t>
      </w:r>
      <w:r w:rsidRPr="009D5D5D">
        <w:rPr>
          <w:rFonts w:ascii="Arial" w:eastAsia="Calibri" w:hAnsi="Arial" w:cs="Arial"/>
          <w:kern w:val="2"/>
          <w14:ligatures w14:val="standardContextual"/>
        </w:rPr>
        <w:t xml:space="preserve"> </w:t>
      </w:r>
      <w:r w:rsidRPr="009D5D5D">
        <w:rPr>
          <w:rFonts w:ascii="Arial" w:eastAsia="Calibri" w:hAnsi="Arial" w:cs="Arial"/>
          <w:b/>
          <w:bCs/>
          <w:kern w:val="2"/>
          <w14:ligatures w14:val="standardContextual"/>
        </w:rPr>
        <w:t>CONCLUSION AND RECOMMENDATIONS</w:t>
      </w:r>
    </w:p>
    <w:p w14:paraId="5C441369" w14:textId="77777777" w:rsidR="00DB5657" w:rsidRDefault="00DB5657" w:rsidP="009D5D5D">
      <w:pPr>
        <w:widowControl/>
        <w:autoSpaceDE/>
        <w:autoSpaceDN/>
        <w:spacing w:line="276" w:lineRule="auto"/>
        <w:jc w:val="both"/>
        <w:rPr>
          <w:rFonts w:ascii="Arial" w:hAnsi="Arial" w:cs="Arial"/>
          <w:b/>
          <w:bCs/>
          <w:sz w:val="20"/>
          <w:szCs w:val="20"/>
        </w:rPr>
      </w:pPr>
      <w:r w:rsidRPr="009D5D5D">
        <w:rPr>
          <w:rFonts w:ascii="Arial" w:hAnsi="Arial" w:cs="Arial"/>
          <w:b/>
          <w:bCs/>
          <w:sz w:val="20"/>
          <w:szCs w:val="20"/>
        </w:rPr>
        <w:t>5.1 C</w:t>
      </w:r>
      <w:r w:rsidR="0099084C" w:rsidRPr="009D5D5D">
        <w:rPr>
          <w:rFonts w:ascii="Arial" w:hAnsi="Arial" w:cs="Arial"/>
          <w:b/>
          <w:bCs/>
          <w:sz w:val="20"/>
          <w:szCs w:val="20"/>
        </w:rPr>
        <w:t>onclusion</w:t>
      </w:r>
    </w:p>
    <w:p w14:paraId="6CA6B17C" w14:textId="77777777" w:rsidR="009D5D5D" w:rsidRPr="009D5D5D" w:rsidRDefault="009D5D5D" w:rsidP="009D5D5D">
      <w:pPr>
        <w:widowControl/>
        <w:autoSpaceDE/>
        <w:autoSpaceDN/>
        <w:spacing w:line="276" w:lineRule="auto"/>
        <w:jc w:val="both"/>
        <w:rPr>
          <w:rFonts w:ascii="Arial" w:hAnsi="Arial" w:cs="Arial"/>
          <w:b/>
          <w:bCs/>
          <w:sz w:val="20"/>
          <w:szCs w:val="20"/>
        </w:rPr>
      </w:pPr>
    </w:p>
    <w:p w14:paraId="76B50237" w14:textId="77777777" w:rsidR="004569FC" w:rsidRPr="009D5D5D" w:rsidRDefault="00DB5657"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W</w:t>
      </w:r>
      <w:r w:rsidR="0099084C" w:rsidRPr="009D5D5D">
        <w:rPr>
          <w:rFonts w:ascii="Arial" w:hAnsi="Arial" w:cs="Arial"/>
          <w:sz w:val="20"/>
          <w:szCs w:val="20"/>
        </w:rPr>
        <w:t>hile Nigeria’s efforts to reduce transportation emissions through the promotion of electric vehicles are yielding promising results, these gains are being offset by the rapid expansion of an aging, fossil fuel-dependent vehicle fleet and persistent issues with fuel quality and public transport infrastructure. Without comprehensive interventions, the net environmental benefits of EV adoption may be limited. The findings of this study suggest that for Nigeria to achieve meaningful and sustained reductions in transport-related emissions, a multifaceted policy approach is needed</w:t>
      </w:r>
      <w:r w:rsidR="00974BE8" w:rsidRPr="009D5D5D">
        <w:rPr>
          <w:rFonts w:ascii="Arial" w:hAnsi="Arial" w:cs="Arial"/>
          <w:sz w:val="20"/>
          <w:szCs w:val="20"/>
        </w:rPr>
        <w:t xml:space="preserve"> which must be </w:t>
      </w:r>
      <w:r w:rsidR="0099084C" w:rsidRPr="009D5D5D">
        <w:rPr>
          <w:rFonts w:ascii="Arial" w:hAnsi="Arial" w:cs="Arial"/>
          <w:sz w:val="20"/>
          <w:szCs w:val="20"/>
        </w:rPr>
        <w:t xml:space="preserve">one that addresses both the opportunities and the structural challenges identified in this research. </w:t>
      </w:r>
    </w:p>
    <w:p w14:paraId="12D71309" w14:textId="77777777" w:rsidR="009D5D5D" w:rsidRDefault="009D5D5D" w:rsidP="009D5D5D">
      <w:pPr>
        <w:widowControl/>
        <w:autoSpaceDE/>
        <w:autoSpaceDN/>
        <w:spacing w:line="276" w:lineRule="auto"/>
        <w:jc w:val="both"/>
        <w:rPr>
          <w:rFonts w:ascii="Arial" w:hAnsi="Arial" w:cs="Arial"/>
          <w:sz w:val="20"/>
          <w:szCs w:val="20"/>
        </w:rPr>
      </w:pPr>
    </w:p>
    <w:p w14:paraId="6F07E444" w14:textId="51F3D8F5" w:rsidR="004569FC" w:rsidRPr="009D5D5D" w:rsidRDefault="0099084C"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Electric and hybrid vehicles (EVs and HEVs) offer sustainable transportation solutions by significantly reducing greenhouse gas emissions and air pollutants compared to conventional fossil-fuel vehicles. Powered by electricity or a combination of electricity and fuel, these vehicles improve energy efficiency and decrease reliance on oil. In countries like Nigeria, adopting EVs and HEVs can help combat urban air pollution, mitigate climate change impacts, and support global decarbonization goals. However, challenges such as high upfront costs, limited charging infrastructure, and energy grid capacity must be addressed. Promoting supportive policies and investments can accelerate the transition to cleaner, more sustainable transportation systems.</w:t>
      </w:r>
      <w:r w:rsidR="006236E6" w:rsidRPr="009D5D5D">
        <w:rPr>
          <w:rFonts w:ascii="Arial" w:hAnsi="Arial" w:cs="Arial"/>
          <w:sz w:val="20"/>
          <w:szCs w:val="20"/>
        </w:rPr>
        <w:t xml:space="preserve"> </w:t>
      </w:r>
    </w:p>
    <w:p w14:paraId="48C23799" w14:textId="77777777" w:rsidR="009D5D5D" w:rsidRDefault="009D5D5D" w:rsidP="009D5D5D">
      <w:pPr>
        <w:widowControl/>
        <w:autoSpaceDE/>
        <w:autoSpaceDN/>
        <w:spacing w:line="276" w:lineRule="auto"/>
        <w:jc w:val="both"/>
        <w:rPr>
          <w:rFonts w:ascii="Arial" w:hAnsi="Arial" w:cs="Arial"/>
          <w:sz w:val="20"/>
          <w:szCs w:val="20"/>
        </w:rPr>
      </w:pPr>
    </w:p>
    <w:p w14:paraId="1533639E" w14:textId="6002068D" w:rsidR="0099084C" w:rsidRPr="009D5D5D" w:rsidRDefault="006236E6"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The transition to electric and hybrid vehicles is not just a technological advancement but also a strategic component of many national and international policies aimed at combating climate change. Countries across Europe, Asia, and the Americas are implementing stringent emission regulations and offering incentives to promote the adoption of these sustainable vehicles. In developing countries like Nigeria, where urbani</w:t>
      </w:r>
      <w:r w:rsidR="007D6893" w:rsidRPr="009D5D5D">
        <w:rPr>
          <w:rFonts w:ascii="Arial" w:hAnsi="Arial" w:cs="Arial"/>
          <w:sz w:val="20"/>
          <w:szCs w:val="20"/>
        </w:rPr>
        <w:t>s</w:t>
      </w:r>
      <w:r w:rsidRPr="009D5D5D">
        <w:rPr>
          <w:rFonts w:ascii="Arial" w:hAnsi="Arial" w:cs="Arial"/>
          <w:sz w:val="20"/>
          <w:szCs w:val="20"/>
        </w:rPr>
        <w:t>ation and population growth are rapidly increasing the demand for transportation, adopting electric and hybrid vehicles could be a transformative step toward reducing urban air pollution, improving public health, and achieving long-term climate objectives.</w:t>
      </w:r>
    </w:p>
    <w:p w14:paraId="49E1FFB1" w14:textId="77777777" w:rsidR="00540AA6" w:rsidRDefault="00540AA6" w:rsidP="009D5D5D">
      <w:pPr>
        <w:widowControl/>
        <w:autoSpaceDE/>
        <w:autoSpaceDN/>
        <w:spacing w:line="276" w:lineRule="auto"/>
        <w:jc w:val="both"/>
        <w:rPr>
          <w:rFonts w:ascii="Arial" w:eastAsia="Calibri" w:hAnsi="Arial" w:cs="Arial"/>
          <w:b/>
          <w:bCs/>
          <w:kern w:val="2"/>
          <w:sz w:val="20"/>
          <w:szCs w:val="20"/>
          <w14:ligatures w14:val="standardContextual"/>
        </w:rPr>
      </w:pPr>
    </w:p>
    <w:p w14:paraId="6F815D7E" w14:textId="438E6C6A" w:rsidR="0099084C" w:rsidRPr="009D5D5D" w:rsidRDefault="00DB5657" w:rsidP="009D5D5D">
      <w:pPr>
        <w:widowControl/>
        <w:autoSpaceDE/>
        <w:autoSpaceDN/>
        <w:spacing w:line="276" w:lineRule="auto"/>
        <w:jc w:val="both"/>
        <w:rPr>
          <w:rFonts w:ascii="Arial" w:eastAsia="Calibri" w:hAnsi="Arial" w:cs="Arial"/>
          <w:b/>
          <w:bCs/>
          <w:kern w:val="2"/>
          <w:sz w:val="20"/>
          <w:szCs w:val="20"/>
          <w14:ligatures w14:val="standardContextual"/>
        </w:rPr>
      </w:pPr>
      <w:r w:rsidRPr="009D5D5D">
        <w:rPr>
          <w:rFonts w:ascii="Arial" w:eastAsia="Calibri" w:hAnsi="Arial" w:cs="Arial"/>
          <w:b/>
          <w:bCs/>
          <w:kern w:val="2"/>
          <w:sz w:val="20"/>
          <w:szCs w:val="20"/>
          <w14:ligatures w14:val="standardContextual"/>
        </w:rPr>
        <w:t xml:space="preserve">5.2 </w:t>
      </w:r>
      <w:r w:rsidR="0099084C" w:rsidRPr="009D5D5D">
        <w:rPr>
          <w:rFonts w:ascii="Arial" w:eastAsia="Calibri" w:hAnsi="Arial" w:cs="Arial"/>
          <w:b/>
          <w:bCs/>
          <w:kern w:val="2"/>
          <w:sz w:val="20"/>
          <w:szCs w:val="20"/>
          <w14:ligatures w14:val="standardContextual"/>
        </w:rPr>
        <w:t>Recommendation</w:t>
      </w:r>
      <w:r w:rsidRPr="009D5D5D">
        <w:rPr>
          <w:rFonts w:ascii="Arial" w:eastAsia="Calibri" w:hAnsi="Arial" w:cs="Arial"/>
          <w:b/>
          <w:bCs/>
          <w:kern w:val="2"/>
          <w:sz w:val="20"/>
          <w:szCs w:val="20"/>
          <w14:ligatures w14:val="standardContextual"/>
        </w:rPr>
        <w:t>s</w:t>
      </w:r>
    </w:p>
    <w:p w14:paraId="6AF5C909" w14:textId="77777777" w:rsidR="00540AA6" w:rsidRDefault="00540AA6" w:rsidP="009D5D5D">
      <w:pPr>
        <w:widowControl/>
        <w:autoSpaceDE/>
        <w:autoSpaceDN/>
        <w:spacing w:line="276" w:lineRule="auto"/>
        <w:jc w:val="both"/>
        <w:rPr>
          <w:rFonts w:ascii="Arial" w:hAnsi="Arial" w:cs="Arial"/>
          <w:sz w:val="20"/>
          <w:szCs w:val="20"/>
        </w:rPr>
      </w:pPr>
    </w:p>
    <w:p w14:paraId="50EC9459" w14:textId="7E1AF354" w:rsidR="0099084C" w:rsidRPr="009D5D5D" w:rsidRDefault="0099084C" w:rsidP="009D5D5D">
      <w:pPr>
        <w:widowControl/>
        <w:autoSpaceDE/>
        <w:autoSpaceDN/>
        <w:spacing w:line="276" w:lineRule="auto"/>
        <w:jc w:val="both"/>
        <w:rPr>
          <w:rFonts w:ascii="Arial" w:hAnsi="Arial" w:cs="Arial"/>
          <w:sz w:val="20"/>
          <w:szCs w:val="20"/>
        </w:rPr>
      </w:pPr>
      <w:r w:rsidRPr="009D5D5D">
        <w:rPr>
          <w:rFonts w:ascii="Arial" w:hAnsi="Arial" w:cs="Arial"/>
          <w:sz w:val="20"/>
          <w:szCs w:val="20"/>
        </w:rPr>
        <w:t>Based on the findings of this study, the following policy recommendations are proposed:</w:t>
      </w:r>
    </w:p>
    <w:p w14:paraId="1F03F1A0"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Strengthen EV Incentives</w:t>
      </w:r>
      <w:r w:rsidRPr="00540AA6">
        <w:rPr>
          <w:rFonts w:ascii="Arial" w:hAnsi="Arial" w:cs="Arial"/>
          <w:b/>
          <w:bCs/>
          <w:sz w:val="20"/>
          <w:szCs w:val="20"/>
        </w:rPr>
        <w:t>:</w:t>
      </w:r>
      <w:r w:rsidRPr="00540AA6">
        <w:rPr>
          <w:rFonts w:ascii="Arial" w:hAnsi="Arial" w:cs="Arial"/>
          <w:sz w:val="20"/>
          <w:szCs w:val="20"/>
        </w:rPr>
        <w:t xml:space="preserve"> Expand fiscal incentives such as tax rebates and import duty waivers for EVs and their components. Provide targeted subsidies to make EVs affordable for a broader segment of the population.</w:t>
      </w:r>
    </w:p>
    <w:p w14:paraId="7559520D"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Invest in Charging Infrastructure</w:t>
      </w:r>
      <w:r w:rsidRPr="00540AA6">
        <w:rPr>
          <w:rFonts w:ascii="Arial" w:hAnsi="Arial" w:cs="Arial"/>
          <w:b/>
          <w:bCs/>
          <w:sz w:val="20"/>
          <w:szCs w:val="20"/>
        </w:rPr>
        <w:t>:</w:t>
      </w:r>
      <w:r w:rsidRPr="00540AA6">
        <w:rPr>
          <w:rFonts w:ascii="Arial" w:hAnsi="Arial" w:cs="Arial"/>
          <w:sz w:val="20"/>
          <w:szCs w:val="20"/>
        </w:rPr>
        <w:t xml:space="preserve"> Accelerate the development of a nationwide network of reliable and affordable EV charging stations, particularly along major transport corridors and within urban centers.</w:t>
      </w:r>
    </w:p>
    <w:p w14:paraId="7EADAF22"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Implement Vehicle Emissions Standards</w:t>
      </w:r>
      <w:r w:rsidRPr="00540AA6">
        <w:rPr>
          <w:rFonts w:ascii="Arial" w:hAnsi="Arial" w:cs="Arial"/>
          <w:b/>
          <w:bCs/>
          <w:sz w:val="20"/>
          <w:szCs w:val="20"/>
        </w:rPr>
        <w:t>:</w:t>
      </w:r>
      <w:r w:rsidRPr="00540AA6">
        <w:rPr>
          <w:rFonts w:ascii="Arial" w:hAnsi="Arial" w:cs="Arial"/>
          <w:sz w:val="20"/>
          <w:szCs w:val="20"/>
        </w:rPr>
        <w:t xml:space="preserve"> Introduce and enforce stricter emissions standards for all imported and domestically sold vehicles. Gradually phase out the importation of used vehicles that do not meet modern fuel efficiency and emissions criteria.</w:t>
      </w:r>
    </w:p>
    <w:p w14:paraId="6824B9A3"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Improve Fuel Quality</w:t>
      </w:r>
      <w:r w:rsidRPr="00540AA6">
        <w:rPr>
          <w:rFonts w:ascii="Arial" w:hAnsi="Arial" w:cs="Arial"/>
          <w:b/>
          <w:bCs/>
          <w:sz w:val="20"/>
          <w:szCs w:val="20"/>
        </w:rPr>
        <w:t>:</w:t>
      </w:r>
      <w:r w:rsidRPr="00540AA6">
        <w:rPr>
          <w:rFonts w:ascii="Arial" w:hAnsi="Arial" w:cs="Arial"/>
          <w:sz w:val="20"/>
          <w:szCs w:val="20"/>
        </w:rPr>
        <w:t xml:space="preserve"> Strengthen regulatory oversight and quality control within the fuel supply chain to ensure that all fuel sold in Nigeria meets international quality standards, thereby reducing emissions from existing fossil fuel vehicles.</w:t>
      </w:r>
    </w:p>
    <w:p w14:paraId="63F2A004"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Promote Public Transport</w:t>
      </w:r>
      <w:r w:rsidRPr="00540AA6">
        <w:rPr>
          <w:rFonts w:ascii="Arial" w:hAnsi="Arial" w:cs="Arial"/>
          <w:b/>
          <w:bCs/>
          <w:sz w:val="20"/>
          <w:szCs w:val="20"/>
        </w:rPr>
        <w:t>:</w:t>
      </w:r>
      <w:r w:rsidRPr="00540AA6">
        <w:rPr>
          <w:rFonts w:ascii="Arial" w:hAnsi="Arial" w:cs="Arial"/>
          <w:sz w:val="20"/>
          <w:szCs w:val="20"/>
        </w:rPr>
        <w:t xml:space="preserve"> Invest in modern, low-emission public transportation systems (such as electric buses) to provide viable alternatives to private car use, particularly in Nigeria’s rapidly growing cities.</w:t>
      </w:r>
    </w:p>
    <w:p w14:paraId="6DF1B8AE" w14:textId="77777777" w:rsidR="0099084C" w:rsidRPr="00540AA6" w:rsidRDefault="0099084C" w:rsidP="00540AA6">
      <w:pPr>
        <w:pStyle w:val="ListParagraph"/>
        <w:widowControl/>
        <w:numPr>
          <w:ilvl w:val="0"/>
          <w:numId w:val="4"/>
        </w:numPr>
        <w:autoSpaceDE/>
        <w:autoSpaceDN/>
        <w:spacing w:line="276" w:lineRule="auto"/>
        <w:jc w:val="both"/>
        <w:rPr>
          <w:rFonts w:ascii="Arial" w:hAnsi="Arial" w:cs="Arial"/>
          <w:sz w:val="20"/>
          <w:szCs w:val="20"/>
        </w:rPr>
      </w:pPr>
      <w:r w:rsidRPr="00540AA6">
        <w:rPr>
          <w:rFonts w:ascii="Arial" w:hAnsi="Arial" w:cs="Arial"/>
          <w:sz w:val="20"/>
          <w:szCs w:val="20"/>
        </w:rPr>
        <w:t>Raise Public Awareness: Launch nationwide awareness campaigns to educate the public on the environmental and economic benefits of EVs and low-emission transportation options.</w:t>
      </w:r>
    </w:p>
    <w:p w14:paraId="02B2D06F" w14:textId="5D1AAA37" w:rsidR="00605BE9" w:rsidRDefault="0099084C" w:rsidP="00CE1F2F">
      <w:pPr>
        <w:widowControl/>
        <w:autoSpaceDE/>
        <w:autoSpaceDN/>
        <w:spacing w:line="276" w:lineRule="auto"/>
        <w:jc w:val="both"/>
        <w:rPr>
          <w:rFonts w:ascii="Arial" w:hAnsi="Arial" w:cs="Arial"/>
          <w:sz w:val="20"/>
          <w:szCs w:val="20"/>
        </w:rPr>
      </w:pPr>
      <w:r w:rsidRPr="009D5D5D">
        <w:rPr>
          <w:rFonts w:ascii="Arial" w:hAnsi="Arial" w:cs="Arial"/>
          <w:sz w:val="20"/>
          <w:szCs w:val="20"/>
        </w:rPr>
        <w:t>By implementing these policies in a coordinated manner, Nigeria can build on its early successes in EV adoption and begin to reverse the upward trend in emissions from its fossil fuel vehicle fleet, contributing to both national sustainability goals and global climate targets.</w:t>
      </w:r>
    </w:p>
    <w:p w14:paraId="346BCB0C" w14:textId="77777777" w:rsidR="00CE1F2F" w:rsidRPr="009D5D5D" w:rsidRDefault="00CE1F2F" w:rsidP="00CE1F2F">
      <w:pPr>
        <w:widowControl/>
        <w:autoSpaceDE/>
        <w:autoSpaceDN/>
        <w:spacing w:line="276" w:lineRule="auto"/>
        <w:jc w:val="both"/>
        <w:rPr>
          <w:rFonts w:ascii="Arial" w:eastAsia="Calibri" w:hAnsi="Arial" w:cs="Arial"/>
          <w:b/>
          <w:bCs/>
          <w:kern w:val="2"/>
          <w:sz w:val="20"/>
          <w:szCs w:val="20"/>
          <w14:ligatures w14:val="standardContextual"/>
        </w:rPr>
      </w:pPr>
    </w:p>
    <w:p w14:paraId="61ADAC3B" w14:textId="77777777" w:rsidR="00F91770" w:rsidRPr="00846608" w:rsidRDefault="00F91770" w:rsidP="00F91770">
      <w:r w:rsidRPr="00846608">
        <w:lastRenderedPageBreak/>
        <w:t>Disclaimer (Artificial intelligence)</w:t>
      </w:r>
    </w:p>
    <w:p w14:paraId="5EB541F4" w14:textId="77777777" w:rsidR="00F91770" w:rsidRPr="00846608" w:rsidRDefault="00F91770" w:rsidP="00F91770"/>
    <w:p w14:paraId="7DA5F0A8" w14:textId="77777777" w:rsidR="00F91770" w:rsidRPr="00846608" w:rsidRDefault="00F91770" w:rsidP="00F91770"/>
    <w:p w14:paraId="589DA0B0" w14:textId="0D4C922E" w:rsidR="00F91770" w:rsidRPr="00270720" w:rsidRDefault="005F7DDA" w:rsidP="00F91770">
      <w:pPr>
        <w:rPr>
          <w:highlight w:val="yellow"/>
        </w:rPr>
      </w:pPr>
      <w:r w:rsidRPr="005F7DDA">
        <w:t>Author(s) hereby declare that NO generative AI technologies such as Large Language Models (ChatGPT, COPILOT, etc.) and text-to-image generators have been used during the writing or editing of this manuscript.</w:t>
      </w:r>
    </w:p>
    <w:p w14:paraId="2796BCC5" w14:textId="77777777" w:rsidR="00F91770" w:rsidRPr="00846608" w:rsidRDefault="00F91770" w:rsidP="0099084C">
      <w:pPr>
        <w:widowControl/>
        <w:autoSpaceDE/>
        <w:autoSpaceDN/>
        <w:rPr>
          <w:rFonts w:ascii="Arial" w:eastAsia="Calibri" w:hAnsi="Arial" w:cs="Arial"/>
          <w:b/>
          <w:bCs/>
          <w:kern w:val="2"/>
          <w14:ligatures w14:val="standardContextual"/>
        </w:rPr>
      </w:pPr>
    </w:p>
    <w:p w14:paraId="5174F947" w14:textId="65988798" w:rsidR="0099084C" w:rsidRPr="00846608" w:rsidRDefault="00D80885" w:rsidP="0099084C">
      <w:pPr>
        <w:widowControl/>
        <w:autoSpaceDE/>
        <w:autoSpaceDN/>
        <w:rPr>
          <w:rFonts w:ascii="Arial" w:eastAsia="Calibri" w:hAnsi="Arial" w:cs="Arial"/>
          <w:b/>
          <w:bCs/>
          <w:color w:val="EE0000"/>
          <w:kern w:val="2"/>
          <w14:ligatures w14:val="standardContextual"/>
        </w:rPr>
      </w:pPr>
      <w:r w:rsidRPr="00846608">
        <w:rPr>
          <w:rFonts w:ascii="Arial" w:eastAsia="Calibri" w:hAnsi="Arial" w:cs="Arial"/>
          <w:b/>
          <w:bCs/>
          <w:kern w:val="2"/>
          <w14:ligatures w14:val="standardContextual"/>
        </w:rPr>
        <w:t>REFERENCES</w:t>
      </w:r>
    </w:p>
    <w:p w14:paraId="272BF845" w14:textId="77777777" w:rsidR="006E2C3E" w:rsidRPr="00846608" w:rsidRDefault="006E2C3E" w:rsidP="0099084C">
      <w:pPr>
        <w:widowControl/>
        <w:autoSpaceDE/>
        <w:autoSpaceDN/>
        <w:rPr>
          <w:rFonts w:eastAsia="Calibri"/>
          <w:kern w:val="2"/>
          <w:sz w:val="24"/>
          <w:szCs w:val="24"/>
          <w14:ligatures w14:val="standardContextual"/>
        </w:rPr>
      </w:pPr>
    </w:p>
    <w:p w14:paraId="7797A679" w14:textId="6B22B486" w:rsidR="0099084C" w:rsidRPr="00D80885" w:rsidRDefault="00764DD1" w:rsidP="00B56E43">
      <w:pPr>
        <w:widowControl/>
        <w:autoSpaceDE/>
        <w:autoSpaceDN/>
        <w:spacing w:after="120"/>
        <w:ind w:left="720" w:hanging="720"/>
        <w:jc w:val="both"/>
        <w:rPr>
          <w:rFonts w:ascii="Arial" w:hAnsi="Arial" w:cs="Arial"/>
          <w:sz w:val="20"/>
          <w:szCs w:val="20"/>
        </w:rPr>
      </w:pPr>
      <w:r w:rsidRPr="00846608">
        <w:rPr>
          <w:rFonts w:ascii="Arial" w:hAnsi="Arial" w:cs="Arial"/>
          <w:sz w:val="20"/>
          <w:szCs w:val="20"/>
        </w:rPr>
        <w:t>Adebajo, A. A., &amp; Johnson, O. O. (2025). Public Private Partnerships in Land Transportation: A Solution for Sustainable Urban Mobility in Nigeria. Ijagun Journal of Social and Management Sciences, 9(1), 20-24.</w:t>
      </w:r>
      <w:r w:rsidR="0099084C" w:rsidRPr="00846608">
        <w:rPr>
          <w:rFonts w:ascii="Arial" w:hAnsi="Arial" w:cs="Arial"/>
          <w:sz w:val="20"/>
          <w:szCs w:val="20"/>
        </w:rPr>
        <w:t xml:space="preserve">, T., &amp; Yusuf, M. (2025). </w:t>
      </w:r>
      <w:r w:rsidR="0099084C" w:rsidRPr="00D80885">
        <w:rPr>
          <w:rFonts w:ascii="Arial" w:hAnsi="Arial" w:cs="Arial"/>
          <w:sz w:val="20"/>
          <w:szCs w:val="20"/>
        </w:rPr>
        <w:t xml:space="preserve">Public attitudes and adoption of electric vehicles in </w:t>
      </w:r>
      <w:r w:rsidR="00C251CF" w:rsidRPr="00D80885">
        <w:rPr>
          <w:rFonts w:ascii="Arial" w:hAnsi="Arial" w:cs="Arial"/>
          <w:sz w:val="20"/>
          <w:szCs w:val="20"/>
        </w:rPr>
        <w:t xml:space="preserve"> </w:t>
      </w:r>
      <w:r w:rsidR="0099084C" w:rsidRPr="00D80885">
        <w:rPr>
          <w:rFonts w:ascii="Arial" w:hAnsi="Arial" w:cs="Arial"/>
          <w:sz w:val="20"/>
          <w:szCs w:val="20"/>
        </w:rPr>
        <w:t xml:space="preserve">Nigeria. </w:t>
      </w:r>
      <w:r w:rsidR="0099084C" w:rsidRPr="00D80885">
        <w:rPr>
          <w:rFonts w:ascii="Arial" w:hAnsi="Arial" w:cs="Arial"/>
          <w:i/>
          <w:iCs/>
          <w:sz w:val="20"/>
          <w:szCs w:val="20"/>
        </w:rPr>
        <w:t>African Journal of Sustainable Transportation, 12</w:t>
      </w:r>
      <w:r w:rsidR="0099084C" w:rsidRPr="00D80885">
        <w:rPr>
          <w:rFonts w:ascii="Arial" w:hAnsi="Arial" w:cs="Arial"/>
          <w:sz w:val="20"/>
          <w:szCs w:val="20"/>
        </w:rPr>
        <w:t>(1), 33–45.</w:t>
      </w:r>
    </w:p>
    <w:p w14:paraId="02B2AC37" w14:textId="33E798F6" w:rsidR="00A91E02" w:rsidRPr="00D80885" w:rsidRDefault="00A91E02" w:rsidP="00B56E43">
      <w:pPr>
        <w:widowControl/>
        <w:autoSpaceDE/>
        <w:autoSpaceDN/>
        <w:spacing w:after="120"/>
        <w:ind w:left="720" w:hanging="720"/>
        <w:jc w:val="both"/>
        <w:rPr>
          <w:rFonts w:ascii="Arial" w:hAnsi="Arial" w:cs="Arial"/>
          <w:sz w:val="20"/>
          <w:szCs w:val="20"/>
        </w:rPr>
      </w:pPr>
      <w:r w:rsidRPr="00D80885">
        <w:rPr>
          <w:rFonts w:ascii="Arial" w:hAnsi="Arial" w:cs="Arial"/>
          <w:sz w:val="20"/>
          <w:szCs w:val="20"/>
        </w:rPr>
        <w:t>Agunbiade, O., &amp; Siyan, P. (2020). Prospects of electric vehicles in the automotive industry in Nigeria. </w:t>
      </w:r>
      <w:r w:rsidRPr="00D80885">
        <w:rPr>
          <w:rFonts w:ascii="Arial" w:hAnsi="Arial" w:cs="Arial"/>
          <w:i/>
          <w:iCs/>
          <w:sz w:val="20"/>
          <w:szCs w:val="20"/>
        </w:rPr>
        <w:t>European Scientific Journal, 16</w:t>
      </w:r>
      <w:r w:rsidRPr="00D80885">
        <w:rPr>
          <w:rFonts w:ascii="Arial" w:hAnsi="Arial" w:cs="Arial"/>
          <w:sz w:val="20"/>
          <w:szCs w:val="20"/>
        </w:rPr>
        <w:t>(7), 1857-7431.</w:t>
      </w:r>
    </w:p>
    <w:p w14:paraId="4B897643" w14:textId="48564AEC" w:rsidR="00B56E43" w:rsidRDefault="0057054E" w:rsidP="005717FD">
      <w:pPr>
        <w:widowControl/>
        <w:autoSpaceDE/>
        <w:autoSpaceDN/>
        <w:spacing w:after="120"/>
        <w:ind w:left="720" w:hanging="720"/>
        <w:rPr>
          <w:rFonts w:ascii="Arial" w:hAnsi="Arial" w:cs="Arial"/>
          <w:color w:val="222222"/>
          <w:sz w:val="20"/>
          <w:szCs w:val="20"/>
          <w:shd w:val="clear" w:color="auto" w:fill="FFFFFF"/>
        </w:rPr>
      </w:pPr>
      <w:r w:rsidRPr="00D80885">
        <w:rPr>
          <w:rFonts w:ascii="Arial" w:hAnsi="Arial" w:cs="Arial"/>
          <w:color w:val="222222"/>
          <w:sz w:val="20"/>
          <w:szCs w:val="20"/>
          <w:shd w:val="clear" w:color="auto" w:fill="FFFFFF"/>
        </w:rPr>
        <w:t>Ajao, Q., &amp; Sadeeq, L. (2023). An Approximate Feasibility Assessment of Electric Vehicles Adoption in Nigeria: Forecast 2030. </w:t>
      </w:r>
      <w:r w:rsidR="00B56E43" w:rsidRPr="00D80885">
        <w:rPr>
          <w:rFonts w:ascii="Arial" w:hAnsi="Arial" w:cs="Arial"/>
          <w:i/>
          <w:iCs/>
          <w:color w:val="222222"/>
          <w:sz w:val="20"/>
          <w:szCs w:val="20"/>
          <w:shd w:val="clear" w:color="auto" w:fill="FFFFFF"/>
        </w:rPr>
        <w:t>Energy Strategy Reviews, 39</w:t>
      </w:r>
      <w:r w:rsidR="00B56E43" w:rsidRPr="00D80885">
        <w:rPr>
          <w:rFonts w:ascii="Arial" w:hAnsi="Arial" w:cs="Arial"/>
          <w:color w:val="222222"/>
          <w:sz w:val="20"/>
          <w:szCs w:val="20"/>
          <w:shd w:val="clear" w:color="auto" w:fill="FFFFFF"/>
        </w:rPr>
        <w:t xml:space="preserve">, 1-14. </w:t>
      </w:r>
      <w:hyperlink r:id="rId19" w:history="1">
        <w:r w:rsidR="00932E71" w:rsidRPr="00B07C82">
          <w:rPr>
            <w:rStyle w:val="Hyperlink"/>
            <w:rFonts w:ascii="Arial" w:hAnsi="Arial" w:cs="Arial"/>
            <w:sz w:val="20"/>
            <w:szCs w:val="20"/>
            <w:shd w:val="clear" w:color="auto" w:fill="FFFFFF"/>
          </w:rPr>
          <w:t>https://doi.org/10.1016/j.esr.2023.1007XX</w:t>
        </w:r>
      </w:hyperlink>
    </w:p>
    <w:p w14:paraId="31852CC2" w14:textId="60F24F85" w:rsidR="002B6BA6" w:rsidRDefault="002B6BA6" w:rsidP="005717FD">
      <w:pPr>
        <w:widowControl/>
        <w:autoSpaceDE/>
        <w:autoSpaceDN/>
        <w:spacing w:after="120"/>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Arowolo, W., Diallo, M., &amp; Perez, Y. (2025). Electric mobility investments: insights from power-transport coupling from developing countries. </w:t>
      </w:r>
      <w:r>
        <w:rPr>
          <w:rFonts w:ascii="Arial" w:hAnsi="Arial" w:cs="Arial"/>
          <w:i/>
          <w:iCs/>
          <w:color w:val="222222"/>
          <w:sz w:val="20"/>
          <w:szCs w:val="20"/>
          <w:shd w:val="clear" w:color="auto" w:fill="FFFFFF"/>
        </w:rPr>
        <w:t>The Electricity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(2), 107473.</w:t>
      </w:r>
    </w:p>
    <w:p w14:paraId="366F111E" w14:textId="0482AECA" w:rsidR="0099084C" w:rsidRPr="00D80885" w:rsidRDefault="002B6BA6"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r>
        <w:rPr>
          <w:rFonts w:ascii="Arial" w:hAnsi="Arial" w:cs="Arial"/>
          <w:color w:val="222222"/>
          <w:sz w:val="20"/>
          <w:szCs w:val="20"/>
          <w:shd w:val="clear" w:color="auto" w:fill="FFFFFF"/>
        </w:rPr>
        <w:t>Nwachukwu, C. O., Diemuodeke, E. O., Briggs, T. A., Ojapah, M. M., Okereke, C., Okedu, K. E., &amp; Kalam, A. (2024). Low/zero carbon technology diffusion and mapping for Nigeria’s decarbonization. </w:t>
      </w:r>
      <w:r>
        <w:rPr>
          <w:rFonts w:ascii="Arial" w:hAnsi="Arial" w:cs="Arial"/>
          <w:i/>
          <w:iCs/>
          <w:color w:val="222222"/>
          <w:sz w:val="20"/>
          <w:szCs w:val="20"/>
          <w:shd w:val="clear" w:color="auto" w:fill="FFFFFF"/>
        </w:rPr>
        <w:t>International Journal of Sustainable Energy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(1), 2317146.</w:t>
      </w:r>
      <w:r w:rsidR="00B56E43" w:rsidRPr="00D80885">
        <w:rPr>
          <w:rFonts w:ascii="Arial" w:eastAsia="Calibri" w:hAnsi="Arial" w:cs="Arial"/>
          <w:kern w:val="2"/>
          <w:sz w:val="20"/>
          <w:szCs w:val="20"/>
          <w:shd w:val="clear" w:color="auto" w:fill="FFFFFF"/>
          <w:lang w:val="en-GB"/>
          <w14:ligatures w14:val="standardContextual"/>
        </w:rPr>
        <w:t>A</w:t>
      </w:r>
      <w:r w:rsidR="0099084C" w:rsidRPr="00D80885">
        <w:rPr>
          <w:rFonts w:ascii="Arial" w:eastAsia="Calibri" w:hAnsi="Arial" w:cs="Arial"/>
          <w:kern w:val="2"/>
          <w:sz w:val="20"/>
          <w:szCs w:val="20"/>
          <w:shd w:val="clear" w:color="auto" w:fill="FFFFFF"/>
          <w:lang w:val="en-GB"/>
          <w14:ligatures w14:val="standardContextual"/>
        </w:rPr>
        <w:t>kujor, C. E., Uzowuru, E. E., Abubakar, S. S., &amp; Amakom, C. M. (2022). Decarbonisation of the transport sector in Nigeria. </w:t>
      </w:r>
      <w:r w:rsidR="0099084C" w:rsidRPr="00D80885">
        <w:rPr>
          <w:rFonts w:ascii="Arial" w:eastAsia="Calibri" w:hAnsi="Arial" w:cs="Arial"/>
          <w:i/>
          <w:iCs/>
          <w:kern w:val="2"/>
          <w:sz w:val="20"/>
          <w:szCs w:val="20"/>
          <w:shd w:val="clear" w:color="auto" w:fill="FFFFFF"/>
          <w:lang w:val="en-GB"/>
          <w14:ligatures w14:val="standardContextual"/>
        </w:rPr>
        <w:t>Environmental Health Insights, 16</w:t>
      </w:r>
      <w:r w:rsidR="0099084C" w:rsidRPr="00D80885">
        <w:rPr>
          <w:rFonts w:ascii="Arial" w:eastAsia="Calibri" w:hAnsi="Arial" w:cs="Arial"/>
          <w:kern w:val="2"/>
          <w:sz w:val="20"/>
          <w:szCs w:val="20"/>
          <w:shd w:val="clear" w:color="auto" w:fill="FFFFFF"/>
          <w:lang w:val="en-GB"/>
          <w14:ligatures w14:val="standardContextual"/>
        </w:rPr>
        <w:t xml:space="preserve">, </w:t>
      </w:r>
      <w:r w:rsidR="007A3606" w:rsidRPr="00D80885">
        <w:rPr>
          <w:rFonts w:ascii="Arial" w:eastAsia="Calibri" w:hAnsi="Arial" w:cs="Arial"/>
          <w:kern w:val="2"/>
          <w:sz w:val="20"/>
          <w:szCs w:val="20"/>
          <w:shd w:val="clear" w:color="auto" w:fill="FFFFFF"/>
          <w:lang w:val="en-GB"/>
          <w14:ligatures w14:val="standardContextual"/>
        </w:rPr>
        <w:t xml:space="preserve">1-8. DOI: </w:t>
      </w:r>
      <w:r w:rsidR="0099084C" w:rsidRPr="00D80885">
        <w:rPr>
          <w:rFonts w:ascii="Arial" w:eastAsia="Calibri" w:hAnsi="Arial" w:cs="Arial"/>
          <w:kern w:val="2"/>
          <w:sz w:val="20"/>
          <w:szCs w:val="20"/>
          <w:shd w:val="clear" w:color="auto" w:fill="FFFFFF"/>
          <w14:ligatures w14:val="standardContextual"/>
        </w:rPr>
        <w:t>11786302221125039.</w:t>
      </w:r>
    </w:p>
    <w:p w14:paraId="2BC3562B" w14:textId="35A750B6" w:rsidR="0099084C" w:rsidRPr="00D80885"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bookmarkStart w:id="3" w:name="_Hlk199880428"/>
      <w:r w:rsidRPr="00D80885">
        <w:rPr>
          <w:rFonts w:ascii="Arial" w:eastAsia="Calibri" w:hAnsi="Arial" w:cs="Arial"/>
          <w:kern w:val="2"/>
          <w:sz w:val="20"/>
          <w:szCs w:val="20"/>
          <w:shd w:val="clear" w:color="auto" w:fill="FFFFFF"/>
          <w14:ligatures w14:val="standardContextual"/>
        </w:rPr>
        <w:t>Al-Alawi</w:t>
      </w:r>
      <w:bookmarkEnd w:id="3"/>
      <w:r w:rsidRPr="00D80885">
        <w:rPr>
          <w:rFonts w:ascii="Arial" w:eastAsia="Calibri" w:hAnsi="Arial" w:cs="Arial"/>
          <w:kern w:val="2"/>
          <w:sz w:val="20"/>
          <w:szCs w:val="20"/>
          <w:shd w:val="clear" w:color="auto" w:fill="FFFFFF"/>
          <w14:ligatures w14:val="standardContextual"/>
        </w:rPr>
        <w:t xml:space="preserve">, B. M., &amp; Bradley, T. H. (2013). </w:t>
      </w:r>
      <w:r w:rsidRPr="00D80885">
        <w:rPr>
          <w:rFonts w:ascii="Arial" w:eastAsia="Calibri" w:hAnsi="Arial" w:cs="Arial"/>
          <w:kern w:val="2"/>
          <w:sz w:val="20"/>
          <w:szCs w:val="20"/>
          <w:shd w:val="clear" w:color="auto" w:fill="FFFFFF"/>
          <w:lang w:val="en-GB"/>
          <w14:ligatures w14:val="standardContextual"/>
        </w:rPr>
        <w:t>Review of hybrid, plug-in hybrid, and electric vehicle market modeling studies. </w:t>
      </w:r>
      <w:r w:rsidRPr="00D80885">
        <w:rPr>
          <w:rFonts w:ascii="Arial" w:eastAsia="Calibri" w:hAnsi="Arial" w:cs="Arial"/>
          <w:i/>
          <w:iCs/>
          <w:kern w:val="2"/>
          <w:sz w:val="20"/>
          <w:szCs w:val="20"/>
          <w:shd w:val="clear" w:color="auto" w:fill="FFFFFF"/>
          <w:lang w:val="en-GB"/>
          <w14:ligatures w14:val="standardContextual"/>
        </w:rPr>
        <w:t>Renewable and Sustainable Energy Reviews, 21</w:t>
      </w:r>
      <w:r w:rsidRPr="00D80885">
        <w:rPr>
          <w:rFonts w:ascii="Arial" w:eastAsia="Calibri" w:hAnsi="Arial" w:cs="Arial"/>
          <w:kern w:val="2"/>
          <w:sz w:val="20"/>
          <w:szCs w:val="20"/>
          <w:shd w:val="clear" w:color="auto" w:fill="FFFFFF"/>
          <w:lang w:val="en-GB"/>
          <w14:ligatures w14:val="standardContextual"/>
        </w:rPr>
        <w:t>, 190-203.</w:t>
      </w:r>
    </w:p>
    <w:p w14:paraId="10F6CBE8" w14:textId="30733578" w:rsidR="0099084C"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r w:rsidRPr="00D80885">
        <w:rPr>
          <w:rFonts w:ascii="Arial" w:eastAsia="Calibri" w:hAnsi="Arial" w:cs="Arial"/>
          <w:kern w:val="2"/>
          <w:sz w:val="20"/>
          <w:szCs w:val="20"/>
          <w:shd w:val="clear" w:color="auto" w:fill="FFFFFF"/>
          <w14:ligatures w14:val="standardContextual"/>
        </w:rPr>
        <w:t xml:space="preserve">Dioha, M. O., Duan, L., Ruggles, T. H., Bellocchi, S., &amp; Caldeira, K. (2022). </w:t>
      </w:r>
      <w:r w:rsidRPr="00D80885">
        <w:rPr>
          <w:rFonts w:ascii="Arial" w:eastAsia="Calibri" w:hAnsi="Arial" w:cs="Arial"/>
          <w:kern w:val="2"/>
          <w:sz w:val="20"/>
          <w:szCs w:val="20"/>
          <w:shd w:val="clear" w:color="auto" w:fill="FFFFFF"/>
          <w:lang w:val="en-GB"/>
          <w14:ligatures w14:val="standardContextual"/>
        </w:rPr>
        <w:t>Exploring the role of electric vehicles in Africa's energy transition: A Nigerian case study. </w:t>
      </w:r>
      <w:r w:rsidRPr="00D80885">
        <w:rPr>
          <w:rFonts w:ascii="Arial" w:eastAsia="Calibri" w:hAnsi="Arial" w:cs="Arial"/>
          <w:i/>
          <w:iCs/>
          <w:kern w:val="2"/>
          <w:sz w:val="20"/>
          <w:szCs w:val="20"/>
          <w:shd w:val="clear" w:color="auto" w:fill="FFFFFF"/>
          <w:lang w:val="en-GB"/>
          <w14:ligatures w14:val="standardContextual"/>
        </w:rPr>
        <w:t>Iscience, 25</w:t>
      </w:r>
      <w:r w:rsidRPr="00D80885">
        <w:rPr>
          <w:rFonts w:ascii="Arial" w:eastAsia="Calibri" w:hAnsi="Arial" w:cs="Arial"/>
          <w:kern w:val="2"/>
          <w:sz w:val="20"/>
          <w:szCs w:val="20"/>
          <w:shd w:val="clear" w:color="auto" w:fill="FFFFFF"/>
          <w:lang w:val="en-GB"/>
          <w14:ligatures w14:val="standardContextual"/>
        </w:rPr>
        <w:t>(3).</w:t>
      </w:r>
    </w:p>
    <w:p w14:paraId="5A809760" w14:textId="77777777" w:rsidR="00B521D3" w:rsidRDefault="002C77AD" w:rsidP="00B521D3">
      <w:pPr>
        <w:pStyle w:val="CommentText"/>
        <w:rPr>
          <w:color w:val="222222"/>
          <w:highlight w:val="white"/>
        </w:rPr>
      </w:pPr>
      <w:r>
        <w:rPr>
          <w:color w:val="222222"/>
          <w:highlight w:val="white"/>
        </w:rPr>
        <w:t xml:space="preserve">Chinthoju, Prajwal Kumar, and Raksha Sreenath Vashishta. "Well-to-Wheel Efficiency and Energy Consumption Analysis </w:t>
      </w:r>
    </w:p>
    <w:p w14:paraId="2A680A50" w14:textId="05CB1210" w:rsidR="002C77AD" w:rsidRDefault="002C77AD" w:rsidP="00B521D3">
      <w:pPr>
        <w:pStyle w:val="CommentText"/>
        <w:ind w:firstLine="720"/>
      </w:pPr>
      <w:r>
        <w:rPr>
          <w:color w:val="222222"/>
          <w:highlight w:val="white"/>
        </w:rPr>
        <w:t>for Mild Hybrid Electric Vehicles." </w:t>
      </w:r>
      <w:r>
        <w:rPr>
          <w:i/>
          <w:iCs/>
          <w:color w:val="222222"/>
          <w:highlight w:val="white"/>
        </w:rPr>
        <w:t>Journal of Engineering Research and Reports</w:t>
      </w:r>
      <w:r>
        <w:rPr>
          <w:color w:val="222222"/>
          <w:highlight w:val="white"/>
        </w:rPr>
        <w:t> 27.2 (2025): 216-227.</w:t>
      </w:r>
      <w:r>
        <w:t xml:space="preserve"> </w:t>
      </w:r>
    </w:p>
    <w:p w14:paraId="1C84115E" w14:textId="119B16EC" w:rsidR="00B521D3" w:rsidRPr="00D80885" w:rsidRDefault="00B521D3"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r>
        <w:rPr>
          <w:color w:val="222222"/>
          <w:highlight w:val="white"/>
        </w:rPr>
        <w:t>Chinthoju, Prajwal Kumar, Raksha Sreenath Vashishta, and Ravi Jagirdar. "Well-to-wheels efficiency analysis for plug-in hybrid electric vehicles." </w:t>
      </w:r>
      <w:r>
        <w:rPr>
          <w:i/>
          <w:iCs/>
          <w:color w:val="222222"/>
          <w:highlight w:val="white"/>
        </w:rPr>
        <w:t>Journal of Engineering Research and Reports</w:t>
      </w:r>
      <w:r>
        <w:rPr>
          <w:color w:val="222222"/>
          <w:highlight w:val="white"/>
        </w:rPr>
        <w:t> 27.3 (2025): 328-340.</w:t>
      </w:r>
    </w:p>
    <w:p w14:paraId="6A004F9F" w14:textId="666B5593" w:rsidR="0099084C" w:rsidRPr="00D80885"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bookmarkStart w:id="4" w:name="_Hlk199873286"/>
      <w:r w:rsidRPr="00D80885">
        <w:rPr>
          <w:rFonts w:ascii="Arial" w:eastAsia="Calibri" w:hAnsi="Arial" w:cs="Arial"/>
          <w:kern w:val="2"/>
          <w:sz w:val="20"/>
          <w:szCs w:val="20"/>
          <w:shd w:val="clear" w:color="auto" w:fill="FFFFFF"/>
          <w:lang w:val="en-GB"/>
          <w14:ligatures w14:val="standardContextual"/>
        </w:rPr>
        <w:t>Farinloye</w:t>
      </w:r>
      <w:bookmarkEnd w:id="4"/>
      <w:r w:rsidRPr="00D80885">
        <w:rPr>
          <w:rFonts w:ascii="Arial" w:eastAsia="Calibri" w:hAnsi="Arial" w:cs="Arial"/>
          <w:kern w:val="2"/>
          <w:sz w:val="20"/>
          <w:szCs w:val="20"/>
          <w:shd w:val="clear" w:color="auto" w:fill="FFFFFF"/>
          <w:lang w:val="en-GB"/>
          <w14:ligatures w14:val="standardContextual"/>
        </w:rPr>
        <w:t>, T., Oluwatobi, O., Ugboma, O., Dickson, O. F., Uzondu, C., &amp; Mogaji, E. (2024). Driving the electric vehicle agenda in Nigeria: The challenges, prospects and opportunities. </w:t>
      </w:r>
      <w:r w:rsidRPr="00D80885">
        <w:rPr>
          <w:rFonts w:ascii="Arial" w:eastAsia="Calibri" w:hAnsi="Arial" w:cs="Arial"/>
          <w:i/>
          <w:iCs/>
          <w:kern w:val="2"/>
          <w:sz w:val="20"/>
          <w:szCs w:val="20"/>
          <w:shd w:val="clear" w:color="auto" w:fill="FFFFFF"/>
          <w:lang w:val="en-GB"/>
          <w14:ligatures w14:val="standardContextual"/>
        </w:rPr>
        <w:t>Transportation Research Part D: Transport and Environment, 130</w:t>
      </w:r>
      <w:r w:rsidRPr="00D80885">
        <w:rPr>
          <w:rFonts w:ascii="Arial" w:eastAsia="Calibri" w:hAnsi="Arial" w:cs="Arial"/>
          <w:kern w:val="2"/>
          <w:sz w:val="20"/>
          <w:szCs w:val="20"/>
          <w:shd w:val="clear" w:color="auto" w:fill="FFFFFF"/>
          <w:lang w:val="en-GB"/>
          <w14:ligatures w14:val="standardContextual"/>
        </w:rPr>
        <w:t xml:space="preserve">, </w:t>
      </w:r>
      <w:r w:rsidR="00C34E0C" w:rsidRPr="00D80885">
        <w:rPr>
          <w:rFonts w:ascii="Arial" w:eastAsia="Calibri" w:hAnsi="Arial" w:cs="Arial"/>
          <w:kern w:val="2"/>
          <w:sz w:val="20"/>
          <w:szCs w:val="20"/>
          <w:shd w:val="clear" w:color="auto" w:fill="FFFFFF"/>
          <w:lang w:val="en-GB"/>
          <w14:ligatures w14:val="standardContextual"/>
        </w:rPr>
        <w:t xml:space="preserve">1-17. DOI: </w:t>
      </w:r>
      <w:r w:rsidRPr="00D80885">
        <w:rPr>
          <w:rFonts w:ascii="Arial" w:eastAsia="Calibri" w:hAnsi="Arial" w:cs="Arial"/>
          <w:kern w:val="2"/>
          <w:sz w:val="20"/>
          <w:szCs w:val="20"/>
          <w:shd w:val="clear" w:color="auto" w:fill="FFFFFF"/>
          <w:lang w:val="en-GB"/>
          <w14:ligatures w14:val="standardContextual"/>
        </w:rPr>
        <w:t>104182.</w:t>
      </w:r>
    </w:p>
    <w:p w14:paraId="4C4110D0" w14:textId="65ADCCF7" w:rsidR="009002A7" w:rsidRPr="00D80885" w:rsidRDefault="0099084C"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r w:rsidRPr="00D80885">
        <w:rPr>
          <w:rFonts w:ascii="Arial" w:eastAsia="Calibri" w:hAnsi="Arial" w:cs="Arial"/>
          <w:kern w:val="2"/>
          <w:sz w:val="20"/>
          <w:szCs w:val="20"/>
          <w:lang w:val="en-GB"/>
          <w14:ligatures w14:val="standardContextual"/>
        </w:rPr>
        <w:t>I</w:t>
      </w:r>
      <w:r w:rsidR="00F8228B" w:rsidRPr="00D80885">
        <w:rPr>
          <w:rFonts w:ascii="Arial" w:eastAsia="Calibri" w:hAnsi="Arial" w:cs="Arial"/>
          <w:kern w:val="2"/>
          <w:sz w:val="20"/>
          <w:szCs w:val="20"/>
          <w:lang w:val="en-GB"/>
          <w14:ligatures w14:val="standardContextual"/>
        </w:rPr>
        <w:t>nternational Energy Agency -IEA</w:t>
      </w:r>
      <w:r w:rsidRPr="00D80885">
        <w:rPr>
          <w:rFonts w:ascii="Arial" w:eastAsia="Calibri" w:hAnsi="Arial" w:cs="Arial"/>
          <w:kern w:val="2"/>
          <w:sz w:val="20"/>
          <w:szCs w:val="20"/>
          <w:lang w:val="en-GB"/>
          <w14:ligatures w14:val="standardContextual"/>
        </w:rPr>
        <w:t xml:space="preserve"> (2023). </w:t>
      </w:r>
      <w:r w:rsidRPr="00D80885">
        <w:rPr>
          <w:rFonts w:ascii="Arial" w:eastAsia="Calibri" w:hAnsi="Arial" w:cs="Arial"/>
          <w:i/>
          <w:iCs/>
          <w:kern w:val="2"/>
          <w:sz w:val="20"/>
          <w:szCs w:val="20"/>
          <w:lang w:val="en-GB"/>
          <w14:ligatures w14:val="standardContextual"/>
        </w:rPr>
        <w:t>Global EV Outlook 2023</w:t>
      </w:r>
      <w:r w:rsidRPr="00D80885">
        <w:rPr>
          <w:rFonts w:ascii="Arial" w:eastAsia="Calibri" w:hAnsi="Arial" w:cs="Arial"/>
          <w:kern w:val="2"/>
          <w:sz w:val="20"/>
          <w:szCs w:val="20"/>
          <w:lang w:val="en-GB"/>
          <w14:ligatures w14:val="standardContextual"/>
        </w:rPr>
        <w:t xml:space="preserve">. </w:t>
      </w:r>
      <w:hyperlink r:id="rId20" w:history="1">
        <w:r w:rsidR="009002A7" w:rsidRPr="00D80885">
          <w:rPr>
            <w:rStyle w:val="Hyperlink"/>
            <w:rFonts w:ascii="Arial" w:eastAsia="Calibri" w:hAnsi="Arial" w:cs="Arial"/>
            <w:color w:val="auto"/>
            <w:kern w:val="2"/>
            <w:sz w:val="20"/>
            <w:szCs w:val="20"/>
            <w:u w:val="none"/>
            <w:lang w:val="en-GB"/>
            <w14:ligatures w14:val="standardContextual"/>
          </w:rPr>
          <w:t>https://www.iea.org/reports/global-ev-outlook-2023</w:t>
        </w:r>
      </w:hyperlink>
    </w:p>
    <w:p w14:paraId="43DB548E" w14:textId="33FB736A" w:rsidR="0099084C" w:rsidRPr="00D80885" w:rsidRDefault="00932E71" w:rsidP="00B56E43">
      <w:pPr>
        <w:widowControl/>
        <w:autoSpaceDE/>
        <w:autoSpaceDN/>
        <w:spacing w:after="120"/>
        <w:ind w:left="720" w:hanging="720"/>
        <w:jc w:val="both"/>
        <w:rPr>
          <w:rFonts w:ascii="Arial" w:hAnsi="Arial" w:cs="Arial"/>
          <w:sz w:val="20"/>
          <w:szCs w:val="20"/>
        </w:rPr>
      </w:pPr>
      <w:r>
        <w:rPr>
          <w:rFonts w:ascii="Arial" w:hAnsi="Arial" w:cs="Arial"/>
          <w:color w:val="222222"/>
          <w:sz w:val="20"/>
          <w:szCs w:val="20"/>
          <w:shd w:val="clear" w:color="auto" w:fill="FFFFFF"/>
        </w:rPr>
        <w:t>Ajayi, S. A., Adams, C. A., Dumedah, G., &amp; Adebanji, A. O. (2024). The impact of vehicle engine characteristics on vehicle exhaust emissions for transport modes in Lagos City. </w:t>
      </w:r>
      <w:r>
        <w:rPr>
          <w:rFonts w:ascii="Arial" w:hAnsi="Arial" w:cs="Arial"/>
          <w:i/>
          <w:iCs/>
          <w:color w:val="222222"/>
          <w:sz w:val="20"/>
          <w:szCs w:val="20"/>
          <w:shd w:val="clear" w:color="auto" w:fill="FFFFFF"/>
        </w:rPr>
        <w:t>Urban, Planning and Transport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 2319328.</w:t>
      </w:r>
      <w:r w:rsidRPr="00D80885">
        <w:rPr>
          <w:rFonts w:ascii="Arial" w:hAnsi="Arial" w:cs="Arial"/>
          <w:sz w:val="20"/>
          <w:szCs w:val="20"/>
        </w:rPr>
        <w:t xml:space="preserve"> </w:t>
      </w:r>
      <w:r w:rsidR="0099084C" w:rsidRPr="00D80885">
        <w:rPr>
          <w:rFonts w:ascii="Arial" w:hAnsi="Arial" w:cs="Arial"/>
          <w:sz w:val="20"/>
          <w:szCs w:val="20"/>
        </w:rPr>
        <w:t xml:space="preserve">Nwachukwu, C., &amp; Alabi, O. (2024). Urban air quality improvement through electric vehicle adoption in Nigeria. </w:t>
      </w:r>
      <w:r w:rsidR="0099084C" w:rsidRPr="00D80885">
        <w:rPr>
          <w:rFonts w:ascii="Arial" w:hAnsi="Arial" w:cs="Arial"/>
          <w:i/>
          <w:iCs/>
          <w:sz w:val="20"/>
          <w:szCs w:val="20"/>
        </w:rPr>
        <w:t>International Journal of Environmental Policy, 18</w:t>
      </w:r>
      <w:r w:rsidR="0099084C" w:rsidRPr="00D80885">
        <w:rPr>
          <w:rFonts w:ascii="Arial" w:hAnsi="Arial" w:cs="Arial"/>
          <w:sz w:val="20"/>
          <w:szCs w:val="20"/>
        </w:rPr>
        <w:t>(2), 56–70.</w:t>
      </w:r>
    </w:p>
    <w:p w14:paraId="1E7C5AFA" w14:textId="3DE25A86" w:rsidR="0099084C" w:rsidRPr="00D80885" w:rsidRDefault="002B6BA6" w:rsidP="005E612C">
      <w:pPr>
        <w:widowControl/>
        <w:autoSpaceDE/>
        <w:autoSpaceDN/>
        <w:spacing w:after="120"/>
        <w:ind w:left="720" w:hanging="720"/>
        <w:rPr>
          <w:rFonts w:ascii="Arial" w:eastAsia="Calibri" w:hAnsi="Arial" w:cs="Arial"/>
          <w:kern w:val="2"/>
          <w:sz w:val="20"/>
          <w:szCs w:val="20"/>
          <w:lang w:val="en-GB"/>
          <w14:ligatures w14:val="standardContextual"/>
        </w:rPr>
      </w:pPr>
      <w:r>
        <w:rPr>
          <w:rFonts w:ascii="Arial" w:hAnsi="Arial" w:cs="Arial"/>
          <w:color w:val="222222"/>
          <w:sz w:val="20"/>
          <w:szCs w:val="20"/>
          <w:shd w:val="clear" w:color="auto" w:fill="FFFFFF"/>
        </w:rPr>
        <w:t>Oduro, P., Simpa, P., &amp; Ekechukwu, D. E. (2024). Addressing environmental justice in clean energy policy: Comparative case studies from the United States and Nigeria. </w:t>
      </w:r>
      <w:r>
        <w:rPr>
          <w:rFonts w:ascii="Arial" w:hAnsi="Arial" w:cs="Arial"/>
          <w:i/>
          <w:iCs/>
          <w:color w:val="222222"/>
          <w:sz w:val="20"/>
          <w:szCs w:val="20"/>
          <w:shd w:val="clear" w:color="auto" w:fill="FFFFFF"/>
        </w:rPr>
        <w:t>Global Journal of Engineering and Technology Advances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(02), 169-184.</w:t>
      </w:r>
      <w:r w:rsidR="0099084C" w:rsidRPr="00D80885">
        <w:rPr>
          <w:rFonts w:ascii="Arial" w:eastAsia="Calibri" w:hAnsi="Arial" w:cs="Arial"/>
          <w:kern w:val="2"/>
          <w:sz w:val="20"/>
          <w:szCs w:val="20"/>
          <w:lang w:val="en-GB"/>
          <w14:ligatures w14:val="standardContextual"/>
        </w:rPr>
        <w:t>Okeagu</w:t>
      </w:r>
      <w:r w:rsidR="005E612C" w:rsidRPr="00D80885">
        <w:rPr>
          <w:rFonts w:ascii="Arial" w:eastAsia="Calibri" w:hAnsi="Arial" w:cs="Arial"/>
          <w:kern w:val="2"/>
          <w:sz w:val="20"/>
          <w:szCs w:val="20"/>
          <w:lang w:val="en-GB"/>
          <w14:ligatures w14:val="standardContextual"/>
        </w:rPr>
        <w:t xml:space="preserve">, J. </w:t>
      </w:r>
      <w:r w:rsidR="0099084C" w:rsidRPr="00D80885">
        <w:rPr>
          <w:rFonts w:ascii="Arial" w:eastAsia="Calibri" w:hAnsi="Arial" w:cs="Arial"/>
          <w:kern w:val="2"/>
          <w:sz w:val="20"/>
          <w:szCs w:val="20"/>
          <w:lang w:val="en-GB"/>
          <w14:ligatures w14:val="standardContextual"/>
        </w:rPr>
        <w:t>U</w:t>
      </w:r>
      <w:r w:rsidR="005E612C" w:rsidRPr="00D80885">
        <w:rPr>
          <w:rFonts w:ascii="Arial" w:eastAsia="Calibri" w:hAnsi="Arial" w:cs="Arial"/>
          <w:kern w:val="2"/>
          <w:sz w:val="20"/>
          <w:szCs w:val="20"/>
          <w:lang w:val="en-GB"/>
          <w14:ligatures w14:val="standardContextual"/>
        </w:rPr>
        <w:t xml:space="preserve">. (2024). </w:t>
      </w:r>
      <w:r w:rsidR="0099084C" w:rsidRPr="00D80885">
        <w:rPr>
          <w:rFonts w:ascii="Arial" w:eastAsia="Calibri" w:hAnsi="Arial" w:cs="Arial"/>
          <w:i/>
          <w:iCs/>
          <w:kern w:val="2"/>
          <w:sz w:val="20"/>
          <w:szCs w:val="20"/>
          <w:lang w:val="en-GB"/>
          <w14:ligatures w14:val="standardContextual"/>
        </w:rPr>
        <w:t xml:space="preserve">Impact </w:t>
      </w:r>
      <w:r w:rsidR="005E612C" w:rsidRPr="00D80885">
        <w:rPr>
          <w:rFonts w:ascii="Arial" w:eastAsia="Calibri" w:hAnsi="Arial" w:cs="Arial"/>
          <w:i/>
          <w:iCs/>
          <w:kern w:val="2"/>
          <w:sz w:val="20"/>
          <w:szCs w:val="20"/>
          <w:lang w:val="en-GB"/>
          <w14:ligatures w14:val="standardContextual"/>
        </w:rPr>
        <w:t xml:space="preserve">of Higher Transportation Costs on Value Chains, Mobility, and Alternatives to Fuel in Nigeria: A Case </w:t>
      </w:r>
      <w:r w:rsidR="0099084C" w:rsidRPr="00D80885">
        <w:rPr>
          <w:rFonts w:ascii="Arial" w:eastAsia="Calibri" w:hAnsi="Arial" w:cs="Arial"/>
          <w:i/>
          <w:iCs/>
          <w:kern w:val="2"/>
          <w:sz w:val="20"/>
          <w:szCs w:val="20"/>
          <w:lang w:val="en-GB"/>
          <w14:ligatures w14:val="standardContextual"/>
        </w:rPr>
        <w:t xml:space="preserve">Study </w:t>
      </w:r>
      <w:r w:rsidR="005E612C" w:rsidRPr="00D80885">
        <w:rPr>
          <w:rFonts w:ascii="Arial" w:eastAsia="Calibri" w:hAnsi="Arial" w:cs="Arial"/>
          <w:i/>
          <w:iCs/>
          <w:kern w:val="2"/>
          <w:sz w:val="20"/>
          <w:szCs w:val="20"/>
          <w:lang w:val="en-GB"/>
          <w14:ligatures w14:val="standardContextual"/>
        </w:rPr>
        <w:t>of Abuja, Nigeria.</w:t>
      </w:r>
      <w:r w:rsidR="00F65B16" w:rsidRPr="00D80885">
        <w:rPr>
          <w:rFonts w:ascii="Arial" w:eastAsia="Calibri" w:hAnsi="Arial" w:cs="Arial"/>
          <w:i/>
          <w:iCs/>
          <w:kern w:val="2"/>
          <w:sz w:val="20"/>
          <w:szCs w:val="20"/>
          <w:lang w:val="en-GB"/>
          <w14:ligatures w14:val="standardContextual"/>
        </w:rPr>
        <w:t xml:space="preserve"> </w:t>
      </w:r>
      <w:r w:rsidR="00F65B16" w:rsidRPr="00D80885">
        <w:rPr>
          <w:rFonts w:ascii="Arial" w:eastAsia="Calibri" w:hAnsi="Arial" w:cs="Arial"/>
          <w:kern w:val="2"/>
          <w:sz w:val="20"/>
          <w:szCs w:val="20"/>
          <w:lang w:val="en-GB"/>
          <w14:ligatures w14:val="standardContextual"/>
        </w:rPr>
        <w:t>M.Sc Dissertation, University of Edinburgh</w:t>
      </w:r>
      <w:r w:rsidR="004B7251" w:rsidRPr="00D80885">
        <w:rPr>
          <w:rFonts w:ascii="Arial" w:eastAsia="Calibri" w:hAnsi="Arial" w:cs="Arial"/>
          <w:kern w:val="2"/>
          <w:sz w:val="20"/>
          <w:szCs w:val="20"/>
          <w:lang w:val="en-GB"/>
          <w14:ligatures w14:val="standardContextual"/>
        </w:rPr>
        <w:t>.</w:t>
      </w:r>
    </w:p>
    <w:p w14:paraId="5EE35389" w14:textId="61CEE63F" w:rsidR="00A91E02" w:rsidRPr="00D80885" w:rsidRDefault="000112F2" w:rsidP="00B56E43">
      <w:pPr>
        <w:widowControl/>
        <w:autoSpaceDE/>
        <w:autoSpaceDN/>
        <w:spacing w:after="120"/>
        <w:ind w:left="720" w:hanging="720"/>
        <w:jc w:val="both"/>
        <w:rPr>
          <w:rFonts w:ascii="Arial" w:hAnsi="Arial" w:cs="Arial"/>
          <w:color w:val="222222"/>
          <w:sz w:val="20"/>
          <w:szCs w:val="20"/>
          <w:shd w:val="clear" w:color="auto" w:fill="FFFFFF"/>
        </w:rPr>
      </w:pPr>
      <w:r w:rsidRPr="00D80885">
        <w:rPr>
          <w:rFonts w:ascii="Arial" w:hAnsi="Arial" w:cs="Arial"/>
          <w:color w:val="222222"/>
          <w:sz w:val="20"/>
          <w:szCs w:val="20"/>
          <w:shd w:val="clear" w:color="auto" w:fill="FFFFFF"/>
        </w:rPr>
        <w:lastRenderedPageBreak/>
        <w:t>Oladayo, O. V., &amp; Ikponmwosa, N. A. (2025). Nigeria's economic growth (1981-2023): an Assessment of the effects of crude oil price fluctuations. </w:t>
      </w:r>
      <w:r w:rsidRPr="00D80885">
        <w:rPr>
          <w:rFonts w:ascii="Arial" w:hAnsi="Arial" w:cs="Arial"/>
          <w:i/>
          <w:iCs/>
          <w:color w:val="222222"/>
          <w:sz w:val="20"/>
          <w:szCs w:val="20"/>
          <w:shd w:val="clear" w:color="auto" w:fill="FFFFFF"/>
        </w:rPr>
        <w:t>African Banking and Finance Review Journal, 20</w:t>
      </w:r>
      <w:r w:rsidRPr="00D80885">
        <w:rPr>
          <w:rFonts w:ascii="Arial" w:hAnsi="Arial" w:cs="Arial"/>
          <w:color w:val="222222"/>
          <w:sz w:val="20"/>
          <w:szCs w:val="20"/>
          <w:shd w:val="clear" w:color="auto" w:fill="FFFFFF"/>
        </w:rPr>
        <w:t>(5), 43-57.</w:t>
      </w:r>
    </w:p>
    <w:p w14:paraId="2DAA6554" w14:textId="6B800674" w:rsidR="0099084C" w:rsidRDefault="0099084C" w:rsidP="00B56E43">
      <w:pPr>
        <w:widowControl/>
        <w:autoSpaceDE/>
        <w:autoSpaceDN/>
        <w:spacing w:after="120"/>
        <w:ind w:left="720" w:hanging="720"/>
        <w:jc w:val="both"/>
        <w:rPr>
          <w:rFonts w:ascii="Arial" w:eastAsia="Calibri" w:hAnsi="Arial" w:cs="Arial"/>
          <w:kern w:val="2"/>
          <w:sz w:val="20"/>
          <w:szCs w:val="20"/>
          <w:shd w:val="clear" w:color="auto" w:fill="FFFFFF"/>
          <w:lang w:val="en-GB"/>
          <w14:ligatures w14:val="standardContextual"/>
        </w:rPr>
      </w:pPr>
      <w:r w:rsidRPr="00D80885">
        <w:rPr>
          <w:rFonts w:ascii="Arial" w:eastAsia="Calibri" w:hAnsi="Arial" w:cs="Arial"/>
          <w:kern w:val="2"/>
          <w:sz w:val="20"/>
          <w:szCs w:val="20"/>
          <w:shd w:val="clear" w:color="auto" w:fill="FFFFFF"/>
          <w:lang w:val="en-GB"/>
          <w14:ligatures w14:val="standardContextual"/>
        </w:rPr>
        <w:t>Shao, Y., Yang, Z., Yan, Y., Yan, Y., Israilova, F., Khan, N., &amp; Chang, L. (2025). Navigating Nigeria's path to sustainable energy: Challenges, opportunities, and global insight. </w:t>
      </w:r>
      <w:r w:rsidRPr="00D80885">
        <w:rPr>
          <w:rFonts w:ascii="Arial" w:eastAsia="Calibri" w:hAnsi="Arial" w:cs="Arial"/>
          <w:i/>
          <w:iCs/>
          <w:kern w:val="2"/>
          <w:sz w:val="20"/>
          <w:szCs w:val="20"/>
          <w:shd w:val="clear" w:color="auto" w:fill="FFFFFF"/>
          <w:lang w:val="en-GB"/>
          <w14:ligatures w14:val="standardContextual"/>
        </w:rPr>
        <w:t>Energy Strategy Reviews, 59</w:t>
      </w:r>
      <w:r w:rsidRPr="00D80885">
        <w:rPr>
          <w:rFonts w:ascii="Arial" w:eastAsia="Calibri" w:hAnsi="Arial" w:cs="Arial"/>
          <w:kern w:val="2"/>
          <w:sz w:val="20"/>
          <w:szCs w:val="20"/>
          <w:shd w:val="clear" w:color="auto" w:fill="FFFFFF"/>
          <w:lang w:val="en-GB"/>
          <w14:ligatures w14:val="standardContextual"/>
        </w:rPr>
        <w:t>, 101707.</w:t>
      </w:r>
    </w:p>
    <w:p w14:paraId="5018E6F0" w14:textId="77777777" w:rsidR="00717562" w:rsidRDefault="00717562" w:rsidP="00717562">
      <w:pPr>
        <w:pStyle w:val="CommentText"/>
        <w:rPr>
          <w:color w:val="222222"/>
          <w:highlight w:val="white"/>
        </w:rPr>
      </w:pPr>
      <w:r>
        <w:rPr>
          <w:color w:val="222222"/>
          <w:highlight w:val="white"/>
        </w:rPr>
        <w:t xml:space="preserve">Vashishta, Raksha Sreenath, Prajwal Chinthoju, and Ravi Jagirdar. "Next generation fleet fuel fraud prevention: </w:t>
      </w:r>
    </w:p>
    <w:p w14:paraId="10AD1062" w14:textId="5A5A2A62" w:rsidR="00717562" w:rsidRDefault="00717562" w:rsidP="00717562">
      <w:pPr>
        <w:pStyle w:val="CommentText"/>
        <w:ind w:firstLine="720"/>
      </w:pPr>
      <w:r>
        <w:rPr>
          <w:color w:val="222222"/>
          <w:highlight w:val="white"/>
        </w:rPr>
        <w:t>Application of CAR PAY Framework." </w:t>
      </w:r>
      <w:r>
        <w:rPr>
          <w:i/>
          <w:iCs/>
          <w:color w:val="222222"/>
          <w:highlight w:val="white"/>
        </w:rPr>
        <w:t>Asian Journal of Advanced Research and Reports</w:t>
      </w:r>
      <w:r>
        <w:rPr>
          <w:color w:val="222222"/>
          <w:highlight w:val="white"/>
        </w:rPr>
        <w:t> 19.4 (2025): 229-242.</w:t>
      </w:r>
      <w:r>
        <w:t xml:space="preserve"> </w:t>
      </w:r>
    </w:p>
    <w:p w14:paraId="6E2C670F" w14:textId="2A4DC49C" w:rsidR="0099084C" w:rsidRPr="00D80885" w:rsidRDefault="001B22B2" w:rsidP="00B56E43">
      <w:pPr>
        <w:widowControl/>
        <w:autoSpaceDE/>
        <w:autoSpaceDN/>
        <w:spacing w:after="120"/>
        <w:ind w:left="720" w:hanging="720"/>
        <w:jc w:val="both"/>
        <w:rPr>
          <w:rFonts w:ascii="Arial" w:eastAsia="Calibri" w:hAnsi="Arial" w:cs="Arial"/>
          <w:kern w:val="2"/>
          <w:sz w:val="20"/>
          <w:szCs w:val="20"/>
          <w:lang w:val="en-GB"/>
          <w14:ligatures w14:val="standardContextual"/>
        </w:rPr>
      </w:pPr>
      <w:r>
        <w:rPr>
          <w:rFonts w:ascii="Arial" w:hAnsi="Arial" w:cs="Arial"/>
          <w:color w:val="222222"/>
          <w:sz w:val="20"/>
          <w:szCs w:val="20"/>
          <w:shd w:val="clear" w:color="auto" w:fill="FFFFFF"/>
        </w:rPr>
        <w:t>Okokpujie, I. P., Tartibu, L. K., &amp; Tukuru, I. O. (2023). International Journal of Transport Development and Integration. </w:t>
      </w:r>
      <w:r>
        <w:rPr>
          <w:rFonts w:ascii="Arial" w:hAnsi="Arial" w:cs="Arial"/>
          <w:i/>
          <w:iCs/>
          <w:color w:val="222222"/>
          <w:sz w:val="20"/>
          <w:szCs w:val="20"/>
          <w:shd w:val="clear" w:color="auto" w:fill="FFFFFF"/>
        </w:rPr>
        <w:t>Integration</w:t>
      </w:r>
      <w:r w:rsidRPr="00D80885">
        <w:rPr>
          <w:rFonts w:ascii="Arial" w:eastAsia="Calibri" w:hAnsi="Arial" w:cs="Arial"/>
          <w:kern w:val="2"/>
          <w:sz w:val="20"/>
          <w:szCs w:val="20"/>
          <w:lang w:val="en-GB"/>
          <w14:ligatures w14:val="standardContextual"/>
        </w:rPr>
        <w:t xml:space="preserve"> </w:t>
      </w:r>
      <w:r w:rsidR="0099084C" w:rsidRPr="00D80885">
        <w:rPr>
          <w:rFonts w:ascii="Arial" w:eastAsia="Calibri" w:hAnsi="Arial" w:cs="Arial"/>
          <w:kern w:val="2"/>
          <w:sz w:val="20"/>
          <w:szCs w:val="20"/>
          <w:lang w:val="en-GB"/>
          <w14:ligatures w14:val="standardContextual"/>
        </w:rPr>
        <w:t>World Bank. (2021). Nigeria Country Environmental Analysis: Managing Oil and Gas for Environmental Sustainability.</w:t>
      </w:r>
      <w:r w:rsidR="00252AD9" w:rsidRPr="00D80885">
        <w:rPr>
          <w:rFonts w:ascii="Arial" w:hAnsi="Arial" w:cs="Arial"/>
          <w:sz w:val="20"/>
          <w:szCs w:val="20"/>
        </w:rPr>
        <w:t xml:space="preserve"> </w:t>
      </w:r>
      <w:r w:rsidR="00252AD9" w:rsidRPr="00D80885">
        <w:rPr>
          <w:rFonts w:ascii="Arial" w:eastAsia="Calibri" w:hAnsi="Arial" w:cs="Arial"/>
          <w:kern w:val="2"/>
          <w:sz w:val="20"/>
          <w:szCs w:val="20"/>
          <w:lang w:val="en-GB"/>
          <w14:ligatures w14:val="standardContextual"/>
        </w:rPr>
        <w:t>https://climateknowledgeportal.worldbank.org/sites/default/files/2021-07/15918-WB_Nigeria%20Country%20Profile-WEB.pdf</w:t>
      </w:r>
    </w:p>
    <w:sectPr w:rsidR="0099084C" w:rsidRPr="00D80885">
      <w:headerReference w:type="even" r:id="rId21"/>
      <w:headerReference w:type="default" r:id="rId22"/>
      <w:footerReference w:type="even" r:id="rId23"/>
      <w:footerReference w:type="default" r:id="rId24"/>
      <w:headerReference w:type="first" r:id="rId25"/>
      <w:footerReference w:type="first" r:id="rId26"/>
      <w:pgSz w:w="12240" w:h="15840"/>
      <w:pgMar w:top="1340" w:right="1080" w:bottom="1200" w:left="1220" w:header="0" w:footer="17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F5A7" w14:textId="77777777" w:rsidR="009C4D5A" w:rsidRDefault="009C4D5A" w:rsidP="009B0127">
      <w:r>
        <w:separator/>
      </w:r>
    </w:p>
  </w:endnote>
  <w:endnote w:type="continuationSeparator" w:id="0">
    <w:p w14:paraId="12749B07" w14:textId="77777777" w:rsidR="009C4D5A" w:rsidRDefault="009C4D5A" w:rsidP="009B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4EDB" w14:textId="77777777" w:rsidR="00666017" w:rsidRDefault="00666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784467"/>
      <w:docPartObj>
        <w:docPartGallery w:val="Page Numbers (Bottom of Page)"/>
        <w:docPartUnique/>
      </w:docPartObj>
    </w:sdtPr>
    <w:sdtEndPr>
      <w:rPr>
        <w:noProof/>
      </w:rPr>
    </w:sdtEndPr>
    <w:sdtContent>
      <w:p w14:paraId="7A1F28E4" w14:textId="347120E5" w:rsidR="00B84196" w:rsidRDefault="00B84196">
        <w:pPr>
          <w:pStyle w:val="Footer"/>
          <w:jc w:val="center"/>
        </w:pPr>
        <w:r>
          <w:fldChar w:fldCharType="begin"/>
        </w:r>
        <w:r>
          <w:instrText xml:space="preserve"> PAGE   \* MERGEFORMAT </w:instrText>
        </w:r>
        <w:r>
          <w:fldChar w:fldCharType="separate"/>
        </w:r>
        <w:r w:rsidR="00F91770">
          <w:rPr>
            <w:noProof/>
          </w:rPr>
          <w:t>1</w:t>
        </w:r>
        <w:r>
          <w:rPr>
            <w:noProof/>
          </w:rPr>
          <w:fldChar w:fldCharType="end"/>
        </w:r>
      </w:p>
    </w:sdtContent>
  </w:sdt>
  <w:p w14:paraId="1643E186" w14:textId="77777777" w:rsidR="009B0127" w:rsidRDefault="009B0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2B41" w14:textId="77777777" w:rsidR="00666017" w:rsidRDefault="00666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1A47" w14:textId="77777777" w:rsidR="009C4D5A" w:rsidRDefault="009C4D5A" w:rsidP="009B0127">
      <w:r>
        <w:separator/>
      </w:r>
    </w:p>
  </w:footnote>
  <w:footnote w:type="continuationSeparator" w:id="0">
    <w:p w14:paraId="70502CC2" w14:textId="77777777" w:rsidR="009C4D5A" w:rsidRDefault="009C4D5A" w:rsidP="009B0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0BA" w14:textId="0FA23DB1" w:rsidR="00666017" w:rsidRDefault="00000000">
    <w:pPr>
      <w:pStyle w:val="Header"/>
    </w:pPr>
    <w:r>
      <w:rPr>
        <w:noProof/>
      </w:rPr>
      <w:pict w14:anchorId="4004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68016" o:spid="_x0000_s1026" type="#_x0000_t136" style="position:absolute;margin-left:0;margin-top:0;width:630.55pt;height:70.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86A0" w14:textId="1EF26781" w:rsidR="00666017" w:rsidRDefault="00000000">
    <w:pPr>
      <w:pStyle w:val="Header"/>
    </w:pPr>
    <w:r>
      <w:rPr>
        <w:noProof/>
      </w:rPr>
      <w:pict w14:anchorId="14AF2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68017" o:spid="_x0000_s1027" type="#_x0000_t136" style="position:absolute;margin-left:0;margin-top:0;width:630.55pt;height:70.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D0D1" w14:textId="792BD9B2" w:rsidR="00666017" w:rsidRDefault="00000000">
    <w:pPr>
      <w:pStyle w:val="Header"/>
    </w:pPr>
    <w:r>
      <w:rPr>
        <w:noProof/>
      </w:rPr>
      <w:pict w14:anchorId="36A87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68015" o:spid="_x0000_s1025" type="#_x0000_t136" style="position:absolute;margin-left:0;margin-top:0;width:630.55pt;height:70.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2625"/>
    <w:multiLevelType w:val="hybridMultilevel"/>
    <w:tmpl w:val="4AD2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A6670"/>
    <w:multiLevelType w:val="hybridMultilevel"/>
    <w:tmpl w:val="6278F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04116"/>
    <w:multiLevelType w:val="hybridMultilevel"/>
    <w:tmpl w:val="567AF270"/>
    <w:lvl w:ilvl="0" w:tplc="53181790">
      <w:start w:val="1"/>
      <w:numFmt w:val="decimal"/>
      <w:lvlText w:val="%1."/>
      <w:lvlJc w:val="left"/>
      <w:pPr>
        <w:ind w:left="1020" w:hanging="360"/>
      </w:pPr>
    </w:lvl>
    <w:lvl w:ilvl="1" w:tplc="54407698">
      <w:start w:val="1"/>
      <w:numFmt w:val="decimal"/>
      <w:lvlText w:val="%2."/>
      <w:lvlJc w:val="left"/>
      <w:pPr>
        <w:ind w:left="1020" w:hanging="360"/>
      </w:pPr>
    </w:lvl>
    <w:lvl w:ilvl="2" w:tplc="0624CF4E">
      <w:start w:val="1"/>
      <w:numFmt w:val="decimal"/>
      <w:lvlText w:val="%3."/>
      <w:lvlJc w:val="left"/>
      <w:pPr>
        <w:ind w:left="1020" w:hanging="360"/>
      </w:pPr>
    </w:lvl>
    <w:lvl w:ilvl="3" w:tplc="732AB4D6">
      <w:start w:val="1"/>
      <w:numFmt w:val="decimal"/>
      <w:lvlText w:val="%4."/>
      <w:lvlJc w:val="left"/>
      <w:pPr>
        <w:ind w:left="1020" w:hanging="360"/>
      </w:pPr>
    </w:lvl>
    <w:lvl w:ilvl="4" w:tplc="EB9C4ACE">
      <w:start w:val="1"/>
      <w:numFmt w:val="decimal"/>
      <w:lvlText w:val="%5."/>
      <w:lvlJc w:val="left"/>
      <w:pPr>
        <w:ind w:left="1020" w:hanging="360"/>
      </w:pPr>
    </w:lvl>
    <w:lvl w:ilvl="5" w:tplc="26FAC1DC">
      <w:start w:val="1"/>
      <w:numFmt w:val="decimal"/>
      <w:lvlText w:val="%6."/>
      <w:lvlJc w:val="left"/>
      <w:pPr>
        <w:ind w:left="1020" w:hanging="360"/>
      </w:pPr>
    </w:lvl>
    <w:lvl w:ilvl="6" w:tplc="8DE868C2">
      <w:start w:val="1"/>
      <w:numFmt w:val="decimal"/>
      <w:lvlText w:val="%7."/>
      <w:lvlJc w:val="left"/>
      <w:pPr>
        <w:ind w:left="1020" w:hanging="360"/>
      </w:pPr>
    </w:lvl>
    <w:lvl w:ilvl="7" w:tplc="56DED7F0">
      <w:start w:val="1"/>
      <w:numFmt w:val="decimal"/>
      <w:lvlText w:val="%8."/>
      <w:lvlJc w:val="left"/>
      <w:pPr>
        <w:ind w:left="1020" w:hanging="360"/>
      </w:pPr>
    </w:lvl>
    <w:lvl w:ilvl="8" w:tplc="C56EC944">
      <w:start w:val="1"/>
      <w:numFmt w:val="decimal"/>
      <w:lvlText w:val="%9."/>
      <w:lvlJc w:val="left"/>
      <w:pPr>
        <w:ind w:left="1020" w:hanging="360"/>
      </w:pPr>
    </w:lvl>
  </w:abstractNum>
  <w:abstractNum w:abstractNumId="3" w15:restartNumberingAfterBreak="0">
    <w:nsid w:val="62396B34"/>
    <w:multiLevelType w:val="multilevel"/>
    <w:tmpl w:val="092E7AF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67F74064"/>
    <w:multiLevelType w:val="hybridMultilevel"/>
    <w:tmpl w:val="C532A738"/>
    <w:lvl w:ilvl="0" w:tplc="6CD215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794204">
    <w:abstractNumId w:val="3"/>
  </w:num>
  <w:num w:numId="2" w16cid:durableId="424499249">
    <w:abstractNumId w:val="4"/>
  </w:num>
  <w:num w:numId="3" w16cid:durableId="1257709335">
    <w:abstractNumId w:val="0"/>
  </w:num>
  <w:num w:numId="4" w16cid:durableId="1152910194">
    <w:abstractNumId w:val="1"/>
  </w:num>
  <w:num w:numId="5" w16cid:durableId="82462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MX" w:vendorID="64" w:dllVersion="6" w:nlCheck="1" w:checkStyle="0"/>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n-GB" w:vendorID="64" w:dllVersion="4096" w:nlCheck="1" w:checkStyle="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8"/>
    <w:rsid w:val="000112F2"/>
    <w:rsid w:val="00016990"/>
    <w:rsid w:val="0004450B"/>
    <w:rsid w:val="00080647"/>
    <w:rsid w:val="00083F40"/>
    <w:rsid w:val="000A580A"/>
    <w:rsid w:val="000A6EC9"/>
    <w:rsid w:val="000B1252"/>
    <w:rsid w:val="000E588F"/>
    <w:rsid w:val="000E6365"/>
    <w:rsid w:val="00116EA5"/>
    <w:rsid w:val="00117752"/>
    <w:rsid w:val="00144399"/>
    <w:rsid w:val="00156C40"/>
    <w:rsid w:val="00174B13"/>
    <w:rsid w:val="001A3162"/>
    <w:rsid w:val="001B22B2"/>
    <w:rsid w:val="001C75DE"/>
    <w:rsid w:val="001D3853"/>
    <w:rsid w:val="00213B7A"/>
    <w:rsid w:val="00220EB0"/>
    <w:rsid w:val="00232091"/>
    <w:rsid w:val="00252AD9"/>
    <w:rsid w:val="00252C98"/>
    <w:rsid w:val="00254147"/>
    <w:rsid w:val="00266990"/>
    <w:rsid w:val="002A62D2"/>
    <w:rsid w:val="002B0288"/>
    <w:rsid w:val="002B4368"/>
    <w:rsid w:val="002B6BA6"/>
    <w:rsid w:val="002C73EE"/>
    <w:rsid w:val="002C77AD"/>
    <w:rsid w:val="002E6E0B"/>
    <w:rsid w:val="002F11C2"/>
    <w:rsid w:val="002F78D3"/>
    <w:rsid w:val="003018DD"/>
    <w:rsid w:val="003361F4"/>
    <w:rsid w:val="003714BD"/>
    <w:rsid w:val="00373C86"/>
    <w:rsid w:val="003A00CC"/>
    <w:rsid w:val="003D2B48"/>
    <w:rsid w:val="003D61D2"/>
    <w:rsid w:val="00414E4F"/>
    <w:rsid w:val="0043519D"/>
    <w:rsid w:val="0044407F"/>
    <w:rsid w:val="00456545"/>
    <w:rsid w:val="004569FC"/>
    <w:rsid w:val="004627D1"/>
    <w:rsid w:val="00462C7B"/>
    <w:rsid w:val="004B7251"/>
    <w:rsid w:val="004D35B1"/>
    <w:rsid w:val="005013B2"/>
    <w:rsid w:val="005170CD"/>
    <w:rsid w:val="00540AA6"/>
    <w:rsid w:val="00561499"/>
    <w:rsid w:val="0057054E"/>
    <w:rsid w:val="005717FD"/>
    <w:rsid w:val="00585615"/>
    <w:rsid w:val="00587BCA"/>
    <w:rsid w:val="005926BC"/>
    <w:rsid w:val="0059607D"/>
    <w:rsid w:val="0059752F"/>
    <w:rsid w:val="005B471C"/>
    <w:rsid w:val="005C0460"/>
    <w:rsid w:val="005C18B4"/>
    <w:rsid w:val="005C7871"/>
    <w:rsid w:val="005D4281"/>
    <w:rsid w:val="005E612C"/>
    <w:rsid w:val="005F7DDA"/>
    <w:rsid w:val="00605BE9"/>
    <w:rsid w:val="00615663"/>
    <w:rsid w:val="006236E6"/>
    <w:rsid w:val="00636520"/>
    <w:rsid w:val="0064152D"/>
    <w:rsid w:val="00666017"/>
    <w:rsid w:val="00691E8E"/>
    <w:rsid w:val="006E2C3E"/>
    <w:rsid w:val="006F4E61"/>
    <w:rsid w:val="006F58B3"/>
    <w:rsid w:val="0070674F"/>
    <w:rsid w:val="00713D7E"/>
    <w:rsid w:val="00717562"/>
    <w:rsid w:val="00725CB2"/>
    <w:rsid w:val="0075677A"/>
    <w:rsid w:val="00760399"/>
    <w:rsid w:val="00764DD1"/>
    <w:rsid w:val="007A3606"/>
    <w:rsid w:val="007B4C6A"/>
    <w:rsid w:val="007C173B"/>
    <w:rsid w:val="007D6893"/>
    <w:rsid w:val="00807C20"/>
    <w:rsid w:val="00807CD0"/>
    <w:rsid w:val="00836D0A"/>
    <w:rsid w:val="00846608"/>
    <w:rsid w:val="00855267"/>
    <w:rsid w:val="00862730"/>
    <w:rsid w:val="008728E5"/>
    <w:rsid w:val="00872DA0"/>
    <w:rsid w:val="008826B4"/>
    <w:rsid w:val="008858FF"/>
    <w:rsid w:val="00890CEB"/>
    <w:rsid w:val="008A5AA0"/>
    <w:rsid w:val="008A6CE4"/>
    <w:rsid w:val="008F5466"/>
    <w:rsid w:val="009002A7"/>
    <w:rsid w:val="00911EE0"/>
    <w:rsid w:val="00915006"/>
    <w:rsid w:val="00932E71"/>
    <w:rsid w:val="009616E4"/>
    <w:rsid w:val="00962EF0"/>
    <w:rsid w:val="00971B55"/>
    <w:rsid w:val="00971E30"/>
    <w:rsid w:val="00974BE8"/>
    <w:rsid w:val="00976CA5"/>
    <w:rsid w:val="00976DE9"/>
    <w:rsid w:val="0099084C"/>
    <w:rsid w:val="009B0127"/>
    <w:rsid w:val="009C4D5A"/>
    <w:rsid w:val="009C746E"/>
    <w:rsid w:val="009D5D5D"/>
    <w:rsid w:val="009E5E98"/>
    <w:rsid w:val="009F1C04"/>
    <w:rsid w:val="00A00D50"/>
    <w:rsid w:val="00A31388"/>
    <w:rsid w:val="00A61279"/>
    <w:rsid w:val="00A6725D"/>
    <w:rsid w:val="00A718AA"/>
    <w:rsid w:val="00A74EAC"/>
    <w:rsid w:val="00A81D07"/>
    <w:rsid w:val="00A91E02"/>
    <w:rsid w:val="00AA27D9"/>
    <w:rsid w:val="00AE383E"/>
    <w:rsid w:val="00B26BE7"/>
    <w:rsid w:val="00B521D3"/>
    <w:rsid w:val="00B56E43"/>
    <w:rsid w:val="00B57AA5"/>
    <w:rsid w:val="00B8029E"/>
    <w:rsid w:val="00B84196"/>
    <w:rsid w:val="00B9343A"/>
    <w:rsid w:val="00BA6824"/>
    <w:rsid w:val="00BE014F"/>
    <w:rsid w:val="00BF1D56"/>
    <w:rsid w:val="00BF47ED"/>
    <w:rsid w:val="00C03A00"/>
    <w:rsid w:val="00C05FC7"/>
    <w:rsid w:val="00C21754"/>
    <w:rsid w:val="00C251CF"/>
    <w:rsid w:val="00C31253"/>
    <w:rsid w:val="00C34E0C"/>
    <w:rsid w:val="00C52912"/>
    <w:rsid w:val="00C71799"/>
    <w:rsid w:val="00C75589"/>
    <w:rsid w:val="00C76745"/>
    <w:rsid w:val="00CA2A4A"/>
    <w:rsid w:val="00CC60E3"/>
    <w:rsid w:val="00CE1F2F"/>
    <w:rsid w:val="00D14841"/>
    <w:rsid w:val="00D26531"/>
    <w:rsid w:val="00D708D6"/>
    <w:rsid w:val="00D77D42"/>
    <w:rsid w:val="00D80885"/>
    <w:rsid w:val="00D90961"/>
    <w:rsid w:val="00DB5657"/>
    <w:rsid w:val="00DB590A"/>
    <w:rsid w:val="00DC33B4"/>
    <w:rsid w:val="00DC389B"/>
    <w:rsid w:val="00DF641C"/>
    <w:rsid w:val="00EB55B1"/>
    <w:rsid w:val="00EF0D18"/>
    <w:rsid w:val="00F00906"/>
    <w:rsid w:val="00F359D2"/>
    <w:rsid w:val="00F5468D"/>
    <w:rsid w:val="00F65B16"/>
    <w:rsid w:val="00F727DD"/>
    <w:rsid w:val="00F8228B"/>
    <w:rsid w:val="00F91770"/>
    <w:rsid w:val="00FB51D5"/>
    <w:rsid w:val="00FB59AB"/>
    <w:rsid w:val="00FB7648"/>
    <w:rsid w:val="00FC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D629"/>
  <w15:docId w15:val="{D5AC166A-3EB8-4B16-99AF-812E14E2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spacing w:after="0" w:line="240" w:lineRule="auto"/>
    </w:pPr>
    <w:rPr>
      <w:rFonts w:eastAsia="Times New Roman"/>
      <w:sz w:val="22"/>
      <w:szCs w:val="22"/>
    </w:rPr>
  </w:style>
  <w:style w:type="paragraph" w:styleId="Heading1">
    <w:name w:val="heading 1"/>
    <w:basedOn w:val="Normal"/>
    <w:next w:val="Normal"/>
    <w:link w:val="Heading1Char"/>
    <w:uiPriority w:val="1"/>
    <w:qFormat/>
    <w:pPr>
      <w:ind w:left="940"/>
      <w:jc w:val="both"/>
      <w:outlineLvl w:val="0"/>
    </w:pPr>
    <w:rPr>
      <w:b/>
      <w:bCs/>
      <w:sz w:val="24"/>
      <w:szCs w:val="24"/>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NormalWeb">
    <w:name w:val="Normal (Web)"/>
    <w:basedOn w:val="Normal"/>
    <w:uiPriority w:val="99"/>
    <w:unhideWhenUsed/>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customStyle="1" w:styleId="ListParagraph1">
    <w:name w:val="List Paragraph1"/>
    <w:basedOn w:val="Normal"/>
    <w:uiPriority w:val="1"/>
    <w:qFormat/>
    <w:pPr>
      <w:ind w:left="940" w:hanging="721"/>
      <w:jc w:val="both"/>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uiPriority w:val="39"/>
    <w:rsid w:val="0099084C"/>
    <w:pPr>
      <w:spacing w:after="0" w:line="240" w:lineRule="auto"/>
    </w:pPr>
    <w:rPr>
      <w:rFonts w:ascii="Calibri" w:eastAsia="Calibri" w:hAnsi="Calibri" w:cs="SimSun"/>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127"/>
    <w:pPr>
      <w:tabs>
        <w:tab w:val="center" w:pos="4680"/>
        <w:tab w:val="right" w:pos="9360"/>
      </w:tabs>
    </w:pPr>
  </w:style>
  <w:style w:type="character" w:customStyle="1" w:styleId="HeaderChar">
    <w:name w:val="Header Char"/>
    <w:basedOn w:val="DefaultParagraphFont"/>
    <w:link w:val="Header"/>
    <w:uiPriority w:val="99"/>
    <w:rsid w:val="009B0127"/>
    <w:rPr>
      <w:rFonts w:eastAsia="Times New Roman"/>
      <w:sz w:val="22"/>
      <w:szCs w:val="22"/>
    </w:rPr>
  </w:style>
  <w:style w:type="paragraph" w:styleId="Footer">
    <w:name w:val="footer"/>
    <w:basedOn w:val="Normal"/>
    <w:link w:val="FooterChar"/>
    <w:uiPriority w:val="99"/>
    <w:unhideWhenUsed/>
    <w:rsid w:val="009B0127"/>
    <w:pPr>
      <w:tabs>
        <w:tab w:val="center" w:pos="4680"/>
        <w:tab w:val="right" w:pos="9360"/>
      </w:tabs>
    </w:pPr>
  </w:style>
  <w:style w:type="character" w:customStyle="1" w:styleId="FooterChar">
    <w:name w:val="Footer Char"/>
    <w:basedOn w:val="DefaultParagraphFont"/>
    <w:link w:val="Footer"/>
    <w:uiPriority w:val="99"/>
    <w:rsid w:val="009B0127"/>
    <w:rPr>
      <w:rFonts w:eastAsia="Times New Roman"/>
      <w:sz w:val="22"/>
      <w:szCs w:val="22"/>
    </w:rPr>
  </w:style>
  <w:style w:type="paragraph" w:styleId="ListParagraph">
    <w:name w:val="List Paragraph"/>
    <w:basedOn w:val="Normal"/>
    <w:uiPriority w:val="99"/>
    <w:unhideWhenUsed/>
    <w:rsid w:val="00456545"/>
    <w:pPr>
      <w:ind w:left="720"/>
      <w:contextualSpacing/>
    </w:pPr>
  </w:style>
  <w:style w:type="character" w:customStyle="1" w:styleId="UnresolvedMention1">
    <w:name w:val="Unresolved Mention1"/>
    <w:basedOn w:val="DefaultParagraphFont"/>
    <w:uiPriority w:val="99"/>
    <w:semiHidden/>
    <w:unhideWhenUsed/>
    <w:rsid w:val="00C251CF"/>
    <w:rPr>
      <w:color w:val="605E5C"/>
      <w:shd w:val="clear" w:color="auto" w:fill="E1DFDD"/>
    </w:rPr>
  </w:style>
  <w:style w:type="character" w:styleId="UnresolvedMention">
    <w:name w:val="Unresolved Mention"/>
    <w:basedOn w:val="DefaultParagraphFont"/>
    <w:uiPriority w:val="99"/>
    <w:semiHidden/>
    <w:unhideWhenUsed/>
    <w:rsid w:val="00932E71"/>
    <w:rPr>
      <w:color w:val="605E5C"/>
      <w:shd w:val="clear" w:color="auto" w:fill="E1DFDD"/>
    </w:rPr>
  </w:style>
  <w:style w:type="paragraph" w:styleId="CommentText">
    <w:name w:val="annotation text"/>
    <w:basedOn w:val="Normal"/>
    <w:link w:val="CommentTextChar"/>
    <w:uiPriority w:val="99"/>
    <w:unhideWhenUsed/>
    <w:rsid w:val="00717562"/>
    <w:rPr>
      <w:sz w:val="20"/>
      <w:szCs w:val="20"/>
    </w:rPr>
  </w:style>
  <w:style w:type="character" w:customStyle="1" w:styleId="CommentTextChar">
    <w:name w:val="Comment Text Char"/>
    <w:basedOn w:val="DefaultParagraphFont"/>
    <w:link w:val="CommentText"/>
    <w:uiPriority w:val="99"/>
    <w:rsid w:val="0071756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social-sciences/human-activities-effects" TargetMode="External"/><Relationship Id="rId13" Type="http://schemas.microsoft.com/office/2014/relationships/chartEx" Target="charts/chartEx1.xm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ciencedirect.com/topics/physics-and-astronomy/renewable-energy"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numbering" Target="numbering.xml"/><Relationship Id="rId20" Type="http://schemas.openxmlformats.org/officeDocument/2006/relationships/hyperlink" Target="https://www.iea.org/reports/global-ev-outlook-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ngineering/automaker" TargetMode="External"/><Relationship Id="rId24"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ciencedirect.com/topics/earth-and-planetary-sciences/petroleum-consumption" TargetMode="External"/><Relationship Id="rId19" Type="http://schemas.openxmlformats.org/officeDocument/2006/relationships/hyperlink" Target="https://doi.org/10.1016/j.esr.2023.1007XX" TargetMode="External"/><Relationship Id="rId4" Type="http://schemas.openxmlformats.org/officeDocument/2006/relationships/settings" Target="settings.xml"/><Relationship Id="rId9" Type="http://schemas.openxmlformats.org/officeDocument/2006/relationships/hyperlink" Target="https://www.sciencedirect.com/topics/earth-and-planetary-sciences/internal-combustion-engine"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Downloads\International%20Energy%20Agency%20-%20CO2%20emissions%20by%20sector%20in%20Nigeria.csv" TargetMode="External"/><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Sheet3!$H$13:$H$25</cx:f>
        <cx:lvl ptCount="13">
          <cx:pt idx="0">2010</cx:pt>
          <cx:pt idx="1">2011</cx:pt>
          <cx:pt idx="2">2012</cx:pt>
          <cx:pt idx="3">2013</cx:pt>
          <cx:pt idx="4">2014</cx:pt>
          <cx:pt idx="5">2015</cx:pt>
          <cx:pt idx="6">2016</cx:pt>
          <cx:pt idx="7">2017</cx:pt>
          <cx:pt idx="8">2018</cx:pt>
          <cx:pt idx="9">2019</cx:pt>
          <cx:pt idx="10">2020</cx:pt>
          <cx:pt idx="11">2021</cx:pt>
          <cx:pt idx="12">2022</cx:pt>
        </cx:lvl>
      </cx:strDim>
      <cx:numDim type="val">
        <cx:f>Sheet3!$G$13:$G$25</cx:f>
        <cx:lvl ptCount="13" formatCode="General">
          <cx:pt idx="0">29.733000000000001</cx:pt>
          <cx:pt idx="1">31.731000000000002</cx:pt>
          <cx:pt idx="2">35.164000000000001</cx:pt>
          <cx:pt idx="3">44.853000000000002</cx:pt>
          <cx:pt idx="4">49.18</cx:pt>
          <cx:pt idx="5">44.719999999999999</cx:pt>
          <cx:pt idx="6">51.250999999999998</cx:pt>
          <cx:pt idx="7">51.296999999999997</cx:pt>
          <cx:pt idx="8">54.990000000000002</cx:pt>
          <cx:pt idx="9">58.863</cx:pt>
          <cx:pt idx="10">50.527999999999999</cx:pt>
          <cx:pt idx="11">57.231000000000002</cx:pt>
          <cx:pt idx="12">60.783000000000001</cx:pt>
        </cx:lvl>
      </cx:numDim>
    </cx:data>
    <cx:data id="1">
      <cx:strDim type="cat">
        <cx:f>Sheet3!$H$13:$H$25</cx:f>
        <cx:lvl ptCount="13">
          <cx:pt idx="0">2010</cx:pt>
          <cx:pt idx="1">2011</cx:pt>
          <cx:pt idx="2">2012</cx:pt>
          <cx:pt idx="3">2013</cx:pt>
          <cx:pt idx="4">2014</cx:pt>
          <cx:pt idx="5">2015</cx:pt>
          <cx:pt idx="6">2016</cx:pt>
          <cx:pt idx="7">2017</cx:pt>
          <cx:pt idx="8">2018</cx:pt>
          <cx:pt idx="9">2019</cx:pt>
          <cx:pt idx="10">2020</cx:pt>
          <cx:pt idx="11">2021</cx:pt>
          <cx:pt idx="12">2022</cx:pt>
        </cx:lvl>
      </cx:strDim>
      <cx:numDim type="val">
        <cx:f>Sheet3!$H$13:$H$25</cx:f>
        <cx:lvl ptCount="13" formatCode="General">
          <cx:pt idx="0">2010</cx:pt>
          <cx:pt idx="1">2011</cx:pt>
          <cx:pt idx="2">2012</cx:pt>
          <cx:pt idx="3">2013</cx:pt>
          <cx:pt idx="4">2014</cx:pt>
          <cx:pt idx="5">2015</cx:pt>
          <cx:pt idx="6">2016</cx:pt>
          <cx:pt idx="7">2017</cx:pt>
          <cx:pt idx="8">2018</cx:pt>
          <cx:pt idx="9">2019</cx:pt>
          <cx:pt idx="10">2020</cx:pt>
          <cx:pt idx="11">2021</cx:pt>
          <cx:pt idx="12">2022</cx:pt>
        </cx:lvl>
      </cx:numDim>
    </cx:data>
    <cx:data id="2">
      <cx:numDim type="val">
        <cx:f>Sheet3!$G$13:$G$25</cx:f>
        <cx:lvl ptCount="13" formatCode="General">
          <cx:pt idx="0">29.733000000000001</cx:pt>
          <cx:pt idx="1">31.731000000000002</cx:pt>
          <cx:pt idx="2">35.164000000000001</cx:pt>
          <cx:pt idx="3">44.853000000000002</cx:pt>
          <cx:pt idx="4">49.18</cx:pt>
          <cx:pt idx="5">44.719999999999999</cx:pt>
          <cx:pt idx="6">51.250999999999998</cx:pt>
          <cx:pt idx="7">51.296999999999997</cx:pt>
          <cx:pt idx="8">54.990000000000002</cx:pt>
          <cx:pt idx="9">58.863</cx:pt>
          <cx:pt idx="10">50.527999999999999</cx:pt>
          <cx:pt idx="11">57.231000000000002</cx:pt>
          <cx:pt idx="12">60.783000000000001</cx:pt>
        </cx:lvl>
      </cx:numDim>
    </cx:data>
  </cx:chartData>
  <cx:chart>
    <cx:title pos="t" align="ctr" overlay="0">
      <cx:tx>
        <cx:txData>
          <cx:v>VEHICLE EMISSION</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VEHICLE EMISSION</a:t>
          </a:r>
        </a:p>
      </cx:txPr>
    </cx:title>
    <cx:plotArea>
      <cx:plotAreaRegion>
        <cx:plotSurface>
          <cx:spPr>
            <a:solidFill>
              <a:schemeClr val="accent4">
                <a:lumMod val="60000"/>
                <a:lumOff val="40000"/>
              </a:schemeClr>
            </a:solidFill>
          </cx:spPr>
        </cx:plotSurface>
        <cx:series layoutId="waterfall" uniqueId="{B968242A-1CCE-402C-A283-23A0D1D2A434}" formatIdx="0">
          <cx:dataLabels pos="outEnd">
            <cx:visibility seriesName="0" categoryName="0" value="1"/>
          </cx:dataLabels>
          <cx:dataId val="0"/>
          <cx:layoutPr>
            <cx:subtotals/>
          </cx:layoutPr>
        </cx:series>
        <cx:series layoutId="waterfall" hidden="1" uniqueId="{B411023C-9032-47A3-9E6B-D3507AB74257}" formatIdx="1">
          <cx:dataLabels pos="outEnd">
            <cx:visibility seriesName="0" categoryName="0" value="1"/>
          </cx:dataLabels>
          <cx:dataId val="1"/>
          <cx:layoutPr>
            <cx:subtotals/>
          </cx:layoutPr>
        </cx:series>
        <cx:series layoutId="waterfall" hidden="1" uniqueId="{00000002-B0BB-4323-8802-9A66D2499F10}" formatIdx="2">
          <cx:tx>
            <cx:txData>
              <cx:f/>
              <cx:v>VALUES</cx:v>
            </cx:txData>
          </cx:tx>
          <cx:dataId val="2"/>
          <cx:layoutPr>
            <cx:subtotals/>
          </cx:layoutPr>
        </cx:series>
      </cx:plotAreaRegion>
      <cx:axis id="0">
        <cx:catScaling gapWidth="0.5"/>
        <cx:title>
          <cx:tx>
            <cx:txData>
              <cx:v>YEAR</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YEAR</a:t>
              </a:r>
            </a:p>
          </cx:txPr>
        </cx:title>
        <cx:tickLabels/>
      </cx:axis>
      <cx:axis id="1">
        <cx:valScaling min="2"/>
        <cx:title>
          <cx:tx>
            <cx:txData>
              <cx:v>VALUES</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VALUES</a:t>
              </a:r>
            </a:p>
          </cx:txPr>
        </cx:title>
        <cx:tickLabels/>
      </cx:axis>
    </cx:plotArea>
  </cx:chart>
  <cx:spPr>
    <a:solidFill>
      <a:schemeClr val="accent2"/>
    </a:solidFill>
    <a:ln>
      <a:solidFill>
        <a:srgbClr val="FF0000"/>
      </a:solidFill>
    </a:ln>
    <a:effectLst>
      <a:glow rad="63500">
        <a:schemeClr val="accent1">
          <a:satMod val="175000"/>
          <a:alpha val="40000"/>
        </a:schemeClr>
      </a:glow>
    </a:effectLst>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ISTIFANUS AND ESTHER</dc:creator>
  <cp:lastModifiedBy>Editor GP 005</cp:lastModifiedBy>
  <cp:revision>4</cp:revision>
  <cp:lastPrinted>2025-07-20T15:47:00Z</cp:lastPrinted>
  <dcterms:created xsi:type="dcterms:W3CDTF">2025-09-27T16:39:00Z</dcterms:created>
  <dcterms:modified xsi:type="dcterms:W3CDTF">2025-10-04T09:00:00Z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E9222A81881F4786F1674668D7996FE7_33</vt:lpwstr>
  </property>
  <property fmtid="{D5CDD505-2E9C-101B-9397-08002B2CF9AE}" pid="3" name="KSOProductBuildVer">
    <vt:lpwstr>3081-11.34.12</vt:lpwstr>
  </property>
</Properties>
</file>