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97A6" w14:textId="63E9AF56" w:rsidR="00A649D3" w:rsidRDefault="002155BA">
      <w:r>
        <w:t xml:space="preserve">The Role of IT Governance Frameworks (COBIT, ITIL) in Enhancing </w:t>
      </w:r>
      <w:proofErr w:type="spellStart"/>
      <w:r w:rsidR="00F15167" w:rsidRPr="00E07808">
        <w:rPr>
          <w:highlight w:val="yellow"/>
        </w:rPr>
        <w:t>Organisational</w:t>
      </w:r>
      <w:proofErr w:type="spellEnd"/>
      <w:r w:rsidR="00F15167">
        <w:t xml:space="preserve"> </w:t>
      </w:r>
      <w:r>
        <w:t>Cyber-Resilience</w:t>
      </w:r>
    </w:p>
    <w:p w14:paraId="3532F2E6" w14:textId="77777777" w:rsidR="00CA6DDE" w:rsidRDefault="00CA6DDE"/>
    <w:p w14:paraId="12A2AAA2" w14:textId="2AC68182" w:rsidR="00A649D3" w:rsidRDefault="002155BA">
      <w:pPr>
        <w:pStyle w:val="NormalWeb"/>
      </w:pPr>
      <w:r>
        <w:rPr>
          <w:rStyle w:val="Strong"/>
        </w:rPr>
        <w:t>Abstract</w:t>
      </w:r>
      <w:r>
        <w:br/>
        <w:t xml:space="preserve">The escalating frequency and sophistication of cyber threats highlight the urgent need for </w:t>
      </w:r>
      <w:proofErr w:type="spellStart"/>
      <w:r w:rsidR="00F15167" w:rsidRPr="00E07808">
        <w:rPr>
          <w:highlight w:val="yellow"/>
        </w:rPr>
        <w:t>organisations</w:t>
      </w:r>
      <w:proofErr w:type="spellEnd"/>
      <w:r w:rsidR="00F15167" w:rsidRPr="00E07808">
        <w:rPr>
          <w:highlight w:val="yellow"/>
        </w:rPr>
        <w:t xml:space="preserve"> </w:t>
      </w:r>
      <w:r>
        <w:t xml:space="preserve">to establish robust mechanisms that safeguard digital assets while ensuring operational continuity. </w:t>
      </w:r>
      <w:r w:rsidR="004C76C3" w:rsidRPr="00E07808">
        <w:rPr>
          <w:highlight w:val="yellow"/>
        </w:rPr>
        <w:t>The study aims to examine t</w:t>
      </w:r>
      <w:r w:rsidR="004C76C3" w:rsidRPr="00E07808">
        <w:rPr>
          <w:highlight w:val="yellow"/>
        </w:rPr>
        <w:t xml:space="preserve">he Role of IT Governance Frameworks (COBIT, ITIL) in </w:t>
      </w:r>
      <w:r w:rsidR="004C76C3" w:rsidRPr="00E07808">
        <w:rPr>
          <w:highlight w:val="yellow"/>
        </w:rPr>
        <w:t>enhancing</w:t>
      </w:r>
      <w:r w:rsidR="004C76C3" w:rsidRPr="00E07808">
        <w:rPr>
          <w:highlight w:val="yellow"/>
        </w:rPr>
        <w:t xml:space="preserve"> </w:t>
      </w:r>
      <w:proofErr w:type="spellStart"/>
      <w:r w:rsidR="004C76C3" w:rsidRPr="00E07808">
        <w:rPr>
          <w:highlight w:val="yellow"/>
        </w:rPr>
        <w:t>organisational</w:t>
      </w:r>
      <w:proofErr w:type="spellEnd"/>
      <w:r w:rsidR="004C76C3" w:rsidRPr="00E07808">
        <w:rPr>
          <w:highlight w:val="yellow"/>
        </w:rPr>
        <w:t xml:space="preserve"> </w:t>
      </w:r>
      <w:r w:rsidR="004C76C3" w:rsidRPr="00E07808">
        <w:rPr>
          <w:highlight w:val="yellow"/>
        </w:rPr>
        <w:t>Cyber-Resilience.</w:t>
      </w:r>
      <w:r w:rsidR="004C76C3">
        <w:t xml:space="preserve"> </w:t>
      </w:r>
      <w:r w:rsidR="004C76C3" w:rsidRPr="00E07808">
        <w:rPr>
          <w:highlight w:val="yellow"/>
        </w:rPr>
        <w:t>Traditional</w:t>
      </w:r>
      <w:r>
        <w:t xml:space="preserve"> approaches to cybersecurity often </w:t>
      </w:r>
      <w:proofErr w:type="spellStart"/>
      <w:r w:rsidR="00F15167" w:rsidRPr="00E07808">
        <w:rPr>
          <w:highlight w:val="yellow"/>
        </w:rPr>
        <w:t>emphasise</w:t>
      </w:r>
      <w:proofErr w:type="spellEnd"/>
      <w:r w:rsidR="00F15167" w:rsidRPr="00E07808">
        <w:rPr>
          <w:highlight w:val="yellow"/>
        </w:rPr>
        <w:t xml:space="preserve"> </w:t>
      </w:r>
      <w:r>
        <w:t xml:space="preserve">technical controls but fall short of addressing governance, strategic alignment, and resilience. </w:t>
      </w:r>
      <w:r w:rsidR="00165C22" w:rsidRPr="00E07808">
        <w:rPr>
          <w:highlight w:val="yellow"/>
        </w:rPr>
        <w:t>A narrative review was considered appropriate because it allows for an integrative synthesis of diverse literature, theoretical contributions, and empirical findings without being restricted to the rigid parameters of systematic reviews</w:t>
      </w:r>
      <w:r w:rsidR="00165C22" w:rsidRPr="00165C22">
        <w:t>.</w:t>
      </w:r>
      <w:r w:rsidR="00165C22">
        <w:t xml:space="preserve"> </w:t>
      </w:r>
      <w:r>
        <w:t xml:space="preserve">Information Technology (IT) governance frameworks such as Control Objectives for Information and Related Technologies (COBIT) and the Information Technology Infrastructure Library (ITIL) provide structured methodologies that integrate risk management, compliance, and operational excellence. This paper examines the role of COBIT and ITIL in enhancing </w:t>
      </w:r>
      <w:proofErr w:type="spellStart"/>
      <w:r w:rsidR="00F15167" w:rsidRPr="00E07808">
        <w:rPr>
          <w:highlight w:val="yellow"/>
        </w:rPr>
        <w:t>organisational</w:t>
      </w:r>
      <w:proofErr w:type="spellEnd"/>
      <w:r w:rsidR="00F15167" w:rsidRPr="00E07808">
        <w:rPr>
          <w:highlight w:val="yellow"/>
        </w:rPr>
        <w:t xml:space="preserve"> </w:t>
      </w:r>
      <w:r>
        <w:t xml:space="preserve">cyber-resilience, with particular attention to their complementary strengths in governance, process </w:t>
      </w:r>
      <w:proofErr w:type="spellStart"/>
      <w:r w:rsidR="00F15167" w:rsidRPr="00E07808">
        <w:rPr>
          <w:highlight w:val="yellow"/>
        </w:rPr>
        <w:t>optimisation</w:t>
      </w:r>
      <w:proofErr w:type="spellEnd"/>
      <w:r>
        <w:t xml:space="preserve">, and service management. COBIT </w:t>
      </w:r>
      <w:proofErr w:type="spellStart"/>
      <w:r w:rsidR="00F15167" w:rsidRPr="00E07808">
        <w:rPr>
          <w:highlight w:val="yellow"/>
        </w:rPr>
        <w:t>emphasises</w:t>
      </w:r>
      <w:proofErr w:type="spellEnd"/>
      <w:r w:rsidR="00F15167" w:rsidRPr="00E07808">
        <w:rPr>
          <w:highlight w:val="yellow"/>
        </w:rPr>
        <w:t xml:space="preserve"> </w:t>
      </w:r>
      <w:r>
        <w:t xml:space="preserve">strategic alignment, value delivery, and control objectives, enabling </w:t>
      </w:r>
      <w:proofErr w:type="spellStart"/>
      <w:r w:rsidR="00F15167" w:rsidRPr="00E07808">
        <w:rPr>
          <w:highlight w:val="yellow"/>
        </w:rPr>
        <w:t>organisations</w:t>
      </w:r>
      <w:proofErr w:type="spellEnd"/>
      <w:r w:rsidR="00F15167" w:rsidRPr="00E07808">
        <w:rPr>
          <w:highlight w:val="yellow"/>
        </w:rPr>
        <w:t xml:space="preserve"> </w:t>
      </w:r>
      <w:r>
        <w:t xml:space="preserve">to bridge the gap between business goals and IT risk mitigation. ITIL, on the other hand, focuses on service lifecycle management and continuous improvement, ensuring operational resilience in the face of disruptions. </w:t>
      </w:r>
      <w:r w:rsidR="00F15167" w:rsidRPr="00E07808">
        <w:rPr>
          <w:highlight w:val="yellow"/>
        </w:rPr>
        <w:t>C</w:t>
      </w:r>
      <w:r w:rsidR="00F15167" w:rsidRPr="00E07808">
        <w:rPr>
          <w:highlight w:val="yellow"/>
        </w:rPr>
        <w:t>hallenges persist, particularly in leadership commitment, cultural alignment, and performance measurement. Without addressing these barriers, even the most robust frameworks may fail to achieve their intended outcomes.</w:t>
      </w:r>
      <w:r w:rsidR="00F15167" w:rsidRPr="00F15167">
        <w:t xml:space="preserve"> </w:t>
      </w:r>
      <w:r>
        <w:t xml:space="preserve">By </w:t>
      </w:r>
      <w:proofErr w:type="spellStart"/>
      <w:r w:rsidR="00F15167" w:rsidRPr="00E07808">
        <w:rPr>
          <w:highlight w:val="yellow"/>
        </w:rPr>
        <w:t>analysing</w:t>
      </w:r>
      <w:proofErr w:type="spellEnd"/>
      <w:r w:rsidR="00F15167" w:rsidRPr="00E07808">
        <w:rPr>
          <w:highlight w:val="yellow"/>
        </w:rPr>
        <w:t xml:space="preserve"> </w:t>
      </w:r>
      <w:r>
        <w:t xml:space="preserve">case studies and </w:t>
      </w:r>
      <w:proofErr w:type="spellStart"/>
      <w:r w:rsidR="00F15167" w:rsidRPr="00E07808">
        <w:rPr>
          <w:highlight w:val="yellow"/>
        </w:rPr>
        <w:t>synthesising</w:t>
      </w:r>
      <w:proofErr w:type="spellEnd"/>
      <w:r w:rsidR="00F15167" w:rsidRPr="00E07808">
        <w:rPr>
          <w:highlight w:val="yellow"/>
        </w:rPr>
        <w:t xml:space="preserve"> </w:t>
      </w:r>
      <w:r>
        <w:t xml:space="preserve">current literature, this work illustrates how </w:t>
      </w:r>
      <w:proofErr w:type="spellStart"/>
      <w:r w:rsidR="00F15167" w:rsidRPr="00E07808">
        <w:rPr>
          <w:highlight w:val="yellow"/>
        </w:rPr>
        <w:t>organisations</w:t>
      </w:r>
      <w:proofErr w:type="spellEnd"/>
      <w:r w:rsidR="00F15167" w:rsidRPr="00E07808">
        <w:rPr>
          <w:highlight w:val="yellow"/>
        </w:rPr>
        <w:t xml:space="preserve"> </w:t>
      </w:r>
      <w:r>
        <w:t xml:space="preserve">can leverage both frameworks to create a synergistic approach that not only prevents and detects cyber incidents but also enhances recovery capabilities. The discussion underscores the importance of embedding governance structures into cybersecurity strategies, fostering a culture of accountability, and aligning IT services with business continuity goals. Ultimately, integrating COBIT and ITIL strengthens decision-making, improves resource allocation, and enhances overall resilience against emerging cyber risks. The findings suggest that </w:t>
      </w:r>
      <w:proofErr w:type="spellStart"/>
      <w:r w:rsidR="00F15167" w:rsidRPr="00E07808">
        <w:rPr>
          <w:highlight w:val="yellow"/>
        </w:rPr>
        <w:t>organisations</w:t>
      </w:r>
      <w:proofErr w:type="spellEnd"/>
      <w:r w:rsidR="00F15167" w:rsidRPr="00E07808">
        <w:rPr>
          <w:highlight w:val="yellow"/>
        </w:rPr>
        <w:t xml:space="preserve"> </w:t>
      </w:r>
      <w:r>
        <w:t>adopting a hybrid governance framework can better anticipate, withstand, and adapt to cyber disruptions, positioning themselves competitively in a digital economy increasingly shaped by risk and uncertainty.</w:t>
      </w:r>
      <w:r w:rsidR="00165C22">
        <w:t xml:space="preserve"> </w:t>
      </w:r>
      <w:r w:rsidR="00165C22" w:rsidRPr="00E07808">
        <w:rPr>
          <w:highlight w:val="yellow"/>
        </w:rPr>
        <w:t>In conclusion, the role of IT governance frameworks in enhancing cyber-resilience is multifaceted, encompassing strategy alignment, operational management, incident learning, and national-level coordination.</w:t>
      </w:r>
      <w:r w:rsidR="00165C22" w:rsidRPr="00165C22">
        <w:t xml:space="preserve"> </w:t>
      </w:r>
    </w:p>
    <w:p w14:paraId="0578C998" w14:textId="33772951" w:rsidR="00A649D3" w:rsidRDefault="002155BA">
      <w:pPr>
        <w:pStyle w:val="NormalWeb"/>
      </w:pPr>
      <w:r>
        <w:rPr>
          <w:rStyle w:val="Strong"/>
        </w:rPr>
        <w:t>Keywords</w:t>
      </w:r>
      <w:r>
        <w:t xml:space="preserve">: IT governance; </w:t>
      </w:r>
      <w:r w:rsidR="00F15167" w:rsidRPr="00E07808">
        <w:rPr>
          <w:highlight w:val="yellow"/>
        </w:rPr>
        <w:t xml:space="preserve">Control Objectives for Information and Related </w:t>
      </w:r>
      <w:proofErr w:type="gramStart"/>
      <w:r w:rsidR="00F15167" w:rsidRPr="00E07808">
        <w:rPr>
          <w:highlight w:val="yellow"/>
        </w:rPr>
        <w:t>Technologies</w:t>
      </w:r>
      <w:r w:rsidR="00F15167" w:rsidRPr="00F15167">
        <w:t xml:space="preserve"> </w:t>
      </w:r>
      <w:r>
        <w:t>;</w:t>
      </w:r>
      <w:proofErr w:type="gramEnd"/>
      <w:r>
        <w:t xml:space="preserve"> </w:t>
      </w:r>
      <w:r w:rsidR="00F15167" w:rsidRPr="00E07808">
        <w:rPr>
          <w:highlight w:val="yellow"/>
        </w:rPr>
        <w:t>Information Technology Infrastructure Library</w:t>
      </w:r>
      <w:r>
        <w:t xml:space="preserve">; cyber-resilience; </w:t>
      </w:r>
      <w:proofErr w:type="spellStart"/>
      <w:r w:rsidR="00F15167">
        <w:t>organisational</w:t>
      </w:r>
      <w:proofErr w:type="spellEnd"/>
      <w:r w:rsidR="00F15167">
        <w:t xml:space="preserve"> </w:t>
      </w:r>
      <w:r>
        <w:t>security</w:t>
      </w:r>
    </w:p>
    <w:p w14:paraId="05DA7D4D" w14:textId="77777777" w:rsidR="00A649D3" w:rsidRDefault="002155BA">
      <w:pPr>
        <w:rPr>
          <w:b/>
          <w:bCs/>
        </w:rPr>
      </w:pPr>
      <w:r>
        <w:rPr>
          <w:b/>
          <w:bCs/>
        </w:rPr>
        <w:t>Introduction</w:t>
      </w:r>
    </w:p>
    <w:p w14:paraId="2A05A57A" w14:textId="06004C57" w:rsidR="00A649D3" w:rsidRDefault="002155BA">
      <w:pPr>
        <w:pStyle w:val="NormalWeb"/>
      </w:pPr>
      <w:r>
        <w:t xml:space="preserve">In an increasingly </w:t>
      </w:r>
      <w:proofErr w:type="spellStart"/>
      <w:r w:rsidR="00F15167" w:rsidRPr="00E07808">
        <w:rPr>
          <w:highlight w:val="yellow"/>
        </w:rPr>
        <w:t>digitalised</w:t>
      </w:r>
      <w:proofErr w:type="spellEnd"/>
      <w:r w:rsidR="00F15167" w:rsidRPr="00E07808">
        <w:rPr>
          <w:highlight w:val="yellow"/>
        </w:rPr>
        <w:t xml:space="preserve"> </w:t>
      </w:r>
      <w:r>
        <w:t xml:space="preserve">world, </w:t>
      </w:r>
      <w:proofErr w:type="spellStart"/>
      <w:r w:rsidR="00F15167" w:rsidRPr="00E07808">
        <w:rPr>
          <w:highlight w:val="yellow"/>
        </w:rPr>
        <w:t>organisations</w:t>
      </w:r>
      <w:proofErr w:type="spellEnd"/>
      <w:r w:rsidR="00F15167" w:rsidRPr="00E07808">
        <w:rPr>
          <w:highlight w:val="yellow"/>
        </w:rPr>
        <w:t xml:space="preserve"> </w:t>
      </w:r>
      <w:r>
        <w:t xml:space="preserve">face unprecedented exposure to cyber risks that threaten business continuity, operational integrity, and long-term strategic objectives. Cybersecurity incidents, ranging from ransomware attacks to large-scale data breaches, have </w:t>
      </w:r>
      <w:r>
        <w:lastRenderedPageBreak/>
        <w:t xml:space="preserve">highlighted the inadequacies of relying solely on technical </w:t>
      </w:r>
      <w:proofErr w:type="spellStart"/>
      <w:r w:rsidR="00F15167" w:rsidRPr="00E07808">
        <w:rPr>
          <w:highlight w:val="yellow"/>
        </w:rPr>
        <w:t>defences</w:t>
      </w:r>
      <w:proofErr w:type="spellEnd"/>
      <w:r w:rsidR="00F15167" w:rsidRPr="00E07808">
        <w:rPr>
          <w:highlight w:val="yellow"/>
        </w:rPr>
        <w:t xml:space="preserve"> </w:t>
      </w:r>
      <w:r>
        <w:t xml:space="preserve">without a robust governance structure. </w:t>
      </w:r>
      <w:r w:rsidR="007F2EFF" w:rsidRPr="00E07808">
        <w:rPr>
          <w:highlight w:val="yellow"/>
        </w:rPr>
        <w:t>It</w:t>
      </w:r>
      <w:r w:rsidR="007F2EFF" w:rsidRPr="00E07808">
        <w:rPr>
          <w:highlight w:val="yellow"/>
        </w:rPr>
        <w:t xml:space="preserve"> is becoming complex because of the exponential growth of interconnected devices, systems and networks. This is exacerbated by advances in the digital economy and infrastructure, leading to a significant growth of cyberattacks with serious consequences. In addition, researchers report the continued evolution of nation-state-affiliated and criminal adversaries, as well as the increasing sophistication of cyberattacks, which are finding new and invasive ways to target even the savviest of targets</w:t>
      </w:r>
      <w:r w:rsidR="004C76C3" w:rsidRPr="00E07808">
        <w:rPr>
          <w:highlight w:val="yellow"/>
        </w:rPr>
        <w:t xml:space="preserve"> </w:t>
      </w:r>
      <w:r w:rsidR="004C76C3" w:rsidRPr="00E07808">
        <w:rPr>
          <w:highlight w:val="yellow"/>
        </w:rPr>
        <w:t xml:space="preserve">(Kaur </w:t>
      </w:r>
      <w:r w:rsidR="004C76C3" w:rsidRPr="00E07808">
        <w:rPr>
          <w:i/>
          <w:iCs/>
          <w:highlight w:val="yellow"/>
        </w:rPr>
        <w:t>et al</w:t>
      </w:r>
      <w:r w:rsidR="004C76C3" w:rsidRPr="00E07808">
        <w:rPr>
          <w:highlight w:val="yellow"/>
        </w:rPr>
        <w:t>., 2023</w:t>
      </w:r>
      <w:r w:rsidR="004C76C3">
        <w:rPr>
          <w:highlight w:val="yellow"/>
        </w:rPr>
        <w:t xml:space="preserve">; </w:t>
      </w:r>
      <w:proofErr w:type="spellStart"/>
      <w:r w:rsidR="004C76C3" w:rsidRPr="00E07808">
        <w:rPr>
          <w:highlight w:val="yellow"/>
        </w:rPr>
        <w:t>AlDaajeh</w:t>
      </w:r>
      <w:proofErr w:type="spellEnd"/>
      <w:r w:rsidR="004C76C3" w:rsidRPr="00E07808">
        <w:rPr>
          <w:highlight w:val="yellow"/>
        </w:rPr>
        <w:t xml:space="preserve"> </w:t>
      </w:r>
      <w:r w:rsidR="004C76C3" w:rsidRPr="00E07808">
        <w:rPr>
          <w:i/>
          <w:iCs/>
          <w:highlight w:val="yellow"/>
        </w:rPr>
        <w:t>et al</w:t>
      </w:r>
      <w:r w:rsidR="004C76C3" w:rsidRPr="00E07808">
        <w:rPr>
          <w:highlight w:val="yellow"/>
        </w:rPr>
        <w:t>., 2022)</w:t>
      </w:r>
      <w:r w:rsidR="007F2EFF" w:rsidRPr="00E07808">
        <w:rPr>
          <w:highlight w:val="yellow"/>
        </w:rPr>
        <w:t>.</w:t>
      </w:r>
      <w:r w:rsidR="007F2EFF" w:rsidRPr="007F2EFF">
        <w:t xml:space="preserve"> </w:t>
      </w:r>
      <w:r>
        <w:t xml:space="preserve">To address these challenges, information security governance has emerged as a critical enabler of </w:t>
      </w:r>
      <w:proofErr w:type="spellStart"/>
      <w:r w:rsidR="00F15167" w:rsidRPr="00E07808">
        <w:rPr>
          <w:highlight w:val="yellow"/>
        </w:rPr>
        <w:t>organisational</w:t>
      </w:r>
      <w:proofErr w:type="spellEnd"/>
      <w:r w:rsidR="00F15167" w:rsidRPr="00E07808">
        <w:rPr>
          <w:highlight w:val="yellow"/>
        </w:rPr>
        <w:t xml:space="preserve"> </w:t>
      </w:r>
      <w:r>
        <w:t xml:space="preserve">resilience, aligning cybersecurity practices with business strategies and risk management priorities. Governance frameworks such as COBIT and ITIL play a pivotal role in this evolution by offering structured approaches that integrate accountability, performance measurement, compliance, and resilience into IT and security management systems. </w:t>
      </w:r>
      <w:r w:rsidR="004C76C3" w:rsidRPr="00E07808">
        <w:rPr>
          <w:highlight w:val="yellow"/>
        </w:rPr>
        <w:t xml:space="preserve">In its use, the ITIL framework is designed to ensure a flexible, coordinated and integrated system for the effective governance and management of IT services. </w:t>
      </w:r>
      <w:r w:rsidR="004C76C3" w:rsidRPr="00E07808">
        <w:rPr>
          <w:highlight w:val="yellow"/>
        </w:rPr>
        <w:t>The</w:t>
      </w:r>
      <w:r w:rsidR="004C76C3" w:rsidRPr="00E07808">
        <w:rPr>
          <w:highlight w:val="yellow"/>
        </w:rPr>
        <w:t xml:space="preserve"> COBIT framework is designed from a number of components that function to adjust, maintain, and shape system governance. To conduct an information system audit, the authors need to pay attention to things that can affect IT performance</w:t>
      </w:r>
      <w:r w:rsidR="004C76C3" w:rsidRPr="00E07808">
        <w:rPr>
          <w:highlight w:val="yellow"/>
        </w:rPr>
        <w:t xml:space="preserve"> </w:t>
      </w:r>
      <w:r w:rsidR="004C76C3" w:rsidRPr="00E07808">
        <w:rPr>
          <w:highlight w:val="yellow"/>
        </w:rPr>
        <w:t>(</w:t>
      </w:r>
      <w:proofErr w:type="spellStart"/>
      <w:r w:rsidR="004C76C3" w:rsidRPr="00E07808">
        <w:rPr>
          <w:highlight w:val="yellow"/>
        </w:rPr>
        <w:t>Rusman</w:t>
      </w:r>
      <w:proofErr w:type="spellEnd"/>
      <w:r w:rsidR="004C76C3" w:rsidRPr="00E07808">
        <w:rPr>
          <w:highlight w:val="yellow"/>
        </w:rPr>
        <w:t xml:space="preserve"> </w:t>
      </w:r>
      <w:r w:rsidR="004C76C3" w:rsidRPr="00E07808">
        <w:rPr>
          <w:i/>
          <w:iCs/>
          <w:highlight w:val="yellow"/>
        </w:rPr>
        <w:t>et al</w:t>
      </w:r>
      <w:r w:rsidR="004C76C3" w:rsidRPr="00E07808">
        <w:rPr>
          <w:highlight w:val="yellow"/>
        </w:rPr>
        <w:t>., 2022).</w:t>
      </w:r>
      <w:r w:rsidR="004C76C3">
        <w:t xml:space="preserve"> </w:t>
      </w:r>
      <w:r>
        <w:t xml:space="preserve">Their implementation helps </w:t>
      </w:r>
      <w:proofErr w:type="spellStart"/>
      <w:r w:rsidR="00F15167" w:rsidRPr="00E07808">
        <w:rPr>
          <w:highlight w:val="yellow"/>
        </w:rPr>
        <w:t>organisations</w:t>
      </w:r>
      <w:proofErr w:type="spellEnd"/>
      <w:r w:rsidR="00F15167" w:rsidRPr="00E07808">
        <w:rPr>
          <w:highlight w:val="yellow"/>
        </w:rPr>
        <w:t xml:space="preserve"> </w:t>
      </w:r>
      <w:r>
        <w:t>bridge the persistent gap between business leadership and technical experts, thereby ensuring that security is not confined to operational silos but elevated to a board-level priority (Schinagl &amp; Abbas, 2020; Snow, 2020).</w:t>
      </w:r>
    </w:p>
    <w:p w14:paraId="35A9FD22" w14:textId="36B936E9" w:rsidR="00A649D3" w:rsidRDefault="002155BA">
      <w:pPr>
        <w:pStyle w:val="NormalWeb"/>
      </w:pPr>
      <w:r>
        <w:t xml:space="preserve">The notion of cyber-resilience </w:t>
      </w:r>
      <w:proofErr w:type="spellStart"/>
      <w:r w:rsidR="00F15167" w:rsidRPr="00E07808">
        <w:rPr>
          <w:highlight w:val="yellow"/>
        </w:rPr>
        <w:t>emphasises</w:t>
      </w:r>
      <w:proofErr w:type="spellEnd"/>
      <w:r w:rsidR="00F15167" w:rsidRPr="00E07808">
        <w:rPr>
          <w:highlight w:val="yellow"/>
        </w:rPr>
        <w:t xml:space="preserve"> </w:t>
      </w:r>
      <w:r>
        <w:t xml:space="preserve">not only the ability to prevent and detect cyber incidents but also the capacity to respond, recover, and adapt to evolving threats. As Ahmad et al. (2020) argued, the integration of cybersecurity management with incident response fosters </w:t>
      </w:r>
      <w:proofErr w:type="spellStart"/>
      <w:r w:rsidR="00F15167" w:rsidRPr="00E07808">
        <w:rPr>
          <w:highlight w:val="yellow"/>
        </w:rPr>
        <w:t>organisational</w:t>
      </w:r>
      <w:proofErr w:type="spellEnd"/>
      <w:r w:rsidR="00F15167" w:rsidRPr="00E07808">
        <w:rPr>
          <w:highlight w:val="yellow"/>
        </w:rPr>
        <w:t xml:space="preserve"> </w:t>
      </w:r>
      <w:r>
        <w:t xml:space="preserve">learning, enabling businesses to transform crises into opportunities for continuous improvement. Such learning-oriented approaches underscore the importance of governance frameworks that codify processes and embed accountability. COBIT, for example, provides a comprehensive framework of control objectives that ensure IT resources are aligned with enterprise goals while mitigating risk (Rama &amp; Eric, 2020; Al-Fatlawi et al., 2021). Similarly, ITIL enhances resilience by </w:t>
      </w:r>
      <w:proofErr w:type="spellStart"/>
      <w:r w:rsidR="00F15167" w:rsidRPr="00E07808">
        <w:rPr>
          <w:highlight w:val="yellow"/>
        </w:rPr>
        <w:t>institutionalising</w:t>
      </w:r>
      <w:proofErr w:type="spellEnd"/>
      <w:r w:rsidR="00F15167" w:rsidRPr="00E07808">
        <w:rPr>
          <w:highlight w:val="yellow"/>
        </w:rPr>
        <w:t xml:space="preserve"> </w:t>
      </w:r>
      <w:r>
        <w:t xml:space="preserve">service management practices that </w:t>
      </w:r>
      <w:proofErr w:type="spellStart"/>
      <w:r w:rsidR="00F15167" w:rsidRPr="00E07808">
        <w:rPr>
          <w:highlight w:val="yellow"/>
        </w:rPr>
        <w:t>emphasise</w:t>
      </w:r>
      <w:proofErr w:type="spellEnd"/>
      <w:r w:rsidR="00F15167" w:rsidRPr="00E07808">
        <w:rPr>
          <w:highlight w:val="yellow"/>
        </w:rPr>
        <w:t xml:space="preserve"> </w:t>
      </w:r>
      <w:r>
        <w:t>process efficiency, risk anticipation, and continuous service delivery (</w:t>
      </w:r>
      <w:proofErr w:type="spellStart"/>
      <w:r w:rsidRPr="002155BA">
        <w:t>Almaqtari</w:t>
      </w:r>
      <w:proofErr w:type="spellEnd"/>
      <w:r>
        <w:t xml:space="preserve"> et al., 2025). Together, these frameworks create a governance environment where resilience becomes a measurable, strategic outcome rather than an incidental by-product of technical controls.</w:t>
      </w:r>
    </w:p>
    <w:p w14:paraId="5560C396" w14:textId="08D8AA92" w:rsidR="00A649D3" w:rsidRDefault="002155BA">
      <w:pPr>
        <w:pStyle w:val="NormalWeb"/>
      </w:pPr>
      <w:r>
        <w:t xml:space="preserve">Information security governance, however, remains a complex undertaking. AlGhamdi et al. (2020) highlight that </w:t>
      </w:r>
      <w:proofErr w:type="spellStart"/>
      <w:r w:rsidR="00F15167" w:rsidRPr="00E07808">
        <w:rPr>
          <w:highlight w:val="yellow"/>
        </w:rPr>
        <w:t>organisations</w:t>
      </w:r>
      <w:proofErr w:type="spellEnd"/>
      <w:r w:rsidR="00F15167" w:rsidRPr="00E07808">
        <w:rPr>
          <w:highlight w:val="yellow"/>
        </w:rPr>
        <w:t xml:space="preserve"> </w:t>
      </w:r>
      <w:r>
        <w:t xml:space="preserve">often struggle with challenges such as fragmented accountability, lack of top management support, and inadequate performance metrics. These issues are exacerbated by the dynamic nature of cyber threats and the complexity of modern IT infrastructures. To overcome such obstacles, Herath et al. (2022) proposed integrating balanced scorecard methodologies with governance frameworks to provide managers with measurable performance indicators. This approach not only enhances oversight but also creates a culture of accountability where resilience is continually evaluated and improved. Similarly, Maleh et al. (2021) </w:t>
      </w:r>
      <w:proofErr w:type="spellStart"/>
      <w:r w:rsidR="00F15167" w:rsidRPr="00E07808">
        <w:rPr>
          <w:highlight w:val="yellow"/>
        </w:rPr>
        <w:t>emphasise</w:t>
      </w:r>
      <w:proofErr w:type="spellEnd"/>
      <w:r w:rsidR="00F15167" w:rsidRPr="00E07808">
        <w:rPr>
          <w:highlight w:val="yellow"/>
        </w:rPr>
        <w:t xml:space="preserve"> </w:t>
      </w:r>
      <w:r>
        <w:t xml:space="preserve">the importance of maturity models that assess </w:t>
      </w:r>
      <w:proofErr w:type="spellStart"/>
      <w:r w:rsidR="00F15167" w:rsidRPr="00E07808">
        <w:rPr>
          <w:highlight w:val="yellow"/>
        </w:rPr>
        <w:t>organisational</w:t>
      </w:r>
      <w:proofErr w:type="spellEnd"/>
      <w:r w:rsidR="00F15167" w:rsidRPr="00E07808">
        <w:rPr>
          <w:highlight w:val="yellow"/>
        </w:rPr>
        <w:t xml:space="preserve"> </w:t>
      </w:r>
      <w:r>
        <w:t xml:space="preserve">readiness and progressively guide firms toward advanced levels of information security governance. By embedding COBIT and ITIL within such models, </w:t>
      </w:r>
      <w:proofErr w:type="spellStart"/>
      <w:r w:rsidR="00F15167" w:rsidRPr="00E07808">
        <w:rPr>
          <w:highlight w:val="yellow"/>
        </w:rPr>
        <w:t>organisations</w:t>
      </w:r>
      <w:proofErr w:type="spellEnd"/>
      <w:r w:rsidR="00F15167" w:rsidRPr="00E07808">
        <w:rPr>
          <w:highlight w:val="yellow"/>
        </w:rPr>
        <w:t xml:space="preserve"> </w:t>
      </w:r>
      <w:r>
        <w:t>can establish a roadmap for achieving higher resilience maturity levels.</w:t>
      </w:r>
    </w:p>
    <w:p w14:paraId="7C3C4135" w14:textId="7DFEFED9" w:rsidR="00A649D3" w:rsidRDefault="002155BA">
      <w:pPr>
        <w:pStyle w:val="NormalWeb"/>
      </w:pPr>
      <w:r>
        <w:lastRenderedPageBreak/>
        <w:t xml:space="preserve">The necessity of governance frameworks is further underscored by the vulnerability of critical infrastructures, which represent prime targets for cyberattacks. Melaku (2023a) examined the susceptibility of critical systems and </w:t>
      </w:r>
      <w:proofErr w:type="spellStart"/>
      <w:r w:rsidR="00F15167" w:rsidRPr="00E07808">
        <w:rPr>
          <w:highlight w:val="yellow"/>
        </w:rPr>
        <w:t>emphasised</w:t>
      </w:r>
      <w:proofErr w:type="spellEnd"/>
      <w:r w:rsidR="00F15167" w:rsidRPr="00E07808">
        <w:rPr>
          <w:highlight w:val="yellow"/>
        </w:rPr>
        <w:t xml:space="preserve"> </w:t>
      </w:r>
      <w:r>
        <w:t xml:space="preserve">that resilience must extend beyond prevention to encompass adaptability and recovery mechanisms. Such insights resonate with Melaku’s (2023b) argument for context-based and adaptive risk management frameworks that accommodate the evolving nature of threats. This adaptability is precisely what COBIT and ITIL frameworks encourage through their cyclical processes of evaluation, continuous improvement, and alignment with </w:t>
      </w:r>
      <w:proofErr w:type="spellStart"/>
      <w:r w:rsidR="00E95EE4" w:rsidRPr="00E07808">
        <w:rPr>
          <w:highlight w:val="yellow"/>
        </w:rPr>
        <w:t>organisational</w:t>
      </w:r>
      <w:proofErr w:type="spellEnd"/>
      <w:r w:rsidR="00E95EE4">
        <w:t xml:space="preserve"> </w:t>
      </w:r>
      <w:r>
        <w:t xml:space="preserve">goals. By integrating these frameworks into cybersecurity strategies, </w:t>
      </w:r>
      <w:proofErr w:type="spellStart"/>
      <w:r w:rsidR="00F15167" w:rsidRPr="00E07808">
        <w:rPr>
          <w:highlight w:val="yellow"/>
        </w:rPr>
        <w:t>organisations</w:t>
      </w:r>
      <w:proofErr w:type="spellEnd"/>
      <w:r w:rsidR="00F15167" w:rsidRPr="00E07808">
        <w:rPr>
          <w:highlight w:val="yellow"/>
        </w:rPr>
        <w:t xml:space="preserve"> </w:t>
      </w:r>
      <w:r>
        <w:t>can establish governance systems that remain responsive to emerging challenges while upholding consistent standards of accountability and resilience.</w:t>
      </w:r>
    </w:p>
    <w:p w14:paraId="2E9E87CA" w14:textId="1C88BEC3" w:rsidR="00A649D3" w:rsidRDefault="002155BA">
      <w:pPr>
        <w:pStyle w:val="NormalWeb"/>
      </w:pPr>
      <w:r>
        <w:t xml:space="preserve">The public-private dimension of cybersecurity governance also warrants attention. Ponnusamy et al. (2020) underscored the critical role of partnerships between governments, regulatory bodies, and private sector entities in developing national cybersecurity frameworks. Such collaborations ensure that </w:t>
      </w:r>
      <w:proofErr w:type="spellStart"/>
      <w:r w:rsidR="00F15167" w:rsidRPr="00E07808">
        <w:rPr>
          <w:highlight w:val="yellow"/>
        </w:rPr>
        <w:t>organisational</w:t>
      </w:r>
      <w:proofErr w:type="spellEnd"/>
      <w:r w:rsidR="00F15167" w:rsidRPr="00E07808">
        <w:rPr>
          <w:highlight w:val="yellow"/>
        </w:rPr>
        <w:t xml:space="preserve"> </w:t>
      </w:r>
      <w:r>
        <w:t xml:space="preserve">governance structures remain consistent with broader regulatory and policy environments. COBIT and ITIL, when </w:t>
      </w:r>
      <w:proofErr w:type="spellStart"/>
      <w:r w:rsidR="00F15167" w:rsidRPr="00E07808">
        <w:rPr>
          <w:highlight w:val="yellow"/>
        </w:rPr>
        <w:t>contextualised</w:t>
      </w:r>
      <w:proofErr w:type="spellEnd"/>
      <w:r w:rsidR="00F15167" w:rsidRPr="00E07808">
        <w:rPr>
          <w:highlight w:val="yellow"/>
        </w:rPr>
        <w:t xml:space="preserve"> </w:t>
      </w:r>
      <w:r>
        <w:t xml:space="preserve">within these ecosystems, can act as bridges between </w:t>
      </w:r>
      <w:proofErr w:type="spellStart"/>
      <w:r w:rsidR="00F15167" w:rsidRPr="00E07808">
        <w:rPr>
          <w:highlight w:val="yellow"/>
        </w:rPr>
        <w:t>organisational</w:t>
      </w:r>
      <w:proofErr w:type="spellEnd"/>
      <w:r w:rsidR="00F15167" w:rsidRPr="00E07808">
        <w:rPr>
          <w:highlight w:val="yellow"/>
        </w:rPr>
        <w:t xml:space="preserve"> </w:t>
      </w:r>
      <w:r>
        <w:t xml:space="preserve">practices and national strategies, thereby strengthening overall cyber-resilience at both micro and macro levels. </w:t>
      </w:r>
      <w:proofErr w:type="spellStart"/>
      <w:r>
        <w:t>Volchkov</w:t>
      </w:r>
      <w:proofErr w:type="spellEnd"/>
      <w:r>
        <w:t xml:space="preserve"> (2018) further </w:t>
      </w:r>
      <w:proofErr w:type="spellStart"/>
      <w:r w:rsidR="00F15167" w:rsidRPr="00E07808">
        <w:rPr>
          <w:highlight w:val="yellow"/>
        </w:rPr>
        <w:t>emphasised</w:t>
      </w:r>
      <w:proofErr w:type="spellEnd"/>
      <w:r w:rsidR="00F15167" w:rsidRPr="00E07808">
        <w:rPr>
          <w:highlight w:val="yellow"/>
        </w:rPr>
        <w:t xml:space="preserve"> </w:t>
      </w:r>
      <w:r>
        <w:t xml:space="preserve">that decision-makers and chief information security officers (CISOs) require tools and frameworks that not only guide internal governance but also facilitate communication with external stakeholders. This external alignment is vital in an era where supply chain attacks and cross-industry interdependencies magnify </w:t>
      </w:r>
      <w:proofErr w:type="spellStart"/>
      <w:r w:rsidR="00F15167" w:rsidRPr="00E07808">
        <w:rPr>
          <w:highlight w:val="yellow"/>
        </w:rPr>
        <w:t>organisational</w:t>
      </w:r>
      <w:proofErr w:type="spellEnd"/>
      <w:r w:rsidR="00F15167" w:rsidRPr="00E07808">
        <w:rPr>
          <w:highlight w:val="yellow"/>
        </w:rPr>
        <w:t xml:space="preserve"> </w:t>
      </w:r>
      <w:r>
        <w:t>vulnerabilities.</w:t>
      </w:r>
    </w:p>
    <w:p w14:paraId="12CC1BD7" w14:textId="450AF96F" w:rsidR="00A649D3" w:rsidRDefault="002155BA">
      <w:pPr>
        <w:pStyle w:val="NormalWeb"/>
      </w:pPr>
      <w:r>
        <w:t xml:space="preserve">Empirical studies provide concrete evidence of the benefits of implementing governance frameworks. Yasin et al. (2020), for instance, demonstrated how integrating COBIT 2019 with ISO 27001 improved the development of governance roadmaps and enhanced security practices within law enforcement agencies. Similarly, Al-Fatlawi et al. (2021) showed that COBIT 5 significantly strengthened accounting information security by embedding governance principles into </w:t>
      </w:r>
      <w:proofErr w:type="spellStart"/>
      <w:r w:rsidR="00F15167" w:rsidRPr="00E07808">
        <w:rPr>
          <w:highlight w:val="yellow"/>
        </w:rPr>
        <w:t>organisational</w:t>
      </w:r>
      <w:proofErr w:type="spellEnd"/>
      <w:r w:rsidR="00F15167" w:rsidRPr="00E07808">
        <w:rPr>
          <w:highlight w:val="yellow"/>
        </w:rPr>
        <w:t xml:space="preserve"> </w:t>
      </w:r>
      <w:r>
        <w:t>processes. These findings align with Wong et al. (2020), who presented a process model of information security governance validated through case studies, highlighting how structured frameworks lead to measurable improvements in accountability, risk mitigation, and strategic alignment. Collectively, such studies reinforce the argument that COBIT and ITIL are not merely theoretical constructs but practical tools that can deliver tangible resilience outcomes when properly implemented.</w:t>
      </w:r>
    </w:p>
    <w:p w14:paraId="3B54B736" w14:textId="74757A0C" w:rsidR="00A649D3" w:rsidRDefault="002155BA">
      <w:pPr>
        <w:pStyle w:val="NormalWeb"/>
      </w:pPr>
      <w:r>
        <w:t xml:space="preserve">The growing consensus in the literature </w:t>
      </w:r>
      <w:proofErr w:type="spellStart"/>
      <w:r w:rsidR="00F15167" w:rsidRPr="00E07808">
        <w:rPr>
          <w:highlight w:val="yellow"/>
        </w:rPr>
        <w:t>emphasises</w:t>
      </w:r>
      <w:proofErr w:type="spellEnd"/>
      <w:r w:rsidR="00F15167" w:rsidRPr="00E07808">
        <w:rPr>
          <w:highlight w:val="yellow"/>
        </w:rPr>
        <w:t xml:space="preserve"> </w:t>
      </w:r>
      <w:r>
        <w:t xml:space="preserve">the transition of information security governance “from the basement to the boardroom” (Schinagl &amp; Abbas, 2020). No longer confined to technical teams, governance has become a strategic imperative that demands active engagement from senior executives and board members. This evolution reflects the recognition that cyber risks are business risks, and resilience is inseparable from long-term </w:t>
      </w:r>
      <w:proofErr w:type="spellStart"/>
      <w:r w:rsidR="00F15167" w:rsidRPr="00E07808">
        <w:rPr>
          <w:highlight w:val="yellow"/>
        </w:rPr>
        <w:t>organisational</w:t>
      </w:r>
      <w:proofErr w:type="spellEnd"/>
      <w:r w:rsidR="00F15167" w:rsidRPr="00E07808">
        <w:rPr>
          <w:highlight w:val="yellow"/>
        </w:rPr>
        <w:t xml:space="preserve"> </w:t>
      </w:r>
      <w:r>
        <w:t xml:space="preserve">performance. Snow (2020) and Wong et al. (2020) both stress the necessity of embedding governance into strategic planning, ensuring that information security is treated as a driver of business value rather than a cost </w:t>
      </w:r>
      <w:proofErr w:type="spellStart"/>
      <w:r w:rsidR="00F15167" w:rsidRPr="00E07808">
        <w:rPr>
          <w:highlight w:val="yellow"/>
        </w:rPr>
        <w:t>centre</w:t>
      </w:r>
      <w:proofErr w:type="spellEnd"/>
      <w:r>
        <w:t xml:space="preserve">. By adopting COBIT and ITIL, </w:t>
      </w:r>
      <w:proofErr w:type="spellStart"/>
      <w:r w:rsidR="00F15167" w:rsidRPr="00E07808">
        <w:rPr>
          <w:highlight w:val="yellow"/>
        </w:rPr>
        <w:t>organisations</w:t>
      </w:r>
      <w:proofErr w:type="spellEnd"/>
      <w:r w:rsidR="00F15167" w:rsidRPr="00E07808">
        <w:rPr>
          <w:highlight w:val="yellow"/>
        </w:rPr>
        <w:t xml:space="preserve"> </w:t>
      </w:r>
      <w:proofErr w:type="spellStart"/>
      <w:r w:rsidR="00F15167" w:rsidRPr="00E07808">
        <w:rPr>
          <w:highlight w:val="yellow"/>
        </w:rPr>
        <w:t>operationalise</w:t>
      </w:r>
      <w:proofErr w:type="spellEnd"/>
      <w:r w:rsidR="00F15167" w:rsidRPr="00E07808">
        <w:rPr>
          <w:highlight w:val="yellow"/>
        </w:rPr>
        <w:t xml:space="preserve"> </w:t>
      </w:r>
      <w:r>
        <w:t>this philosophy, ensuring that governance frameworks guide both strategic decision-making and day-to-day IT practices.</w:t>
      </w:r>
    </w:p>
    <w:p w14:paraId="3C055D9F" w14:textId="5280F2FD" w:rsidR="00A649D3" w:rsidRDefault="002155BA">
      <w:pPr>
        <w:pStyle w:val="NormalWeb"/>
      </w:pPr>
      <w:r>
        <w:lastRenderedPageBreak/>
        <w:t xml:space="preserve">Despite the clear advantages, the successful adoption of COBIT and ITIL is not without challenges. Resistance to change, resource constraints, and misalignment with </w:t>
      </w:r>
      <w:proofErr w:type="spellStart"/>
      <w:r w:rsidR="00F15167" w:rsidRPr="00E07808">
        <w:rPr>
          <w:highlight w:val="yellow"/>
        </w:rPr>
        <w:t>organisational</w:t>
      </w:r>
      <w:proofErr w:type="spellEnd"/>
      <w:r w:rsidR="00F15167" w:rsidRPr="00E07808">
        <w:rPr>
          <w:highlight w:val="yellow"/>
        </w:rPr>
        <w:t xml:space="preserve"> </w:t>
      </w:r>
      <w:r>
        <w:t xml:space="preserve">culture can impede effective implementation (AlGhamdi et al., 2020). Moreover, frameworks alone cannot guarantee resilience; they must be tailored to </w:t>
      </w:r>
      <w:proofErr w:type="spellStart"/>
      <w:r w:rsidR="00F15167" w:rsidRPr="00E07808">
        <w:rPr>
          <w:highlight w:val="yellow"/>
        </w:rPr>
        <w:t>organisational</w:t>
      </w:r>
      <w:proofErr w:type="spellEnd"/>
      <w:r w:rsidR="00F15167" w:rsidRPr="00E07808">
        <w:rPr>
          <w:highlight w:val="yellow"/>
        </w:rPr>
        <w:t xml:space="preserve"> </w:t>
      </w:r>
      <w:r>
        <w:t>contexts and supported by strong leadership. Melaku (2023b) advocates for adaptive frameworks precisely because rigidity can render governance obsolete in the face of evolving threats. Therefore, while COBIT and ITIL provide structured blueprints, their success depends on dynamic application, continuous review, and cultural alignment.</w:t>
      </w:r>
    </w:p>
    <w:p w14:paraId="34E56FC9" w14:textId="26D7D504" w:rsidR="00A649D3" w:rsidRDefault="002155BA">
      <w:pPr>
        <w:pStyle w:val="NormalWeb"/>
      </w:pPr>
      <w:r>
        <w:t xml:space="preserve">Taken together, the literature indicates that IT governance frameworks such as COBIT and ITIL are indispensable in enhancing </w:t>
      </w:r>
      <w:proofErr w:type="spellStart"/>
      <w:r w:rsidR="00F15167" w:rsidRPr="00E07808">
        <w:rPr>
          <w:highlight w:val="yellow"/>
        </w:rPr>
        <w:t>organisational</w:t>
      </w:r>
      <w:proofErr w:type="spellEnd"/>
      <w:r w:rsidR="00F15167" w:rsidRPr="00E07808">
        <w:rPr>
          <w:highlight w:val="yellow"/>
        </w:rPr>
        <w:t xml:space="preserve"> </w:t>
      </w:r>
      <w:r>
        <w:t xml:space="preserve">cyber-resilience. They align security practices with business objectives, establish measurable performance indicators, and create a culture of accountability that spans from operational teams to board-level leadership. Their integration with incident response processes, maturity models, and adaptive risk management strategies further reinforces their role as enablers of resilience. By fostering collaboration across </w:t>
      </w:r>
      <w:proofErr w:type="spellStart"/>
      <w:r w:rsidR="00F15167" w:rsidRPr="00E07808">
        <w:rPr>
          <w:highlight w:val="yellow"/>
        </w:rPr>
        <w:t>organisational</w:t>
      </w:r>
      <w:proofErr w:type="spellEnd"/>
      <w:r w:rsidR="00F15167" w:rsidRPr="00E07808">
        <w:rPr>
          <w:highlight w:val="yellow"/>
        </w:rPr>
        <w:t xml:space="preserve"> </w:t>
      </w:r>
      <w:r>
        <w:t xml:space="preserve">and national levels, these frameworks extend their impact beyond individual firms, contributing to broader societal resilience in the digital age. The central argument is that in the face of complex, adaptive, and persistent cyber threats, COBIT and ITIL provide </w:t>
      </w:r>
      <w:proofErr w:type="spellStart"/>
      <w:r w:rsidR="00F15167" w:rsidRPr="00E07808">
        <w:rPr>
          <w:highlight w:val="yellow"/>
        </w:rPr>
        <w:t>organisations</w:t>
      </w:r>
      <w:proofErr w:type="spellEnd"/>
      <w:r w:rsidR="00F15167" w:rsidRPr="00E07808">
        <w:rPr>
          <w:highlight w:val="yellow"/>
        </w:rPr>
        <w:t xml:space="preserve"> </w:t>
      </w:r>
      <w:r>
        <w:t xml:space="preserve">with the governance scaffolding necessary to anticipate, withstand, and recover from disruptions. Their implementation is not a one-time initiative but an ongoing process of learning, adaptation, and alignment that ensures resilience remains at the heart of </w:t>
      </w:r>
      <w:proofErr w:type="spellStart"/>
      <w:r w:rsidR="00F15167" w:rsidRPr="00E07808">
        <w:rPr>
          <w:highlight w:val="yellow"/>
        </w:rPr>
        <w:t>organisational</w:t>
      </w:r>
      <w:proofErr w:type="spellEnd"/>
      <w:r w:rsidR="00F15167" w:rsidRPr="00E07808">
        <w:rPr>
          <w:highlight w:val="yellow"/>
        </w:rPr>
        <w:t xml:space="preserve"> </w:t>
      </w:r>
      <w:r>
        <w:t>strategy.</w:t>
      </w:r>
    </w:p>
    <w:p w14:paraId="60FE2F62" w14:textId="77777777" w:rsidR="00A649D3" w:rsidRDefault="002155BA">
      <w:pPr>
        <w:rPr>
          <w:b/>
          <w:bCs/>
        </w:rPr>
      </w:pPr>
      <w:r>
        <w:rPr>
          <w:b/>
          <w:bCs/>
        </w:rPr>
        <w:t>Methods</w:t>
      </w:r>
    </w:p>
    <w:p w14:paraId="126CB9BE" w14:textId="2E03D29B" w:rsidR="00A649D3" w:rsidRDefault="002155BA">
      <w:pPr>
        <w:pStyle w:val="NormalWeb"/>
      </w:pPr>
      <w:r>
        <w:t xml:space="preserve">This study adopts a narrative review methodology to explore the role of IT governance frameworks, particularly COBIT and ITIL, in enhancing </w:t>
      </w:r>
      <w:proofErr w:type="spellStart"/>
      <w:r w:rsidR="00F15167" w:rsidRPr="00E07808">
        <w:rPr>
          <w:highlight w:val="yellow"/>
        </w:rPr>
        <w:t>organisational</w:t>
      </w:r>
      <w:proofErr w:type="spellEnd"/>
      <w:r w:rsidR="00F15167" w:rsidRPr="00E07808">
        <w:rPr>
          <w:highlight w:val="yellow"/>
        </w:rPr>
        <w:t xml:space="preserve"> </w:t>
      </w:r>
      <w:r>
        <w:t xml:space="preserve">cyber-resilience. A narrative review was considered appropriate because it allows for an integrative synthesis of diverse literature, theoretical contributions, and empirical findings without being restricted to the rigid parameters of systematic reviews. The primary aim was to provide a holistic understanding of how governance frameworks contribute to resilience by drawing on interdisciplinary perspectives from information systems, cybersecurity, and </w:t>
      </w:r>
      <w:proofErr w:type="spellStart"/>
      <w:r w:rsidR="00F15167" w:rsidRPr="00E07808">
        <w:rPr>
          <w:highlight w:val="yellow"/>
        </w:rPr>
        <w:t>organisational</w:t>
      </w:r>
      <w:proofErr w:type="spellEnd"/>
      <w:r w:rsidR="00F15167" w:rsidRPr="00E07808">
        <w:rPr>
          <w:highlight w:val="yellow"/>
        </w:rPr>
        <w:t xml:space="preserve"> </w:t>
      </w:r>
      <w:r>
        <w:t>management.</w:t>
      </w:r>
    </w:p>
    <w:p w14:paraId="701E5A27" w14:textId="6F333762" w:rsidR="00A649D3" w:rsidRDefault="002155BA">
      <w:pPr>
        <w:pStyle w:val="NormalWeb"/>
      </w:pPr>
      <w:r>
        <w:t xml:space="preserve">The literature search was conducted using electronic databases including Scopus, Web of Science, IEEE Xplore, and Google Scholar. Searches were supplemented by manual screening of reference lists from relevant articles to ensure comprehensive coverage. To ensure currency and relevance, the review </w:t>
      </w:r>
      <w:proofErr w:type="spellStart"/>
      <w:r w:rsidR="00F15167" w:rsidRPr="00E07808">
        <w:rPr>
          <w:highlight w:val="yellow"/>
        </w:rPr>
        <w:t>prioritised</w:t>
      </w:r>
      <w:proofErr w:type="spellEnd"/>
      <w:r w:rsidR="00F15167" w:rsidRPr="00E07808">
        <w:rPr>
          <w:highlight w:val="yellow"/>
        </w:rPr>
        <w:t xml:space="preserve"> </w:t>
      </w:r>
      <w:r>
        <w:t>literature published between 2018 and 2023, while also incorporating earlier seminal works such as Volchkov’s (2018) contribution to governance toolsets for decision-makers. Keywords used during the search process included “IT governance,” “COBIT,” “ITIL,” “information security governance,” “cyber-resilience,” and “</w:t>
      </w:r>
      <w:proofErr w:type="spellStart"/>
      <w:r w:rsidR="00F15167" w:rsidRPr="00E07808">
        <w:rPr>
          <w:highlight w:val="yellow"/>
        </w:rPr>
        <w:t>organisational</w:t>
      </w:r>
      <w:proofErr w:type="spellEnd"/>
      <w:r w:rsidR="00F15167" w:rsidRPr="00E07808">
        <w:rPr>
          <w:highlight w:val="yellow"/>
        </w:rPr>
        <w:t xml:space="preserve"> </w:t>
      </w:r>
      <w:r>
        <w:t>security.” Boolean operators and combinations such as “COBIT AND cyber-resilience” and “ITIL AND information security governance” were applied to refine the search.</w:t>
      </w:r>
    </w:p>
    <w:p w14:paraId="577589D8" w14:textId="785ACD81" w:rsidR="00A649D3" w:rsidRDefault="002155BA">
      <w:pPr>
        <w:pStyle w:val="NormalWeb"/>
      </w:pPr>
      <w:r>
        <w:t>Inclusion criteria were peer-reviewed journal articles, conference proceedings, and academic book chapters that explicitly discussed IT governance frameworks, cyber-resilience, or information security governance. Grey literature</w:t>
      </w:r>
      <w:r w:rsidR="00F15167">
        <w:t>,</w:t>
      </w:r>
      <w:r>
        <w:t xml:space="preserve"> such as doctoral dissertations</w:t>
      </w:r>
      <w:r w:rsidR="00F15167">
        <w:t>,</w:t>
      </w:r>
      <w:r>
        <w:t xml:space="preserve"> was also included when relevant and of high scholarly value (e.g., Snow, 2020). Exclusion criteria were </w:t>
      </w:r>
      <w:r>
        <w:lastRenderedPageBreak/>
        <w:t>non-English publications, papers lacking direct relevance to governance frameworks, and sources primarily focused on technical cybersecurity solutions without a governance dimension.</w:t>
      </w:r>
    </w:p>
    <w:p w14:paraId="53361117" w14:textId="67608D78" w:rsidR="00A649D3" w:rsidRDefault="002155BA">
      <w:pPr>
        <w:pStyle w:val="NormalWeb"/>
      </w:pPr>
      <w:r>
        <w:t xml:space="preserve">The final pool of literature included empirical case studies (e.g., Al-Fatlawi et al., 2021; Yasin et al., 2020), conceptual frameworks (e.g., Schinagl &amp; Abbas, 2020; Wong et al., 2020), systematic reviews (e.g., AlGhamdi et al., 2020), and applied studies on </w:t>
      </w:r>
      <w:proofErr w:type="spellStart"/>
      <w:r w:rsidR="00F15167" w:rsidRPr="00E07808">
        <w:rPr>
          <w:highlight w:val="yellow"/>
        </w:rPr>
        <w:t>organisational</w:t>
      </w:r>
      <w:proofErr w:type="spellEnd"/>
      <w:r w:rsidR="00F15167" w:rsidRPr="00E07808">
        <w:rPr>
          <w:highlight w:val="yellow"/>
        </w:rPr>
        <w:t xml:space="preserve"> </w:t>
      </w:r>
      <w:r>
        <w:t xml:space="preserve">maturity and performance measurement (Maleh et al., 2021; Herath et al., 2022). These sources were </w:t>
      </w:r>
      <w:proofErr w:type="spellStart"/>
      <w:r w:rsidR="00F15167" w:rsidRPr="00E07808">
        <w:rPr>
          <w:highlight w:val="yellow"/>
        </w:rPr>
        <w:t>synthesised</w:t>
      </w:r>
      <w:proofErr w:type="spellEnd"/>
      <w:r w:rsidR="00F15167" w:rsidRPr="00E07808">
        <w:rPr>
          <w:highlight w:val="yellow"/>
        </w:rPr>
        <w:t xml:space="preserve"> </w:t>
      </w:r>
      <w:r>
        <w:t xml:space="preserve">narratively by identifying recurring themes such as governance challenges, critical success factors, performance measurement, resilience strategies, and public–private collaboration. The analysis </w:t>
      </w:r>
      <w:proofErr w:type="spellStart"/>
      <w:r w:rsidR="00F15167" w:rsidRPr="00E07808">
        <w:rPr>
          <w:highlight w:val="yellow"/>
        </w:rPr>
        <w:t>emphasised</w:t>
      </w:r>
      <w:proofErr w:type="spellEnd"/>
      <w:r w:rsidR="00F15167" w:rsidRPr="00E07808">
        <w:rPr>
          <w:highlight w:val="yellow"/>
        </w:rPr>
        <w:t xml:space="preserve"> </w:t>
      </w:r>
      <w:r>
        <w:t>the complementary strengths of COBIT and ITIL, focusing on their practical implementation and alignment with resilience objectives.</w:t>
      </w:r>
    </w:p>
    <w:p w14:paraId="5C3A6F3A" w14:textId="01398390" w:rsidR="00A649D3" w:rsidRDefault="002155BA">
      <w:pPr>
        <w:pStyle w:val="NormalWeb"/>
      </w:pPr>
      <w:r>
        <w:t xml:space="preserve">The process of synthesis involved three steps. First, the literature was </w:t>
      </w:r>
      <w:proofErr w:type="spellStart"/>
      <w:r w:rsidR="00F15167" w:rsidRPr="00E07808">
        <w:rPr>
          <w:highlight w:val="yellow"/>
        </w:rPr>
        <w:t>categorised</w:t>
      </w:r>
      <w:proofErr w:type="spellEnd"/>
      <w:r w:rsidR="00F15167" w:rsidRPr="00E07808">
        <w:rPr>
          <w:highlight w:val="yellow"/>
        </w:rPr>
        <w:t xml:space="preserve"> </w:t>
      </w:r>
      <w:r>
        <w:t xml:space="preserve">according to its primary focus: COBIT, ITIL, or general governance approaches. Second, findings were compared and contrasted across studies to identify common patterns, contradictions, and gaps. Third, insights were integrated to build an interpretive framework illustrating how COBIT and ITIL can be leveraged jointly to enhance </w:t>
      </w:r>
      <w:proofErr w:type="spellStart"/>
      <w:r w:rsidR="00F15167" w:rsidRPr="00E07808">
        <w:rPr>
          <w:highlight w:val="yellow"/>
        </w:rPr>
        <w:t>organisational</w:t>
      </w:r>
      <w:proofErr w:type="spellEnd"/>
      <w:r w:rsidR="00F15167" w:rsidRPr="00E07808">
        <w:rPr>
          <w:highlight w:val="yellow"/>
        </w:rPr>
        <w:t xml:space="preserve"> </w:t>
      </w:r>
      <w:r>
        <w:t xml:space="preserve">cyber-resilience. This interpretive synthesis also incorporated contextual factors, such as national cybersecurity policies (Ponnusamy et al., 2020) and critical infrastructure vulnerabilities (Melaku, 2023a, 2023b), ensuring that the discussion captured the broader ecosystem within which </w:t>
      </w:r>
      <w:proofErr w:type="spellStart"/>
      <w:r w:rsidR="00F15167" w:rsidRPr="00E07808">
        <w:rPr>
          <w:highlight w:val="yellow"/>
        </w:rPr>
        <w:t>organisational</w:t>
      </w:r>
      <w:proofErr w:type="spellEnd"/>
      <w:r w:rsidR="00F15167" w:rsidRPr="00E07808">
        <w:rPr>
          <w:highlight w:val="yellow"/>
        </w:rPr>
        <w:t xml:space="preserve"> </w:t>
      </w:r>
      <w:r>
        <w:t>governance frameworks operate.</w:t>
      </w:r>
    </w:p>
    <w:p w14:paraId="48C9F609" w14:textId="3718D0C5" w:rsidR="00A649D3" w:rsidRDefault="002155BA">
      <w:pPr>
        <w:pStyle w:val="NormalWeb"/>
      </w:pPr>
      <w:r>
        <w:t xml:space="preserve">Overall, the narrative review methodology allowed for a flexible yet structured approach to </w:t>
      </w:r>
      <w:proofErr w:type="spellStart"/>
      <w:r w:rsidR="00F15167" w:rsidRPr="00E07808">
        <w:rPr>
          <w:highlight w:val="yellow"/>
        </w:rPr>
        <w:t>analysing</w:t>
      </w:r>
      <w:proofErr w:type="spellEnd"/>
      <w:r w:rsidR="00F15167" w:rsidRPr="00E07808">
        <w:rPr>
          <w:highlight w:val="yellow"/>
        </w:rPr>
        <w:t xml:space="preserve"> </w:t>
      </w:r>
      <w:r>
        <w:t xml:space="preserve">the role of IT governance frameworks. By </w:t>
      </w:r>
      <w:proofErr w:type="spellStart"/>
      <w:r w:rsidR="00F15167" w:rsidRPr="00E07808">
        <w:rPr>
          <w:highlight w:val="yellow"/>
        </w:rPr>
        <w:t>synthesising</w:t>
      </w:r>
      <w:proofErr w:type="spellEnd"/>
      <w:r w:rsidR="00F15167" w:rsidRPr="00E07808">
        <w:rPr>
          <w:highlight w:val="yellow"/>
        </w:rPr>
        <w:t xml:space="preserve"> </w:t>
      </w:r>
      <w:r>
        <w:t>diverse scholarly contributions, the study provides a nuanced understanding of how COBIT and ITIL can move beyond compliance to serve as enablers of resilience, adaptability, and strategic alignment in the face of evolving cyber threats.</w:t>
      </w:r>
    </w:p>
    <w:p w14:paraId="06F09BAD" w14:textId="77777777" w:rsidR="00A649D3" w:rsidRDefault="002155BA">
      <w:pPr>
        <w:rPr>
          <w:b/>
          <w:bCs/>
        </w:rPr>
      </w:pPr>
      <w:r>
        <w:rPr>
          <w:b/>
          <w:bCs/>
        </w:rPr>
        <w:t>Results</w:t>
      </w:r>
    </w:p>
    <w:p w14:paraId="5790FE9C" w14:textId="082064EC" w:rsidR="00A649D3" w:rsidRDefault="002155BA">
      <w:pPr>
        <w:pStyle w:val="NormalWeb"/>
      </w:pPr>
      <w:r>
        <w:t xml:space="preserve">The findings from the narrative review reveal several interrelated themes regarding the role of IT governance frameworks, particularly COBIT and ITIL, in enhancing </w:t>
      </w:r>
      <w:proofErr w:type="spellStart"/>
      <w:r w:rsidR="00F15167" w:rsidRPr="00E07808">
        <w:rPr>
          <w:highlight w:val="yellow"/>
        </w:rPr>
        <w:t>organisational</w:t>
      </w:r>
      <w:proofErr w:type="spellEnd"/>
      <w:r w:rsidR="00F15167" w:rsidRPr="00E07808">
        <w:rPr>
          <w:highlight w:val="yellow"/>
        </w:rPr>
        <w:t xml:space="preserve"> </w:t>
      </w:r>
      <w:r>
        <w:t xml:space="preserve">cyber-resilience. The results are presented as </w:t>
      </w:r>
      <w:proofErr w:type="spellStart"/>
      <w:r w:rsidR="00F15167" w:rsidRPr="00E07808">
        <w:rPr>
          <w:highlight w:val="yellow"/>
        </w:rPr>
        <w:t>synthesised</w:t>
      </w:r>
      <w:proofErr w:type="spellEnd"/>
      <w:r w:rsidR="00F15167" w:rsidRPr="00E07808">
        <w:rPr>
          <w:highlight w:val="yellow"/>
        </w:rPr>
        <w:t xml:space="preserve"> </w:t>
      </w:r>
      <w:r>
        <w:t>insights from the reviewed literature, highlighting practical implications, governance challenges, and emerging strategies.</w:t>
      </w:r>
    </w:p>
    <w:p w14:paraId="70847A70" w14:textId="7E6CA81F" w:rsidR="00A649D3" w:rsidRDefault="002155BA">
      <w:pPr>
        <w:pStyle w:val="NormalWeb"/>
      </w:pPr>
      <w:r>
        <w:t xml:space="preserve">A key finding is the integration of cybersecurity management and incident response as an enabler of </w:t>
      </w:r>
      <w:proofErr w:type="spellStart"/>
      <w:r w:rsidR="00F15167" w:rsidRPr="00E07808">
        <w:rPr>
          <w:highlight w:val="yellow"/>
        </w:rPr>
        <w:t>organisational</w:t>
      </w:r>
      <w:proofErr w:type="spellEnd"/>
      <w:r w:rsidR="00F15167" w:rsidRPr="00E07808">
        <w:rPr>
          <w:highlight w:val="yellow"/>
        </w:rPr>
        <w:t xml:space="preserve"> </w:t>
      </w:r>
      <w:r>
        <w:t xml:space="preserve">learning. Ahmad et al. (2020) demonstrated that </w:t>
      </w:r>
      <w:proofErr w:type="spellStart"/>
      <w:r w:rsidR="00F15167" w:rsidRPr="00E07808">
        <w:rPr>
          <w:highlight w:val="yellow"/>
        </w:rPr>
        <w:t>organisations</w:t>
      </w:r>
      <w:proofErr w:type="spellEnd"/>
      <w:r w:rsidR="00F15167" w:rsidRPr="00E07808">
        <w:rPr>
          <w:highlight w:val="yellow"/>
        </w:rPr>
        <w:t xml:space="preserve"> </w:t>
      </w:r>
      <w:r>
        <w:t xml:space="preserve">adopting structured governance processes were better able to capture lessons from cyber incidents, transforming crises into opportunities for resilience-building. This integration underscores the role of governance frameworks like COBIT and ITIL in </w:t>
      </w:r>
      <w:proofErr w:type="spellStart"/>
      <w:r w:rsidR="00F15167" w:rsidRPr="00E07808">
        <w:rPr>
          <w:highlight w:val="yellow"/>
        </w:rPr>
        <w:t>formalising</w:t>
      </w:r>
      <w:proofErr w:type="spellEnd"/>
      <w:r w:rsidR="00F15167" w:rsidRPr="00E07808">
        <w:rPr>
          <w:highlight w:val="yellow"/>
        </w:rPr>
        <w:t xml:space="preserve"> </w:t>
      </w:r>
      <w:r>
        <w:t xml:space="preserve">feedback loops, ensuring that incident response outcomes are documented, </w:t>
      </w:r>
      <w:proofErr w:type="spellStart"/>
      <w:r w:rsidR="00F15167" w:rsidRPr="00E07808">
        <w:rPr>
          <w:highlight w:val="yellow"/>
        </w:rPr>
        <w:t>analysed</w:t>
      </w:r>
      <w:proofErr w:type="spellEnd"/>
      <w:r>
        <w:t>, and translated into actionable improvements. Such governance-driven learning mechanisms contribute directly to cyber-resilience by fostering adaptability in the face of evolving threats.</w:t>
      </w:r>
    </w:p>
    <w:p w14:paraId="255A1DBD" w14:textId="269F63A8" w:rsidR="00A649D3" w:rsidRDefault="002155BA">
      <w:pPr>
        <w:pStyle w:val="NormalWeb"/>
      </w:pPr>
      <w:r>
        <w:t xml:space="preserve">The COBIT framework emerged as a cornerstone for aligning IT security with broader </w:t>
      </w:r>
      <w:proofErr w:type="spellStart"/>
      <w:r w:rsidR="00F15167" w:rsidRPr="00E07808">
        <w:rPr>
          <w:highlight w:val="yellow"/>
        </w:rPr>
        <w:t>organisational</w:t>
      </w:r>
      <w:proofErr w:type="spellEnd"/>
      <w:r w:rsidR="00F15167">
        <w:t xml:space="preserve"> </w:t>
      </w:r>
      <w:r>
        <w:t xml:space="preserve">objectives. Case studies such as Al-Fatlawi et al. (2021) and Yasin et al. (2020) </w:t>
      </w:r>
      <w:r>
        <w:lastRenderedPageBreak/>
        <w:t xml:space="preserve">revealed that COBIT, when combined with standards like ISO 27001, significantly strengthened accountability structures and reduced vulnerabilities in </w:t>
      </w:r>
      <w:proofErr w:type="spellStart"/>
      <w:r w:rsidR="00F15167" w:rsidRPr="00E07808">
        <w:rPr>
          <w:highlight w:val="yellow"/>
        </w:rPr>
        <w:t>organisational</w:t>
      </w:r>
      <w:proofErr w:type="spellEnd"/>
      <w:r w:rsidR="00F15167" w:rsidRPr="00E07808">
        <w:rPr>
          <w:highlight w:val="yellow"/>
        </w:rPr>
        <w:t xml:space="preserve"> </w:t>
      </w:r>
      <w:r>
        <w:t xml:space="preserve">processes. These studies highlighted the role of COBIT in embedding governance into financial information security systems and law enforcement agencies, demonstrating its flexibility across diverse sectors. Similarly, Rama and Eric (2020) provided evidence from the telecommunications industry that COBIT 5 improved alignment between IT governance and corporate strategy, ensuring resilience through </w:t>
      </w:r>
      <w:proofErr w:type="spellStart"/>
      <w:r w:rsidR="00F15167" w:rsidRPr="00E07808">
        <w:rPr>
          <w:highlight w:val="yellow"/>
        </w:rPr>
        <w:t>standardised</w:t>
      </w:r>
      <w:proofErr w:type="spellEnd"/>
      <w:r w:rsidR="00F15167" w:rsidRPr="00E07808">
        <w:rPr>
          <w:highlight w:val="yellow"/>
        </w:rPr>
        <w:t xml:space="preserve"> </w:t>
      </w:r>
      <w:r>
        <w:t xml:space="preserve">controls and compliance mechanisms. Collectively, these findings establish COBIT as a reliable framework for </w:t>
      </w:r>
      <w:proofErr w:type="spellStart"/>
      <w:r w:rsidR="00F15167" w:rsidRPr="00E07808">
        <w:rPr>
          <w:highlight w:val="yellow"/>
        </w:rPr>
        <w:t>institutionalising</w:t>
      </w:r>
      <w:proofErr w:type="spellEnd"/>
      <w:r w:rsidR="00F15167" w:rsidRPr="00E07808">
        <w:rPr>
          <w:highlight w:val="yellow"/>
        </w:rPr>
        <w:t xml:space="preserve"> </w:t>
      </w:r>
      <w:r>
        <w:t>governance practices that reinforce resilience.</w:t>
      </w:r>
    </w:p>
    <w:p w14:paraId="0D33A9AA" w14:textId="4BBEE538" w:rsidR="00A649D3" w:rsidRDefault="002155BA">
      <w:pPr>
        <w:pStyle w:val="NormalWeb"/>
      </w:pPr>
      <w:r>
        <w:t xml:space="preserve">ITIL’s contribution was evident in its emphasis on service management and operational continuity. Though not always explicitly highlighted in empirical studies, the ITIL framework was consistently referenced as a complementary tool to COBIT, particularly in managing the lifecycle of IT services. By focusing on availability, service design, and incident management, ITIL provides the operational backbone for cyber-resilience, ensuring that disruptions are </w:t>
      </w:r>
      <w:proofErr w:type="spellStart"/>
      <w:r w:rsidR="00F15167" w:rsidRPr="00E07808">
        <w:rPr>
          <w:highlight w:val="yellow"/>
        </w:rPr>
        <w:t>minimised</w:t>
      </w:r>
      <w:proofErr w:type="spellEnd"/>
      <w:r w:rsidR="00F15167" w:rsidRPr="00E07808">
        <w:rPr>
          <w:highlight w:val="yellow"/>
        </w:rPr>
        <w:t xml:space="preserve"> </w:t>
      </w:r>
      <w:r>
        <w:t>and services are restored promptly. In the reviewed literature, ITIL’s structured processes were most often described as enabling proactive resilience strategies by reducing service-level vulnerabilities and ensuring continuous delivery in high-risk environments (Schinagl &amp; Abbas, 2020; Wong et al., 2020).</w:t>
      </w:r>
    </w:p>
    <w:p w14:paraId="1200959C" w14:textId="5E11825B" w:rsidR="00A649D3" w:rsidRDefault="002155BA">
      <w:pPr>
        <w:pStyle w:val="NormalWeb"/>
      </w:pPr>
      <w:r>
        <w:t xml:space="preserve">The reviewed literature also highlighted persistent challenges in information security governance. AlGhamdi et al. (2020), through a systematic review, identified critical barriers including lack of executive support, fragmented accountability, and inadequate performance measurement. These obstacles often undermine the potential of governance frameworks, especially when </w:t>
      </w:r>
      <w:proofErr w:type="spellStart"/>
      <w:r w:rsidR="00F15167" w:rsidRPr="00E07808">
        <w:rPr>
          <w:highlight w:val="yellow"/>
        </w:rPr>
        <w:t>organisations</w:t>
      </w:r>
      <w:proofErr w:type="spellEnd"/>
      <w:r w:rsidR="00F15167" w:rsidRPr="00E07808">
        <w:rPr>
          <w:highlight w:val="yellow"/>
        </w:rPr>
        <w:t xml:space="preserve"> </w:t>
      </w:r>
      <w:r>
        <w:t xml:space="preserve">adopt them superficially without cultural or leadership commitment. Snow (2020) echoed these concerns in her qualitative study, arguing that governance must be strategy-driven and integrated into </w:t>
      </w:r>
      <w:proofErr w:type="spellStart"/>
      <w:r w:rsidR="00F15167" w:rsidRPr="00E07808">
        <w:rPr>
          <w:highlight w:val="yellow"/>
        </w:rPr>
        <w:t>organisational</w:t>
      </w:r>
      <w:proofErr w:type="spellEnd"/>
      <w:r w:rsidR="00F15167" w:rsidRPr="00E07808">
        <w:rPr>
          <w:highlight w:val="yellow"/>
        </w:rPr>
        <w:t xml:space="preserve"> </w:t>
      </w:r>
      <w:r>
        <w:t xml:space="preserve">culture to achieve meaningful resilience. The findings </w:t>
      </w:r>
      <w:proofErr w:type="spellStart"/>
      <w:r w:rsidR="00F15167" w:rsidRPr="00E07808">
        <w:rPr>
          <w:highlight w:val="yellow"/>
        </w:rPr>
        <w:t>emphasise</w:t>
      </w:r>
      <w:proofErr w:type="spellEnd"/>
      <w:r w:rsidR="00F15167" w:rsidRPr="00E07808">
        <w:rPr>
          <w:highlight w:val="yellow"/>
        </w:rPr>
        <w:t xml:space="preserve"> </w:t>
      </w:r>
      <w:r>
        <w:t xml:space="preserve">that COBIT and ITIL can only be effective when actively supported by senior leadership and aligned with </w:t>
      </w:r>
      <w:proofErr w:type="spellStart"/>
      <w:r w:rsidR="00F15167" w:rsidRPr="00E07808">
        <w:rPr>
          <w:highlight w:val="yellow"/>
        </w:rPr>
        <w:t>organisational</w:t>
      </w:r>
      <w:proofErr w:type="spellEnd"/>
      <w:r w:rsidR="00F15167" w:rsidRPr="00E07808">
        <w:rPr>
          <w:highlight w:val="yellow"/>
        </w:rPr>
        <w:t xml:space="preserve"> </w:t>
      </w:r>
      <w:r>
        <w:t>values.</w:t>
      </w:r>
    </w:p>
    <w:p w14:paraId="3B7833A6" w14:textId="77777777" w:rsidR="00A649D3" w:rsidRDefault="002155BA">
      <w:pPr>
        <w:pStyle w:val="NormalWeb"/>
      </w:pPr>
      <w:r>
        <w:t>To address measurement challenges, Herath et al. (2022) introduced a balanced scorecard approach that integrates performance measurement into governance frameworks. Their tool provided senior managers with quantifiable indicators of governance effectiveness, bridging the gap between technical metrics and business-relevant outcomes. This aligns with Wong et al. (2020), who proposed a process model for governance that incorporates measurable outcomes and feedback mechanisms. These findings collectively reinforce the need for performance measurement systems that complement governance frameworks, ensuring accountability and continuous improvement in resilience strategies.</w:t>
      </w:r>
    </w:p>
    <w:p w14:paraId="0D624711" w14:textId="7FB998E3" w:rsidR="00A649D3" w:rsidRDefault="002155BA">
      <w:pPr>
        <w:pStyle w:val="NormalWeb"/>
      </w:pPr>
      <w:r>
        <w:t xml:space="preserve">Another significant theme was the role of maturity models in guiding </w:t>
      </w:r>
      <w:proofErr w:type="spellStart"/>
      <w:r w:rsidR="00E95EE4" w:rsidRPr="00E07808">
        <w:rPr>
          <w:highlight w:val="yellow"/>
        </w:rPr>
        <w:t>organisations</w:t>
      </w:r>
      <w:proofErr w:type="spellEnd"/>
      <w:r w:rsidR="00E95EE4" w:rsidRPr="00E07808">
        <w:rPr>
          <w:highlight w:val="yellow"/>
        </w:rPr>
        <w:t xml:space="preserve"> </w:t>
      </w:r>
      <w:r>
        <w:t xml:space="preserve">toward advanced governance practices. Maleh et al. (2021) proposed a maturity framework that enables </w:t>
      </w:r>
      <w:proofErr w:type="spellStart"/>
      <w:r w:rsidR="00E95EE4" w:rsidRPr="00E07808">
        <w:rPr>
          <w:highlight w:val="yellow"/>
        </w:rPr>
        <w:t>organisations</w:t>
      </w:r>
      <w:proofErr w:type="spellEnd"/>
      <w:r w:rsidR="00E95EE4" w:rsidRPr="00E07808">
        <w:rPr>
          <w:highlight w:val="yellow"/>
        </w:rPr>
        <w:t xml:space="preserve"> </w:t>
      </w:r>
      <w:r>
        <w:t xml:space="preserve">to assess their current level of information security governance and identify pathways for improvement. The empirical findings from their study showed that maturity models empower </w:t>
      </w:r>
      <w:proofErr w:type="spellStart"/>
      <w:r w:rsidR="00E95EE4" w:rsidRPr="00E07808">
        <w:rPr>
          <w:highlight w:val="yellow"/>
        </w:rPr>
        <w:t>organisations</w:t>
      </w:r>
      <w:proofErr w:type="spellEnd"/>
      <w:r w:rsidR="00E95EE4" w:rsidRPr="00E07808">
        <w:rPr>
          <w:highlight w:val="yellow"/>
        </w:rPr>
        <w:t xml:space="preserve"> </w:t>
      </w:r>
      <w:r>
        <w:t xml:space="preserve">to transition from reactive security measures to proactive resilience strategies. By embedding COBIT and ITIL within maturity models, </w:t>
      </w:r>
      <w:proofErr w:type="spellStart"/>
      <w:r w:rsidR="00E95EE4" w:rsidRPr="00E07808">
        <w:rPr>
          <w:highlight w:val="yellow"/>
        </w:rPr>
        <w:t>organisations</w:t>
      </w:r>
      <w:proofErr w:type="spellEnd"/>
      <w:r w:rsidR="00E95EE4" w:rsidRPr="00E07808">
        <w:rPr>
          <w:highlight w:val="yellow"/>
        </w:rPr>
        <w:t xml:space="preserve"> </w:t>
      </w:r>
      <w:r>
        <w:t xml:space="preserve">can develop </w:t>
      </w:r>
      <w:r>
        <w:lastRenderedPageBreak/>
        <w:t xml:space="preserve">structured roadmaps that not only mitigate risks but also </w:t>
      </w:r>
      <w:proofErr w:type="spellStart"/>
      <w:r w:rsidR="00E95EE4" w:rsidRPr="00E07808">
        <w:rPr>
          <w:highlight w:val="yellow"/>
        </w:rPr>
        <w:t>institutionalise</w:t>
      </w:r>
      <w:proofErr w:type="spellEnd"/>
      <w:r w:rsidR="00E95EE4" w:rsidRPr="00E07808">
        <w:rPr>
          <w:highlight w:val="yellow"/>
        </w:rPr>
        <w:t xml:space="preserve"> </w:t>
      </w:r>
      <w:r>
        <w:t>resilience as a strategic priority.</w:t>
      </w:r>
    </w:p>
    <w:p w14:paraId="0E4D0FE6" w14:textId="000BC4E4" w:rsidR="00A649D3" w:rsidRDefault="002155BA">
      <w:pPr>
        <w:pStyle w:val="NormalWeb"/>
      </w:pPr>
      <w:r>
        <w:t xml:space="preserve">The review also underscored the importance of </w:t>
      </w:r>
      <w:proofErr w:type="spellStart"/>
      <w:r w:rsidR="00E95EE4" w:rsidRPr="00E07808">
        <w:rPr>
          <w:highlight w:val="yellow"/>
        </w:rPr>
        <w:t>contextualising</w:t>
      </w:r>
      <w:proofErr w:type="spellEnd"/>
      <w:r w:rsidR="00E95EE4" w:rsidRPr="00E07808">
        <w:rPr>
          <w:highlight w:val="yellow"/>
        </w:rPr>
        <w:t xml:space="preserve"> </w:t>
      </w:r>
      <w:r>
        <w:t xml:space="preserve">governance within broader infrastructures and ecosystems. Melaku (2023a) highlighted vulnerabilities in critical infrastructures and recommended governance-driven approaches to strengthen resilience. His subsequent work (Melaku, 2023b) </w:t>
      </w:r>
      <w:proofErr w:type="spellStart"/>
      <w:r w:rsidR="00E95EE4" w:rsidRPr="00E07808">
        <w:rPr>
          <w:highlight w:val="yellow"/>
        </w:rPr>
        <w:t>emphasised</w:t>
      </w:r>
      <w:proofErr w:type="spellEnd"/>
      <w:r w:rsidR="00E95EE4" w:rsidRPr="00E07808">
        <w:rPr>
          <w:highlight w:val="yellow"/>
        </w:rPr>
        <w:t xml:space="preserve"> </w:t>
      </w:r>
      <w:r>
        <w:t xml:space="preserve">the necessity of adaptive and context-based risk management frameworks, aligning well with COBIT and ITIL’s capacity for iterative improvement and </w:t>
      </w:r>
      <w:proofErr w:type="spellStart"/>
      <w:r w:rsidR="00E95EE4" w:rsidRPr="00E07808">
        <w:rPr>
          <w:highlight w:val="yellow"/>
        </w:rPr>
        <w:t>customisation</w:t>
      </w:r>
      <w:proofErr w:type="spellEnd"/>
      <w:r>
        <w:t xml:space="preserve">. Similarly, Ponnusamy et al. (2020) </w:t>
      </w:r>
      <w:proofErr w:type="spellStart"/>
      <w:r w:rsidR="00E95EE4" w:rsidRPr="00E07808">
        <w:rPr>
          <w:highlight w:val="yellow"/>
        </w:rPr>
        <w:t>emphasised</w:t>
      </w:r>
      <w:proofErr w:type="spellEnd"/>
      <w:r w:rsidR="00E95EE4" w:rsidRPr="00E07808">
        <w:rPr>
          <w:highlight w:val="yellow"/>
        </w:rPr>
        <w:t xml:space="preserve"> </w:t>
      </w:r>
      <w:r>
        <w:t xml:space="preserve">the role of public-private partnerships in national cybersecurity frameworks, noting that governance practices must extend beyond </w:t>
      </w:r>
      <w:proofErr w:type="spellStart"/>
      <w:r w:rsidR="00E95EE4" w:rsidRPr="00E07808">
        <w:rPr>
          <w:highlight w:val="yellow"/>
        </w:rPr>
        <w:t>organisational</w:t>
      </w:r>
      <w:proofErr w:type="spellEnd"/>
      <w:r w:rsidR="00E95EE4" w:rsidRPr="00E07808">
        <w:rPr>
          <w:highlight w:val="yellow"/>
        </w:rPr>
        <w:t xml:space="preserve"> </w:t>
      </w:r>
      <w:r>
        <w:t xml:space="preserve">boundaries. Their findings suggest that when </w:t>
      </w:r>
      <w:proofErr w:type="spellStart"/>
      <w:r w:rsidR="00E95EE4" w:rsidRPr="00E07808">
        <w:rPr>
          <w:highlight w:val="yellow"/>
        </w:rPr>
        <w:t>organisations</w:t>
      </w:r>
      <w:proofErr w:type="spellEnd"/>
      <w:r w:rsidR="00E95EE4" w:rsidRPr="00E07808">
        <w:rPr>
          <w:highlight w:val="yellow"/>
        </w:rPr>
        <w:t xml:space="preserve"> </w:t>
      </w:r>
      <w:r>
        <w:t>adopt COBIT and ITIL within such collaborative ecosystems, they not only enhance internal resilience but also contribute to systemic resilience across industries and nations.</w:t>
      </w:r>
    </w:p>
    <w:p w14:paraId="3D67B14A" w14:textId="5E8D1CE6" w:rsidR="00A649D3" w:rsidRDefault="002155BA">
      <w:pPr>
        <w:pStyle w:val="NormalWeb"/>
      </w:pPr>
      <w:r>
        <w:t xml:space="preserve">Schinagl and Abbas (2020) provided an important conceptual contribution by framing the evolution of information security governance as a shift “from the basement to the boardroom.” Their analysis showed that governance frameworks elevate cybersecurity from a purely technical issue to a strategic concern, ensuring board-level attention and accountability. This evolution is critical to resilience because it integrates security into long-term </w:t>
      </w:r>
      <w:proofErr w:type="spellStart"/>
      <w:r w:rsidR="00E95EE4" w:rsidRPr="00E07808">
        <w:rPr>
          <w:highlight w:val="yellow"/>
        </w:rPr>
        <w:t>organisational</w:t>
      </w:r>
      <w:proofErr w:type="spellEnd"/>
      <w:r w:rsidR="00E95EE4">
        <w:t xml:space="preserve"> </w:t>
      </w:r>
      <w:r>
        <w:t>strategy, resource allocation, and risk appetite. Volchkov (2018) similarly argued that decision-makers require governance toolsets that bridge the gap between technical expertise and strategic leadership, a function that COBIT and ITIL are well-positioned to provide.</w:t>
      </w:r>
    </w:p>
    <w:p w14:paraId="4E092957" w14:textId="5454B0AB" w:rsidR="00A649D3" w:rsidRDefault="002155BA">
      <w:pPr>
        <w:pStyle w:val="NormalWeb"/>
      </w:pPr>
      <w:r>
        <w:t xml:space="preserve">Overall, the results of the narrative review suggest that COBIT and ITIL, when applied together, provide a synergistic approach to cyber-resilience. COBIT offers strategic alignment, accountability, and compliance mechanisms, while ITIL ensures operational continuity, process </w:t>
      </w:r>
      <w:proofErr w:type="spellStart"/>
      <w:r w:rsidR="00E95EE4" w:rsidRPr="00E07808">
        <w:rPr>
          <w:highlight w:val="yellow"/>
        </w:rPr>
        <w:t>optimisation</w:t>
      </w:r>
      <w:proofErr w:type="spellEnd"/>
      <w:r>
        <w:t xml:space="preserve">, and service-level resilience. The integration of these frameworks addresses the dual dimensions of governance: strategic oversight and operational execution. The findings indicate that </w:t>
      </w:r>
      <w:proofErr w:type="spellStart"/>
      <w:r w:rsidR="00E95EE4" w:rsidRPr="00E07808">
        <w:rPr>
          <w:highlight w:val="yellow"/>
        </w:rPr>
        <w:t>organisations</w:t>
      </w:r>
      <w:proofErr w:type="spellEnd"/>
      <w:r w:rsidR="00E95EE4" w:rsidRPr="00E07808">
        <w:rPr>
          <w:highlight w:val="yellow"/>
        </w:rPr>
        <w:t xml:space="preserve"> </w:t>
      </w:r>
      <w:r>
        <w:t>leveraging both frameworks are better positioned to anticipate, withstand, and recover from cyber threats.</w:t>
      </w:r>
    </w:p>
    <w:p w14:paraId="5083D70E" w14:textId="16DBCEC6" w:rsidR="00A649D3" w:rsidRDefault="002155BA">
      <w:pPr>
        <w:pStyle w:val="NormalWeb"/>
      </w:pPr>
      <w:r>
        <w:t xml:space="preserve">The review also revealed that resilience is not a static outcome but an evolving process of learning, adaptation, and maturity. Studies such as Ahmad et al. (2020) </w:t>
      </w:r>
      <w:proofErr w:type="spellStart"/>
      <w:r w:rsidR="00E95EE4" w:rsidRPr="00E07808">
        <w:rPr>
          <w:highlight w:val="yellow"/>
        </w:rPr>
        <w:t>emphasised</w:t>
      </w:r>
      <w:proofErr w:type="spellEnd"/>
      <w:r w:rsidR="00E95EE4" w:rsidRPr="00E07808">
        <w:rPr>
          <w:highlight w:val="yellow"/>
        </w:rPr>
        <w:t xml:space="preserve"> </w:t>
      </w:r>
      <w:proofErr w:type="spellStart"/>
      <w:r w:rsidR="00E95EE4" w:rsidRPr="00E07808">
        <w:rPr>
          <w:highlight w:val="yellow"/>
        </w:rPr>
        <w:t>organisational</w:t>
      </w:r>
      <w:proofErr w:type="spellEnd"/>
      <w:r w:rsidRPr="00E07808">
        <w:rPr>
          <w:highlight w:val="yellow"/>
        </w:rPr>
        <w:t xml:space="preserve"> </w:t>
      </w:r>
      <w:r>
        <w:t xml:space="preserve">learning from incidents, while Maleh et al. (2021) highlighted structured maturity progressions. Together, these findings suggest that the most resilient </w:t>
      </w:r>
      <w:proofErr w:type="spellStart"/>
      <w:r w:rsidR="00E95EE4" w:rsidRPr="00E07808">
        <w:rPr>
          <w:highlight w:val="yellow"/>
        </w:rPr>
        <w:t>organisations</w:t>
      </w:r>
      <w:proofErr w:type="spellEnd"/>
      <w:r w:rsidR="00E95EE4" w:rsidRPr="00E07808">
        <w:rPr>
          <w:highlight w:val="yellow"/>
        </w:rPr>
        <w:t xml:space="preserve"> </w:t>
      </w:r>
      <w:r>
        <w:t>are those that continuously refine governance practices, learn from disruptions, and adapt to changing contexts.</w:t>
      </w:r>
    </w:p>
    <w:p w14:paraId="6CDE15DD" w14:textId="77777777" w:rsidR="00A649D3" w:rsidRDefault="002155BA">
      <w:pPr>
        <w:pStyle w:val="NormalWeb"/>
      </w:pPr>
      <w:r>
        <w:t>At the same time, challenges persist, particularly in leadership commitment, cultural alignment, and performance measurement. Without addressing these barriers, even the most robust frameworks may fail to achieve their intended outcomes. The evidence suggests that successful adoption of COBIT and ITIL requires not only technical implementation but also cultural integration, executive sponsorship, and alignment with broader policy and ecosystem contexts.</w:t>
      </w:r>
    </w:p>
    <w:p w14:paraId="1EF9C110" w14:textId="099835B5" w:rsidR="00A649D3" w:rsidRDefault="002155BA">
      <w:pPr>
        <w:pStyle w:val="NormalWeb"/>
      </w:pPr>
      <w:r>
        <w:t xml:space="preserve">In conclusion, the findings demonstrate that IT governance frameworks are central to </w:t>
      </w:r>
      <w:proofErr w:type="spellStart"/>
      <w:r w:rsidR="00E95EE4" w:rsidRPr="00E07808">
        <w:rPr>
          <w:highlight w:val="yellow"/>
        </w:rPr>
        <w:t>organisational</w:t>
      </w:r>
      <w:proofErr w:type="spellEnd"/>
      <w:r w:rsidR="00E95EE4" w:rsidRPr="00E07808">
        <w:rPr>
          <w:highlight w:val="yellow"/>
        </w:rPr>
        <w:t xml:space="preserve"> </w:t>
      </w:r>
      <w:r>
        <w:t xml:space="preserve">cyber-resilience, but their effectiveness depends on thoughtful implementation, </w:t>
      </w:r>
      <w:r>
        <w:lastRenderedPageBreak/>
        <w:t>integration with measurement and maturity models, and contextual adaptation. The reviewed studies collectively affirm that COBIT and ITIL are not isolated technical solutions but strategic enablers of resilience, bridging the gap between governance and operations, and elevating cybersecurity to a business-critical priority.</w:t>
      </w:r>
    </w:p>
    <w:p w14:paraId="6E704D5D" w14:textId="77777777" w:rsidR="00A649D3" w:rsidRDefault="002155BA">
      <w:pPr>
        <w:rPr>
          <w:b/>
          <w:bCs/>
        </w:rPr>
      </w:pPr>
      <w:r>
        <w:rPr>
          <w:b/>
          <w:bCs/>
        </w:rPr>
        <w:t xml:space="preserve">Discussion </w:t>
      </w:r>
    </w:p>
    <w:p w14:paraId="6554DEB8" w14:textId="5775EB17" w:rsidR="00A649D3" w:rsidRDefault="002155BA">
      <w:pPr>
        <w:pStyle w:val="NormalWeb"/>
      </w:pPr>
      <w:r>
        <w:t xml:space="preserve">The findings of this narrative review demonstrate that IT governance frameworks, particularly COBIT and ITIL, play an instrumental role in enhancing </w:t>
      </w:r>
      <w:proofErr w:type="spellStart"/>
      <w:r w:rsidR="00E95EE4" w:rsidRPr="00E07808">
        <w:rPr>
          <w:highlight w:val="yellow"/>
        </w:rPr>
        <w:t>organisational</w:t>
      </w:r>
      <w:proofErr w:type="spellEnd"/>
      <w:r w:rsidR="00E95EE4" w:rsidRPr="00E07808">
        <w:rPr>
          <w:highlight w:val="yellow"/>
        </w:rPr>
        <w:t xml:space="preserve"> </w:t>
      </w:r>
      <w:r>
        <w:t xml:space="preserve">cyber-resilience by providing structured mechanisms for aligning business objectives, security controls, and incident response capabilities. The literature reviewed highlights the intersection of governance, strategy, and operational resilience, </w:t>
      </w:r>
      <w:proofErr w:type="spellStart"/>
      <w:r w:rsidR="00E95EE4" w:rsidRPr="00E07808">
        <w:rPr>
          <w:highlight w:val="yellow"/>
        </w:rPr>
        <w:t>emphasising</w:t>
      </w:r>
      <w:proofErr w:type="spellEnd"/>
      <w:r w:rsidR="00E95EE4" w:rsidRPr="00E07808">
        <w:rPr>
          <w:highlight w:val="yellow"/>
        </w:rPr>
        <w:t xml:space="preserve"> </w:t>
      </w:r>
      <w:r>
        <w:t>that frameworks are not mere compliance tools but enablers of adaptive security governance.</w:t>
      </w:r>
    </w:p>
    <w:p w14:paraId="03F13574" w14:textId="4AFC85CE" w:rsidR="00A649D3" w:rsidRDefault="002155BA">
      <w:pPr>
        <w:pStyle w:val="NormalWeb"/>
      </w:pPr>
      <w:r>
        <w:t xml:space="preserve">Ahmad et al. (2020) </w:t>
      </w:r>
      <w:proofErr w:type="spellStart"/>
      <w:r w:rsidR="00E95EE4" w:rsidRPr="00E07808">
        <w:rPr>
          <w:highlight w:val="yellow"/>
        </w:rPr>
        <w:t>emphasise</w:t>
      </w:r>
      <w:proofErr w:type="spellEnd"/>
      <w:r w:rsidR="00E95EE4" w:rsidRPr="00E07808">
        <w:rPr>
          <w:highlight w:val="yellow"/>
        </w:rPr>
        <w:t xml:space="preserve"> </w:t>
      </w:r>
      <w:r>
        <w:t xml:space="preserve">that integrating cybersecurity management with incident response fosters </w:t>
      </w:r>
      <w:proofErr w:type="spellStart"/>
      <w:r w:rsidR="00E95EE4" w:rsidRPr="00E07808">
        <w:rPr>
          <w:highlight w:val="yellow"/>
        </w:rPr>
        <w:t>organisational</w:t>
      </w:r>
      <w:proofErr w:type="spellEnd"/>
      <w:r w:rsidR="00E95EE4" w:rsidRPr="00E07808">
        <w:rPr>
          <w:highlight w:val="yellow"/>
        </w:rPr>
        <w:t xml:space="preserve"> </w:t>
      </w:r>
      <w:r>
        <w:t xml:space="preserve">learning, which is critical for resilience. This aligns with the broader perspective that governance frameworks must go beyond policy </w:t>
      </w:r>
      <w:proofErr w:type="spellStart"/>
      <w:r w:rsidR="00E95EE4" w:rsidRPr="00E07808">
        <w:rPr>
          <w:highlight w:val="yellow"/>
        </w:rPr>
        <w:t>formalisation</w:t>
      </w:r>
      <w:proofErr w:type="spellEnd"/>
      <w:r w:rsidR="00E95EE4" w:rsidRPr="00E07808">
        <w:rPr>
          <w:highlight w:val="yellow"/>
        </w:rPr>
        <w:t xml:space="preserve"> </w:t>
      </w:r>
      <w:r>
        <w:t xml:space="preserve">to embed adaptive learning cycles within </w:t>
      </w:r>
      <w:proofErr w:type="spellStart"/>
      <w:r w:rsidR="00E95EE4" w:rsidRPr="00E07808">
        <w:rPr>
          <w:highlight w:val="yellow"/>
        </w:rPr>
        <w:t>organisations</w:t>
      </w:r>
      <w:proofErr w:type="spellEnd"/>
      <w:r>
        <w:t xml:space="preserve">. By </w:t>
      </w:r>
      <w:proofErr w:type="spellStart"/>
      <w:r w:rsidR="00E95EE4" w:rsidRPr="00E07808">
        <w:rPr>
          <w:highlight w:val="yellow"/>
        </w:rPr>
        <w:t>institutionalising</w:t>
      </w:r>
      <w:proofErr w:type="spellEnd"/>
      <w:r w:rsidR="00E95EE4" w:rsidRPr="00E07808">
        <w:rPr>
          <w:highlight w:val="yellow"/>
        </w:rPr>
        <w:t xml:space="preserve"> </w:t>
      </w:r>
      <w:r>
        <w:t xml:space="preserve">knowledge gained from security incidents, </w:t>
      </w:r>
      <w:proofErr w:type="spellStart"/>
      <w:r w:rsidR="00E95EE4" w:rsidRPr="00E07808">
        <w:rPr>
          <w:highlight w:val="yellow"/>
        </w:rPr>
        <w:t>organisations</w:t>
      </w:r>
      <w:proofErr w:type="spellEnd"/>
      <w:r w:rsidR="00E95EE4" w:rsidRPr="00E07808">
        <w:rPr>
          <w:highlight w:val="yellow"/>
        </w:rPr>
        <w:t xml:space="preserve"> </w:t>
      </w:r>
      <w:r>
        <w:t>not only reduce recurrence but also build resilience against novel threats. COBIT and ITIL can serve as enablers of such learning loops by ensuring that incident data is systematically fed into governance and risk management processes.</w:t>
      </w:r>
    </w:p>
    <w:p w14:paraId="579C593D" w14:textId="54A5FAC3" w:rsidR="00A649D3" w:rsidRDefault="002155BA">
      <w:pPr>
        <w:pStyle w:val="NormalWeb"/>
      </w:pPr>
      <w:r>
        <w:t xml:space="preserve">The role of COBIT in strengthening governance is highlighted in several case studies. Al-Fatlawi et al. (2021) illustrate how COBIT 5 can secure accounting information systems by integrating IT controls with governance processes. Similarly, Rama and Eric (2020) demonstrate how COBIT 5 and ISO 38500 support governance implementation in telecommunication industries, providing evidence that structured governance reduces fragmentation and enhances resilience. Yasin et al. (2020) further build on this by proposing recommendations using COBIT 2019 and ISO 27001:2013, underscoring the importance of tailoring frameworks to specific </w:t>
      </w:r>
      <w:proofErr w:type="spellStart"/>
      <w:r w:rsidR="00E95EE4" w:rsidRPr="00E07808">
        <w:rPr>
          <w:highlight w:val="yellow"/>
        </w:rPr>
        <w:t>organisational</w:t>
      </w:r>
      <w:proofErr w:type="spellEnd"/>
      <w:r w:rsidR="00E95EE4">
        <w:t xml:space="preserve"> </w:t>
      </w:r>
      <w:r>
        <w:t>contexts. These studies suggest that COBIT provides a flexible governance foundation adaptable to diverse industries and security maturity levels.</w:t>
      </w:r>
    </w:p>
    <w:p w14:paraId="2418588C" w14:textId="7E91FD40" w:rsidR="00A649D3" w:rsidRDefault="002155BA">
      <w:pPr>
        <w:pStyle w:val="NormalWeb"/>
      </w:pPr>
      <w:r>
        <w:t xml:space="preserve">From a performance measurement standpoint, Herath et al. (2022) introduce the integration of balanced scorecards into information security governance, offering a way to bridge the communication gap between technical teams and senior executives. This approach aligns with Schinagl and Abbas (2020), who call for security governance to move “from the basement to the boardroom.” By quantifying governance effectiveness and linking security to business objectives, </w:t>
      </w:r>
      <w:proofErr w:type="spellStart"/>
      <w:r w:rsidR="00E95EE4" w:rsidRPr="00E07808">
        <w:rPr>
          <w:highlight w:val="yellow"/>
        </w:rPr>
        <w:t>organisations</w:t>
      </w:r>
      <w:proofErr w:type="spellEnd"/>
      <w:r w:rsidR="00E95EE4" w:rsidRPr="00E07808">
        <w:rPr>
          <w:highlight w:val="yellow"/>
        </w:rPr>
        <w:t xml:space="preserve"> </w:t>
      </w:r>
      <w:r>
        <w:t>foster board-level engagement, which is essential for resilience.</w:t>
      </w:r>
    </w:p>
    <w:p w14:paraId="5509AF1A" w14:textId="3A3F3BC7" w:rsidR="00A649D3" w:rsidRDefault="002155BA">
      <w:pPr>
        <w:pStyle w:val="NormalWeb"/>
      </w:pPr>
      <w:r>
        <w:t xml:space="preserve">Critical success factors and challenges remain central to governance implementation. AlGhamdi et al. (2020) highlight governance challenges such as lack of executive commitment, resource constraints, and cultural resistance, while also identifying success factors including leadership support and integration with </w:t>
      </w:r>
      <w:proofErr w:type="spellStart"/>
      <w:r w:rsidR="00E95EE4" w:rsidRPr="00E07808">
        <w:rPr>
          <w:highlight w:val="yellow"/>
        </w:rPr>
        <w:t>organisational</w:t>
      </w:r>
      <w:proofErr w:type="spellEnd"/>
      <w:r w:rsidR="00E95EE4" w:rsidRPr="00E07808">
        <w:rPr>
          <w:highlight w:val="yellow"/>
        </w:rPr>
        <w:t xml:space="preserve"> </w:t>
      </w:r>
      <w:r>
        <w:t xml:space="preserve">strategy. These findings underscore that the effectiveness of frameworks like COBIT and ITIL depends not only on technical soundness but also on </w:t>
      </w:r>
      <w:proofErr w:type="spellStart"/>
      <w:r w:rsidR="00E95EE4" w:rsidRPr="00E07808">
        <w:rPr>
          <w:highlight w:val="yellow"/>
        </w:rPr>
        <w:t>organisational</w:t>
      </w:r>
      <w:proofErr w:type="spellEnd"/>
      <w:r w:rsidR="00E95EE4" w:rsidRPr="00E07808">
        <w:rPr>
          <w:highlight w:val="yellow"/>
        </w:rPr>
        <w:t xml:space="preserve"> </w:t>
      </w:r>
      <w:r>
        <w:t xml:space="preserve">context and leadership engagement. Snow (2020) reinforces this by showing how strategy-driven governance fosters stronger alignment between security controls </w:t>
      </w:r>
      <w:r>
        <w:lastRenderedPageBreak/>
        <w:t>and business priorities, ensuring that governance contributes directly to resilience rather than serving as a bureaucratic exercise.</w:t>
      </w:r>
    </w:p>
    <w:p w14:paraId="6F8F53C8" w14:textId="3FD2C791" w:rsidR="00A649D3" w:rsidRDefault="002155BA">
      <w:pPr>
        <w:pStyle w:val="NormalWeb"/>
      </w:pPr>
      <w:r>
        <w:t xml:space="preserve">Maturity models represent another recurring theme. Maleh et al. (2021) propose an empirical framework for assessing information security governance maturity, </w:t>
      </w:r>
      <w:proofErr w:type="spellStart"/>
      <w:r w:rsidR="00E95EE4" w:rsidRPr="00E07808">
        <w:rPr>
          <w:highlight w:val="yellow"/>
        </w:rPr>
        <w:t>emphasising</w:t>
      </w:r>
      <w:proofErr w:type="spellEnd"/>
      <w:r w:rsidR="00E95EE4" w:rsidRPr="00E07808">
        <w:rPr>
          <w:highlight w:val="yellow"/>
        </w:rPr>
        <w:t xml:space="preserve"> </w:t>
      </w:r>
      <w:r>
        <w:t xml:space="preserve">progressive improvement as a pathway to resilience. This maturity-based approach aligns with ITIL’s service management orientation, which stresses continual improvement cycles. </w:t>
      </w:r>
      <w:proofErr w:type="spellStart"/>
      <w:r w:rsidR="00E95EE4" w:rsidRPr="00E07808">
        <w:rPr>
          <w:highlight w:val="yellow"/>
        </w:rPr>
        <w:t>Organisations</w:t>
      </w:r>
      <w:proofErr w:type="spellEnd"/>
      <w:r w:rsidR="00E95EE4" w:rsidRPr="00E07808">
        <w:rPr>
          <w:highlight w:val="yellow"/>
        </w:rPr>
        <w:t xml:space="preserve"> </w:t>
      </w:r>
      <w:r>
        <w:t>that evaluate and incrementally enhance their governance maturity are better positioned to adapt to evolving cyber risks.</w:t>
      </w:r>
    </w:p>
    <w:p w14:paraId="688E099A" w14:textId="143ECBD0" w:rsidR="00A649D3" w:rsidRDefault="002155BA">
      <w:pPr>
        <w:pStyle w:val="NormalWeb"/>
      </w:pPr>
      <w:r>
        <w:t xml:space="preserve">The resilience of critical infrastructure presents additional governance implications. Melaku (2023a) </w:t>
      </w:r>
      <w:proofErr w:type="spellStart"/>
      <w:r w:rsidR="00E95EE4" w:rsidRPr="00E07808">
        <w:rPr>
          <w:highlight w:val="yellow"/>
        </w:rPr>
        <w:t>emphasises</w:t>
      </w:r>
      <w:proofErr w:type="spellEnd"/>
      <w:r w:rsidR="00E95EE4" w:rsidRPr="00E07808">
        <w:rPr>
          <w:highlight w:val="yellow"/>
        </w:rPr>
        <w:t xml:space="preserve"> </w:t>
      </w:r>
      <w:r>
        <w:t>vulnerabilities in critical systems and the urgent need for resilience-focused governance. Complementing this, Melaku (2023b) proposes an adaptive cybersecurity risk management framework that underscores the importance of context-based strategies. COBIT’s risk alignment principles and ITIL’s adaptive service management practices can be integrated with such adaptive frameworks to enhance sector-specific resilience, particularly in critical infrastructure environments.</w:t>
      </w:r>
    </w:p>
    <w:p w14:paraId="2C135328" w14:textId="335BB645" w:rsidR="00A649D3" w:rsidRDefault="002155BA">
      <w:pPr>
        <w:pStyle w:val="NormalWeb"/>
      </w:pPr>
      <w:r>
        <w:t xml:space="preserve">National-level governance also plays a crucial role. Ponnusamy et al. (2020) highlight the importance of public–private partnerships in establishing national cybersecurity frameworks. This perspective is essential when considering the broader ecosystem in which </w:t>
      </w:r>
      <w:proofErr w:type="spellStart"/>
      <w:r w:rsidR="00E95EE4" w:rsidRPr="00E07808">
        <w:rPr>
          <w:highlight w:val="yellow"/>
        </w:rPr>
        <w:t>organisational</w:t>
      </w:r>
      <w:proofErr w:type="spellEnd"/>
      <w:r w:rsidR="00E95EE4" w:rsidRPr="00E07808">
        <w:rPr>
          <w:highlight w:val="yellow"/>
        </w:rPr>
        <w:t xml:space="preserve"> </w:t>
      </w:r>
      <w:r>
        <w:t xml:space="preserve">governance frameworks operate. COBIT and ITIL, while organizationally focused, must align with national strategies to </w:t>
      </w:r>
      <w:proofErr w:type="spellStart"/>
      <w:r w:rsidR="00E95EE4" w:rsidRPr="00E07808">
        <w:rPr>
          <w:highlight w:val="yellow"/>
        </w:rPr>
        <w:t>maximise</w:t>
      </w:r>
      <w:proofErr w:type="spellEnd"/>
      <w:r w:rsidR="00E95EE4" w:rsidRPr="00E07808">
        <w:rPr>
          <w:highlight w:val="yellow"/>
        </w:rPr>
        <w:t xml:space="preserve"> </w:t>
      </w:r>
      <w:r>
        <w:t>resilience, particularly in sectors such as telecommunications, energy, and finance</w:t>
      </w:r>
      <w:r w:rsidR="00E95EE4">
        <w:t>,</w:t>
      </w:r>
      <w:r>
        <w:t xml:space="preserve"> where interdependence is high.</w:t>
      </w:r>
    </w:p>
    <w:p w14:paraId="7C69E2D2" w14:textId="565F15D0" w:rsidR="00A649D3" w:rsidRDefault="002155BA">
      <w:pPr>
        <w:pStyle w:val="NormalWeb"/>
      </w:pPr>
      <w:r>
        <w:t xml:space="preserve">Practical process-oriented models also advance governance discourse. Wong et al. (2020) propose a process model for information security governance, </w:t>
      </w:r>
      <w:proofErr w:type="spellStart"/>
      <w:r w:rsidR="00E95EE4" w:rsidRPr="00E07808">
        <w:rPr>
          <w:highlight w:val="yellow"/>
        </w:rPr>
        <w:t>emphasising</w:t>
      </w:r>
      <w:proofErr w:type="spellEnd"/>
      <w:r w:rsidR="00E95EE4" w:rsidRPr="00E07808">
        <w:rPr>
          <w:highlight w:val="yellow"/>
        </w:rPr>
        <w:t xml:space="preserve"> </w:t>
      </w:r>
      <w:r>
        <w:t xml:space="preserve">iterative cycles of assessment, implementation, and feedback. This process orientation complements COBIT’s control objectives and ITIL’s service management lifecycle, suggesting that </w:t>
      </w:r>
      <w:proofErr w:type="spellStart"/>
      <w:r w:rsidR="00E95EE4" w:rsidRPr="00E07808">
        <w:rPr>
          <w:highlight w:val="yellow"/>
        </w:rPr>
        <w:t>organisations</w:t>
      </w:r>
      <w:proofErr w:type="spellEnd"/>
      <w:r w:rsidR="00E95EE4" w:rsidRPr="00E07808">
        <w:rPr>
          <w:highlight w:val="yellow"/>
        </w:rPr>
        <w:t xml:space="preserve"> </w:t>
      </w:r>
      <w:r>
        <w:t xml:space="preserve">benefit most when frameworks are </w:t>
      </w:r>
      <w:proofErr w:type="spellStart"/>
      <w:r w:rsidR="00E95EE4" w:rsidRPr="00E07808">
        <w:rPr>
          <w:highlight w:val="yellow"/>
        </w:rPr>
        <w:t>operationalised</w:t>
      </w:r>
      <w:proofErr w:type="spellEnd"/>
      <w:r w:rsidR="00E95EE4" w:rsidRPr="00E07808">
        <w:rPr>
          <w:highlight w:val="yellow"/>
        </w:rPr>
        <w:t xml:space="preserve"> </w:t>
      </w:r>
      <w:r>
        <w:t>as living processes rather than static compliance checklists.</w:t>
      </w:r>
    </w:p>
    <w:p w14:paraId="052F8276" w14:textId="18D4B384" w:rsidR="00A649D3" w:rsidRDefault="002155BA">
      <w:pPr>
        <w:pStyle w:val="NormalWeb"/>
      </w:pPr>
      <w:r>
        <w:t xml:space="preserve">At a conceptual level, Volchkov (2018) provides governance toolsets for decision-makers, stressing that frameworks must be practical and actionable to gain executive buy-in. Without such </w:t>
      </w:r>
      <w:r w:rsidR="00E95EE4" w:rsidRPr="00E07808">
        <w:rPr>
          <w:highlight w:val="yellow"/>
        </w:rPr>
        <w:t xml:space="preserve">a </w:t>
      </w:r>
      <w:r>
        <w:t xml:space="preserve">pragmatic orientation, governance risks being sidelined as a technical function. The reviewed studies collectively argue that frameworks gain traction and effectiveness when they demonstrate tangible contributions to </w:t>
      </w:r>
      <w:proofErr w:type="spellStart"/>
      <w:r w:rsidR="00E95EE4" w:rsidRPr="00E07808">
        <w:rPr>
          <w:highlight w:val="yellow"/>
        </w:rPr>
        <w:t>organisational</w:t>
      </w:r>
      <w:proofErr w:type="spellEnd"/>
      <w:r w:rsidR="00E95EE4" w:rsidRPr="00E07808">
        <w:rPr>
          <w:highlight w:val="yellow"/>
        </w:rPr>
        <w:t xml:space="preserve"> </w:t>
      </w:r>
      <w:r>
        <w:t>resilience, risk reduction, and value creation.</w:t>
      </w:r>
    </w:p>
    <w:p w14:paraId="0AAC9933" w14:textId="3064C719" w:rsidR="00A649D3" w:rsidRDefault="00E95EE4">
      <w:pPr>
        <w:pStyle w:val="NormalWeb"/>
      </w:pPr>
      <w:proofErr w:type="spellStart"/>
      <w:r w:rsidRPr="00E07808">
        <w:rPr>
          <w:highlight w:val="yellow"/>
        </w:rPr>
        <w:t>Synthesising</w:t>
      </w:r>
      <w:proofErr w:type="spellEnd"/>
      <w:r w:rsidRPr="00E07808">
        <w:rPr>
          <w:highlight w:val="yellow"/>
        </w:rPr>
        <w:t xml:space="preserve"> </w:t>
      </w:r>
      <w:r w:rsidR="002155BA">
        <w:t xml:space="preserve">across these contributions, several key insights emerge. First, COBIT provides robust governance structures, aligning IT with business and risk management priorities, while ITIL enhances operational resilience through structured service management and continual improvement. When used in tandem, they create a governance-operational synergy: COBIT offers the “why” and “what” of governance, while ITIL provides the “how” in terms of operational execution. Second, </w:t>
      </w:r>
      <w:proofErr w:type="spellStart"/>
      <w:r w:rsidRPr="00E07808">
        <w:rPr>
          <w:highlight w:val="yellow"/>
        </w:rPr>
        <w:t>organisational</w:t>
      </w:r>
      <w:proofErr w:type="spellEnd"/>
      <w:r w:rsidRPr="00E07808">
        <w:rPr>
          <w:highlight w:val="yellow"/>
        </w:rPr>
        <w:t xml:space="preserve"> </w:t>
      </w:r>
      <w:r w:rsidR="002155BA">
        <w:t xml:space="preserve">learning from incidents and integration of balanced scorecards </w:t>
      </w:r>
      <w:r w:rsidRPr="00E07808">
        <w:rPr>
          <w:highlight w:val="yellow"/>
        </w:rPr>
        <w:t>enhances</w:t>
      </w:r>
      <w:r w:rsidRPr="00E07808">
        <w:rPr>
          <w:highlight w:val="yellow"/>
        </w:rPr>
        <w:t xml:space="preserve"> </w:t>
      </w:r>
      <w:r w:rsidR="002155BA">
        <w:t xml:space="preserve">resilience by ensuring governance outcomes are visible, measurable, and </w:t>
      </w:r>
      <w:r w:rsidR="002155BA">
        <w:lastRenderedPageBreak/>
        <w:t>actionable. Third, governance must be adaptive, context-specific, and integrated with national and sectoral strategies to remain relevant in a dynamic cyber threat landscape.</w:t>
      </w:r>
    </w:p>
    <w:p w14:paraId="1A7DF313" w14:textId="435762FD" w:rsidR="00A649D3" w:rsidRDefault="002155BA">
      <w:pPr>
        <w:pStyle w:val="NormalWeb"/>
      </w:pPr>
      <w:r>
        <w:t xml:space="preserve">Despite these strengths, gaps remain in the literature. While frameworks such as COBIT and ITIL provide strong governance foundations, there is limited empirical evidence on their long-term impact on resilience outcomes, particularly in critical infrastructure sectors. Furthermore, while maturity models provide a roadmap, few studies empirically validate the link between governance maturity and reduced cyber incidents. Another gap is the underexplored role of cultural and </w:t>
      </w:r>
      <w:proofErr w:type="spellStart"/>
      <w:r w:rsidR="00E95EE4" w:rsidRPr="00E07808">
        <w:rPr>
          <w:highlight w:val="yellow"/>
        </w:rPr>
        <w:t>behavioural</w:t>
      </w:r>
      <w:proofErr w:type="spellEnd"/>
      <w:r w:rsidR="00E95EE4" w:rsidRPr="00E07808">
        <w:rPr>
          <w:highlight w:val="yellow"/>
        </w:rPr>
        <w:t xml:space="preserve"> </w:t>
      </w:r>
      <w:r>
        <w:t xml:space="preserve">factors in governance adoption, as highlighted by AlGhamdi et al. (2020). Future research could focus on developing empirically validated models linking governance maturity, cultural alignment, and resilience outcomes across diverse </w:t>
      </w:r>
      <w:proofErr w:type="spellStart"/>
      <w:r w:rsidR="00E95EE4" w:rsidRPr="00E07808">
        <w:rPr>
          <w:highlight w:val="yellow"/>
        </w:rPr>
        <w:t>organisational</w:t>
      </w:r>
      <w:proofErr w:type="spellEnd"/>
      <w:r w:rsidR="00E95EE4" w:rsidRPr="00E07808">
        <w:rPr>
          <w:highlight w:val="yellow"/>
        </w:rPr>
        <w:t xml:space="preserve"> </w:t>
      </w:r>
      <w:r>
        <w:t>contexts.</w:t>
      </w:r>
    </w:p>
    <w:p w14:paraId="6CE2E68F" w14:textId="04F2D267" w:rsidR="00A649D3" w:rsidRDefault="002155BA">
      <w:pPr>
        <w:pStyle w:val="NormalWeb"/>
      </w:pPr>
      <w:r>
        <w:t xml:space="preserve">In practice, </w:t>
      </w:r>
      <w:proofErr w:type="spellStart"/>
      <w:r w:rsidR="00E95EE4" w:rsidRPr="00E07808">
        <w:rPr>
          <w:highlight w:val="yellow"/>
        </w:rPr>
        <w:t>organisations</w:t>
      </w:r>
      <w:proofErr w:type="spellEnd"/>
      <w:r w:rsidR="00E95EE4" w:rsidRPr="00E07808">
        <w:rPr>
          <w:highlight w:val="yellow"/>
        </w:rPr>
        <w:t xml:space="preserve"> </w:t>
      </w:r>
      <w:r>
        <w:t xml:space="preserve">should adopt a hybrid approach, integrating COBIT’s governance strengths with ITIL’s operational adaptability, guided by continuous performance measurement and </w:t>
      </w:r>
      <w:proofErr w:type="spellStart"/>
      <w:r w:rsidR="00E95EE4" w:rsidRPr="00E07808">
        <w:rPr>
          <w:highlight w:val="yellow"/>
        </w:rPr>
        <w:t>organisational</w:t>
      </w:r>
      <w:proofErr w:type="spellEnd"/>
      <w:r w:rsidR="00E95EE4" w:rsidRPr="00E07808">
        <w:rPr>
          <w:highlight w:val="yellow"/>
        </w:rPr>
        <w:t xml:space="preserve"> </w:t>
      </w:r>
      <w:r>
        <w:t>learning. At the same time, collaboration with national frameworks and public–private initiatives remains essential to address sector-wide vulnerabilities. The reviewed literature makes it evident that resilience is not a static end-state but a dynamic capability that must be cultivated through governance, leadership, and adaptability.</w:t>
      </w:r>
    </w:p>
    <w:p w14:paraId="57B3E0CD" w14:textId="77777777" w:rsidR="00A649D3" w:rsidRDefault="002155BA">
      <w:pPr>
        <w:pStyle w:val="NormalWeb"/>
        <w:rPr>
          <w:b/>
          <w:bCs/>
        </w:rPr>
      </w:pPr>
      <w:r>
        <w:rPr>
          <w:b/>
          <w:bCs/>
        </w:rPr>
        <w:t xml:space="preserve">Conclusion </w:t>
      </w:r>
    </w:p>
    <w:p w14:paraId="2AC40532" w14:textId="727E69D2" w:rsidR="00A649D3" w:rsidRDefault="002155BA">
      <w:pPr>
        <w:pStyle w:val="NormalWeb"/>
      </w:pPr>
      <w:r>
        <w:t xml:space="preserve">In conclusion, the role of IT governance frameworks in enhancing cyber-resilience is multifaceted, encompassing strategy alignment, operational management, incident learning, and national-level coordination. COBIT and ITIL, when strategically implemented, provide complementary strengths that enable </w:t>
      </w:r>
      <w:proofErr w:type="spellStart"/>
      <w:r w:rsidR="00E95EE4" w:rsidRPr="00E07808">
        <w:rPr>
          <w:highlight w:val="yellow"/>
        </w:rPr>
        <w:t>organisations</w:t>
      </w:r>
      <w:proofErr w:type="spellEnd"/>
      <w:r w:rsidR="00E95EE4">
        <w:t xml:space="preserve"> </w:t>
      </w:r>
      <w:r>
        <w:t>to move beyond compliance and build adaptive, resilient systems. However, their success is contingent upon leadership engagement, cultural integration, and continuous maturity development. The synthesis of the reviewed literature suggests that future research and practice should focus on empirically validating resilience outcomes, addressing cultural dimensions, and fostering multi-level governance integration to ensure that IT governance frameworks remain effective enablers of cyber-resilience in an increasingly complex digital environment.</w:t>
      </w:r>
    </w:p>
    <w:p w14:paraId="632A0C89" w14:textId="77777777" w:rsidR="00A5128C" w:rsidRPr="00A5128C" w:rsidRDefault="00A5128C" w:rsidP="00A5128C">
      <w:pPr>
        <w:spacing w:after="200" w:line="276" w:lineRule="auto"/>
        <w:jc w:val="both"/>
        <w:outlineLvl w:val="0"/>
        <w:rPr>
          <w:rFonts w:ascii="Arial" w:eastAsia="Times New Roman" w:hAnsi="Arial" w:cs="Arial"/>
          <w:kern w:val="0"/>
          <w:sz w:val="22"/>
          <w:szCs w:val="22"/>
          <w:lang w:val="en-GB" w:eastAsia="en-GB"/>
          <w14:ligatures w14:val="none"/>
        </w:rPr>
      </w:pPr>
      <w:r w:rsidRPr="00A5128C">
        <w:rPr>
          <w:rFonts w:ascii="Arial" w:eastAsia="Times New Roman" w:hAnsi="Arial" w:cs="Arial"/>
          <w:b/>
          <w:bCs/>
          <w:kern w:val="0"/>
          <w:sz w:val="22"/>
          <w:szCs w:val="22"/>
          <w:lang w:val="en-GB" w:eastAsia="en-GB"/>
          <w14:ligatures w14:val="none"/>
        </w:rPr>
        <w:t>COMPETING INTERESTS DISCLAIMER:</w:t>
      </w:r>
    </w:p>
    <w:p w14:paraId="5F2FD2D0" w14:textId="77777777" w:rsidR="00A5128C" w:rsidRPr="00A5128C" w:rsidRDefault="00A5128C" w:rsidP="00A5128C">
      <w:pPr>
        <w:spacing w:after="200" w:line="276" w:lineRule="auto"/>
        <w:rPr>
          <w:rFonts w:ascii="Calibri" w:eastAsia="Times New Roman" w:hAnsi="Calibri" w:cs="Times New Roman"/>
          <w:kern w:val="0"/>
          <w:sz w:val="22"/>
          <w:szCs w:val="22"/>
          <w:lang w:val="en-GB" w:eastAsia="en-GB"/>
          <w14:ligatures w14:val="none"/>
        </w:rPr>
      </w:pPr>
      <w:r w:rsidRPr="00A5128C">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8B756BF" w14:textId="77777777" w:rsidR="00A5128C" w:rsidRPr="00A5128C" w:rsidRDefault="00A5128C" w:rsidP="00A5128C">
      <w:pPr>
        <w:spacing w:after="200" w:line="276" w:lineRule="auto"/>
        <w:rPr>
          <w:rFonts w:ascii="Calibri" w:eastAsia="Times New Roman" w:hAnsi="Calibri" w:cs="Times New Roman"/>
          <w:kern w:val="0"/>
          <w:sz w:val="22"/>
          <w:szCs w:val="22"/>
          <w:lang w:val="en-GB" w:eastAsia="en-GB"/>
          <w14:ligatures w14:val="none"/>
        </w:rPr>
      </w:pPr>
    </w:p>
    <w:p w14:paraId="080591A2" w14:textId="77777777" w:rsidR="00144633" w:rsidRPr="00270720" w:rsidRDefault="00144633" w:rsidP="00144633">
      <w:pPr>
        <w:rPr>
          <w:highlight w:val="yellow"/>
        </w:rPr>
      </w:pPr>
      <w:r w:rsidRPr="00270720">
        <w:rPr>
          <w:highlight w:val="yellow"/>
        </w:rPr>
        <w:t>Disclaimer (Artificial intelligence)</w:t>
      </w:r>
    </w:p>
    <w:p w14:paraId="58B0A514" w14:textId="77777777" w:rsidR="00144633" w:rsidRPr="00270720" w:rsidRDefault="00144633" w:rsidP="00144633">
      <w:pPr>
        <w:rPr>
          <w:highlight w:val="yellow"/>
        </w:rPr>
      </w:pPr>
    </w:p>
    <w:p w14:paraId="0BB9D712" w14:textId="77777777" w:rsidR="00144633" w:rsidRPr="00270720" w:rsidRDefault="00144633" w:rsidP="00144633">
      <w:pPr>
        <w:rPr>
          <w:highlight w:val="yellow"/>
        </w:rPr>
      </w:pPr>
      <w:r w:rsidRPr="00270720">
        <w:rPr>
          <w:highlight w:val="yellow"/>
        </w:rPr>
        <w:t xml:space="preserve">Option 1: </w:t>
      </w:r>
    </w:p>
    <w:p w14:paraId="737C891B" w14:textId="77777777" w:rsidR="00144633" w:rsidRPr="00270720" w:rsidRDefault="00144633" w:rsidP="00144633">
      <w:pPr>
        <w:rPr>
          <w:highlight w:val="yellow"/>
        </w:rPr>
      </w:pPr>
    </w:p>
    <w:p w14:paraId="0BA4BA29" w14:textId="77777777" w:rsidR="00144633" w:rsidRPr="00270720" w:rsidRDefault="00144633" w:rsidP="00144633">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4986795B" w14:textId="77777777" w:rsidR="00144633" w:rsidRPr="00270720" w:rsidRDefault="00144633" w:rsidP="00144633">
      <w:pPr>
        <w:rPr>
          <w:highlight w:val="yellow"/>
        </w:rPr>
      </w:pPr>
    </w:p>
    <w:p w14:paraId="46EA7651" w14:textId="77777777" w:rsidR="00144633" w:rsidRPr="00270720" w:rsidRDefault="00144633" w:rsidP="00144633">
      <w:pPr>
        <w:rPr>
          <w:highlight w:val="yellow"/>
        </w:rPr>
      </w:pPr>
      <w:r w:rsidRPr="00270720">
        <w:rPr>
          <w:highlight w:val="yellow"/>
        </w:rPr>
        <w:t xml:space="preserve">Option 2: </w:t>
      </w:r>
    </w:p>
    <w:p w14:paraId="2BC9EE99" w14:textId="77777777" w:rsidR="00144633" w:rsidRPr="00270720" w:rsidRDefault="00144633" w:rsidP="00144633">
      <w:pPr>
        <w:rPr>
          <w:highlight w:val="yellow"/>
        </w:rPr>
      </w:pPr>
    </w:p>
    <w:p w14:paraId="7CD33001" w14:textId="77777777" w:rsidR="00144633" w:rsidRPr="00270720" w:rsidRDefault="00144633" w:rsidP="0014463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E5A10E" w14:textId="77777777" w:rsidR="00144633" w:rsidRPr="00270720" w:rsidRDefault="00144633" w:rsidP="00144633">
      <w:pPr>
        <w:rPr>
          <w:highlight w:val="yellow"/>
        </w:rPr>
      </w:pPr>
    </w:p>
    <w:p w14:paraId="20607852" w14:textId="77777777" w:rsidR="00144633" w:rsidRPr="00270720" w:rsidRDefault="00144633" w:rsidP="00144633">
      <w:pPr>
        <w:rPr>
          <w:highlight w:val="yellow"/>
        </w:rPr>
      </w:pPr>
      <w:r w:rsidRPr="00270720">
        <w:rPr>
          <w:highlight w:val="yellow"/>
        </w:rPr>
        <w:t>Details of the AI usage are given below:</w:t>
      </w:r>
    </w:p>
    <w:p w14:paraId="2FF49A49" w14:textId="77777777" w:rsidR="00144633" w:rsidRPr="00270720" w:rsidRDefault="00144633" w:rsidP="00144633">
      <w:pPr>
        <w:rPr>
          <w:highlight w:val="yellow"/>
        </w:rPr>
      </w:pPr>
      <w:r w:rsidRPr="00270720">
        <w:rPr>
          <w:highlight w:val="yellow"/>
        </w:rPr>
        <w:t>1.</w:t>
      </w:r>
    </w:p>
    <w:p w14:paraId="55CFBAB6" w14:textId="77777777" w:rsidR="00144633" w:rsidRPr="00270720" w:rsidRDefault="00144633" w:rsidP="00144633">
      <w:pPr>
        <w:rPr>
          <w:highlight w:val="yellow"/>
        </w:rPr>
      </w:pPr>
      <w:r w:rsidRPr="00270720">
        <w:rPr>
          <w:highlight w:val="yellow"/>
        </w:rPr>
        <w:t>2.</w:t>
      </w:r>
    </w:p>
    <w:p w14:paraId="1D3AA9F1" w14:textId="77777777" w:rsidR="00144633" w:rsidRPr="00270720" w:rsidRDefault="00144633" w:rsidP="00144633">
      <w:r w:rsidRPr="00270720">
        <w:rPr>
          <w:highlight w:val="yellow"/>
        </w:rPr>
        <w:t>3.</w:t>
      </w:r>
    </w:p>
    <w:p w14:paraId="3C87A76B" w14:textId="77777777" w:rsidR="00A5128C" w:rsidRPr="00A5128C" w:rsidRDefault="00A5128C" w:rsidP="00A5128C">
      <w:pPr>
        <w:spacing w:after="200" w:line="276" w:lineRule="auto"/>
        <w:rPr>
          <w:rFonts w:ascii="Calibri" w:eastAsia="Times New Roman" w:hAnsi="Calibri" w:cs="Times New Roman"/>
          <w:kern w:val="0"/>
          <w:sz w:val="22"/>
          <w:szCs w:val="22"/>
          <w:lang w:val="en-GB" w:eastAsia="en-GB"/>
          <w14:ligatures w14:val="none"/>
        </w:rPr>
      </w:pPr>
    </w:p>
    <w:p w14:paraId="6FB25394" w14:textId="77777777" w:rsidR="00A5128C" w:rsidRDefault="00A5128C">
      <w:pPr>
        <w:pStyle w:val="NormalWeb"/>
      </w:pPr>
    </w:p>
    <w:p w14:paraId="3D081825" w14:textId="77777777" w:rsidR="00A649D3" w:rsidRDefault="002155BA">
      <w:pPr>
        <w:pStyle w:val="NormalWeb"/>
        <w:rPr>
          <w:b/>
          <w:bCs/>
        </w:rPr>
      </w:pPr>
      <w:r>
        <w:rPr>
          <w:b/>
          <w:bCs/>
        </w:rPr>
        <w:t>References</w:t>
      </w:r>
    </w:p>
    <w:p w14:paraId="7A931A21" w14:textId="77777777" w:rsidR="00A649D3" w:rsidRDefault="002155BA">
      <w:pPr>
        <w:pStyle w:val="NormalWeb"/>
        <w:numPr>
          <w:ilvl w:val="0"/>
          <w:numId w:val="1"/>
        </w:numPr>
      </w:pPr>
      <w:r>
        <w:t>Ahmad, A., Desouza, K. C., Maynard, S. B., Naseer, H., &amp; Baskerville, R. L. (2020). How the integration of cyber security management and incident response enables organizational learning. Journal of the Association for Information Science and Technology, 71(8), 939–953. https://doi.org/10.1002/asi.24308</w:t>
      </w:r>
    </w:p>
    <w:p w14:paraId="785E6A42" w14:textId="77777777" w:rsidR="00A649D3" w:rsidRDefault="002155BA">
      <w:pPr>
        <w:pStyle w:val="NormalWeb"/>
        <w:numPr>
          <w:ilvl w:val="0"/>
          <w:numId w:val="1"/>
        </w:numPr>
      </w:pPr>
      <w:r>
        <w:t>Al-Fatlawi, Q. A., Al Farttoosi, D. S., &amp; Almagtome, A. H. (2021). Accounting information security and IT governance under COBIT 5 framework: A case study. Webology, 18(Special Issue on Information Retrieval and Web Search), 294–310. https://doi.org/10.14704/web/v18si05/web18143</w:t>
      </w:r>
    </w:p>
    <w:p w14:paraId="591F52FF" w14:textId="77777777" w:rsidR="00A649D3" w:rsidRDefault="002155BA">
      <w:pPr>
        <w:pStyle w:val="NormalWeb"/>
        <w:numPr>
          <w:ilvl w:val="0"/>
          <w:numId w:val="1"/>
        </w:numPr>
      </w:pPr>
      <w:r>
        <w:t>AlGhamdi, S., Win, K. T., &amp; Vlahu-Gjorgievska, E. (2020). Information security governance challenges and critical success factors: Systematic review. Computers &amp; Security, 99, 102030. https://doi.org/10.1016/j.cose.2020.102030</w:t>
      </w:r>
    </w:p>
    <w:p w14:paraId="21BFE591" w14:textId="77777777" w:rsidR="00A649D3" w:rsidRDefault="002155BA">
      <w:pPr>
        <w:pStyle w:val="NormalWeb"/>
        <w:numPr>
          <w:ilvl w:val="0"/>
          <w:numId w:val="1"/>
        </w:numPr>
      </w:pPr>
      <w:r>
        <w:t>Herath, T. C., Herath, H. S. B., &amp; Cullum, D. (2022). An information security performance measurement tool for senior managers: Balanced scorecard integration for security governance and control frameworks. Information Systems Frontiers, 25(2), 681–721. https://doi.org/10.1007/s10796-022-10270-8</w:t>
      </w:r>
    </w:p>
    <w:p w14:paraId="59D6B8DA" w14:textId="77777777" w:rsidR="00A649D3" w:rsidRDefault="002155BA">
      <w:pPr>
        <w:pStyle w:val="NormalWeb"/>
        <w:numPr>
          <w:ilvl w:val="0"/>
          <w:numId w:val="1"/>
        </w:numPr>
      </w:pPr>
      <w:r>
        <w:lastRenderedPageBreak/>
        <w:t>Maleh, Y., Zaydi, M., Sahid, A., &amp; Ezzati, A. (2021). Building a maturity framework for information security governance through an empirical study in organizations. In Research anthology on artificial intelligence applications in security (pp. 143–173). IGI Global. https://doi.org/10.4018/978-1-7998-7705-9.ch008</w:t>
      </w:r>
    </w:p>
    <w:p w14:paraId="1D7E607C" w14:textId="77777777" w:rsidR="00A649D3" w:rsidRDefault="002155BA">
      <w:pPr>
        <w:pStyle w:val="NormalWeb"/>
        <w:numPr>
          <w:ilvl w:val="0"/>
          <w:numId w:val="1"/>
        </w:numPr>
      </w:pPr>
      <w:r>
        <w:t>Melaku, H. M. (2023a). Investigating potential vulnerability of critical infrastructure and way forward—Recommendations to enhance security and resilience. Biomedical Science and Clinical Research, 2(1), 61–67. https://doi.org/10.32553/bmscr.v2i1.176</w:t>
      </w:r>
    </w:p>
    <w:p w14:paraId="14482DFF" w14:textId="77777777" w:rsidR="00A649D3" w:rsidRDefault="002155BA">
      <w:pPr>
        <w:pStyle w:val="NormalWeb"/>
        <w:numPr>
          <w:ilvl w:val="0"/>
          <w:numId w:val="1"/>
        </w:numPr>
      </w:pPr>
      <w:r>
        <w:t>Melaku, H. M. (2023b). Context-based and adaptive cybersecurity risk management framework. Risks, 11(5), 101. https://doi.org/10.3390/risks11050101</w:t>
      </w:r>
    </w:p>
    <w:p w14:paraId="301944E9" w14:textId="77777777" w:rsidR="00A649D3" w:rsidRDefault="002155BA">
      <w:pPr>
        <w:pStyle w:val="NormalWeb"/>
        <w:numPr>
          <w:ilvl w:val="0"/>
          <w:numId w:val="1"/>
        </w:numPr>
      </w:pPr>
      <w:r>
        <w:t>Ponnusamy, V., Jhanjhi, N. Z., &amp; Humayun, M. (2020). Fostering public-private partnership: Between governments and technologists in developing national cybersecurity framework. In Employing recent technologies for improved digital governance (pp. 237–255). IGI Global. https://doi.org/10.4018/978-1-7998-1851-9.ch014</w:t>
      </w:r>
    </w:p>
    <w:p w14:paraId="54757E1A" w14:textId="77777777" w:rsidR="00A649D3" w:rsidRDefault="002155BA">
      <w:pPr>
        <w:pStyle w:val="NormalWeb"/>
        <w:numPr>
          <w:ilvl w:val="0"/>
          <w:numId w:val="1"/>
        </w:numPr>
      </w:pPr>
      <w:r>
        <w:t>Rama, A. K., &amp; Eric, G. (2020). Evaluation of IT governance implementation using COBIT 5 framework and ISO 38500 at telecommunication industries. In Proceedings of the 2020 International Conference on Information Management and Technology (ICIMTech) (pp. 453–457). IEEE. https://doi.org/10.1109/ICIMTech50083.2020.9211270</w:t>
      </w:r>
    </w:p>
    <w:p w14:paraId="3A739505" w14:textId="77777777" w:rsidR="00A649D3" w:rsidRDefault="002155BA">
      <w:pPr>
        <w:pStyle w:val="NormalWeb"/>
        <w:numPr>
          <w:ilvl w:val="0"/>
          <w:numId w:val="1"/>
        </w:numPr>
      </w:pPr>
      <w:r>
        <w:t>Schinagl, S., &amp; Abbas, S. (2020). What do we know about information security governance? “From the basement to the boardroom”: Towards digital security governance. Information &amp; Computer Security, 28(2), 261–292. https://doi.org/10.1108/ICS-01-2019-0013</w:t>
      </w:r>
    </w:p>
    <w:p w14:paraId="7F28B808" w14:textId="77777777" w:rsidR="00A649D3" w:rsidRDefault="002155BA">
      <w:pPr>
        <w:pStyle w:val="NormalWeb"/>
        <w:numPr>
          <w:ilvl w:val="0"/>
          <w:numId w:val="1"/>
        </w:numPr>
      </w:pPr>
      <w:r>
        <w:t>Snow, S. (2020). A qualitative study of strategy-driven, information security governance (ISG) (Doctoral dissertation, Colorado Technical University). ProQuest Dissertations Publishing.</w:t>
      </w:r>
    </w:p>
    <w:p w14:paraId="5828F53A" w14:textId="77777777" w:rsidR="00A649D3" w:rsidRDefault="002155BA">
      <w:pPr>
        <w:pStyle w:val="NormalWeb"/>
        <w:numPr>
          <w:ilvl w:val="0"/>
          <w:numId w:val="1"/>
        </w:numPr>
      </w:pPr>
      <w:r>
        <w:t>Volchkov, A. (2018). Information security governance: Framework and toolset for CISOs and decision makers. Auerbach Publications.</w:t>
      </w:r>
    </w:p>
    <w:p w14:paraId="3654A8AF" w14:textId="77777777" w:rsidR="00A649D3" w:rsidRDefault="002155BA">
      <w:pPr>
        <w:pStyle w:val="NormalWeb"/>
        <w:numPr>
          <w:ilvl w:val="0"/>
          <w:numId w:val="1"/>
        </w:numPr>
      </w:pPr>
      <w:r>
        <w:t>Wong, C. K., Maynard, S. B., Ahmad, A., &amp; Naseer, H. (2020). Information security governance: A process model and pilot case study. In Proceedings of the 41st International Conference on Information Systems (ICIS 2020), Hyderabad, India, 13–16 December 2020. Association for Information Systems.</w:t>
      </w:r>
    </w:p>
    <w:p w14:paraId="68D809A7" w14:textId="4882CA27" w:rsidR="00A649D3" w:rsidRDefault="002155BA">
      <w:pPr>
        <w:pStyle w:val="NormalWeb"/>
        <w:numPr>
          <w:ilvl w:val="0"/>
          <w:numId w:val="1"/>
        </w:numPr>
      </w:pPr>
      <w:r>
        <w:t xml:space="preserve">Yasin, M., Arman, A. A., Edward, I. J. M., &amp; Shalannanda, W. (2020). Designing information security governance recommendations and roadmap using COBIT 2019 framework and ISO 27001:2013 (Case study Ditreskrimsus Polda XYZ). In Proceedings of the 2020 14th International Conference on Telecommunication Systems, Services, and Applications (TSSA), Bandung, Indonesia, 4–5 November 2020. IEEE. </w:t>
      </w:r>
      <w:hyperlink r:id="rId7" w:history="1">
        <w:r w:rsidR="009925E0" w:rsidRPr="0083057D">
          <w:rPr>
            <w:rStyle w:val="Hyperlink"/>
            <w:sz w:val="24"/>
          </w:rPr>
          <w:t>https://doi.org/10.1109/TSSA51342.2020.9310780</w:t>
        </w:r>
      </w:hyperlink>
    </w:p>
    <w:p w14:paraId="08C6F6FE" w14:textId="5401F828" w:rsidR="009925E0" w:rsidRDefault="009925E0" w:rsidP="009925E0">
      <w:pPr>
        <w:pStyle w:val="NormalWeb"/>
        <w:numPr>
          <w:ilvl w:val="0"/>
          <w:numId w:val="1"/>
        </w:numPr>
      </w:pPr>
      <w:proofErr w:type="spellStart"/>
      <w:r w:rsidRPr="009925E0">
        <w:t>Almaqtari</w:t>
      </w:r>
      <w:proofErr w:type="spellEnd"/>
      <w:r w:rsidRPr="009925E0">
        <w:t>, F. A., Yahya, A. T., Al-</w:t>
      </w:r>
      <w:proofErr w:type="spellStart"/>
      <w:r w:rsidRPr="009925E0">
        <w:t>Maskari</w:t>
      </w:r>
      <w:proofErr w:type="spellEnd"/>
      <w:r w:rsidRPr="009925E0">
        <w:t>, N., Farhan, N. H., &amp; Al-</w:t>
      </w:r>
      <w:proofErr w:type="spellStart"/>
      <w:r w:rsidRPr="009925E0">
        <w:t>Aamri</w:t>
      </w:r>
      <w:proofErr w:type="spellEnd"/>
      <w:r w:rsidRPr="009925E0">
        <w:t>, A. M. Y. Y. (2025). Assessing the Integrated Role of IT Governance, Fintech, and Blockchain in Enhancing Sustainability Performance and Mitigating Organizational Risk. Risks, 13(6), 105.</w:t>
      </w:r>
      <w:r w:rsidR="002155BA">
        <w:t xml:space="preserve"> </w:t>
      </w:r>
    </w:p>
    <w:p w14:paraId="447932D6" w14:textId="76AE842A" w:rsidR="009925E0" w:rsidRDefault="004C76C3" w:rsidP="004C76C3">
      <w:pPr>
        <w:pStyle w:val="NormalWeb"/>
        <w:ind w:left="720"/>
      </w:pPr>
      <w:r w:rsidRPr="004C76C3">
        <w:rPr>
          <w:highlight w:val="yellow"/>
        </w:rPr>
        <w:t xml:space="preserve">16. </w:t>
      </w:r>
      <w:r w:rsidRPr="00E07808">
        <w:rPr>
          <w:highlight w:val="yellow"/>
        </w:rPr>
        <w:t>Kaur, R., Gabrijelčič, D., &amp; Klobučar, T. (2023). Artificial intelligence for cybersecurity: Literature review and future research directions. Information Fusion, 97, 101804.</w:t>
      </w:r>
      <w:r>
        <w:t xml:space="preserve">  </w:t>
      </w:r>
      <w:r w:rsidRPr="004C76C3">
        <w:tab/>
      </w:r>
      <w:r>
        <w:t xml:space="preserve">17. </w:t>
      </w:r>
      <w:proofErr w:type="spellStart"/>
      <w:r w:rsidRPr="00E07808">
        <w:rPr>
          <w:highlight w:val="yellow"/>
        </w:rPr>
        <w:t>AlDaajeh</w:t>
      </w:r>
      <w:proofErr w:type="spellEnd"/>
      <w:r w:rsidRPr="00E07808">
        <w:rPr>
          <w:highlight w:val="yellow"/>
        </w:rPr>
        <w:t xml:space="preserve">, S., </w:t>
      </w:r>
      <w:proofErr w:type="spellStart"/>
      <w:r w:rsidRPr="00E07808">
        <w:rPr>
          <w:highlight w:val="yellow"/>
        </w:rPr>
        <w:t>Saleous</w:t>
      </w:r>
      <w:proofErr w:type="spellEnd"/>
      <w:r w:rsidRPr="00E07808">
        <w:rPr>
          <w:highlight w:val="yellow"/>
        </w:rPr>
        <w:t xml:space="preserve">, H., </w:t>
      </w:r>
      <w:proofErr w:type="spellStart"/>
      <w:r w:rsidRPr="00E07808">
        <w:rPr>
          <w:highlight w:val="yellow"/>
        </w:rPr>
        <w:t>Alrabaee</w:t>
      </w:r>
      <w:proofErr w:type="spellEnd"/>
      <w:r w:rsidRPr="00E07808">
        <w:rPr>
          <w:highlight w:val="yellow"/>
        </w:rPr>
        <w:t xml:space="preserve">, S., Barka, E., Breitinger, F., &amp; </w:t>
      </w:r>
      <w:r w:rsidRPr="00E07808">
        <w:rPr>
          <w:highlight w:val="yellow"/>
        </w:rPr>
        <w:lastRenderedPageBreak/>
        <w:t>Choo, K. K. R. (2022). The role of national cybersecurity strategies on the improvement of cybersecurity education. Computers &amp; Security, 119, 102754.</w:t>
      </w:r>
      <w:r>
        <w:t xml:space="preserve">  </w:t>
      </w:r>
    </w:p>
    <w:p w14:paraId="5E8EB4C9" w14:textId="45B5158F" w:rsidR="004C76C3" w:rsidRDefault="004C76C3" w:rsidP="004C76C3">
      <w:pPr>
        <w:pStyle w:val="NormalWeb"/>
        <w:ind w:left="720"/>
      </w:pPr>
      <w:r>
        <w:t xml:space="preserve">18. </w:t>
      </w:r>
      <w:proofErr w:type="spellStart"/>
      <w:r w:rsidRPr="00E07808">
        <w:rPr>
          <w:highlight w:val="yellow"/>
        </w:rPr>
        <w:t>Rusman</w:t>
      </w:r>
      <w:proofErr w:type="spellEnd"/>
      <w:r w:rsidRPr="00E07808">
        <w:rPr>
          <w:highlight w:val="yellow"/>
        </w:rPr>
        <w:t xml:space="preserve">, A., </w:t>
      </w:r>
      <w:proofErr w:type="spellStart"/>
      <w:r w:rsidRPr="00E07808">
        <w:rPr>
          <w:highlight w:val="yellow"/>
        </w:rPr>
        <w:t>Nadlifatin</w:t>
      </w:r>
      <w:proofErr w:type="spellEnd"/>
      <w:r w:rsidRPr="00E07808">
        <w:rPr>
          <w:highlight w:val="yellow"/>
        </w:rPr>
        <w:t xml:space="preserve">, R., &amp; </w:t>
      </w:r>
      <w:proofErr w:type="spellStart"/>
      <w:r w:rsidRPr="00E07808">
        <w:rPr>
          <w:highlight w:val="yellow"/>
        </w:rPr>
        <w:t>Subriadi</w:t>
      </w:r>
      <w:proofErr w:type="spellEnd"/>
      <w:r w:rsidRPr="00E07808">
        <w:rPr>
          <w:highlight w:val="yellow"/>
        </w:rPr>
        <w:t xml:space="preserve">, A. P. (2022). Information system audit using COBIT and ITIL framework: literature review. </w:t>
      </w:r>
      <w:proofErr w:type="spellStart"/>
      <w:r w:rsidRPr="00E07808">
        <w:rPr>
          <w:highlight w:val="yellow"/>
        </w:rPr>
        <w:t>Sinkron</w:t>
      </w:r>
      <w:proofErr w:type="spellEnd"/>
      <w:r w:rsidRPr="00E07808">
        <w:rPr>
          <w:highlight w:val="yellow"/>
        </w:rPr>
        <w:t xml:space="preserve">: </w:t>
      </w:r>
      <w:proofErr w:type="spellStart"/>
      <w:r w:rsidRPr="00E07808">
        <w:rPr>
          <w:highlight w:val="yellow"/>
        </w:rPr>
        <w:t>jurnal</w:t>
      </w:r>
      <w:proofErr w:type="spellEnd"/>
      <w:r w:rsidRPr="00E07808">
        <w:rPr>
          <w:highlight w:val="yellow"/>
        </w:rPr>
        <w:t xml:space="preserve"> dan </w:t>
      </w:r>
      <w:proofErr w:type="spellStart"/>
      <w:r w:rsidRPr="00E07808">
        <w:rPr>
          <w:highlight w:val="yellow"/>
        </w:rPr>
        <w:t>penelitian</w:t>
      </w:r>
      <w:proofErr w:type="spellEnd"/>
      <w:r w:rsidRPr="00E07808">
        <w:rPr>
          <w:highlight w:val="yellow"/>
        </w:rPr>
        <w:t xml:space="preserve"> </w:t>
      </w:r>
      <w:proofErr w:type="spellStart"/>
      <w:r w:rsidRPr="00E07808">
        <w:rPr>
          <w:highlight w:val="yellow"/>
        </w:rPr>
        <w:t>teknik</w:t>
      </w:r>
      <w:proofErr w:type="spellEnd"/>
      <w:r w:rsidRPr="00E07808">
        <w:rPr>
          <w:highlight w:val="yellow"/>
        </w:rPr>
        <w:t xml:space="preserve"> </w:t>
      </w:r>
      <w:proofErr w:type="spellStart"/>
      <w:r w:rsidRPr="00E07808">
        <w:rPr>
          <w:highlight w:val="yellow"/>
        </w:rPr>
        <w:t>informatika</w:t>
      </w:r>
      <w:proofErr w:type="spellEnd"/>
      <w:r w:rsidRPr="00E07808">
        <w:rPr>
          <w:highlight w:val="yellow"/>
        </w:rPr>
        <w:t>, 6(3), 799-810</w:t>
      </w:r>
      <w:r w:rsidRPr="004C76C3">
        <w:t>.</w:t>
      </w:r>
      <w:r>
        <w:t xml:space="preserve">  </w:t>
      </w:r>
    </w:p>
    <w:sectPr w:rsidR="004C76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F4BB0" w14:textId="77777777" w:rsidR="004C5C49" w:rsidRDefault="004C5C49" w:rsidP="00695193">
      <w:pPr>
        <w:spacing w:after="0" w:line="240" w:lineRule="auto"/>
      </w:pPr>
      <w:r>
        <w:separator/>
      </w:r>
    </w:p>
  </w:endnote>
  <w:endnote w:type="continuationSeparator" w:id="0">
    <w:p w14:paraId="6108DCAB" w14:textId="77777777" w:rsidR="004C5C49" w:rsidRDefault="004C5C49" w:rsidP="0069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1DAA" w14:textId="77777777" w:rsidR="00695193" w:rsidRDefault="00695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12F0" w14:textId="77777777" w:rsidR="00695193" w:rsidRDefault="00695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6479" w14:textId="77777777" w:rsidR="00695193" w:rsidRDefault="0069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302E" w14:textId="77777777" w:rsidR="004C5C49" w:rsidRDefault="004C5C49" w:rsidP="00695193">
      <w:pPr>
        <w:spacing w:after="0" w:line="240" w:lineRule="auto"/>
      </w:pPr>
      <w:r>
        <w:separator/>
      </w:r>
    </w:p>
  </w:footnote>
  <w:footnote w:type="continuationSeparator" w:id="0">
    <w:p w14:paraId="5C3E50AB" w14:textId="77777777" w:rsidR="004C5C49" w:rsidRDefault="004C5C49" w:rsidP="0069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AEEE" w14:textId="670E3883" w:rsidR="00695193" w:rsidRDefault="00000000">
    <w:pPr>
      <w:pStyle w:val="Header"/>
    </w:pPr>
    <w:r>
      <w:rPr>
        <w:noProof/>
      </w:rPr>
      <w:pict w14:anchorId="72ACB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043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30E5" w14:textId="7EA684E8" w:rsidR="00695193" w:rsidRDefault="00000000">
    <w:pPr>
      <w:pStyle w:val="Header"/>
    </w:pPr>
    <w:r>
      <w:rPr>
        <w:noProof/>
      </w:rPr>
      <w:pict w14:anchorId="650EA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043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B872" w14:textId="44A680A6" w:rsidR="00695193" w:rsidRDefault="00000000">
    <w:pPr>
      <w:pStyle w:val="Header"/>
    </w:pPr>
    <w:r>
      <w:rPr>
        <w:noProof/>
      </w:rPr>
      <w:pict w14:anchorId="03C55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043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017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40811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sTAwNDezNDczMDNX0lEKTi0uzszPAykwqgUAdQXMkCwAAAA="/>
  </w:docVars>
  <w:rsids>
    <w:rsidRoot w:val="00A649D3"/>
    <w:rsid w:val="00144633"/>
    <w:rsid w:val="00165C22"/>
    <w:rsid w:val="002155BA"/>
    <w:rsid w:val="00312AEE"/>
    <w:rsid w:val="003542B9"/>
    <w:rsid w:val="004C5C49"/>
    <w:rsid w:val="004C76C3"/>
    <w:rsid w:val="005735DF"/>
    <w:rsid w:val="00695193"/>
    <w:rsid w:val="007F2EFF"/>
    <w:rsid w:val="00936F33"/>
    <w:rsid w:val="009925E0"/>
    <w:rsid w:val="00A5128C"/>
    <w:rsid w:val="00A649D3"/>
    <w:rsid w:val="00AA6E50"/>
    <w:rsid w:val="00B02B40"/>
    <w:rsid w:val="00B67C59"/>
    <w:rsid w:val="00CA6DDE"/>
    <w:rsid w:val="00D22F3A"/>
    <w:rsid w:val="00E07808"/>
    <w:rsid w:val="00E95EE4"/>
    <w:rsid w:val="00EC281F"/>
    <w:rsid w:val="00F1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2F3CA"/>
  <w15:docId w15:val="{1FED6749-4031-4F18-BB33-BF87CBA0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qFormat/>
    <w:rPr>
      <w:rFonts w:ascii="Times New Roman" w:eastAsia="SimSun" w:hAnsi="Times New Roman" w:cs="Times New Roman"/>
      <w:i/>
      <w:sz w:val="21"/>
    </w:rPr>
  </w:style>
  <w:style w:type="character" w:styleId="Hyperlink">
    <w:name w:val="Hyperlink"/>
    <w:basedOn w:val="DefaultParagraphFont"/>
    <w:uiPriority w:val="99"/>
    <w:rPr>
      <w:rFonts w:ascii="Times New Roman" w:eastAsia="SimSun" w:hAnsi="Times New Roman" w:cs="Times New Roman"/>
      <w:color w:val="0000FF"/>
      <w:sz w:val="21"/>
      <w:u w:val="single"/>
    </w:rPr>
  </w:style>
  <w:style w:type="character" w:customStyle="1" w:styleId="UnresolvedMention1">
    <w:name w:val="Unresolved Mention1"/>
    <w:basedOn w:val="DefaultParagraphFont"/>
    <w:uiPriority w:val="99"/>
    <w:semiHidden/>
    <w:unhideWhenUsed/>
    <w:rsid w:val="003542B9"/>
    <w:rPr>
      <w:color w:val="605E5C"/>
      <w:shd w:val="clear" w:color="auto" w:fill="E1DFDD"/>
    </w:rPr>
  </w:style>
  <w:style w:type="paragraph" w:styleId="BalloonText">
    <w:name w:val="Balloon Text"/>
    <w:basedOn w:val="Normal"/>
    <w:link w:val="BalloonTextChar"/>
    <w:uiPriority w:val="99"/>
    <w:semiHidden/>
    <w:unhideWhenUsed/>
    <w:rsid w:val="006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193"/>
    <w:rPr>
      <w:rFonts w:ascii="Segoe UI" w:hAnsi="Segoe UI" w:cs="Segoe UI"/>
      <w:sz w:val="18"/>
      <w:szCs w:val="18"/>
    </w:rPr>
  </w:style>
  <w:style w:type="paragraph" w:styleId="Header">
    <w:name w:val="header"/>
    <w:basedOn w:val="Normal"/>
    <w:link w:val="HeaderChar"/>
    <w:uiPriority w:val="99"/>
    <w:unhideWhenUsed/>
    <w:rsid w:val="0069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193"/>
  </w:style>
  <w:style w:type="paragraph" w:styleId="Footer">
    <w:name w:val="footer"/>
    <w:basedOn w:val="Normal"/>
    <w:link w:val="FooterChar"/>
    <w:uiPriority w:val="99"/>
    <w:unhideWhenUsed/>
    <w:rsid w:val="00695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93"/>
  </w:style>
  <w:style w:type="paragraph" w:styleId="Revision">
    <w:name w:val="Revision"/>
    <w:hidden/>
    <w:uiPriority w:val="99"/>
    <w:semiHidden/>
    <w:rsid w:val="00E95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09/TSSA51342.2020.931078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5114</Words>
  <Characters>34627</Characters>
  <Application>Microsoft Office Word</Application>
  <DocSecurity>0</DocSecurity>
  <Lines>487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 Acc 101</cp:lastModifiedBy>
  <cp:revision>14</cp:revision>
  <dcterms:created xsi:type="dcterms:W3CDTF">2025-09-17T09:40:00Z</dcterms:created>
  <dcterms:modified xsi:type="dcterms:W3CDTF">2025-09-25T12:02:00Z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98ce7bd97ed344f5b191572083da1593</vt:lpwstr>
  </property>
  <property fmtid="{D5CDD505-2E9C-101B-9397-08002B2CF9AE}" pid="3" name="GrammarlyDocumentId">
    <vt:lpwstr>a8af909d-c4d7-4e3e-b068-3489f04f6ce9</vt:lpwstr>
  </property>
</Properties>
</file>