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69A86" w14:textId="77777777" w:rsidR="009D5564" w:rsidRPr="009D5564" w:rsidRDefault="009D5564" w:rsidP="009D5564">
      <w:pPr>
        <w:pStyle w:val="Author"/>
        <w:spacing w:line="240" w:lineRule="auto"/>
        <w:rPr>
          <w:rFonts w:ascii="Arial" w:hAnsi="Arial" w:cs="Arial"/>
          <w:bCs/>
          <w:iCs/>
          <w:kern w:val="28"/>
          <w:sz w:val="36"/>
        </w:rPr>
      </w:pPr>
      <w:r w:rsidRPr="009D5564">
        <w:rPr>
          <w:rFonts w:ascii="Arial" w:hAnsi="Arial" w:cs="Arial"/>
          <w:bCs/>
          <w:iCs/>
          <w:kern w:val="28"/>
          <w:sz w:val="36"/>
        </w:rPr>
        <w:t xml:space="preserve">Re-evaluation of Vehicular Heavy Metal Deposits on Roadside Soil in </w:t>
      </w:r>
      <w:proofErr w:type="spellStart"/>
      <w:r w:rsidRPr="009D5564">
        <w:rPr>
          <w:rFonts w:ascii="Arial" w:hAnsi="Arial" w:cs="Arial"/>
          <w:bCs/>
          <w:iCs/>
          <w:kern w:val="28"/>
          <w:sz w:val="36"/>
        </w:rPr>
        <w:t>Eket</w:t>
      </w:r>
      <w:proofErr w:type="spellEnd"/>
      <w:r w:rsidRPr="009D5564">
        <w:rPr>
          <w:rFonts w:ascii="Arial" w:hAnsi="Arial" w:cs="Arial"/>
          <w:bCs/>
          <w:iCs/>
          <w:kern w:val="28"/>
          <w:sz w:val="36"/>
        </w:rPr>
        <w:t xml:space="preserve">, </w:t>
      </w:r>
      <w:proofErr w:type="spellStart"/>
      <w:r w:rsidRPr="009D5564">
        <w:rPr>
          <w:rFonts w:ascii="Arial" w:hAnsi="Arial" w:cs="Arial"/>
          <w:bCs/>
          <w:iCs/>
          <w:kern w:val="28"/>
          <w:sz w:val="36"/>
        </w:rPr>
        <w:t>Akwa</w:t>
      </w:r>
      <w:proofErr w:type="spellEnd"/>
      <w:r>
        <w:rPr>
          <w:rFonts w:ascii="Arial" w:hAnsi="Arial" w:cs="Arial"/>
          <w:bCs/>
          <w:iCs/>
          <w:kern w:val="28"/>
          <w:sz w:val="36"/>
        </w:rPr>
        <w:t xml:space="preserve"> Ibom</w:t>
      </w:r>
      <w:r w:rsidRPr="009D5564">
        <w:rPr>
          <w:rFonts w:ascii="Arial" w:hAnsi="Arial" w:cs="Arial"/>
          <w:bCs/>
          <w:iCs/>
          <w:kern w:val="28"/>
          <w:sz w:val="36"/>
        </w:rPr>
        <w:t xml:space="preserve"> State</w:t>
      </w:r>
      <w:r w:rsidR="00C55E38">
        <w:rPr>
          <w:rFonts w:ascii="Arial" w:hAnsi="Arial" w:cs="Arial"/>
          <w:bCs/>
          <w:iCs/>
          <w:kern w:val="28"/>
          <w:sz w:val="36"/>
        </w:rPr>
        <w:t>,</w:t>
      </w:r>
      <w:r w:rsidRPr="009D5564">
        <w:rPr>
          <w:rFonts w:ascii="Arial" w:hAnsi="Arial" w:cs="Arial"/>
          <w:bCs/>
          <w:iCs/>
          <w:kern w:val="28"/>
          <w:sz w:val="36"/>
        </w:rPr>
        <w:t xml:space="preserve"> Nigeria</w:t>
      </w:r>
    </w:p>
    <w:p w14:paraId="78E2E217" w14:textId="77777777" w:rsidR="00A258C3" w:rsidRPr="00790ADA" w:rsidRDefault="00A258C3" w:rsidP="00441B6F">
      <w:pPr>
        <w:pStyle w:val="Author"/>
        <w:spacing w:line="240" w:lineRule="auto"/>
        <w:jc w:val="both"/>
        <w:rPr>
          <w:rFonts w:ascii="Arial" w:hAnsi="Arial" w:cs="Arial"/>
          <w:sz w:val="36"/>
        </w:rPr>
      </w:pPr>
    </w:p>
    <w:p w14:paraId="6E30133F" w14:textId="77777777" w:rsidR="00B01FCD" w:rsidRPr="00FB3A86" w:rsidRDefault="0001423A" w:rsidP="00441B6F">
      <w:pPr>
        <w:pStyle w:val="Copyright"/>
        <w:spacing w:after="0" w:line="240" w:lineRule="auto"/>
        <w:jc w:val="both"/>
        <w:rPr>
          <w:rFonts w:ascii="Arial" w:hAnsi="Arial" w:cs="Arial"/>
        </w:rPr>
        <w:sectPr w:rsidR="00B01FCD" w:rsidRPr="00FB3A86" w:rsidSect="0014117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15FBBA" wp14:editId="2466EB1C">
                <wp:extent cx="5303520" cy="635"/>
                <wp:effectExtent l="13335" t="11430" r="17145" b="1714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789C5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bookmarkStart w:id="0" w:name="_GoBack"/>
      <w:bookmarkEnd w:id="0"/>
    </w:p>
    <w:p w14:paraId="455F4F8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47B8AD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31B9ED3" w14:textId="77777777" w:rsidTr="001E44FE">
        <w:tc>
          <w:tcPr>
            <w:tcW w:w="9576" w:type="dxa"/>
            <w:shd w:val="clear" w:color="auto" w:fill="F2F2F2"/>
          </w:tcPr>
          <w:p w14:paraId="428A6A45" w14:textId="7FB36F18" w:rsidR="00505F06" w:rsidRPr="00CF02E3" w:rsidRDefault="00CF02E3" w:rsidP="0023724A">
            <w:pPr>
              <w:pStyle w:val="Body"/>
              <w:spacing w:after="0"/>
              <w:rPr>
                <w:rFonts w:ascii="Arial" w:eastAsia="Calibri" w:hAnsi="Arial" w:cs="Arial"/>
                <w:bCs/>
                <w:szCs w:val="22"/>
              </w:rPr>
            </w:pPr>
            <w:r w:rsidRPr="00CF02E3">
              <w:rPr>
                <w:rFonts w:ascii="Arial" w:eastAsia="Calibri" w:hAnsi="Arial" w:cs="Arial"/>
                <w:bCs/>
                <w:szCs w:val="22"/>
              </w:rPr>
              <w:t>This study assessed the level of contamination of selected heavy metals (HMs), including Cd,</w:t>
            </w:r>
            <w:r w:rsidR="00A74E4C">
              <w:rPr>
                <w:rFonts w:ascii="Arial" w:eastAsia="Calibri" w:hAnsi="Arial" w:cs="Arial"/>
                <w:bCs/>
                <w:szCs w:val="22"/>
              </w:rPr>
              <w:t xml:space="preserve"> Cr, Cu, Fe, Mn, Ni, Pb, and Zn at </w:t>
            </w:r>
            <w:r w:rsidR="00753DC1">
              <w:rPr>
                <w:rFonts w:ascii="Arial" w:eastAsia="Calibri" w:hAnsi="Arial" w:cs="Arial"/>
                <w:bCs/>
                <w:szCs w:val="22"/>
              </w:rPr>
              <w:t xml:space="preserve">four </w:t>
            </w:r>
            <w:r w:rsidR="00384B85">
              <w:rPr>
                <w:rFonts w:ascii="Arial" w:eastAsia="Calibri" w:hAnsi="Arial" w:cs="Arial"/>
                <w:bCs/>
                <w:szCs w:val="22"/>
              </w:rPr>
              <w:t>designated</w:t>
            </w:r>
            <w:r w:rsidR="00753DC1">
              <w:rPr>
                <w:rFonts w:ascii="Arial" w:eastAsia="Calibri" w:hAnsi="Arial" w:cs="Arial"/>
                <w:bCs/>
                <w:szCs w:val="22"/>
              </w:rPr>
              <w:t xml:space="preserve"> sampling</w:t>
            </w:r>
            <w:r w:rsidR="00A74E4C">
              <w:rPr>
                <w:rFonts w:ascii="Arial" w:eastAsia="Calibri" w:hAnsi="Arial" w:cs="Arial"/>
                <w:bCs/>
                <w:szCs w:val="22"/>
              </w:rPr>
              <w:t xml:space="preserve"> locations</w:t>
            </w:r>
            <w:r w:rsidR="00511E73">
              <w:rPr>
                <w:rFonts w:ascii="Arial" w:eastAsia="Calibri" w:hAnsi="Arial" w:cs="Arial"/>
                <w:bCs/>
                <w:szCs w:val="22"/>
              </w:rPr>
              <w:t>:</w:t>
            </w:r>
            <w:r w:rsidR="00A74E4C">
              <w:rPr>
                <w:rFonts w:ascii="Arial" w:eastAsia="Calibri" w:hAnsi="Arial" w:cs="Arial"/>
                <w:bCs/>
                <w:szCs w:val="22"/>
              </w:rPr>
              <w:t xml:space="preserve"> </w:t>
            </w:r>
            <w:r w:rsidR="00E33AF3" w:rsidRPr="00E33AF3">
              <w:rPr>
                <w:rFonts w:ascii="Arial" w:eastAsia="Calibri" w:hAnsi="Arial" w:cs="Arial"/>
                <w:bCs/>
                <w:szCs w:val="22"/>
              </w:rPr>
              <w:t>SP1, SP2, SP3 and SP4</w:t>
            </w:r>
            <w:r w:rsidRPr="00CF02E3">
              <w:rPr>
                <w:rFonts w:ascii="Arial" w:eastAsia="Calibri" w:hAnsi="Arial" w:cs="Arial"/>
                <w:bCs/>
                <w:szCs w:val="22"/>
              </w:rPr>
              <w:t xml:space="preserve"> in </w:t>
            </w:r>
            <w:proofErr w:type="spellStart"/>
            <w:r w:rsidRPr="00CF02E3">
              <w:rPr>
                <w:rFonts w:ascii="Arial" w:eastAsia="Calibri" w:hAnsi="Arial" w:cs="Arial"/>
                <w:bCs/>
                <w:szCs w:val="22"/>
              </w:rPr>
              <w:t>Eket</w:t>
            </w:r>
            <w:proofErr w:type="spellEnd"/>
            <w:r w:rsidRPr="00CF02E3">
              <w:rPr>
                <w:rFonts w:ascii="Arial" w:eastAsia="Calibri" w:hAnsi="Arial" w:cs="Arial"/>
                <w:bCs/>
                <w:szCs w:val="22"/>
              </w:rPr>
              <w:t xml:space="preserve">, a city in </w:t>
            </w:r>
            <w:proofErr w:type="spellStart"/>
            <w:r w:rsidRPr="00CF02E3">
              <w:rPr>
                <w:rFonts w:ascii="Arial" w:eastAsia="Calibri" w:hAnsi="Arial" w:cs="Arial"/>
                <w:bCs/>
                <w:szCs w:val="22"/>
              </w:rPr>
              <w:t>Akwa</w:t>
            </w:r>
            <w:proofErr w:type="spellEnd"/>
            <w:r w:rsidRPr="00CF02E3">
              <w:rPr>
                <w:rFonts w:ascii="Arial" w:eastAsia="Calibri" w:hAnsi="Arial" w:cs="Arial"/>
                <w:bCs/>
                <w:szCs w:val="22"/>
              </w:rPr>
              <w:t xml:space="preserve"> Ibom State of Nigeria. Roads</w:t>
            </w:r>
            <w:r w:rsidR="004F00E4">
              <w:rPr>
                <w:rFonts w:ascii="Arial" w:eastAsia="Calibri" w:hAnsi="Arial" w:cs="Arial"/>
                <w:bCs/>
                <w:szCs w:val="22"/>
              </w:rPr>
              <w:t>ide soil specimens were</w:t>
            </w:r>
            <w:r w:rsidRPr="00CF02E3">
              <w:rPr>
                <w:rFonts w:ascii="Arial" w:eastAsia="Calibri" w:hAnsi="Arial" w:cs="Arial"/>
                <w:bCs/>
                <w:szCs w:val="22"/>
              </w:rPr>
              <w:t xml:space="preserve"> gathered from these sites to form a composite sample. Standard method was used to analyze each soil sample</w:t>
            </w:r>
            <w:r w:rsidR="00503108">
              <w:rPr>
                <w:rFonts w:ascii="Arial" w:eastAsia="Calibri" w:hAnsi="Arial" w:cs="Arial"/>
                <w:bCs/>
                <w:szCs w:val="22"/>
              </w:rPr>
              <w:t>,</w:t>
            </w:r>
            <w:r w:rsidRPr="00CF02E3">
              <w:rPr>
                <w:rFonts w:ascii="Arial" w:eastAsia="Calibri" w:hAnsi="Arial" w:cs="Arial"/>
                <w:bCs/>
                <w:szCs w:val="22"/>
              </w:rPr>
              <w:t xml:space="preserve"> while the contamination levels of individual and combined HMs in soils were assessed by contamination factor (CF), geo-accumulation index (</w:t>
            </w:r>
            <w:proofErr w:type="spellStart"/>
            <w:r w:rsidRPr="00CF02E3">
              <w:rPr>
                <w:rFonts w:ascii="Arial" w:eastAsia="Calibri" w:hAnsi="Arial" w:cs="Arial"/>
                <w:bCs/>
                <w:szCs w:val="22"/>
              </w:rPr>
              <w:t>Igeo</w:t>
            </w:r>
            <w:proofErr w:type="spellEnd"/>
            <w:r w:rsidRPr="00CF02E3">
              <w:rPr>
                <w:rFonts w:ascii="Arial" w:eastAsia="Calibri" w:hAnsi="Arial" w:cs="Arial"/>
                <w:bCs/>
                <w:szCs w:val="22"/>
              </w:rPr>
              <w:t>), degree of contamination index (CDI), and pollution load index (PLI). The results revealed that all the HMs</w:t>
            </w:r>
            <w:r w:rsidR="00CD3ED9">
              <w:rPr>
                <w:rFonts w:ascii="Arial" w:eastAsia="Calibri" w:hAnsi="Arial" w:cs="Arial"/>
                <w:bCs/>
                <w:szCs w:val="22"/>
              </w:rPr>
              <w:t>,</w:t>
            </w:r>
            <w:r w:rsidRPr="00CF02E3">
              <w:rPr>
                <w:rFonts w:ascii="Arial" w:eastAsia="Calibri" w:hAnsi="Arial" w:cs="Arial"/>
                <w:bCs/>
                <w:szCs w:val="22"/>
              </w:rPr>
              <w:t xml:space="preserve"> except Cd</w:t>
            </w:r>
            <w:r w:rsidR="00086E8B">
              <w:rPr>
                <w:rFonts w:ascii="Arial" w:eastAsia="Calibri" w:hAnsi="Arial" w:cs="Arial"/>
                <w:bCs/>
                <w:szCs w:val="22"/>
              </w:rPr>
              <w:t>,</w:t>
            </w:r>
            <w:r w:rsidRPr="00CF02E3">
              <w:rPr>
                <w:rFonts w:ascii="Arial" w:eastAsia="Calibri" w:hAnsi="Arial" w:cs="Arial"/>
                <w:bCs/>
                <w:szCs w:val="22"/>
              </w:rPr>
              <w:t xml:space="preserve"> did not pose any environmental risk at all the sites, as CF and </w:t>
            </w:r>
            <w:proofErr w:type="spellStart"/>
            <w:r w:rsidRPr="00CF02E3">
              <w:rPr>
                <w:rFonts w:ascii="Arial" w:eastAsia="Calibri" w:hAnsi="Arial" w:cs="Arial"/>
                <w:bCs/>
                <w:szCs w:val="22"/>
              </w:rPr>
              <w:t>Igeo</w:t>
            </w:r>
            <w:proofErr w:type="spellEnd"/>
            <w:r w:rsidRPr="00CF02E3">
              <w:rPr>
                <w:rFonts w:ascii="Arial" w:eastAsia="Calibri" w:hAnsi="Arial" w:cs="Arial"/>
                <w:bCs/>
                <w:szCs w:val="22"/>
              </w:rPr>
              <w:t xml:space="preserve"> values for these metals were less than one respectively. However, Cd showed varying degrees of contamination across the sites</w:t>
            </w:r>
            <w:r w:rsidR="000A00FE">
              <w:rPr>
                <w:rFonts w:ascii="Arial" w:eastAsia="Calibri" w:hAnsi="Arial" w:cs="Arial"/>
                <w:bCs/>
                <w:szCs w:val="22"/>
              </w:rPr>
              <w:t>,</w:t>
            </w:r>
            <w:r w:rsidRPr="00CF02E3">
              <w:rPr>
                <w:rFonts w:ascii="Arial" w:eastAsia="Calibri" w:hAnsi="Arial" w:cs="Arial"/>
                <w:bCs/>
                <w:szCs w:val="22"/>
              </w:rPr>
              <w:t xml:space="preserve"> with a m</w:t>
            </w:r>
            <w:r w:rsidR="00F31077">
              <w:rPr>
                <w:rFonts w:ascii="Arial" w:eastAsia="Calibri" w:hAnsi="Arial" w:cs="Arial"/>
                <w:bCs/>
                <w:szCs w:val="22"/>
              </w:rPr>
              <w:t>oderate environmental risk at SP2</w:t>
            </w:r>
            <w:r w:rsidR="00B970BF">
              <w:rPr>
                <w:rFonts w:ascii="Arial" w:eastAsia="Calibri" w:hAnsi="Arial" w:cs="Arial"/>
                <w:bCs/>
                <w:szCs w:val="22"/>
              </w:rPr>
              <w:t xml:space="preserve"> and SP4</w:t>
            </w:r>
            <w:r w:rsidR="00474921">
              <w:rPr>
                <w:rFonts w:ascii="Arial" w:eastAsia="Calibri" w:hAnsi="Arial" w:cs="Arial"/>
                <w:bCs/>
                <w:szCs w:val="22"/>
              </w:rPr>
              <w:t>,</w:t>
            </w:r>
            <w:r w:rsidRPr="00CF02E3">
              <w:rPr>
                <w:rFonts w:ascii="Arial" w:eastAsia="Calibri" w:hAnsi="Arial" w:cs="Arial"/>
                <w:bCs/>
                <w:szCs w:val="22"/>
              </w:rPr>
              <w:t xml:space="preserve"> and a very strong environmental risk at </w:t>
            </w:r>
            <w:r w:rsidR="003C7B2C">
              <w:rPr>
                <w:rFonts w:ascii="Arial" w:eastAsia="Calibri" w:hAnsi="Arial" w:cs="Arial"/>
                <w:bCs/>
                <w:szCs w:val="22"/>
              </w:rPr>
              <w:t>SP1</w:t>
            </w:r>
            <w:r w:rsidRPr="00CF02E3">
              <w:rPr>
                <w:rFonts w:ascii="Arial" w:eastAsia="Calibri" w:hAnsi="Arial" w:cs="Arial"/>
                <w:bCs/>
                <w:szCs w:val="22"/>
              </w:rPr>
              <w:t xml:space="preserve"> and </w:t>
            </w:r>
            <w:r w:rsidR="003C7B2C">
              <w:rPr>
                <w:rFonts w:ascii="Arial" w:eastAsia="Calibri" w:hAnsi="Arial" w:cs="Arial"/>
                <w:bCs/>
                <w:szCs w:val="22"/>
              </w:rPr>
              <w:t>SP</w:t>
            </w:r>
            <w:r w:rsidR="00DC221A">
              <w:rPr>
                <w:rFonts w:ascii="Arial" w:eastAsia="Calibri" w:hAnsi="Arial" w:cs="Arial"/>
                <w:bCs/>
                <w:szCs w:val="22"/>
              </w:rPr>
              <w:t>3</w:t>
            </w:r>
            <w:r w:rsidRPr="00CF02E3">
              <w:rPr>
                <w:rFonts w:ascii="Arial" w:eastAsia="Calibri" w:hAnsi="Arial" w:cs="Arial"/>
                <w:bCs/>
                <w:szCs w:val="22"/>
              </w:rPr>
              <w:t>. The combined effect of the HMs, as assessed by the CDI and PLI</w:t>
            </w:r>
            <w:r w:rsidR="004563A3">
              <w:rPr>
                <w:rFonts w:ascii="Arial" w:eastAsia="Calibri" w:hAnsi="Arial" w:cs="Arial"/>
                <w:bCs/>
                <w:szCs w:val="22"/>
              </w:rPr>
              <w:t>,</w:t>
            </w:r>
            <w:r w:rsidRPr="00CF02E3">
              <w:rPr>
                <w:rFonts w:ascii="Arial" w:eastAsia="Calibri" w:hAnsi="Arial" w:cs="Arial"/>
                <w:bCs/>
                <w:szCs w:val="22"/>
              </w:rPr>
              <w:t xml:space="preserve"> showed differences, while CF and </w:t>
            </w:r>
            <w:proofErr w:type="spellStart"/>
            <w:r w:rsidRPr="00CF02E3">
              <w:rPr>
                <w:rFonts w:ascii="Arial" w:eastAsia="Calibri" w:hAnsi="Arial" w:cs="Arial"/>
                <w:bCs/>
                <w:szCs w:val="22"/>
              </w:rPr>
              <w:t>Igeo</w:t>
            </w:r>
            <w:proofErr w:type="spellEnd"/>
            <w:r w:rsidRPr="00CF02E3">
              <w:rPr>
                <w:rFonts w:ascii="Arial" w:eastAsia="Calibri" w:hAnsi="Arial" w:cs="Arial"/>
                <w:bCs/>
                <w:szCs w:val="22"/>
              </w:rPr>
              <w:t xml:space="preserve"> values for individual HMs were similar. The overall contamination at the sites</w:t>
            </w:r>
            <w:r w:rsidR="004563A3">
              <w:rPr>
                <w:rFonts w:ascii="Arial" w:eastAsia="Calibri" w:hAnsi="Arial" w:cs="Arial"/>
                <w:bCs/>
                <w:szCs w:val="22"/>
              </w:rPr>
              <w:t>,</w:t>
            </w:r>
            <w:r w:rsidRPr="00CF02E3">
              <w:rPr>
                <w:rFonts w:ascii="Arial" w:eastAsia="Calibri" w:hAnsi="Arial" w:cs="Arial"/>
                <w:bCs/>
                <w:szCs w:val="22"/>
              </w:rPr>
              <w:t xml:space="preserve"> based on CDI</w:t>
            </w:r>
            <w:r w:rsidR="004563A3">
              <w:rPr>
                <w:rFonts w:ascii="Arial" w:eastAsia="Calibri" w:hAnsi="Arial" w:cs="Arial"/>
                <w:bCs/>
                <w:szCs w:val="22"/>
              </w:rPr>
              <w:t>,</w:t>
            </w:r>
            <w:r w:rsidRPr="00CF02E3">
              <w:rPr>
                <w:rFonts w:ascii="Arial" w:eastAsia="Calibri" w:hAnsi="Arial" w:cs="Arial"/>
                <w:bCs/>
                <w:szCs w:val="22"/>
              </w:rPr>
              <w:t xml:space="preserve"> ranked as </w:t>
            </w:r>
            <m:oMath>
              <m:r>
                <w:rPr>
                  <w:rFonts w:ascii="Cambria Math" w:eastAsia="Calibri" w:hAnsi="Cambria Math" w:cs="Arial"/>
                  <w:szCs w:val="22"/>
                </w:rPr>
                <m:t xml:space="preserve">SP4&lt;SP2&lt;SP1&lt; </m:t>
              </m:r>
            </m:oMath>
            <w:r w:rsidR="00BB0EA3">
              <w:rPr>
                <w:rFonts w:ascii="Arial" w:eastAsia="Calibri" w:hAnsi="Arial" w:cs="Arial"/>
                <w:bCs/>
                <w:szCs w:val="22"/>
              </w:rPr>
              <w:t>SP3</w:t>
            </w:r>
            <w:r w:rsidRPr="00CF02E3">
              <w:rPr>
                <w:rFonts w:ascii="Arial" w:eastAsia="Calibri" w:hAnsi="Arial" w:cs="Arial"/>
                <w:bCs/>
                <w:szCs w:val="22"/>
              </w:rPr>
              <w:t>. The results suggest possible health risks for the populace in these vicinities due to Cd expo</w:t>
            </w:r>
            <w:r w:rsidR="004563A3">
              <w:rPr>
                <w:rFonts w:ascii="Arial" w:eastAsia="Calibri" w:hAnsi="Arial" w:cs="Arial"/>
                <w:bCs/>
                <w:szCs w:val="22"/>
              </w:rPr>
              <w:t>sure and recommend further investigation</w:t>
            </w:r>
            <w:r w:rsidRPr="00CF02E3">
              <w:rPr>
                <w:rFonts w:ascii="Arial" w:eastAsia="Calibri" w:hAnsi="Arial" w:cs="Arial"/>
                <w:bCs/>
                <w:szCs w:val="22"/>
              </w:rPr>
              <w:t xml:space="preserve"> into the health risks associated with Cd in the region.</w:t>
            </w:r>
            <w:r w:rsidR="006336C5" w:rsidRPr="00CF02E3">
              <w:rPr>
                <w:rFonts w:ascii="Arial" w:eastAsia="Calibri" w:hAnsi="Arial" w:cs="Arial"/>
                <w:bCs/>
                <w:szCs w:val="22"/>
                <w:lang w:val="en-GB"/>
              </w:rPr>
              <w:t xml:space="preserve">                  </w:t>
            </w:r>
          </w:p>
        </w:tc>
      </w:tr>
    </w:tbl>
    <w:p w14:paraId="65A8E29C" w14:textId="77777777" w:rsidR="00636EB2" w:rsidRDefault="00636EB2" w:rsidP="00441B6F">
      <w:pPr>
        <w:pStyle w:val="Body"/>
        <w:spacing w:after="0"/>
        <w:rPr>
          <w:rFonts w:ascii="Arial" w:hAnsi="Arial" w:cs="Arial"/>
          <w:i/>
        </w:rPr>
      </w:pPr>
    </w:p>
    <w:p w14:paraId="1B0A7256" w14:textId="77777777" w:rsidR="00301B45" w:rsidRDefault="00A24E7E" w:rsidP="00441B6F">
      <w:pPr>
        <w:pStyle w:val="Body"/>
        <w:spacing w:after="0"/>
        <w:rPr>
          <w:rFonts w:ascii="Arial" w:hAnsi="Arial" w:cs="Arial"/>
          <w:i/>
        </w:rPr>
      </w:pPr>
      <w:r>
        <w:rPr>
          <w:rFonts w:ascii="Arial" w:hAnsi="Arial" w:cs="Arial"/>
          <w:i/>
        </w:rPr>
        <w:t xml:space="preserve">Keywords: </w:t>
      </w:r>
      <w:r w:rsidR="00CA52D9" w:rsidRPr="00CA52D9">
        <w:rPr>
          <w:rFonts w:ascii="Arial" w:hAnsi="Arial" w:cs="Arial"/>
          <w:i/>
        </w:rPr>
        <w:t>Contamination Indices; Heavy Metals; Roadside Soil; Vehicular Emissions</w:t>
      </w:r>
    </w:p>
    <w:p w14:paraId="7AD103C9" w14:textId="77777777" w:rsidR="00790ADA" w:rsidRDefault="00CA52D9" w:rsidP="00441B6F">
      <w:pPr>
        <w:pStyle w:val="Body"/>
        <w:spacing w:after="0"/>
        <w:rPr>
          <w:rFonts w:ascii="Arial" w:hAnsi="Arial" w:cs="Arial"/>
          <w:i/>
        </w:rPr>
      </w:pPr>
      <w:r w:rsidRPr="00CA52D9">
        <w:rPr>
          <w:rFonts w:ascii="Arial" w:hAnsi="Arial" w:cs="Arial"/>
          <w:i/>
        </w:rPr>
        <w:t xml:space="preserve"> </w:t>
      </w:r>
    </w:p>
    <w:p w14:paraId="3F8B3F3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6D1D82">
        <w:rPr>
          <w:rFonts w:ascii="Arial" w:hAnsi="Arial" w:cs="Arial"/>
        </w:rPr>
        <w:t xml:space="preserve"> </w:t>
      </w:r>
    </w:p>
    <w:p w14:paraId="1C8A8FD6" w14:textId="44059076" w:rsidR="0038186F" w:rsidRDefault="009075B3" w:rsidP="009075B3">
      <w:pPr>
        <w:pStyle w:val="Body"/>
        <w:spacing w:after="0"/>
        <w:rPr>
          <w:rFonts w:ascii="Arial" w:eastAsia="Calibri" w:hAnsi="Arial" w:cs="Arial"/>
          <w:szCs w:val="22"/>
        </w:rPr>
      </w:pPr>
      <w:r w:rsidRPr="005544BB">
        <w:rPr>
          <w:rFonts w:ascii="Arial" w:eastAsia="Calibri" w:hAnsi="Arial" w:cs="Arial"/>
          <w:szCs w:val="22"/>
        </w:rPr>
        <w:t>Roadside soil pollution sources may be natural or anthropogenic. Natural sources may include increased dust storms as the wind blows dust into the environment</w:t>
      </w:r>
      <w:r w:rsidR="00831FCC">
        <w:rPr>
          <w:rFonts w:ascii="Arial" w:eastAsia="Calibri" w:hAnsi="Arial" w:cs="Arial"/>
          <w:szCs w:val="22"/>
        </w:rPr>
        <w:t xml:space="preserve">. </w:t>
      </w:r>
      <w:r w:rsidR="00831FCC" w:rsidRPr="005544BB">
        <w:rPr>
          <w:rFonts w:ascii="Arial" w:eastAsia="Calibri" w:hAnsi="Arial" w:cs="Arial"/>
          <w:szCs w:val="22"/>
        </w:rPr>
        <w:t>A</w:t>
      </w:r>
      <w:r w:rsidRPr="005544BB">
        <w:rPr>
          <w:rFonts w:ascii="Arial" w:eastAsia="Calibri" w:hAnsi="Arial" w:cs="Arial"/>
          <w:szCs w:val="22"/>
        </w:rPr>
        <w:t xml:space="preserve">nthropogenic sources include road construction and automobile activities, including leaks from car lubricants as well as wear and corrosion of vehicle components. </w:t>
      </w:r>
    </w:p>
    <w:p w14:paraId="0133FE2D" w14:textId="37FAC218" w:rsidR="00B401C7" w:rsidRDefault="00A22861" w:rsidP="00A22861">
      <w:pPr>
        <w:pStyle w:val="Body"/>
        <w:spacing w:after="0"/>
        <w:rPr>
          <w:rFonts w:ascii="Arial" w:eastAsia="Calibri" w:hAnsi="Arial" w:cs="Arial"/>
          <w:szCs w:val="22"/>
        </w:rPr>
      </w:pPr>
      <w:r w:rsidRPr="00AB3A56">
        <w:rPr>
          <w:rFonts w:ascii="Arial" w:eastAsia="Calibri" w:hAnsi="Arial" w:cs="Arial"/>
          <w:szCs w:val="22"/>
        </w:rPr>
        <w:t>O</w:t>
      </w:r>
      <w:r w:rsidR="00AB3A56" w:rsidRPr="00AB3A56">
        <w:rPr>
          <w:rFonts w:ascii="Arial" w:eastAsia="Calibri" w:hAnsi="Arial" w:cs="Arial"/>
          <w:szCs w:val="22"/>
        </w:rPr>
        <w:t xml:space="preserve">ne of the most </w:t>
      </w:r>
      <w:r w:rsidR="00A5297E" w:rsidRPr="00AB3A56">
        <w:rPr>
          <w:rFonts w:ascii="Arial" w:eastAsia="Calibri" w:hAnsi="Arial" w:cs="Arial"/>
          <w:szCs w:val="22"/>
        </w:rPr>
        <w:t>important</w:t>
      </w:r>
      <w:r w:rsidR="00AB3A56" w:rsidRPr="00AB3A56">
        <w:rPr>
          <w:rFonts w:ascii="Arial" w:eastAsia="Calibri" w:hAnsi="Arial" w:cs="Arial"/>
          <w:szCs w:val="22"/>
        </w:rPr>
        <w:t xml:space="preserve"> environmental problems </w:t>
      </w:r>
      <w:r w:rsidR="005F3ED3" w:rsidRPr="00AB3A56">
        <w:rPr>
          <w:rFonts w:ascii="Arial" w:eastAsia="Calibri" w:hAnsi="Arial" w:cs="Arial"/>
          <w:szCs w:val="22"/>
        </w:rPr>
        <w:t>initiated</w:t>
      </w:r>
      <w:r w:rsidR="00AB3A56" w:rsidRPr="00AB3A56">
        <w:rPr>
          <w:rFonts w:ascii="Arial" w:eastAsia="Calibri" w:hAnsi="Arial" w:cs="Arial"/>
          <w:szCs w:val="22"/>
        </w:rPr>
        <w:t xml:space="preserve"> by anthropogenic </w:t>
      </w:r>
      <w:r w:rsidR="00AB3A56" w:rsidRPr="0015011B">
        <w:rPr>
          <w:rFonts w:ascii="Arial" w:eastAsia="Calibri" w:hAnsi="Arial" w:cs="Arial"/>
          <w:szCs w:val="22"/>
        </w:rPr>
        <w:t>activities</w:t>
      </w:r>
      <w:r w:rsidR="00600F1E" w:rsidRPr="0015011B">
        <w:rPr>
          <w:rFonts w:ascii="Arial" w:eastAsia="Calibri" w:hAnsi="Arial" w:cs="Arial"/>
          <w:szCs w:val="22"/>
        </w:rPr>
        <w:t xml:space="preserve"> such as urban road</w:t>
      </w:r>
      <w:r w:rsidR="00AB3A56" w:rsidRPr="0015011B">
        <w:rPr>
          <w:rFonts w:ascii="Arial" w:eastAsia="Calibri" w:hAnsi="Arial" w:cs="Arial"/>
          <w:szCs w:val="22"/>
        </w:rPr>
        <w:t xml:space="preserve"> construction</w:t>
      </w:r>
      <w:r w:rsidRPr="0015011B">
        <w:rPr>
          <w:rFonts w:ascii="Arial" w:eastAsia="Calibri" w:hAnsi="Arial" w:cs="Arial"/>
          <w:szCs w:val="22"/>
        </w:rPr>
        <w:t xml:space="preserve"> is the release of heavy metals. </w:t>
      </w:r>
      <w:r w:rsidR="00987945" w:rsidRPr="0015011B">
        <w:rPr>
          <w:rFonts w:ascii="Arial" w:eastAsia="Calibri" w:hAnsi="Arial" w:cs="Arial"/>
          <w:szCs w:val="22"/>
        </w:rPr>
        <w:t>Emissions from heavy traffic have been reported to contain heavy metals like Pb, Cd, Zn</w:t>
      </w:r>
      <w:r w:rsidR="00567087">
        <w:rPr>
          <w:rFonts w:ascii="Arial" w:eastAsia="Calibri" w:hAnsi="Arial" w:cs="Arial"/>
          <w:szCs w:val="22"/>
        </w:rPr>
        <w:t>,</w:t>
      </w:r>
      <w:r w:rsidR="00987945" w:rsidRPr="0015011B">
        <w:rPr>
          <w:rFonts w:ascii="Arial" w:eastAsia="Calibri" w:hAnsi="Arial" w:cs="Arial"/>
          <w:szCs w:val="22"/>
        </w:rPr>
        <w:t xml:space="preserve"> </w:t>
      </w:r>
      <w:r w:rsidR="00987945" w:rsidRPr="00987945">
        <w:rPr>
          <w:rFonts w:ascii="Arial" w:eastAsia="Calibri" w:hAnsi="Arial" w:cs="Arial"/>
          <w:szCs w:val="22"/>
        </w:rPr>
        <w:t>and Ni</w:t>
      </w:r>
      <w:r w:rsidR="004D4D89">
        <w:rPr>
          <w:rFonts w:ascii="Arial" w:eastAsia="Calibri" w:hAnsi="Arial" w:cs="Arial"/>
          <w:szCs w:val="22"/>
        </w:rPr>
        <w:t>,</w:t>
      </w:r>
      <w:r w:rsidR="00987945" w:rsidRPr="00987945">
        <w:rPr>
          <w:rFonts w:ascii="Arial" w:eastAsia="Calibri" w:hAnsi="Arial" w:cs="Arial"/>
          <w:szCs w:val="22"/>
        </w:rPr>
        <w:t xml:space="preserve"> which are present </w:t>
      </w:r>
      <w:r w:rsidR="001B0D75">
        <w:rPr>
          <w:rFonts w:ascii="Arial" w:eastAsia="Calibri" w:hAnsi="Arial" w:cs="Arial"/>
          <w:szCs w:val="22"/>
        </w:rPr>
        <w:t>in the fuel as anti-knock agent</w:t>
      </w:r>
      <w:r w:rsidR="00987945" w:rsidRPr="00987945">
        <w:rPr>
          <w:rFonts w:ascii="Arial" w:eastAsia="Calibri" w:hAnsi="Arial" w:cs="Arial"/>
          <w:szCs w:val="22"/>
        </w:rPr>
        <w:t xml:space="preserve"> (Suzuki </w:t>
      </w:r>
      <w:r w:rsidR="00987945" w:rsidRPr="001B0D75">
        <w:rPr>
          <w:rFonts w:ascii="Arial" w:eastAsia="Calibri" w:hAnsi="Arial" w:cs="Arial"/>
          <w:i/>
          <w:szCs w:val="22"/>
        </w:rPr>
        <w:t>et al</w:t>
      </w:r>
      <w:r w:rsidR="00987945" w:rsidRPr="00987945">
        <w:rPr>
          <w:rFonts w:ascii="Arial" w:eastAsia="Calibri" w:hAnsi="Arial" w:cs="Arial"/>
          <w:szCs w:val="22"/>
        </w:rPr>
        <w:t xml:space="preserve">., 2008; </w:t>
      </w:r>
      <w:proofErr w:type="spellStart"/>
      <w:r w:rsidR="00987945" w:rsidRPr="00987945">
        <w:rPr>
          <w:rFonts w:ascii="Arial" w:eastAsia="Calibri" w:hAnsi="Arial" w:cs="Arial"/>
          <w:szCs w:val="22"/>
        </w:rPr>
        <w:t>Atayese</w:t>
      </w:r>
      <w:proofErr w:type="spellEnd"/>
      <w:r w:rsidR="00987945" w:rsidRPr="00987945">
        <w:rPr>
          <w:rFonts w:ascii="Arial" w:eastAsia="Calibri" w:hAnsi="Arial" w:cs="Arial"/>
          <w:szCs w:val="22"/>
        </w:rPr>
        <w:t xml:space="preserve"> </w:t>
      </w:r>
      <w:r w:rsidR="00987945" w:rsidRPr="001B0D75">
        <w:rPr>
          <w:rFonts w:ascii="Arial" w:eastAsia="Calibri" w:hAnsi="Arial" w:cs="Arial"/>
          <w:i/>
          <w:szCs w:val="22"/>
        </w:rPr>
        <w:t>et al</w:t>
      </w:r>
      <w:r w:rsidR="001B0D75">
        <w:rPr>
          <w:rFonts w:ascii="Arial" w:eastAsia="Calibri" w:hAnsi="Arial" w:cs="Arial"/>
          <w:szCs w:val="22"/>
        </w:rPr>
        <w:t xml:space="preserve">., 2009). </w:t>
      </w:r>
      <w:r w:rsidR="00987945" w:rsidRPr="00987945">
        <w:rPr>
          <w:rFonts w:ascii="Arial" w:eastAsia="Calibri" w:hAnsi="Arial" w:cs="Arial"/>
          <w:szCs w:val="22"/>
        </w:rPr>
        <w:t xml:space="preserve">Vehicle exhausts, as well as industrial activities, emit heavy metals such that soils, plants and even residents along roads with heavy traffic loads are subjected to increasing levels of </w:t>
      </w:r>
      <w:r w:rsidR="006D0988">
        <w:rPr>
          <w:rFonts w:ascii="Arial" w:eastAsia="Calibri" w:hAnsi="Arial" w:cs="Arial"/>
          <w:szCs w:val="22"/>
        </w:rPr>
        <w:t>contamination with heavy metals</w:t>
      </w:r>
      <w:r w:rsidR="00987945" w:rsidRPr="00987945">
        <w:rPr>
          <w:rFonts w:ascii="Arial" w:eastAsia="Calibri" w:hAnsi="Arial" w:cs="Arial"/>
          <w:szCs w:val="22"/>
        </w:rPr>
        <w:t xml:space="preserve"> (</w:t>
      </w:r>
      <w:proofErr w:type="spellStart"/>
      <w:r w:rsidR="00987945" w:rsidRPr="00987945">
        <w:rPr>
          <w:rFonts w:ascii="Arial" w:eastAsia="Calibri" w:hAnsi="Arial" w:cs="Arial"/>
          <w:szCs w:val="22"/>
        </w:rPr>
        <w:t>Ghrefat</w:t>
      </w:r>
      <w:proofErr w:type="spellEnd"/>
      <w:r w:rsidR="00987945" w:rsidRPr="00987945">
        <w:rPr>
          <w:rFonts w:ascii="Arial" w:eastAsia="Calibri" w:hAnsi="Arial" w:cs="Arial"/>
          <w:szCs w:val="22"/>
        </w:rPr>
        <w:t xml:space="preserve"> </w:t>
      </w:r>
      <w:r w:rsidR="006D0988">
        <w:rPr>
          <w:rFonts w:ascii="Arial" w:eastAsia="Calibri" w:hAnsi="Arial" w:cs="Arial"/>
          <w:szCs w:val="22"/>
        </w:rPr>
        <w:t>and</w:t>
      </w:r>
      <w:r w:rsidR="00987945" w:rsidRPr="00987945">
        <w:rPr>
          <w:rFonts w:ascii="Arial" w:eastAsia="Calibri" w:hAnsi="Arial" w:cs="Arial"/>
          <w:szCs w:val="22"/>
        </w:rPr>
        <w:t xml:space="preserve"> Yusuf, 2006).</w:t>
      </w:r>
    </w:p>
    <w:p w14:paraId="21531BCE" w14:textId="1DFA63B4" w:rsidR="00AE5FC0" w:rsidRDefault="00AB3A56" w:rsidP="004F2618">
      <w:pPr>
        <w:pStyle w:val="Body"/>
        <w:spacing w:after="0"/>
        <w:rPr>
          <w:rFonts w:ascii="Arial" w:eastAsia="Calibri" w:hAnsi="Arial" w:cs="Arial"/>
          <w:szCs w:val="22"/>
        </w:rPr>
      </w:pPr>
      <w:r w:rsidRPr="00AB3A56">
        <w:rPr>
          <w:rFonts w:ascii="Arial" w:eastAsia="Calibri" w:hAnsi="Arial" w:cs="Arial"/>
          <w:szCs w:val="22"/>
        </w:rPr>
        <w:t>The presence of hea</w:t>
      </w:r>
      <w:r w:rsidR="00B401C7">
        <w:rPr>
          <w:rFonts w:ascii="Arial" w:eastAsia="Calibri" w:hAnsi="Arial" w:cs="Arial"/>
          <w:szCs w:val="22"/>
        </w:rPr>
        <w:t>vy metals has been considered</w:t>
      </w:r>
      <w:r w:rsidRPr="00AB3A56">
        <w:rPr>
          <w:rFonts w:ascii="Arial" w:eastAsia="Calibri" w:hAnsi="Arial" w:cs="Arial"/>
          <w:szCs w:val="22"/>
        </w:rPr>
        <w:t xml:space="preserve"> useful indicators for contamination in surface soil, sediment</w:t>
      </w:r>
      <w:r w:rsidR="00B401C7">
        <w:rPr>
          <w:rFonts w:ascii="Arial" w:eastAsia="Calibri" w:hAnsi="Arial" w:cs="Arial"/>
          <w:szCs w:val="22"/>
        </w:rPr>
        <w:t>,</w:t>
      </w:r>
      <w:r w:rsidRPr="00AB3A56">
        <w:rPr>
          <w:rFonts w:ascii="Arial" w:eastAsia="Calibri" w:hAnsi="Arial" w:cs="Arial"/>
          <w:szCs w:val="22"/>
        </w:rPr>
        <w:t xml:space="preserve"> and dust environments (</w:t>
      </w:r>
      <w:proofErr w:type="spellStart"/>
      <w:r w:rsidRPr="00AB3A56">
        <w:rPr>
          <w:rFonts w:ascii="Arial" w:eastAsia="Calibri" w:hAnsi="Arial" w:cs="Arial"/>
          <w:szCs w:val="22"/>
        </w:rPr>
        <w:t>Ub</w:t>
      </w:r>
      <w:r w:rsidR="00E637E5">
        <w:rPr>
          <w:rFonts w:ascii="Arial" w:eastAsia="Calibri" w:hAnsi="Arial" w:cs="Arial"/>
          <w:szCs w:val="22"/>
        </w:rPr>
        <w:t>wa</w:t>
      </w:r>
      <w:proofErr w:type="spellEnd"/>
      <w:r w:rsidR="00E637E5">
        <w:rPr>
          <w:rFonts w:ascii="Arial" w:eastAsia="Calibri" w:hAnsi="Arial" w:cs="Arial"/>
          <w:szCs w:val="22"/>
        </w:rPr>
        <w:t>, 2003). These metals are bio</w:t>
      </w:r>
      <w:r w:rsidR="008565D7">
        <w:rPr>
          <w:rFonts w:ascii="Arial" w:eastAsia="Calibri" w:hAnsi="Arial" w:cs="Arial"/>
          <w:szCs w:val="22"/>
        </w:rPr>
        <w:t>-</w:t>
      </w:r>
      <w:r w:rsidRPr="00AB3A56">
        <w:rPr>
          <w:rFonts w:ascii="Arial" w:eastAsia="Calibri" w:hAnsi="Arial" w:cs="Arial"/>
          <w:szCs w:val="22"/>
        </w:rPr>
        <w:t>accumulative</w:t>
      </w:r>
      <w:r w:rsidR="00B401C7">
        <w:rPr>
          <w:rFonts w:ascii="Arial" w:eastAsia="Calibri" w:hAnsi="Arial" w:cs="Arial"/>
          <w:szCs w:val="22"/>
        </w:rPr>
        <w:t>,</w:t>
      </w:r>
      <w:r w:rsidR="005B35FB">
        <w:rPr>
          <w:rFonts w:ascii="Arial" w:eastAsia="Calibri" w:hAnsi="Arial" w:cs="Arial"/>
          <w:szCs w:val="22"/>
        </w:rPr>
        <w:t xml:space="preserve"> and there is</w:t>
      </w:r>
      <w:r w:rsidR="00D2688E">
        <w:rPr>
          <w:rFonts w:ascii="Arial" w:eastAsia="Calibri" w:hAnsi="Arial" w:cs="Arial"/>
          <w:szCs w:val="22"/>
        </w:rPr>
        <w:t xml:space="preserve"> a</w:t>
      </w:r>
      <w:r w:rsidRPr="00AB3A56">
        <w:rPr>
          <w:rFonts w:ascii="Arial" w:eastAsia="Calibri" w:hAnsi="Arial" w:cs="Arial"/>
          <w:szCs w:val="22"/>
        </w:rPr>
        <w:t xml:space="preserve"> possibilit</w:t>
      </w:r>
      <w:r w:rsidR="005B35FB">
        <w:rPr>
          <w:rFonts w:ascii="Arial" w:eastAsia="Calibri" w:hAnsi="Arial" w:cs="Arial"/>
          <w:szCs w:val="22"/>
        </w:rPr>
        <w:t>y</w:t>
      </w:r>
      <w:r w:rsidR="00864694">
        <w:rPr>
          <w:rFonts w:ascii="Arial" w:eastAsia="Calibri" w:hAnsi="Arial" w:cs="Arial"/>
          <w:szCs w:val="22"/>
        </w:rPr>
        <w:t xml:space="preserve"> that</w:t>
      </w:r>
      <w:r w:rsidR="00036CEE">
        <w:rPr>
          <w:rFonts w:ascii="Arial" w:eastAsia="Calibri" w:hAnsi="Arial" w:cs="Arial"/>
          <w:szCs w:val="22"/>
        </w:rPr>
        <w:t xml:space="preserve"> they</w:t>
      </w:r>
      <w:r w:rsidR="00864694">
        <w:rPr>
          <w:rFonts w:ascii="Arial" w:eastAsia="Calibri" w:hAnsi="Arial" w:cs="Arial"/>
          <w:szCs w:val="22"/>
        </w:rPr>
        <w:t xml:space="preserve"> </w:t>
      </w:r>
      <w:r w:rsidRPr="00AB3A56">
        <w:rPr>
          <w:rFonts w:ascii="Arial" w:eastAsia="Calibri" w:hAnsi="Arial" w:cs="Arial"/>
          <w:szCs w:val="22"/>
        </w:rPr>
        <w:t xml:space="preserve">can reach a critical </w:t>
      </w:r>
      <w:r w:rsidR="00E02BC2">
        <w:rPr>
          <w:rFonts w:ascii="Arial" w:eastAsia="Calibri" w:hAnsi="Arial" w:cs="Arial"/>
          <w:szCs w:val="22"/>
        </w:rPr>
        <w:t xml:space="preserve">level </w:t>
      </w:r>
      <w:r w:rsidRPr="00AB3A56">
        <w:rPr>
          <w:rFonts w:ascii="Arial" w:eastAsia="Calibri" w:hAnsi="Arial" w:cs="Arial"/>
          <w:szCs w:val="22"/>
        </w:rPr>
        <w:t>and threatened human health (</w:t>
      </w:r>
      <w:proofErr w:type="spellStart"/>
      <w:r w:rsidRPr="00AB3A56">
        <w:rPr>
          <w:rFonts w:ascii="Arial" w:eastAsia="Calibri" w:hAnsi="Arial" w:cs="Arial"/>
          <w:szCs w:val="22"/>
        </w:rPr>
        <w:t>Censi</w:t>
      </w:r>
      <w:proofErr w:type="spellEnd"/>
      <w:r w:rsidRPr="00AB3A56">
        <w:rPr>
          <w:rFonts w:ascii="Arial" w:eastAsia="Calibri" w:hAnsi="Arial" w:cs="Arial"/>
          <w:szCs w:val="22"/>
        </w:rPr>
        <w:t xml:space="preserve"> </w:t>
      </w:r>
      <w:r w:rsidRPr="0095472C">
        <w:rPr>
          <w:rFonts w:ascii="Arial" w:eastAsia="Calibri" w:hAnsi="Arial" w:cs="Arial"/>
          <w:i/>
          <w:szCs w:val="22"/>
        </w:rPr>
        <w:t>et al</w:t>
      </w:r>
      <w:r w:rsidR="000B6E95">
        <w:rPr>
          <w:rFonts w:ascii="Arial" w:eastAsia="Calibri" w:hAnsi="Arial" w:cs="Arial"/>
          <w:szCs w:val="22"/>
        </w:rPr>
        <w:t>.</w:t>
      </w:r>
      <w:r w:rsidR="00AF7437">
        <w:rPr>
          <w:rFonts w:ascii="Arial" w:eastAsia="Calibri" w:hAnsi="Arial" w:cs="Arial"/>
          <w:szCs w:val="22"/>
        </w:rPr>
        <w:t>,</w:t>
      </w:r>
      <w:r w:rsidR="005F18DD">
        <w:rPr>
          <w:rFonts w:ascii="Arial" w:eastAsia="Calibri" w:hAnsi="Arial" w:cs="Arial"/>
          <w:szCs w:val="22"/>
        </w:rPr>
        <w:t xml:space="preserve"> 2006). </w:t>
      </w:r>
      <w:r w:rsidR="005F18DD" w:rsidRPr="00AB3A56">
        <w:rPr>
          <w:rFonts w:ascii="Arial" w:eastAsia="Calibri" w:hAnsi="Arial" w:cs="Arial"/>
          <w:szCs w:val="22"/>
        </w:rPr>
        <w:t>C</w:t>
      </w:r>
      <w:r w:rsidR="00E02BC2">
        <w:rPr>
          <w:rFonts w:ascii="Arial" w:eastAsia="Calibri" w:hAnsi="Arial" w:cs="Arial"/>
          <w:szCs w:val="22"/>
        </w:rPr>
        <w:t>hildren are</w:t>
      </w:r>
      <w:r w:rsidRPr="00AB3A56">
        <w:rPr>
          <w:rFonts w:ascii="Arial" w:eastAsia="Calibri" w:hAnsi="Arial" w:cs="Arial"/>
          <w:szCs w:val="22"/>
        </w:rPr>
        <w:t xml:space="preserve"> more likely to ingest significant quantities of dust than adults </w:t>
      </w:r>
      <w:r w:rsidR="00BA3E35">
        <w:rPr>
          <w:rFonts w:ascii="Arial" w:eastAsia="Calibri" w:hAnsi="Arial" w:cs="Arial"/>
          <w:szCs w:val="22"/>
        </w:rPr>
        <w:t xml:space="preserve">because </w:t>
      </w:r>
      <w:r w:rsidR="004F0960">
        <w:rPr>
          <w:rFonts w:ascii="Arial" w:eastAsia="Calibri" w:hAnsi="Arial" w:cs="Arial"/>
          <w:szCs w:val="22"/>
        </w:rPr>
        <w:t xml:space="preserve">of </w:t>
      </w:r>
      <w:r w:rsidR="00E42838">
        <w:rPr>
          <w:rFonts w:ascii="Arial" w:eastAsia="Calibri" w:hAnsi="Arial" w:cs="Arial"/>
          <w:szCs w:val="22"/>
        </w:rPr>
        <w:t>the</w:t>
      </w:r>
      <w:r w:rsidRPr="00AB3A56">
        <w:rPr>
          <w:rFonts w:ascii="Arial" w:eastAsia="Calibri" w:hAnsi="Arial" w:cs="Arial"/>
          <w:szCs w:val="22"/>
        </w:rPr>
        <w:t xml:space="preserve"> behavior of mouthing non-f</w:t>
      </w:r>
      <w:r w:rsidR="005F18DD">
        <w:rPr>
          <w:rFonts w:ascii="Arial" w:eastAsia="Calibri" w:hAnsi="Arial" w:cs="Arial"/>
          <w:szCs w:val="22"/>
        </w:rPr>
        <w:t xml:space="preserve">ood objects and repetitive hand and </w:t>
      </w:r>
      <w:r w:rsidRPr="00AB3A56">
        <w:rPr>
          <w:rFonts w:ascii="Arial" w:eastAsia="Calibri" w:hAnsi="Arial" w:cs="Arial"/>
          <w:szCs w:val="22"/>
        </w:rPr>
        <w:t>finger sucking (</w:t>
      </w:r>
      <w:proofErr w:type="spellStart"/>
      <w:r w:rsidRPr="00AB3A56">
        <w:rPr>
          <w:rFonts w:ascii="Arial" w:eastAsia="Calibri" w:hAnsi="Arial" w:cs="Arial"/>
          <w:szCs w:val="22"/>
        </w:rPr>
        <w:t>Bargagli</w:t>
      </w:r>
      <w:proofErr w:type="spellEnd"/>
      <w:r w:rsidRPr="00AB3A56">
        <w:rPr>
          <w:rFonts w:ascii="Arial" w:eastAsia="Calibri" w:hAnsi="Arial" w:cs="Arial"/>
          <w:szCs w:val="22"/>
        </w:rPr>
        <w:t>,</w:t>
      </w:r>
      <w:r w:rsidR="00A5297E">
        <w:rPr>
          <w:rFonts w:ascii="Arial" w:eastAsia="Calibri" w:hAnsi="Arial" w:cs="Arial"/>
          <w:szCs w:val="22"/>
        </w:rPr>
        <w:t xml:space="preserve"> </w:t>
      </w:r>
      <w:r w:rsidR="005F024D">
        <w:rPr>
          <w:rFonts w:ascii="Arial" w:eastAsia="Calibri" w:hAnsi="Arial" w:cs="Arial"/>
          <w:szCs w:val="22"/>
        </w:rPr>
        <w:t xml:space="preserve">1998). </w:t>
      </w:r>
      <w:r w:rsidR="005F024D" w:rsidRPr="00AB3A56">
        <w:rPr>
          <w:rFonts w:ascii="Arial" w:eastAsia="Calibri" w:hAnsi="Arial" w:cs="Arial"/>
          <w:szCs w:val="22"/>
        </w:rPr>
        <w:t>S</w:t>
      </w:r>
      <w:r w:rsidRPr="00AB3A56">
        <w:rPr>
          <w:rFonts w:ascii="Arial" w:eastAsia="Calibri" w:hAnsi="Arial" w:cs="Arial"/>
          <w:szCs w:val="22"/>
        </w:rPr>
        <w:t>tudies have</w:t>
      </w:r>
      <w:r w:rsidR="005F024D">
        <w:rPr>
          <w:rFonts w:ascii="Arial" w:eastAsia="Calibri" w:hAnsi="Arial" w:cs="Arial"/>
          <w:szCs w:val="22"/>
        </w:rPr>
        <w:t xml:space="preserve"> also</w:t>
      </w:r>
      <w:r w:rsidRPr="00AB3A56">
        <w:rPr>
          <w:rFonts w:ascii="Arial" w:eastAsia="Calibri" w:hAnsi="Arial" w:cs="Arial"/>
          <w:szCs w:val="22"/>
        </w:rPr>
        <w:t xml:space="preserve"> shown that children have higher absorption rate of trace metals from </w:t>
      </w:r>
      <w:r w:rsidR="0014185E">
        <w:rPr>
          <w:rFonts w:ascii="Arial" w:eastAsia="Calibri" w:hAnsi="Arial" w:cs="Arial"/>
          <w:szCs w:val="22"/>
        </w:rPr>
        <w:t xml:space="preserve">the </w:t>
      </w:r>
      <w:r w:rsidRPr="00AB3A56">
        <w:rPr>
          <w:rFonts w:ascii="Arial" w:eastAsia="Calibri" w:hAnsi="Arial" w:cs="Arial"/>
          <w:szCs w:val="22"/>
        </w:rPr>
        <w:t xml:space="preserve">digestive system and </w:t>
      </w:r>
      <w:r w:rsidR="00F719C0">
        <w:rPr>
          <w:rFonts w:ascii="Arial" w:eastAsia="Calibri" w:hAnsi="Arial" w:cs="Arial"/>
          <w:szCs w:val="22"/>
        </w:rPr>
        <w:t>higher</w:t>
      </w:r>
      <w:r w:rsidR="00C34776">
        <w:rPr>
          <w:rFonts w:ascii="Arial" w:eastAsia="Calibri" w:hAnsi="Arial" w:cs="Arial"/>
          <w:szCs w:val="22"/>
        </w:rPr>
        <w:t xml:space="preserve"> h</w:t>
      </w:r>
      <w:r w:rsidRPr="00AB3A56">
        <w:rPr>
          <w:rFonts w:ascii="Arial" w:eastAsia="Calibri" w:hAnsi="Arial" w:cs="Arial"/>
          <w:szCs w:val="22"/>
        </w:rPr>
        <w:t xml:space="preserve">emoglobin sensitivity to trace metals than adults. Children are more vulnerable to heavy metals toxicities than adults. Studies have been </w:t>
      </w:r>
      <w:r w:rsidR="00F97CBF">
        <w:rPr>
          <w:rFonts w:ascii="Arial" w:eastAsia="Calibri" w:hAnsi="Arial" w:cs="Arial"/>
          <w:szCs w:val="22"/>
        </w:rPr>
        <w:t xml:space="preserve">conducted on </w:t>
      </w:r>
      <w:r w:rsidRPr="00AB3A56">
        <w:rPr>
          <w:rFonts w:ascii="Arial" w:eastAsia="Calibri" w:hAnsi="Arial" w:cs="Arial"/>
          <w:szCs w:val="22"/>
        </w:rPr>
        <w:t xml:space="preserve">street dust near places where children play since </w:t>
      </w:r>
      <w:r w:rsidR="00577F18">
        <w:rPr>
          <w:rFonts w:ascii="Arial" w:eastAsia="Calibri" w:hAnsi="Arial" w:cs="Arial"/>
          <w:szCs w:val="22"/>
        </w:rPr>
        <w:t>they are</w:t>
      </w:r>
      <w:r w:rsidRPr="00AB3A56">
        <w:rPr>
          <w:rFonts w:ascii="Arial" w:eastAsia="Calibri" w:hAnsi="Arial" w:cs="Arial"/>
          <w:szCs w:val="22"/>
        </w:rPr>
        <w:t xml:space="preserve"> more sensitiv</w:t>
      </w:r>
      <w:r w:rsidR="00CE5611">
        <w:rPr>
          <w:rFonts w:ascii="Arial" w:eastAsia="Calibri" w:hAnsi="Arial" w:cs="Arial"/>
          <w:szCs w:val="22"/>
        </w:rPr>
        <w:t>e to contaminant-bearing dust (</w:t>
      </w:r>
      <w:r w:rsidRPr="00AB3A56">
        <w:rPr>
          <w:rFonts w:ascii="Arial" w:eastAsia="Calibri" w:hAnsi="Arial" w:cs="Arial"/>
          <w:szCs w:val="22"/>
        </w:rPr>
        <w:t xml:space="preserve">Meza-Figueroa </w:t>
      </w:r>
      <w:r w:rsidRPr="0095472C">
        <w:rPr>
          <w:rFonts w:ascii="Arial" w:eastAsia="Calibri" w:hAnsi="Arial" w:cs="Arial"/>
          <w:i/>
          <w:szCs w:val="22"/>
        </w:rPr>
        <w:t>et al</w:t>
      </w:r>
      <w:r w:rsidRPr="00AB3A56">
        <w:rPr>
          <w:rFonts w:ascii="Arial" w:eastAsia="Calibri" w:hAnsi="Arial" w:cs="Arial"/>
          <w:szCs w:val="22"/>
        </w:rPr>
        <w:t>., 2006).</w:t>
      </w:r>
      <w:r w:rsidR="00346273">
        <w:rPr>
          <w:rFonts w:ascii="Arial" w:eastAsia="Calibri" w:hAnsi="Arial" w:cs="Arial"/>
          <w:szCs w:val="22"/>
        </w:rPr>
        <w:t xml:space="preserve"> </w:t>
      </w:r>
      <w:proofErr w:type="spellStart"/>
      <w:r w:rsidR="00346273" w:rsidRPr="00346273">
        <w:rPr>
          <w:rFonts w:ascii="Arial" w:eastAsia="Calibri" w:hAnsi="Arial" w:cs="Arial"/>
          <w:szCs w:val="22"/>
        </w:rPr>
        <w:t>Nta</w:t>
      </w:r>
      <w:proofErr w:type="spellEnd"/>
      <w:r w:rsidR="00346273" w:rsidRPr="00346273">
        <w:rPr>
          <w:rFonts w:ascii="Arial" w:eastAsia="Calibri" w:hAnsi="Arial" w:cs="Arial"/>
          <w:szCs w:val="22"/>
        </w:rPr>
        <w:t xml:space="preserve"> </w:t>
      </w:r>
      <w:r w:rsidR="00346273" w:rsidRPr="001C4642">
        <w:rPr>
          <w:rFonts w:ascii="Arial" w:eastAsia="Calibri" w:hAnsi="Arial" w:cs="Arial"/>
          <w:i/>
          <w:szCs w:val="22"/>
        </w:rPr>
        <w:t>et al</w:t>
      </w:r>
      <w:r w:rsidR="000B6E95">
        <w:rPr>
          <w:rFonts w:ascii="Arial" w:eastAsia="Calibri" w:hAnsi="Arial" w:cs="Arial"/>
          <w:szCs w:val="22"/>
        </w:rPr>
        <w:t>.</w:t>
      </w:r>
      <w:r w:rsidR="00666482">
        <w:rPr>
          <w:rFonts w:ascii="Arial" w:eastAsia="Calibri" w:hAnsi="Arial" w:cs="Arial"/>
          <w:szCs w:val="22"/>
        </w:rPr>
        <w:t xml:space="preserve"> (2025) reported that</w:t>
      </w:r>
      <w:r w:rsidR="00346273" w:rsidRPr="00346273">
        <w:rPr>
          <w:rFonts w:ascii="Arial" w:eastAsia="Calibri" w:hAnsi="Arial" w:cs="Arial"/>
          <w:szCs w:val="22"/>
        </w:rPr>
        <w:t xml:space="preserve"> it is imperative to pay attention to possible health risks</w:t>
      </w:r>
      <w:r w:rsidR="00C34776">
        <w:rPr>
          <w:rFonts w:ascii="Arial" w:eastAsia="Calibri" w:hAnsi="Arial" w:cs="Arial"/>
          <w:szCs w:val="22"/>
        </w:rPr>
        <w:t xml:space="preserve"> </w:t>
      </w:r>
      <w:r w:rsidR="00346273" w:rsidRPr="00346273">
        <w:rPr>
          <w:rFonts w:ascii="Arial" w:eastAsia="Calibri" w:hAnsi="Arial" w:cs="Arial"/>
          <w:szCs w:val="22"/>
        </w:rPr>
        <w:t>due to exposure of adult</w:t>
      </w:r>
      <w:r w:rsidR="00343B4B">
        <w:rPr>
          <w:rFonts w:ascii="Arial" w:eastAsia="Calibri" w:hAnsi="Arial" w:cs="Arial"/>
          <w:szCs w:val="22"/>
        </w:rPr>
        <w:t>s</w:t>
      </w:r>
      <w:r w:rsidR="00346273" w:rsidRPr="00346273">
        <w:rPr>
          <w:rFonts w:ascii="Arial" w:eastAsia="Calibri" w:hAnsi="Arial" w:cs="Arial"/>
          <w:szCs w:val="22"/>
        </w:rPr>
        <w:t xml:space="preserve"> and children to hi</w:t>
      </w:r>
      <w:r w:rsidR="00956CEF">
        <w:rPr>
          <w:rFonts w:ascii="Arial" w:eastAsia="Calibri" w:hAnsi="Arial" w:cs="Arial"/>
          <w:szCs w:val="22"/>
        </w:rPr>
        <w:t>gh concentrations of Cd and Pb i</w:t>
      </w:r>
      <w:r w:rsidR="00346273" w:rsidRPr="00346273">
        <w:rPr>
          <w:rFonts w:ascii="Arial" w:eastAsia="Calibri" w:hAnsi="Arial" w:cs="Arial"/>
          <w:szCs w:val="22"/>
        </w:rPr>
        <w:t>n roadside soil</w:t>
      </w:r>
      <w:r w:rsidR="00346273">
        <w:rPr>
          <w:rFonts w:ascii="Arial" w:eastAsia="Calibri" w:hAnsi="Arial" w:cs="Arial"/>
          <w:szCs w:val="22"/>
        </w:rPr>
        <w:t>.</w:t>
      </w:r>
      <w:r w:rsidR="007C7D85">
        <w:rPr>
          <w:rFonts w:ascii="Arial" w:eastAsia="Calibri" w:hAnsi="Arial" w:cs="Arial"/>
          <w:szCs w:val="22"/>
        </w:rPr>
        <w:t xml:space="preserve"> However, t</w:t>
      </w:r>
      <w:r w:rsidR="009075B3" w:rsidRPr="005544BB">
        <w:rPr>
          <w:rFonts w:ascii="Arial" w:eastAsia="Calibri" w:hAnsi="Arial" w:cs="Arial"/>
          <w:szCs w:val="22"/>
        </w:rPr>
        <w:t>here is</w:t>
      </w:r>
      <w:r w:rsidR="00956CEF">
        <w:rPr>
          <w:rFonts w:ascii="Arial" w:eastAsia="Calibri" w:hAnsi="Arial" w:cs="Arial"/>
          <w:szCs w:val="22"/>
        </w:rPr>
        <w:t xml:space="preserve"> </w:t>
      </w:r>
      <w:r w:rsidR="00343B4B">
        <w:rPr>
          <w:rFonts w:ascii="Arial" w:eastAsia="Calibri" w:hAnsi="Arial" w:cs="Arial"/>
          <w:szCs w:val="22"/>
        </w:rPr>
        <w:t xml:space="preserve">a </w:t>
      </w:r>
      <w:r w:rsidR="009075B3" w:rsidRPr="005544BB">
        <w:rPr>
          <w:rFonts w:ascii="Arial" w:eastAsia="Calibri" w:hAnsi="Arial" w:cs="Arial"/>
          <w:szCs w:val="22"/>
        </w:rPr>
        <w:t>need for</w:t>
      </w:r>
      <w:r w:rsidR="00FE0A8D">
        <w:rPr>
          <w:rFonts w:ascii="Arial" w:eastAsia="Calibri" w:hAnsi="Arial" w:cs="Arial"/>
          <w:szCs w:val="22"/>
        </w:rPr>
        <w:t xml:space="preserve"> the</w:t>
      </w:r>
      <w:r w:rsidR="009075B3" w:rsidRPr="005544BB">
        <w:rPr>
          <w:rFonts w:ascii="Arial" w:eastAsia="Calibri" w:hAnsi="Arial" w:cs="Arial"/>
          <w:szCs w:val="22"/>
        </w:rPr>
        <w:t xml:space="preserve"> evaluation of roadside soils, especially for newly developing cities. This study aimed to evaluate the extent of heavy metal contamination in roadside soil in one of the emerging cities of southern Nigeria using contamination indices</w:t>
      </w:r>
      <w:r w:rsidR="009075B3">
        <w:rPr>
          <w:rFonts w:ascii="Arial" w:eastAsia="Calibri" w:hAnsi="Arial" w:cs="Arial"/>
          <w:szCs w:val="22"/>
        </w:rPr>
        <w:t>.</w:t>
      </w:r>
    </w:p>
    <w:p w14:paraId="62AC11CB" w14:textId="77777777" w:rsidR="004F2618" w:rsidRPr="004F2618" w:rsidRDefault="004F2618" w:rsidP="004F2618">
      <w:pPr>
        <w:pStyle w:val="Body"/>
        <w:spacing w:after="0"/>
        <w:rPr>
          <w:rFonts w:ascii="Arial" w:eastAsia="Calibri" w:hAnsi="Arial" w:cs="Arial"/>
          <w:szCs w:val="22"/>
        </w:rPr>
      </w:pPr>
    </w:p>
    <w:p w14:paraId="79EF52BC" w14:textId="77777777" w:rsidR="00C7649F" w:rsidRDefault="00C7649F" w:rsidP="00441B6F">
      <w:pPr>
        <w:pStyle w:val="AbstHead"/>
        <w:spacing w:after="0"/>
        <w:jc w:val="both"/>
        <w:rPr>
          <w:rFonts w:ascii="Arial" w:hAnsi="Arial" w:cs="Arial"/>
        </w:rPr>
      </w:pPr>
    </w:p>
    <w:p w14:paraId="25D5647F" w14:textId="77777777" w:rsidR="006D6BCB" w:rsidRDefault="006D6BCB" w:rsidP="00441B6F">
      <w:pPr>
        <w:pStyle w:val="AbstHead"/>
        <w:spacing w:after="0"/>
        <w:jc w:val="both"/>
        <w:rPr>
          <w:rFonts w:ascii="Arial" w:hAnsi="Arial" w:cs="Arial"/>
        </w:rPr>
      </w:pPr>
    </w:p>
    <w:p w14:paraId="067D31C9" w14:textId="77777777" w:rsidR="006D6BCB" w:rsidRDefault="006D6BCB" w:rsidP="00441B6F">
      <w:pPr>
        <w:pStyle w:val="AbstHead"/>
        <w:spacing w:after="0"/>
        <w:jc w:val="both"/>
        <w:rPr>
          <w:rFonts w:ascii="Arial" w:hAnsi="Arial" w:cs="Arial"/>
        </w:rPr>
      </w:pPr>
    </w:p>
    <w:p w14:paraId="45270E21" w14:textId="77777777" w:rsidR="006D6BCB" w:rsidRDefault="006D6BCB" w:rsidP="00441B6F">
      <w:pPr>
        <w:pStyle w:val="AbstHead"/>
        <w:spacing w:after="0"/>
        <w:jc w:val="both"/>
        <w:rPr>
          <w:rFonts w:ascii="Arial" w:hAnsi="Arial" w:cs="Arial"/>
        </w:rPr>
      </w:pPr>
    </w:p>
    <w:p w14:paraId="375D37EB" w14:textId="77777777"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0E36F942" w14:textId="77777777" w:rsidR="0018237C" w:rsidRDefault="0018237C" w:rsidP="00090CC6">
      <w:pPr>
        <w:pStyle w:val="Body"/>
        <w:spacing w:after="0"/>
        <w:rPr>
          <w:rFonts w:ascii="Arial" w:eastAsia="Calibri" w:hAnsi="Arial" w:cs="Arial"/>
          <w:b/>
          <w:i/>
          <w:iCs/>
          <w:szCs w:val="22"/>
        </w:rPr>
      </w:pPr>
    </w:p>
    <w:p w14:paraId="6E050602" w14:textId="77777777" w:rsidR="00090CC6" w:rsidRPr="00090CC6" w:rsidRDefault="00090CC6" w:rsidP="00090CC6">
      <w:pPr>
        <w:pStyle w:val="Body"/>
        <w:spacing w:after="0"/>
        <w:rPr>
          <w:rFonts w:ascii="Arial" w:eastAsia="Calibri" w:hAnsi="Arial" w:cs="Arial"/>
          <w:b/>
          <w:i/>
          <w:iCs/>
          <w:szCs w:val="22"/>
        </w:rPr>
      </w:pPr>
      <w:r w:rsidRPr="00090CC6">
        <w:rPr>
          <w:rFonts w:ascii="Arial" w:eastAsia="Calibri" w:hAnsi="Arial" w:cs="Arial"/>
          <w:b/>
          <w:i/>
          <w:iCs/>
          <w:szCs w:val="22"/>
        </w:rPr>
        <w:t xml:space="preserve">2.1 Study Area </w:t>
      </w:r>
    </w:p>
    <w:p w14:paraId="4AE6008A" w14:textId="77777777" w:rsidR="00062F85" w:rsidRDefault="00062F85" w:rsidP="00062F85">
      <w:pPr>
        <w:pStyle w:val="Body"/>
        <w:spacing w:after="0"/>
        <w:rPr>
          <w:rFonts w:ascii="Arial" w:eastAsia="Calibri" w:hAnsi="Arial" w:cs="Arial"/>
          <w:szCs w:val="22"/>
        </w:rPr>
      </w:pPr>
      <w:r w:rsidRPr="00090CC6">
        <w:rPr>
          <w:rFonts w:ascii="Arial" w:eastAsia="Calibri" w:hAnsi="Arial" w:cs="Arial"/>
          <w:szCs w:val="22"/>
        </w:rPr>
        <w:t xml:space="preserve">The study area was </w:t>
      </w:r>
      <w:proofErr w:type="spellStart"/>
      <w:r w:rsidRPr="00090CC6">
        <w:rPr>
          <w:rFonts w:ascii="Arial" w:eastAsia="Calibri" w:hAnsi="Arial" w:cs="Arial"/>
          <w:szCs w:val="22"/>
        </w:rPr>
        <w:t>Eket</w:t>
      </w:r>
      <w:proofErr w:type="spellEnd"/>
      <w:r w:rsidRPr="00090CC6">
        <w:rPr>
          <w:rFonts w:ascii="Arial" w:eastAsia="Calibri" w:hAnsi="Arial" w:cs="Arial"/>
          <w:szCs w:val="22"/>
        </w:rPr>
        <w:t xml:space="preserve">, an emerging city in </w:t>
      </w:r>
      <w:proofErr w:type="spellStart"/>
      <w:r w:rsidRPr="00090CC6">
        <w:rPr>
          <w:rFonts w:ascii="Arial" w:eastAsia="Calibri" w:hAnsi="Arial" w:cs="Arial"/>
          <w:szCs w:val="22"/>
        </w:rPr>
        <w:t>Akwa</w:t>
      </w:r>
      <w:proofErr w:type="spellEnd"/>
      <w:r w:rsidRPr="00090CC6">
        <w:rPr>
          <w:rFonts w:ascii="Arial" w:eastAsia="Calibri" w:hAnsi="Arial" w:cs="Arial"/>
          <w:szCs w:val="22"/>
        </w:rPr>
        <w:t xml:space="preserve"> Ibom State, Nigeria.</w:t>
      </w:r>
      <w:r>
        <w:rPr>
          <w:rFonts w:ascii="Arial" w:eastAsia="Calibri" w:hAnsi="Arial" w:cs="Arial"/>
          <w:szCs w:val="22"/>
        </w:rPr>
        <w:t xml:space="preserve"> </w:t>
      </w:r>
      <w:proofErr w:type="spellStart"/>
      <w:r w:rsidRPr="00E2171D">
        <w:rPr>
          <w:rFonts w:ascii="Arial" w:eastAsia="Calibri" w:hAnsi="Arial" w:cs="Arial"/>
          <w:szCs w:val="22"/>
        </w:rPr>
        <w:t>Eket</w:t>
      </w:r>
      <w:proofErr w:type="spellEnd"/>
      <w:r w:rsidRPr="00E2171D">
        <w:rPr>
          <w:rFonts w:ascii="Arial" w:eastAsia="Calibri" w:hAnsi="Arial" w:cs="Arial"/>
          <w:szCs w:val="22"/>
        </w:rPr>
        <w:t xml:space="preserve"> is situated between latitudes 4 33’ and 4 45’ and eastwards between longitudes 7 52’ and 5 02’. Figure 1 is map of </w:t>
      </w:r>
      <w:proofErr w:type="spellStart"/>
      <w:r w:rsidRPr="00E2171D">
        <w:rPr>
          <w:rFonts w:ascii="Arial" w:eastAsia="Calibri" w:hAnsi="Arial" w:cs="Arial"/>
          <w:szCs w:val="22"/>
        </w:rPr>
        <w:t>Eket</w:t>
      </w:r>
      <w:proofErr w:type="spellEnd"/>
      <w:r w:rsidRPr="00E2171D">
        <w:rPr>
          <w:rFonts w:ascii="Arial" w:eastAsia="Calibri" w:hAnsi="Arial" w:cs="Arial"/>
          <w:szCs w:val="22"/>
        </w:rPr>
        <w:t xml:space="preserve"> Local Government Area, </w:t>
      </w:r>
      <w:proofErr w:type="spellStart"/>
      <w:r w:rsidRPr="00E2171D">
        <w:rPr>
          <w:rFonts w:ascii="Arial" w:eastAsia="Calibri" w:hAnsi="Arial" w:cs="Arial"/>
          <w:szCs w:val="22"/>
        </w:rPr>
        <w:t>Akwa</w:t>
      </w:r>
      <w:proofErr w:type="spellEnd"/>
      <w:r w:rsidRPr="00E2171D">
        <w:rPr>
          <w:rFonts w:ascii="Arial" w:eastAsia="Calibri" w:hAnsi="Arial" w:cs="Arial"/>
          <w:szCs w:val="22"/>
        </w:rPr>
        <w:t xml:space="preserve"> Ibom State, Nigeria</w:t>
      </w:r>
      <w:r>
        <w:rPr>
          <w:rFonts w:ascii="Arial" w:eastAsia="Calibri" w:hAnsi="Arial" w:cs="Arial"/>
          <w:szCs w:val="22"/>
        </w:rPr>
        <w:t>.</w:t>
      </w:r>
    </w:p>
    <w:p w14:paraId="74AF9B60" w14:textId="77777777" w:rsidR="00062F85" w:rsidRDefault="00062F85" w:rsidP="00062F85">
      <w:pPr>
        <w:pStyle w:val="Body"/>
        <w:spacing w:after="0"/>
        <w:rPr>
          <w:rFonts w:ascii="Arial" w:eastAsia="Calibri" w:hAnsi="Arial" w:cs="Arial"/>
          <w:szCs w:val="22"/>
        </w:rPr>
      </w:pPr>
      <w:proofErr w:type="spellStart"/>
      <w:r w:rsidRPr="00900AF0">
        <w:rPr>
          <w:rFonts w:ascii="Arial" w:eastAsia="Calibri" w:hAnsi="Arial" w:cs="Arial"/>
          <w:bCs/>
          <w:szCs w:val="22"/>
        </w:rPr>
        <w:t>Eket</w:t>
      </w:r>
      <w:proofErr w:type="spellEnd"/>
      <w:r w:rsidRPr="00900AF0">
        <w:rPr>
          <w:rFonts w:ascii="Arial" w:eastAsia="Calibri" w:hAnsi="Arial" w:cs="Arial"/>
          <w:szCs w:val="22"/>
        </w:rPr>
        <w:t> </w:t>
      </w:r>
      <w:r w:rsidRPr="003C12D1">
        <w:rPr>
          <w:rFonts w:ascii="Arial" w:eastAsia="Calibri" w:hAnsi="Arial" w:cs="Arial"/>
          <w:szCs w:val="22"/>
        </w:rPr>
        <w:t>is one of the 31 local government areas in </w:t>
      </w:r>
      <w:proofErr w:type="spellStart"/>
      <w:r w:rsidR="0015318E">
        <w:fldChar w:fldCharType="begin"/>
      </w:r>
      <w:r w:rsidR="0015318E">
        <w:instrText xml:space="preserve"> HYPERLINK "https://en.wikipedia.org/wiki/Akwa_Ibom_State" \o "Akwa Ibom State" </w:instrText>
      </w:r>
      <w:r w:rsidR="0015318E">
        <w:fldChar w:fldCharType="separate"/>
      </w:r>
      <w:r w:rsidRPr="003C12D1">
        <w:rPr>
          <w:rStyle w:val="Hyperlink"/>
          <w:rFonts w:ascii="Arial" w:eastAsia="Calibri" w:hAnsi="Arial" w:cs="Arial"/>
          <w:color w:val="auto"/>
          <w:szCs w:val="22"/>
          <w:u w:val="none"/>
        </w:rPr>
        <w:t>Akwa</w:t>
      </w:r>
      <w:proofErr w:type="spellEnd"/>
      <w:r w:rsidRPr="003C12D1">
        <w:rPr>
          <w:rStyle w:val="Hyperlink"/>
          <w:rFonts w:ascii="Arial" w:eastAsia="Calibri" w:hAnsi="Arial" w:cs="Arial"/>
          <w:color w:val="auto"/>
          <w:szCs w:val="22"/>
          <w:u w:val="none"/>
        </w:rPr>
        <w:t xml:space="preserve"> Ibom State</w:t>
      </w:r>
      <w:r w:rsidR="0015318E">
        <w:rPr>
          <w:rStyle w:val="Hyperlink"/>
          <w:rFonts w:ascii="Arial" w:eastAsia="Calibri" w:hAnsi="Arial" w:cs="Arial"/>
          <w:color w:val="auto"/>
          <w:szCs w:val="22"/>
          <w:u w:val="none"/>
        </w:rPr>
        <w:fldChar w:fldCharType="end"/>
      </w:r>
      <w:r w:rsidRPr="003C12D1">
        <w:rPr>
          <w:rFonts w:ascii="Arial" w:eastAsia="Calibri" w:hAnsi="Arial" w:cs="Arial"/>
          <w:szCs w:val="22"/>
        </w:rPr>
        <w:t>, </w:t>
      </w:r>
      <w:hyperlink r:id="rId14" w:tooltip="Nigeria" w:history="1">
        <w:r w:rsidRPr="003C12D1">
          <w:rPr>
            <w:rStyle w:val="Hyperlink"/>
            <w:rFonts w:ascii="Arial" w:eastAsia="Calibri" w:hAnsi="Arial" w:cs="Arial"/>
            <w:color w:val="auto"/>
            <w:szCs w:val="22"/>
            <w:u w:val="none"/>
          </w:rPr>
          <w:t>Nigeria</w:t>
        </w:r>
      </w:hyperlink>
      <w:r w:rsidRPr="003C12D1">
        <w:rPr>
          <w:rFonts w:ascii="Arial" w:eastAsia="Calibri" w:hAnsi="Arial" w:cs="Arial"/>
          <w:szCs w:val="22"/>
        </w:rPr>
        <w:t>. The name </w:t>
      </w:r>
      <w:proofErr w:type="spellStart"/>
      <w:r w:rsidRPr="003C12D1">
        <w:rPr>
          <w:rFonts w:ascii="Arial" w:eastAsia="Calibri" w:hAnsi="Arial" w:cs="Arial"/>
          <w:i/>
          <w:iCs/>
          <w:szCs w:val="22"/>
        </w:rPr>
        <w:t>Eket</w:t>
      </w:r>
      <w:proofErr w:type="spellEnd"/>
      <w:r w:rsidRPr="003C12D1">
        <w:rPr>
          <w:rFonts w:ascii="Arial" w:eastAsia="Calibri" w:hAnsi="Arial" w:cs="Arial"/>
          <w:szCs w:val="22"/>
        </w:rPr>
        <w:t> or </w:t>
      </w:r>
      <w:proofErr w:type="spellStart"/>
      <w:r w:rsidRPr="003C12D1">
        <w:rPr>
          <w:rFonts w:ascii="Arial" w:eastAsia="Calibri" w:hAnsi="Arial" w:cs="Arial"/>
          <w:b/>
          <w:bCs/>
          <w:szCs w:val="22"/>
        </w:rPr>
        <w:t>Ekid</w:t>
      </w:r>
      <w:proofErr w:type="spellEnd"/>
      <w:r w:rsidRPr="003C12D1">
        <w:rPr>
          <w:rFonts w:ascii="Arial" w:eastAsia="Calibri" w:hAnsi="Arial" w:cs="Arial"/>
          <w:szCs w:val="22"/>
        </w:rPr>
        <w:t> also refers to the indigenous people of the region who are the </w:t>
      </w:r>
      <w:hyperlink r:id="rId15" w:tooltip="Ibibio people" w:history="1">
        <w:r w:rsidRPr="003C12D1">
          <w:rPr>
            <w:rStyle w:val="Hyperlink"/>
            <w:rFonts w:ascii="Arial" w:eastAsia="Calibri" w:hAnsi="Arial" w:cs="Arial"/>
            <w:color w:val="auto"/>
            <w:szCs w:val="22"/>
            <w:u w:val="none"/>
          </w:rPr>
          <w:t>Ibibio people </w:t>
        </w:r>
      </w:hyperlink>
      <w:r w:rsidRPr="003C12D1">
        <w:rPr>
          <w:rFonts w:ascii="Arial" w:eastAsia="Calibri" w:hAnsi="Arial" w:cs="Arial"/>
          <w:szCs w:val="22"/>
        </w:rPr>
        <w:t>of the southern part of Ibibio</w:t>
      </w:r>
      <w:r>
        <w:rPr>
          <w:rFonts w:ascii="Arial" w:eastAsia="Calibri" w:hAnsi="Arial" w:cs="Arial"/>
          <w:szCs w:val="22"/>
        </w:rPr>
        <w:t xml:space="preserve"> </w:t>
      </w:r>
      <w:r w:rsidRPr="003C12D1">
        <w:rPr>
          <w:rFonts w:ascii="Arial" w:eastAsia="Calibri" w:hAnsi="Arial" w:cs="Arial"/>
          <w:szCs w:val="22"/>
        </w:rPr>
        <w:t xml:space="preserve">land and to their dialect which is </w:t>
      </w:r>
      <w:proofErr w:type="spellStart"/>
      <w:r w:rsidRPr="003C12D1">
        <w:rPr>
          <w:rFonts w:ascii="Arial" w:eastAsia="Calibri" w:hAnsi="Arial" w:cs="Arial"/>
          <w:szCs w:val="22"/>
        </w:rPr>
        <w:t>Ekid</w:t>
      </w:r>
      <w:proofErr w:type="spellEnd"/>
      <w:r w:rsidRPr="003C12D1">
        <w:rPr>
          <w:rFonts w:ascii="Arial" w:eastAsia="Calibri" w:hAnsi="Arial" w:cs="Arial"/>
          <w:szCs w:val="22"/>
        </w:rPr>
        <w:t xml:space="preserve">. The </w:t>
      </w:r>
      <w:proofErr w:type="spellStart"/>
      <w:r w:rsidRPr="003C12D1">
        <w:rPr>
          <w:rFonts w:ascii="Arial" w:eastAsia="Calibri" w:hAnsi="Arial" w:cs="Arial"/>
          <w:szCs w:val="22"/>
        </w:rPr>
        <w:t>Eket</w:t>
      </w:r>
      <w:proofErr w:type="spellEnd"/>
      <w:r w:rsidRPr="003C12D1">
        <w:rPr>
          <w:rFonts w:ascii="Arial" w:eastAsia="Calibri" w:hAnsi="Arial" w:cs="Arial"/>
          <w:szCs w:val="22"/>
        </w:rPr>
        <w:t xml:space="preserve"> people use the </w:t>
      </w:r>
      <w:hyperlink r:id="rId16" w:tooltip="Endonym" w:history="1">
        <w:r w:rsidRPr="003C12D1">
          <w:rPr>
            <w:rStyle w:val="Hyperlink"/>
            <w:rFonts w:ascii="Arial" w:eastAsia="Calibri" w:hAnsi="Arial" w:cs="Arial"/>
            <w:color w:val="auto"/>
            <w:szCs w:val="22"/>
            <w:u w:val="none"/>
          </w:rPr>
          <w:t>endonym</w:t>
        </w:r>
      </w:hyperlink>
      <w:r w:rsidRPr="003C12D1">
        <w:rPr>
          <w:rFonts w:ascii="Arial" w:eastAsia="Calibri" w:hAnsi="Arial" w:cs="Arial"/>
          <w:szCs w:val="22"/>
        </w:rPr>
        <w:t> </w:t>
      </w:r>
      <w:proofErr w:type="spellStart"/>
      <w:r w:rsidRPr="003C12D1">
        <w:rPr>
          <w:rFonts w:ascii="Arial" w:eastAsia="Calibri" w:hAnsi="Arial" w:cs="Arial"/>
          <w:i/>
          <w:iCs/>
          <w:szCs w:val="22"/>
        </w:rPr>
        <w:t>Ekid</w:t>
      </w:r>
      <w:proofErr w:type="spellEnd"/>
      <w:r w:rsidRPr="003C12D1">
        <w:rPr>
          <w:rFonts w:ascii="Arial" w:eastAsia="Calibri" w:hAnsi="Arial" w:cs="Arial"/>
          <w:szCs w:val="22"/>
        </w:rPr>
        <w:t> for themselves and </w:t>
      </w:r>
      <w:hyperlink r:id="rId17" w:tooltip="Eket language" w:history="1">
        <w:r w:rsidRPr="003C12D1">
          <w:rPr>
            <w:rStyle w:val="Hyperlink"/>
            <w:rFonts w:ascii="Arial" w:eastAsia="Calibri" w:hAnsi="Arial" w:cs="Arial"/>
            <w:color w:val="auto"/>
            <w:szCs w:val="22"/>
            <w:u w:val="none"/>
          </w:rPr>
          <w:t>their language</w:t>
        </w:r>
      </w:hyperlink>
      <w:r w:rsidRPr="003C12D1">
        <w:rPr>
          <w:rFonts w:ascii="Arial" w:eastAsia="Calibri" w:hAnsi="Arial" w:cs="Arial"/>
          <w:szCs w:val="22"/>
        </w:rPr>
        <w:t>, but Europeans spell and pronounce the name as "</w:t>
      </w:r>
      <w:proofErr w:type="spellStart"/>
      <w:r w:rsidRPr="003C12D1">
        <w:rPr>
          <w:rFonts w:ascii="Arial" w:eastAsia="Calibri" w:hAnsi="Arial" w:cs="Arial"/>
          <w:szCs w:val="22"/>
        </w:rPr>
        <w:t>Eket</w:t>
      </w:r>
      <w:proofErr w:type="spellEnd"/>
      <w:r w:rsidRPr="003C12D1">
        <w:rPr>
          <w:rFonts w:ascii="Arial" w:eastAsia="Calibri" w:hAnsi="Arial" w:cs="Arial"/>
          <w:szCs w:val="22"/>
        </w:rPr>
        <w:t>".</w:t>
      </w:r>
    </w:p>
    <w:p w14:paraId="0FE8ABA3" w14:textId="77777777" w:rsidR="00062F85" w:rsidRDefault="00062F85" w:rsidP="00062F85">
      <w:pPr>
        <w:pStyle w:val="Body"/>
        <w:spacing w:after="0"/>
        <w:rPr>
          <w:rFonts w:ascii="Arial" w:eastAsia="Calibri" w:hAnsi="Arial" w:cs="Arial"/>
          <w:szCs w:val="22"/>
        </w:rPr>
      </w:pPr>
      <w:r w:rsidRPr="00DF62E4">
        <w:rPr>
          <w:rFonts w:ascii="Arial" w:eastAsia="Calibri" w:hAnsi="Arial" w:cs="Arial"/>
          <w:szCs w:val="22"/>
        </w:rPr>
        <w:t xml:space="preserve">Apart from being a local government area in </w:t>
      </w:r>
      <w:proofErr w:type="spellStart"/>
      <w:r w:rsidRPr="00DF62E4">
        <w:rPr>
          <w:rFonts w:ascii="Arial" w:eastAsia="Calibri" w:hAnsi="Arial" w:cs="Arial"/>
          <w:szCs w:val="22"/>
        </w:rPr>
        <w:t>Akwa</w:t>
      </w:r>
      <w:proofErr w:type="spellEnd"/>
      <w:r w:rsidRPr="00DF62E4">
        <w:rPr>
          <w:rFonts w:ascii="Arial" w:eastAsia="Calibri" w:hAnsi="Arial" w:cs="Arial"/>
          <w:szCs w:val="22"/>
        </w:rPr>
        <w:t xml:space="preserve"> Ibom State, </w:t>
      </w:r>
      <w:proofErr w:type="spellStart"/>
      <w:r w:rsidRPr="00DF62E4">
        <w:rPr>
          <w:rFonts w:ascii="Arial" w:eastAsia="Calibri" w:hAnsi="Arial" w:cs="Arial"/>
          <w:szCs w:val="22"/>
        </w:rPr>
        <w:t>Eket</w:t>
      </w:r>
      <w:proofErr w:type="spellEnd"/>
      <w:r w:rsidRPr="00DF62E4">
        <w:rPr>
          <w:rFonts w:ascii="Arial" w:eastAsia="Calibri" w:hAnsi="Arial" w:cs="Arial"/>
          <w:szCs w:val="22"/>
        </w:rPr>
        <w:t xml:space="preserve"> is one of the three geopolitical zones in the state. The geopolitical zones are </w:t>
      </w:r>
      <w:proofErr w:type="spellStart"/>
      <w:r w:rsidRPr="00DF62E4">
        <w:rPr>
          <w:rFonts w:ascii="Arial" w:eastAsia="Calibri" w:hAnsi="Arial" w:cs="Arial"/>
          <w:szCs w:val="22"/>
        </w:rPr>
        <w:t>Uyo</w:t>
      </w:r>
      <w:proofErr w:type="spellEnd"/>
      <w:r w:rsidRPr="00DF62E4">
        <w:rPr>
          <w:rFonts w:ascii="Arial" w:eastAsia="Calibri" w:hAnsi="Arial" w:cs="Arial"/>
          <w:szCs w:val="22"/>
        </w:rPr>
        <w:t xml:space="preserve"> senatorial district, Ikot </w:t>
      </w:r>
      <w:proofErr w:type="spellStart"/>
      <w:r w:rsidRPr="00DF62E4">
        <w:rPr>
          <w:rFonts w:ascii="Arial" w:eastAsia="Calibri" w:hAnsi="Arial" w:cs="Arial"/>
          <w:szCs w:val="22"/>
        </w:rPr>
        <w:t>Ekpene</w:t>
      </w:r>
      <w:proofErr w:type="spellEnd"/>
      <w:r w:rsidRPr="00DF62E4">
        <w:rPr>
          <w:rFonts w:ascii="Arial" w:eastAsia="Calibri" w:hAnsi="Arial" w:cs="Arial"/>
          <w:szCs w:val="22"/>
        </w:rPr>
        <w:t xml:space="preserve"> senatorial district and </w:t>
      </w:r>
      <w:proofErr w:type="spellStart"/>
      <w:r w:rsidRPr="00DF62E4">
        <w:rPr>
          <w:rFonts w:ascii="Arial" w:eastAsia="Calibri" w:hAnsi="Arial" w:cs="Arial"/>
          <w:szCs w:val="22"/>
        </w:rPr>
        <w:t>Eket</w:t>
      </w:r>
      <w:proofErr w:type="spellEnd"/>
      <w:r w:rsidRPr="00DF62E4">
        <w:rPr>
          <w:rFonts w:ascii="Arial" w:eastAsia="Calibri" w:hAnsi="Arial" w:cs="Arial"/>
          <w:szCs w:val="22"/>
        </w:rPr>
        <w:t xml:space="preserve"> senatorial district.</w:t>
      </w:r>
    </w:p>
    <w:p w14:paraId="6C0D4622" w14:textId="356EC46C" w:rsidR="00062F85" w:rsidRDefault="00062F85" w:rsidP="00062F85">
      <w:pPr>
        <w:pStyle w:val="Body"/>
        <w:spacing w:after="0"/>
        <w:rPr>
          <w:rFonts w:ascii="Arial" w:eastAsia="Calibri" w:hAnsi="Arial" w:cs="Arial"/>
          <w:szCs w:val="22"/>
        </w:rPr>
      </w:pPr>
      <w:r w:rsidRPr="00090FBF">
        <w:rPr>
          <w:rFonts w:ascii="Arial" w:eastAsia="Calibri" w:hAnsi="Arial" w:cs="Arial"/>
          <w:szCs w:val="22"/>
        </w:rPr>
        <w:t xml:space="preserve">The town itself is an industrial city that in recent years has become a conurbation joining together separate villages. The Office of the Surveyor-General of </w:t>
      </w:r>
      <w:proofErr w:type="spellStart"/>
      <w:r w:rsidRPr="00090FBF">
        <w:rPr>
          <w:rFonts w:ascii="Arial" w:eastAsia="Calibri" w:hAnsi="Arial" w:cs="Arial"/>
          <w:szCs w:val="22"/>
        </w:rPr>
        <w:t>Akwa</w:t>
      </w:r>
      <w:proofErr w:type="spellEnd"/>
      <w:r w:rsidRPr="00090FBF">
        <w:rPr>
          <w:rFonts w:ascii="Arial" w:eastAsia="Calibri" w:hAnsi="Arial" w:cs="Arial"/>
          <w:szCs w:val="22"/>
        </w:rPr>
        <w:t xml:space="preserve"> Ibom State estimates the area of the </w:t>
      </w:r>
      <w:proofErr w:type="spellStart"/>
      <w:r w:rsidRPr="00090FBF">
        <w:rPr>
          <w:rFonts w:ascii="Arial" w:eastAsia="Calibri" w:hAnsi="Arial" w:cs="Arial"/>
          <w:szCs w:val="22"/>
        </w:rPr>
        <w:t>Eket</w:t>
      </w:r>
      <w:proofErr w:type="spellEnd"/>
      <w:r w:rsidRPr="00090FBF">
        <w:rPr>
          <w:rFonts w:ascii="Arial" w:eastAsia="Calibri" w:hAnsi="Arial" w:cs="Arial"/>
          <w:szCs w:val="22"/>
        </w:rPr>
        <w:t xml:space="preserve"> Local Government Area to be approximately 176.000 square Km while the 2006 National </w:t>
      </w:r>
      <w:hyperlink r:id="rId18" w:tooltip="Census" w:history="1">
        <w:r w:rsidRPr="006B51A2">
          <w:rPr>
            <w:rStyle w:val="Hyperlink"/>
            <w:rFonts w:ascii="Arial" w:eastAsia="Calibri" w:hAnsi="Arial" w:cs="Arial"/>
            <w:color w:val="auto"/>
            <w:szCs w:val="22"/>
            <w:u w:val="none"/>
          </w:rPr>
          <w:t>Census</w:t>
        </w:r>
      </w:hyperlink>
      <w:r w:rsidRPr="006B51A2">
        <w:rPr>
          <w:rFonts w:ascii="Arial" w:eastAsia="Calibri" w:hAnsi="Arial" w:cs="Arial"/>
          <w:szCs w:val="22"/>
        </w:rPr>
        <w:t> gives the population of the Local Government Area as 172,856  (</w:t>
      </w:r>
      <w:r w:rsidRPr="006B51A2">
        <w:rPr>
          <w:rFonts w:ascii="Arial" w:eastAsia="Calibri" w:hAnsi="Arial" w:cs="Arial"/>
          <w:i/>
          <w:iCs/>
          <w:szCs w:val="22"/>
        </w:rPr>
        <w:t>National Bureau of Statistics</w:t>
      </w:r>
      <w:r w:rsidRPr="006B51A2">
        <w:rPr>
          <w:rFonts w:ascii="Arial" w:eastAsia="Calibri" w:hAnsi="Arial" w:cs="Arial"/>
          <w:szCs w:val="22"/>
        </w:rPr>
        <w:t>. Retrieved June 19, 2021)</w:t>
      </w:r>
      <w:r w:rsidRPr="00090FBF">
        <w:rPr>
          <w:rFonts w:ascii="Arial" w:eastAsia="Calibri" w:hAnsi="Arial" w:cs="Arial"/>
          <w:szCs w:val="22"/>
        </w:rPr>
        <w:t xml:space="preserve">. However, the </w:t>
      </w:r>
      <w:proofErr w:type="spellStart"/>
      <w:r w:rsidRPr="00090FBF">
        <w:rPr>
          <w:rFonts w:ascii="Arial" w:eastAsia="Calibri" w:hAnsi="Arial" w:cs="Arial"/>
          <w:szCs w:val="22"/>
        </w:rPr>
        <w:t>Akwa</w:t>
      </w:r>
      <w:proofErr w:type="spellEnd"/>
      <w:r w:rsidRPr="00090FBF">
        <w:rPr>
          <w:rFonts w:ascii="Arial" w:eastAsia="Calibri" w:hAnsi="Arial" w:cs="Arial"/>
          <w:szCs w:val="22"/>
        </w:rPr>
        <w:t xml:space="preserve"> Ibom State Ministry of Economic Development gives the 2013 estimated population of the </w:t>
      </w:r>
      <w:proofErr w:type="spellStart"/>
      <w:r w:rsidRPr="00090FBF">
        <w:rPr>
          <w:rFonts w:ascii="Arial" w:eastAsia="Calibri" w:hAnsi="Arial" w:cs="Arial"/>
          <w:szCs w:val="22"/>
        </w:rPr>
        <w:t>Eket</w:t>
      </w:r>
      <w:proofErr w:type="spellEnd"/>
      <w:r w:rsidRPr="00090FBF">
        <w:rPr>
          <w:rFonts w:ascii="Arial" w:eastAsia="Calibri" w:hAnsi="Arial" w:cs="Arial"/>
          <w:szCs w:val="22"/>
        </w:rPr>
        <w:t xml:space="preserve"> Local Government Area as given as 218,438 with a population density of 1,241/square Km.</w:t>
      </w:r>
    </w:p>
    <w:p w14:paraId="74E1655A" w14:textId="77777777" w:rsidR="00090CC6" w:rsidRDefault="00090CC6" w:rsidP="00F673A1">
      <w:pPr>
        <w:pStyle w:val="Body"/>
        <w:spacing w:after="0"/>
        <w:rPr>
          <w:rFonts w:ascii="Arial" w:eastAsia="Calibri" w:hAnsi="Arial" w:cs="Arial"/>
          <w:szCs w:val="22"/>
        </w:rPr>
      </w:pPr>
    </w:p>
    <w:p w14:paraId="1657110A" w14:textId="77777777" w:rsidR="0051668F" w:rsidRDefault="0051668F" w:rsidP="0051668F">
      <w:pPr>
        <w:pStyle w:val="Body"/>
        <w:spacing w:after="0"/>
        <w:rPr>
          <w:rFonts w:ascii="Arial" w:eastAsia="Calibri" w:hAnsi="Arial" w:cs="Arial"/>
          <w:szCs w:val="22"/>
        </w:rPr>
      </w:pPr>
      <w:r>
        <w:rPr>
          <w:noProof/>
        </w:rPr>
        <w:drawing>
          <wp:inline distT="0" distB="0" distL="0" distR="0" wp14:anchorId="0CA0993E" wp14:editId="082399E5">
            <wp:extent cx="6715125" cy="27908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60694" t="43231" r="15417" b="21886"/>
                    <a:stretch/>
                  </pic:blipFill>
                  <pic:spPr bwMode="auto">
                    <a:xfrm>
                      <a:off x="0" y="0"/>
                      <a:ext cx="6715125" cy="2790825"/>
                    </a:xfrm>
                    <a:prstGeom prst="rect">
                      <a:avLst/>
                    </a:prstGeom>
                    <a:ln>
                      <a:noFill/>
                    </a:ln>
                    <a:extLst>
                      <a:ext uri="{53640926-AAD7-44D8-BBD7-CCE9431645EC}">
                        <a14:shadowObscured xmlns:a14="http://schemas.microsoft.com/office/drawing/2010/main"/>
                      </a:ext>
                    </a:extLst>
                  </pic:spPr>
                </pic:pic>
              </a:graphicData>
            </a:graphic>
          </wp:inline>
        </w:drawing>
      </w:r>
    </w:p>
    <w:p w14:paraId="25356641" w14:textId="77777777" w:rsidR="0051668F" w:rsidRPr="000320C9" w:rsidRDefault="0051668F" w:rsidP="0051668F">
      <w:pPr>
        <w:pStyle w:val="Body"/>
        <w:spacing w:after="0"/>
        <w:jc w:val="center"/>
        <w:rPr>
          <w:rFonts w:ascii="Arial" w:eastAsia="Calibri" w:hAnsi="Arial" w:cs="Arial"/>
          <w:b/>
          <w:szCs w:val="22"/>
        </w:rPr>
      </w:pPr>
      <w:r w:rsidRPr="000320C9">
        <w:rPr>
          <w:rFonts w:ascii="Arial" w:eastAsia="Calibri" w:hAnsi="Arial" w:cs="Arial"/>
          <w:b/>
          <w:szCs w:val="22"/>
        </w:rPr>
        <w:t xml:space="preserve">Fig 1 Map of </w:t>
      </w:r>
      <w:proofErr w:type="spellStart"/>
      <w:r w:rsidRPr="000320C9">
        <w:rPr>
          <w:rFonts w:ascii="Arial" w:eastAsia="Calibri" w:hAnsi="Arial" w:cs="Arial"/>
          <w:b/>
          <w:szCs w:val="22"/>
        </w:rPr>
        <w:t>Eket</w:t>
      </w:r>
      <w:proofErr w:type="spellEnd"/>
      <w:r w:rsidRPr="000320C9">
        <w:rPr>
          <w:rFonts w:ascii="Arial" w:eastAsia="Calibri" w:hAnsi="Arial" w:cs="Arial"/>
          <w:b/>
          <w:szCs w:val="22"/>
        </w:rPr>
        <w:t xml:space="preserve"> Local Government Area, </w:t>
      </w:r>
      <w:proofErr w:type="spellStart"/>
      <w:r w:rsidRPr="000320C9">
        <w:rPr>
          <w:rFonts w:ascii="Arial" w:eastAsia="Calibri" w:hAnsi="Arial" w:cs="Arial"/>
          <w:b/>
          <w:szCs w:val="22"/>
        </w:rPr>
        <w:t>Akwa</w:t>
      </w:r>
      <w:proofErr w:type="spellEnd"/>
      <w:r w:rsidRPr="000320C9">
        <w:rPr>
          <w:rFonts w:ascii="Arial" w:eastAsia="Calibri" w:hAnsi="Arial" w:cs="Arial"/>
          <w:b/>
          <w:szCs w:val="22"/>
        </w:rPr>
        <w:t xml:space="preserve"> Ibom State</w:t>
      </w:r>
    </w:p>
    <w:p w14:paraId="1F155323" w14:textId="77777777" w:rsidR="00B35391" w:rsidRDefault="00B35391" w:rsidP="00F673A1">
      <w:pPr>
        <w:pStyle w:val="Body"/>
        <w:spacing w:after="0"/>
        <w:rPr>
          <w:rFonts w:ascii="Arial" w:eastAsia="Calibri" w:hAnsi="Arial" w:cs="Arial"/>
          <w:szCs w:val="22"/>
        </w:rPr>
      </w:pPr>
    </w:p>
    <w:p w14:paraId="61C86FB2" w14:textId="77777777" w:rsidR="00FF1679" w:rsidRPr="006E7009" w:rsidRDefault="00FF1679" w:rsidP="00FF1679">
      <w:pPr>
        <w:pStyle w:val="Body"/>
        <w:spacing w:after="0"/>
        <w:rPr>
          <w:rFonts w:ascii="Arial" w:eastAsia="Calibri" w:hAnsi="Arial" w:cs="Arial"/>
          <w:b/>
          <w:i/>
          <w:szCs w:val="22"/>
        </w:rPr>
      </w:pPr>
      <w:r w:rsidRPr="006E7009">
        <w:rPr>
          <w:rFonts w:ascii="Arial" w:eastAsia="Calibri" w:hAnsi="Arial" w:cs="Arial"/>
          <w:b/>
          <w:i/>
          <w:szCs w:val="22"/>
        </w:rPr>
        <w:t xml:space="preserve">2.2 Climate of </w:t>
      </w:r>
      <w:proofErr w:type="spellStart"/>
      <w:r w:rsidRPr="006E7009">
        <w:rPr>
          <w:rFonts w:ascii="Arial" w:eastAsia="Calibri" w:hAnsi="Arial" w:cs="Arial"/>
          <w:b/>
          <w:i/>
          <w:szCs w:val="22"/>
        </w:rPr>
        <w:t>Eket</w:t>
      </w:r>
      <w:proofErr w:type="spellEnd"/>
    </w:p>
    <w:p w14:paraId="6171DFF2" w14:textId="77777777" w:rsidR="00FF1679" w:rsidRDefault="00FF1679" w:rsidP="00FF1679">
      <w:pPr>
        <w:pStyle w:val="Body"/>
        <w:spacing w:after="0"/>
        <w:rPr>
          <w:rFonts w:ascii="Arial" w:eastAsia="Calibri" w:hAnsi="Arial" w:cs="Arial"/>
          <w:szCs w:val="22"/>
        </w:rPr>
      </w:pPr>
      <w:proofErr w:type="spellStart"/>
      <w:r w:rsidRPr="006B51A2">
        <w:rPr>
          <w:rFonts w:ascii="Arial" w:eastAsia="Calibri" w:hAnsi="Arial" w:cs="Arial"/>
          <w:szCs w:val="22"/>
        </w:rPr>
        <w:t>Eket</w:t>
      </w:r>
      <w:proofErr w:type="spellEnd"/>
      <w:r w:rsidRPr="006B51A2">
        <w:rPr>
          <w:rFonts w:ascii="Arial" w:eastAsia="Calibri" w:hAnsi="Arial" w:cs="Arial"/>
          <w:szCs w:val="22"/>
        </w:rPr>
        <w:t xml:space="preserve"> experiences </w:t>
      </w:r>
      <w:hyperlink r:id="rId20" w:tooltip="Tropics" w:history="1">
        <w:r w:rsidRPr="006B51A2">
          <w:rPr>
            <w:rStyle w:val="Hyperlink"/>
            <w:rFonts w:ascii="Arial" w:eastAsia="Calibri" w:hAnsi="Arial" w:cs="Arial"/>
            <w:color w:val="auto"/>
            <w:szCs w:val="22"/>
            <w:u w:val="none"/>
          </w:rPr>
          <w:t>tropical</w:t>
        </w:r>
      </w:hyperlink>
      <w:r w:rsidRPr="006B51A2">
        <w:rPr>
          <w:rFonts w:ascii="Arial" w:eastAsia="Calibri" w:hAnsi="Arial" w:cs="Arial"/>
          <w:szCs w:val="22"/>
        </w:rPr>
        <w:t xml:space="preserve"> weather conditions. In </w:t>
      </w:r>
      <w:proofErr w:type="spellStart"/>
      <w:r w:rsidRPr="006B51A2">
        <w:rPr>
          <w:rFonts w:ascii="Arial" w:eastAsia="Calibri" w:hAnsi="Arial" w:cs="Arial"/>
          <w:szCs w:val="22"/>
        </w:rPr>
        <w:t>Eket</w:t>
      </w:r>
      <w:proofErr w:type="spellEnd"/>
      <w:r w:rsidRPr="006B51A2">
        <w:rPr>
          <w:rFonts w:ascii="Arial" w:eastAsia="Calibri" w:hAnsi="Arial" w:cs="Arial"/>
          <w:szCs w:val="22"/>
        </w:rPr>
        <w:t xml:space="preserve">, there is heavy rainfall every year. The </w:t>
      </w:r>
      <w:proofErr w:type="spellStart"/>
      <w:r w:rsidRPr="006B51A2">
        <w:rPr>
          <w:rFonts w:ascii="Arial" w:eastAsia="Calibri" w:hAnsi="Arial" w:cs="Arial"/>
          <w:szCs w:val="22"/>
        </w:rPr>
        <w:t>Köppen</w:t>
      </w:r>
      <w:proofErr w:type="spellEnd"/>
      <w:r w:rsidRPr="006B51A2">
        <w:rPr>
          <w:rFonts w:ascii="Arial" w:eastAsia="Calibri" w:hAnsi="Arial" w:cs="Arial"/>
          <w:szCs w:val="22"/>
        </w:rPr>
        <w:t xml:space="preserve"> and Geiger classification for this climate is </w:t>
      </w:r>
      <w:proofErr w:type="spellStart"/>
      <w:r w:rsidRPr="006B51A2">
        <w:rPr>
          <w:rFonts w:ascii="Arial" w:eastAsia="Calibri" w:hAnsi="Arial" w:cs="Arial"/>
          <w:szCs w:val="22"/>
        </w:rPr>
        <w:t>Af</w:t>
      </w:r>
      <w:proofErr w:type="spellEnd"/>
      <w:r w:rsidRPr="006B51A2">
        <w:rPr>
          <w:rFonts w:ascii="Arial" w:eastAsia="Calibri" w:hAnsi="Arial" w:cs="Arial"/>
          <w:szCs w:val="22"/>
        </w:rPr>
        <w:t xml:space="preserve">. According to the information available, the mean annual temperature recorded in </w:t>
      </w:r>
      <w:proofErr w:type="spellStart"/>
      <w:r w:rsidRPr="006B51A2">
        <w:rPr>
          <w:rFonts w:ascii="Arial" w:eastAsia="Calibri" w:hAnsi="Arial" w:cs="Arial"/>
          <w:szCs w:val="22"/>
        </w:rPr>
        <w:t>Eket</w:t>
      </w:r>
      <w:proofErr w:type="spellEnd"/>
      <w:r w:rsidRPr="006B51A2">
        <w:rPr>
          <w:rFonts w:ascii="Arial" w:eastAsia="Calibri" w:hAnsi="Arial" w:cs="Arial"/>
          <w:szCs w:val="22"/>
        </w:rPr>
        <w:t xml:space="preserve"> is 25.9 °C | 78.6 °F. Every year, there is about 3675 mm | 144.7 </w:t>
      </w:r>
      <w:proofErr w:type="gramStart"/>
      <w:r w:rsidRPr="006B51A2">
        <w:rPr>
          <w:rFonts w:ascii="Arial" w:eastAsia="Calibri" w:hAnsi="Arial" w:cs="Arial"/>
          <w:szCs w:val="22"/>
        </w:rPr>
        <w:t>inch</w:t>
      </w:r>
      <w:proofErr w:type="gramEnd"/>
      <w:r w:rsidRPr="006B51A2">
        <w:rPr>
          <w:rFonts w:ascii="Arial" w:eastAsia="Calibri" w:hAnsi="Arial" w:cs="Arial"/>
          <w:szCs w:val="22"/>
        </w:rPr>
        <w:t xml:space="preserve"> of rainfall. </w:t>
      </w:r>
      <w:proofErr w:type="spellStart"/>
      <w:r w:rsidRPr="006B51A2">
        <w:rPr>
          <w:rFonts w:ascii="Arial" w:eastAsia="Calibri" w:hAnsi="Arial" w:cs="Arial"/>
          <w:szCs w:val="22"/>
        </w:rPr>
        <w:t>Eket</w:t>
      </w:r>
      <w:proofErr w:type="spellEnd"/>
      <w:r w:rsidRPr="006B51A2">
        <w:rPr>
          <w:rFonts w:ascii="Arial" w:eastAsia="Calibri" w:hAnsi="Arial" w:cs="Arial"/>
          <w:szCs w:val="22"/>
        </w:rPr>
        <w:t xml:space="preserve"> has a mild </w:t>
      </w:r>
      <w:hyperlink r:id="rId21" w:tooltip="Climate" w:history="1">
        <w:r w:rsidRPr="006B51A2">
          <w:rPr>
            <w:rStyle w:val="Hyperlink"/>
            <w:rFonts w:ascii="Arial" w:eastAsia="Calibri" w:hAnsi="Arial" w:cs="Arial"/>
            <w:color w:val="auto"/>
            <w:szCs w:val="22"/>
            <w:u w:val="none"/>
          </w:rPr>
          <w:t>climate</w:t>
        </w:r>
      </w:hyperlink>
      <w:r w:rsidRPr="006B51A2">
        <w:rPr>
          <w:rFonts w:ascii="Arial" w:eastAsia="Calibri" w:hAnsi="Arial" w:cs="Arial"/>
          <w:szCs w:val="22"/>
        </w:rPr>
        <w:t>, and summers are difficult to pin down. January, February, March, April, May, November, and December are the ideal months to travel</w:t>
      </w:r>
      <w:r>
        <w:rPr>
          <w:rFonts w:ascii="Arial" w:eastAsia="Calibri" w:hAnsi="Arial" w:cs="Arial"/>
          <w:szCs w:val="22"/>
        </w:rPr>
        <w:t xml:space="preserve"> (</w:t>
      </w:r>
      <w:proofErr w:type="spellStart"/>
      <w:r>
        <w:rPr>
          <w:rFonts w:ascii="Arial" w:eastAsia="Calibri" w:hAnsi="Arial" w:cs="Arial"/>
          <w:szCs w:val="22"/>
        </w:rPr>
        <w:t>Eket</w:t>
      </w:r>
      <w:proofErr w:type="spellEnd"/>
      <w:r>
        <w:rPr>
          <w:rFonts w:ascii="Arial" w:eastAsia="Calibri" w:hAnsi="Arial" w:cs="Arial"/>
          <w:szCs w:val="22"/>
        </w:rPr>
        <w:t xml:space="preserve"> Climate 2023).</w:t>
      </w:r>
    </w:p>
    <w:p w14:paraId="20603182" w14:textId="77777777" w:rsidR="00B35391" w:rsidRDefault="00B35391" w:rsidP="00F673A1">
      <w:pPr>
        <w:pStyle w:val="Body"/>
        <w:spacing w:after="0"/>
        <w:rPr>
          <w:rFonts w:ascii="Arial" w:eastAsia="Calibri" w:hAnsi="Arial" w:cs="Arial"/>
          <w:b/>
          <w:szCs w:val="22"/>
        </w:rPr>
      </w:pPr>
    </w:p>
    <w:p w14:paraId="05FA286F" w14:textId="09AB843E" w:rsidR="000367A8" w:rsidRPr="000367A8" w:rsidRDefault="00813787" w:rsidP="000367A8">
      <w:pPr>
        <w:pStyle w:val="Body"/>
        <w:spacing w:after="0"/>
        <w:rPr>
          <w:rFonts w:ascii="Arial" w:eastAsia="Calibri" w:hAnsi="Arial" w:cs="Arial"/>
          <w:b/>
          <w:szCs w:val="22"/>
        </w:rPr>
      </w:pPr>
      <w:r>
        <w:rPr>
          <w:rFonts w:ascii="Arial" w:eastAsia="Calibri" w:hAnsi="Arial" w:cs="Arial"/>
          <w:b/>
          <w:i/>
          <w:iCs/>
          <w:szCs w:val="22"/>
        </w:rPr>
        <w:t>2.3</w:t>
      </w:r>
      <w:r w:rsidR="000367A8" w:rsidRPr="000367A8">
        <w:rPr>
          <w:rFonts w:ascii="Arial" w:eastAsia="Calibri" w:hAnsi="Arial" w:cs="Arial"/>
          <w:b/>
          <w:i/>
          <w:iCs/>
          <w:szCs w:val="22"/>
        </w:rPr>
        <w:t xml:space="preserve"> Sample Collection and Analysis</w:t>
      </w:r>
    </w:p>
    <w:p w14:paraId="68EDCBD1" w14:textId="3B4ACD19" w:rsidR="000367A8" w:rsidRPr="000367A8" w:rsidRDefault="000367A8" w:rsidP="000367A8">
      <w:pPr>
        <w:pStyle w:val="Body"/>
        <w:spacing w:after="0"/>
        <w:rPr>
          <w:rFonts w:ascii="Arial" w:eastAsia="Calibri" w:hAnsi="Arial" w:cs="Arial"/>
          <w:szCs w:val="22"/>
        </w:rPr>
      </w:pPr>
      <w:r w:rsidRPr="000367A8">
        <w:rPr>
          <w:rFonts w:ascii="Arial" w:eastAsia="Calibri" w:hAnsi="Arial" w:cs="Arial"/>
          <w:szCs w:val="22"/>
        </w:rPr>
        <w:t>Soil samples were collec</w:t>
      </w:r>
      <w:r w:rsidR="0087407A">
        <w:rPr>
          <w:rFonts w:ascii="Arial" w:eastAsia="Calibri" w:hAnsi="Arial" w:cs="Arial"/>
          <w:szCs w:val="22"/>
        </w:rPr>
        <w:t xml:space="preserve">ted in polythene bags from </w:t>
      </w:r>
      <w:r w:rsidR="0087407A" w:rsidRPr="0087407A">
        <w:rPr>
          <w:rFonts w:ascii="Arial" w:eastAsia="Calibri" w:hAnsi="Arial" w:cs="Arial"/>
          <w:bCs/>
          <w:szCs w:val="22"/>
        </w:rPr>
        <w:t>four designated sampling locations SP1, SP2, SP3 and SP4</w:t>
      </w:r>
      <w:r w:rsidR="00BA5CB9">
        <w:rPr>
          <w:rFonts w:ascii="Arial" w:eastAsia="Calibri" w:hAnsi="Arial" w:cs="Arial"/>
          <w:bCs/>
          <w:szCs w:val="22"/>
        </w:rPr>
        <w:t xml:space="preserve"> in</w:t>
      </w:r>
      <w:r w:rsidR="0087407A">
        <w:rPr>
          <w:rFonts w:ascii="Arial" w:eastAsia="Calibri" w:hAnsi="Arial" w:cs="Arial"/>
          <w:bCs/>
          <w:szCs w:val="22"/>
        </w:rPr>
        <w:t xml:space="preserve"> </w:t>
      </w:r>
      <w:proofErr w:type="spellStart"/>
      <w:r w:rsidR="00F82647">
        <w:rPr>
          <w:rFonts w:ascii="Arial" w:eastAsia="Calibri" w:hAnsi="Arial" w:cs="Arial"/>
          <w:szCs w:val="22"/>
        </w:rPr>
        <w:t>Eket</w:t>
      </w:r>
      <w:proofErr w:type="spellEnd"/>
      <w:r w:rsidR="00F82647">
        <w:rPr>
          <w:rFonts w:ascii="Arial" w:eastAsia="Calibri" w:hAnsi="Arial" w:cs="Arial"/>
          <w:szCs w:val="22"/>
        </w:rPr>
        <w:t xml:space="preserve"> City</w:t>
      </w:r>
      <w:r w:rsidRPr="000367A8">
        <w:rPr>
          <w:rFonts w:ascii="Arial" w:eastAsia="Calibri" w:hAnsi="Arial" w:cs="Arial"/>
          <w:szCs w:val="22"/>
        </w:rPr>
        <w:t xml:space="preserve">. </w:t>
      </w:r>
      <w:r w:rsidR="00D050C0" w:rsidRPr="00D050C0">
        <w:rPr>
          <w:rFonts w:ascii="Arial" w:eastAsia="Calibri" w:hAnsi="Arial" w:cs="Arial"/>
          <w:szCs w:val="22"/>
        </w:rPr>
        <w:t xml:space="preserve">The heavy metals were analyzed for </w:t>
      </w:r>
      <w:r w:rsidR="005113FD" w:rsidRPr="005113FD">
        <w:rPr>
          <w:rFonts w:ascii="Arial" w:eastAsia="Calibri" w:hAnsi="Arial" w:cs="Arial"/>
          <w:szCs w:val="22"/>
        </w:rPr>
        <w:t>Cd, Cr, Cu, Fe, Mn, Ni, Pb, and Zn</w:t>
      </w:r>
      <w:r w:rsidR="00D050C0" w:rsidRPr="00D050C0">
        <w:rPr>
          <w:rFonts w:ascii="Arial" w:eastAsia="Calibri" w:hAnsi="Arial" w:cs="Arial"/>
          <w:szCs w:val="22"/>
        </w:rPr>
        <w:t xml:space="preserve">. The method Developed by </w:t>
      </w:r>
      <w:r w:rsidR="00925FD0">
        <w:rPr>
          <w:rFonts w:ascii="Arial" w:eastAsia="Calibri" w:hAnsi="Arial" w:cs="Arial"/>
          <w:szCs w:val="22"/>
        </w:rPr>
        <w:t>(</w:t>
      </w:r>
      <w:r w:rsidR="00925FD0" w:rsidRPr="00925FD0">
        <w:rPr>
          <w:rFonts w:ascii="Arial" w:eastAsia="Calibri" w:hAnsi="Arial" w:cs="Arial"/>
          <w:szCs w:val="22"/>
        </w:rPr>
        <w:t xml:space="preserve">Lindsay and Norvell </w:t>
      </w:r>
      <w:r w:rsidR="00710FD5">
        <w:rPr>
          <w:rFonts w:ascii="Arial" w:eastAsia="Calibri" w:hAnsi="Arial" w:cs="Arial"/>
          <w:szCs w:val="22"/>
        </w:rPr>
        <w:t>1978)</w:t>
      </w:r>
      <w:r w:rsidR="00D050C0" w:rsidRPr="00D050C0">
        <w:rPr>
          <w:rFonts w:ascii="Arial" w:eastAsia="Calibri" w:hAnsi="Arial" w:cs="Arial"/>
          <w:szCs w:val="22"/>
        </w:rPr>
        <w:t xml:space="preserve"> using DTPA extractant (Diethylene triamine </w:t>
      </w:r>
      <w:proofErr w:type="spellStart"/>
      <w:r w:rsidR="00D050C0" w:rsidRPr="00D050C0">
        <w:rPr>
          <w:rFonts w:ascii="Arial" w:eastAsia="Calibri" w:hAnsi="Arial" w:cs="Arial"/>
          <w:szCs w:val="22"/>
        </w:rPr>
        <w:t>penta</w:t>
      </w:r>
      <w:proofErr w:type="spellEnd"/>
      <w:r w:rsidR="00D050C0" w:rsidRPr="00D050C0">
        <w:rPr>
          <w:rFonts w:ascii="Arial" w:eastAsia="Calibri" w:hAnsi="Arial" w:cs="Arial"/>
          <w:szCs w:val="22"/>
        </w:rPr>
        <w:t xml:space="preserve"> acetic acid) was followed for the estimation of </w:t>
      </w:r>
      <w:r w:rsidRPr="000367A8">
        <w:rPr>
          <w:rFonts w:ascii="Arial" w:eastAsia="Calibri" w:hAnsi="Arial" w:cs="Arial"/>
          <w:szCs w:val="22"/>
        </w:rPr>
        <w:t xml:space="preserve">Cd, </w:t>
      </w:r>
      <w:r>
        <w:rPr>
          <w:rFonts w:ascii="Arial" w:eastAsia="Calibri" w:hAnsi="Arial" w:cs="Arial"/>
          <w:szCs w:val="22"/>
        </w:rPr>
        <w:t>Cr, Cu, Fe, Mn, Ni, Pb, and Zn.</w:t>
      </w:r>
      <w:r w:rsidRPr="000367A8">
        <w:rPr>
          <w:rFonts w:ascii="Arial" w:eastAsia="Calibri" w:hAnsi="Arial" w:cs="Arial"/>
          <w:szCs w:val="22"/>
        </w:rPr>
        <w:t xml:space="preserve"> </w:t>
      </w:r>
    </w:p>
    <w:p w14:paraId="466E0037" w14:textId="77777777" w:rsidR="00F5553F" w:rsidRDefault="00F5553F" w:rsidP="00DB2D09">
      <w:pPr>
        <w:spacing w:after="200"/>
        <w:jc w:val="both"/>
        <w:rPr>
          <w:rFonts w:ascii="Times New Roman" w:eastAsia="Calibri" w:hAnsi="Times New Roman"/>
          <w:b/>
          <w:iCs/>
          <w:noProof/>
          <w:sz w:val="24"/>
          <w:szCs w:val="24"/>
        </w:rPr>
      </w:pPr>
    </w:p>
    <w:p w14:paraId="050B05C4" w14:textId="77777777" w:rsidR="00F5553F" w:rsidRDefault="00F5553F" w:rsidP="00DB2D09">
      <w:pPr>
        <w:spacing w:after="200"/>
        <w:jc w:val="both"/>
        <w:rPr>
          <w:rFonts w:ascii="Times New Roman" w:eastAsia="Calibri" w:hAnsi="Times New Roman"/>
          <w:b/>
          <w:iCs/>
          <w:noProof/>
          <w:sz w:val="24"/>
          <w:szCs w:val="24"/>
        </w:rPr>
      </w:pPr>
    </w:p>
    <w:p w14:paraId="12E8E422" w14:textId="77777777" w:rsidR="00F5553F" w:rsidRDefault="00F5553F" w:rsidP="00DB2D09">
      <w:pPr>
        <w:spacing w:after="200"/>
        <w:jc w:val="both"/>
        <w:rPr>
          <w:rFonts w:ascii="Times New Roman" w:eastAsia="Calibri" w:hAnsi="Times New Roman"/>
          <w:b/>
          <w:iCs/>
          <w:noProof/>
          <w:sz w:val="24"/>
          <w:szCs w:val="24"/>
        </w:rPr>
      </w:pPr>
    </w:p>
    <w:p w14:paraId="7047C612" w14:textId="052F98D1" w:rsidR="00DB2D09" w:rsidRPr="00DB2D09" w:rsidRDefault="00EA11DB" w:rsidP="00DB2D09">
      <w:pPr>
        <w:spacing w:after="200"/>
        <w:jc w:val="both"/>
        <w:rPr>
          <w:rFonts w:ascii="Times New Roman" w:eastAsia="Calibri" w:hAnsi="Times New Roman"/>
          <w:b/>
          <w:iCs/>
          <w:noProof/>
          <w:sz w:val="24"/>
          <w:szCs w:val="24"/>
        </w:rPr>
      </w:pPr>
      <w:r>
        <w:rPr>
          <w:rFonts w:ascii="Times New Roman" w:eastAsia="Calibri" w:hAnsi="Times New Roman"/>
          <w:b/>
          <w:iCs/>
          <w:noProof/>
          <w:sz w:val="24"/>
          <w:szCs w:val="24"/>
        </w:rPr>
        <w:t>2.4</w:t>
      </w:r>
      <w:r w:rsidR="00DB2D09" w:rsidRPr="00DB2D09">
        <w:rPr>
          <w:rFonts w:ascii="Times New Roman" w:eastAsia="Calibri" w:hAnsi="Times New Roman"/>
          <w:b/>
          <w:iCs/>
          <w:noProof/>
          <w:sz w:val="24"/>
          <w:szCs w:val="24"/>
        </w:rPr>
        <w:t xml:space="preserve"> Heavy Metal Contamination Assessment </w:t>
      </w:r>
    </w:p>
    <w:p w14:paraId="03E49A2B" w14:textId="77777777" w:rsidR="00BD6A58" w:rsidRDefault="00BD6A58" w:rsidP="00BD6A58">
      <w:pPr>
        <w:spacing w:after="200"/>
        <w:jc w:val="both"/>
      </w:pPr>
      <w:r>
        <w:t>The contaminations level of heavy metals in road side soils were evaluated by contamination indices. Contamination factors (</w:t>
      </w:r>
      <w:proofErr w:type="spellStart"/>
      <w:r>
        <w:t>Cf</w:t>
      </w:r>
      <w:proofErr w:type="spellEnd"/>
      <w:r>
        <w:t xml:space="preserve">), the degree of contamination (Cd), the pollution load index (PLI) and Geo-accumulation index (I-geo) were used. </w:t>
      </w:r>
      <w:proofErr w:type="spellStart"/>
      <w:r>
        <w:t>Cf</w:t>
      </w:r>
      <w:proofErr w:type="spellEnd"/>
      <w:r>
        <w:t xml:space="preserve"> and Cd were calculated as suggested by </w:t>
      </w:r>
      <w:proofErr w:type="spellStart"/>
      <w:r>
        <w:t>Håkanson</w:t>
      </w:r>
      <w:proofErr w:type="spellEnd"/>
      <w:r>
        <w:t xml:space="preserve"> (1980) through the formulas as in Table 1:</w:t>
      </w:r>
    </w:p>
    <w:p w14:paraId="0566AC97" w14:textId="543D9F61" w:rsidR="00BD6A58" w:rsidRDefault="00BD6A58" w:rsidP="00BD6A58">
      <w:pPr>
        <w:spacing w:after="200"/>
        <w:jc w:val="both"/>
      </w:pPr>
      <w:r>
        <w:t xml:space="preserve">Where; Cs is the measured concentration of the examined metal in the road side soil and </w:t>
      </w:r>
      <w:proofErr w:type="spellStart"/>
      <w:r>
        <w:t>Cb</w:t>
      </w:r>
      <w:proofErr w:type="spellEnd"/>
      <w:r>
        <w:t xml:space="preserve"> is the geochemical background concentration or reference value of the metal or the background value of heavy metals in the uncontaminated soil (</w:t>
      </w:r>
      <w:proofErr w:type="spellStart"/>
      <w:r>
        <w:t>Khairy</w:t>
      </w:r>
      <w:proofErr w:type="spellEnd"/>
      <w:r>
        <w:t xml:space="preserve"> </w:t>
      </w:r>
      <w:r w:rsidRPr="00281C9B">
        <w:rPr>
          <w:i/>
        </w:rPr>
        <w:t>et al.</w:t>
      </w:r>
      <w:r>
        <w:t xml:space="preserve">, 2011). </w:t>
      </w:r>
      <w:proofErr w:type="spellStart"/>
      <w:r>
        <w:t>Håkanson</w:t>
      </w:r>
      <w:proofErr w:type="spellEnd"/>
      <w:r>
        <w:t xml:space="preserve"> (1980) suggested four classes of </w:t>
      </w:r>
      <w:proofErr w:type="spellStart"/>
      <w:r>
        <w:t>Cf</w:t>
      </w:r>
      <w:proofErr w:type="spellEnd"/>
      <w:r>
        <w:t xml:space="preserve"> to evaluate the metal contamination levels as shown in Table 1. Four categories of Cd as suggested were used to evaluate metal contamination levels (Table 1). If the Cd value exceeds 20, then it is necessary to take immediate counter measures to reduce heavy metal contamination in the soil. In addition, each site was evaluated for the extent of metal pollution by employing the method based on the pollution load index (PLI) developed by </w:t>
      </w:r>
      <w:proofErr w:type="spellStart"/>
      <w:r>
        <w:t>Thomilson</w:t>
      </w:r>
      <w:proofErr w:type="spellEnd"/>
      <w:r>
        <w:t xml:space="preserve"> </w:t>
      </w:r>
      <w:r w:rsidRPr="00E46643">
        <w:rPr>
          <w:i/>
        </w:rPr>
        <w:t>et al</w:t>
      </w:r>
      <w:r>
        <w:t>. (1980), as in Table 1:</w:t>
      </w:r>
    </w:p>
    <w:p w14:paraId="149597D4" w14:textId="5951D6D4" w:rsidR="00BD6A58" w:rsidRDefault="00BD6A58" w:rsidP="00BD6A58">
      <w:pPr>
        <w:spacing w:after="200"/>
        <w:jc w:val="both"/>
      </w:pPr>
      <w:r>
        <w:t xml:space="preserve">Where; n is the number of metals studied and </w:t>
      </w:r>
      <w:proofErr w:type="spellStart"/>
      <w:r>
        <w:t>Cf</w:t>
      </w:r>
      <w:proofErr w:type="spellEnd"/>
      <w:r>
        <w:t xml:space="preserve"> is the contamination factor calculated as described using equation as presented in Table 1. The PLI provides simple but comparative means for assessing a site quality. The rank of values of PLI and its implication is shown in table 1 (</w:t>
      </w:r>
      <w:proofErr w:type="spellStart"/>
      <w:r>
        <w:t>Thomilson</w:t>
      </w:r>
      <w:proofErr w:type="spellEnd"/>
      <w:r>
        <w:t xml:space="preserve"> </w:t>
      </w:r>
      <w:r w:rsidRPr="00AF059F">
        <w:rPr>
          <w:i/>
        </w:rPr>
        <w:t>et al</w:t>
      </w:r>
      <w:r>
        <w:t>., 1980).</w:t>
      </w:r>
    </w:p>
    <w:p w14:paraId="49EE62ED" w14:textId="77777777" w:rsidR="00BD6A58" w:rsidRDefault="00BD6A58" w:rsidP="00BD6A58">
      <w:pPr>
        <w:spacing w:after="200"/>
        <w:jc w:val="both"/>
      </w:pPr>
      <w:r>
        <w:t>Geo-accumulation index (I geo)</w:t>
      </w:r>
    </w:p>
    <w:p w14:paraId="5955FFCE" w14:textId="77777777" w:rsidR="00BD6A58" w:rsidRPr="00DB2D09" w:rsidRDefault="00BD6A58" w:rsidP="00BD6A58">
      <w:pPr>
        <w:spacing w:after="200"/>
        <w:jc w:val="both"/>
        <w:rPr>
          <w:rFonts w:ascii="Times New Roman" w:eastAsia="Calibri" w:hAnsi="Times New Roman"/>
          <w:b/>
          <w:iCs/>
          <w:noProof/>
          <w:sz w:val="24"/>
          <w:szCs w:val="24"/>
        </w:rPr>
      </w:pPr>
      <w:r>
        <w:t xml:space="preserve">The geo-accumulation index (I geo) is defined as enrichment of metal concentration above baseline concentrations was calculated using the method proposed by Muller (1969). This method assesses the metal pollution in terms of seven (0 to 6) enrichment classes ranging from background concentration to very heavily polluted, as shown in Table 1. The factor, 1.5 introduced in the equation was to minimize the effect of possible variations in the background values, </w:t>
      </w:r>
      <w:proofErr w:type="spellStart"/>
      <w:r>
        <w:t>Cb</w:t>
      </w:r>
      <w:proofErr w:type="spellEnd"/>
      <w:r>
        <w:t>, which may be attributed to lithogenic variations in soils. The seven proposed descriptive classes for I geo values are given in Table 1 (Muller, 1969).</w:t>
      </w:r>
    </w:p>
    <w:p w14:paraId="2019F581" w14:textId="77777777" w:rsidR="00DB2D09" w:rsidRPr="00DB2D09" w:rsidRDefault="00DB2D09" w:rsidP="00DB2D09">
      <w:pPr>
        <w:jc w:val="center"/>
        <w:rPr>
          <w:rFonts w:ascii="Times New Roman" w:eastAsia="Calibri" w:hAnsi="Times New Roman"/>
          <w:noProof/>
          <w:sz w:val="24"/>
          <w:szCs w:val="24"/>
          <w:shd w:val="clear" w:color="auto" w:fill="FFFFFF"/>
          <w:lang w:val="en-GB"/>
        </w:rPr>
      </w:pPr>
      <w:bookmarkStart w:id="1" w:name="_Hlk162888570"/>
      <w:r w:rsidRPr="00DB2D09">
        <w:rPr>
          <w:rFonts w:ascii="Times New Roman" w:eastAsia="Calibri" w:hAnsi="Times New Roman"/>
          <w:b/>
          <w:noProof/>
          <w:sz w:val="24"/>
          <w:szCs w:val="24"/>
          <w:shd w:val="clear" w:color="auto" w:fill="FFFFFF"/>
          <w:lang w:val="en-GB"/>
        </w:rPr>
        <w:t>Table 1:</w:t>
      </w:r>
      <w:r w:rsidRPr="00DB2D09">
        <w:rPr>
          <w:rFonts w:ascii="Times New Roman" w:eastAsia="Calibri" w:hAnsi="Times New Roman"/>
          <w:noProof/>
          <w:sz w:val="24"/>
          <w:szCs w:val="24"/>
          <w:shd w:val="clear" w:color="auto" w:fill="FFFFFF"/>
          <w:lang w:val="en-GB"/>
        </w:rPr>
        <w:t xml:space="preserve"> Contamination Models and Description of Models</w:t>
      </w:r>
      <w:bookmarkEnd w:id="1"/>
    </w:p>
    <w:tbl>
      <w:tblPr>
        <w:tblStyle w:val="TableGrid1"/>
        <w:tblW w:w="8730"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160"/>
        <w:gridCol w:w="1980"/>
        <w:gridCol w:w="1800"/>
        <w:gridCol w:w="2790"/>
      </w:tblGrid>
      <w:tr w:rsidR="00DB2D09" w:rsidRPr="00DB2D09" w14:paraId="0E74A7AE" w14:textId="77777777" w:rsidTr="00DB2D09">
        <w:trPr>
          <w:trHeight w:val="548"/>
          <w:jc w:val="center"/>
        </w:trPr>
        <w:tc>
          <w:tcPr>
            <w:tcW w:w="2160" w:type="dxa"/>
            <w:tcBorders>
              <w:top w:val="single" w:sz="4" w:space="0" w:color="auto"/>
              <w:left w:val="nil"/>
              <w:bottom w:val="single" w:sz="4" w:space="0" w:color="auto"/>
              <w:right w:val="nil"/>
            </w:tcBorders>
            <w:hideMark/>
          </w:tcPr>
          <w:p w14:paraId="1EEC1E3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 Contamination indices (CI)</w:t>
            </w:r>
          </w:p>
        </w:tc>
        <w:tc>
          <w:tcPr>
            <w:tcW w:w="1980" w:type="dxa"/>
            <w:tcBorders>
              <w:top w:val="single" w:sz="4" w:space="0" w:color="auto"/>
              <w:left w:val="nil"/>
              <w:bottom w:val="single" w:sz="4" w:space="0" w:color="auto"/>
              <w:right w:val="nil"/>
            </w:tcBorders>
            <w:hideMark/>
          </w:tcPr>
          <w:p w14:paraId="63511C3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Models</w:t>
            </w:r>
          </w:p>
        </w:tc>
        <w:tc>
          <w:tcPr>
            <w:tcW w:w="1800" w:type="dxa"/>
            <w:tcBorders>
              <w:top w:val="single" w:sz="4" w:space="0" w:color="auto"/>
              <w:left w:val="nil"/>
              <w:bottom w:val="single" w:sz="4" w:space="0" w:color="auto"/>
              <w:right w:val="nil"/>
            </w:tcBorders>
            <w:hideMark/>
          </w:tcPr>
          <w:p w14:paraId="39B384AE"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Values</w:t>
            </w:r>
          </w:p>
        </w:tc>
        <w:tc>
          <w:tcPr>
            <w:tcW w:w="2790" w:type="dxa"/>
            <w:tcBorders>
              <w:top w:val="single" w:sz="4" w:space="0" w:color="auto"/>
              <w:left w:val="nil"/>
              <w:bottom w:val="single" w:sz="4" w:space="0" w:color="auto"/>
              <w:right w:val="nil"/>
            </w:tcBorders>
            <w:hideMark/>
          </w:tcPr>
          <w:p w14:paraId="36F5CAD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Degree of Contamination</w:t>
            </w:r>
          </w:p>
        </w:tc>
      </w:tr>
      <w:tr w:rsidR="00DB2D09" w:rsidRPr="00DB2D09" w14:paraId="20C0E0E4" w14:textId="77777777" w:rsidTr="00DB2D09">
        <w:trPr>
          <w:trHeight w:val="1077"/>
          <w:jc w:val="center"/>
        </w:trPr>
        <w:tc>
          <w:tcPr>
            <w:tcW w:w="2160" w:type="dxa"/>
            <w:tcBorders>
              <w:top w:val="single" w:sz="4" w:space="0" w:color="auto"/>
              <w:left w:val="nil"/>
              <w:bottom w:val="single" w:sz="4" w:space="0" w:color="auto"/>
              <w:right w:val="nil"/>
            </w:tcBorders>
            <w:hideMark/>
          </w:tcPr>
          <w:p w14:paraId="2C516972" w14:textId="77777777" w:rsidR="00DB2D09" w:rsidRPr="00DB2D09" w:rsidRDefault="00DB2D09" w:rsidP="00DB2D09">
            <w:pPr>
              <w:jc w:val="both"/>
              <w:rPr>
                <w:rFonts w:ascii="Times New Roman" w:hAnsi="Times New Roman"/>
                <w:noProof/>
                <w:szCs w:val="24"/>
                <w:shd w:val="clear" w:color="auto" w:fill="FFFFFF"/>
                <w:lang w:val="en-GB"/>
              </w:rPr>
            </w:pPr>
            <w:bookmarkStart w:id="2" w:name="_Hlk166342864"/>
            <w:r w:rsidRPr="00DB2D09">
              <w:rPr>
                <w:rFonts w:ascii="Times New Roman" w:hAnsi="Times New Roman"/>
                <w:noProof/>
                <w:szCs w:val="24"/>
                <w:shd w:val="clear" w:color="auto" w:fill="FFFFFF"/>
                <w:lang w:val="en-GB"/>
              </w:rPr>
              <w:t xml:space="preserve"> Contamination Factor (CF)</w:t>
            </w:r>
          </w:p>
        </w:tc>
        <w:tc>
          <w:tcPr>
            <w:tcW w:w="1980" w:type="dxa"/>
            <w:tcBorders>
              <w:top w:val="single" w:sz="4" w:space="0" w:color="auto"/>
              <w:left w:val="nil"/>
              <w:bottom w:val="single" w:sz="4" w:space="0" w:color="auto"/>
              <w:right w:val="nil"/>
            </w:tcBorders>
          </w:tcPr>
          <w:p w14:paraId="4A470CD6"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CF=</m:t>
                </m:r>
                <m:f>
                  <m:fPr>
                    <m:ctrlPr>
                      <w:rPr>
                        <w:rFonts w:ascii="Cambria Math" w:hAnsi="Cambria Math"/>
                        <w:i/>
                        <w:noProof/>
                        <w:szCs w:val="24"/>
                        <w:shd w:val="clear" w:color="auto" w:fill="FFFFFF"/>
                        <w:lang w:val="en-GB"/>
                      </w:rPr>
                    </m:ctrlPr>
                  </m:fPr>
                  <m:num>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m</m:t>
                        </m:r>
                      </m:sub>
                    </m:sSub>
                  </m:num>
                  <m:den>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b</m:t>
                        </m:r>
                      </m:sub>
                    </m:sSub>
                  </m:den>
                </m:f>
              </m:oMath>
            </m:oMathPara>
          </w:p>
          <w:p w14:paraId="22C44017" w14:textId="77777777" w:rsidR="00DB2D09" w:rsidRPr="00DB2D09" w:rsidRDefault="00DB2D09" w:rsidP="00DB2D09">
            <w:pPr>
              <w:jc w:val="both"/>
              <w:rPr>
                <w:rFonts w:ascii="Times New Roman" w:hAnsi="Times New Roman"/>
                <w:noProof/>
                <w:szCs w:val="24"/>
                <w:shd w:val="clear" w:color="auto" w:fill="FFFFFF"/>
                <w:lang w:val="en-GB"/>
              </w:rPr>
            </w:pPr>
          </w:p>
        </w:tc>
        <w:tc>
          <w:tcPr>
            <w:tcW w:w="1800" w:type="dxa"/>
            <w:tcBorders>
              <w:top w:val="single" w:sz="4" w:space="0" w:color="auto"/>
              <w:left w:val="nil"/>
              <w:bottom w:val="single" w:sz="4" w:space="0" w:color="auto"/>
              <w:right w:val="nil"/>
            </w:tcBorders>
            <w:hideMark/>
          </w:tcPr>
          <w:p w14:paraId="5DDB7DBB"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CF&lt;1</m:t>
              </m:r>
            </m:oMath>
            <w:r w:rsidRPr="00DB2D09">
              <w:rPr>
                <w:rFonts w:ascii="Times New Roman" w:hAnsi="Times New Roman"/>
                <w:noProof/>
                <w:szCs w:val="24"/>
                <w:shd w:val="clear" w:color="auto" w:fill="FFFFFF"/>
                <w:lang w:val="en-GB"/>
              </w:rPr>
              <w:t xml:space="preserve">                      </w:t>
            </w:r>
          </w:p>
          <w:p w14:paraId="487364CC"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1&lt;CF&lt;3</m:t>
              </m:r>
            </m:oMath>
            <w:r w:rsidRPr="00DB2D09">
              <w:rPr>
                <w:rFonts w:ascii="Times New Roman" w:hAnsi="Times New Roman"/>
                <w:noProof/>
                <w:szCs w:val="24"/>
                <w:shd w:val="clear" w:color="auto" w:fill="FFFFFF"/>
                <w:lang w:val="en-GB"/>
              </w:rPr>
              <w:t xml:space="preserve">               </w:t>
            </w:r>
          </w:p>
          <w:p w14:paraId="0DEEB53D"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3&lt;CF&lt;6</m:t>
              </m:r>
            </m:oMath>
            <w:r w:rsidRPr="00DB2D09">
              <w:rPr>
                <w:rFonts w:ascii="Times New Roman" w:hAnsi="Times New Roman"/>
                <w:noProof/>
                <w:szCs w:val="24"/>
                <w:shd w:val="clear" w:color="auto" w:fill="FFFFFF"/>
                <w:lang w:val="en-GB"/>
              </w:rPr>
              <w:t xml:space="preserve">              </w:t>
            </w:r>
          </w:p>
          <w:p w14:paraId="19AB9172" w14:textId="77777777" w:rsidR="00DB2D09" w:rsidRPr="00DB2D09" w:rsidRDefault="00DB2D09" w:rsidP="00DB2D09">
            <w:pPr>
              <w:jc w:val="both"/>
              <w:rPr>
                <w:rFonts w:ascii="Times New Roman" w:hAnsi="Times New Roman"/>
                <w:noProof/>
                <w:szCs w:val="24"/>
                <w:shd w:val="clear" w:color="auto" w:fill="FFFFFF"/>
                <w:lang w:val="en-GB"/>
              </w:rPr>
            </w:pPr>
            <m:oMath>
              <m:r>
                <w:rPr>
                  <w:rFonts w:ascii="Cambria Math" w:hAnsi="Cambria Math"/>
                  <w:noProof/>
                  <w:szCs w:val="24"/>
                  <w:shd w:val="clear" w:color="auto" w:fill="FFFFFF"/>
                  <w:lang w:val="en-GB"/>
                </w:rPr>
                <m:t>CF&gt;6</m:t>
              </m:r>
            </m:oMath>
            <w:r w:rsidRPr="00DB2D09">
              <w:rPr>
                <w:rFonts w:ascii="Times New Roman" w:hAnsi="Times New Roman"/>
                <w:noProof/>
                <w:szCs w:val="24"/>
                <w:shd w:val="clear" w:color="auto" w:fill="FFFFFF"/>
                <w:lang w:val="en-GB"/>
              </w:rPr>
              <w:t xml:space="preserve">     </w:t>
            </w:r>
          </w:p>
        </w:tc>
        <w:tc>
          <w:tcPr>
            <w:tcW w:w="2790" w:type="dxa"/>
            <w:tcBorders>
              <w:top w:val="single" w:sz="4" w:space="0" w:color="auto"/>
              <w:left w:val="nil"/>
              <w:bottom w:val="single" w:sz="4" w:space="0" w:color="auto"/>
              <w:right w:val="nil"/>
            </w:tcBorders>
            <w:hideMark/>
          </w:tcPr>
          <w:p w14:paraId="65F7834D"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Low</w:t>
            </w:r>
          </w:p>
          <w:p w14:paraId="6375065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w:t>
            </w:r>
          </w:p>
          <w:p w14:paraId="1B817B5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Considerable </w:t>
            </w:r>
          </w:p>
          <w:p w14:paraId="5164BD5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Very high</w:t>
            </w:r>
          </w:p>
        </w:tc>
        <w:bookmarkEnd w:id="2"/>
      </w:tr>
      <w:tr w:rsidR="00DB2D09" w:rsidRPr="00DB2D09" w14:paraId="2C09754C" w14:textId="77777777" w:rsidTr="00DB2D09">
        <w:trPr>
          <w:trHeight w:val="1095"/>
          <w:jc w:val="center"/>
        </w:trPr>
        <w:tc>
          <w:tcPr>
            <w:tcW w:w="2160" w:type="dxa"/>
            <w:tcBorders>
              <w:top w:val="single" w:sz="4" w:space="0" w:color="auto"/>
              <w:left w:val="nil"/>
              <w:bottom w:val="single" w:sz="4" w:space="0" w:color="auto"/>
              <w:right w:val="nil"/>
            </w:tcBorders>
            <w:hideMark/>
          </w:tcPr>
          <w:p w14:paraId="22805156" w14:textId="77777777" w:rsidR="00DB2D09" w:rsidRPr="00DB2D09" w:rsidRDefault="00DB2D09" w:rsidP="00DB2D09">
            <w:pPr>
              <w:jc w:val="both"/>
              <w:rPr>
                <w:rFonts w:ascii="Times New Roman" w:hAnsi="Times New Roman"/>
                <w:noProof/>
                <w:szCs w:val="24"/>
                <w:shd w:val="clear" w:color="auto" w:fill="FFFFFF"/>
                <w:lang w:val="en-GB"/>
              </w:rPr>
            </w:pPr>
            <w:bookmarkStart w:id="3" w:name="_Hlk166347295"/>
            <w:r w:rsidRPr="00DB2D09">
              <w:rPr>
                <w:rFonts w:ascii="Times New Roman" w:hAnsi="Times New Roman"/>
                <w:noProof/>
                <w:szCs w:val="24"/>
                <w:shd w:val="clear" w:color="auto" w:fill="FFFFFF"/>
                <w:lang w:val="en-GB"/>
              </w:rPr>
              <w:t>Degree of contamination index (CDI)</w:t>
            </w:r>
          </w:p>
        </w:tc>
        <w:tc>
          <w:tcPr>
            <w:tcW w:w="1980" w:type="dxa"/>
            <w:tcBorders>
              <w:top w:val="single" w:sz="4" w:space="0" w:color="auto"/>
              <w:left w:val="nil"/>
              <w:bottom w:val="single" w:sz="4" w:space="0" w:color="auto"/>
              <w:right w:val="nil"/>
            </w:tcBorders>
            <w:hideMark/>
          </w:tcPr>
          <w:p w14:paraId="2FBD2729"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CDI=</m:t>
                </m:r>
                <m:nary>
                  <m:naryPr>
                    <m:chr m:val="∑"/>
                    <m:limLoc m:val="undOvr"/>
                    <m:subHide m:val="1"/>
                    <m:supHide m:val="1"/>
                    <m:ctrlPr>
                      <w:rPr>
                        <w:rFonts w:ascii="Cambria Math" w:hAnsi="Cambria Math"/>
                        <w:i/>
                        <w:noProof/>
                        <w:szCs w:val="24"/>
                        <w:shd w:val="clear" w:color="auto" w:fill="FFFFFF"/>
                        <w:lang w:val="en-GB"/>
                      </w:rPr>
                    </m:ctrlPr>
                  </m:naryPr>
                  <m:sub/>
                  <m:sup/>
                  <m:e>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i</m:t>
                        </m:r>
                      </m:sub>
                    </m:sSub>
                  </m:e>
                </m:nary>
              </m:oMath>
            </m:oMathPara>
          </w:p>
        </w:tc>
        <w:tc>
          <w:tcPr>
            <w:tcW w:w="1800" w:type="dxa"/>
            <w:tcBorders>
              <w:top w:val="single" w:sz="4" w:space="0" w:color="auto"/>
              <w:left w:val="nil"/>
              <w:bottom w:val="single" w:sz="4" w:space="0" w:color="auto"/>
              <w:right w:val="nil"/>
            </w:tcBorders>
            <w:hideMark/>
          </w:tcPr>
          <w:p w14:paraId="06941E59"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CDI&lt;5</m:t>
                </m:r>
              </m:oMath>
            </m:oMathPara>
          </w:p>
          <w:p w14:paraId="7B5CF69F"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5&lt;CDI&lt;10</m:t>
                </m:r>
              </m:oMath>
            </m:oMathPara>
          </w:p>
          <w:p w14:paraId="386E3E1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10&lt;CDI&lt;20</m:t>
                </m:r>
              </m:oMath>
            </m:oMathPara>
          </w:p>
          <w:p w14:paraId="78514D86"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CDI&gt;20</m:t>
                </m:r>
              </m:oMath>
            </m:oMathPara>
          </w:p>
        </w:tc>
        <w:tc>
          <w:tcPr>
            <w:tcW w:w="2790" w:type="dxa"/>
            <w:tcBorders>
              <w:top w:val="single" w:sz="4" w:space="0" w:color="auto"/>
              <w:left w:val="nil"/>
              <w:bottom w:val="single" w:sz="4" w:space="0" w:color="auto"/>
              <w:right w:val="nil"/>
            </w:tcBorders>
            <w:hideMark/>
          </w:tcPr>
          <w:p w14:paraId="621804F7"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Low</w:t>
            </w:r>
          </w:p>
          <w:p w14:paraId="4E83582A"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w:t>
            </w:r>
          </w:p>
          <w:p w14:paraId="1FDA1455"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Considerable</w:t>
            </w:r>
          </w:p>
          <w:p w14:paraId="0C4AC8E3"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Very high</w:t>
            </w:r>
          </w:p>
        </w:tc>
        <w:bookmarkEnd w:id="3"/>
      </w:tr>
      <w:tr w:rsidR="00DB2D09" w:rsidRPr="00DB2D09" w14:paraId="094514E4" w14:textId="77777777" w:rsidTr="00A71004">
        <w:trPr>
          <w:trHeight w:val="845"/>
          <w:jc w:val="center"/>
        </w:trPr>
        <w:tc>
          <w:tcPr>
            <w:tcW w:w="2160" w:type="dxa"/>
            <w:tcBorders>
              <w:top w:val="single" w:sz="4" w:space="0" w:color="auto"/>
              <w:left w:val="nil"/>
              <w:bottom w:val="single" w:sz="4" w:space="0" w:color="auto"/>
              <w:right w:val="nil"/>
            </w:tcBorders>
            <w:hideMark/>
          </w:tcPr>
          <w:p w14:paraId="01E5AD5E" w14:textId="77777777" w:rsidR="00DB2D09" w:rsidRPr="00DB2D09" w:rsidRDefault="00DB2D09" w:rsidP="00DB2D09">
            <w:pPr>
              <w:jc w:val="both"/>
              <w:rPr>
                <w:rFonts w:ascii="Times New Roman" w:hAnsi="Times New Roman"/>
                <w:noProof/>
                <w:szCs w:val="24"/>
                <w:shd w:val="clear" w:color="auto" w:fill="FFFFFF"/>
                <w:lang w:val="en-GB"/>
              </w:rPr>
            </w:pPr>
            <w:bookmarkStart w:id="4" w:name="_Hlk166354125"/>
            <w:r w:rsidRPr="00DB2D09">
              <w:rPr>
                <w:rFonts w:ascii="Times New Roman" w:hAnsi="Times New Roman"/>
                <w:noProof/>
                <w:szCs w:val="24"/>
                <w:shd w:val="clear" w:color="auto" w:fill="FFFFFF"/>
                <w:lang w:val="en-GB"/>
              </w:rPr>
              <w:t>Pollution load index (PLI)</w:t>
            </w:r>
          </w:p>
          <w:p w14:paraId="6338B0EF"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 </w:t>
            </w:r>
          </w:p>
        </w:tc>
        <w:tc>
          <w:tcPr>
            <w:tcW w:w="1980" w:type="dxa"/>
            <w:tcBorders>
              <w:top w:val="single" w:sz="4" w:space="0" w:color="auto"/>
              <w:left w:val="nil"/>
              <w:bottom w:val="single" w:sz="4" w:space="0" w:color="auto"/>
              <w:right w:val="nil"/>
            </w:tcBorders>
          </w:tcPr>
          <w:p w14:paraId="10E8AD1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PLI=</m:t>
                </m:r>
                <m:sSup>
                  <m:sSupPr>
                    <m:ctrlPr>
                      <w:rPr>
                        <w:rFonts w:ascii="Cambria Math" w:hAnsi="Cambria Math"/>
                        <w:i/>
                        <w:noProof/>
                        <w:szCs w:val="24"/>
                        <w:shd w:val="clear" w:color="auto" w:fill="FFFFFF"/>
                        <w:lang w:val="en-GB"/>
                      </w:rPr>
                    </m:ctrlPr>
                  </m:sSupPr>
                  <m:e>
                    <m:d>
                      <m:dPr>
                        <m:ctrlPr>
                          <w:rPr>
                            <w:rFonts w:ascii="Cambria Math" w:hAnsi="Cambria Math"/>
                            <w:i/>
                            <w:noProof/>
                            <w:szCs w:val="24"/>
                            <w:shd w:val="clear" w:color="auto" w:fill="FFFFFF"/>
                            <w:lang w:val="en-GB"/>
                          </w:rPr>
                        </m:ctrlPr>
                      </m:dPr>
                      <m:e>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1</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2</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3</m:t>
                            </m:r>
                          </m:sub>
                        </m:sSub>
                        <m:r>
                          <w:rPr>
                            <w:rFonts w:ascii="Cambria Math" w:hAnsi="Cambria Math"/>
                            <w:noProof/>
                            <w:szCs w:val="24"/>
                            <w:shd w:val="clear" w:color="auto" w:fill="FFFFFF"/>
                            <w:lang w:val="en-GB"/>
                          </w:rPr>
                          <m:t>×</m:t>
                        </m:r>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CF</m:t>
                            </m:r>
                          </m:e>
                          <m:sub>
                            <m:r>
                              <w:rPr>
                                <w:rFonts w:ascii="Cambria Math" w:hAnsi="Cambria Math"/>
                                <w:noProof/>
                                <w:szCs w:val="24"/>
                                <w:shd w:val="clear" w:color="auto" w:fill="FFFFFF"/>
                                <w:lang w:val="en-GB"/>
                              </w:rPr>
                              <m:t>n</m:t>
                            </m:r>
                          </m:sub>
                        </m:sSub>
                      </m:e>
                    </m:d>
                  </m:e>
                  <m:sup>
                    <m:r>
                      <w:rPr>
                        <w:rFonts w:ascii="Cambria Math" w:hAnsi="Cambria Math"/>
                        <w:noProof/>
                        <w:szCs w:val="24"/>
                        <w:shd w:val="clear" w:color="auto" w:fill="FFFFFF"/>
                        <w:lang w:val="en-GB"/>
                      </w:rPr>
                      <m:t>1/n</m:t>
                    </m:r>
                  </m:sup>
                </m:sSup>
              </m:oMath>
            </m:oMathPara>
          </w:p>
          <w:p w14:paraId="4945749E" w14:textId="77777777" w:rsidR="00DB2D09" w:rsidRPr="00DB2D09" w:rsidRDefault="00DB2D09" w:rsidP="00DB2D09">
            <w:pPr>
              <w:jc w:val="both"/>
              <w:rPr>
                <w:rFonts w:ascii="Times New Roman" w:hAnsi="Times New Roman"/>
                <w:noProof/>
                <w:szCs w:val="24"/>
                <w:shd w:val="clear" w:color="auto" w:fill="FFFFFF"/>
                <w:lang w:val="en-GB"/>
              </w:rPr>
            </w:pPr>
          </w:p>
        </w:tc>
        <w:tc>
          <w:tcPr>
            <w:tcW w:w="1800" w:type="dxa"/>
            <w:tcBorders>
              <w:top w:val="single" w:sz="4" w:space="0" w:color="auto"/>
              <w:left w:val="nil"/>
              <w:bottom w:val="single" w:sz="4" w:space="0" w:color="auto"/>
              <w:right w:val="nil"/>
            </w:tcBorders>
            <w:hideMark/>
          </w:tcPr>
          <w:p w14:paraId="0897B7C1"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PLI&lt;1</m:t>
                </m:r>
              </m:oMath>
            </m:oMathPara>
          </w:p>
          <w:p w14:paraId="3F711F3C"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PLI=1</m:t>
                </m:r>
              </m:oMath>
            </m:oMathPara>
          </w:p>
          <w:p w14:paraId="71C81C82"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PLI&gt;1</m:t>
                </m:r>
              </m:oMath>
            </m:oMathPara>
          </w:p>
        </w:tc>
        <w:tc>
          <w:tcPr>
            <w:tcW w:w="2790" w:type="dxa"/>
            <w:tcBorders>
              <w:top w:val="single" w:sz="4" w:space="0" w:color="auto"/>
              <w:left w:val="nil"/>
              <w:bottom w:val="single" w:sz="4" w:space="0" w:color="auto"/>
              <w:right w:val="nil"/>
            </w:tcBorders>
            <w:hideMark/>
          </w:tcPr>
          <w:p w14:paraId="24FA8DA8"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Perfection</w:t>
            </w:r>
          </w:p>
          <w:p w14:paraId="3B19253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Base line level of pollution </w:t>
            </w:r>
          </w:p>
          <w:p w14:paraId="4EB4CDB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Deterioration of site quality</w:t>
            </w:r>
          </w:p>
        </w:tc>
        <w:bookmarkEnd w:id="4"/>
      </w:tr>
      <w:tr w:rsidR="00DB2D09" w:rsidRPr="00DB2D09" w14:paraId="01F0D6C6" w14:textId="77777777" w:rsidTr="00DB2D09">
        <w:trPr>
          <w:trHeight w:val="1122"/>
          <w:jc w:val="center"/>
        </w:trPr>
        <w:tc>
          <w:tcPr>
            <w:tcW w:w="2160" w:type="dxa"/>
            <w:tcBorders>
              <w:top w:val="single" w:sz="4" w:space="0" w:color="auto"/>
              <w:left w:val="nil"/>
              <w:bottom w:val="single" w:sz="4" w:space="0" w:color="auto"/>
              <w:right w:val="nil"/>
            </w:tcBorders>
            <w:hideMark/>
          </w:tcPr>
          <w:p w14:paraId="3A3F2AC5" w14:textId="77777777" w:rsidR="00DB2D09" w:rsidRPr="00DB2D09" w:rsidRDefault="00DB2D09" w:rsidP="00DB2D09">
            <w:pPr>
              <w:jc w:val="both"/>
              <w:rPr>
                <w:rFonts w:ascii="Times New Roman" w:hAnsi="Times New Roman"/>
                <w:noProof/>
                <w:szCs w:val="24"/>
                <w:shd w:val="clear" w:color="auto" w:fill="FFFFFF"/>
                <w:lang w:val="en-GB"/>
              </w:rPr>
            </w:pPr>
            <w:bookmarkStart w:id="5" w:name="_Hlk166358146"/>
            <w:r w:rsidRPr="00DB2D09">
              <w:rPr>
                <w:rFonts w:ascii="Times New Roman" w:hAnsi="Times New Roman"/>
                <w:noProof/>
                <w:szCs w:val="24"/>
                <w:shd w:val="clear" w:color="auto" w:fill="FFFFFF"/>
                <w:lang w:val="en-GB"/>
              </w:rPr>
              <w:t>Geo-accumulation index (Igeo)</w:t>
            </w:r>
          </w:p>
        </w:tc>
        <w:tc>
          <w:tcPr>
            <w:tcW w:w="1980" w:type="dxa"/>
            <w:tcBorders>
              <w:top w:val="single" w:sz="4" w:space="0" w:color="auto"/>
              <w:left w:val="nil"/>
              <w:bottom w:val="single" w:sz="4" w:space="0" w:color="auto"/>
              <w:right w:val="nil"/>
            </w:tcBorders>
            <w:hideMark/>
          </w:tcPr>
          <w:p w14:paraId="2458AD65"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Igeo=</m:t>
                </m:r>
                <m:func>
                  <m:funcPr>
                    <m:ctrlPr>
                      <w:rPr>
                        <w:rFonts w:ascii="Cambria Math" w:hAnsi="Cambria Math"/>
                        <w:i/>
                        <w:noProof/>
                        <w:szCs w:val="24"/>
                        <w:shd w:val="clear" w:color="auto" w:fill="FFFFFF"/>
                        <w:lang w:val="en-GB"/>
                      </w:rPr>
                    </m:ctrlPr>
                  </m:funcPr>
                  <m:fName>
                    <m:sSub>
                      <m:sSubPr>
                        <m:ctrlPr>
                          <w:rPr>
                            <w:rFonts w:ascii="Cambria Math" w:hAnsi="Cambria Math"/>
                            <w:i/>
                            <w:noProof/>
                            <w:szCs w:val="24"/>
                            <w:shd w:val="clear" w:color="auto" w:fill="FFFFFF"/>
                            <w:lang w:val="en-GB"/>
                          </w:rPr>
                        </m:ctrlPr>
                      </m:sSubPr>
                      <m:e>
                        <m:r>
                          <m:rPr>
                            <m:sty m:val="p"/>
                          </m:rPr>
                          <w:rPr>
                            <w:rFonts w:ascii="Cambria Math" w:hAnsi="Cambria Math"/>
                            <w:noProof/>
                            <w:szCs w:val="24"/>
                            <w:shd w:val="clear" w:color="auto" w:fill="FFFFFF"/>
                            <w:lang w:val="en-GB"/>
                          </w:rPr>
                          <m:t>log</m:t>
                        </m:r>
                      </m:e>
                      <m:sub>
                        <m:r>
                          <w:rPr>
                            <w:rFonts w:ascii="Cambria Math" w:hAnsi="Cambria Math"/>
                            <w:noProof/>
                            <w:szCs w:val="24"/>
                            <w:shd w:val="clear" w:color="auto" w:fill="FFFFFF"/>
                            <w:lang w:val="en-GB"/>
                          </w:rPr>
                          <m:t>2</m:t>
                        </m:r>
                      </m:sub>
                    </m:sSub>
                  </m:fName>
                  <m:e>
                    <m:d>
                      <m:dPr>
                        <m:ctrlPr>
                          <w:rPr>
                            <w:rFonts w:ascii="Cambria Math" w:hAnsi="Cambria Math"/>
                            <w:i/>
                            <w:noProof/>
                            <w:szCs w:val="24"/>
                            <w:shd w:val="clear" w:color="auto" w:fill="FFFFFF"/>
                            <w:lang w:val="en-GB"/>
                          </w:rPr>
                        </m:ctrlPr>
                      </m:dPr>
                      <m:e>
                        <m:f>
                          <m:fPr>
                            <m:type m:val="skw"/>
                            <m:ctrlPr>
                              <w:rPr>
                                <w:rFonts w:ascii="Cambria Math" w:hAnsi="Cambria Math"/>
                                <w:i/>
                                <w:noProof/>
                                <w:szCs w:val="24"/>
                                <w:shd w:val="clear" w:color="auto" w:fill="FFFFFF"/>
                                <w:lang w:val="en-GB"/>
                              </w:rPr>
                            </m:ctrlPr>
                          </m:fPr>
                          <m:num>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C</m:t>
                                </m:r>
                              </m:e>
                              <m:sub>
                                <m:r>
                                  <w:rPr>
                                    <w:rFonts w:ascii="Cambria Math" w:hAnsi="Cambria Math"/>
                                    <w:noProof/>
                                    <w:szCs w:val="24"/>
                                    <w:shd w:val="clear" w:color="auto" w:fill="FFFFFF"/>
                                    <w:lang w:val="en-GB"/>
                                  </w:rPr>
                                  <m:t>m</m:t>
                                </m:r>
                              </m:sub>
                            </m:sSub>
                          </m:num>
                          <m:den>
                            <m:sSub>
                              <m:sSubPr>
                                <m:ctrlPr>
                                  <w:rPr>
                                    <w:rFonts w:ascii="Cambria Math" w:hAnsi="Cambria Math"/>
                                    <w:i/>
                                    <w:noProof/>
                                    <w:szCs w:val="24"/>
                                    <w:shd w:val="clear" w:color="auto" w:fill="FFFFFF"/>
                                    <w:lang w:val="en-GB"/>
                                  </w:rPr>
                                </m:ctrlPr>
                              </m:sSubPr>
                              <m:e>
                                <m:r>
                                  <w:rPr>
                                    <w:rFonts w:ascii="Cambria Math" w:hAnsi="Cambria Math"/>
                                    <w:noProof/>
                                    <w:szCs w:val="24"/>
                                    <w:shd w:val="clear" w:color="auto" w:fill="FFFFFF"/>
                                    <w:lang w:val="en-GB"/>
                                  </w:rPr>
                                  <m:t>1.5C</m:t>
                                </m:r>
                              </m:e>
                              <m:sub>
                                <m:r>
                                  <w:rPr>
                                    <w:rFonts w:ascii="Cambria Math" w:hAnsi="Cambria Math"/>
                                    <w:noProof/>
                                    <w:szCs w:val="24"/>
                                    <w:shd w:val="clear" w:color="auto" w:fill="FFFFFF"/>
                                    <w:lang w:val="en-GB"/>
                                  </w:rPr>
                                  <m:t>b</m:t>
                                </m:r>
                              </m:sub>
                            </m:sSub>
                          </m:den>
                        </m:f>
                      </m:e>
                    </m:d>
                  </m:e>
                </m:func>
              </m:oMath>
            </m:oMathPara>
          </w:p>
        </w:tc>
        <w:tc>
          <w:tcPr>
            <w:tcW w:w="1800" w:type="dxa"/>
            <w:tcBorders>
              <w:top w:val="single" w:sz="4" w:space="0" w:color="auto"/>
              <w:left w:val="nil"/>
              <w:bottom w:val="single" w:sz="4" w:space="0" w:color="auto"/>
              <w:right w:val="nil"/>
            </w:tcBorders>
          </w:tcPr>
          <w:p w14:paraId="7900CFC2"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Igeo&lt;0</m:t>
                </m:r>
              </m:oMath>
            </m:oMathPara>
          </w:p>
          <w:p w14:paraId="2F2F3E0A"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0&lt;Igeo&lt;1</m:t>
                </m:r>
              </m:oMath>
            </m:oMathPara>
          </w:p>
          <w:p w14:paraId="426BC326" w14:textId="77777777" w:rsidR="00DB2D09" w:rsidRPr="00DB2D09" w:rsidRDefault="00DB2D09" w:rsidP="00DB2D09">
            <w:pPr>
              <w:jc w:val="both"/>
              <w:rPr>
                <w:rFonts w:ascii="Times New Roman" w:hAnsi="Times New Roman"/>
                <w:noProof/>
                <w:szCs w:val="24"/>
                <w:shd w:val="clear" w:color="auto" w:fill="FFFFFF"/>
                <w:lang w:val="en-GB"/>
              </w:rPr>
            </w:pPr>
          </w:p>
          <w:p w14:paraId="3B2A6784"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1&lt;Igeo&lt;2</m:t>
                </m:r>
              </m:oMath>
            </m:oMathPara>
          </w:p>
          <w:p w14:paraId="64D1FD35"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2&lt;Igeo&lt;3</m:t>
                </m:r>
              </m:oMath>
            </m:oMathPara>
          </w:p>
          <w:p w14:paraId="66EBB451" w14:textId="77777777" w:rsidR="00DB2D09" w:rsidRPr="00DB2D09" w:rsidRDefault="00DB2D09" w:rsidP="00DB2D09">
            <w:pPr>
              <w:jc w:val="both"/>
              <w:rPr>
                <w:rFonts w:ascii="Times New Roman" w:hAnsi="Times New Roman"/>
                <w:noProof/>
                <w:szCs w:val="24"/>
                <w:shd w:val="clear" w:color="auto" w:fill="FFFFFF"/>
                <w:lang w:val="en-GB"/>
              </w:rPr>
            </w:pPr>
          </w:p>
          <w:p w14:paraId="7B716E00"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3&lt;Igeo&lt;4</m:t>
                </m:r>
              </m:oMath>
            </m:oMathPara>
          </w:p>
          <w:p w14:paraId="4995E964" w14:textId="77777777" w:rsidR="00DB2D09" w:rsidRPr="00DB2D09" w:rsidRDefault="00DB2D09" w:rsidP="00DB2D09">
            <w:pPr>
              <w:jc w:val="both"/>
              <w:rPr>
                <w:rFonts w:ascii="Times New Roman" w:hAnsi="Times New Roman"/>
                <w:noProof/>
                <w:szCs w:val="24"/>
                <w:shd w:val="clear" w:color="auto" w:fill="FFFFFF"/>
                <w:lang w:val="en-GB"/>
              </w:rPr>
            </w:pPr>
            <m:oMathPara>
              <m:oMathParaPr>
                <m:jc m:val="left"/>
              </m:oMathParaPr>
              <m:oMath>
                <m:r>
                  <w:rPr>
                    <w:rFonts w:ascii="Cambria Math" w:hAnsi="Cambria Math"/>
                    <w:noProof/>
                    <w:szCs w:val="24"/>
                    <w:shd w:val="clear" w:color="auto" w:fill="FFFFFF"/>
                    <w:lang w:val="en-GB"/>
                  </w:rPr>
                  <m:t>4&lt;Igeo&lt;5</m:t>
                </m:r>
              </m:oMath>
            </m:oMathPara>
          </w:p>
          <w:p w14:paraId="172770AE" w14:textId="77777777" w:rsidR="00DB2D09" w:rsidRPr="00DB2D09" w:rsidRDefault="00DB2D09" w:rsidP="00DB2D09">
            <w:pPr>
              <w:jc w:val="both"/>
              <w:rPr>
                <w:rFonts w:ascii="Times New Roman" w:hAnsi="Times New Roman"/>
                <w:noProof/>
                <w:szCs w:val="24"/>
                <w:shd w:val="clear" w:color="auto" w:fill="FFFFFF"/>
                <w:lang w:val="en-GB"/>
              </w:rPr>
            </w:pPr>
            <m:oMathPara>
              <m:oMath>
                <m:r>
                  <w:rPr>
                    <w:rFonts w:ascii="Cambria Math" w:hAnsi="Cambria Math"/>
                    <w:noProof/>
                    <w:szCs w:val="24"/>
                    <w:shd w:val="clear" w:color="auto" w:fill="FFFFFF"/>
                    <w:lang w:val="en-GB"/>
                  </w:rPr>
                  <m:t>Igeo&gt;5</m:t>
                </m:r>
              </m:oMath>
            </m:oMathPara>
          </w:p>
        </w:tc>
        <w:tc>
          <w:tcPr>
            <w:tcW w:w="2790" w:type="dxa"/>
            <w:tcBorders>
              <w:top w:val="single" w:sz="4" w:space="0" w:color="auto"/>
              <w:left w:val="nil"/>
              <w:bottom w:val="single" w:sz="4" w:space="0" w:color="auto"/>
              <w:right w:val="nil"/>
            </w:tcBorders>
            <w:hideMark/>
          </w:tcPr>
          <w:p w14:paraId="5F1A8466"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Uncontaminated </w:t>
            </w:r>
          </w:p>
          <w:p w14:paraId="175617F2"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 xml:space="preserve">Uncontaminated to moderately contaminated </w:t>
            </w:r>
          </w:p>
          <w:p w14:paraId="5CE15F0D"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Moderately contaminated</w:t>
            </w:r>
          </w:p>
          <w:p w14:paraId="4D086225"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Moderately to strongly contaminated</w:t>
            </w:r>
          </w:p>
          <w:p w14:paraId="55A9F8E9"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Strongly contaminated</w:t>
            </w:r>
          </w:p>
          <w:p w14:paraId="74BEE9D1"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Strongly to extremely contaminated</w:t>
            </w:r>
          </w:p>
          <w:p w14:paraId="5B1CFBB3" w14:textId="77777777" w:rsidR="00DB2D09" w:rsidRPr="00DB2D09" w:rsidRDefault="00DB2D09" w:rsidP="00DB2D09">
            <w:pPr>
              <w:jc w:val="both"/>
              <w:rPr>
                <w:rFonts w:ascii="Times New Roman" w:hAnsi="Times New Roman"/>
                <w:noProof/>
                <w:szCs w:val="24"/>
                <w:shd w:val="clear" w:color="auto" w:fill="FFFFFF"/>
                <w:lang w:val="en-GB"/>
              </w:rPr>
            </w:pPr>
            <w:r w:rsidRPr="00DB2D09">
              <w:rPr>
                <w:rFonts w:ascii="Times New Roman" w:hAnsi="Times New Roman"/>
                <w:noProof/>
                <w:szCs w:val="24"/>
                <w:shd w:val="clear" w:color="auto" w:fill="FFFFFF"/>
                <w:lang w:val="en-GB"/>
              </w:rPr>
              <w:t>Extremely contaminated</w:t>
            </w:r>
          </w:p>
        </w:tc>
      </w:tr>
      <w:bookmarkEnd w:id="5"/>
    </w:tbl>
    <w:p w14:paraId="0508DAFD" w14:textId="77777777" w:rsidR="00793A92" w:rsidRDefault="00793A92" w:rsidP="00032391">
      <w:pPr>
        <w:jc w:val="both"/>
        <w:rPr>
          <w:rFonts w:ascii="Times New Roman" w:hAnsi="Times New Roman"/>
          <w:b/>
          <w:bCs/>
          <w:sz w:val="24"/>
          <w:szCs w:val="24"/>
        </w:rPr>
      </w:pPr>
    </w:p>
    <w:p w14:paraId="3FC5C3C6" w14:textId="77777777" w:rsidR="00793A92" w:rsidRDefault="00793A92" w:rsidP="00032391">
      <w:pPr>
        <w:jc w:val="both"/>
        <w:rPr>
          <w:rFonts w:ascii="Times New Roman" w:hAnsi="Times New Roman"/>
          <w:b/>
          <w:bCs/>
          <w:sz w:val="24"/>
          <w:szCs w:val="24"/>
        </w:rPr>
      </w:pPr>
    </w:p>
    <w:p w14:paraId="4B5BC027"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 xml:space="preserve">3.0 Results and Discussion </w:t>
      </w:r>
    </w:p>
    <w:p w14:paraId="19E76426" w14:textId="77777777" w:rsidR="00032391" w:rsidRDefault="00032391" w:rsidP="00032391">
      <w:pPr>
        <w:jc w:val="both"/>
        <w:rPr>
          <w:rFonts w:ascii="Times New Roman" w:hAnsi="Times New Roman"/>
          <w:b/>
          <w:bCs/>
          <w:sz w:val="24"/>
          <w:szCs w:val="24"/>
        </w:rPr>
      </w:pPr>
    </w:p>
    <w:p w14:paraId="5CF9C052" w14:textId="77777777" w:rsidR="00032391" w:rsidRPr="00032391" w:rsidRDefault="00032391" w:rsidP="00032391">
      <w:pPr>
        <w:jc w:val="both"/>
        <w:rPr>
          <w:rFonts w:ascii="Times New Roman" w:hAnsi="Times New Roman"/>
          <w:b/>
          <w:iCs/>
          <w:sz w:val="24"/>
          <w:szCs w:val="24"/>
        </w:rPr>
      </w:pPr>
      <w:r w:rsidRPr="00032391">
        <w:rPr>
          <w:rFonts w:ascii="Times New Roman" w:hAnsi="Times New Roman"/>
          <w:b/>
          <w:iCs/>
          <w:sz w:val="24"/>
          <w:szCs w:val="24"/>
        </w:rPr>
        <w:t xml:space="preserve">3.1 Heavy Metals Characterization </w:t>
      </w:r>
    </w:p>
    <w:p w14:paraId="745404AB"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 2 showed the range of Cd, Cr, Cu, Fe, Mn, Ni, Pb, and Zn in soil as follows: 4.21-6.80, 4.94-7.38, 10.62-15.20, 1022.00-9055.16, 210.80-316.5, 17.15-27.80, 30.01-43.80, and 12.30-14.80 mg/kg, respectively. All of these metals were below the World Health Organization (WHO) target value of uncontaminated soil except Cd that exceeded the target value of uncontaminated soil </w:t>
      </w:r>
      <w:r w:rsidR="008C5412">
        <w:rPr>
          <w:rFonts w:ascii="Times New Roman" w:hAnsi="Times New Roman"/>
          <w:sz w:val="24"/>
          <w:szCs w:val="24"/>
        </w:rPr>
        <w:t>(</w:t>
      </w:r>
      <w:r w:rsidR="008C5412">
        <w:rPr>
          <w:rFonts w:ascii="Times New Roman" w:hAnsi="Times New Roman"/>
          <w:sz w:val="24"/>
          <w:szCs w:val="24"/>
          <w:lang w:val="en-GB"/>
        </w:rPr>
        <w:t xml:space="preserve">WHO </w:t>
      </w:r>
      <w:r w:rsidR="008C5412" w:rsidRPr="008C5412">
        <w:rPr>
          <w:rFonts w:ascii="Times New Roman" w:hAnsi="Times New Roman"/>
          <w:sz w:val="24"/>
          <w:szCs w:val="24"/>
          <w:lang w:val="en-GB"/>
        </w:rPr>
        <w:t>1996)</w:t>
      </w:r>
      <w:r w:rsidR="008C5412">
        <w:rPr>
          <w:rFonts w:ascii="Times New Roman" w:hAnsi="Times New Roman"/>
          <w:sz w:val="24"/>
          <w:szCs w:val="24"/>
          <w:lang w:val="en-GB"/>
        </w:rPr>
        <w:t>.</w:t>
      </w:r>
      <w:r w:rsidR="008C5412">
        <w:rPr>
          <w:rFonts w:ascii="Times New Roman" w:hAnsi="Times New Roman"/>
          <w:sz w:val="24"/>
          <w:szCs w:val="24"/>
        </w:rPr>
        <w:t xml:space="preserve"> </w:t>
      </w:r>
      <w:r>
        <w:rPr>
          <w:rFonts w:ascii="Times New Roman" w:hAnsi="Times New Roman"/>
          <w:sz w:val="24"/>
          <w:szCs w:val="24"/>
        </w:rPr>
        <w:t xml:space="preserve">Cd concentrations ranges from 4.21 mg/kg to 6.8 mg/kg in the study area. The Cd concentrations were higher than those reported </w:t>
      </w:r>
      <w:r w:rsidR="006F4B43">
        <w:rPr>
          <w:rFonts w:ascii="Times New Roman" w:hAnsi="Times New Roman"/>
          <w:sz w:val="24"/>
          <w:szCs w:val="24"/>
        </w:rPr>
        <w:t>by previous works (</w:t>
      </w:r>
      <w:proofErr w:type="spellStart"/>
      <w:r w:rsidR="006F4B43" w:rsidRPr="006F4B43">
        <w:rPr>
          <w:rFonts w:ascii="Times New Roman" w:hAnsi="Times New Roman"/>
          <w:sz w:val="24"/>
          <w:szCs w:val="24"/>
          <w:lang w:val="en-GB"/>
        </w:rPr>
        <w:t>Ogundele</w:t>
      </w:r>
      <w:proofErr w:type="spellEnd"/>
      <w:r w:rsidR="006F4B43">
        <w:rPr>
          <w:rFonts w:ascii="Times New Roman" w:hAnsi="Times New Roman"/>
          <w:sz w:val="24"/>
          <w:szCs w:val="24"/>
          <w:lang w:val="en-GB"/>
        </w:rPr>
        <w:t xml:space="preserve"> </w:t>
      </w:r>
      <w:r w:rsidR="006F4B43" w:rsidRPr="006F4B43">
        <w:rPr>
          <w:rFonts w:ascii="Times New Roman" w:hAnsi="Times New Roman"/>
          <w:i/>
          <w:sz w:val="24"/>
          <w:szCs w:val="24"/>
          <w:lang w:val="en-GB"/>
        </w:rPr>
        <w:t>et al</w:t>
      </w:r>
      <w:r w:rsidR="006F4B43">
        <w:rPr>
          <w:rFonts w:ascii="Times New Roman" w:hAnsi="Times New Roman"/>
          <w:sz w:val="24"/>
          <w:szCs w:val="24"/>
          <w:lang w:val="en-GB"/>
        </w:rPr>
        <w:t xml:space="preserve">., </w:t>
      </w:r>
      <w:r w:rsidR="006F4B43" w:rsidRPr="006F4B43">
        <w:rPr>
          <w:rFonts w:ascii="Times New Roman" w:hAnsi="Times New Roman"/>
          <w:sz w:val="24"/>
          <w:szCs w:val="24"/>
          <w:lang w:val="en-GB"/>
        </w:rPr>
        <w:t>2015).</w:t>
      </w:r>
      <w:r>
        <w:rPr>
          <w:rFonts w:ascii="Times New Roman" w:hAnsi="Times New Roman"/>
          <w:sz w:val="24"/>
          <w:szCs w:val="24"/>
        </w:rPr>
        <w:t xml:space="preserve"> High Cd concentration in this study may be as a result of fossil fuels combustion such as oil and incineration of municipal waste such as plastics which may suggests potential environmental and health risk.  </w:t>
      </w:r>
    </w:p>
    <w:p w14:paraId="56441020" w14:textId="77777777" w:rsidR="00032391" w:rsidRDefault="00032391" w:rsidP="00032391">
      <w:pPr>
        <w:jc w:val="both"/>
        <w:rPr>
          <w:rFonts w:ascii="Times New Roman" w:hAnsi="Times New Roman"/>
          <w:b/>
          <w:sz w:val="24"/>
          <w:szCs w:val="24"/>
          <w:shd w:val="clear" w:color="auto" w:fill="FFFFFF"/>
          <w:lang w:val="en-GB"/>
        </w:rPr>
      </w:pPr>
    </w:p>
    <w:p w14:paraId="0C2B8D25"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2: </w:t>
      </w:r>
      <w:r>
        <w:rPr>
          <w:rFonts w:ascii="Times New Roman" w:hAnsi="Times New Roman"/>
          <w:sz w:val="24"/>
          <w:szCs w:val="24"/>
          <w:shd w:val="clear" w:color="auto" w:fill="FFFFFF"/>
          <w:lang w:val="en-GB"/>
        </w:rPr>
        <w:t xml:space="preserve">Concentrations of the Heavy Metals Measured in Road Site Soils in </w:t>
      </w:r>
      <w:proofErr w:type="spellStart"/>
      <w:r>
        <w:rPr>
          <w:rFonts w:ascii="Times New Roman" w:hAnsi="Times New Roman"/>
          <w:sz w:val="24"/>
          <w:szCs w:val="24"/>
          <w:shd w:val="clear" w:color="auto" w:fill="FFFFFF"/>
          <w:lang w:val="en-GB"/>
        </w:rPr>
        <w:t>Eket</w:t>
      </w:r>
      <w:proofErr w:type="spellEnd"/>
    </w:p>
    <w:tbl>
      <w:tblPr>
        <w:tblStyle w:val="TableGrid"/>
        <w:tblpPr w:leftFromText="180" w:rightFromText="180" w:vertAnchor="text" w:tblpXSpec="center" w:tblpY="1"/>
        <w:tblOverlap w:val="never"/>
        <w:tblW w:w="8910"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1260"/>
        <w:gridCol w:w="1332"/>
        <w:gridCol w:w="1278"/>
        <w:gridCol w:w="1350"/>
        <w:gridCol w:w="2160"/>
      </w:tblGrid>
      <w:tr w:rsidR="002A09CD" w14:paraId="1809C8CF" w14:textId="77777777" w:rsidTr="003B77C6">
        <w:trPr>
          <w:trHeight w:val="694"/>
        </w:trPr>
        <w:tc>
          <w:tcPr>
            <w:tcW w:w="1530" w:type="dxa"/>
            <w:tcBorders>
              <w:top w:val="single" w:sz="4" w:space="0" w:color="auto"/>
              <w:left w:val="nil"/>
              <w:bottom w:val="single" w:sz="4" w:space="0" w:color="auto"/>
              <w:right w:val="nil"/>
            </w:tcBorders>
            <w:hideMark/>
          </w:tcPr>
          <w:p w14:paraId="7DD27F0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 xml:space="preserve">Heavy Metals </w:t>
            </w:r>
          </w:p>
        </w:tc>
        <w:tc>
          <w:tcPr>
            <w:tcW w:w="1260" w:type="dxa"/>
            <w:tcBorders>
              <w:top w:val="single" w:sz="4" w:space="0" w:color="auto"/>
              <w:left w:val="nil"/>
              <w:bottom w:val="single" w:sz="4" w:space="0" w:color="auto"/>
              <w:right w:val="nil"/>
            </w:tcBorders>
          </w:tcPr>
          <w:p w14:paraId="0F6057C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p w14:paraId="7E137F1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332" w:type="dxa"/>
            <w:tcBorders>
              <w:top w:val="single" w:sz="4" w:space="0" w:color="auto"/>
              <w:left w:val="nil"/>
              <w:bottom w:val="single" w:sz="4" w:space="0" w:color="auto"/>
              <w:right w:val="nil"/>
            </w:tcBorders>
          </w:tcPr>
          <w:p w14:paraId="4CFECE5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p w14:paraId="663E187F"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278" w:type="dxa"/>
            <w:tcBorders>
              <w:top w:val="single" w:sz="4" w:space="0" w:color="auto"/>
              <w:left w:val="nil"/>
              <w:bottom w:val="single" w:sz="4" w:space="0" w:color="auto"/>
              <w:right w:val="nil"/>
            </w:tcBorders>
          </w:tcPr>
          <w:p w14:paraId="773EB1E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p w14:paraId="3B3AD43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1350" w:type="dxa"/>
            <w:tcBorders>
              <w:top w:val="single" w:sz="4" w:space="0" w:color="auto"/>
              <w:left w:val="nil"/>
              <w:bottom w:val="single" w:sz="4" w:space="0" w:color="auto"/>
              <w:right w:val="nil"/>
            </w:tcBorders>
          </w:tcPr>
          <w:p w14:paraId="5AECF75C"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p w14:paraId="4FDA5E0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(mg/kg)</w:t>
            </w:r>
          </w:p>
        </w:tc>
        <w:tc>
          <w:tcPr>
            <w:tcW w:w="2160" w:type="dxa"/>
            <w:tcBorders>
              <w:top w:val="single" w:sz="4" w:space="0" w:color="auto"/>
              <w:left w:val="nil"/>
              <w:bottom w:val="single" w:sz="4" w:space="0" w:color="auto"/>
              <w:right w:val="nil"/>
            </w:tcBorders>
            <w:hideMark/>
          </w:tcPr>
          <w:p w14:paraId="0756626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WHO Target value of soil mg/kg</w:t>
            </w:r>
          </w:p>
        </w:tc>
      </w:tr>
      <w:tr w:rsidR="002A09CD" w14:paraId="1243BDF8" w14:textId="77777777" w:rsidTr="003B77C6">
        <w:trPr>
          <w:trHeight w:val="224"/>
        </w:trPr>
        <w:tc>
          <w:tcPr>
            <w:tcW w:w="1530" w:type="dxa"/>
            <w:tcBorders>
              <w:top w:val="single" w:sz="4" w:space="0" w:color="auto"/>
              <w:left w:val="nil"/>
              <w:bottom w:val="nil"/>
              <w:right w:val="nil"/>
            </w:tcBorders>
            <w:hideMark/>
          </w:tcPr>
          <w:p w14:paraId="4A697A4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260" w:type="dxa"/>
            <w:tcBorders>
              <w:top w:val="single" w:sz="4" w:space="0" w:color="auto"/>
              <w:left w:val="nil"/>
              <w:bottom w:val="nil"/>
              <w:right w:val="nil"/>
            </w:tcBorders>
          </w:tcPr>
          <w:p w14:paraId="4B85B2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5.02</w:t>
            </w:r>
          </w:p>
        </w:tc>
        <w:tc>
          <w:tcPr>
            <w:tcW w:w="1332" w:type="dxa"/>
            <w:tcBorders>
              <w:top w:val="single" w:sz="4" w:space="0" w:color="auto"/>
              <w:left w:val="nil"/>
              <w:bottom w:val="nil"/>
              <w:right w:val="nil"/>
            </w:tcBorders>
          </w:tcPr>
          <w:p w14:paraId="6315A45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4.21</w:t>
            </w:r>
          </w:p>
        </w:tc>
        <w:tc>
          <w:tcPr>
            <w:tcW w:w="1278" w:type="dxa"/>
            <w:tcBorders>
              <w:top w:val="single" w:sz="4" w:space="0" w:color="auto"/>
              <w:left w:val="nil"/>
              <w:bottom w:val="nil"/>
              <w:right w:val="nil"/>
            </w:tcBorders>
          </w:tcPr>
          <w:p w14:paraId="504D6C5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6.80</w:t>
            </w:r>
          </w:p>
        </w:tc>
        <w:tc>
          <w:tcPr>
            <w:tcW w:w="1350" w:type="dxa"/>
            <w:tcBorders>
              <w:top w:val="single" w:sz="4" w:space="0" w:color="auto"/>
              <w:left w:val="nil"/>
              <w:bottom w:val="nil"/>
              <w:right w:val="nil"/>
            </w:tcBorders>
          </w:tcPr>
          <w:p w14:paraId="45418F2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4.33</w:t>
            </w:r>
          </w:p>
        </w:tc>
        <w:tc>
          <w:tcPr>
            <w:tcW w:w="2160" w:type="dxa"/>
            <w:tcBorders>
              <w:top w:val="single" w:sz="4" w:space="0" w:color="auto"/>
              <w:left w:val="nil"/>
              <w:bottom w:val="nil"/>
              <w:right w:val="nil"/>
            </w:tcBorders>
            <w:hideMark/>
          </w:tcPr>
          <w:p w14:paraId="7F1CE32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0.8</w:t>
            </w:r>
          </w:p>
        </w:tc>
      </w:tr>
      <w:tr w:rsidR="002A09CD" w14:paraId="46E9C3DB" w14:textId="77777777" w:rsidTr="003B77C6">
        <w:trPr>
          <w:trHeight w:val="224"/>
        </w:trPr>
        <w:tc>
          <w:tcPr>
            <w:tcW w:w="1530" w:type="dxa"/>
            <w:tcBorders>
              <w:top w:val="nil"/>
              <w:left w:val="nil"/>
              <w:bottom w:val="nil"/>
              <w:right w:val="nil"/>
            </w:tcBorders>
            <w:hideMark/>
          </w:tcPr>
          <w:p w14:paraId="4BDB8260"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260" w:type="dxa"/>
            <w:tcBorders>
              <w:top w:val="nil"/>
              <w:left w:val="nil"/>
              <w:bottom w:val="nil"/>
              <w:right w:val="nil"/>
            </w:tcBorders>
          </w:tcPr>
          <w:p w14:paraId="3F2567F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4.94</w:t>
            </w:r>
          </w:p>
        </w:tc>
        <w:tc>
          <w:tcPr>
            <w:tcW w:w="1332" w:type="dxa"/>
            <w:tcBorders>
              <w:top w:val="nil"/>
              <w:left w:val="nil"/>
              <w:bottom w:val="nil"/>
              <w:right w:val="nil"/>
            </w:tcBorders>
          </w:tcPr>
          <w:p w14:paraId="1911D5A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7.38</w:t>
            </w:r>
          </w:p>
        </w:tc>
        <w:tc>
          <w:tcPr>
            <w:tcW w:w="1278" w:type="dxa"/>
            <w:tcBorders>
              <w:top w:val="nil"/>
              <w:left w:val="nil"/>
              <w:bottom w:val="nil"/>
              <w:right w:val="nil"/>
            </w:tcBorders>
          </w:tcPr>
          <w:p w14:paraId="5C3D61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5.63</w:t>
            </w:r>
          </w:p>
        </w:tc>
        <w:tc>
          <w:tcPr>
            <w:tcW w:w="1350" w:type="dxa"/>
            <w:tcBorders>
              <w:top w:val="nil"/>
              <w:left w:val="nil"/>
              <w:bottom w:val="nil"/>
              <w:right w:val="nil"/>
            </w:tcBorders>
          </w:tcPr>
          <w:p w14:paraId="39C2CD3B"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6.17</w:t>
            </w:r>
          </w:p>
        </w:tc>
        <w:tc>
          <w:tcPr>
            <w:tcW w:w="2160" w:type="dxa"/>
            <w:tcBorders>
              <w:top w:val="nil"/>
              <w:left w:val="nil"/>
              <w:bottom w:val="nil"/>
              <w:right w:val="nil"/>
            </w:tcBorders>
            <w:hideMark/>
          </w:tcPr>
          <w:p w14:paraId="01481F6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100</w:t>
            </w:r>
          </w:p>
        </w:tc>
      </w:tr>
      <w:tr w:rsidR="002A09CD" w14:paraId="3683D87D" w14:textId="77777777" w:rsidTr="003B77C6">
        <w:trPr>
          <w:trHeight w:val="224"/>
        </w:trPr>
        <w:tc>
          <w:tcPr>
            <w:tcW w:w="1530" w:type="dxa"/>
            <w:tcBorders>
              <w:top w:val="nil"/>
              <w:left w:val="nil"/>
              <w:bottom w:val="nil"/>
              <w:right w:val="nil"/>
            </w:tcBorders>
            <w:hideMark/>
          </w:tcPr>
          <w:p w14:paraId="110B71B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260" w:type="dxa"/>
            <w:tcBorders>
              <w:top w:val="nil"/>
              <w:left w:val="nil"/>
              <w:bottom w:val="nil"/>
              <w:right w:val="nil"/>
            </w:tcBorders>
          </w:tcPr>
          <w:p w14:paraId="7F155D0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12.02</w:t>
            </w:r>
          </w:p>
        </w:tc>
        <w:tc>
          <w:tcPr>
            <w:tcW w:w="1332" w:type="dxa"/>
            <w:tcBorders>
              <w:top w:val="nil"/>
              <w:left w:val="nil"/>
              <w:bottom w:val="nil"/>
              <w:right w:val="nil"/>
            </w:tcBorders>
          </w:tcPr>
          <w:p w14:paraId="719ECB8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11.05</w:t>
            </w:r>
          </w:p>
        </w:tc>
        <w:tc>
          <w:tcPr>
            <w:tcW w:w="1278" w:type="dxa"/>
            <w:tcBorders>
              <w:top w:val="nil"/>
              <w:left w:val="nil"/>
              <w:bottom w:val="nil"/>
              <w:right w:val="nil"/>
            </w:tcBorders>
          </w:tcPr>
          <w:p w14:paraId="73F3E3B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15.20</w:t>
            </w:r>
          </w:p>
        </w:tc>
        <w:tc>
          <w:tcPr>
            <w:tcW w:w="1350" w:type="dxa"/>
            <w:tcBorders>
              <w:top w:val="nil"/>
              <w:left w:val="nil"/>
              <w:bottom w:val="nil"/>
              <w:right w:val="nil"/>
            </w:tcBorders>
          </w:tcPr>
          <w:p w14:paraId="6E7401A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10.62</w:t>
            </w:r>
          </w:p>
        </w:tc>
        <w:tc>
          <w:tcPr>
            <w:tcW w:w="2160" w:type="dxa"/>
            <w:tcBorders>
              <w:top w:val="nil"/>
              <w:left w:val="nil"/>
              <w:bottom w:val="nil"/>
              <w:right w:val="nil"/>
            </w:tcBorders>
            <w:hideMark/>
          </w:tcPr>
          <w:p w14:paraId="73704E9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36</w:t>
            </w:r>
          </w:p>
        </w:tc>
      </w:tr>
      <w:tr w:rsidR="002A09CD" w14:paraId="689D9159" w14:textId="77777777" w:rsidTr="003B77C6">
        <w:trPr>
          <w:trHeight w:val="240"/>
        </w:trPr>
        <w:tc>
          <w:tcPr>
            <w:tcW w:w="1530" w:type="dxa"/>
            <w:tcBorders>
              <w:top w:val="nil"/>
              <w:left w:val="nil"/>
              <w:bottom w:val="nil"/>
              <w:right w:val="nil"/>
            </w:tcBorders>
            <w:hideMark/>
          </w:tcPr>
          <w:p w14:paraId="7B1500F5"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Fe</w:t>
            </w:r>
          </w:p>
        </w:tc>
        <w:tc>
          <w:tcPr>
            <w:tcW w:w="1260" w:type="dxa"/>
            <w:tcBorders>
              <w:top w:val="nil"/>
              <w:left w:val="nil"/>
              <w:bottom w:val="nil"/>
              <w:right w:val="nil"/>
            </w:tcBorders>
          </w:tcPr>
          <w:p w14:paraId="6FD2B72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9055.16</w:t>
            </w:r>
          </w:p>
        </w:tc>
        <w:tc>
          <w:tcPr>
            <w:tcW w:w="1332" w:type="dxa"/>
            <w:tcBorders>
              <w:top w:val="nil"/>
              <w:left w:val="nil"/>
              <w:bottom w:val="nil"/>
              <w:right w:val="nil"/>
            </w:tcBorders>
          </w:tcPr>
          <w:p w14:paraId="01C85E3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8075.10</w:t>
            </w:r>
          </w:p>
        </w:tc>
        <w:tc>
          <w:tcPr>
            <w:tcW w:w="1278" w:type="dxa"/>
            <w:tcBorders>
              <w:top w:val="nil"/>
              <w:left w:val="nil"/>
              <w:bottom w:val="nil"/>
              <w:right w:val="nil"/>
            </w:tcBorders>
          </w:tcPr>
          <w:p w14:paraId="7ED2DC6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1022.00</w:t>
            </w:r>
          </w:p>
        </w:tc>
        <w:tc>
          <w:tcPr>
            <w:tcW w:w="1350" w:type="dxa"/>
            <w:tcBorders>
              <w:top w:val="nil"/>
              <w:left w:val="nil"/>
              <w:bottom w:val="nil"/>
              <w:right w:val="nil"/>
            </w:tcBorders>
          </w:tcPr>
          <w:p w14:paraId="7A5E9B15"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9011.11</w:t>
            </w:r>
          </w:p>
        </w:tc>
        <w:tc>
          <w:tcPr>
            <w:tcW w:w="2160" w:type="dxa"/>
            <w:tcBorders>
              <w:top w:val="nil"/>
              <w:left w:val="nil"/>
              <w:bottom w:val="nil"/>
              <w:right w:val="nil"/>
            </w:tcBorders>
            <w:hideMark/>
          </w:tcPr>
          <w:p w14:paraId="1A707DF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50,000</w:t>
            </w:r>
          </w:p>
        </w:tc>
      </w:tr>
      <w:tr w:rsidR="002A09CD" w14:paraId="4BAD0E07" w14:textId="77777777" w:rsidTr="003B77C6">
        <w:trPr>
          <w:trHeight w:val="224"/>
        </w:trPr>
        <w:tc>
          <w:tcPr>
            <w:tcW w:w="1530" w:type="dxa"/>
            <w:tcBorders>
              <w:top w:val="nil"/>
              <w:left w:val="nil"/>
              <w:bottom w:val="nil"/>
              <w:right w:val="nil"/>
            </w:tcBorders>
            <w:hideMark/>
          </w:tcPr>
          <w:p w14:paraId="7FDDDFA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260" w:type="dxa"/>
            <w:tcBorders>
              <w:top w:val="nil"/>
              <w:left w:val="nil"/>
              <w:bottom w:val="nil"/>
              <w:right w:val="nil"/>
            </w:tcBorders>
          </w:tcPr>
          <w:p w14:paraId="7DD98E6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297.38</w:t>
            </w:r>
          </w:p>
        </w:tc>
        <w:tc>
          <w:tcPr>
            <w:tcW w:w="1332" w:type="dxa"/>
            <w:tcBorders>
              <w:top w:val="nil"/>
              <w:left w:val="nil"/>
              <w:bottom w:val="nil"/>
              <w:right w:val="nil"/>
            </w:tcBorders>
          </w:tcPr>
          <w:p w14:paraId="1E3856E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210.80</w:t>
            </w:r>
          </w:p>
        </w:tc>
        <w:tc>
          <w:tcPr>
            <w:tcW w:w="1278" w:type="dxa"/>
            <w:tcBorders>
              <w:top w:val="nil"/>
              <w:left w:val="nil"/>
              <w:bottom w:val="nil"/>
              <w:right w:val="nil"/>
            </w:tcBorders>
          </w:tcPr>
          <w:p w14:paraId="726A24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316.5</w:t>
            </w:r>
          </w:p>
        </w:tc>
        <w:tc>
          <w:tcPr>
            <w:tcW w:w="1350" w:type="dxa"/>
            <w:tcBorders>
              <w:top w:val="nil"/>
              <w:left w:val="nil"/>
              <w:bottom w:val="nil"/>
              <w:right w:val="nil"/>
            </w:tcBorders>
          </w:tcPr>
          <w:p w14:paraId="6CF7A08E"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305.19</w:t>
            </w:r>
          </w:p>
        </w:tc>
        <w:tc>
          <w:tcPr>
            <w:tcW w:w="2160" w:type="dxa"/>
            <w:tcBorders>
              <w:top w:val="nil"/>
              <w:left w:val="nil"/>
              <w:bottom w:val="nil"/>
              <w:right w:val="nil"/>
            </w:tcBorders>
            <w:hideMark/>
          </w:tcPr>
          <w:p w14:paraId="72D760E4"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2,000</w:t>
            </w:r>
          </w:p>
        </w:tc>
      </w:tr>
      <w:tr w:rsidR="002A09CD" w14:paraId="77115223" w14:textId="77777777" w:rsidTr="003B77C6">
        <w:trPr>
          <w:trHeight w:val="224"/>
        </w:trPr>
        <w:tc>
          <w:tcPr>
            <w:tcW w:w="1530" w:type="dxa"/>
            <w:tcBorders>
              <w:top w:val="nil"/>
              <w:left w:val="nil"/>
              <w:bottom w:val="nil"/>
              <w:right w:val="nil"/>
            </w:tcBorders>
            <w:hideMark/>
          </w:tcPr>
          <w:p w14:paraId="48FFFE7B"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260" w:type="dxa"/>
            <w:tcBorders>
              <w:top w:val="nil"/>
              <w:left w:val="nil"/>
              <w:bottom w:val="nil"/>
              <w:right w:val="nil"/>
            </w:tcBorders>
          </w:tcPr>
          <w:p w14:paraId="1FD289A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17.15</w:t>
            </w:r>
          </w:p>
        </w:tc>
        <w:tc>
          <w:tcPr>
            <w:tcW w:w="1332" w:type="dxa"/>
            <w:tcBorders>
              <w:top w:val="nil"/>
              <w:left w:val="nil"/>
              <w:bottom w:val="nil"/>
              <w:right w:val="nil"/>
            </w:tcBorders>
          </w:tcPr>
          <w:p w14:paraId="6AF7A4C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27.80</w:t>
            </w:r>
          </w:p>
        </w:tc>
        <w:tc>
          <w:tcPr>
            <w:tcW w:w="1278" w:type="dxa"/>
            <w:tcBorders>
              <w:top w:val="nil"/>
              <w:left w:val="nil"/>
              <w:bottom w:val="nil"/>
              <w:right w:val="nil"/>
            </w:tcBorders>
          </w:tcPr>
          <w:p w14:paraId="39787F3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21.00</w:t>
            </w:r>
          </w:p>
        </w:tc>
        <w:tc>
          <w:tcPr>
            <w:tcW w:w="1350" w:type="dxa"/>
            <w:tcBorders>
              <w:top w:val="nil"/>
              <w:left w:val="nil"/>
              <w:bottom w:val="nil"/>
              <w:right w:val="nil"/>
            </w:tcBorders>
          </w:tcPr>
          <w:p w14:paraId="5EB45709"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20.61</w:t>
            </w:r>
          </w:p>
        </w:tc>
        <w:tc>
          <w:tcPr>
            <w:tcW w:w="2160" w:type="dxa"/>
            <w:tcBorders>
              <w:top w:val="nil"/>
              <w:left w:val="nil"/>
              <w:bottom w:val="nil"/>
              <w:right w:val="nil"/>
            </w:tcBorders>
            <w:hideMark/>
          </w:tcPr>
          <w:p w14:paraId="477BE51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35</w:t>
            </w:r>
          </w:p>
        </w:tc>
      </w:tr>
      <w:tr w:rsidR="002A09CD" w14:paraId="22964F35" w14:textId="77777777" w:rsidTr="003B77C6">
        <w:trPr>
          <w:trHeight w:val="240"/>
        </w:trPr>
        <w:tc>
          <w:tcPr>
            <w:tcW w:w="1530" w:type="dxa"/>
            <w:tcBorders>
              <w:top w:val="nil"/>
              <w:left w:val="nil"/>
              <w:bottom w:val="nil"/>
              <w:right w:val="nil"/>
            </w:tcBorders>
            <w:hideMark/>
          </w:tcPr>
          <w:p w14:paraId="6E8909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260" w:type="dxa"/>
            <w:tcBorders>
              <w:top w:val="nil"/>
              <w:left w:val="nil"/>
              <w:bottom w:val="nil"/>
              <w:right w:val="nil"/>
            </w:tcBorders>
          </w:tcPr>
          <w:p w14:paraId="1A365066"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30.01</w:t>
            </w:r>
          </w:p>
        </w:tc>
        <w:tc>
          <w:tcPr>
            <w:tcW w:w="1332" w:type="dxa"/>
            <w:tcBorders>
              <w:top w:val="nil"/>
              <w:left w:val="nil"/>
              <w:bottom w:val="nil"/>
              <w:right w:val="nil"/>
            </w:tcBorders>
          </w:tcPr>
          <w:p w14:paraId="30B71DE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43.80</w:t>
            </w:r>
          </w:p>
        </w:tc>
        <w:tc>
          <w:tcPr>
            <w:tcW w:w="1278" w:type="dxa"/>
            <w:tcBorders>
              <w:top w:val="nil"/>
              <w:left w:val="nil"/>
              <w:bottom w:val="nil"/>
              <w:right w:val="nil"/>
            </w:tcBorders>
          </w:tcPr>
          <w:p w14:paraId="7C037112"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36.80</w:t>
            </w:r>
          </w:p>
        </w:tc>
        <w:tc>
          <w:tcPr>
            <w:tcW w:w="1350" w:type="dxa"/>
            <w:tcBorders>
              <w:top w:val="nil"/>
              <w:left w:val="nil"/>
              <w:bottom w:val="nil"/>
              <w:right w:val="nil"/>
            </w:tcBorders>
          </w:tcPr>
          <w:p w14:paraId="2B15C24A"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32.03</w:t>
            </w:r>
          </w:p>
        </w:tc>
        <w:tc>
          <w:tcPr>
            <w:tcW w:w="2160" w:type="dxa"/>
            <w:tcBorders>
              <w:top w:val="nil"/>
              <w:left w:val="nil"/>
              <w:bottom w:val="nil"/>
              <w:right w:val="nil"/>
            </w:tcBorders>
            <w:hideMark/>
          </w:tcPr>
          <w:p w14:paraId="7CCB695F"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85</w:t>
            </w:r>
          </w:p>
        </w:tc>
      </w:tr>
      <w:tr w:rsidR="002A09CD" w14:paraId="409C54EE" w14:textId="77777777" w:rsidTr="003B77C6">
        <w:trPr>
          <w:trHeight w:val="224"/>
        </w:trPr>
        <w:tc>
          <w:tcPr>
            <w:tcW w:w="1530" w:type="dxa"/>
            <w:tcBorders>
              <w:top w:val="nil"/>
              <w:left w:val="nil"/>
              <w:bottom w:val="single" w:sz="4" w:space="0" w:color="auto"/>
              <w:right w:val="nil"/>
            </w:tcBorders>
            <w:hideMark/>
          </w:tcPr>
          <w:p w14:paraId="7B697B18"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260" w:type="dxa"/>
            <w:tcBorders>
              <w:top w:val="nil"/>
              <w:left w:val="nil"/>
              <w:bottom w:val="single" w:sz="4" w:space="0" w:color="auto"/>
              <w:right w:val="nil"/>
            </w:tcBorders>
          </w:tcPr>
          <w:p w14:paraId="18A43591"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12.68</w:t>
            </w:r>
          </w:p>
        </w:tc>
        <w:tc>
          <w:tcPr>
            <w:tcW w:w="1332" w:type="dxa"/>
            <w:tcBorders>
              <w:top w:val="nil"/>
              <w:left w:val="nil"/>
              <w:bottom w:val="single" w:sz="4" w:space="0" w:color="auto"/>
              <w:right w:val="nil"/>
            </w:tcBorders>
          </w:tcPr>
          <w:p w14:paraId="6EA7BA3D"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12.30</w:t>
            </w:r>
          </w:p>
        </w:tc>
        <w:tc>
          <w:tcPr>
            <w:tcW w:w="1278" w:type="dxa"/>
            <w:tcBorders>
              <w:top w:val="nil"/>
              <w:left w:val="nil"/>
              <w:bottom w:val="single" w:sz="4" w:space="0" w:color="auto"/>
              <w:right w:val="nil"/>
            </w:tcBorders>
          </w:tcPr>
          <w:p w14:paraId="33A0A9B3"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14.80</w:t>
            </w:r>
          </w:p>
        </w:tc>
        <w:tc>
          <w:tcPr>
            <w:tcW w:w="1350" w:type="dxa"/>
            <w:tcBorders>
              <w:top w:val="nil"/>
              <w:left w:val="nil"/>
              <w:bottom w:val="single" w:sz="4" w:space="0" w:color="auto"/>
              <w:right w:val="nil"/>
            </w:tcBorders>
          </w:tcPr>
          <w:p w14:paraId="359B1577"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13.41</w:t>
            </w:r>
          </w:p>
        </w:tc>
        <w:tc>
          <w:tcPr>
            <w:tcW w:w="2160" w:type="dxa"/>
            <w:tcBorders>
              <w:top w:val="nil"/>
              <w:left w:val="nil"/>
              <w:bottom w:val="single" w:sz="4" w:space="0" w:color="auto"/>
              <w:right w:val="nil"/>
            </w:tcBorders>
            <w:hideMark/>
          </w:tcPr>
          <w:p w14:paraId="19933D1E" w14:textId="77777777" w:rsidR="002A09CD" w:rsidRDefault="002A09CD" w:rsidP="002A09CD">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50</w:t>
            </w:r>
          </w:p>
        </w:tc>
      </w:tr>
    </w:tbl>
    <w:p w14:paraId="48730EAB" w14:textId="77777777" w:rsidR="00032391" w:rsidRDefault="00032391" w:rsidP="00032391">
      <w:pPr>
        <w:jc w:val="both"/>
        <w:rPr>
          <w:rFonts w:ascii="Times New Roman" w:hAnsi="Times New Roman"/>
          <w:noProof/>
          <w:sz w:val="24"/>
          <w:szCs w:val="24"/>
        </w:rPr>
      </w:pPr>
    </w:p>
    <w:p w14:paraId="010698A8" w14:textId="77777777" w:rsidR="00E72791" w:rsidRDefault="00E72791" w:rsidP="00032391">
      <w:pPr>
        <w:jc w:val="both"/>
        <w:rPr>
          <w:rFonts w:ascii="Times New Roman" w:hAnsi="Times New Roman"/>
          <w:b/>
          <w:bCs/>
          <w:sz w:val="24"/>
          <w:szCs w:val="24"/>
        </w:rPr>
      </w:pPr>
    </w:p>
    <w:p w14:paraId="751B1309" w14:textId="77777777" w:rsidR="00E72791" w:rsidRDefault="00E72791" w:rsidP="00032391">
      <w:pPr>
        <w:jc w:val="both"/>
        <w:rPr>
          <w:rFonts w:ascii="Times New Roman" w:hAnsi="Times New Roman"/>
          <w:b/>
          <w:bCs/>
          <w:sz w:val="24"/>
          <w:szCs w:val="24"/>
        </w:rPr>
      </w:pPr>
    </w:p>
    <w:p w14:paraId="2AB62E58" w14:textId="77777777" w:rsidR="00E72791" w:rsidRDefault="00E72791" w:rsidP="00032391">
      <w:pPr>
        <w:jc w:val="both"/>
        <w:rPr>
          <w:rFonts w:ascii="Times New Roman" w:hAnsi="Times New Roman"/>
          <w:b/>
          <w:bCs/>
          <w:sz w:val="24"/>
          <w:szCs w:val="24"/>
        </w:rPr>
      </w:pPr>
    </w:p>
    <w:p w14:paraId="2A1C9E8B" w14:textId="77777777" w:rsidR="00E72791" w:rsidRDefault="00E72791" w:rsidP="00032391">
      <w:pPr>
        <w:jc w:val="both"/>
        <w:rPr>
          <w:rFonts w:ascii="Times New Roman" w:hAnsi="Times New Roman"/>
          <w:b/>
          <w:bCs/>
          <w:sz w:val="24"/>
          <w:szCs w:val="24"/>
        </w:rPr>
      </w:pPr>
    </w:p>
    <w:p w14:paraId="26FAF34B" w14:textId="77777777" w:rsidR="00E72791" w:rsidRDefault="00E72791" w:rsidP="00032391">
      <w:pPr>
        <w:jc w:val="both"/>
        <w:rPr>
          <w:rFonts w:ascii="Times New Roman" w:hAnsi="Times New Roman"/>
          <w:b/>
          <w:bCs/>
          <w:sz w:val="24"/>
          <w:szCs w:val="24"/>
        </w:rPr>
      </w:pPr>
    </w:p>
    <w:p w14:paraId="045451F3" w14:textId="77777777" w:rsidR="00E72791" w:rsidRDefault="00E72791" w:rsidP="00032391">
      <w:pPr>
        <w:jc w:val="both"/>
        <w:rPr>
          <w:rFonts w:ascii="Times New Roman" w:hAnsi="Times New Roman"/>
          <w:b/>
          <w:bCs/>
          <w:sz w:val="24"/>
          <w:szCs w:val="24"/>
        </w:rPr>
      </w:pPr>
    </w:p>
    <w:p w14:paraId="31D8989E" w14:textId="77777777" w:rsidR="00E72791" w:rsidRDefault="00E72791" w:rsidP="00032391">
      <w:pPr>
        <w:jc w:val="both"/>
        <w:rPr>
          <w:rFonts w:ascii="Times New Roman" w:hAnsi="Times New Roman"/>
          <w:b/>
          <w:bCs/>
          <w:sz w:val="24"/>
          <w:szCs w:val="24"/>
        </w:rPr>
      </w:pPr>
    </w:p>
    <w:p w14:paraId="5D63A7DC" w14:textId="77777777" w:rsidR="00E72791" w:rsidRDefault="00E72791" w:rsidP="00032391">
      <w:pPr>
        <w:jc w:val="both"/>
        <w:rPr>
          <w:rFonts w:ascii="Times New Roman" w:hAnsi="Times New Roman"/>
          <w:b/>
          <w:bCs/>
          <w:sz w:val="24"/>
          <w:szCs w:val="24"/>
        </w:rPr>
      </w:pPr>
    </w:p>
    <w:p w14:paraId="532B812E" w14:textId="77777777" w:rsidR="00E72791" w:rsidRDefault="00E72791" w:rsidP="00032391">
      <w:pPr>
        <w:jc w:val="both"/>
        <w:rPr>
          <w:rFonts w:ascii="Times New Roman" w:hAnsi="Times New Roman"/>
          <w:b/>
          <w:bCs/>
          <w:sz w:val="24"/>
          <w:szCs w:val="24"/>
        </w:rPr>
      </w:pPr>
    </w:p>
    <w:p w14:paraId="4707AEE2" w14:textId="77777777" w:rsidR="00E72791" w:rsidRDefault="00E72791" w:rsidP="00032391">
      <w:pPr>
        <w:jc w:val="both"/>
        <w:rPr>
          <w:rFonts w:ascii="Times New Roman" w:hAnsi="Times New Roman"/>
          <w:b/>
          <w:bCs/>
          <w:sz w:val="24"/>
          <w:szCs w:val="24"/>
        </w:rPr>
      </w:pPr>
    </w:p>
    <w:p w14:paraId="0CCCE088" w14:textId="77777777" w:rsidR="00860C9B" w:rsidRDefault="00860C9B" w:rsidP="00032391">
      <w:pPr>
        <w:jc w:val="both"/>
        <w:rPr>
          <w:rFonts w:ascii="Times New Roman" w:hAnsi="Times New Roman"/>
          <w:b/>
          <w:bCs/>
          <w:sz w:val="24"/>
          <w:szCs w:val="24"/>
        </w:rPr>
      </w:pPr>
    </w:p>
    <w:p w14:paraId="2ACE7F60"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3.2</w:t>
      </w:r>
      <w:r w:rsidR="00E72791">
        <w:rPr>
          <w:rFonts w:ascii="Times New Roman" w:hAnsi="Times New Roman"/>
          <w:b/>
          <w:bCs/>
          <w:sz w:val="24"/>
          <w:szCs w:val="24"/>
        </w:rPr>
        <w:t xml:space="preserve"> </w:t>
      </w:r>
      <w:r>
        <w:rPr>
          <w:rFonts w:ascii="Times New Roman" w:hAnsi="Times New Roman"/>
          <w:b/>
          <w:bCs/>
          <w:sz w:val="24"/>
          <w:szCs w:val="24"/>
        </w:rPr>
        <w:t xml:space="preserve">Determination of environmental risk potential of heavy metals in roadside soil </w:t>
      </w:r>
    </w:p>
    <w:p w14:paraId="4EF941AB"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Tables 3 and 4 presents a summary of the CF and </w:t>
      </w:r>
      <w:proofErr w:type="spellStart"/>
      <w:r>
        <w:rPr>
          <w:rFonts w:ascii="Times New Roman" w:hAnsi="Times New Roman"/>
          <w:sz w:val="24"/>
          <w:szCs w:val="24"/>
        </w:rPr>
        <w:t>Igeo</w:t>
      </w:r>
      <w:proofErr w:type="spellEnd"/>
      <w:r>
        <w:rPr>
          <w:rFonts w:ascii="Times New Roman" w:hAnsi="Times New Roman"/>
          <w:sz w:val="24"/>
          <w:szCs w:val="24"/>
        </w:rPr>
        <w:t xml:space="preserve"> indices for each heavy metal. Comparing the CF values of Table 3 which was calculated to quantify the degree of contamination relative to either average crustal composition of a respective metal or to measured background values from geologically similar and uncontaminated </w:t>
      </w:r>
      <w:r w:rsidR="003F1DC0">
        <w:rPr>
          <w:rFonts w:ascii="Times New Roman" w:hAnsi="Times New Roman"/>
          <w:sz w:val="24"/>
          <w:szCs w:val="24"/>
        </w:rPr>
        <w:t>area and</w:t>
      </w:r>
      <w:r>
        <w:rPr>
          <w:rFonts w:ascii="Times New Roman" w:hAnsi="Times New Roman"/>
          <w:sz w:val="24"/>
          <w:szCs w:val="24"/>
        </w:rPr>
        <w:t xml:space="preserve"> the description of contamination level in Table 1. All the study locations showed low environmental risk potential for all heavy metals except Cd, with their CF values being less than one (</w:t>
      </w:r>
      <m:oMath>
        <m:r>
          <w:rPr>
            <w:rFonts w:ascii="Cambria Math" w:hAnsi="Cambria Math"/>
            <w:sz w:val="24"/>
            <w:szCs w:val="24"/>
            <w:shd w:val="clear" w:color="auto" w:fill="FFFFFF"/>
            <w:lang w:val="en-GB"/>
          </w:rPr>
          <m:t>CF&lt;1</m:t>
        </m:r>
      </m:oMath>
      <w:r>
        <w:rPr>
          <w:rFonts w:ascii="Times New Roman" w:hAnsi="Times New Roman"/>
          <w:sz w:val="24"/>
          <w:szCs w:val="24"/>
        </w:rPr>
        <w:t>). Whereas Cd presents considerab</w:t>
      </w:r>
      <w:proofErr w:type="spellStart"/>
      <w:r w:rsidR="00454906">
        <w:rPr>
          <w:rFonts w:ascii="Times New Roman" w:hAnsi="Times New Roman"/>
          <w:sz w:val="24"/>
          <w:szCs w:val="24"/>
        </w:rPr>
        <w:t>ly</w:t>
      </w:r>
      <w:proofErr w:type="spellEnd"/>
      <w:r w:rsidR="00454906">
        <w:rPr>
          <w:rFonts w:ascii="Times New Roman" w:hAnsi="Times New Roman"/>
          <w:sz w:val="24"/>
          <w:szCs w:val="24"/>
        </w:rPr>
        <w:t xml:space="preserve"> high environmental risk at SP2</w:t>
      </w:r>
      <w:r>
        <w:rPr>
          <w:rFonts w:ascii="Times New Roman" w:hAnsi="Times New Roman"/>
          <w:sz w:val="24"/>
          <w:szCs w:val="24"/>
        </w:rPr>
        <w:t xml:space="preserve"> and </w:t>
      </w:r>
      <w:r w:rsidR="006D3D3B">
        <w:rPr>
          <w:rFonts w:ascii="Times New Roman" w:hAnsi="Times New Roman"/>
          <w:sz w:val="24"/>
          <w:szCs w:val="24"/>
        </w:rPr>
        <w:t>SP4</w:t>
      </w:r>
      <w:r>
        <w:rPr>
          <w:rFonts w:ascii="Times New Roman" w:hAnsi="Times New Roman"/>
          <w:sz w:val="24"/>
          <w:szCs w:val="24"/>
        </w:rPr>
        <w:t xml:space="preserve"> with</w:t>
      </w:r>
      <m:oMath>
        <m:r>
          <w:rPr>
            <w:rFonts w:ascii="Cambria Math" w:hAnsi="Cambria Math"/>
            <w:sz w:val="24"/>
            <w:szCs w:val="24"/>
          </w:rPr>
          <m:t xml:space="preserve"> </m:t>
        </m:r>
        <m:r>
          <w:rPr>
            <w:rFonts w:ascii="Cambria Math" w:hAnsi="Cambria Math"/>
            <w:sz w:val="24"/>
            <w:szCs w:val="24"/>
            <w:shd w:val="clear" w:color="auto" w:fill="FFFFFF"/>
            <w:lang w:val="en-GB"/>
          </w:rPr>
          <m:t>3&lt;CF&lt;6</m:t>
        </m:r>
      </m:oMath>
      <w:r>
        <w:rPr>
          <w:rFonts w:ascii="Times New Roman" w:hAnsi="Times New Roman"/>
          <w:sz w:val="24"/>
          <w:szCs w:val="24"/>
        </w:rPr>
        <w:t xml:space="preserve"> and very high environmental risk at </w:t>
      </w:r>
      <w:r w:rsidR="006D3D3B">
        <w:rPr>
          <w:rFonts w:ascii="Times New Roman" w:hAnsi="Times New Roman"/>
          <w:sz w:val="24"/>
          <w:szCs w:val="24"/>
        </w:rPr>
        <w:t>SP1</w:t>
      </w:r>
      <w:r>
        <w:rPr>
          <w:rFonts w:ascii="Times New Roman" w:hAnsi="Times New Roman"/>
          <w:sz w:val="24"/>
          <w:szCs w:val="24"/>
        </w:rPr>
        <w:t xml:space="preserve"> and </w:t>
      </w:r>
      <w:r w:rsidR="006D3D3B">
        <w:rPr>
          <w:rFonts w:ascii="Times New Roman" w:hAnsi="Times New Roman"/>
          <w:sz w:val="24"/>
          <w:szCs w:val="24"/>
        </w:rPr>
        <w:t>SP3</w:t>
      </w:r>
      <w:r>
        <w:rPr>
          <w:rFonts w:ascii="Times New Roman" w:hAnsi="Times New Roman"/>
          <w:sz w:val="24"/>
          <w:szCs w:val="24"/>
        </w:rPr>
        <w:t xml:space="preserve"> with </w:t>
      </w:r>
      <m:oMath>
        <m:r>
          <w:rPr>
            <w:rFonts w:ascii="Cambria Math" w:hAnsi="Cambria Math"/>
            <w:sz w:val="24"/>
            <w:szCs w:val="24"/>
            <w:shd w:val="clear" w:color="auto" w:fill="FFFFFF"/>
            <w:lang w:val="en-GB"/>
          </w:rPr>
          <m:t>CF&gt;6</m:t>
        </m:r>
      </m:oMath>
      <w:r>
        <w:rPr>
          <w:rFonts w:ascii="Times New Roman" w:hAnsi="Times New Roman"/>
          <w:sz w:val="24"/>
          <w:szCs w:val="24"/>
        </w:rPr>
        <w:t xml:space="preserve">. </w:t>
      </w:r>
    </w:p>
    <w:p w14:paraId="4B591503" w14:textId="77777777" w:rsidR="003F1DC0" w:rsidRDefault="003F1DC0" w:rsidP="00032391">
      <w:pPr>
        <w:jc w:val="both"/>
        <w:rPr>
          <w:rFonts w:ascii="Times New Roman" w:hAnsi="Times New Roman"/>
          <w:sz w:val="24"/>
          <w:szCs w:val="24"/>
        </w:rPr>
      </w:pPr>
    </w:p>
    <w:p w14:paraId="3387F067"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3: </w:t>
      </w:r>
      <w:r>
        <w:rPr>
          <w:rFonts w:ascii="Times New Roman" w:hAnsi="Times New Roman"/>
          <w:sz w:val="24"/>
          <w:szCs w:val="24"/>
          <w:shd w:val="clear" w:color="auto" w:fill="FFFFFF"/>
          <w:lang w:val="en-GB"/>
        </w:rPr>
        <w:t>Contamination Factors (CF) for Heavy Metals Collected in the Roadside Soils for each Sampled Locations</w:t>
      </w:r>
    </w:p>
    <w:tbl>
      <w:tblPr>
        <w:tblStyle w:val="TableGrid"/>
        <w:tblW w:w="873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1710"/>
        <w:gridCol w:w="1710"/>
        <w:gridCol w:w="1800"/>
        <w:gridCol w:w="1890"/>
      </w:tblGrid>
      <w:tr w:rsidR="00B67807" w14:paraId="66F477DD" w14:textId="77777777" w:rsidTr="00B67807">
        <w:trPr>
          <w:trHeight w:val="263"/>
          <w:jc w:val="center"/>
        </w:trPr>
        <w:tc>
          <w:tcPr>
            <w:tcW w:w="1620" w:type="dxa"/>
            <w:tcBorders>
              <w:top w:val="single" w:sz="4" w:space="0" w:color="auto"/>
              <w:left w:val="nil"/>
              <w:bottom w:val="single" w:sz="4" w:space="0" w:color="auto"/>
              <w:right w:val="nil"/>
            </w:tcBorders>
            <w:hideMark/>
          </w:tcPr>
          <w:p w14:paraId="011E70DF"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Heavy metals</w:t>
            </w:r>
          </w:p>
        </w:tc>
        <w:tc>
          <w:tcPr>
            <w:tcW w:w="1710" w:type="dxa"/>
            <w:tcBorders>
              <w:top w:val="single" w:sz="4" w:space="0" w:color="auto"/>
              <w:left w:val="nil"/>
              <w:bottom w:val="single" w:sz="4" w:space="0" w:color="auto"/>
              <w:right w:val="nil"/>
            </w:tcBorders>
            <w:vAlign w:val="center"/>
          </w:tcPr>
          <w:p w14:paraId="07DCB923"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710" w:type="dxa"/>
            <w:tcBorders>
              <w:top w:val="single" w:sz="4" w:space="0" w:color="auto"/>
              <w:left w:val="nil"/>
              <w:bottom w:val="single" w:sz="4" w:space="0" w:color="auto"/>
              <w:right w:val="nil"/>
            </w:tcBorders>
            <w:vAlign w:val="center"/>
            <w:hideMark/>
          </w:tcPr>
          <w:p w14:paraId="39B727F1"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800" w:type="dxa"/>
            <w:tcBorders>
              <w:top w:val="single" w:sz="4" w:space="0" w:color="auto"/>
              <w:left w:val="nil"/>
              <w:bottom w:val="single" w:sz="4" w:space="0" w:color="auto"/>
              <w:right w:val="nil"/>
            </w:tcBorders>
            <w:vAlign w:val="center"/>
            <w:hideMark/>
          </w:tcPr>
          <w:p w14:paraId="42841EA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890" w:type="dxa"/>
            <w:tcBorders>
              <w:top w:val="single" w:sz="4" w:space="0" w:color="auto"/>
              <w:left w:val="nil"/>
              <w:bottom w:val="single" w:sz="4" w:space="0" w:color="auto"/>
              <w:right w:val="nil"/>
            </w:tcBorders>
            <w:vAlign w:val="center"/>
            <w:hideMark/>
          </w:tcPr>
          <w:p w14:paraId="6199DE5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B67807" w14:paraId="11FB53A5" w14:textId="77777777" w:rsidTr="00B67807">
        <w:trPr>
          <w:trHeight w:val="263"/>
          <w:jc w:val="center"/>
        </w:trPr>
        <w:tc>
          <w:tcPr>
            <w:tcW w:w="1620" w:type="dxa"/>
            <w:tcBorders>
              <w:top w:val="single" w:sz="4" w:space="0" w:color="auto"/>
              <w:left w:val="nil"/>
              <w:bottom w:val="nil"/>
              <w:right w:val="nil"/>
            </w:tcBorders>
            <w:hideMark/>
          </w:tcPr>
          <w:p w14:paraId="4BA7509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710" w:type="dxa"/>
            <w:tcBorders>
              <w:top w:val="single" w:sz="4" w:space="0" w:color="auto"/>
              <w:left w:val="nil"/>
              <w:bottom w:val="nil"/>
              <w:right w:val="nil"/>
            </w:tcBorders>
            <w:vAlign w:val="bottom"/>
          </w:tcPr>
          <w:p w14:paraId="6CCAD17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6.275</w:t>
            </w:r>
          </w:p>
        </w:tc>
        <w:tc>
          <w:tcPr>
            <w:tcW w:w="1710" w:type="dxa"/>
            <w:tcBorders>
              <w:top w:val="single" w:sz="4" w:space="0" w:color="auto"/>
              <w:left w:val="nil"/>
              <w:bottom w:val="nil"/>
              <w:right w:val="nil"/>
            </w:tcBorders>
            <w:vAlign w:val="bottom"/>
            <w:hideMark/>
          </w:tcPr>
          <w:p w14:paraId="3BD2E00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5.2625</w:t>
            </w:r>
          </w:p>
        </w:tc>
        <w:tc>
          <w:tcPr>
            <w:tcW w:w="1800" w:type="dxa"/>
            <w:tcBorders>
              <w:top w:val="single" w:sz="4" w:space="0" w:color="auto"/>
              <w:left w:val="nil"/>
              <w:bottom w:val="nil"/>
              <w:right w:val="nil"/>
            </w:tcBorders>
            <w:vAlign w:val="bottom"/>
            <w:hideMark/>
          </w:tcPr>
          <w:p w14:paraId="23E95B10"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8.5</w:t>
            </w:r>
          </w:p>
        </w:tc>
        <w:tc>
          <w:tcPr>
            <w:tcW w:w="1890" w:type="dxa"/>
            <w:tcBorders>
              <w:top w:val="single" w:sz="4" w:space="0" w:color="auto"/>
              <w:left w:val="nil"/>
              <w:bottom w:val="nil"/>
              <w:right w:val="nil"/>
            </w:tcBorders>
            <w:vAlign w:val="bottom"/>
            <w:hideMark/>
          </w:tcPr>
          <w:p w14:paraId="4A574B94"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5.4125</w:t>
            </w:r>
          </w:p>
        </w:tc>
      </w:tr>
      <w:tr w:rsidR="00B67807" w14:paraId="74A8C875" w14:textId="77777777" w:rsidTr="00B67807">
        <w:trPr>
          <w:trHeight w:val="278"/>
          <w:jc w:val="center"/>
        </w:trPr>
        <w:tc>
          <w:tcPr>
            <w:tcW w:w="1620" w:type="dxa"/>
            <w:tcBorders>
              <w:top w:val="nil"/>
              <w:left w:val="nil"/>
              <w:bottom w:val="nil"/>
              <w:right w:val="nil"/>
            </w:tcBorders>
            <w:hideMark/>
          </w:tcPr>
          <w:p w14:paraId="71C4A37A"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710" w:type="dxa"/>
            <w:tcBorders>
              <w:top w:val="nil"/>
              <w:left w:val="nil"/>
              <w:bottom w:val="nil"/>
              <w:right w:val="nil"/>
            </w:tcBorders>
            <w:vAlign w:val="bottom"/>
          </w:tcPr>
          <w:p w14:paraId="1FC0648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0.0494</w:t>
            </w:r>
          </w:p>
        </w:tc>
        <w:tc>
          <w:tcPr>
            <w:tcW w:w="1710" w:type="dxa"/>
            <w:tcBorders>
              <w:top w:val="nil"/>
              <w:left w:val="nil"/>
              <w:bottom w:val="nil"/>
              <w:right w:val="nil"/>
            </w:tcBorders>
            <w:vAlign w:val="bottom"/>
            <w:hideMark/>
          </w:tcPr>
          <w:p w14:paraId="32DE37F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0.0738</w:t>
            </w:r>
          </w:p>
        </w:tc>
        <w:tc>
          <w:tcPr>
            <w:tcW w:w="1800" w:type="dxa"/>
            <w:tcBorders>
              <w:top w:val="nil"/>
              <w:left w:val="nil"/>
              <w:bottom w:val="nil"/>
              <w:right w:val="nil"/>
            </w:tcBorders>
            <w:vAlign w:val="bottom"/>
            <w:hideMark/>
          </w:tcPr>
          <w:p w14:paraId="1216925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0.0563</w:t>
            </w:r>
          </w:p>
        </w:tc>
        <w:tc>
          <w:tcPr>
            <w:tcW w:w="1890" w:type="dxa"/>
            <w:tcBorders>
              <w:top w:val="nil"/>
              <w:left w:val="nil"/>
              <w:bottom w:val="nil"/>
              <w:right w:val="nil"/>
            </w:tcBorders>
            <w:vAlign w:val="bottom"/>
            <w:hideMark/>
          </w:tcPr>
          <w:p w14:paraId="06F80A1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0.0617</w:t>
            </w:r>
          </w:p>
        </w:tc>
      </w:tr>
      <w:tr w:rsidR="00B67807" w14:paraId="277B5B70" w14:textId="77777777" w:rsidTr="00B67807">
        <w:trPr>
          <w:trHeight w:val="263"/>
          <w:jc w:val="center"/>
        </w:trPr>
        <w:tc>
          <w:tcPr>
            <w:tcW w:w="1620" w:type="dxa"/>
            <w:tcBorders>
              <w:top w:val="nil"/>
              <w:left w:val="nil"/>
              <w:bottom w:val="nil"/>
              <w:right w:val="nil"/>
            </w:tcBorders>
            <w:hideMark/>
          </w:tcPr>
          <w:p w14:paraId="0A1F2D1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710" w:type="dxa"/>
            <w:tcBorders>
              <w:top w:val="nil"/>
              <w:left w:val="nil"/>
              <w:bottom w:val="nil"/>
              <w:right w:val="nil"/>
            </w:tcBorders>
            <w:vAlign w:val="bottom"/>
          </w:tcPr>
          <w:p w14:paraId="691267B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0.3339</w:t>
            </w:r>
          </w:p>
        </w:tc>
        <w:tc>
          <w:tcPr>
            <w:tcW w:w="1710" w:type="dxa"/>
            <w:tcBorders>
              <w:top w:val="nil"/>
              <w:left w:val="nil"/>
              <w:bottom w:val="nil"/>
              <w:right w:val="nil"/>
            </w:tcBorders>
            <w:vAlign w:val="bottom"/>
            <w:hideMark/>
          </w:tcPr>
          <w:p w14:paraId="0221711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0.3069</w:t>
            </w:r>
          </w:p>
        </w:tc>
        <w:tc>
          <w:tcPr>
            <w:tcW w:w="1800" w:type="dxa"/>
            <w:tcBorders>
              <w:top w:val="nil"/>
              <w:left w:val="nil"/>
              <w:bottom w:val="nil"/>
              <w:right w:val="nil"/>
            </w:tcBorders>
            <w:vAlign w:val="bottom"/>
            <w:hideMark/>
          </w:tcPr>
          <w:p w14:paraId="57FCF74B"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0.4222</w:t>
            </w:r>
          </w:p>
        </w:tc>
        <w:tc>
          <w:tcPr>
            <w:tcW w:w="1890" w:type="dxa"/>
            <w:tcBorders>
              <w:top w:val="nil"/>
              <w:left w:val="nil"/>
              <w:bottom w:val="nil"/>
              <w:right w:val="nil"/>
            </w:tcBorders>
            <w:vAlign w:val="bottom"/>
            <w:hideMark/>
          </w:tcPr>
          <w:p w14:paraId="1EA7D3F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0.295</w:t>
            </w:r>
          </w:p>
        </w:tc>
      </w:tr>
      <w:tr w:rsidR="00B67807" w14:paraId="26F385B5" w14:textId="77777777" w:rsidTr="00B67807">
        <w:trPr>
          <w:trHeight w:val="263"/>
          <w:jc w:val="center"/>
        </w:trPr>
        <w:tc>
          <w:tcPr>
            <w:tcW w:w="1620" w:type="dxa"/>
            <w:tcBorders>
              <w:top w:val="nil"/>
              <w:left w:val="nil"/>
              <w:bottom w:val="nil"/>
              <w:right w:val="nil"/>
            </w:tcBorders>
            <w:hideMark/>
          </w:tcPr>
          <w:p w14:paraId="426F8DB6"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Fe</w:t>
            </w:r>
          </w:p>
        </w:tc>
        <w:tc>
          <w:tcPr>
            <w:tcW w:w="1710" w:type="dxa"/>
            <w:tcBorders>
              <w:top w:val="nil"/>
              <w:left w:val="nil"/>
              <w:bottom w:val="nil"/>
              <w:right w:val="nil"/>
            </w:tcBorders>
            <w:vAlign w:val="bottom"/>
          </w:tcPr>
          <w:p w14:paraId="4C9C578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0.1811</w:t>
            </w:r>
          </w:p>
        </w:tc>
        <w:tc>
          <w:tcPr>
            <w:tcW w:w="1710" w:type="dxa"/>
            <w:tcBorders>
              <w:top w:val="nil"/>
              <w:left w:val="nil"/>
              <w:bottom w:val="nil"/>
              <w:right w:val="nil"/>
            </w:tcBorders>
            <w:vAlign w:val="bottom"/>
            <w:hideMark/>
          </w:tcPr>
          <w:p w14:paraId="24D6E323"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0.1615</w:t>
            </w:r>
          </w:p>
        </w:tc>
        <w:tc>
          <w:tcPr>
            <w:tcW w:w="1800" w:type="dxa"/>
            <w:tcBorders>
              <w:top w:val="nil"/>
              <w:left w:val="nil"/>
              <w:bottom w:val="nil"/>
              <w:right w:val="nil"/>
            </w:tcBorders>
            <w:vAlign w:val="bottom"/>
            <w:hideMark/>
          </w:tcPr>
          <w:p w14:paraId="62D46A50"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0.0204</w:t>
            </w:r>
          </w:p>
        </w:tc>
        <w:tc>
          <w:tcPr>
            <w:tcW w:w="1890" w:type="dxa"/>
            <w:tcBorders>
              <w:top w:val="nil"/>
              <w:left w:val="nil"/>
              <w:bottom w:val="nil"/>
              <w:right w:val="nil"/>
            </w:tcBorders>
            <w:vAlign w:val="bottom"/>
            <w:hideMark/>
          </w:tcPr>
          <w:p w14:paraId="09FF6C8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0.1802</w:t>
            </w:r>
          </w:p>
        </w:tc>
      </w:tr>
      <w:tr w:rsidR="00B67807" w14:paraId="3F04465E" w14:textId="77777777" w:rsidTr="00B67807">
        <w:trPr>
          <w:trHeight w:val="278"/>
          <w:jc w:val="center"/>
        </w:trPr>
        <w:tc>
          <w:tcPr>
            <w:tcW w:w="1620" w:type="dxa"/>
            <w:tcBorders>
              <w:top w:val="nil"/>
              <w:left w:val="nil"/>
              <w:bottom w:val="nil"/>
              <w:right w:val="nil"/>
            </w:tcBorders>
            <w:hideMark/>
          </w:tcPr>
          <w:p w14:paraId="675D449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710" w:type="dxa"/>
            <w:tcBorders>
              <w:top w:val="nil"/>
              <w:left w:val="nil"/>
              <w:bottom w:val="nil"/>
              <w:right w:val="nil"/>
            </w:tcBorders>
            <w:vAlign w:val="bottom"/>
          </w:tcPr>
          <w:p w14:paraId="001D853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0.1487</w:t>
            </w:r>
          </w:p>
        </w:tc>
        <w:tc>
          <w:tcPr>
            <w:tcW w:w="1710" w:type="dxa"/>
            <w:tcBorders>
              <w:top w:val="nil"/>
              <w:left w:val="nil"/>
              <w:bottom w:val="nil"/>
              <w:right w:val="nil"/>
            </w:tcBorders>
            <w:vAlign w:val="bottom"/>
            <w:hideMark/>
          </w:tcPr>
          <w:p w14:paraId="078D3EF8"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0.1054</w:t>
            </w:r>
          </w:p>
        </w:tc>
        <w:tc>
          <w:tcPr>
            <w:tcW w:w="1800" w:type="dxa"/>
            <w:tcBorders>
              <w:top w:val="nil"/>
              <w:left w:val="nil"/>
              <w:bottom w:val="nil"/>
              <w:right w:val="nil"/>
            </w:tcBorders>
            <w:vAlign w:val="bottom"/>
            <w:hideMark/>
          </w:tcPr>
          <w:p w14:paraId="50B5605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0.1583</w:t>
            </w:r>
          </w:p>
        </w:tc>
        <w:tc>
          <w:tcPr>
            <w:tcW w:w="1890" w:type="dxa"/>
            <w:tcBorders>
              <w:top w:val="nil"/>
              <w:left w:val="nil"/>
              <w:bottom w:val="nil"/>
              <w:right w:val="nil"/>
            </w:tcBorders>
            <w:vAlign w:val="bottom"/>
            <w:hideMark/>
          </w:tcPr>
          <w:p w14:paraId="593E1DA6"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0.1526</w:t>
            </w:r>
          </w:p>
        </w:tc>
      </w:tr>
      <w:tr w:rsidR="00B67807" w14:paraId="5480ED80" w14:textId="77777777" w:rsidTr="00B67807">
        <w:trPr>
          <w:trHeight w:val="263"/>
          <w:jc w:val="center"/>
        </w:trPr>
        <w:tc>
          <w:tcPr>
            <w:tcW w:w="1620" w:type="dxa"/>
            <w:tcBorders>
              <w:top w:val="nil"/>
              <w:left w:val="nil"/>
              <w:bottom w:val="nil"/>
              <w:right w:val="nil"/>
            </w:tcBorders>
            <w:hideMark/>
          </w:tcPr>
          <w:p w14:paraId="220C4E8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710" w:type="dxa"/>
            <w:tcBorders>
              <w:top w:val="nil"/>
              <w:left w:val="nil"/>
              <w:bottom w:val="nil"/>
              <w:right w:val="nil"/>
            </w:tcBorders>
            <w:vAlign w:val="bottom"/>
          </w:tcPr>
          <w:p w14:paraId="4D2E5F39"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0.49</w:t>
            </w:r>
          </w:p>
        </w:tc>
        <w:tc>
          <w:tcPr>
            <w:tcW w:w="1710" w:type="dxa"/>
            <w:tcBorders>
              <w:top w:val="nil"/>
              <w:left w:val="nil"/>
              <w:bottom w:val="nil"/>
              <w:right w:val="nil"/>
            </w:tcBorders>
            <w:vAlign w:val="bottom"/>
            <w:hideMark/>
          </w:tcPr>
          <w:p w14:paraId="0707EC0C"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0.7943</w:t>
            </w:r>
          </w:p>
        </w:tc>
        <w:tc>
          <w:tcPr>
            <w:tcW w:w="1800" w:type="dxa"/>
            <w:tcBorders>
              <w:top w:val="nil"/>
              <w:left w:val="nil"/>
              <w:bottom w:val="nil"/>
              <w:right w:val="nil"/>
            </w:tcBorders>
            <w:vAlign w:val="bottom"/>
            <w:hideMark/>
          </w:tcPr>
          <w:p w14:paraId="55F72FC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0.6</w:t>
            </w:r>
          </w:p>
        </w:tc>
        <w:tc>
          <w:tcPr>
            <w:tcW w:w="1890" w:type="dxa"/>
            <w:tcBorders>
              <w:top w:val="nil"/>
              <w:left w:val="nil"/>
              <w:bottom w:val="nil"/>
              <w:right w:val="nil"/>
            </w:tcBorders>
            <w:vAlign w:val="bottom"/>
            <w:hideMark/>
          </w:tcPr>
          <w:p w14:paraId="06F0873D"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0.5889</w:t>
            </w:r>
          </w:p>
        </w:tc>
      </w:tr>
      <w:tr w:rsidR="00B67807" w14:paraId="049BD0B6" w14:textId="77777777" w:rsidTr="00B67807">
        <w:trPr>
          <w:trHeight w:val="278"/>
          <w:jc w:val="center"/>
        </w:trPr>
        <w:tc>
          <w:tcPr>
            <w:tcW w:w="1620" w:type="dxa"/>
            <w:tcBorders>
              <w:top w:val="nil"/>
              <w:left w:val="nil"/>
              <w:bottom w:val="nil"/>
              <w:right w:val="nil"/>
            </w:tcBorders>
            <w:hideMark/>
          </w:tcPr>
          <w:p w14:paraId="7124262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710" w:type="dxa"/>
            <w:tcBorders>
              <w:top w:val="nil"/>
              <w:left w:val="nil"/>
              <w:bottom w:val="nil"/>
              <w:right w:val="nil"/>
            </w:tcBorders>
            <w:vAlign w:val="bottom"/>
          </w:tcPr>
          <w:p w14:paraId="12D7D001"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0.3531</w:t>
            </w:r>
          </w:p>
        </w:tc>
        <w:tc>
          <w:tcPr>
            <w:tcW w:w="1710" w:type="dxa"/>
            <w:tcBorders>
              <w:top w:val="nil"/>
              <w:left w:val="nil"/>
              <w:bottom w:val="nil"/>
              <w:right w:val="nil"/>
            </w:tcBorders>
            <w:vAlign w:val="bottom"/>
            <w:hideMark/>
          </w:tcPr>
          <w:p w14:paraId="7C536E5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0.5153</w:t>
            </w:r>
          </w:p>
        </w:tc>
        <w:tc>
          <w:tcPr>
            <w:tcW w:w="1800" w:type="dxa"/>
            <w:tcBorders>
              <w:top w:val="nil"/>
              <w:left w:val="nil"/>
              <w:bottom w:val="nil"/>
              <w:right w:val="nil"/>
            </w:tcBorders>
            <w:vAlign w:val="bottom"/>
            <w:hideMark/>
          </w:tcPr>
          <w:p w14:paraId="27BCA70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0.4329</w:t>
            </w:r>
          </w:p>
        </w:tc>
        <w:tc>
          <w:tcPr>
            <w:tcW w:w="1890" w:type="dxa"/>
            <w:tcBorders>
              <w:top w:val="nil"/>
              <w:left w:val="nil"/>
              <w:bottom w:val="nil"/>
              <w:right w:val="nil"/>
            </w:tcBorders>
            <w:vAlign w:val="bottom"/>
            <w:hideMark/>
          </w:tcPr>
          <w:p w14:paraId="0B60334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0.3768</w:t>
            </w:r>
          </w:p>
        </w:tc>
      </w:tr>
      <w:tr w:rsidR="00B67807" w14:paraId="33D0F107" w14:textId="77777777" w:rsidTr="00B67807">
        <w:trPr>
          <w:trHeight w:val="263"/>
          <w:jc w:val="center"/>
        </w:trPr>
        <w:tc>
          <w:tcPr>
            <w:tcW w:w="1620" w:type="dxa"/>
            <w:tcBorders>
              <w:top w:val="nil"/>
              <w:left w:val="nil"/>
              <w:bottom w:val="single" w:sz="4" w:space="0" w:color="auto"/>
              <w:right w:val="nil"/>
            </w:tcBorders>
            <w:hideMark/>
          </w:tcPr>
          <w:p w14:paraId="68A28625"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710" w:type="dxa"/>
            <w:tcBorders>
              <w:top w:val="nil"/>
              <w:left w:val="nil"/>
              <w:bottom w:val="single" w:sz="4" w:space="0" w:color="auto"/>
              <w:right w:val="nil"/>
            </w:tcBorders>
            <w:vAlign w:val="bottom"/>
          </w:tcPr>
          <w:p w14:paraId="3E0123D7"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0.2536</w:t>
            </w:r>
          </w:p>
        </w:tc>
        <w:tc>
          <w:tcPr>
            <w:tcW w:w="1710" w:type="dxa"/>
            <w:tcBorders>
              <w:top w:val="nil"/>
              <w:left w:val="nil"/>
              <w:bottom w:val="single" w:sz="4" w:space="0" w:color="auto"/>
              <w:right w:val="nil"/>
            </w:tcBorders>
            <w:vAlign w:val="bottom"/>
            <w:hideMark/>
          </w:tcPr>
          <w:p w14:paraId="4CC8C63F"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0.246</w:t>
            </w:r>
          </w:p>
        </w:tc>
        <w:tc>
          <w:tcPr>
            <w:tcW w:w="1800" w:type="dxa"/>
            <w:tcBorders>
              <w:top w:val="nil"/>
              <w:left w:val="nil"/>
              <w:bottom w:val="single" w:sz="4" w:space="0" w:color="auto"/>
              <w:right w:val="nil"/>
            </w:tcBorders>
            <w:vAlign w:val="bottom"/>
            <w:hideMark/>
          </w:tcPr>
          <w:p w14:paraId="4D6A423E"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0.296</w:t>
            </w:r>
          </w:p>
        </w:tc>
        <w:tc>
          <w:tcPr>
            <w:tcW w:w="1890" w:type="dxa"/>
            <w:tcBorders>
              <w:top w:val="nil"/>
              <w:left w:val="nil"/>
              <w:bottom w:val="single" w:sz="4" w:space="0" w:color="auto"/>
              <w:right w:val="nil"/>
            </w:tcBorders>
            <w:vAlign w:val="bottom"/>
            <w:hideMark/>
          </w:tcPr>
          <w:p w14:paraId="007C18D2" w14:textId="77777777" w:rsidR="00B67807" w:rsidRDefault="00B67807" w:rsidP="00B67807">
            <w:pPr>
              <w:jc w:val="center"/>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0.2682</w:t>
            </w:r>
          </w:p>
        </w:tc>
      </w:tr>
    </w:tbl>
    <w:p w14:paraId="71BB70FC" w14:textId="77777777" w:rsidR="00032391" w:rsidRDefault="00032391" w:rsidP="00032391">
      <w:pPr>
        <w:jc w:val="both"/>
        <w:rPr>
          <w:rFonts w:ascii="Times New Roman" w:hAnsi="Times New Roman"/>
          <w:noProof/>
          <w:sz w:val="24"/>
          <w:szCs w:val="24"/>
        </w:rPr>
      </w:pPr>
    </w:p>
    <w:p w14:paraId="3EEA57EA" w14:textId="77777777" w:rsidR="00032391" w:rsidRDefault="00032391" w:rsidP="00032391">
      <w:pPr>
        <w:jc w:val="both"/>
        <w:rPr>
          <w:rFonts w:ascii="Times New Roman" w:hAnsi="Times New Roman"/>
          <w:sz w:val="24"/>
          <w:szCs w:val="24"/>
        </w:rPr>
      </w:pPr>
      <w:r>
        <w:rPr>
          <w:rFonts w:ascii="Times New Roman" w:hAnsi="Times New Roman"/>
          <w:sz w:val="24"/>
          <w:szCs w:val="24"/>
        </w:rPr>
        <w:t>Similar to the CF values description, the geo-accumulation index (1geo) values of all the heavy metals under consideration except Cd were less than zero (</w:t>
      </w:r>
      <m:oMath>
        <m:r>
          <w:rPr>
            <w:rFonts w:ascii="Cambria Math" w:hAnsi="Cambria Math"/>
            <w:sz w:val="24"/>
            <w:szCs w:val="24"/>
            <w:shd w:val="clear" w:color="auto" w:fill="FFFFFF"/>
            <w:lang w:val="en-GB"/>
          </w:rPr>
          <m:t>Igeo&lt;0</m:t>
        </m:r>
      </m:oMath>
      <w:r>
        <w:rPr>
          <w:rFonts w:ascii="Times New Roman" w:hAnsi="Times New Roman"/>
          <w:sz w:val="24"/>
          <w:szCs w:val="24"/>
        </w:rPr>
        <w:t>) (Table 4). This indicates that these metals did not pose any threat of contamination (Table 1) at the four locations. However, the Igeo value of Cd ranged between 1.8108</w:t>
      </w:r>
      <w:r w:rsidR="003F1DC0">
        <w:rPr>
          <w:rFonts w:ascii="Times New Roman" w:hAnsi="Times New Roman"/>
          <w:sz w:val="24"/>
          <w:szCs w:val="24"/>
        </w:rPr>
        <w:t xml:space="preserve"> </w:t>
      </w:r>
      <w:r>
        <w:rPr>
          <w:rFonts w:ascii="Times New Roman" w:hAnsi="Times New Roman"/>
          <w:sz w:val="24"/>
          <w:szCs w:val="24"/>
        </w:rPr>
        <w:t>-</w:t>
      </w:r>
      <w:r w:rsidR="003F1DC0">
        <w:rPr>
          <w:rFonts w:ascii="Times New Roman" w:hAnsi="Times New Roman"/>
          <w:sz w:val="24"/>
          <w:szCs w:val="24"/>
        </w:rPr>
        <w:t xml:space="preserve"> </w:t>
      </w:r>
      <w:r>
        <w:rPr>
          <w:rFonts w:ascii="Times New Roman" w:hAnsi="Times New Roman"/>
          <w:sz w:val="24"/>
          <w:szCs w:val="24"/>
        </w:rPr>
        <w:t xml:space="preserve">2.5025 an indication that Cd poses moderate to strong contamination level. Moderate contamination at locations </w:t>
      </w:r>
      <w:r w:rsidR="00145CCF">
        <w:rPr>
          <w:rFonts w:ascii="Times New Roman" w:hAnsi="Times New Roman"/>
          <w:sz w:val="24"/>
          <w:szCs w:val="24"/>
        </w:rPr>
        <w:lastRenderedPageBreak/>
        <w:t>SP2</w:t>
      </w:r>
      <w:r>
        <w:rPr>
          <w:rFonts w:ascii="Times New Roman" w:hAnsi="Times New Roman"/>
          <w:sz w:val="24"/>
          <w:szCs w:val="24"/>
        </w:rPr>
        <w:t xml:space="preserve"> and </w:t>
      </w:r>
      <w:r w:rsidR="00145CCF">
        <w:rPr>
          <w:rFonts w:ascii="Times New Roman" w:hAnsi="Times New Roman"/>
          <w:sz w:val="24"/>
          <w:szCs w:val="24"/>
        </w:rPr>
        <w:t>SP4</w:t>
      </w:r>
      <w:r>
        <w:rPr>
          <w:rFonts w:ascii="Times New Roman" w:hAnsi="Times New Roman"/>
          <w:sz w:val="24"/>
          <w:szCs w:val="24"/>
        </w:rPr>
        <w:t xml:space="preserve"> while strong co</w:t>
      </w:r>
      <w:r w:rsidR="00CA13CA">
        <w:rPr>
          <w:rFonts w:ascii="Times New Roman" w:hAnsi="Times New Roman"/>
          <w:sz w:val="24"/>
          <w:szCs w:val="24"/>
        </w:rPr>
        <w:t>ntamination locations were at SP1</w:t>
      </w:r>
      <w:r>
        <w:rPr>
          <w:rFonts w:ascii="Times New Roman" w:hAnsi="Times New Roman"/>
          <w:sz w:val="24"/>
          <w:szCs w:val="24"/>
        </w:rPr>
        <w:t xml:space="preserve"> and </w:t>
      </w:r>
      <w:r w:rsidR="00DF709C">
        <w:rPr>
          <w:rFonts w:ascii="Times New Roman" w:hAnsi="Times New Roman"/>
          <w:sz w:val="24"/>
          <w:szCs w:val="24"/>
        </w:rPr>
        <w:t>SP3</w:t>
      </w:r>
      <w:r>
        <w:rPr>
          <w:rFonts w:ascii="Times New Roman" w:hAnsi="Times New Roman"/>
          <w:sz w:val="24"/>
          <w:szCs w:val="24"/>
        </w:rPr>
        <w:t>. This is similar to the CF values descrip</w:t>
      </w:r>
      <w:r w:rsidR="000C3A4C">
        <w:rPr>
          <w:rFonts w:ascii="Times New Roman" w:hAnsi="Times New Roman"/>
          <w:sz w:val="24"/>
          <w:szCs w:val="24"/>
        </w:rPr>
        <w:t xml:space="preserve">tion for </w:t>
      </w:r>
      <w:r w:rsidR="00DF709C">
        <w:rPr>
          <w:rFonts w:ascii="Times New Roman" w:hAnsi="Times New Roman"/>
          <w:sz w:val="24"/>
          <w:szCs w:val="24"/>
        </w:rPr>
        <w:t>SP2</w:t>
      </w:r>
      <w:r w:rsidR="000C3A4C">
        <w:rPr>
          <w:rFonts w:ascii="Times New Roman" w:hAnsi="Times New Roman"/>
          <w:sz w:val="24"/>
          <w:szCs w:val="24"/>
        </w:rPr>
        <w:t xml:space="preserve"> and </w:t>
      </w:r>
      <w:r w:rsidR="00DF709C">
        <w:rPr>
          <w:rFonts w:ascii="Times New Roman" w:hAnsi="Times New Roman"/>
          <w:sz w:val="24"/>
          <w:szCs w:val="24"/>
        </w:rPr>
        <w:t>SP4</w:t>
      </w:r>
      <w:r w:rsidR="000C3A4C">
        <w:rPr>
          <w:rFonts w:ascii="Times New Roman" w:hAnsi="Times New Roman"/>
          <w:sz w:val="24"/>
          <w:szCs w:val="24"/>
        </w:rPr>
        <w:t xml:space="preserve"> as well as SP1</w:t>
      </w:r>
      <w:r>
        <w:rPr>
          <w:rFonts w:ascii="Times New Roman" w:hAnsi="Times New Roman"/>
          <w:sz w:val="24"/>
          <w:szCs w:val="24"/>
        </w:rPr>
        <w:t xml:space="preserve"> and </w:t>
      </w:r>
      <w:r w:rsidR="000C3A4C">
        <w:rPr>
          <w:rFonts w:ascii="Times New Roman" w:hAnsi="Times New Roman"/>
          <w:sz w:val="24"/>
          <w:szCs w:val="24"/>
        </w:rPr>
        <w:t>SP3</w:t>
      </w:r>
      <w:r>
        <w:rPr>
          <w:rFonts w:ascii="Times New Roman" w:hAnsi="Times New Roman"/>
          <w:sz w:val="24"/>
          <w:szCs w:val="24"/>
        </w:rPr>
        <w:t>.</w:t>
      </w:r>
    </w:p>
    <w:p w14:paraId="3F3B7E81" w14:textId="77777777" w:rsidR="00E21CFF" w:rsidRDefault="00E21CFF" w:rsidP="00032391">
      <w:pPr>
        <w:jc w:val="both"/>
        <w:rPr>
          <w:rFonts w:ascii="Times New Roman" w:hAnsi="Times New Roman"/>
          <w:sz w:val="24"/>
          <w:szCs w:val="24"/>
        </w:rPr>
      </w:pPr>
    </w:p>
    <w:p w14:paraId="6870F42D"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4: </w:t>
      </w:r>
      <w:r>
        <w:rPr>
          <w:rFonts w:ascii="Times New Roman" w:hAnsi="Times New Roman"/>
          <w:sz w:val="24"/>
          <w:szCs w:val="24"/>
          <w:shd w:val="clear" w:color="auto" w:fill="FFFFFF"/>
          <w:lang w:val="en-GB"/>
        </w:rPr>
        <w:t>Geo-accumulation Index (I-geo) of Heavy Metals Collected in the Roadside Soils for each Sampled Locations</w:t>
      </w:r>
    </w:p>
    <w:tbl>
      <w:tblPr>
        <w:tblStyle w:val="TableGrid"/>
        <w:tblW w:w="9115" w:type="dxa"/>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6"/>
        <w:gridCol w:w="1855"/>
        <w:gridCol w:w="1899"/>
        <w:gridCol w:w="1816"/>
        <w:gridCol w:w="1739"/>
      </w:tblGrid>
      <w:tr w:rsidR="00A22597" w14:paraId="599FECD1" w14:textId="77777777" w:rsidTr="00A22597">
        <w:trPr>
          <w:trHeight w:val="255"/>
        </w:trPr>
        <w:tc>
          <w:tcPr>
            <w:tcW w:w="1806" w:type="dxa"/>
            <w:tcBorders>
              <w:top w:val="single" w:sz="4" w:space="0" w:color="auto"/>
              <w:left w:val="nil"/>
              <w:bottom w:val="single" w:sz="4" w:space="0" w:color="auto"/>
              <w:right w:val="nil"/>
            </w:tcBorders>
            <w:hideMark/>
          </w:tcPr>
          <w:p w14:paraId="50544FF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Heavy metals</w:t>
            </w:r>
          </w:p>
        </w:tc>
        <w:tc>
          <w:tcPr>
            <w:tcW w:w="1855" w:type="dxa"/>
            <w:tcBorders>
              <w:top w:val="single" w:sz="4" w:space="0" w:color="auto"/>
              <w:left w:val="nil"/>
              <w:bottom w:val="single" w:sz="4" w:space="0" w:color="auto"/>
              <w:right w:val="nil"/>
            </w:tcBorders>
            <w:vAlign w:val="center"/>
          </w:tcPr>
          <w:p w14:paraId="4D8CACF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899" w:type="dxa"/>
            <w:tcBorders>
              <w:top w:val="single" w:sz="4" w:space="0" w:color="auto"/>
              <w:left w:val="nil"/>
              <w:bottom w:val="single" w:sz="4" w:space="0" w:color="auto"/>
              <w:right w:val="nil"/>
            </w:tcBorders>
            <w:vAlign w:val="center"/>
            <w:hideMark/>
          </w:tcPr>
          <w:p w14:paraId="28D471B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816" w:type="dxa"/>
            <w:tcBorders>
              <w:top w:val="single" w:sz="4" w:space="0" w:color="auto"/>
              <w:left w:val="nil"/>
              <w:bottom w:val="single" w:sz="4" w:space="0" w:color="auto"/>
              <w:right w:val="nil"/>
            </w:tcBorders>
            <w:vAlign w:val="center"/>
            <w:hideMark/>
          </w:tcPr>
          <w:p w14:paraId="791A9E11"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739" w:type="dxa"/>
            <w:tcBorders>
              <w:top w:val="single" w:sz="4" w:space="0" w:color="auto"/>
              <w:left w:val="nil"/>
              <w:bottom w:val="single" w:sz="4" w:space="0" w:color="auto"/>
              <w:right w:val="nil"/>
            </w:tcBorders>
            <w:vAlign w:val="center"/>
            <w:hideMark/>
          </w:tcPr>
          <w:p w14:paraId="0D2EDB4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A22597" w14:paraId="514EB233" w14:textId="77777777" w:rsidTr="00A22597">
        <w:trPr>
          <w:trHeight w:val="255"/>
        </w:trPr>
        <w:tc>
          <w:tcPr>
            <w:tcW w:w="1806" w:type="dxa"/>
            <w:tcBorders>
              <w:top w:val="single" w:sz="4" w:space="0" w:color="auto"/>
              <w:left w:val="nil"/>
              <w:bottom w:val="nil"/>
              <w:right w:val="nil"/>
            </w:tcBorders>
            <w:hideMark/>
          </w:tcPr>
          <w:p w14:paraId="674CF19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w:t>
            </w:r>
          </w:p>
        </w:tc>
        <w:tc>
          <w:tcPr>
            <w:tcW w:w="1855" w:type="dxa"/>
            <w:tcBorders>
              <w:top w:val="single" w:sz="4" w:space="0" w:color="auto"/>
              <w:left w:val="nil"/>
              <w:bottom w:val="nil"/>
              <w:right w:val="nil"/>
            </w:tcBorders>
            <w:vAlign w:val="bottom"/>
          </w:tcPr>
          <w:p w14:paraId="0DDCAAF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2.064653</w:t>
            </w:r>
          </w:p>
        </w:tc>
        <w:tc>
          <w:tcPr>
            <w:tcW w:w="1899" w:type="dxa"/>
            <w:tcBorders>
              <w:top w:val="single" w:sz="4" w:space="0" w:color="auto"/>
              <w:left w:val="nil"/>
              <w:bottom w:val="nil"/>
              <w:right w:val="nil"/>
            </w:tcBorders>
            <w:vAlign w:val="bottom"/>
            <w:hideMark/>
          </w:tcPr>
          <w:p w14:paraId="6596697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1.8108</w:t>
            </w:r>
          </w:p>
        </w:tc>
        <w:tc>
          <w:tcPr>
            <w:tcW w:w="1816" w:type="dxa"/>
            <w:tcBorders>
              <w:top w:val="single" w:sz="4" w:space="0" w:color="auto"/>
              <w:left w:val="nil"/>
              <w:bottom w:val="nil"/>
              <w:right w:val="nil"/>
            </w:tcBorders>
            <w:vAlign w:val="bottom"/>
            <w:hideMark/>
          </w:tcPr>
          <w:p w14:paraId="5657ECF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2.5025</w:t>
            </w:r>
          </w:p>
        </w:tc>
        <w:tc>
          <w:tcPr>
            <w:tcW w:w="1739" w:type="dxa"/>
            <w:tcBorders>
              <w:top w:val="single" w:sz="4" w:space="0" w:color="auto"/>
              <w:left w:val="nil"/>
              <w:bottom w:val="nil"/>
              <w:right w:val="nil"/>
            </w:tcBorders>
            <w:vAlign w:val="bottom"/>
            <w:hideMark/>
          </w:tcPr>
          <w:p w14:paraId="062B970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1.851333</w:t>
            </w:r>
          </w:p>
        </w:tc>
      </w:tr>
      <w:tr w:rsidR="00A22597" w14:paraId="17F8FB3E" w14:textId="77777777" w:rsidTr="00A22597">
        <w:trPr>
          <w:trHeight w:val="270"/>
        </w:trPr>
        <w:tc>
          <w:tcPr>
            <w:tcW w:w="1806" w:type="dxa"/>
            <w:tcBorders>
              <w:top w:val="nil"/>
              <w:left w:val="nil"/>
              <w:bottom w:val="nil"/>
              <w:right w:val="nil"/>
            </w:tcBorders>
            <w:hideMark/>
          </w:tcPr>
          <w:p w14:paraId="53173E9F"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Cr</w:t>
            </w:r>
          </w:p>
        </w:tc>
        <w:tc>
          <w:tcPr>
            <w:tcW w:w="1855" w:type="dxa"/>
            <w:tcBorders>
              <w:top w:val="nil"/>
              <w:left w:val="nil"/>
              <w:bottom w:val="nil"/>
              <w:right w:val="nil"/>
            </w:tcBorders>
            <w:vAlign w:val="bottom"/>
          </w:tcPr>
          <w:p w14:paraId="3DCA296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-4.92431</w:t>
            </w:r>
          </w:p>
        </w:tc>
        <w:tc>
          <w:tcPr>
            <w:tcW w:w="1899" w:type="dxa"/>
            <w:tcBorders>
              <w:top w:val="nil"/>
              <w:left w:val="nil"/>
              <w:bottom w:val="nil"/>
              <w:right w:val="nil"/>
            </w:tcBorders>
            <w:vAlign w:val="bottom"/>
            <w:hideMark/>
          </w:tcPr>
          <w:p w14:paraId="0FA37E35"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-4.3452</w:t>
            </w:r>
          </w:p>
        </w:tc>
        <w:tc>
          <w:tcPr>
            <w:tcW w:w="1816" w:type="dxa"/>
            <w:tcBorders>
              <w:top w:val="nil"/>
              <w:left w:val="nil"/>
              <w:bottom w:val="nil"/>
              <w:right w:val="nil"/>
            </w:tcBorders>
            <w:vAlign w:val="bottom"/>
            <w:hideMark/>
          </w:tcPr>
          <w:p w14:paraId="0E2D81A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-4.73568</w:t>
            </w:r>
          </w:p>
        </w:tc>
        <w:tc>
          <w:tcPr>
            <w:tcW w:w="1739" w:type="dxa"/>
            <w:tcBorders>
              <w:top w:val="nil"/>
              <w:left w:val="nil"/>
              <w:bottom w:val="nil"/>
              <w:right w:val="nil"/>
            </w:tcBorders>
            <w:vAlign w:val="bottom"/>
            <w:hideMark/>
          </w:tcPr>
          <w:p w14:paraId="02D3F20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-4.60355</w:t>
            </w:r>
          </w:p>
        </w:tc>
      </w:tr>
      <w:tr w:rsidR="00A22597" w14:paraId="7C9E602F" w14:textId="77777777" w:rsidTr="00A22597">
        <w:trPr>
          <w:trHeight w:val="255"/>
        </w:trPr>
        <w:tc>
          <w:tcPr>
            <w:tcW w:w="1806" w:type="dxa"/>
            <w:tcBorders>
              <w:top w:val="nil"/>
              <w:left w:val="nil"/>
              <w:bottom w:val="nil"/>
              <w:right w:val="nil"/>
            </w:tcBorders>
            <w:hideMark/>
          </w:tcPr>
          <w:p w14:paraId="45CB474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Cu</w:t>
            </w:r>
          </w:p>
        </w:tc>
        <w:tc>
          <w:tcPr>
            <w:tcW w:w="1855" w:type="dxa"/>
            <w:tcBorders>
              <w:top w:val="nil"/>
              <w:left w:val="nil"/>
              <w:bottom w:val="nil"/>
              <w:right w:val="nil"/>
            </w:tcBorders>
            <w:vAlign w:val="bottom"/>
          </w:tcPr>
          <w:p w14:paraId="227B344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-2.16752</w:t>
            </w:r>
          </w:p>
        </w:tc>
        <w:tc>
          <w:tcPr>
            <w:tcW w:w="1899" w:type="dxa"/>
            <w:tcBorders>
              <w:top w:val="nil"/>
              <w:left w:val="nil"/>
              <w:bottom w:val="nil"/>
              <w:right w:val="nil"/>
            </w:tcBorders>
            <w:vAlign w:val="bottom"/>
            <w:hideMark/>
          </w:tcPr>
          <w:p w14:paraId="6B9189CB"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-2.28891</w:t>
            </w:r>
          </w:p>
        </w:tc>
        <w:tc>
          <w:tcPr>
            <w:tcW w:w="1816" w:type="dxa"/>
            <w:tcBorders>
              <w:top w:val="nil"/>
              <w:left w:val="nil"/>
              <w:bottom w:val="nil"/>
              <w:right w:val="nil"/>
            </w:tcBorders>
            <w:vAlign w:val="bottom"/>
            <w:hideMark/>
          </w:tcPr>
          <w:p w14:paraId="4960103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-1.82889</w:t>
            </w:r>
          </w:p>
        </w:tc>
        <w:tc>
          <w:tcPr>
            <w:tcW w:w="1739" w:type="dxa"/>
            <w:tcBorders>
              <w:top w:val="nil"/>
              <w:left w:val="nil"/>
              <w:bottom w:val="nil"/>
              <w:right w:val="nil"/>
            </w:tcBorders>
            <w:vAlign w:val="bottom"/>
            <w:hideMark/>
          </w:tcPr>
          <w:p w14:paraId="055A849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-2.34618</w:t>
            </w:r>
          </w:p>
        </w:tc>
      </w:tr>
      <w:tr w:rsidR="00A22597" w14:paraId="347D80F7" w14:textId="77777777" w:rsidTr="00A22597">
        <w:trPr>
          <w:trHeight w:val="255"/>
        </w:trPr>
        <w:tc>
          <w:tcPr>
            <w:tcW w:w="1806" w:type="dxa"/>
            <w:tcBorders>
              <w:top w:val="nil"/>
              <w:left w:val="nil"/>
              <w:bottom w:val="nil"/>
              <w:right w:val="nil"/>
            </w:tcBorders>
            <w:hideMark/>
          </w:tcPr>
          <w:p w14:paraId="62DCF38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Fe</w:t>
            </w:r>
          </w:p>
        </w:tc>
        <w:tc>
          <w:tcPr>
            <w:tcW w:w="1855" w:type="dxa"/>
            <w:tcBorders>
              <w:top w:val="nil"/>
              <w:left w:val="nil"/>
              <w:bottom w:val="nil"/>
              <w:right w:val="nil"/>
            </w:tcBorders>
            <w:vAlign w:val="bottom"/>
          </w:tcPr>
          <w:p w14:paraId="51770650"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-3.05008</w:t>
            </w:r>
          </w:p>
        </w:tc>
        <w:tc>
          <w:tcPr>
            <w:tcW w:w="1899" w:type="dxa"/>
            <w:tcBorders>
              <w:top w:val="nil"/>
              <w:left w:val="nil"/>
              <w:bottom w:val="nil"/>
              <w:right w:val="nil"/>
            </w:tcBorders>
            <w:vAlign w:val="bottom"/>
            <w:hideMark/>
          </w:tcPr>
          <w:p w14:paraId="5E3A127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-3.21534</w:t>
            </w:r>
          </w:p>
        </w:tc>
        <w:tc>
          <w:tcPr>
            <w:tcW w:w="1816" w:type="dxa"/>
            <w:tcBorders>
              <w:top w:val="nil"/>
              <w:left w:val="nil"/>
              <w:bottom w:val="nil"/>
              <w:right w:val="nil"/>
            </w:tcBorders>
            <w:vAlign w:val="bottom"/>
            <w:hideMark/>
          </w:tcPr>
          <w:p w14:paraId="74E32C2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-6.19742</w:t>
            </w:r>
          </w:p>
        </w:tc>
        <w:tc>
          <w:tcPr>
            <w:tcW w:w="1739" w:type="dxa"/>
            <w:tcBorders>
              <w:top w:val="nil"/>
              <w:left w:val="nil"/>
              <w:bottom w:val="nil"/>
              <w:right w:val="nil"/>
            </w:tcBorders>
            <w:vAlign w:val="bottom"/>
            <w:hideMark/>
          </w:tcPr>
          <w:p w14:paraId="4A22CF7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-3.05711</w:t>
            </w:r>
          </w:p>
        </w:tc>
      </w:tr>
      <w:tr w:rsidR="00A22597" w14:paraId="4619F3D4" w14:textId="77777777" w:rsidTr="00A22597">
        <w:trPr>
          <w:trHeight w:val="270"/>
        </w:trPr>
        <w:tc>
          <w:tcPr>
            <w:tcW w:w="1806" w:type="dxa"/>
            <w:tcBorders>
              <w:top w:val="nil"/>
              <w:left w:val="nil"/>
              <w:bottom w:val="nil"/>
              <w:right w:val="nil"/>
            </w:tcBorders>
            <w:hideMark/>
          </w:tcPr>
          <w:p w14:paraId="4DC945D1"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Mn</w:t>
            </w:r>
          </w:p>
        </w:tc>
        <w:tc>
          <w:tcPr>
            <w:tcW w:w="1855" w:type="dxa"/>
            <w:tcBorders>
              <w:top w:val="nil"/>
              <w:left w:val="nil"/>
              <w:bottom w:val="nil"/>
              <w:right w:val="nil"/>
            </w:tcBorders>
            <w:vAlign w:val="bottom"/>
          </w:tcPr>
          <w:p w14:paraId="3D8844B5"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-3.33458</w:t>
            </w:r>
          </w:p>
        </w:tc>
        <w:tc>
          <w:tcPr>
            <w:tcW w:w="1899" w:type="dxa"/>
            <w:tcBorders>
              <w:top w:val="nil"/>
              <w:left w:val="nil"/>
              <w:bottom w:val="nil"/>
              <w:right w:val="nil"/>
            </w:tcBorders>
            <w:vAlign w:val="bottom"/>
            <w:hideMark/>
          </w:tcPr>
          <w:p w14:paraId="2FC0AF2B"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-3.83102</w:t>
            </w:r>
          </w:p>
        </w:tc>
        <w:tc>
          <w:tcPr>
            <w:tcW w:w="1816" w:type="dxa"/>
            <w:tcBorders>
              <w:top w:val="nil"/>
              <w:left w:val="nil"/>
              <w:bottom w:val="nil"/>
              <w:right w:val="nil"/>
            </w:tcBorders>
            <w:vAlign w:val="bottom"/>
            <w:hideMark/>
          </w:tcPr>
          <w:p w14:paraId="0E0CCF2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-3.24469</w:t>
            </w:r>
          </w:p>
        </w:tc>
        <w:tc>
          <w:tcPr>
            <w:tcW w:w="1739" w:type="dxa"/>
            <w:tcBorders>
              <w:top w:val="nil"/>
              <w:left w:val="nil"/>
              <w:bottom w:val="nil"/>
              <w:right w:val="nil"/>
            </w:tcBorders>
            <w:vAlign w:val="bottom"/>
            <w:hideMark/>
          </w:tcPr>
          <w:p w14:paraId="1C74C0E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-3.29718</w:t>
            </w:r>
          </w:p>
        </w:tc>
      </w:tr>
      <w:tr w:rsidR="00A22597" w14:paraId="5A216E14" w14:textId="77777777" w:rsidTr="00A22597">
        <w:trPr>
          <w:trHeight w:val="255"/>
        </w:trPr>
        <w:tc>
          <w:tcPr>
            <w:tcW w:w="1806" w:type="dxa"/>
            <w:tcBorders>
              <w:top w:val="nil"/>
              <w:left w:val="nil"/>
              <w:bottom w:val="nil"/>
              <w:right w:val="nil"/>
            </w:tcBorders>
            <w:hideMark/>
          </w:tcPr>
          <w:p w14:paraId="6CABDA8A"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Ni</w:t>
            </w:r>
          </w:p>
        </w:tc>
        <w:tc>
          <w:tcPr>
            <w:tcW w:w="1855" w:type="dxa"/>
            <w:tcBorders>
              <w:top w:val="nil"/>
              <w:left w:val="nil"/>
              <w:bottom w:val="nil"/>
              <w:right w:val="nil"/>
            </w:tcBorders>
            <w:vAlign w:val="bottom"/>
          </w:tcPr>
          <w:p w14:paraId="17EBC7C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-1.61411</w:t>
            </w:r>
          </w:p>
        </w:tc>
        <w:tc>
          <w:tcPr>
            <w:tcW w:w="1899" w:type="dxa"/>
            <w:tcBorders>
              <w:top w:val="nil"/>
              <w:left w:val="nil"/>
              <w:bottom w:val="nil"/>
              <w:right w:val="nil"/>
            </w:tcBorders>
            <w:vAlign w:val="bottom"/>
            <w:hideMark/>
          </w:tcPr>
          <w:p w14:paraId="4B5B3F6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-0.91723</w:t>
            </w:r>
          </w:p>
        </w:tc>
        <w:tc>
          <w:tcPr>
            <w:tcW w:w="1816" w:type="dxa"/>
            <w:tcBorders>
              <w:top w:val="nil"/>
              <w:left w:val="nil"/>
              <w:bottom w:val="nil"/>
              <w:right w:val="nil"/>
            </w:tcBorders>
            <w:vAlign w:val="bottom"/>
            <w:hideMark/>
          </w:tcPr>
          <w:p w14:paraId="069C6222"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-1.32193</w:t>
            </w:r>
          </w:p>
        </w:tc>
        <w:tc>
          <w:tcPr>
            <w:tcW w:w="1739" w:type="dxa"/>
            <w:tcBorders>
              <w:top w:val="nil"/>
              <w:left w:val="nil"/>
              <w:bottom w:val="nil"/>
              <w:right w:val="nil"/>
            </w:tcBorders>
            <w:vAlign w:val="bottom"/>
            <w:hideMark/>
          </w:tcPr>
          <w:p w14:paraId="386D74AA"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-1.34897</w:t>
            </w:r>
          </w:p>
        </w:tc>
      </w:tr>
      <w:tr w:rsidR="00A22597" w14:paraId="2975B2A6" w14:textId="77777777" w:rsidTr="00A22597">
        <w:trPr>
          <w:trHeight w:val="270"/>
        </w:trPr>
        <w:tc>
          <w:tcPr>
            <w:tcW w:w="1806" w:type="dxa"/>
            <w:tcBorders>
              <w:top w:val="nil"/>
              <w:left w:val="nil"/>
              <w:bottom w:val="nil"/>
              <w:right w:val="nil"/>
            </w:tcBorders>
            <w:hideMark/>
          </w:tcPr>
          <w:p w14:paraId="4F88EAAD"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Pb</w:t>
            </w:r>
          </w:p>
        </w:tc>
        <w:tc>
          <w:tcPr>
            <w:tcW w:w="1855" w:type="dxa"/>
            <w:tcBorders>
              <w:top w:val="nil"/>
              <w:left w:val="nil"/>
              <w:bottom w:val="nil"/>
              <w:right w:val="nil"/>
            </w:tcBorders>
            <w:vAlign w:val="bottom"/>
          </w:tcPr>
          <w:p w14:paraId="529FE0E3"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-2.08698</w:t>
            </w:r>
          </w:p>
        </w:tc>
        <w:tc>
          <w:tcPr>
            <w:tcW w:w="1899" w:type="dxa"/>
            <w:tcBorders>
              <w:top w:val="nil"/>
              <w:left w:val="nil"/>
              <w:bottom w:val="nil"/>
              <w:right w:val="nil"/>
            </w:tcBorders>
            <w:vAlign w:val="bottom"/>
            <w:hideMark/>
          </w:tcPr>
          <w:p w14:paraId="5A834FD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-1.54149</w:t>
            </w:r>
          </w:p>
        </w:tc>
        <w:tc>
          <w:tcPr>
            <w:tcW w:w="1816" w:type="dxa"/>
            <w:tcBorders>
              <w:top w:val="nil"/>
              <w:left w:val="nil"/>
              <w:bottom w:val="nil"/>
              <w:right w:val="nil"/>
            </w:tcBorders>
            <w:vAlign w:val="bottom"/>
            <w:hideMark/>
          </w:tcPr>
          <w:p w14:paraId="7A9AA9BE"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-1.79272</w:t>
            </w:r>
          </w:p>
        </w:tc>
        <w:tc>
          <w:tcPr>
            <w:tcW w:w="1739" w:type="dxa"/>
            <w:tcBorders>
              <w:top w:val="nil"/>
              <w:left w:val="nil"/>
              <w:bottom w:val="nil"/>
              <w:right w:val="nil"/>
            </w:tcBorders>
            <w:vAlign w:val="bottom"/>
            <w:hideMark/>
          </w:tcPr>
          <w:p w14:paraId="1A6ED889"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-1.993</w:t>
            </w:r>
          </w:p>
        </w:tc>
      </w:tr>
      <w:tr w:rsidR="00A22597" w14:paraId="5509B829" w14:textId="77777777" w:rsidTr="00A22597">
        <w:trPr>
          <w:trHeight w:val="255"/>
        </w:trPr>
        <w:tc>
          <w:tcPr>
            <w:tcW w:w="1806" w:type="dxa"/>
            <w:tcBorders>
              <w:top w:val="nil"/>
              <w:left w:val="nil"/>
              <w:bottom w:val="single" w:sz="4" w:space="0" w:color="auto"/>
              <w:right w:val="nil"/>
            </w:tcBorders>
            <w:hideMark/>
          </w:tcPr>
          <w:p w14:paraId="23534A98"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Zn</w:t>
            </w:r>
          </w:p>
        </w:tc>
        <w:tc>
          <w:tcPr>
            <w:tcW w:w="1855" w:type="dxa"/>
            <w:tcBorders>
              <w:top w:val="nil"/>
              <w:left w:val="nil"/>
              <w:bottom w:val="single" w:sz="4" w:space="0" w:color="auto"/>
              <w:right w:val="nil"/>
            </w:tcBorders>
            <w:vAlign w:val="bottom"/>
          </w:tcPr>
          <w:p w14:paraId="4D617D3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-2.56434</w:t>
            </w:r>
          </w:p>
        </w:tc>
        <w:tc>
          <w:tcPr>
            <w:tcW w:w="1899" w:type="dxa"/>
            <w:tcBorders>
              <w:top w:val="nil"/>
              <w:left w:val="nil"/>
              <w:bottom w:val="single" w:sz="4" w:space="0" w:color="auto"/>
              <w:right w:val="nil"/>
            </w:tcBorders>
            <w:vAlign w:val="bottom"/>
            <w:hideMark/>
          </w:tcPr>
          <w:p w14:paraId="300D7236"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-2.60823</w:t>
            </w:r>
          </w:p>
        </w:tc>
        <w:tc>
          <w:tcPr>
            <w:tcW w:w="1816" w:type="dxa"/>
            <w:tcBorders>
              <w:top w:val="nil"/>
              <w:left w:val="nil"/>
              <w:bottom w:val="single" w:sz="4" w:space="0" w:color="auto"/>
              <w:right w:val="nil"/>
            </w:tcBorders>
            <w:vAlign w:val="bottom"/>
            <w:hideMark/>
          </w:tcPr>
          <w:p w14:paraId="0EE3432F"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-2.34129</w:t>
            </w:r>
          </w:p>
        </w:tc>
        <w:tc>
          <w:tcPr>
            <w:tcW w:w="1739" w:type="dxa"/>
            <w:tcBorders>
              <w:top w:val="nil"/>
              <w:left w:val="nil"/>
              <w:bottom w:val="single" w:sz="4" w:space="0" w:color="auto"/>
              <w:right w:val="nil"/>
            </w:tcBorders>
            <w:vAlign w:val="bottom"/>
            <w:hideMark/>
          </w:tcPr>
          <w:p w14:paraId="3F951314" w14:textId="77777777" w:rsidR="00A22597" w:rsidRDefault="00A22597" w:rsidP="00A22597">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-2.48358</w:t>
            </w:r>
          </w:p>
        </w:tc>
      </w:tr>
    </w:tbl>
    <w:p w14:paraId="70EAEB30" w14:textId="77777777" w:rsidR="00032391" w:rsidRDefault="00032391" w:rsidP="00032391">
      <w:pPr>
        <w:jc w:val="both"/>
        <w:rPr>
          <w:rFonts w:ascii="Times New Roman" w:hAnsi="Times New Roman"/>
          <w:noProof/>
          <w:sz w:val="24"/>
          <w:szCs w:val="24"/>
        </w:rPr>
      </w:pPr>
    </w:p>
    <w:p w14:paraId="7F4D78A9"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Table 5 shows the values for degree of contamination index (CDI) and the pollution load index (PLI), both of which assess the level of combined contaminants at the sampling locations. Mapping Table 5 with Table 1, the degrees of contamination at </w:t>
      </w:r>
      <w:r w:rsidR="009036A1">
        <w:rPr>
          <w:rFonts w:ascii="Times New Roman" w:hAnsi="Times New Roman"/>
          <w:sz w:val="24"/>
          <w:szCs w:val="24"/>
        </w:rPr>
        <w:t>SP2</w:t>
      </w:r>
      <w:r>
        <w:rPr>
          <w:rFonts w:ascii="Times New Roman" w:hAnsi="Times New Roman"/>
          <w:sz w:val="24"/>
          <w:szCs w:val="24"/>
        </w:rPr>
        <w:t xml:space="preserve">, </w:t>
      </w:r>
      <w:r w:rsidR="009036A1">
        <w:rPr>
          <w:rFonts w:ascii="Times New Roman" w:hAnsi="Times New Roman"/>
          <w:sz w:val="24"/>
          <w:szCs w:val="24"/>
        </w:rPr>
        <w:t>SP4</w:t>
      </w:r>
      <w:r w:rsidR="00FA7181">
        <w:rPr>
          <w:rFonts w:ascii="Times New Roman" w:hAnsi="Times New Roman"/>
          <w:sz w:val="24"/>
          <w:szCs w:val="24"/>
        </w:rPr>
        <w:t>, and SP1</w:t>
      </w:r>
      <w:r>
        <w:rPr>
          <w:rFonts w:ascii="Times New Roman" w:hAnsi="Times New Roman"/>
          <w:sz w:val="24"/>
          <w:szCs w:val="24"/>
        </w:rPr>
        <w:t xml:space="preserve"> were moderate with the CDI values ranging between 5 and 10 </w:t>
      </w:r>
      <w:r>
        <w:rPr>
          <w:rFonts w:ascii="Times New Roman" w:hAnsi="Times New Roman"/>
          <w:sz w:val="24"/>
          <w:szCs w:val="24"/>
          <w:shd w:val="clear" w:color="auto" w:fill="FFFFFF"/>
          <w:lang w:val="en-GB"/>
        </w:rPr>
        <w:t>(</w:t>
      </w:r>
      <m:oMath>
        <m:r>
          <w:rPr>
            <w:rFonts w:ascii="Cambria Math" w:hAnsi="Cambria Math"/>
            <w:sz w:val="24"/>
            <w:szCs w:val="24"/>
            <w:shd w:val="clear" w:color="auto" w:fill="FFFFFF"/>
            <w:lang w:val="en-GB"/>
          </w:rPr>
          <m:t>5&lt;CDI&lt;10)</m:t>
        </m:r>
      </m:oMath>
      <w:r>
        <w:rPr>
          <w:rFonts w:ascii="Times New Roman" w:hAnsi="Times New Roman"/>
          <w:sz w:val="24"/>
          <w:szCs w:val="24"/>
        </w:rPr>
        <w:t xml:space="preserve">. For the CDI value greater than 10 as was observed with the </w:t>
      </w:r>
      <w:r w:rsidR="00B879CF">
        <w:rPr>
          <w:rFonts w:ascii="Times New Roman" w:hAnsi="Times New Roman"/>
          <w:sz w:val="24"/>
          <w:szCs w:val="24"/>
        </w:rPr>
        <w:t>SP3</w:t>
      </w:r>
      <w:r>
        <w:rPr>
          <w:rFonts w:ascii="Times New Roman" w:hAnsi="Times New Roman"/>
          <w:sz w:val="24"/>
          <w:szCs w:val="24"/>
        </w:rPr>
        <w:t xml:space="preserve"> sample, the environment is subject to a high heavy metal contamination risk. A contribution analysis showed that the contribution effect of Cd at the various locations we</w:t>
      </w:r>
      <w:r w:rsidR="00AF63BE">
        <w:rPr>
          <w:rFonts w:ascii="Times New Roman" w:hAnsi="Times New Roman"/>
          <w:sz w:val="24"/>
          <w:szCs w:val="24"/>
        </w:rPr>
        <w:t>re 70%, 81%, 74%, and 78% for SP2</w:t>
      </w:r>
      <w:r>
        <w:rPr>
          <w:rFonts w:ascii="Times New Roman" w:hAnsi="Times New Roman"/>
          <w:sz w:val="24"/>
          <w:szCs w:val="24"/>
        </w:rPr>
        <w:t xml:space="preserve">, </w:t>
      </w:r>
      <w:r w:rsidR="00AF63BE">
        <w:rPr>
          <w:rFonts w:ascii="Times New Roman" w:hAnsi="Times New Roman"/>
          <w:sz w:val="24"/>
          <w:szCs w:val="24"/>
        </w:rPr>
        <w:t>SP3</w:t>
      </w:r>
      <w:r>
        <w:rPr>
          <w:rFonts w:ascii="Times New Roman" w:hAnsi="Times New Roman"/>
          <w:sz w:val="24"/>
          <w:szCs w:val="24"/>
        </w:rPr>
        <w:t xml:space="preserve">, </w:t>
      </w:r>
      <w:r w:rsidR="00AF63BE">
        <w:rPr>
          <w:rFonts w:ascii="Times New Roman" w:hAnsi="Times New Roman"/>
          <w:sz w:val="24"/>
          <w:szCs w:val="24"/>
        </w:rPr>
        <w:t>SP4</w:t>
      </w:r>
      <w:r>
        <w:rPr>
          <w:rFonts w:ascii="Times New Roman" w:hAnsi="Times New Roman"/>
          <w:sz w:val="24"/>
          <w:szCs w:val="24"/>
        </w:rPr>
        <w:t xml:space="preserve">, and </w:t>
      </w:r>
      <w:r w:rsidR="00694139">
        <w:rPr>
          <w:rFonts w:ascii="Times New Roman" w:hAnsi="Times New Roman"/>
          <w:sz w:val="24"/>
          <w:szCs w:val="24"/>
        </w:rPr>
        <w:t>SP1</w:t>
      </w:r>
      <w:r>
        <w:rPr>
          <w:rFonts w:ascii="Times New Roman" w:hAnsi="Times New Roman"/>
          <w:sz w:val="24"/>
          <w:szCs w:val="24"/>
        </w:rPr>
        <w:t xml:space="preserve"> respectively. This suggests that urgent counter measures to reduce Cd contamination in roadside soil needs to be taken. Similar to the CDI index, the PLI is an indicator of the extent of combined heavy metal contamination. It is therefore expected that both indices could be used to validate one another. Contrary to the expected validation, the PLI of this study suggests that there was no heavy metal combined pollution risk in the study area with PLI values less than one (PLI &lt; 1) at all sample locations (Table 5). The order of contamination at the various locations for CDI was </w:t>
      </w:r>
      <m:oMath>
        <m:r>
          <w:rPr>
            <w:rFonts w:ascii="Cambria Math" w:hAnsi="Cambria Math"/>
            <w:sz w:val="24"/>
            <w:szCs w:val="24"/>
            <w:shd w:val="clear" w:color="auto" w:fill="FFFFFF"/>
            <w:lang w:val="en-GB"/>
          </w:rPr>
          <m:t>SP4&lt;SP2&lt;SP1&lt;SP3</m:t>
        </m:r>
      </m:oMath>
      <w:r>
        <w:rPr>
          <w:rFonts w:ascii="Times New Roman" w:hAnsi="Times New Roman"/>
          <w:sz w:val="24"/>
          <w:szCs w:val="24"/>
          <w:shd w:val="clear" w:color="auto" w:fill="FFFFFF"/>
          <w:lang w:val="en-GB"/>
        </w:rPr>
        <w:t xml:space="preserve"> </w:t>
      </w:r>
      <w:r>
        <w:rPr>
          <w:rFonts w:ascii="Times New Roman" w:hAnsi="Times New Roman"/>
          <w:sz w:val="24"/>
          <w:szCs w:val="24"/>
        </w:rPr>
        <w:t xml:space="preserve">while that of the PLI was </w:t>
      </w:r>
      <m:oMath>
        <m:r>
          <w:rPr>
            <w:rFonts w:ascii="Cambria Math" w:hAnsi="Cambria Math"/>
            <w:sz w:val="24"/>
            <w:szCs w:val="24"/>
          </w:rPr>
          <m:t>SP3</m:t>
        </m:r>
        <m:r>
          <w:rPr>
            <w:rFonts w:ascii="Cambria Math" w:hAnsi="Cambria Math"/>
            <w:sz w:val="24"/>
            <w:szCs w:val="24"/>
            <w:shd w:val="clear" w:color="auto" w:fill="FFFFFF"/>
            <w:lang w:val="en-GB"/>
          </w:rPr>
          <m:t>&lt;SP1&lt;SP4&lt;SP2</m:t>
        </m:r>
      </m:oMath>
      <w:r>
        <w:rPr>
          <w:rFonts w:ascii="Times New Roman" w:hAnsi="Times New Roman"/>
          <w:sz w:val="24"/>
          <w:szCs w:val="24"/>
        </w:rPr>
        <w:t>. The dissimilarity between CDI an</w:t>
      </w:r>
      <w:r w:rsidR="00645147">
        <w:rPr>
          <w:rFonts w:ascii="Times New Roman" w:hAnsi="Times New Roman"/>
          <w:sz w:val="24"/>
          <w:szCs w:val="24"/>
        </w:rPr>
        <w:t>d</w:t>
      </w:r>
      <w:r>
        <w:rPr>
          <w:rFonts w:ascii="Times New Roman" w:hAnsi="Times New Roman"/>
          <w:sz w:val="24"/>
          <w:szCs w:val="24"/>
        </w:rPr>
        <w:t xml:space="preserve"> PLI is similar to the work of </w:t>
      </w:r>
      <w:proofErr w:type="spellStart"/>
      <w:r>
        <w:rPr>
          <w:rFonts w:ascii="Times New Roman" w:hAnsi="Times New Roman"/>
          <w:sz w:val="24"/>
          <w:szCs w:val="24"/>
        </w:rPr>
        <w:t>Bartkowiak</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w:t>
      </w:r>
      <w:r w:rsidR="006A42EE">
        <w:rPr>
          <w:rFonts w:ascii="Times New Roman" w:hAnsi="Times New Roman"/>
          <w:sz w:val="24"/>
          <w:szCs w:val="24"/>
        </w:rPr>
        <w:t>(2024)</w:t>
      </w:r>
      <w:r>
        <w:rPr>
          <w:rFonts w:ascii="Times New Roman" w:hAnsi="Times New Roman"/>
          <w:sz w:val="24"/>
          <w:szCs w:val="24"/>
        </w:rPr>
        <w:t>.</w:t>
      </w:r>
    </w:p>
    <w:p w14:paraId="5A1ADEB5" w14:textId="77777777" w:rsidR="001E7C11" w:rsidRDefault="001E7C11" w:rsidP="00032391">
      <w:pPr>
        <w:jc w:val="both"/>
        <w:rPr>
          <w:rFonts w:ascii="Times New Roman" w:hAnsi="Times New Roman"/>
          <w:sz w:val="24"/>
          <w:szCs w:val="24"/>
        </w:rPr>
      </w:pPr>
    </w:p>
    <w:p w14:paraId="53DEB492" w14:textId="77777777" w:rsidR="00032391" w:rsidRDefault="00032391" w:rsidP="00032391">
      <w:pPr>
        <w:jc w:val="center"/>
        <w:rPr>
          <w:rFonts w:ascii="Times New Roman" w:hAnsi="Times New Roman"/>
          <w:b/>
          <w:sz w:val="24"/>
          <w:szCs w:val="24"/>
          <w:shd w:val="clear" w:color="auto" w:fill="FFFFFF"/>
          <w:lang w:val="en-GB"/>
        </w:rPr>
      </w:pPr>
      <w:r>
        <w:rPr>
          <w:rFonts w:ascii="Times New Roman" w:hAnsi="Times New Roman"/>
          <w:b/>
          <w:sz w:val="24"/>
          <w:szCs w:val="24"/>
          <w:shd w:val="clear" w:color="auto" w:fill="FFFFFF"/>
          <w:lang w:val="en-GB"/>
        </w:rPr>
        <w:t xml:space="preserve">Table 5: </w:t>
      </w:r>
      <w:r>
        <w:rPr>
          <w:rFonts w:ascii="Times New Roman" w:hAnsi="Times New Roman"/>
          <w:sz w:val="24"/>
          <w:szCs w:val="24"/>
          <w:shd w:val="clear" w:color="auto" w:fill="FFFFFF"/>
          <w:lang w:val="en-GB"/>
        </w:rPr>
        <w:t xml:space="preserve">Pollution Level Index from the Selected Junctions in </w:t>
      </w:r>
      <w:proofErr w:type="spellStart"/>
      <w:r>
        <w:rPr>
          <w:rFonts w:ascii="Times New Roman" w:hAnsi="Times New Roman"/>
          <w:sz w:val="24"/>
          <w:szCs w:val="24"/>
          <w:shd w:val="clear" w:color="auto" w:fill="FFFFFF"/>
          <w:lang w:val="en-GB"/>
        </w:rPr>
        <w:t>Eket</w:t>
      </w:r>
      <w:proofErr w:type="spellEnd"/>
      <w:r>
        <w:rPr>
          <w:rFonts w:ascii="Times New Roman" w:hAnsi="Times New Roman"/>
          <w:sz w:val="24"/>
          <w:szCs w:val="24"/>
          <w:shd w:val="clear" w:color="auto" w:fill="FFFFFF"/>
          <w:lang w:val="en-GB"/>
        </w:rPr>
        <w:t xml:space="preserve"> Metropolis</w:t>
      </w:r>
    </w:p>
    <w:tbl>
      <w:tblPr>
        <w:tblStyle w:val="TableGrid"/>
        <w:tblW w:w="8531"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1530"/>
        <w:gridCol w:w="1530"/>
        <w:gridCol w:w="1350"/>
        <w:gridCol w:w="1421"/>
      </w:tblGrid>
      <w:tr w:rsidR="00EA08D3" w14:paraId="66E64956" w14:textId="77777777" w:rsidTr="00EA08D3">
        <w:trPr>
          <w:trHeight w:val="323"/>
          <w:jc w:val="center"/>
        </w:trPr>
        <w:tc>
          <w:tcPr>
            <w:tcW w:w="2700" w:type="dxa"/>
            <w:tcBorders>
              <w:top w:val="single" w:sz="4" w:space="0" w:color="auto"/>
              <w:left w:val="nil"/>
              <w:bottom w:val="single" w:sz="4" w:space="0" w:color="auto"/>
              <w:right w:val="nil"/>
            </w:tcBorders>
            <w:hideMark/>
          </w:tcPr>
          <w:p w14:paraId="21C237AE"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Contamination indices</w:t>
            </w:r>
          </w:p>
        </w:tc>
        <w:tc>
          <w:tcPr>
            <w:tcW w:w="1530" w:type="dxa"/>
            <w:tcBorders>
              <w:top w:val="single" w:sz="4" w:space="0" w:color="auto"/>
              <w:left w:val="nil"/>
              <w:bottom w:val="single" w:sz="4" w:space="0" w:color="auto"/>
              <w:right w:val="nil"/>
            </w:tcBorders>
          </w:tcPr>
          <w:p w14:paraId="32DEE49B"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SP1</w:t>
            </w:r>
          </w:p>
        </w:tc>
        <w:tc>
          <w:tcPr>
            <w:tcW w:w="1530" w:type="dxa"/>
            <w:tcBorders>
              <w:top w:val="single" w:sz="4" w:space="0" w:color="auto"/>
              <w:left w:val="nil"/>
              <w:bottom w:val="single" w:sz="4" w:space="0" w:color="auto"/>
              <w:right w:val="nil"/>
            </w:tcBorders>
            <w:hideMark/>
          </w:tcPr>
          <w:p w14:paraId="2BF4D25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SP2</w:t>
            </w:r>
          </w:p>
        </w:tc>
        <w:tc>
          <w:tcPr>
            <w:tcW w:w="1350" w:type="dxa"/>
            <w:tcBorders>
              <w:top w:val="single" w:sz="4" w:space="0" w:color="auto"/>
              <w:left w:val="nil"/>
              <w:bottom w:val="single" w:sz="4" w:space="0" w:color="auto"/>
              <w:right w:val="nil"/>
            </w:tcBorders>
            <w:hideMark/>
          </w:tcPr>
          <w:p w14:paraId="6A36511C"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SP3</w:t>
            </w:r>
          </w:p>
        </w:tc>
        <w:tc>
          <w:tcPr>
            <w:tcW w:w="1421" w:type="dxa"/>
            <w:tcBorders>
              <w:top w:val="single" w:sz="4" w:space="0" w:color="auto"/>
              <w:left w:val="nil"/>
              <w:bottom w:val="single" w:sz="4" w:space="0" w:color="auto"/>
              <w:right w:val="nil"/>
            </w:tcBorders>
            <w:hideMark/>
          </w:tcPr>
          <w:p w14:paraId="40D28287"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SP4</w:t>
            </w:r>
          </w:p>
        </w:tc>
      </w:tr>
      <w:tr w:rsidR="00EA08D3" w14:paraId="57D5B0C1" w14:textId="77777777" w:rsidTr="00EA08D3">
        <w:trPr>
          <w:trHeight w:val="323"/>
          <w:jc w:val="center"/>
        </w:trPr>
        <w:tc>
          <w:tcPr>
            <w:tcW w:w="2700" w:type="dxa"/>
            <w:tcBorders>
              <w:top w:val="single" w:sz="4" w:space="0" w:color="auto"/>
              <w:left w:val="nil"/>
              <w:bottom w:val="nil"/>
              <w:right w:val="nil"/>
            </w:tcBorders>
            <w:hideMark/>
          </w:tcPr>
          <w:p w14:paraId="2B984F5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CDI</w:t>
            </w:r>
          </w:p>
        </w:tc>
        <w:tc>
          <w:tcPr>
            <w:tcW w:w="1530" w:type="dxa"/>
            <w:tcBorders>
              <w:top w:val="single" w:sz="4" w:space="0" w:color="auto"/>
              <w:left w:val="nil"/>
              <w:bottom w:val="nil"/>
              <w:right w:val="nil"/>
            </w:tcBorders>
            <w:vAlign w:val="center"/>
          </w:tcPr>
          <w:p w14:paraId="0D28BA6A"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8.0847</w:t>
            </w:r>
          </w:p>
        </w:tc>
        <w:tc>
          <w:tcPr>
            <w:tcW w:w="1530" w:type="dxa"/>
            <w:tcBorders>
              <w:top w:val="single" w:sz="4" w:space="0" w:color="auto"/>
              <w:left w:val="nil"/>
              <w:bottom w:val="nil"/>
              <w:right w:val="nil"/>
            </w:tcBorders>
            <w:vAlign w:val="center"/>
            <w:hideMark/>
          </w:tcPr>
          <w:p w14:paraId="6E842702"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7.4657</w:t>
            </w:r>
          </w:p>
        </w:tc>
        <w:tc>
          <w:tcPr>
            <w:tcW w:w="1350" w:type="dxa"/>
            <w:tcBorders>
              <w:top w:val="single" w:sz="4" w:space="0" w:color="auto"/>
              <w:left w:val="nil"/>
              <w:bottom w:val="nil"/>
              <w:right w:val="nil"/>
            </w:tcBorders>
            <w:vAlign w:val="center"/>
            <w:hideMark/>
          </w:tcPr>
          <w:p w14:paraId="5ED961E6"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10.4862</w:t>
            </w:r>
          </w:p>
        </w:tc>
        <w:tc>
          <w:tcPr>
            <w:tcW w:w="1421" w:type="dxa"/>
            <w:tcBorders>
              <w:top w:val="single" w:sz="4" w:space="0" w:color="auto"/>
              <w:left w:val="nil"/>
              <w:bottom w:val="nil"/>
              <w:right w:val="nil"/>
            </w:tcBorders>
            <w:vAlign w:val="center"/>
            <w:hideMark/>
          </w:tcPr>
          <w:p w14:paraId="548D9D3B"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7.3359</w:t>
            </w:r>
          </w:p>
        </w:tc>
      </w:tr>
      <w:tr w:rsidR="00EA08D3" w14:paraId="661DC577" w14:textId="77777777" w:rsidTr="00EA08D3">
        <w:trPr>
          <w:trHeight w:val="323"/>
          <w:jc w:val="center"/>
        </w:trPr>
        <w:tc>
          <w:tcPr>
            <w:tcW w:w="2700" w:type="dxa"/>
            <w:tcBorders>
              <w:top w:val="nil"/>
              <w:left w:val="nil"/>
              <w:bottom w:val="single" w:sz="4" w:space="0" w:color="auto"/>
              <w:right w:val="nil"/>
            </w:tcBorders>
            <w:hideMark/>
          </w:tcPr>
          <w:p w14:paraId="3BEAD187"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PLI</w:t>
            </w:r>
          </w:p>
        </w:tc>
        <w:tc>
          <w:tcPr>
            <w:tcW w:w="1530" w:type="dxa"/>
            <w:tcBorders>
              <w:top w:val="nil"/>
              <w:left w:val="nil"/>
              <w:bottom w:val="single" w:sz="4" w:space="0" w:color="auto"/>
              <w:right w:val="nil"/>
            </w:tcBorders>
            <w:vAlign w:val="bottom"/>
          </w:tcPr>
          <w:p w14:paraId="3A74F3B9"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0.3243</w:t>
            </w:r>
          </w:p>
        </w:tc>
        <w:tc>
          <w:tcPr>
            <w:tcW w:w="1530" w:type="dxa"/>
            <w:tcBorders>
              <w:top w:val="nil"/>
              <w:left w:val="nil"/>
              <w:bottom w:val="single" w:sz="4" w:space="0" w:color="auto"/>
              <w:right w:val="nil"/>
            </w:tcBorders>
            <w:vAlign w:val="bottom"/>
            <w:hideMark/>
          </w:tcPr>
          <w:p w14:paraId="33B6C538"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0.3517</w:t>
            </w:r>
          </w:p>
        </w:tc>
        <w:tc>
          <w:tcPr>
            <w:tcW w:w="1350" w:type="dxa"/>
            <w:tcBorders>
              <w:top w:val="nil"/>
              <w:left w:val="nil"/>
              <w:bottom w:val="single" w:sz="4" w:space="0" w:color="auto"/>
              <w:right w:val="nil"/>
            </w:tcBorders>
            <w:vAlign w:val="bottom"/>
            <w:hideMark/>
          </w:tcPr>
          <w:p w14:paraId="05B8B3FD"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0.2902</w:t>
            </w:r>
          </w:p>
        </w:tc>
        <w:tc>
          <w:tcPr>
            <w:tcW w:w="1421" w:type="dxa"/>
            <w:tcBorders>
              <w:top w:val="nil"/>
              <w:left w:val="nil"/>
              <w:bottom w:val="single" w:sz="4" w:space="0" w:color="auto"/>
              <w:right w:val="nil"/>
            </w:tcBorders>
            <w:vAlign w:val="bottom"/>
            <w:hideMark/>
          </w:tcPr>
          <w:p w14:paraId="19DD9EB2" w14:textId="77777777" w:rsidR="00EA08D3" w:rsidRDefault="00EA08D3" w:rsidP="00EA08D3">
            <w:pPr>
              <w:jc w:val="both"/>
              <w:rPr>
                <w:rFonts w:ascii="Times New Roman" w:hAnsi="Times New Roman"/>
                <w:sz w:val="24"/>
                <w:szCs w:val="24"/>
                <w:shd w:val="clear" w:color="auto" w:fill="FFFFFF"/>
                <w:lang w:val="en-GB"/>
              </w:rPr>
            </w:pPr>
            <w:r>
              <w:rPr>
                <w:rFonts w:ascii="Times New Roman" w:hAnsi="Times New Roman"/>
                <w:sz w:val="24"/>
                <w:szCs w:val="24"/>
                <w:shd w:val="clear" w:color="auto" w:fill="FFFFFF"/>
                <w:lang w:val="en-GB"/>
              </w:rPr>
              <w:t>0.3357</w:t>
            </w:r>
          </w:p>
        </w:tc>
      </w:tr>
    </w:tbl>
    <w:p w14:paraId="1F2D45EB" w14:textId="77777777" w:rsidR="00032391" w:rsidRDefault="00032391" w:rsidP="00032391">
      <w:pPr>
        <w:jc w:val="both"/>
        <w:rPr>
          <w:rFonts w:ascii="Times New Roman" w:hAnsi="Times New Roman"/>
          <w:noProof/>
          <w:sz w:val="24"/>
          <w:szCs w:val="24"/>
        </w:rPr>
      </w:pPr>
    </w:p>
    <w:p w14:paraId="26DFFA20" w14:textId="77777777" w:rsidR="00032391" w:rsidRDefault="00032391" w:rsidP="00032391">
      <w:pPr>
        <w:jc w:val="both"/>
        <w:rPr>
          <w:rFonts w:ascii="Times New Roman" w:hAnsi="Times New Roman"/>
          <w:b/>
          <w:bCs/>
          <w:sz w:val="24"/>
          <w:szCs w:val="24"/>
        </w:rPr>
      </w:pPr>
      <w:r>
        <w:rPr>
          <w:rFonts w:ascii="Times New Roman" w:hAnsi="Times New Roman"/>
          <w:b/>
          <w:bCs/>
          <w:sz w:val="24"/>
          <w:szCs w:val="24"/>
        </w:rPr>
        <w:t xml:space="preserve">4.0 Conclusions </w:t>
      </w:r>
    </w:p>
    <w:p w14:paraId="798B687A" w14:textId="77777777" w:rsidR="00032391" w:rsidRDefault="00032391" w:rsidP="00032391">
      <w:pPr>
        <w:jc w:val="both"/>
        <w:rPr>
          <w:rFonts w:ascii="Times New Roman" w:hAnsi="Times New Roman"/>
          <w:sz w:val="24"/>
          <w:szCs w:val="24"/>
        </w:rPr>
      </w:pPr>
      <w:r>
        <w:rPr>
          <w:rFonts w:ascii="Times New Roman" w:hAnsi="Times New Roman"/>
          <w:sz w:val="24"/>
          <w:szCs w:val="24"/>
        </w:rPr>
        <w:t xml:space="preserve">Roadside soils in </w:t>
      </w:r>
      <w:r w:rsidR="006B7A1A">
        <w:rPr>
          <w:rFonts w:ascii="Times New Roman" w:hAnsi="Times New Roman"/>
          <w:sz w:val="24"/>
          <w:szCs w:val="24"/>
        </w:rPr>
        <w:t>SP1</w:t>
      </w:r>
      <w:r>
        <w:rPr>
          <w:rFonts w:ascii="Times New Roman" w:hAnsi="Times New Roman"/>
          <w:sz w:val="24"/>
          <w:szCs w:val="24"/>
        </w:rPr>
        <w:t xml:space="preserve">, </w:t>
      </w:r>
      <w:r w:rsidR="00C050C6">
        <w:rPr>
          <w:rFonts w:ascii="Times New Roman" w:hAnsi="Times New Roman"/>
          <w:sz w:val="24"/>
          <w:szCs w:val="24"/>
        </w:rPr>
        <w:t>SP2</w:t>
      </w:r>
      <w:r>
        <w:rPr>
          <w:rFonts w:ascii="Times New Roman" w:hAnsi="Times New Roman"/>
          <w:sz w:val="24"/>
          <w:szCs w:val="24"/>
        </w:rPr>
        <w:t xml:space="preserve">, </w:t>
      </w:r>
      <w:r w:rsidR="00C576CD">
        <w:rPr>
          <w:rFonts w:ascii="Times New Roman" w:hAnsi="Times New Roman"/>
          <w:sz w:val="24"/>
          <w:szCs w:val="24"/>
        </w:rPr>
        <w:t>SP3</w:t>
      </w:r>
      <w:r>
        <w:rPr>
          <w:rFonts w:ascii="Times New Roman" w:hAnsi="Times New Roman"/>
          <w:sz w:val="24"/>
          <w:szCs w:val="24"/>
        </w:rPr>
        <w:t xml:space="preserve">, and </w:t>
      </w:r>
      <w:r w:rsidR="00C576CD">
        <w:rPr>
          <w:rFonts w:ascii="Times New Roman" w:hAnsi="Times New Roman"/>
          <w:sz w:val="24"/>
          <w:szCs w:val="24"/>
        </w:rPr>
        <w:t>SP4</w:t>
      </w:r>
      <w:r>
        <w:rPr>
          <w:rFonts w:ascii="Times New Roman" w:hAnsi="Times New Roman"/>
          <w:sz w:val="24"/>
          <w:szCs w:val="24"/>
        </w:rPr>
        <w:t xml:space="preserve"> of </w:t>
      </w:r>
      <w:proofErr w:type="spellStart"/>
      <w:r>
        <w:rPr>
          <w:rFonts w:ascii="Times New Roman" w:hAnsi="Times New Roman"/>
          <w:sz w:val="24"/>
          <w:szCs w:val="24"/>
        </w:rPr>
        <w:t>Eket</w:t>
      </w:r>
      <w:proofErr w:type="spellEnd"/>
      <w:r>
        <w:rPr>
          <w:rFonts w:ascii="Times New Roman" w:hAnsi="Times New Roman"/>
          <w:sz w:val="24"/>
          <w:szCs w:val="24"/>
        </w:rPr>
        <w:t xml:space="preserve"> city in </w:t>
      </w:r>
      <w:proofErr w:type="spellStart"/>
      <w:r>
        <w:rPr>
          <w:rFonts w:ascii="Times New Roman" w:hAnsi="Times New Roman"/>
          <w:sz w:val="24"/>
          <w:szCs w:val="24"/>
        </w:rPr>
        <w:t>Akwa</w:t>
      </w:r>
      <w:proofErr w:type="spellEnd"/>
      <w:r>
        <w:rPr>
          <w:rFonts w:ascii="Times New Roman" w:hAnsi="Times New Roman"/>
          <w:sz w:val="24"/>
          <w:szCs w:val="24"/>
        </w:rPr>
        <w:t xml:space="preserve"> Ibom State of Nigeria are contaminated with heavy metals especially cadmium (Cd). Concentration of Cd at all studied sites exceeded the maximum allowable limits as presented by WHO posing considerably high to very high environmental risk at these sites. This could translate to varying degree of health risk potentials to residents and ancillary employees around the study area. Therefore, counter measures such as chemical reduction, immobilization, stabilization and electro-remediation can remove Cd from the soil.</w:t>
      </w:r>
    </w:p>
    <w:p w14:paraId="3D34A5A2" w14:textId="77777777" w:rsidR="00671B47" w:rsidRDefault="00671B47" w:rsidP="00032391">
      <w:pPr>
        <w:jc w:val="both"/>
        <w:rPr>
          <w:rFonts w:ascii="Times New Roman" w:hAnsi="Times New Roman"/>
          <w:bCs/>
          <w:sz w:val="24"/>
          <w:szCs w:val="24"/>
        </w:rPr>
      </w:pPr>
    </w:p>
    <w:p w14:paraId="3D3D4B30" w14:textId="77777777" w:rsidR="00671B47" w:rsidRPr="00671B47" w:rsidRDefault="00671B47" w:rsidP="00671B47">
      <w:pPr>
        <w:jc w:val="both"/>
        <w:rPr>
          <w:rFonts w:ascii="Times New Roman" w:hAnsi="Times New Roman"/>
          <w:bCs/>
          <w:sz w:val="24"/>
          <w:szCs w:val="24"/>
        </w:rPr>
      </w:pPr>
      <w:r w:rsidRPr="00671B47">
        <w:rPr>
          <w:rFonts w:ascii="Times New Roman" w:hAnsi="Times New Roman"/>
          <w:bCs/>
          <w:sz w:val="24"/>
          <w:szCs w:val="24"/>
        </w:rPr>
        <w:t>COMPETING INTERESTS DISCLAIMER:</w:t>
      </w:r>
    </w:p>
    <w:p w14:paraId="364E01E1" w14:textId="737A3691" w:rsidR="00671B47" w:rsidRDefault="00671B47" w:rsidP="00671B47">
      <w:pPr>
        <w:jc w:val="both"/>
        <w:rPr>
          <w:rFonts w:ascii="Times New Roman" w:hAnsi="Times New Roman"/>
          <w:bCs/>
          <w:sz w:val="24"/>
          <w:szCs w:val="24"/>
        </w:rPr>
      </w:pPr>
      <w:r w:rsidRPr="00671B47">
        <w:rPr>
          <w:rFonts w:ascii="Times New Roman" w:hAnsi="Times New Roman"/>
          <w:bCs/>
          <w:sz w:val="24"/>
          <w:szCs w:val="24"/>
        </w:rPr>
        <w:t>Authors have declared that they have no known competing financial interests OR non-financial interests OR personal relationships that could have appeared to influence the work reported in this paper.</w:t>
      </w:r>
    </w:p>
    <w:p w14:paraId="7EC57AE6" w14:textId="77777777" w:rsidR="003F5B53" w:rsidRDefault="003F5B53" w:rsidP="00441B6F">
      <w:pPr>
        <w:pStyle w:val="ReferHead"/>
        <w:spacing w:after="0"/>
        <w:jc w:val="both"/>
        <w:rPr>
          <w:rFonts w:ascii="Arial" w:hAnsi="Arial" w:cs="Arial"/>
        </w:rPr>
      </w:pPr>
    </w:p>
    <w:p w14:paraId="212EF3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8F97C69" w14:textId="4A08E0F7" w:rsidR="003F5B53" w:rsidRPr="00D01815" w:rsidRDefault="003F5B53" w:rsidP="00D01815">
      <w:pPr>
        <w:ind w:left="851" w:hanging="851"/>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Bartkowiak</w:t>
      </w:r>
      <w:proofErr w:type="spellEnd"/>
      <w:r>
        <w:rPr>
          <w:rFonts w:ascii="Times New Roman" w:eastAsia="Calibri" w:hAnsi="Times New Roman"/>
          <w:sz w:val="24"/>
          <w:szCs w:val="24"/>
          <w:lang w:val="en-GB"/>
        </w:rPr>
        <w:t xml:space="preserve">, A., </w:t>
      </w:r>
      <w:proofErr w:type="spellStart"/>
      <w:r>
        <w:rPr>
          <w:rFonts w:ascii="Times New Roman" w:eastAsia="Calibri" w:hAnsi="Times New Roman"/>
          <w:sz w:val="24"/>
          <w:szCs w:val="24"/>
          <w:lang w:val="en-GB"/>
        </w:rPr>
        <w:t>Lemanowicz</w:t>
      </w:r>
      <w:proofErr w:type="spellEnd"/>
      <w:r>
        <w:rPr>
          <w:rFonts w:ascii="Times New Roman" w:eastAsia="Calibri" w:hAnsi="Times New Roman"/>
          <w:sz w:val="24"/>
          <w:szCs w:val="24"/>
          <w:lang w:val="en-GB"/>
        </w:rPr>
        <w:t xml:space="preserve">, J., </w:t>
      </w:r>
      <w:proofErr w:type="spellStart"/>
      <w:r>
        <w:rPr>
          <w:rFonts w:ascii="Times New Roman" w:eastAsia="Calibri" w:hAnsi="Times New Roman"/>
          <w:sz w:val="24"/>
          <w:szCs w:val="24"/>
          <w:lang w:val="en-GB"/>
        </w:rPr>
        <w:t>Rydlewska</w:t>
      </w:r>
      <w:proofErr w:type="spellEnd"/>
      <w:r>
        <w:rPr>
          <w:rFonts w:ascii="Times New Roman" w:eastAsia="Calibri" w:hAnsi="Times New Roman"/>
          <w:sz w:val="24"/>
          <w:szCs w:val="24"/>
          <w:lang w:val="en-GB"/>
        </w:rPr>
        <w:t xml:space="preserve">, M., </w:t>
      </w:r>
      <w:proofErr w:type="spellStart"/>
      <w:r>
        <w:rPr>
          <w:rFonts w:ascii="Times New Roman" w:eastAsia="Calibri" w:hAnsi="Times New Roman"/>
          <w:sz w:val="24"/>
          <w:szCs w:val="24"/>
          <w:lang w:val="en-GB"/>
        </w:rPr>
        <w:t>Sowiński</w:t>
      </w:r>
      <w:proofErr w:type="spellEnd"/>
      <w:r>
        <w:rPr>
          <w:rFonts w:ascii="Times New Roman" w:eastAsia="Calibri" w:hAnsi="Times New Roman"/>
          <w:sz w:val="24"/>
          <w:szCs w:val="24"/>
          <w:lang w:val="en-GB"/>
        </w:rPr>
        <w:t xml:space="preserve">, P. (2024). The Impact of Proximity to Road Traffic on Heavy Metal Accumulation and Enzyme Activity in Urban Soils and Dandelion”, </w:t>
      </w:r>
      <w:r>
        <w:rPr>
          <w:rFonts w:ascii="Times New Roman" w:eastAsia="Calibri" w:hAnsi="Times New Roman"/>
          <w:i/>
          <w:iCs/>
          <w:sz w:val="24"/>
          <w:szCs w:val="24"/>
          <w:lang w:val="en-GB"/>
        </w:rPr>
        <w:t>Sustainability,</w:t>
      </w:r>
      <w:r>
        <w:rPr>
          <w:rFonts w:ascii="Times New Roman" w:eastAsia="Calibri" w:hAnsi="Times New Roman"/>
          <w:sz w:val="24"/>
          <w:szCs w:val="24"/>
          <w:lang w:val="en-GB"/>
        </w:rPr>
        <w:t xml:space="preserve"> 16(812), 1- 20. </w:t>
      </w:r>
    </w:p>
    <w:p w14:paraId="7692758C" w14:textId="339249FA" w:rsidR="003F5B53" w:rsidRPr="006808F7" w:rsidRDefault="003F5B53" w:rsidP="003F5B53">
      <w:pPr>
        <w:ind w:left="851" w:hanging="851"/>
        <w:jc w:val="both"/>
        <w:rPr>
          <w:rFonts w:ascii="Times New Roman" w:eastAsia="Calibri" w:hAnsi="Times New Roman"/>
          <w:sz w:val="24"/>
          <w:szCs w:val="24"/>
        </w:rPr>
      </w:pPr>
      <w:proofErr w:type="spellStart"/>
      <w:r w:rsidRPr="00252755">
        <w:rPr>
          <w:rFonts w:ascii="Times New Roman" w:eastAsia="Calibri" w:hAnsi="Times New Roman"/>
          <w:sz w:val="24"/>
          <w:szCs w:val="24"/>
        </w:rPr>
        <w:t>Nta</w:t>
      </w:r>
      <w:proofErr w:type="spellEnd"/>
      <w:r>
        <w:rPr>
          <w:rFonts w:ascii="Times New Roman" w:eastAsia="Calibri" w:hAnsi="Times New Roman"/>
          <w:sz w:val="24"/>
          <w:szCs w:val="24"/>
        </w:rPr>
        <w:t xml:space="preserve">, S. A., </w:t>
      </w:r>
      <w:proofErr w:type="spellStart"/>
      <w:r>
        <w:rPr>
          <w:rFonts w:ascii="Times New Roman" w:eastAsia="Calibri" w:hAnsi="Times New Roman"/>
          <w:sz w:val="24"/>
          <w:szCs w:val="24"/>
        </w:rPr>
        <w:t>Ukoha</w:t>
      </w:r>
      <w:proofErr w:type="spellEnd"/>
      <w:r>
        <w:rPr>
          <w:rFonts w:ascii="Times New Roman" w:eastAsia="Calibri" w:hAnsi="Times New Roman"/>
          <w:sz w:val="24"/>
          <w:szCs w:val="24"/>
        </w:rPr>
        <w:t xml:space="preserve">-Onuoha, E. </w:t>
      </w:r>
      <w:proofErr w:type="spellStart"/>
      <w:r w:rsidRPr="00252755">
        <w:rPr>
          <w:rFonts w:ascii="Times New Roman" w:eastAsia="Calibri" w:hAnsi="Times New Roman"/>
          <w:sz w:val="24"/>
          <w:szCs w:val="24"/>
        </w:rPr>
        <w:t>Udom</w:t>
      </w:r>
      <w:proofErr w:type="spellEnd"/>
      <w:r>
        <w:rPr>
          <w:rFonts w:ascii="Times New Roman" w:eastAsia="Calibri" w:hAnsi="Times New Roman"/>
          <w:sz w:val="24"/>
          <w:szCs w:val="24"/>
        </w:rPr>
        <w:t>, I. J.  and</w:t>
      </w:r>
      <w:r w:rsidRPr="00252755">
        <w:rPr>
          <w:rFonts w:ascii="Times New Roman" w:eastAsia="Calibri" w:hAnsi="Times New Roman"/>
          <w:sz w:val="24"/>
          <w:szCs w:val="24"/>
        </w:rPr>
        <w:t xml:space="preserve"> </w:t>
      </w:r>
      <w:proofErr w:type="spellStart"/>
      <w:r w:rsidRPr="00252755">
        <w:rPr>
          <w:rFonts w:ascii="Times New Roman" w:eastAsia="Calibri" w:hAnsi="Times New Roman"/>
          <w:sz w:val="24"/>
          <w:szCs w:val="24"/>
        </w:rPr>
        <w:t>Udoumoh</w:t>
      </w:r>
      <w:proofErr w:type="spellEnd"/>
      <w:r>
        <w:rPr>
          <w:rFonts w:ascii="Times New Roman" w:eastAsia="Calibri" w:hAnsi="Times New Roman"/>
          <w:sz w:val="24"/>
          <w:szCs w:val="24"/>
        </w:rPr>
        <w:t>.</w:t>
      </w:r>
      <w:r w:rsidR="004D6F7B">
        <w:rPr>
          <w:rFonts w:ascii="Times New Roman" w:eastAsia="Calibri" w:hAnsi="Times New Roman"/>
          <w:sz w:val="24"/>
          <w:szCs w:val="24"/>
        </w:rPr>
        <w:t>, U. I. (2025</w:t>
      </w:r>
      <w:r>
        <w:rPr>
          <w:rFonts w:ascii="Times New Roman" w:eastAsia="Calibri" w:hAnsi="Times New Roman"/>
          <w:sz w:val="24"/>
          <w:szCs w:val="24"/>
        </w:rPr>
        <w:t xml:space="preserve">). </w:t>
      </w:r>
      <w:r w:rsidRPr="00C552F0">
        <w:rPr>
          <w:rFonts w:ascii="Times New Roman" w:eastAsia="Calibri" w:hAnsi="Times New Roman"/>
          <w:sz w:val="24"/>
          <w:szCs w:val="24"/>
        </w:rPr>
        <w:t xml:space="preserve">Concentration and Health Risk Assessment of Heavy Metal in Roadside Soil in </w:t>
      </w:r>
      <w:proofErr w:type="spellStart"/>
      <w:r w:rsidRPr="00C552F0">
        <w:rPr>
          <w:rFonts w:ascii="Times New Roman" w:eastAsia="Calibri" w:hAnsi="Times New Roman"/>
          <w:sz w:val="24"/>
          <w:szCs w:val="24"/>
        </w:rPr>
        <w:t>Eket</w:t>
      </w:r>
      <w:proofErr w:type="spellEnd"/>
      <w:r w:rsidRPr="00C552F0">
        <w:rPr>
          <w:rFonts w:ascii="Times New Roman" w:eastAsia="Calibri" w:hAnsi="Times New Roman"/>
          <w:sz w:val="24"/>
          <w:szCs w:val="24"/>
        </w:rPr>
        <w:t xml:space="preserve">, </w:t>
      </w:r>
      <w:proofErr w:type="spellStart"/>
      <w:r w:rsidRPr="00C552F0">
        <w:rPr>
          <w:rFonts w:ascii="Times New Roman" w:eastAsia="Calibri" w:hAnsi="Times New Roman"/>
          <w:sz w:val="24"/>
          <w:szCs w:val="24"/>
        </w:rPr>
        <w:t>Akwa</w:t>
      </w:r>
      <w:proofErr w:type="spellEnd"/>
      <w:r w:rsidRPr="00C552F0">
        <w:rPr>
          <w:rFonts w:ascii="Times New Roman" w:eastAsia="Calibri" w:hAnsi="Times New Roman"/>
          <w:sz w:val="24"/>
          <w:szCs w:val="24"/>
        </w:rPr>
        <w:t xml:space="preserve"> Ibom State, Nigeria</w:t>
      </w:r>
      <w:r>
        <w:rPr>
          <w:rFonts w:ascii="Times New Roman" w:eastAsia="Calibri" w:hAnsi="Times New Roman"/>
          <w:sz w:val="24"/>
          <w:szCs w:val="24"/>
        </w:rPr>
        <w:t xml:space="preserve">. </w:t>
      </w:r>
      <w:r w:rsidRPr="00041D1F">
        <w:rPr>
          <w:rFonts w:ascii="Times New Roman" w:eastAsia="Calibri" w:hAnsi="Times New Roman"/>
          <w:i/>
          <w:sz w:val="24"/>
          <w:szCs w:val="24"/>
        </w:rPr>
        <w:t>Asian Soil Research Journal</w:t>
      </w:r>
      <w:r w:rsidRPr="00041D1F">
        <w:rPr>
          <w:rFonts w:ascii="Times New Roman" w:eastAsia="Calibri" w:hAnsi="Times New Roman"/>
          <w:sz w:val="24"/>
          <w:szCs w:val="24"/>
        </w:rPr>
        <w:t xml:space="preserve"> 9</w:t>
      </w:r>
      <w:r>
        <w:rPr>
          <w:rFonts w:ascii="Times New Roman" w:eastAsia="Calibri" w:hAnsi="Times New Roman"/>
          <w:sz w:val="24"/>
          <w:szCs w:val="24"/>
        </w:rPr>
        <w:t>(</w:t>
      </w:r>
      <w:r w:rsidRPr="00041D1F">
        <w:rPr>
          <w:rFonts w:ascii="Times New Roman" w:eastAsia="Calibri" w:hAnsi="Times New Roman"/>
          <w:sz w:val="24"/>
          <w:szCs w:val="24"/>
        </w:rPr>
        <w:t>2</w:t>
      </w:r>
      <w:r>
        <w:rPr>
          <w:rFonts w:ascii="Times New Roman" w:eastAsia="Calibri" w:hAnsi="Times New Roman"/>
          <w:sz w:val="24"/>
          <w:szCs w:val="24"/>
        </w:rPr>
        <w:t xml:space="preserve">), </w:t>
      </w:r>
      <w:r w:rsidRPr="00041D1F">
        <w:rPr>
          <w:rFonts w:ascii="Times New Roman" w:eastAsia="Calibri" w:hAnsi="Times New Roman"/>
          <w:sz w:val="24"/>
          <w:szCs w:val="24"/>
        </w:rPr>
        <w:t>122-132</w:t>
      </w:r>
      <w:r>
        <w:rPr>
          <w:rFonts w:ascii="Times New Roman" w:eastAsia="Calibri" w:hAnsi="Times New Roman"/>
          <w:sz w:val="24"/>
          <w:szCs w:val="24"/>
        </w:rPr>
        <w:t>.</w:t>
      </w:r>
    </w:p>
    <w:p w14:paraId="6BB46C79" w14:textId="77777777" w:rsidR="003F5B53" w:rsidRDefault="003F5B53" w:rsidP="003F5B53">
      <w:pPr>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Censi</w:t>
      </w:r>
      <w:proofErr w:type="spellEnd"/>
      <w:r>
        <w:rPr>
          <w:rFonts w:ascii="Times New Roman" w:eastAsia="Calibri" w:hAnsi="Times New Roman"/>
          <w:sz w:val="24"/>
          <w:szCs w:val="24"/>
          <w:lang w:val="en-GB"/>
        </w:rPr>
        <w:t xml:space="preserve">, P., </w:t>
      </w:r>
      <w:proofErr w:type="spellStart"/>
      <w:r>
        <w:rPr>
          <w:rFonts w:ascii="Times New Roman" w:eastAsia="Calibri" w:hAnsi="Times New Roman"/>
          <w:sz w:val="24"/>
          <w:szCs w:val="24"/>
          <w:lang w:val="en-GB"/>
        </w:rPr>
        <w:t>Spoto</w:t>
      </w:r>
      <w:proofErr w:type="spellEnd"/>
      <w:r>
        <w:rPr>
          <w:rFonts w:ascii="Times New Roman" w:eastAsia="Calibri" w:hAnsi="Times New Roman"/>
          <w:sz w:val="24"/>
          <w:szCs w:val="24"/>
          <w:lang w:val="en-GB"/>
        </w:rPr>
        <w:t xml:space="preserve">, S. E., </w:t>
      </w:r>
      <w:proofErr w:type="spellStart"/>
      <w:r>
        <w:rPr>
          <w:rFonts w:ascii="Times New Roman" w:eastAsia="Calibri" w:hAnsi="Times New Roman"/>
          <w:sz w:val="24"/>
          <w:szCs w:val="24"/>
          <w:lang w:val="en-GB"/>
        </w:rPr>
        <w:t>Saiano</w:t>
      </w:r>
      <w:proofErr w:type="spellEnd"/>
      <w:r>
        <w:rPr>
          <w:rFonts w:ascii="Times New Roman" w:eastAsia="Calibri" w:hAnsi="Times New Roman"/>
          <w:sz w:val="24"/>
          <w:szCs w:val="24"/>
          <w:lang w:val="en-GB"/>
        </w:rPr>
        <w:t xml:space="preserve">, F., </w:t>
      </w:r>
      <w:proofErr w:type="spellStart"/>
      <w:r>
        <w:rPr>
          <w:rFonts w:ascii="Times New Roman" w:eastAsia="Calibri" w:hAnsi="Times New Roman"/>
          <w:sz w:val="24"/>
          <w:szCs w:val="24"/>
          <w:lang w:val="en-GB"/>
        </w:rPr>
        <w:t>Sprovieri</w:t>
      </w:r>
      <w:proofErr w:type="spellEnd"/>
      <w:r>
        <w:rPr>
          <w:rFonts w:ascii="Times New Roman" w:eastAsia="Calibri" w:hAnsi="Times New Roman"/>
          <w:sz w:val="24"/>
          <w:szCs w:val="24"/>
          <w:lang w:val="en-GB"/>
        </w:rPr>
        <w:t xml:space="preserve">, M., Mazzola, S. (2006). Heavy Metals </w:t>
      </w:r>
      <w:proofErr w:type="gramStart"/>
      <w:r>
        <w:rPr>
          <w:rFonts w:ascii="Times New Roman" w:eastAsia="Calibri" w:hAnsi="Times New Roman"/>
          <w:sz w:val="24"/>
          <w:szCs w:val="24"/>
          <w:lang w:val="en-GB"/>
        </w:rPr>
        <w:t>In</w:t>
      </w:r>
      <w:proofErr w:type="gramEnd"/>
      <w:r>
        <w:rPr>
          <w:rFonts w:ascii="Times New Roman" w:eastAsia="Calibri" w:hAnsi="Times New Roman"/>
          <w:sz w:val="24"/>
          <w:szCs w:val="24"/>
          <w:lang w:val="en-GB"/>
        </w:rPr>
        <w:t xml:space="preserve"> Coastal</w:t>
      </w:r>
      <w:r>
        <w:t xml:space="preserve"> W</w:t>
      </w:r>
      <w:proofErr w:type="spellStart"/>
      <w:r>
        <w:rPr>
          <w:rFonts w:ascii="Times New Roman" w:eastAsia="Calibri" w:hAnsi="Times New Roman"/>
          <w:sz w:val="24"/>
          <w:szCs w:val="24"/>
          <w:lang w:val="en-GB"/>
        </w:rPr>
        <w:t>ater</w:t>
      </w:r>
      <w:proofErr w:type="spellEnd"/>
      <w:r>
        <w:rPr>
          <w:rFonts w:ascii="Times New Roman" w:eastAsia="Calibri" w:hAnsi="Times New Roman"/>
          <w:sz w:val="24"/>
          <w:szCs w:val="24"/>
          <w:lang w:val="en-GB"/>
        </w:rPr>
        <w:t xml:space="preserve"> system. A </w:t>
      </w:r>
      <w:r>
        <w:rPr>
          <w:rFonts w:ascii="Times New Roman" w:eastAsia="Calibri" w:hAnsi="Times New Roman"/>
          <w:sz w:val="24"/>
          <w:szCs w:val="24"/>
          <w:lang w:val="en-GB"/>
        </w:rPr>
        <w:tab/>
        <w:t xml:space="preserve">case study from the North Western Gulf of Thailand. </w:t>
      </w:r>
      <w:r>
        <w:rPr>
          <w:rFonts w:ascii="Times New Roman" w:eastAsia="Calibri" w:hAnsi="Times New Roman"/>
          <w:i/>
          <w:iCs/>
          <w:sz w:val="24"/>
          <w:szCs w:val="24"/>
          <w:lang w:val="en-GB"/>
        </w:rPr>
        <w:t>Chemosphere</w:t>
      </w:r>
      <w:r>
        <w:rPr>
          <w:rFonts w:ascii="Times New Roman" w:eastAsia="Calibri" w:hAnsi="Times New Roman"/>
          <w:sz w:val="24"/>
          <w:szCs w:val="24"/>
          <w:lang w:val="en-GB"/>
        </w:rPr>
        <w:t xml:space="preserve">, 64(11), 67-1176. </w:t>
      </w:r>
      <w:r>
        <w:rPr>
          <w:rFonts w:ascii="Times New Roman" w:eastAsia="Calibri" w:hAnsi="Times New Roman"/>
          <w:sz w:val="24"/>
          <w:szCs w:val="24"/>
          <w:lang w:val="en-GB"/>
        </w:rPr>
        <w:tab/>
      </w:r>
      <w:hyperlink r:id="rId22" w:history="1">
        <w:r>
          <w:rPr>
            <w:rStyle w:val="Hyperlink"/>
            <w:rFonts w:ascii="Times New Roman" w:eastAsia="Calibri" w:hAnsi="Times New Roman"/>
            <w:color w:val="0563C1"/>
            <w:sz w:val="24"/>
            <w:szCs w:val="24"/>
            <w:lang w:val="en-GB"/>
          </w:rPr>
          <w:t>https://doi.org/10.3390/su16020812</w:t>
        </w:r>
      </w:hyperlink>
      <w:r>
        <w:rPr>
          <w:rFonts w:ascii="Times New Roman" w:eastAsia="Calibri" w:hAnsi="Times New Roman"/>
          <w:sz w:val="24"/>
          <w:szCs w:val="24"/>
          <w:lang w:val="en-GB"/>
        </w:rPr>
        <w:t xml:space="preserve"> </w:t>
      </w:r>
    </w:p>
    <w:p w14:paraId="0533E2C2" w14:textId="77777777" w:rsidR="0076506C" w:rsidRDefault="0076506C" w:rsidP="003F5B53">
      <w:pPr>
        <w:jc w:val="both"/>
        <w:rPr>
          <w:rFonts w:ascii="Times New Roman" w:eastAsia="Calibri" w:hAnsi="Times New Roman"/>
          <w:sz w:val="24"/>
          <w:szCs w:val="24"/>
          <w:lang w:val="en-GB"/>
        </w:rPr>
      </w:pPr>
    </w:p>
    <w:p w14:paraId="328EECB1" w14:textId="1CB12F23" w:rsidR="0076506C" w:rsidRDefault="00323EF3" w:rsidP="003F5B53">
      <w:pPr>
        <w:jc w:val="both"/>
        <w:rPr>
          <w:rFonts w:ascii="Times New Roman" w:eastAsia="Calibri" w:hAnsi="Times New Roman"/>
          <w:sz w:val="24"/>
          <w:szCs w:val="24"/>
        </w:rPr>
      </w:pPr>
      <w:r>
        <w:rPr>
          <w:rFonts w:ascii="Times New Roman" w:eastAsia="Calibri" w:hAnsi="Times New Roman"/>
          <w:sz w:val="24"/>
          <w:szCs w:val="24"/>
        </w:rPr>
        <w:t>Lindsay</w:t>
      </w:r>
      <w:r w:rsidR="00821FA3">
        <w:rPr>
          <w:rFonts w:ascii="Times New Roman" w:eastAsia="Calibri" w:hAnsi="Times New Roman"/>
          <w:sz w:val="24"/>
          <w:szCs w:val="24"/>
        </w:rPr>
        <w:t xml:space="preserve">, W. L. and </w:t>
      </w:r>
      <w:r>
        <w:rPr>
          <w:rFonts w:ascii="Times New Roman" w:eastAsia="Calibri" w:hAnsi="Times New Roman"/>
          <w:sz w:val="24"/>
          <w:szCs w:val="24"/>
        </w:rPr>
        <w:t>Norvell</w:t>
      </w:r>
      <w:r w:rsidR="00821FA3">
        <w:rPr>
          <w:rFonts w:ascii="Times New Roman" w:eastAsia="Calibri" w:hAnsi="Times New Roman"/>
          <w:sz w:val="24"/>
          <w:szCs w:val="24"/>
        </w:rPr>
        <w:t>, W. A.</w:t>
      </w:r>
      <w:r>
        <w:rPr>
          <w:rFonts w:ascii="Times New Roman" w:eastAsia="Calibri" w:hAnsi="Times New Roman"/>
          <w:sz w:val="24"/>
          <w:szCs w:val="24"/>
        </w:rPr>
        <w:t xml:space="preserve"> (1978).</w:t>
      </w:r>
      <w:r w:rsidR="0076506C" w:rsidRPr="0076506C">
        <w:rPr>
          <w:rFonts w:ascii="Times New Roman" w:eastAsia="Calibri" w:hAnsi="Times New Roman"/>
          <w:sz w:val="24"/>
          <w:szCs w:val="24"/>
        </w:rPr>
        <w:t xml:space="preserve"> “Development of a DTPA Soil Test for Zinc, Iron, Manganese, and </w:t>
      </w:r>
      <w:r w:rsidR="0030231E">
        <w:rPr>
          <w:rFonts w:ascii="Times New Roman" w:eastAsia="Calibri" w:hAnsi="Times New Roman"/>
          <w:sz w:val="24"/>
          <w:szCs w:val="24"/>
        </w:rPr>
        <w:tab/>
      </w:r>
      <w:r w:rsidR="0076506C" w:rsidRPr="0076506C">
        <w:rPr>
          <w:rFonts w:ascii="Times New Roman" w:eastAsia="Calibri" w:hAnsi="Times New Roman"/>
          <w:sz w:val="24"/>
          <w:szCs w:val="24"/>
        </w:rPr>
        <w:t>copper”, Soil Science Society of America Journal. 42: 1978. pp 421-428.</w:t>
      </w:r>
    </w:p>
    <w:p w14:paraId="313B5E23" w14:textId="77777777" w:rsidR="003F5B53" w:rsidRPr="00961079" w:rsidRDefault="0015318E" w:rsidP="003F5B53">
      <w:pPr>
        <w:jc w:val="both"/>
        <w:rPr>
          <w:rFonts w:ascii="Times New Roman" w:eastAsia="Calibri" w:hAnsi="Times New Roman"/>
          <w:sz w:val="24"/>
          <w:szCs w:val="24"/>
        </w:rPr>
      </w:pPr>
      <w:hyperlink r:id="rId23" w:history="1">
        <w:r w:rsidR="003F5B53" w:rsidRPr="00961079">
          <w:rPr>
            <w:rStyle w:val="Hyperlink"/>
            <w:rFonts w:ascii="Times New Roman" w:eastAsia="Calibri" w:hAnsi="Times New Roman"/>
            <w:i/>
            <w:iCs/>
            <w:sz w:val="24"/>
            <w:szCs w:val="24"/>
          </w:rPr>
          <w:t>"</w:t>
        </w:r>
        <w:proofErr w:type="spellStart"/>
        <w:r w:rsidR="003F5B53" w:rsidRPr="00961079">
          <w:rPr>
            <w:rStyle w:val="Hyperlink"/>
            <w:rFonts w:ascii="Times New Roman" w:eastAsia="Calibri" w:hAnsi="Times New Roman"/>
            <w:i/>
            <w:iCs/>
            <w:sz w:val="24"/>
            <w:szCs w:val="24"/>
          </w:rPr>
          <w:t>Eket</w:t>
        </w:r>
        <w:proofErr w:type="spellEnd"/>
        <w:r w:rsidR="003F5B53" w:rsidRPr="00961079">
          <w:rPr>
            <w:rStyle w:val="Hyperlink"/>
            <w:rFonts w:ascii="Times New Roman" w:eastAsia="Calibri" w:hAnsi="Times New Roman"/>
            <w:i/>
            <w:iCs/>
            <w:sz w:val="24"/>
            <w:szCs w:val="24"/>
          </w:rPr>
          <w:t xml:space="preserve"> climate: Temperature </w:t>
        </w:r>
        <w:proofErr w:type="spellStart"/>
        <w:r w:rsidR="003F5B53" w:rsidRPr="00961079">
          <w:rPr>
            <w:rStyle w:val="Hyperlink"/>
            <w:rFonts w:ascii="Times New Roman" w:eastAsia="Calibri" w:hAnsi="Times New Roman"/>
            <w:i/>
            <w:iCs/>
            <w:sz w:val="24"/>
            <w:szCs w:val="24"/>
          </w:rPr>
          <w:t>Eket</w:t>
        </w:r>
        <w:proofErr w:type="spellEnd"/>
        <w:r w:rsidR="003F5B53" w:rsidRPr="00961079">
          <w:rPr>
            <w:rStyle w:val="Hyperlink"/>
            <w:rFonts w:ascii="Times New Roman" w:eastAsia="Calibri" w:hAnsi="Times New Roman"/>
            <w:i/>
            <w:iCs/>
            <w:sz w:val="24"/>
            <w:szCs w:val="24"/>
          </w:rPr>
          <w:t xml:space="preserve"> &amp; Weather </w:t>
        </w:r>
        <w:proofErr w:type="gramStart"/>
        <w:r w:rsidR="003F5B53" w:rsidRPr="00961079">
          <w:rPr>
            <w:rStyle w:val="Hyperlink"/>
            <w:rFonts w:ascii="Times New Roman" w:eastAsia="Calibri" w:hAnsi="Times New Roman"/>
            <w:i/>
            <w:iCs/>
            <w:sz w:val="24"/>
            <w:szCs w:val="24"/>
          </w:rPr>
          <w:t>By</w:t>
        </w:r>
        <w:proofErr w:type="gramEnd"/>
        <w:r w:rsidR="003F5B53" w:rsidRPr="00961079">
          <w:rPr>
            <w:rStyle w:val="Hyperlink"/>
            <w:rFonts w:ascii="Times New Roman" w:eastAsia="Calibri" w:hAnsi="Times New Roman"/>
            <w:i/>
            <w:iCs/>
            <w:sz w:val="24"/>
            <w:szCs w:val="24"/>
          </w:rPr>
          <w:t xml:space="preserve"> Month"</w:t>
        </w:r>
      </w:hyperlink>
      <w:r w:rsidR="003F5B53" w:rsidRPr="00961079">
        <w:rPr>
          <w:rFonts w:ascii="Times New Roman" w:eastAsia="Calibri" w:hAnsi="Times New Roman"/>
          <w:i/>
          <w:iCs/>
          <w:sz w:val="24"/>
          <w:szCs w:val="24"/>
        </w:rPr>
        <w:t>. en.climate-data.org. Retrieved 2023-10-04.</w:t>
      </w:r>
    </w:p>
    <w:p w14:paraId="589DF3F5" w14:textId="77777777" w:rsidR="00203772" w:rsidRDefault="00203772" w:rsidP="003F5B53">
      <w:pPr>
        <w:ind w:left="851" w:hanging="851"/>
        <w:jc w:val="both"/>
        <w:rPr>
          <w:rFonts w:ascii="Times New Roman" w:eastAsia="Calibri" w:hAnsi="Times New Roman"/>
          <w:sz w:val="24"/>
          <w:szCs w:val="24"/>
          <w:lang w:val="en-GB"/>
        </w:rPr>
      </w:pPr>
    </w:p>
    <w:p w14:paraId="4D973EB4" w14:textId="77777777" w:rsidR="003F5B53" w:rsidRDefault="003F5B53" w:rsidP="003F5B53">
      <w:pPr>
        <w:ind w:left="851" w:hanging="851"/>
        <w:jc w:val="both"/>
        <w:rPr>
          <w:rFonts w:ascii="Times New Roman" w:eastAsia="Calibri" w:hAnsi="Times New Roman"/>
          <w:i/>
          <w:sz w:val="24"/>
          <w:szCs w:val="24"/>
          <w:lang w:val="en-GB"/>
        </w:rPr>
      </w:pPr>
      <w:proofErr w:type="spellStart"/>
      <w:r>
        <w:rPr>
          <w:rFonts w:ascii="Times New Roman" w:eastAsia="Calibri" w:hAnsi="Times New Roman"/>
          <w:sz w:val="24"/>
          <w:szCs w:val="24"/>
          <w:lang w:val="en-GB"/>
        </w:rPr>
        <w:t>Hakanson</w:t>
      </w:r>
      <w:proofErr w:type="spellEnd"/>
      <w:r>
        <w:rPr>
          <w:rFonts w:ascii="Times New Roman" w:eastAsia="Calibri" w:hAnsi="Times New Roman"/>
          <w:sz w:val="24"/>
          <w:szCs w:val="24"/>
          <w:lang w:val="en-GB"/>
        </w:rPr>
        <w:t>, L. (1980).</w:t>
      </w:r>
      <w:r>
        <w:rPr>
          <w:rFonts w:ascii="Times New Roman" w:eastAsia="Calibri" w:hAnsi="Times New Roman"/>
          <w:i/>
          <w:sz w:val="24"/>
          <w:szCs w:val="24"/>
          <w:lang w:val="en-GB"/>
        </w:rPr>
        <w:t xml:space="preserve"> </w:t>
      </w:r>
      <w:r>
        <w:rPr>
          <w:rFonts w:ascii="Times New Roman" w:eastAsia="Calibri" w:hAnsi="Times New Roman"/>
          <w:sz w:val="24"/>
          <w:szCs w:val="24"/>
          <w:lang w:val="en-GB"/>
        </w:rPr>
        <w:t>Ecological Risk Index for Aquatic Pollution Control, a Sedimentological Approach</w:t>
      </w:r>
      <w:r>
        <w:rPr>
          <w:rFonts w:ascii="Times New Roman" w:eastAsia="Calibri" w:hAnsi="Times New Roman"/>
          <w:i/>
          <w:sz w:val="24"/>
          <w:szCs w:val="24"/>
          <w:lang w:val="en-GB"/>
        </w:rPr>
        <w:t xml:space="preserve">. </w:t>
      </w:r>
      <w:r>
        <w:rPr>
          <w:rFonts w:ascii="Times New Roman" w:eastAsia="Calibri" w:hAnsi="Times New Roman"/>
          <w:i/>
          <w:iCs/>
          <w:sz w:val="24"/>
          <w:szCs w:val="24"/>
          <w:lang w:val="en-GB"/>
        </w:rPr>
        <w:t>Water Research.</w:t>
      </w:r>
      <w:r>
        <w:rPr>
          <w:rFonts w:ascii="Times New Roman" w:eastAsia="Calibri" w:hAnsi="Times New Roman"/>
          <w:i/>
          <w:sz w:val="24"/>
          <w:szCs w:val="24"/>
          <w:lang w:val="en-GB"/>
        </w:rPr>
        <w:t xml:space="preserve"> 14, 975– 1001.</w:t>
      </w:r>
    </w:p>
    <w:p w14:paraId="3E4D5F00" w14:textId="77777777" w:rsidR="003F5B53" w:rsidRDefault="003F5B53" w:rsidP="003F5B53">
      <w:pPr>
        <w:ind w:left="851" w:hanging="851"/>
        <w:jc w:val="both"/>
        <w:rPr>
          <w:rFonts w:ascii="Times New Roman" w:eastAsia="Calibri" w:hAnsi="Times New Roman"/>
          <w:i/>
          <w:sz w:val="24"/>
          <w:szCs w:val="24"/>
          <w:lang w:val="en-GB"/>
        </w:rPr>
      </w:pPr>
      <w:proofErr w:type="spellStart"/>
      <w:r>
        <w:t>Khairy</w:t>
      </w:r>
      <w:proofErr w:type="spellEnd"/>
      <w:r>
        <w:t xml:space="preserve">, M.A., Barakat, A.O., Mostafa, A.R. &amp; Wade, T.L. (2011). Multielement determination by flame atomic absorption of road dust samples in Delta Region, Egypt. </w:t>
      </w:r>
      <w:proofErr w:type="spellStart"/>
      <w:r>
        <w:t>Microch</w:t>
      </w:r>
      <w:proofErr w:type="spellEnd"/>
      <w:r>
        <w:t>. J.,97: 234–242.</w:t>
      </w:r>
    </w:p>
    <w:p w14:paraId="39425426" w14:textId="77777777" w:rsidR="003F5B53" w:rsidRDefault="003F5B53" w:rsidP="003F5B53">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 xml:space="preserve">Thomlinson, D. C., Wilson, D. J., Harris, C. R., Jeffrey, D. W. (1980). Problems in the Assessment of Heavy Metals in Estuaries and the Formation of Pollution Index. </w:t>
      </w:r>
      <w:proofErr w:type="spellStart"/>
      <w:r>
        <w:rPr>
          <w:rFonts w:ascii="Times New Roman" w:eastAsia="Calibri" w:hAnsi="Times New Roman"/>
          <w:i/>
          <w:iCs/>
          <w:sz w:val="24"/>
          <w:szCs w:val="24"/>
          <w:lang w:val="en-GB"/>
        </w:rPr>
        <w:t>Helgolander</w:t>
      </w:r>
      <w:proofErr w:type="spellEnd"/>
      <w:r>
        <w:rPr>
          <w:rFonts w:ascii="Times New Roman" w:eastAsia="Calibri" w:hAnsi="Times New Roman"/>
          <w:i/>
          <w:iCs/>
          <w:sz w:val="24"/>
          <w:szCs w:val="24"/>
          <w:lang w:val="en-GB"/>
        </w:rPr>
        <w:t xml:space="preserve"> </w:t>
      </w:r>
      <w:proofErr w:type="spellStart"/>
      <w:r>
        <w:rPr>
          <w:rFonts w:ascii="Times New Roman" w:eastAsia="Calibri" w:hAnsi="Times New Roman"/>
          <w:i/>
          <w:iCs/>
          <w:sz w:val="24"/>
          <w:szCs w:val="24"/>
          <w:lang w:val="en-GB"/>
        </w:rPr>
        <w:t>Meeresunters</w:t>
      </w:r>
      <w:proofErr w:type="spellEnd"/>
      <w:r>
        <w:rPr>
          <w:rFonts w:ascii="Times New Roman" w:eastAsia="Calibri" w:hAnsi="Times New Roman"/>
          <w:sz w:val="24"/>
          <w:szCs w:val="24"/>
          <w:lang w:val="en-GB"/>
        </w:rPr>
        <w:t>. 33, 566-575.</w:t>
      </w:r>
    </w:p>
    <w:p w14:paraId="40A304C8" w14:textId="77777777" w:rsidR="003F5B53" w:rsidRDefault="003F5B53" w:rsidP="003F5B53">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 xml:space="preserve">Muller, G. (1969). Index of Geo-accumulation in Sediments of the Rhine River. </w:t>
      </w:r>
      <w:r>
        <w:rPr>
          <w:rFonts w:ascii="Times New Roman" w:eastAsia="Calibri" w:hAnsi="Times New Roman"/>
          <w:i/>
          <w:iCs/>
          <w:sz w:val="24"/>
          <w:szCs w:val="24"/>
          <w:lang w:val="en-GB"/>
        </w:rPr>
        <w:t>Geo-journal</w:t>
      </w:r>
      <w:r>
        <w:rPr>
          <w:rFonts w:ascii="Times New Roman" w:eastAsia="Calibri" w:hAnsi="Times New Roman"/>
          <w:sz w:val="24"/>
          <w:szCs w:val="24"/>
          <w:lang w:val="en-GB"/>
        </w:rPr>
        <w:t>. 2(3), 108–118.</w:t>
      </w:r>
    </w:p>
    <w:p w14:paraId="48FB315E" w14:textId="77777777" w:rsidR="003F5B53" w:rsidRDefault="003F5B53" w:rsidP="003F5B53">
      <w:pPr>
        <w:ind w:left="851" w:hanging="851"/>
        <w:jc w:val="both"/>
        <w:rPr>
          <w:rFonts w:ascii="Times New Roman" w:eastAsia="Calibri" w:hAnsi="Times New Roman"/>
          <w:sz w:val="24"/>
          <w:szCs w:val="24"/>
          <w:lang w:val="en-GB"/>
        </w:rPr>
      </w:pPr>
      <w:r>
        <w:rPr>
          <w:rFonts w:ascii="Times New Roman" w:eastAsia="Calibri" w:hAnsi="Times New Roman"/>
          <w:sz w:val="24"/>
          <w:szCs w:val="24"/>
          <w:lang w:val="en-GB"/>
        </w:rPr>
        <w:t>WHO (1996). Permissible Limits of Heavy Metals in Soil and Plants Geneva: World Health Organization), Switzerland.</w:t>
      </w:r>
    </w:p>
    <w:p w14:paraId="67A1AC47" w14:textId="77777777" w:rsidR="003F5B53" w:rsidRDefault="003F5B53" w:rsidP="003F5B53">
      <w:pPr>
        <w:tabs>
          <w:tab w:val="left" w:pos="5610"/>
        </w:tabs>
        <w:ind w:left="851" w:hanging="851"/>
        <w:jc w:val="both"/>
        <w:rPr>
          <w:rFonts w:ascii="Times New Roman" w:eastAsia="Calibri" w:hAnsi="Times New Roman"/>
          <w:sz w:val="24"/>
          <w:szCs w:val="24"/>
          <w:lang w:val="en-GB"/>
        </w:rPr>
      </w:pPr>
      <w:proofErr w:type="spellStart"/>
      <w:r>
        <w:rPr>
          <w:rFonts w:ascii="Times New Roman" w:eastAsia="Calibri" w:hAnsi="Times New Roman"/>
          <w:sz w:val="24"/>
          <w:szCs w:val="24"/>
          <w:lang w:val="en-GB"/>
        </w:rPr>
        <w:t>Ogundele</w:t>
      </w:r>
      <w:proofErr w:type="spellEnd"/>
      <w:r>
        <w:rPr>
          <w:rFonts w:ascii="Times New Roman" w:eastAsia="Calibri" w:hAnsi="Times New Roman"/>
          <w:sz w:val="24"/>
          <w:szCs w:val="24"/>
          <w:lang w:val="en-GB"/>
        </w:rPr>
        <w:t xml:space="preserve">, D. T., </w:t>
      </w:r>
      <w:proofErr w:type="spellStart"/>
      <w:r>
        <w:rPr>
          <w:rFonts w:ascii="Times New Roman" w:eastAsia="Calibri" w:hAnsi="Times New Roman"/>
          <w:sz w:val="24"/>
          <w:szCs w:val="24"/>
          <w:lang w:val="en-GB"/>
        </w:rPr>
        <w:t>Adio</w:t>
      </w:r>
      <w:proofErr w:type="spellEnd"/>
      <w:r>
        <w:rPr>
          <w:rFonts w:ascii="Times New Roman" w:eastAsia="Calibri" w:hAnsi="Times New Roman"/>
          <w:sz w:val="24"/>
          <w:szCs w:val="24"/>
          <w:lang w:val="en-GB"/>
        </w:rPr>
        <w:t xml:space="preserve">, A. A., </w:t>
      </w:r>
      <w:proofErr w:type="spellStart"/>
      <w:r>
        <w:rPr>
          <w:rFonts w:ascii="Times New Roman" w:eastAsia="Calibri" w:hAnsi="Times New Roman"/>
          <w:sz w:val="24"/>
          <w:szCs w:val="24"/>
          <w:lang w:val="en-GB"/>
        </w:rPr>
        <w:t>Oludele</w:t>
      </w:r>
      <w:proofErr w:type="spellEnd"/>
      <w:r>
        <w:rPr>
          <w:rFonts w:ascii="Times New Roman" w:eastAsia="Calibri" w:hAnsi="Times New Roman"/>
          <w:sz w:val="24"/>
          <w:szCs w:val="24"/>
          <w:lang w:val="en-GB"/>
        </w:rPr>
        <w:t xml:space="preserve">, O. E. (2015). Heavy Metal Concentrations in Plants and Soil along Heavy Traffic Roads in North Central Nigeria. </w:t>
      </w:r>
      <w:r>
        <w:rPr>
          <w:rFonts w:ascii="Times New Roman" w:eastAsia="Calibri" w:hAnsi="Times New Roman"/>
          <w:i/>
          <w:iCs/>
          <w:sz w:val="24"/>
          <w:szCs w:val="24"/>
          <w:lang w:val="en-GB"/>
        </w:rPr>
        <w:t xml:space="preserve">Journal of Environmental Anal Toxicology. </w:t>
      </w:r>
      <w:r>
        <w:rPr>
          <w:rFonts w:ascii="Times New Roman" w:eastAsia="Calibri" w:hAnsi="Times New Roman"/>
          <w:sz w:val="24"/>
          <w:szCs w:val="24"/>
          <w:lang w:val="en-GB"/>
        </w:rPr>
        <w:t>5(6), 1-5.</w:t>
      </w:r>
    </w:p>
    <w:p w14:paraId="532D1C69" w14:textId="7116813F" w:rsidR="00995825" w:rsidRDefault="00995825" w:rsidP="003F5B53">
      <w:pPr>
        <w:tabs>
          <w:tab w:val="left" w:pos="5610"/>
        </w:tabs>
        <w:ind w:left="851" w:hanging="851"/>
        <w:jc w:val="both"/>
        <w:rPr>
          <w:rFonts w:ascii="Times New Roman" w:eastAsia="Calibri" w:hAnsi="Times New Roman"/>
          <w:sz w:val="24"/>
          <w:szCs w:val="24"/>
        </w:rPr>
      </w:pPr>
      <w:proofErr w:type="spellStart"/>
      <w:r w:rsidRPr="00995825">
        <w:rPr>
          <w:rFonts w:ascii="Times New Roman" w:eastAsia="Calibri" w:hAnsi="Times New Roman"/>
          <w:sz w:val="24"/>
          <w:szCs w:val="24"/>
        </w:rPr>
        <w:t>Ubwa</w:t>
      </w:r>
      <w:proofErr w:type="spellEnd"/>
      <w:r w:rsidRPr="00995825">
        <w:rPr>
          <w:rFonts w:ascii="Times New Roman" w:eastAsia="Calibri" w:hAnsi="Times New Roman"/>
          <w:sz w:val="24"/>
          <w:szCs w:val="24"/>
        </w:rPr>
        <w:t>, S.</w:t>
      </w:r>
      <w:r w:rsidR="00912DBC">
        <w:rPr>
          <w:rFonts w:ascii="Times New Roman" w:eastAsia="Calibri" w:hAnsi="Times New Roman"/>
          <w:sz w:val="24"/>
          <w:szCs w:val="24"/>
        </w:rPr>
        <w:t xml:space="preserve"> </w:t>
      </w:r>
      <w:r w:rsidRPr="00995825">
        <w:rPr>
          <w:rFonts w:ascii="Times New Roman" w:eastAsia="Calibri" w:hAnsi="Times New Roman"/>
          <w:sz w:val="24"/>
          <w:szCs w:val="24"/>
        </w:rPr>
        <w:t>T</w:t>
      </w:r>
      <w:r w:rsidR="00CA1E62">
        <w:rPr>
          <w:rFonts w:ascii="Times New Roman" w:eastAsia="Calibri" w:hAnsi="Times New Roman"/>
          <w:sz w:val="24"/>
          <w:szCs w:val="24"/>
        </w:rPr>
        <w:t>.</w:t>
      </w:r>
      <w:r w:rsidRPr="00995825">
        <w:rPr>
          <w:rFonts w:ascii="Times New Roman" w:eastAsia="Calibri" w:hAnsi="Times New Roman"/>
          <w:sz w:val="24"/>
          <w:szCs w:val="24"/>
        </w:rPr>
        <w:t xml:space="preserve">, </w:t>
      </w:r>
      <w:proofErr w:type="spellStart"/>
      <w:r w:rsidRPr="00995825">
        <w:rPr>
          <w:rFonts w:ascii="Times New Roman" w:eastAsia="Calibri" w:hAnsi="Times New Roman"/>
          <w:sz w:val="24"/>
          <w:szCs w:val="24"/>
        </w:rPr>
        <w:t>Abah</w:t>
      </w:r>
      <w:proofErr w:type="spellEnd"/>
      <w:r w:rsidRPr="00995825">
        <w:rPr>
          <w:rFonts w:ascii="Times New Roman" w:eastAsia="Calibri" w:hAnsi="Times New Roman"/>
          <w:sz w:val="24"/>
          <w:szCs w:val="24"/>
        </w:rPr>
        <w:t>, J</w:t>
      </w:r>
      <w:r w:rsidR="00CA1E62">
        <w:rPr>
          <w:rFonts w:ascii="Times New Roman" w:eastAsia="Calibri" w:hAnsi="Times New Roman"/>
          <w:sz w:val="24"/>
          <w:szCs w:val="24"/>
        </w:rPr>
        <w:t>.</w:t>
      </w:r>
      <w:r w:rsidRPr="00995825">
        <w:rPr>
          <w:rFonts w:ascii="Times New Roman" w:eastAsia="Calibri" w:hAnsi="Times New Roman"/>
          <w:sz w:val="24"/>
          <w:szCs w:val="24"/>
        </w:rPr>
        <w:t>, Ada,</w:t>
      </w:r>
      <w:r w:rsidR="00912DBC">
        <w:rPr>
          <w:rFonts w:ascii="Times New Roman" w:eastAsia="Calibri" w:hAnsi="Times New Roman"/>
          <w:sz w:val="24"/>
          <w:szCs w:val="24"/>
        </w:rPr>
        <w:t xml:space="preserve"> </w:t>
      </w:r>
      <w:r w:rsidRPr="00995825">
        <w:rPr>
          <w:rFonts w:ascii="Times New Roman" w:eastAsia="Calibri" w:hAnsi="Times New Roman"/>
          <w:sz w:val="24"/>
          <w:szCs w:val="24"/>
        </w:rPr>
        <w:t>C.</w:t>
      </w:r>
      <w:r w:rsidR="00912DBC">
        <w:rPr>
          <w:rFonts w:ascii="Times New Roman" w:eastAsia="Calibri" w:hAnsi="Times New Roman"/>
          <w:sz w:val="24"/>
          <w:szCs w:val="24"/>
        </w:rPr>
        <w:t xml:space="preserve"> </w:t>
      </w:r>
      <w:r w:rsidRPr="00995825">
        <w:rPr>
          <w:rFonts w:ascii="Times New Roman" w:eastAsia="Calibri" w:hAnsi="Times New Roman"/>
          <w:sz w:val="24"/>
          <w:szCs w:val="24"/>
        </w:rPr>
        <w:t>A</w:t>
      </w:r>
      <w:r w:rsidR="00CA1E62">
        <w:rPr>
          <w:rFonts w:ascii="Times New Roman" w:eastAsia="Calibri" w:hAnsi="Times New Roman"/>
          <w:sz w:val="24"/>
          <w:szCs w:val="24"/>
        </w:rPr>
        <w:t>.</w:t>
      </w:r>
      <w:r w:rsidRPr="00995825">
        <w:rPr>
          <w:rFonts w:ascii="Times New Roman" w:eastAsia="Calibri" w:hAnsi="Times New Roman"/>
          <w:sz w:val="24"/>
          <w:szCs w:val="24"/>
        </w:rPr>
        <w:t xml:space="preserve"> and </w:t>
      </w:r>
      <w:proofErr w:type="spellStart"/>
      <w:r w:rsidRPr="00995825">
        <w:rPr>
          <w:rFonts w:ascii="Times New Roman" w:eastAsia="Calibri" w:hAnsi="Times New Roman"/>
          <w:sz w:val="24"/>
          <w:szCs w:val="24"/>
        </w:rPr>
        <w:t>Alechenu</w:t>
      </w:r>
      <w:proofErr w:type="spellEnd"/>
      <w:r w:rsidRPr="00995825">
        <w:rPr>
          <w:rFonts w:ascii="Times New Roman" w:eastAsia="Calibri" w:hAnsi="Times New Roman"/>
          <w:sz w:val="24"/>
          <w:szCs w:val="24"/>
        </w:rPr>
        <w:t>, E.</w:t>
      </w:r>
      <w:r w:rsidR="001977F6">
        <w:rPr>
          <w:rFonts w:ascii="Times New Roman" w:eastAsia="Calibri" w:hAnsi="Times New Roman"/>
          <w:sz w:val="24"/>
          <w:szCs w:val="24"/>
        </w:rPr>
        <w:t xml:space="preserve"> (2013).</w:t>
      </w:r>
      <w:r w:rsidRPr="00995825">
        <w:rPr>
          <w:rFonts w:ascii="Times New Roman" w:eastAsia="Calibri" w:hAnsi="Times New Roman"/>
          <w:sz w:val="24"/>
          <w:szCs w:val="24"/>
        </w:rPr>
        <w:t xml:space="preserve"> “Levels of some heavy metals contamination of street dust in the industrial and high traffic density areas of Jos Metropolis”, Journal of Biodiversity and Environmental </w:t>
      </w:r>
      <w:r w:rsidR="00F05099">
        <w:rPr>
          <w:rFonts w:ascii="Times New Roman" w:eastAsia="Calibri" w:hAnsi="Times New Roman"/>
          <w:sz w:val="24"/>
          <w:szCs w:val="24"/>
        </w:rPr>
        <w:t>Sciences</w:t>
      </w:r>
      <w:r w:rsidR="00D67543">
        <w:rPr>
          <w:rFonts w:ascii="Times New Roman" w:eastAsia="Calibri" w:hAnsi="Times New Roman"/>
          <w:sz w:val="24"/>
          <w:szCs w:val="24"/>
        </w:rPr>
        <w:t xml:space="preserve">, Vol. 3: Issue </w:t>
      </w:r>
      <w:proofErr w:type="gramStart"/>
      <w:r w:rsidR="00D67543">
        <w:rPr>
          <w:rFonts w:ascii="Times New Roman" w:eastAsia="Calibri" w:hAnsi="Times New Roman"/>
          <w:sz w:val="24"/>
          <w:szCs w:val="24"/>
        </w:rPr>
        <w:t xml:space="preserve">7; </w:t>
      </w:r>
      <w:r w:rsidRPr="00995825">
        <w:rPr>
          <w:rFonts w:ascii="Times New Roman" w:eastAsia="Calibri" w:hAnsi="Times New Roman"/>
          <w:sz w:val="24"/>
          <w:szCs w:val="24"/>
        </w:rPr>
        <w:t xml:space="preserve"> pp</w:t>
      </w:r>
      <w:proofErr w:type="gramEnd"/>
      <w:r w:rsidRPr="00995825">
        <w:rPr>
          <w:rFonts w:ascii="Times New Roman" w:eastAsia="Calibri" w:hAnsi="Times New Roman"/>
          <w:sz w:val="24"/>
          <w:szCs w:val="24"/>
        </w:rPr>
        <w:t xml:space="preserve"> 13-21.</w:t>
      </w:r>
    </w:p>
    <w:p w14:paraId="3112E367" w14:textId="602A1E77" w:rsidR="00F05099" w:rsidRDefault="00F05099" w:rsidP="003F5B53">
      <w:pPr>
        <w:tabs>
          <w:tab w:val="left" w:pos="5610"/>
        </w:tabs>
        <w:ind w:left="851" w:hanging="851"/>
        <w:jc w:val="both"/>
        <w:rPr>
          <w:rFonts w:ascii="Times New Roman" w:eastAsia="Calibri" w:hAnsi="Times New Roman"/>
          <w:sz w:val="24"/>
          <w:szCs w:val="24"/>
          <w:lang w:val="en-GB"/>
        </w:rPr>
      </w:pPr>
      <w:proofErr w:type="spellStart"/>
      <w:r w:rsidRPr="00F05099">
        <w:rPr>
          <w:rFonts w:ascii="Times New Roman" w:eastAsia="Calibri" w:hAnsi="Times New Roman"/>
          <w:sz w:val="24"/>
          <w:szCs w:val="24"/>
        </w:rPr>
        <w:t>Ghrefat</w:t>
      </w:r>
      <w:proofErr w:type="spellEnd"/>
      <w:r w:rsidRPr="00F05099">
        <w:rPr>
          <w:rFonts w:ascii="Times New Roman" w:eastAsia="Calibri" w:hAnsi="Times New Roman"/>
          <w:sz w:val="24"/>
          <w:szCs w:val="24"/>
        </w:rPr>
        <w:t xml:space="preserve"> H and Yusuf N (2006): Assessing Mn, Fe, Cu, Zn and Cd pollution in bottom </w:t>
      </w:r>
      <w:proofErr w:type="spellStart"/>
      <w:r w:rsidRPr="00F05099">
        <w:rPr>
          <w:rFonts w:ascii="Times New Roman" w:eastAsia="Calibri" w:hAnsi="Times New Roman"/>
          <w:sz w:val="24"/>
          <w:szCs w:val="24"/>
        </w:rPr>
        <w:t>seiments</w:t>
      </w:r>
      <w:proofErr w:type="spellEnd"/>
      <w:r w:rsidRPr="00F05099">
        <w:rPr>
          <w:rFonts w:ascii="Times New Roman" w:eastAsia="Calibri" w:hAnsi="Times New Roman"/>
          <w:sz w:val="24"/>
          <w:szCs w:val="24"/>
        </w:rPr>
        <w:t xml:space="preserve"> of Wadi</w:t>
      </w:r>
      <w:r w:rsidR="00DF6373" w:rsidRPr="00DF6373">
        <w:t xml:space="preserve"> </w:t>
      </w:r>
      <w:r w:rsidR="00DF6373" w:rsidRPr="00DF6373">
        <w:rPr>
          <w:rFonts w:ascii="Times New Roman" w:eastAsia="Calibri" w:hAnsi="Times New Roman"/>
          <w:sz w:val="24"/>
          <w:szCs w:val="24"/>
        </w:rPr>
        <w:t>Al-Arab Dam, Jordan, Chemosphere 65:2114-2121.</w:t>
      </w:r>
    </w:p>
    <w:p w14:paraId="56EE1C8F" w14:textId="780B9630" w:rsidR="00995825" w:rsidRDefault="00915BE8" w:rsidP="00915BE8">
      <w:pPr>
        <w:rPr>
          <w:rFonts w:ascii="Times New Roman" w:eastAsia="Calibri" w:hAnsi="Times New Roman"/>
          <w:sz w:val="24"/>
          <w:szCs w:val="24"/>
        </w:rPr>
      </w:pPr>
      <w:proofErr w:type="spellStart"/>
      <w:r w:rsidRPr="00915BE8">
        <w:rPr>
          <w:rFonts w:ascii="Times New Roman" w:eastAsia="Calibri" w:hAnsi="Times New Roman"/>
          <w:sz w:val="24"/>
          <w:szCs w:val="24"/>
        </w:rPr>
        <w:t>Bargagli</w:t>
      </w:r>
      <w:proofErr w:type="spellEnd"/>
      <w:r w:rsidRPr="00915BE8">
        <w:rPr>
          <w:rFonts w:ascii="Times New Roman" w:eastAsia="Calibri" w:hAnsi="Times New Roman"/>
          <w:sz w:val="24"/>
          <w:szCs w:val="24"/>
        </w:rPr>
        <w:t xml:space="preserve">, R (1998). Trace Elements in Terrestrial Plants: an </w:t>
      </w:r>
      <w:proofErr w:type="spellStart"/>
      <w:r w:rsidRPr="00915BE8">
        <w:rPr>
          <w:rFonts w:ascii="Times New Roman" w:eastAsia="Calibri" w:hAnsi="Times New Roman"/>
          <w:sz w:val="24"/>
          <w:szCs w:val="24"/>
        </w:rPr>
        <w:t>Ecophysiological</w:t>
      </w:r>
      <w:proofErr w:type="spellEnd"/>
      <w:r w:rsidRPr="00915BE8">
        <w:rPr>
          <w:rFonts w:ascii="Times New Roman" w:eastAsia="Calibri" w:hAnsi="Times New Roman"/>
          <w:sz w:val="24"/>
          <w:szCs w:val="24"/>
        </w:rPr>
        <w:t xml:space="preserve"> Approach to Biomonitoring and </w:t>
      </w:r>
      <w:r>
        <w:rPr>
          <w:rFonts w:ascii="Times New Roman" w:eastAsia="Calibri" w:hAnsi="Times New Roman"/>
          <w:sz w:val="24"/>
          <w:szCs w:val="24"/>
        </w:rPr>
        <w:tab/>
      </w:r>
      <w:proofErr w:type="spellStart"/>
      <w:r w:rsidRPr="00915BE8">
        <w:rPr>
          <w:rFonts w:ascii="Times New Roman" w:eastAsia="Calibri" w:hAnsi="Times New Roman"/>
          <w:sz w:val="24"/>
          <w:szCs w:val="24"/>
        </w:rPr>
        <w:t>Biorecovery</w:t>
      </w:r>
      <w:proofErr w:type="spellEnd"/>
      <w:r w:rsidRPr="00915BE8">
        <w:rPr>
          <w:rFonts w:ascii="Times New Roman" w:eastAsia="Calibri" w:hAnsi="Times New Roman"/>
          <w:sz w:val="24"/>
          <w:szCs w:val="24"/>
        </w:rPr>
        <w:t>. Springer- Verlag, Berlin, Germany</w:t>
      </w:r>
      <w:r w:rsidR="000F3DFE">
        <w:rPr>
          <w:rFonts w:ascii="Times New Roman" w:eastAsia="Calibri" w:hAnsi="Times New Roman"/>
          <w:sz w:val="24"/>
          <w:szCs w:val="24"/>
        </w:rPr>
        <w:t>.</w:t>
      </w:r>
    </w:p>
    <w:p w14:paraId="07022329" w14:textId="07082E9E" w:rsidR="000F3DFE" w:rsidRDefault="000F3DFE" w:rsidP="00915BE8">
      <w:pPr>
        <w:rPr>
          <w:rFonts w:ascii="Times New Roman" w:eastAsia="Calibri" w:hAnsi="Times New Roman"/>
          <w:sz w:val="24"/>
          <w:szCs w:val="24"/>
        </w:rPr>
      </w:pPr>
      <w:r w:rsidRPr="000F3DFE">
        <w:rPr>
          <w:rFonts w:ascii="Times New Roman" w:eastAsia="Calibri" w:hAnsi="Times New Roman"/>
          <w:sz w:val="24"/>
          <w:szCs w:val="24"/>
        </w:rPr>
        <w:t xml:space="preserve">Meza-Figueroa, D, De La O-Villanueva, M and </w:t>
      </w:r>
      <w:proofErr w:type="spellStart"/>
      <w:proofErr w:type="gramStart"/>
      <w:r w:rsidRPr="000F3DFE">
        <w:rPr>
          <w:rFonts w:ascii="Times New Roman" w:eastAsia="Calibri" w:hAnsi="Times New Roman"/>
          <w:sz w:val="24"/>
          <w:szCs w:val="24"/>
        </w:rPr>
        <w:t>DeLaParra,M</w:t>
      </w:r>
      <w:proofErr w:type="gramEnd"/>
      <w:r w:rsidRPr="000F3DFE">
        <w:rPr>
          <w:rFonts w:ascii="Times New Roman" w:eastAsia="Calibri" w:hAnsi="Times New Roman"/>
          <w:sz w:val="24"/>
          <w:szCs w:val="24"/>
        </w:rPr>
        <w:t>.L</w:t>
      </w:r>
      <w:proofErr w:type="spellEnd"/>
      <w:r w:rsidRPr="000F3DFE">
        <w:rPr>
          <w:rFonts w:ascii="Times New Roman" w:eastAsia="Calibri" w:hAnsi="Times New Roman"/>
          <w:sz w:val="24"/>
          <w:szCs w:val="24"/>
        </w:rPr>
        <w:t xml:space="preserve"> (2006) “Heavy metal distribution in dust from </w:t>
      </w:r>
      <w:r>
        <w:rPr>
          <w:rFonts w:ascii="Times New Roman" w:eastAsia="Calibri" w:hAnsi="Times New Roman"/>
          <w:sz w:val="24"/>
          <w:szCs w:val="24"/>
        </w:rPr>
        <w:tab/>
      </w:r>
      <w:r w:rsidRPr="000F3DFE">
        <w:rPr>
          <w:rFonts w:ascii="Times New Roman" w:eastAsia="Calibri" w:hAnsi="Times New Roman"/>
          <w:sz w:val="24"/>
          <w:szCs w:val="24"/>
        </w:rPr>
        <w:t>elementary schools in Hermosillo, Sonora, Mexico”, Atmospheric Environment. Vol. 41: 2007, pp 276-</w:t>
      </w:r>
      <w:r>
        <w:rPr>
          <w:rFonts w:ascii="Times New Roman" w:eastAsia="Calibri" w:hAnsi="Times New Roman"/>
          <w:sz w:val="24"/>
          <w:szCs w:val="24"/>
        </w:rPr>
        <w:tab/>
      </w:r>
      <w:r w:rsidRPr="000F3DFE">
        <w:rPr>
          <w:rFonts w:ascii="Times New Roman" w:eastAsia="Calibri" w:hAnsi="Times New Roman"/>
          <w:sz w:val="24"/>
          <w:szCs w:val="24"/>
        </w:rPr>
        <w:t xml:space="preserve">288. </w:t>
      </w:r>
      <w:hyperlink r:id="rId24" w:history="1">
        <w:r w:rsidR="001F7F22" w:rsidRPr="00633464">
          <w:rPr>
            <w:rStyle w:val="Hyperlink"/>
            <w:rFonts w:ascii="Times New Roman" w:eastAsia="Calibri" w:hAnsi="Times New Roman"/>
            <w:sz w:val="24"/>
            <w:szCs w:val="24"/>
          </w:rPr>
          <w:t>http://dx.doi.org/10.1016/j.atmosenv.08.034</w:t>
        </w:r>
      </w:hyperlink>
    </w:p>
    <w:p w14:paraId="17E0F8C9" w14:textId="66917150" w:rsidR="001F7F22" w:rsidRDefault="001F7F22" w:rsidP="00915BE8">
      <w:pPr>
        <w:rPr>
          <w:rFonts w:ascii="Times New Roman" w:eastAsia="Calibri" w:hAnsi="Times New Roman"/>
          <w:sz w:val="24"/>
          <w:szCs w:val="24"/>
        </w:rPr>
      </w:pPr>
      <w:r>
        <w:rPr>
          <w:rFonts w:ascii="Times New Roman" w:eastAsia="Calibri" w:hAnsi="Times New Roman"/>
          <w:sz w:val="24"/>
          <w:szCs w:val="24"/>
        </w:rPr>
        <w:t xml:space="preserve">Suzuki, K., </w:t>
      </w:r>
      <w:proofErr w:type="spellStart"/>
      <w:r>
        <w:rPr>
          <w:rFonts w:ascii="Times New Roman" w:eastAsia="Calibri" w:hAnsi="Times New Roman"/>
          <w:sz w:val="24"/>
          <w:szCs w:val="24"/>
        </w:rPr>
        <w:t>Yabuki</w:t>
      </w:r>
      <w:proofErr w:type="spellEnd"/>
      <w:r>
        <w:rPr>
          <w:rFonts w:ascii="Times New Roman" w:eastAsia="Calibri" w:hAnsi="Times New Roman"/>
          <w:sz w:val="24"/>
          <w:szCs w:val="24"/>
        </w:rPr>
        <w:t>, T. and</w:t>
      </w:r>
      <w:r w:rsidRPr="001F7F22">
        <w:rPr>
          <w:rFonts w:ascii="Times New Roman" w:eastAsia="Calibri" w:hAnsi="Times New Roman"/>
          <w:sz w:val="24"/>
          <w:szCs w:val="24"/>
        </w:rPr>
        <w:t xml:space="preserve"> Ono, Y. (2008). Roadside Rhododendron </w:t>
      </w:r>
      <w:proofErr w:type="spellStart"/>
      <w:r w:rsidRPr="001F7F22">
        <w:rPr>
          <w:rFonts w:ascii="Times New Roman" w:eastAsia="Calibri" w:hAnsi="Times New Roman"/>
          <w:sz w:val="24"/>
          <w:szCs w:val="24"/>
        </w:rPr>
        <w:t>pulchrum</w:t>
      </w:r>
      <w:proofErr w:type="spellEnd"/>
      <w:r w:rsidRPr="001F7F22">
        <w:rPr>
          <w:rFonts w:ascii="Times New Roman" w:eastAsia="Calibri" w:hAnsi="Times New Roman"/>
          <w:sz w:val="24"/>
          <w:szCs w:val="24"/>
        </w:rPr>
        <w:t xml:space="preserve"> leaves as bioindicators of heavy </w:t>
      </w:r>
      <w:r w:rsidR="008018B6">
        <w:rPr>
          <w:rFonts w:ascii="Times New Roman" w:eastAsia="Calibri" w:hAnsi="Times New Roman"/>
          <w:sz w:val="24"/>
          <w:szCs w:val="24"/>
        </w:rPr>
        <w:tab/>
      </w:r>
      <w:r w:rsidRPr="001F7F22">
        <w:rPr>
          <w:rFonts w:ascii="Times New Roman" w:eastAsia="Calibri" w:hAnsi="Times New Roman"/>
          <w:sz w:val="24"/>
          <w:szCs w:val="24"/>
        </w:rPr>
        <w:t xml:space="preserve">metal pollution in traffic areas of Okayama. Japan. Environ. </w:t>
      </w:r>
      <w:proofErr w:type="spellStart"/>
      <w:r w:rsidRPr="001F7F22">
        <w:rPr>
          <w:rFonts w:ascii="Times New Roman" w:eastAsia="Calibri" w:hAnsi="Times New Roman"/>
          <w:sz w:val="24"/>
          <w:szCs w:val="24"/>
        </w:rPr>
        <w:t>Monit</w:t>
      </w:r>
      <w:proofErr w:type="spellEnd"/>
      <w:r w:rsidRPr="001F7F22">
        <w:rPr>
          <w:rFonts w:ascii="Times New Roman" w:eastAsia="Calibri" w:hAnsi="Times New Roman"/>
          <w:sz w:val="24"/>
          <w:szCs w:val="24"/>
        </w:rPr>
        <w:t>. Asses. 149:133-141</w:t>
      </w:r>
      <w:r w:rsidR="00A2324C">
        <w:rPr>
          <w:rFonts w:ascii="Times New Roman" w:eastAsia="Calibri" w:hAnsi="Times New Roman"/>
          <w:sz w:val="24"/>
          <w:szCs w:val="24"/>
        </w:rPr>
        <w:t>.</w:t>
      </w:r>
    </w:p>
    <w:p w14:paraId="4A16C507" w14:textId="5E5991EB" w:rsidR="00A2324C" w:rsidRPr="00995825" w:rsidRDefault="00A2324C" w:rsidP="00915BE8">
      <w:pPr>
        <w:rPr>
          <w:rFonts w:ascii="Times New Roman" w:eastAsia="Calibri" w:hAnsi="Times New Roman"/>
          <w:sz w:val="24"/>
          <w:szCs w:val="24"/>
          <w:lang w:val="en-GB"/>
        </w:rPr>
      </w:pPr>
      <w:proofErr w:type="spellStart"/>
      <w:r w:rsidRPr="00A2324C">
        <w:rPr>
          <w:rFonts w:ascii="Times New Roman" w:eastAsia="Calibri" w:hAnsi="Times New Roman"/>
          <w:sz w:val="24"/>
          <w:szCs w:val="24"/>
        </w:rPr>
        <w:t>Atayese</w:t>
      </w:r>
      <w:proofErr w:type="spellEnd"/>
      <w:r w:rsidRPr="00A2324C">
        <w:rPr>
          <w:rFonts w:ascii="Times New Roman" w:eastAsia="Calibri" w:hAnsi="Times New Roman"/>
          <w:sz w:val="24"/>
          <w:szCs w:val="24"/>
        </w:rPr>
        <w:t>, M.</w:t>
      </w:r>
      <w:r>
        <w:rPr>
          <w:rFonts w:ascii="Times New Roman" w:eastAsia="Calibri" w:hAnsi="Times New Roman"/>
          <w:sz w:val="24"/>
          <w:szCs w:val="24"/>
        </w:rPr>
        <w:t xml:space="preserve"> </w:t>
      </w:r>
      <w:r w:rsidRPr="00A2324C">
        <w:rPr>
          <w:rFonts w:ascii="Times New Roman" w:eastAsia="Calibri" w:hAnsi="Times New Roman"/>
          <w:sz w:val="24"/>
          <w:szCs w:val="24"/>
        </w:rPr>
        <w:t xml:space="preserve">O.; </w:t>
      </w:r>
      <w:proofErr w:type="spellStart"/>
      <w:r w:rsidRPr="00A2324C">
        <w:rPr>
          <w:rFonts w:ascii="Times New Roman" w:eastAsia="Calibri" w:hAnsi="Times New Roman"/>
          <w:sz w:val="24"/>
          <w:szCs w:val="24"/>
        </w:rPr>
        <w:t>Eigbadon</w:t>
      </w:r>
      <w:proofErr w:type="spellEnd"/>
      <w:r w:rsidRPr="00A2324C">
        <w:rPr>
          <w:rFonts w:ascii="Times New Roman" w:eastAsia="Calibri" w:hAnsi="Times New Roman"/>
          <w:sz w:val="24"/>
          <w:szCs w:val="24"/>
        </w:rPr>
        <w:t>, A.</w:t>
      </w:r>
      <w:r>
        <w:rPr>
          <w:rFonts w:ascii="Times New Roman" w:eastAsia="Calibri" w:hAnsi="Times New Roman"/>
          <w:sz w:val="24"/>
          <w:szCs w:val="24"/>
        </w:rPr>
        <w:t xml:space="preserve"> </w:t>
      </w:r>
      <w:r w:rsidRPr="00A2324C">
        <w:rPr>
          <w:rFonts w:ascii="Times New Roman" w:eastAsia="Calibri" w:hAnsi="Times New Roman"/>
          <w:sz w:val="24"/>
          <w:szCs w:val="24"/>
        </w:rPr>
        <w:t xml:space="preserve">I.; </w:t>
      </w:r>
      <w:proofErr w:type="spellStart"/>
      <w:r w:rsidRPr="00A2324C">
        <w:rPr>
          <w:rFonts w:ascii="Times New Roman" w:eastAsia="Calibri" w:hAnsi="Times New Roman"/>
          <w:sz w:val="24"/>
          <w:szCs w:val="24"/>
        </w:rPr>
        <w:t>Oluwa</w:t>
      </w:r>
      <w:proofErr w:type="spellEnd"/>
      <w:r w:rsidRPr="00A2324C">
        <w:rPr>
          <w:rFonts w:ascii="Times New Roman" w:eastAsia="Calibri" w:hAnsi="Times New Roman"/>
          <w:sz w:val="24"/>
          <w:szCs w:val="24"/>
        </w:rPr>
        <w:t>, K.</w:t>
      </w:r>
      <w:r>
        <w:rPr>
          <w:rFonts w:ascii="Times New Roman" w:eastAsia="Calibri" w:hAnsi="Times New Roman"/>
          <w:sz w:val="24"/>
          <w:szCs w:val="24"/>
        </w:rPr>
        <w:t xml:space="preserve"> A. and</w:t>
      </w:r>
      <w:r w:rsidRPr="00A2324C">
        <w:rPr>
          <w:rFonts w:ascii="Times New Roman" w:eastAsia="Calibri" w:hAnsi="Times New Roman"/>
          <w:sz w:val="24"/>
          <w:szCs w:val="24"/>
        </w:rPr>
        <w:t xml:space="preserve"> </w:t>
      </w:r>
      <w:proofErr w:type="spellStart"/>
      <w:r w:rsidRPr="00A2324C">
        <w:rPr>
          <w:rFonts w:ascii="Times New Roman" w:eastAsia="Calibri" w:hAnsi="Times New Roman"/>
          <w:sz w:val="24"/>
          <w:szCs w:val="24"/>
        </w:rPr>
        <w:t>Adesodun</w:t>
      </w:r>
      <w:proofErr w:type="spellEnd"/>
      <w:r w:rsidRPr="00A2324C">
        <w:rPr>
          <w:rFonts w:ascii="Times New Roman" w:eastAsia="Calibri" w:hAnsi="Times New Roman"/>
          <w:sz w:val="24"/>
          <w:szCs w:val="24"/>
        </w:rPr>
        <w:t>, J.K. (2009</w:t>
      </w:r>
      <w:proofErr w:type="gramStart"/>
      <w:r w:rsidRPr="00A2324C">
        <w:rPr>
          <w:rFonts w:ascii="Times New Roman" w:eastAsia="Calibri" w:hAnsi="Times New Roman"/>
          <w:sz w:val="24"/>
          <w:szCs w:val="24"/>
        </w:rPr>
        <w:t>).Heavy</w:t>
      </w:r>
      <w:proofErr w:type="gramEnd"/>
      <w:r w:rsidRPr="00A2324C">
        <w:rPr>
          <w:rFonts w:ascii="Times New Roman" w:eastAsia="Calibri" w:hAnsi="Times New Roman"/>
          <w:sz w:val="24"/>
          <w:szCs w:val="24"/>
        </w:rPr>
        <w:t xml:space="preserve"> metal contamination of </w:t>
      </w:r>
      <w:proofErr w:type="spellStart"/>
      <w:r w:rsidRPr="00A2324C">
        <w:rPr>
          <w:rFonts w:ascii="Times New Roman" w:eastAsia="Calibri" w:hAnsi="Times New Roman"/>
          <w:sz w:val="24"/>
          <w:szCs w:val="24"/>
        </w:rPr>
        <w:t>amaranthus</w:t>
      </w:r>
      <w:proofErr w:type="spellEnd"/>
      <w:r w:rsidRPr="00A2324C">
        <w:rPr>
          <w:rFonts w:ascii="Times New Roman" w:eastAsia="Calibri" w:hAnsi="Times New Roman"/>
          <w:sz w:val="24"/>
          <w:szCs w:val="24"/>
        </w:rPr>
        <w:t xml:space="preserve"> grown along major highways in Lagos..</w:t>
      </w:r>
      <w:proofErr w:type="spellStart"/>
      <w:r w:rsidRPr="00A2324C">
        <w:rPr>
          <w:rFonts w:ascii="Times New Roman" w:eastAsia="Calibri" w:hAnsi="Times New Roman"/>
          <w:sz w:val="24"/>
          <w:szCs w:val="24"/>
        </w:rPr>
        <w:t>Afr</w:t>
      </w:r>
      <w:proofErr w:type="spellEnd"/>
      <w:r w:rsidRPr="00A2324C">
        <w:rPr>
          <w:rFonts w:ascii="Times New Roman" w:eastAsia="Calibri" w:hAnsi="Times New Roman"/>
          <w:sz w:val="24"/>
          <w:szCs w:val="24"/>
        </w:rPr>
        <w:t>. Crop. Sci. J.16:225-235</w:t>
      </w:r>
    </w:p>
    <w:sectPr w:rsidR="00A2324C" w:rsidRPr="00995825" w:rsidSect="0014117F">
      <w:headerReference w:type="even" r:id="rId25"/>
      <w:headerReference w:type="default" r:id="rId26"/>
      <w:footerReference w:type="default" r:id="rId27"/>
      <w:headerReference w:type="first" r:id="rId2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A2B1A" w14:textId="77777777" w:rsidR="0015318E" w:rsidRDefault="0015318E" w:rsidP="00C37E61">
      <w:r>
        <w:separator/>
      </w:r>
    </w:p>
  </w:endnote>
  <w:endnote w:type="continuationSeparator" w:id="0">
    <w:p w14:paraId="3DBE818A" w14:textId="77777777" w:rsidR="0015318E" w:rsidRDefault="001531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B9B9" w14:textId="77777777" w:rsidR="0014117F" w:rsidRDefault="00141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27FF7" w14:textId="77777777" w:rsidR="0014117F" w:rsidRDefault="001411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111A0" w14:textId="06BCAA6C" w:rsidR="00904050" w:rsidRPr="0014117F" w:rsidRDefault="00904050" w:rsidP="001411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3C0B5" w14:textId="77777777" w:rsidR="00904050" w:rsidRPr="00C37E61" w:rsidRDefault="00904050"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B3478" w14:textId="77777777" w:rsidR="0015318E" w:rsidRDefault="0015318E" w:rsidP="00C37E61">
      <w:r>
        <w:separator/>
      </w:r>
    </w:p>
  </w:footnote>
  <w:footnote w:type="continuationSeparator" w:id="0">
    <w:p w14:paraId="66D7997A" w14:textId="77777777" w:rsidR="0015318E" w:rsidRDefault="001531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CA07B" w14:textId="1E37D6C7" w:rsidR="0014117F" w:rsidRDefault="0015318E">
    <w:pPr>
      <w:pStyle w:val="Header"/>
    </w:pPr>
    <w:r>
      <w:rPr>
        <w:noProof/>
      </w:rPr>
      <w:pict w14:anchorId="7340F6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4"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8563E" w14:textId="4E81D782" w:rsidR="0014117F" w:rsidRDefault="0015318E">
    <w:pPr>
      <w:pStyle w:val="Header"/>
    </w:pPr>
    <w:r>
      <w:rPr>
        <w:noProof/>
      </w:rPr>
      <w:pict w14:anchorId="3D0045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5"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771C" w14:textId="4CCD0DB5" w:rsidR="00904050" w:rsidRPr="00296529" w:rsidRDefault="0015318E" w:rsidP="00296529">
    <w:pPr>
      <w:ind w:left="2160"/>
      <w:jc w:val="center"/>
      <w:rPr>
        <w:rFonts w:ascii="Times New Roman" w:eastAsia="Calibri" w:hAnsi="Times New Roman"/>
        <w:i/>
        <w:sz w:val="18"/>
        <w:szCs w:val="22"/>
      </w:rPr>
    </w:pPr>
    <w:r>
      <w:rPr>
        <w:noProof/>
      </w:rPr>
      <w:pict w14:anchorId="5C01D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3"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6C126A" w14:textId="77777777" w:rsidR="00904050" w:rsidRPr="00296529" w:rsidRDefault="00904050"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E0B2A8D" w14:textId="77777777" w:rsidR="00904050" w:rsidRPr="00296529" w:rsidRDefault="00904050"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D6C25FC" w14:textId="77777777" w:rsidR="00904050" w:rsidRPr="00296529" w:rsidRDefault="00904050"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FA0851" w14:textId="77777777" w:rsidR="00904050" w:rsidRDefault="00904050"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B1DE81D" w14:textId="77777777" w:rsidR="00904050" w:rsidRDefault="00904050"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55E6E77" w14:textId="77777777" w:rsidR="00904050" w:rsidRDefault="00904050">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1766B" w14:textId="6A7A302D" w:rsidR="0014117F" w:rsidRDefault="0015318E">
    <w:pPr>
      <w:pStyle w:val="Header"/>
    </w:pPr>
    <w:r>
      <w:rPr>
        <w:noProof/>
      </w:rPr>
      <w:pict w14:anchorId="3B05D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7"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7CA0E" w14:textId="49CD0452" w:rsidR="0014117F" w:rsidRDefault="0015318E">
    <w:pPr>
      <w:pStyle w:val="Header"/>
    </w:pPr>
    <w:r>
      <w:rPr>
        <w:noProof/>
      </w:rPr>
      <w:pict w14:anchorId="72A1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8"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3C016" w14:textId="446D34AF" w:rsidR="0014117F" w:rsidRDefault="0015318E">
    <w:pPr>
      <w:pStyle w:val="Header"/>
    </w:pPr>
    <w:r>
      <w:rPr>
        <w:noProof/>
      </w:rPr>
      <w:pict w14:anchorId="6C8BA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73346"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9E14E3"/>
    <w:multiLevelType w:val="hybridMultilevel"/>
    <w:tmpl w:val="0DACC918"/>
    <w:lvl w:ilvl="0" w:tplc="A32C7B5C">
      <w:numFmt w:val="bullet"/>
      <w:lvlText w:val="-"/>
      <w:lvlJc w:val="left"/>
      <w:pPr>
        <w:ind w:left="720" w:hanging="360"/>
      </w:pPr>
      <w:rPr>
        <w:rFonts w:ascii="Times New Roman" w:eastAsia="Arial Unicode MS" w:hAnsi="Times New Roman" w:cs="Times New Roman" w:hint="default"/>
        <w:b w:val="0"/>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48F"/>
    <w:rsid w:val="0001033D"/>
    <w:rsid w:val="00011BF2"/>
    <w:rsid w:val="00012378"/>
    <w:rsid w:val="00012D63"/>
    <w:rsid w:val="000141FA"/>
    <w:rsid w:val="0001423A"/>
    <w:rsid w:val="00016F48"/>
    <w:rsid w:val="00030174"/>
    <w:rsid w:val="00030411"/>
    <w:rsid w:val="00032391"/>
    <w:rsid w:val="00033B31"/>
    <w:rsid w:val="000349F8"/>
    <w:rsid w:val="000367A8"/>
    <w:rsid w:val="00036CEE"/>
    <w:rsid w:val="00037E01"/>
    <w:rsid w:val="0004579C"/>
    <w:rsid w:val="00046351"/>
    <w:rsid w:val="00057A8C"/>
    <w:rsid w:val="00062F85"/>
    <w:rsid w:val="00063E2D"/>
    <w:rsid w:val="00072FF1"/>
    <w:rsid w:val="00086E8B"/>
    <w:rsid w:val="00090CC6"/>
    <w:rsid w:val="000A00FE"/>
    <w:rsid w:val="000A47FA"/>
    <w:rsid w:val="000A65D3"/>
    <w:rsid w:val="000B01BE"/>
    <w:rsid w:val="000B1E33"/>
    <w:rsid w:val="000B4D99"/>
    <w:rsid w:val="000B6E95"/>
    <w:rsid w:val="000B73C2"/>
    <w:rsid w:val="000C3A4C"/>
    <w:rsid w:val="000D474B"/>
    <w:rsid w:val="000D689F"/>
    <w:rsid w:val="000D768E"/>
    <w:rsid w:val="000E7B7B"/>
    <w:rsid w:val="000E7D62"/>
    <w:rsid w:val="000F3065"/>
    <w:rsid w:val="000F3DFE"/>
    <w:rsid w:val="00103357"/>
    <w:rsid w:val="001227BE"/>
    <w:rsid w:val="00123C9F"/>
    <w:rsid w:val="001245AE"/>
    <w:rsid w:val="0012593C"/>
    <w:rsid w:val="00126190"/>
    <w:rsid w:val="00130F17"/>
    <w:rsid w:val="001320BF"/>
    <w:rsid w:val="001368FA"/>
    <w:rsid w:val="0014117F"/>
    <w:rsid w:val="0014185E"/>
    <w:rsid w:val="00145660"/>
    <w:rsid w:val="00145CCF"/>
    <w:rsid w:val="001479BC"/>
    <w:rsid w:val="0015011B"/>
    <w:rsid w:val="0015318E"/>
    <w:rsid w:val="00163BC4"/>
    <w:rsid w:val="00175F99"/>
    <w:rsid w:val="0018237C"/>
    <w:rsid w:val="00191062"/>
    <w:rsid w:val="0019137C"/>
    <w:rsid w:val="00192B72"/>
    <w:rsid w:val="001977F6"/>
    <w:rsid w:val="001A29D8"/>
    <w:rsid w:val="001A5CAA"/>
    <w:rsid w:val="001A5F31"/>
    <w:rsid w:val="001B0427"/>
    <w:rsid w:val="001B0D75"/>
    <w:rsid w:val="001C36AA"/>
    <w:rsid w:val="001C4642"/>
    <w:rsid w:val="001C5413"/>
    <w:rsid w:val="001D3A51"/>
    <w:rsid w:val="001D5576"/>
    <w:rsid w:val="001E10D2"/>
    <w:rsid w:val="001E12A0"/>
    <w:rsid w:val="001E25B4"/>
    <w:rsid w:val="001E2EF4"/>
    <w:rsid w:val="001E44FE"/>
    <w:rsid w:val="001E7C11"/>
    <w:rsid w:val="001F7F22"/>
    <w:rsid w:val="00200595"/>
    <w:rsid w:val="00203772"/>
    <w:rsid w:val="00204835"/>
    <w:rsid w:val="00230F1D"/>
    <w:rsid w:val="00231920"/>
    <w:rsid w:val="0023195C"/>
    <w:rsid w:val="00233F6D"/>
    <w:rsid w:val="0023724A"/>
    <w:rsid w:val="0024055C"/>
    <w:rsid w:val="0024282C"/>
    <w:rsid w:val="002460DC"/>
    <w:rsid w:val="00246A10"/>
    <w:rsid w:val="00250985"/>
    <w:rsid w:val="002556F6"/>
    <w:rsid w:val="00256464"/>
    <w:rsid w:val="0028266E"/>
    <w:rsid w:val="00283105"/>
    <w:rsid w:val="00284C4C"/>
    <w:rsid w:val="00287E68"/>
    <w:rsid w:val="00295F78"/>
    <w:rsid w:val="002964BD"/>
    <w:rsid w:val="00296529"/>
    <w:rsid w:val="002A0983"/>
    <w:rsid w:val="002A09CD"/>
    <w:rsid w:val="002A6E62"/>
    <w:rsid w:val="002B27FB"/>
    <w:rsid w:val="002B3360"/>
    <w:rsid w:val="002B685A"/>
    <w:rsid w:val="002C08D8"/>
    <w:rsid w:val="002C57D2"/>
    <w:rsid w:val="002D543D"/>
    <w:rsid w:val="002E0D56"/>
    <w:rsid w:val="00301B45"/>
    <w:rsid w:val="0030231E"/>
    <w:rsid w:val="00304FFF"/>
    <w:rsid w:val="00312861"/>
    <w:rsid w:val="00315186"/>
    <w:rsid w:val="0032276A"/>
    <w:rsid w:val="00323EF3"/>
    <w:rsid w:val="0033343E"/>
    <w:rsid w:val="00334C14"/>
    <w:rsid w:val="00343B4B"/>
    <w:rsid w:val="00346273"/>
    <w:rsid w:val="00350213"/>
    <w:rsid w:val="003512C2"/>
    <w:rsid w:val="00356191"/>
    <w:rsid w:val="0036097D"/>
    <w:rsid w:val="00361D4D"/>
    <w:rsid w:val="003671FA"/>
    <w:rsid w:val="00371FB6"/>
    <w:rsid w:val="003763C1"/>
    <w:rsid w:val="00376BBE"/>
    <w:rsid w:val="0038186F"/>
    <w:rsid w:val="00384B85"/>
    <w:rsid w:val="0039224F"/>
    <w:rsid w:val="00393659"/>
    <w:rsid w:val="003A1890"/>
    <w:rsid w:val="003A43A4"/>
    <w:rsid w:val="003A7E18"/>
    <w:rsid w:val="003B48B6"/>
    <w:rsid w:val="003B77C6"/>
    <w:rsid w:val="003C4C86"/>
    <w:rsid w:val="003C6258"/>
    <w:rsid w:val="003C7B2C"/>
    <w:rsid w:val="003D0D31"/>
    <w:rsid w:val="003D2904"/>
    <w:rsid w:val="003D6781"/>
    <w:rsid w:val="003E2904"/>
    <w:rsid w:val="003E43D9"/>
    <w:rsid w:val="003F1DC0"/>
    <w:rsid w:val="003F5B53"/>
    <w:rsid w:val="00401927"/>
    <w:rsid w:val="004043E8"/>
    <w:rsid w:val="004101EB"/>
    <w:rsid w:val="00410278"/>
    <w:rsid w:val="0041027F"/>
    <w:rsid w:val="00412475"/>
    <w:rsid w:val="00417A98"/>
    <w:rsid w:val="00423789"/>
    <w:rsid w:val="00434884"/>
    <w:rsid w:val="00436C89"/>
    <w:rsid w:val="00440F43"/>
    <w:rsid w:val="00441B6F"/>
    <w:rsid w:val="00446221"/>
    <w:rsid w:val="00450E62"/>
    <w:rsid w:val="004539DB"/>
    <w:rsid w:val="00454906"/>
    <w:rsid w:val="004563A3"/>
    <w:rsid w:val="00471A80"/>
    <w:rsid w:val="00474921"/>
    <w:rsid w:val="00482423"/>
    <w:rsid w:val="0048608A"/>
    <w:rsid w:val="004956C1"/>
    <w:rsid w:val="00496E6C"/>
    <w:rsid w:val="004A1527"/>
    <w:rsid w:val="004B16D0"/>
    <w:rsid w:val="004B260A"/>
    <w:rsid w:val="004C5562"/>
    <w:rsid w:val="004C63A2"/>
    <w:rsid w:val="004C7BDD"/>
    <w:rsid w:val="004D305E"/>
    <w:rsid w:val="004D4277"/>
    <w:rsid w:val="004D4D89"/>
    <w:rsid w:val="004D6F7B"/>
    <w:rsid w:val="004F00E4"/>
    <w:rsid w:val="004F0960"/>
    <w:rsid w:val="004F2618"/>
    <w:rsid w:val="004F3A56"/>
    <w:rsid w:val="00502516"/>
    <w:rsid w:val="00503108"/>
    <w:rsid w:val="00505F06"/>
    <w:rsid w:val="00506828"/>
    <w:rsid w:val="00507C74"/>
    <w:rsid w:val="005113FD"/>
    <w:rsid w:val="00511E73"/>
    <w:rsid w:val="0051668F"/>
    <w:rsid w:val="0053056E"/>
    <w:rsid w:val="00531D77"/>
    <w:rsid w:val="00546A15"/>
    <w:rsid w:val="00551137"/>
    <w:rsid w:val="00552585"/>
    <w:rsid w:val="005544BB"/>
    <w:rsid w:val="00554FDA"/>
    <w:rsid w:val="00567087"/>
    <w:rsid w:val="00573BC2"/>
    <w:rsid w:val="00577F18"/>
    <w:rsid w:val="005947BF"/>
    <w:rsid w:val="00594AAE"/>
    <w:rsid w:val="005A0E8B"/>
    <w:rsid w:val="005B10CE"/>
    <w:rsid w:val="005B2D96"/>
    <w:rsid w:val="005B35FB"/>
    <w:rsid w:val="005C784C"/>
    <w:rsid w:val="005D17F6"/>
    <w:rsid w:val="005D384C"/>
    <w:rsid w:val="005E3B49"/>
    <w:rsid w:val="005E54DF"/>
    <w:rsid w:val="005E5539"/>
    <w:rsid w:val="005F024D"/>
    <w:rsid w:val="005F139E"/>
    <w:rsid w:val="005F18DD"/>
    <w:rsid w:val="005F3ED3"/>
    <w:rsid w:val="005F7CB6"/>
    <w:rsid w:val="00600F1E"/>
    <w:rsid w:val="00602BF5"/>
    <w:rsid w:val="00617FDD"/>
    <w:rsid w:val="006210B2"/>
    <w:rsid w:val="00626005"/>
    <w:rsid w:val="00633614"/>
    <w:rsid w:val="006336C5"/>
    <w:rsid w:val="00633F68"/>
    <w:rsid w:val="006355F5"/>
    <w:rsid w:val="00636EB2"/>
    <w:rsid w:val="006375B8"/>
    <w:rsid w:val="006409F0"/>
    <w:rsid w:val="00645147"/>
    <w:rsid w:val="00662DA6"/>
    <w:rsid w:val="0066507B"/>
    <w:rsid w:val="0066510A"/>
    <w:rsid w:val="00666482"/>
    <w:rsid w:val="00671B47"/>
    <w:rsid w:val="00672891"/>
    <w:rsid w:val="00673F9F"/>
    <w:rsid w:val="00686953"/>
    <w:rsid w:val="00686EE3"/>
    <w:rsid w:val="00687DEA"/>
    <w:rsid w:val="00687E67"/>
    <w:rsid w:val="00694139"/>
    <w:rsid w:val="006967F7"/>
    <w:rsid w:val="006A250C"/>
    <w:rsid w:val="006A333B"/>
    <w:rsid w:val="006A42EE"/>
    <w:rsid w:val="006A7F68"/>
    <w:rsid w:val="006B21D3"/>
    <w:rsid w:val="006B57D0"/>
    <w:rsid w:val="006B7A1A"/>
    <w:rsid w:val="006C305B"/>
    <w:rsid w:val="006C6167"/>
    <w:rsid w:val="006D0988"/>
    <w:rsid w:val="006D1D82"/>
    <w:rsid w:val="006D22BD"/>
    <w:rsid w:val="006D30FF"/>
    <w:rsid w:val="006D3D3B"/>
    <w:rsid w:val="006D6940"/>
    <w:rsid w:val="006D6BCB"/>
    <w:rsid w:val="006E3CFF"/>
    <w:rsid w:val="006E40DB"/>
    <w:rsid w:val="006F11EC"/>
    <w:rsid w:val="006F2D79"/>
    <w:rsid w:val="006F4B43"/>
    <w:rsid w:val="0070082C"/>
    <w:rsid w:val="00710FD5"/>
    <w:rsid w:val="00713451"/>
    <w:rsid w:val="00716400"/>
    <w:rsid w:val="0072382A"/>
    <w:rsid w:val="0073054A"/>
    <w:rsid w:val="0073405E"/>
    <w:rsid w:val="007369E6"/>
    <w:rsid w:val="0074416E"/>
    <w:rsid w:val="00745404"/>
    <w:rsid w:val="00746256"/>
    <w:rsid w:val="00746E59"/>
    <w:rsid w:val="00753DC1"/>
    <w:rsid w:val="00754C9A"/>
    <w:rsid w:val="007550EB"/>
    <w:rsid w:val="0075599A"/>
    <w:rsid w:val="00761D52"/>
    <w:rsid w:val="0076506C"/>
    <w:rsid w:val="00767E02"/>
    <w:rsid w:val="0077629E"/>
    <w:rsid w:val="0077749E"/>
    <w:rsid w:val="0077781A"/>
    <w:rsid w:val="007818A8"/>
    <w:rsid w:val="007827D1"/>
    <w:rsid w:val="00790ADA"/>
    <w:rsid w:val="00793A92"/>
    <w:rsid w:val="00793FFB"/>
    <w:rsid w:val="0079512C"/>
    <w:rsid w:val="007C3EA7"/>
    <w:rsid w:val="007C7D85"/>
    <w:rsid w:val="007D0F38"/>
    <w:rsid w:val="007D2288"/>
    <w:rsid w:val="007D73A6"/>
    <w:rsid w:val="007E088F"/>
    <w:rsid w:val="007F7B32"/>
    <w:rsid w:val="008018B6"/>
    <w:rsid w:val="00804BC2"/>
    <w:rsid w:val="00813787"/>
    <w:rsid w:val="0081431A"/>
    <w:rsid w:val="00821FA3"/>
    <w:rsid w:val="00831FCC"/>
    <w:rsid w:val="0083216F"/>
    <w:rsid w:val="0083346F"/>
    <w:rsid w:val="008345A9"/>
    <w:rsid w:val="00834A1E"/>
    <w:rsid w:val="008363B8"/>
    <w:rsid w:val="00840A82"/>
    <w:rsid w:val="00852E8C"/>
    <w:rsid w:val="008565D7"/>
    <w:rsid w:val="00860000"/>
    <w:rsid w:val="00860C9B"/>
    <w:rsid w:val="00863BD3"/>
    <w:rsid w:val="008641ED"/>
    <w:rsid w:val="00864694"/>
    <w:rsid w:val="00866D66"/>
    <w:rsid w:val="008671C6"/>
    <w:rsid w:val="0087407A"/>
    <w:rsid w:val="00875803"/>
    <w:rsid w:val="00877421"/>
    <w:rsid w:val="0089220C"/>
    <w:rsid w:val="0089613A"/>
    <w:rsid w:val="008A57EF"/>
    <w:rsid w:val="008A7DDF"/>
    <w:rsid w:val="008B459E"/>
    <w:rsid w:val="008C1ACA"/>
    <w:rsid w:val="008C312B"/>
    <w:rsid w:val="008C5412"/>
    <w:rsid w:val="008E13AE"/>
    <w:rsid w:val="008E1506"/>
    <w:rsid w:val="008E710C"/>
    <w:rsid w:val="008E739A"/>
    <w:rsid w:val="008F3712"/>
    <w:rsid w:val="008F4C97"/>
    <w:rsid w:val="008F69D6"/>
    <w:rsid w:val="00900AF0"/>
    <w:rsid w:val="00902823"/>
    <w:rsid w:val="009036A1"/>
    <w:rsid w:val="00904050"/>
    <w:rsid w:val="00904A21"/>
    <w:rsid w:val="009075B3"/>
    <w:rsid w:val="00912DBC"/>
    <w:rsid w:val="00915BE8"/>
    <w:rsid w:val="00915CA6"/>
    <w:rsid w:val="00917B9B"/>
    <w:rsid w:val="00920392"/>
    <w:rsid w:val="00925FD0"/>
    <w:rsid w:val="00927834"/>
    <w:rsid w:val="0093430A"/>
    <w:rsid w:val="00946655"/>
    <w:rsid w:val="00947B82"/>
    <w:rsid w:val="009500A6"/>
    <w:rsid w:val="0095075C"/>
    <w:rsid w:val="00951ED7"/>
    <w:rsid w:val="0095472C"/>
    <w:rsid w:val="00956CEF"/>
    <w:rsid w:val="00957C18"/>
    <w:rsid w:val="009617B4"/>
    <w:rsid w:val="009659BA"/>
    <w:rsid w:val="00966A56"/>
    <w:rsid w:val="00971BFE"/>
    <w:rsid w:val="00983040"/>
    <w:rsid w:val="00987945"/>
    <w:rsid w:val="00995825"/>
    <w:rsid w:val="009B3FB9"/>
    <w:rsid w:val="009C1BEA"/>
    <w:rsid w:val="009C235C"/>
    <w:rsid w:val="009C2465"/>
    <w:rsid w:val="009C3086"/>
    <w:rsid w:val="009C5EF6"/>
    <w:rsid w:val="009D2010"/>
    <w:rsid w:val="009D2BA1"/>
    <w:rsid w:val="009D35A0"/>
    <w:rsid w:val="009D5564"/>
    <w:rsid w:val="009D7EB7"/>
    <w:rsid w:val="009E048A"/>
    <w:rsid w:val="009E08E9"/>
    <w:rsid w:val="009E09AB"/>
    <w:rsid w:val="009E1A67"/>
    <w:rsid w:val="009E3DB9"/>
    <w:rsid w:val="009E6E35"/>
    <w:rsid w:val="009E79DC"/>
    <w:rsid w:val="009F0EDA"/>
    <w:rsid w:val="00A03B96"/>
    <w:rsid w:val="00A05B19"/>
    <w:rsid w:val="00A1134E"/>
    <w:rsid w:val="00A12A31"/>
    <w:rsid w:val="00A22597"/>
    <w:rsid w:val="00A22861"/>
    <w:rsid w:val="00A2324C"/>
    <w:rsid w:val="00A24E7E"/>
    <w:rsid w:val="00A258C3"/>
    <w:rsid w:val="00A27B83"/>
    <w:rsid w:val="00A347C0"/>
    <w:rsid w:val="00A36418"/>
    <w:rsid w:val="00A40548"/>
    <w:rsid w:val="00A4094E"/>
    <w:rsid w:val="00A42DEA"/>
    <w:rsid w:val="00A51431"/>
    <w:rsid w:val="00A5297E"/>
    <w:rsid w:val="00A539AD"/>
    <w:rsid w:val="00A53D8A"/>
    <w:rsid w:val="00A71004"/>
    <w:rsid w:val="00A74E4C"/>
    <w:rsid w:val="00A82C0D"/>
    <w:rsid w:val="00A905FD"/>
    <w:rsid w:val="00A94063"/>
    <w:rsid w:val="00AA460A"/>
    <w:rsid w:val="00AA6219"/>
    <w:rsid w:val="00AA74E0"/>
    <w:rsid w:val="00AB21A3"/>
    <w:rsid w:val="00AB3A56"/>
    <w:rsid w:val="00AB703F"/>
    <w:rsid w:val="00AC6223"/>
    <w:rsid w:val="00AC6BB8"/>
    <w:rsid w:val="00AD55E6"/>
    <w:rsid w:val="00AE008F"/>
    <w:rsid w:val="00AE5FC0"/>
    <w:rsid w:val="00AF587B"/>
    <w:rsid w:val="00AF63BE"/>
    <w:rsid w:val="00AF7437"/>
    <w:rsid w:val="00B01FCD"/>
    <w:rsid w:val="00B03967"/>
    <w:rsid w:val="00B0468A"/>
    <w:rsid w:val="00B10FB0"/>
    <w:rsid w:val="00B1776C"/>
    <w:rsid w:val="00B32336"/>
    <w:rsid w:val="00B32B09"/>
    <w:rsid w:val="00B35391"/>
    <w:rsid w:val="00B40002"/>
    <w:rsid w:val="00B401C7"/>
    <w:rsid w:val="00B435A5"/>
    <w:rsid w:val="00B47739"/>
    <w:rsid w:val="00B52583"/>
    <w:rsid w:val="00B52896"/>
    <w:rsid w:val="00B52F7F"/>
    <w:rsid w:val="00B61135"/>
    <w:rsid w:val="00B67807"/>
    <w:rsid w:val="00B7272D"/>
    <w:rsid w:val="00B776C6"/>
    <w:rsid w:val="00B854D7"/>
    <w:rsid w:val="00B8652E"/>
    <w:rsid w:val="00B879CF"/>
    <w:rsid w:val="00B95236"/>
    <w:rsid w:val="00B96BD9"/>
    <w:rsid w:val="00B970BF"/>
    <w:rsid w:val="00BA1B01"/>
    <w:rsid w:val="00BA2641"/>
    <w:rsid w:val="00BA3E35"/>
    <w:rsid w:val="00BA5CB9"/>
    <w:rsid w:val="00BB0EA3"/>
    <w:rsid w:val="00BB37AA"/>
    <w:rsid w:val="00BC53A0"/>
    <w:rsid w:val="00BD6A58"/>
    <w:rsid w:val="00BE5BBB"/>
    <w:rsid w:val="00BE62AD"/>
    <w:rsid w:val="00BF121F"/>
    <w:rsid w:val="00BF1F80"/>
    <w:rsid w:val="00C02655"/>
    <w:rsid w:val="00C050C6"/>
    <w:rsid w:val="00C166EF"/>
    <w:rsid w:val="00C17EB0"/>
    <w:rsid w:val="00C205BD"/>
    <w:rsid w:val="00C27F5F"/>
    <w:rsid w:val="00C30A0F"/>
    <w:rsid w:val="00C34776"/>
    <w:rsid w:val="00C37E61"/>
    <w:rsid w:val="00C43664"/>
    <w:rsid w:val="00C472B8"/>
    <w:rsid w:val="00C515B1"/>
    <w:rsid w:val="00C51DAA"/>
    <w:rsid w:val="00C55588"/>
    <w:rsid w:val="00C55E38"/>
    <w:rsid w:val="00C576CD"/>
    <w:rsid w:val="00C70F1B"/>
    <w:rsid w:val="00C71A47"/>
    <w:rsid w:val="00C7464C"/>
    <w:rsid w:val="00C7649F"/>
    <w:rsid w:val="00C850F0"/>
    <w:rsid w:val="00C85588"/>
    <w:rsid w:val="00C8685A"/>
    <w:rsid w:val="00CA13CA"/>
    <w:rsid w:val="00CA1E62"/>
    <w:rsid w:val="00CA52D9"/>
    <w:rsid w:val="00CB2B6B"/>
    <w:rsid w:val="00CC3EAF"/>
    <w:rsid w:val="00CD0A80"/>
    <w:rsid w:val="00CD3ED9"/>
    <w:rsid w:val="00CD6755"/>
    <w:rsid w:val="00CD6856"/>
    <w:rsid w:val="00CE0089"/>
    <w:rsid w:val="00CE4692"/>
    <w:rsid w:val="00CE5611"/>
    <w:rsid w:val="00CE793C"/>
    <w:rsid w:val="00CF02E3"/>
    <w:rsid w:val="00CF1349"/>
    <w:rsid w:val="00CF193C"/>
    <w:rsid w:val="00D01815"/>
    <w:rsid w:val="00D01EAB"/>
    <w:rsid w:val="00D050C0"/>
    <w:rsid w:val="00D168F9"/>
    <w:rsid w:val="00D173F1"/>
    <w:rsid w:val="00D21012"/>
    <w:rsid w:val="00D2688E"/>
    <w:rsid w:val="00D50A01"/>
    <w:rsid w:val="00D52DFB"/>
    <w:rsid w:val="00D54E33"/>
    <w:rsid w:val="00D63B45"/>
    <w:rsid w:val="00D67543"/>
    <w:rsid w:val="00D72075"/>
    <w:rsid w:val="00D73248"/>
    <w:rsid w:val="00D74CB0"/>
    <w:rsid w:val="00D82810"/>
    <w:rsid w:val="00D8295D"/>
    <w:rsid w:val="00D96DFD"/>
    <w:rsid w:val="00DA0070"/>
    <w:rsid w:val="00DB2D09"/>
    <w:rsid w:val="00DC20DC"/>
    <w:rsid w:val="00DC221A"/>
    <w:rsid w:val="00DC2A65"/>
    <w:rsid w:val="00DE15F0"/>
    <w:rsid w:val="00DE5663"/>
    <w:rsid w:val="00DE78AA"/>
    <w:rsid w:val="00DF6373"/>
    <w:rsid w:val="00DF709C"/>
    <w:rsid w:val="00E02BC2"/>
    <w:rsid w:val="00E053D0"/>
    <w:rsid w:val="00E10374"/>
    <w:rsid w:val="00E15994"/>
    <w:rsid w:val="00E21CFF"/>
    <w:rsid w:val="00E3114E"/>
    <w:rsid w:val="00E31A70"/>
    <w:rsid w:val="00E33AF3"/>
    <w:rsid w:val="00E35B02"/>
    <w:rsid w:val="00E40FE5"/>
    <w:rsid w:val="00E42838"/>
    <w:rsid w:val="00E455F6"/>
    <w:rsid w:val="00E474FB"/>
    <w:rsid w:val="00E543F0"/>
    <w:rsid w:val="00E637E5"/>
    <w:rsid w:val="00E64E8B"/>
    <w:rsid w:val="00E66496"/>
    <w:rsid w:val="00E66B35"/>
    <w:rsid w:val="00E66E10"/>
    <w:rsid w:val="00E72791"/>
    <w:rsid w:val="00E743E3"/>
    <w:rsid w:val="00E769F6"/>
    <w:rsid w:val="00E77A91"/>
    <w:rsid w:val="00E8407C"/>
    <w:rsid w:val="00E84F3C"/>
    <w:rsid w:val="00E86F83"/>
    <w:rsid w:val="00EA012C"/>
    <w:rsid w:val="00EA08D3"/>
    <w:rsid w:val="00EA11DB"/>
    <w:rsid w:val="00EA4853"/>
    <w:rsid w:val="00EB0FBA"/>
    <w:rsid w:val="00EB584F"/>
    <w:rsid w:val="00EB5DD6"/>
    <w:rsid w:val="00EC3D25"/>
    <w:rsid w:val="00EC6A55"/>
    <w:rsid w:val="00ED0288"/>
    <w:rsid w:val="00ED6CE3"/>
    <w:rsid w:val="00EE52CB"/>
    <w:rsid w:val="00EE6302"/>
    <w:rsid w:val="00EF581D"/>
    <w:rsid w:val="00EF7FD8"/>
    <w:rsid w:val="00F05099"/>
    <w:rsid w:val="00F06F59"/>
    <w:rsid w:val="00F13A2D"/>
    <w:rsid w:val="00F17988"/>
    <w:rsid w:val="00F22EE0"/>
    <w:rsid w:val="00F237DF"/>
    <w:rsid w:val="00F31077"/>
    <w:rsid w:val="00F43B35"/>
    <w:rsid w:val="00F469F0"/>
    <w:rsid w:val="00F53273"/>
    <w:rsid w:val="00F5553F"/>
    <w:rsid w:val="00F62254"/>
    <w:rsid w:val="00F66E15"/>
    <w:rsid w:val="00F673A1"/>
    <w:rsid w:val="00F719C0"/>
    <w:rsid w:val="00F755E4"/>
    <w:rsid w:val="00F77D02"/>
    <w:rsid w:val="00F77F4F"/>
    <w:rsid w:val="00F82647"/>
    <w:rsid w:val="00F97CBF"/>
    <w:rsid w:val="00FA7181"/>
    <w:rsid w:val="00FB3A86"/>
    <w:rsid w:val="00FD36C8"/>
    <w:rsid w:val="00FE0A8D"/>
    <w:rsid w:val="00FF16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5C40EB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DB2D09"/>
    <w:rPr>
      <w:rFonts w:ascii="Calibri" w:eastAsia="Calibri" w:hAnsi="Calibri"/>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71B47"/>
    <w:rPr>
      <w:color w:val="605E5C"/>
      <w:shd w:val="clear" w:color="auto" w:fill="E1DFDD"/>
    </w:rPr>
  </w:style>
  <w:style w:type="paragraph" w:styleId="ListParagraph">
    <w:name w:val="List Paragraph"/>
    <w:basedOn w:val="Normal"/>
    <w:uiPriority w:val="34"/>
    <w:qFormat/>
    <w:rsid w:val="00671B47"/>
    <w:pPr>
      <w:ind w:left="720"/>
      <w:contextualSpacing/>
    </w:pPr>
  </w:style>
  <w:style w:type="paragraph" w:styleId="CommentSubject">
    <w:name w:val="annotation subject"/>
    <w:basedOn w:val="CommentText"/>
    <w:next w:val="CommentText"/>
    <w:link w:val="CommentSubjectChar"/>
    <w:semiHidden/>
    <w:unhideWhenUsed/>
    <w:rsid w:val="008A57EF"/>
    <w:rPr>
      <w:rFonts w:ascii="Helvetica" w:hAnsi="Helvetica"/>
      <w:b/>
      <w:bCs/>
      <w:lang w:val="en-US" w:eastAsia="en-US"/>
    </w:rPr>
  </w:style>
  <w:style w:type="character" w:customStyle="1" w:styleId="CommentSubjectChar">
    <w:name w:val="Comment Subject Char"/>
    <w:basedOn w:val="CommentTextChar"/>
    <w:link w:val="CommentSubject"/>
    <w:semiHidden/>
    <w:rsid w:val="008A57EF"/>
    <w:rPr>
      <w:rFonts w:ascii="Helvetica" w:hAnsi="Helvetica"/>
      <w:b/>
      <w:bCs/>
      <w:lang w:val="nb-NO" w:eastAsia="nb-NO"/>
    </w:rPr>
  </w:style>
  <w:style w:type="character" w:customStyle="1" w:styleId="jlqj4b">
    <w:name w:val="jlqj4b"/>
    <w:rsid w:val="008A57EF"/>
  </w:style>
  <w:style w:type="character" w:styleId="PlaceholderText">
    <w:name w:val="Placeholder Text"/>
    <w:basedOn w:val="DefaultParagraphFont"/>
    <w:uiPriority w:val="99"/>
    <w:semiHidden/>
    <w:rsid w:val="0047492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1451348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56024458">
      <w:bodyDiv w:val="1"/>
      <w:marLeft w:val="0"/>
      <w:marRight w:val="0"/>
      <w:marTop w:val="0"/>
      <w:marBottom w:val="0"/>
      <w:divBdr>
        <w:top w:val="none" w:sz="0" w:space="0" w:color="auto"/>
        <w:left w:val="none" w:sz="0" w:space="0" w:color="auto"/>
        <w:bottom w:val="none" w:sz="0" w:space="0" w:color="auto"/>
        <w:right w:val="none" w:sz="0" w:space="0" w:color="auto"/>
      </w:divBdr>
    </w:div>
    <w:div w:id="56152113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79232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8783141">
      <w:bodyDiv w:val="1"/>
      <w:marLeft w:val="0"/>
      <w:marRight w:val="0"/>
      <w:marTop w:val="0"/>
      <w:marBottom w:val="0"/>
      <w:divBdr>
        <w:top w:val="none" w:sz="0" w:space="0" w:color="auto"/>
        <w:left w:val="none" w:sz="0" w:space="0" w:color="auto"/>
        <w:bottom w:val="none" w:sz="0" w:space="0" w:color="auto"/>
        <w:right w:val="none" w:sz="0" w:space="0" w:color="auto"/>
      </w:divBdr>
    </w:div>
    <w:div w:id="1491946635">
      <w:bodyDiv w:val="1"/>
      <w:marLeft w:val="0"/>
      <w:marRight w:val="0"/>
      <w:marTop w:val="0"/>
      <w:marBottom w:val="0"/>
      <w:divBdr>
        <w:top w:val="none" w:sz="0" w:space="0" w:color="auto"/>
        <w:left w:val="none" w:sz="0" w:space="0" w:color="auto"/>
        <w:bottom w:val="none" w:sz="0" w:space="0" w:color="auto"/>
        <w:right w:val="none" w:sz="0" w:space="0" w:color="auto"/>
      </w:divBdr>
    </w:div>
    <w:div w:id="15010452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93755443">
      <w:bodyDiv w:val="1"/>
      <w:marLeft w:val="0"/>
      <w:marRight w:val="0"/>
      <w:marTop w:val="0"/>
      <w:marBottom w:val="0"/>
      <w:divBdr>
        <w:top w:val="none" w:sz="0" w:space="0" w:color="auto"/>
        <w:left w:val="none" w:sz="0" w:space="0" w:color="auto"/>
        <w:bottom w:val="none" w:sz="0" w:space="0" w:color="auto"/>
        <w:right w:val="none" w:sz="0" w:space="0" w:color="auto"/>
      </w:divBdr>
    </w:div>
    <w:div w:id="201930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en.wikipedia.org/wiki/Census"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en.wikipedia.org/wiki/Climat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n.wikipedia.org/wiki/Eket_language"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n.wikipedia.org/wiki/Endonym" TargetMode="External"/><Relationship Id="rId20" Type="http://schemas.openxmlformats.org/officeDocument/2006/relationships/hyperlink" Target="https://en.wikipedia.org/wiki/Tropic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dx.doi.org/10.1016/j.atmosenv.08.034" TargetMode="External"/><Relationship Id="rId5" Type="http://schemas.openxmlformats.org/officeDocument/2006/relationships/webSettings" Target="webSettings.xml"/><Relationship Id="rId15" Type="http://schemas.openxmlformats.org/officeDocument/2006/relationships/hyperlink" Target="https://en.wikipedia.org/wiki/Ibibio_people" TargetMode="External"/><Relationship Id="rId23" Type="http://schemas.openxmlformats.org/officeDocument/2006/relationships/hyperlink" Target="https://en.climate-data.org/africa/nigeria/akwa-ibom/eket-363940/"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n.wikipedia.org/wiki/Nigeria" TargetMode="External"/><Relationship Id="rId22" Type="http://schemas.openxmlformats.org/officeDocument/2006/relationships/hyperlink" Target="https://doi.org/10.3390/su16020812" TargetMode="External"/><Relationship Id="rId27" Type="http://schemas.openxmlformats.org/officeDocument/2006/relationships/footer" Target="foot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4FDD0-E091-48CD-A3B5-4B9772C6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155</TotalTime>
  <Pages>6</Pages>
  <Words>2867</Words>
  <Characters>16345</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19174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65</cp:revision>
  <cp:lastPrinted>1999-07-06T11:00:00Z</cp:lastPrinted>
  <dcterms:created xsi:type="dcterms:W3CDTF">2025-07-23T15:33:00Z</dcterms:created>
  <dcterms:modified xsi:type="dcterms:W3CDTF">2025-09-19T06:42:00Z</dcterms:modified>
</cp:coreProperties>
</file>