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C1D3" w14:textId="77777777" w:rsidR="00754C9A" w:rsidRDefault="00754C9A" w:rsidP="00441B6F">
      <w:pPr>
        <w:pStyle w:val="Title"/>
        <w:spacing w:after="0"/>
        <w:jc w:val="both"/>
        <w:rPr>
          <w:rFonts w:ascii="Arial" w:hAnsi="Arial" w:cs="Arial"/>
        </w:rPr>
      </w:pPr>
    </w:p>
    <w:p w14:paraId="00AFBB8A" w14:textId="4B42C937" w:rsidR="003F5CED" w:rsidRPr="005927C6" w:rsidRDefault="003F5CED" w:rsidP="00A73D17">
      <w:pPr>
        <w:jc w:val="right"/>
        <w:rPr>
          <w:rFonts w:ascii="Arial" w:hAnsi="Arial" w:cs="Arial"/>
          <w:sz w:val="36"/>
          <w:szCs w:val="36"/>
        </w:rPr>
      </w:pPr>
      <w:r w:rsidRPr="005927C6">
        <w:rPr>
          <w:rFonts w:ascii="Arial" w:hAnsi="Arial" w:cs="Arial"/>
          <w:b/>
          <w:bCs/>
          <w:sz w:val="36"/>
          <w:szCs w:val="36"/>
        </w:rPr>
        <w:t xml:space="preserve">Temperature, Field Protection, and Bioplastic </w:t>
      </w:r>
      <w:r w:rsidR="00C847E1" w:rsidRPr="00C847E1">
        <w:rPr>
          <w:rFonts w:ascii="Arial" w:hAnsi="Arial" w:cs="Arial"/>
          <w:b/>
          <w:bCs/>
          <w:sz w:val="36"/>
          <w:szCs w:val="36"/>
        </w:rPr>
        <w:t>Biopesticide</w:t>
      </w:r>
      <w:r w:rsidR="00C847E1">
        <w:rPr>
          <w:rFonts w:ascii="Arial" w:hAnsi="Arial" w:cs="Arial"/>
          <w:b/>
          <w:bCs/>
          <w:sz w:val="36"/>
          <w:szCs w:val="36"/>
        </w:rPr>
        <w:t xml:space="preserve"> </w:t>
      </w:r>
      <w:r w:rsidRPr="005927C6">
        <w:rPr>
          <w:rFonts w:ascii="Arial" w:hAnsi="Arial" w:cs="Arial"/>
          <w:b/>
          <w:bCs/>
          <w:sz w:val="36"/>
          <w:szCs w:val="36"/>
        </w:rPr>
        <w:t>Treatments Shape Mango Postharvest Disease Dynamics: An Integrated Univariate and Multivariate Analysis</w:t>
      </w:r>
    </w:p>
    <w:p w14:paraId="6E7A33CE" w14:textId="77777777" w:rsidR="00790ADA" w:rsidRPr="00BA3979" w:rsidRDefault="00790ADA" w:rsidP="005927C6">
      <w:pPr>
        <w:pStyle w:val="Affiliation"/>
        <w:spacing w:after="0" w:line="240" w:lineRule="auto"/>
        <w:jc w:val="both"/>
        <w:rPr>
          <w:rFonts w:ascii="Arial" w:hAnsi="Arial" w:cs="Arial"/>
        </w:rPr>
      </w:pPr>
    </w:p>
    <w:p w14:paraId="6122582D" w14:textId="77777777" w:rsidR="002C57D2" w:rsidRPr="00BA3979" w:rsidRDefault="002C57D2" w:rsidP="005927C6">
      <w:pPr>
        <w:pStyle w:val="Affiliation"/>
        <w:spacing w:after="0" w:line="240" w:lineRule="auto"/>
        <w:jc w:val="both"/>
        <w:rPr>
          <w:rFonts w:ascii="Arial" w:hAnsi="Arial" w:cs="Arial"/>
        </w:rPr>
      </w:pPr>
    </w:p>
    <w:p w14:paraId="7D9D9760" w14:textId="366EBE7D" w:rsidR="00B01FCD" w:rsidRPr="005927C6" w:rsidRDefault="00313908" w:rsidP="005927C6">
      <w:pPr>
        <w:pStyle w:val="Copyright"/>
        <w:spacing w:after="0" w:line="240" w:lineRule="auto"/>
        <w:jc w:val="both"/>
        <w:rPr>
          <w:rFonts w:ascii="Arial" w:hAnsi="Arial" w:cs="Arial"/>
        </w:rPr>
        <w:sectPr w:rsidR="00B01FCD" w:rsidRPr="005927C6" w:rsidSect="00B06C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927C6">
        <w:rPr>
          <w:rFonts w:ascii="Arial" w:hAnsi="Arial" w:cs="Arial"/>
          <w:noProof/>
        </w:rPr>
        <mc:AlternateContent>
          <mc:Choice Requires="wps">
            <w:drawing>
              <wp:inline distT="0" distB="0" distL="0" distR="0" wp14:anchorId="1459AA29" wp14:editId="29477C0D">
                <wp:extent cx="5303520" cy="635"/>
                <wp:effectExtent l="13335" t="13335" r="17145" b="15240"/>
                <wp:docPr id="11564727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82B4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927C6">
        <w:rPr>
          <w:rFonts w:ascii="Arial" w:hAnsi="Arial" w:cs="Arial"/>
        </w:rPr>
        <w:t>.</w:t>
      </w:r>
    </w:p>
    <w:p w14:paraId="21C546B2" w14:textId="6A7A086A" w:rsidR="00B01FCD" w:rsidRPr="005927C6" w:rsidRDefault="00B01FCD" w:rsidP="005927C6">
      <w:pPr>
        <w:pStyle w:val="AbstHead"/>
        <w:spacing w:after="0"/>
        <w:jc w:val="both"/>
        <w:rPr>
          <w:rFonts w:ascii="Arial" w:hAnsi="Arial" w:cs="Arial"/>
        </w:rPr>
      </w:pPr>
      <w:r w:rsidRPr="005927C6">
        <w:rPr>
          <w:rFonts w:ascii="Arial" w:hAnsi="Arial" w:cs="Arial"/>
        </w:rPr>
        <w:t>ABSTRACT</w:t>
      </w:r>
      <w:r w:rsidR="0066510A" w:rsidRPr="005927C6">
        <w:rPr>
          <w:rFonts w:ascii="Arial" w:hAnsi="Arial" w:cs="Arial"/>
        </w:rPr>
        <w:t xml:space="preserve"> </w:t>
      </w:r>
    </w:p>
    <w:p w14:paraId="2835E837" w14:textId="77777777" w:rsidR="00790ADA" w:rsidRPr="005927C6" w:rsidRDefault="00790ADA" w:rsidP="005927C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927C6" w14:paraId="176CB58A" w14:textId="77777777" w:rsidTr="001E44FE">
        <w:tc>
          <w:tcPr>
            <w:tcW w:w="9576" w:type="dxa"/>
            <w:shd w:val="clear" w:color="auto" w:fill="F2F2F2"/>
          </w:tcPr>
          <w:p w14:paraId="46092FC6" w14:textId="77777777" w:rsidR="00E3114E" w:rsidRPr="005927C6" w:rsidRDefault="00E3114E" w:rsidP="005927C6">
            <w:pPr>
              <w:pStyle w:val="Body"/>
              <w:spacing w:after="0"/>
              <w:rPr>
                <w:rFonts w:ascii="Arial" w:eastAsia="Calibri" w:hAnsi="Arial" w:cs="Arial"/>
                <w:b/>
                <w:szCs w:val="22"/>
              </w:rPr>
            </w:pPr>
          </w:p>
          <w:p w14:paraId="172159E6" w14:textId="77777777" w:rsidR="003F5CED" w:rsidRPr="005927C6" w:rsidRDefault="003F5CED" w:rsidP="005927C6">
            <w:pPr>
              <w:jc w:val="both"/>
              <w:rPr>
                <w:rFonts w:ascii="Arial" w:hAnsi="Arial" w:cs="Arial"/>
              </w:rPr>
            </w:pPr>
            <w:r w:rsidRPr="005927C6">
              <w:rPr>
                <w:rFonts w:ascii="Arial" w:hAnsi="Arial" w:cs="Arial"/>
                <w:b/>
                <w:bCs/>
              </w:rPr>
              <w:t>Aims:</w:t>
            </w:r>
            <w:r w:rsidRPr="005927C6">
              <w:rPr>
                <w:rFonts w:ascii="Arial" w:hAnsi="Arial" w:cs="Arial"/>
              </w:rPr>
              <w:t xml:space="preserve"> This study evaluated the effects of storage temperature, field protection, and postharvest treatments on mango disease severity and incidence.</w:t>
            </w:r>
          </w:p>
          <w:p w14:paraId="75829A07" w14:textId="77777777" w:rsidR="003F5CED" w:rsidRPr="005927C6" w:rsidRDefault="003F5CED" w:rsidP="005927C6">
            <w:pPr>
              <w:jc w:val="both"/>
              <w:rPr>
                <w:rFonts w:ascii="Arial" w:hAnsi="Arial" w:cs="Arial"/>
              </w:rPr>
            </w:pPr>
            <w:r w:rsidRPr="005927C6">
              <w:rPr>
                <w:rFonts w:ascii="Arial" w:hAnsi="Arial" w:cs="Arial"/>
                <w:b/>
                <w:bCs/>
              </w:rPr>
              <w:t>Study Design:</w:t>
            </w:r>
            <w:r w:rsidRPr="005927C6">
              <w:rPr>
                <w:rFonts w:ascii="Arial" w:hAnsi="Arial" w:cs="Arial"/>
              </w:rPr>
              <w:t xml:space="preserve"> A factorial experiment was conducted using three treatments: water (T0), bioplastic (T1), and a bio</w:t>
            </w:r>
            <w:r w:rsidRPr="005927C6">
              <w:rPr>
                <w:rFonts w:ascii="Arial" w:hAnsi="Arial" w:cs="Arial"/>
              </w:rPr>
              <w:noBreakHyphen/>
              <w:t>bactericide combining bioplastic and essential oils (T2). Two field histories were considered, namely fruits that had been protected in the orchard (B1) and fruits that had not been protected (B2). Storage was carried out at two contrasting temperatures, 8 °C and 30 °C. Disease severity, scored on a 0–9 scale and converted to percentages, and incidence, expressed as the percentage of infected fruits, were monitored weekly from S0 to S8.</w:t>
            </w:r>
          </w:p>
          <w:p w14:paraId="24741AAB" w14:textId="44CC3273" w:rsidR="00007E92" w:rsidRPr="00C368DC" w:rsidRDefault="003F5CED" w:rsidP="00C368DC">
            <w:pPr>
              <w:jc w:val="both"/>
              <w:rPr>
                <w:rFonts w:ascii="Arial" w:eastAsia="MS Mincho" w:hAnsi="Arial" w:cs="Arial"/>
                <w:lang w:val="en-GB"/>
              </w:rPr>
            </w:pPr>
            <w:r w:rsidRPr="005927C6">
              <w:rPr>
                <w:rFonts w:ascii="Arial" w:hAnsi="Arial" w:cs="Arial"/>
                <w:b/>
                <w:bCs/>
              </w:rPr>
              <w:t>Methodology</w:t>
            </w:r>
            <w:r w:rsidR="00007E92">
              <w:rPr>
                <w:rFonts w:ascii="Arial" w:hAnsi="Arial" w:cs="Arial"/>
                <w:b/>
                <w:bCs/>
              </w:rPr>
              <w:t xml:space="preserve">: </w:t>
            </w:r>
            <w:r w:rsidR="00C368DC" w:rsidRPr="00C368DC">
              <w:rPr>
                <w:rFonts w:ascii="Arial" w:hAnsi="Arial" w:cs="Arial"/>
                <w:highlight w:val="cyan"/>
              </w:rPr>
              <w:t>Lemongrass (</w:t>
            </w:r>
            <w:r w:rsidR="00C368DC" w:rsidRPr="00C368DC">
              <w:rPr>
                <w:rFonts w:ascii="Arial" w:hAnsi="Arial" w:cs="Arial"/>
                <w:i/>
                <w:iCs/>
                <w:highlight w:val="cyan"/>
              </w:rPr>
              <w:t xml:space="preserve">Cymbopogon </w:t>
            </w:r>
            <w:proofErr w:type="spellStart"/>
            <w:r w:rsidR="00C368DC" w:rsidRPr="00C368DC">
              <w:rPr>
                <w:rFonts w:ascii="Arial" w:hAnsi="Arial" w:cs="Arial"/>
                <w:i/>
                <w:iCs/>
                <w:highlight w:val="cyan"/>
              </w:rPr>
              <w:t>citratus</w:t>
            </w:r>
            <w:proofErr w:type="spellEnd"/>
            <w:r w:rsidR="00C368DC" w:rsidRPr="00C368DC">
              <w:rPr>
                <w:rFonts w:ascii="Arial" w:hAnsi="Arial" w:cs="Arial"/>
                <w:highlight w:val="cyan"/>
              </w:rPr>
              <w:t>) essential oil was extracted via steam distillation from plant material. Bioplastic matrices were synthesized from native potato starch. The essential oil was subsequently encapsulated within the bioplastic using mechanical agitation followed by extrusion processing to formulate the biopesticide</w:t>
            </w:r>
          </w:p>
          <w:p w14:paraId="2E5BF7B4" w14:textId="593369F1" w:rsidR="003F5CED" w:rsidRPr="005927C6" w:rsidRDefault="003F5CED" w:rsidP="005927C6">
            <w:pPr>
              <w:jc w:val="both"/>
              <w:rPr>
                <w:rFonts w:ascii="Arial" w:hAnsi="Arial" w:cs="Arial"/>
              </w:rPr>
            </w:pPr>
            <w:r w:rsidRPr="005927C6">
              <w:rPr>
                <w:rFonts w:ascii="Arial" w:hAnsi="Arial" w:cs="Arial"/>
              </w:rPr>
              <w:t>The data were analyzed using descriptive statistics, factorial ANOVA, and principal component analysis (PCA). Tables and figures were prepared to illustrate temporal dynamics and treatment effects.</w:t>
            </w:r>
          </w:p>
          <w:p w14:paraId="193A834B" w14:textId="0BB44360" w:rsidR="003F5CED" w:rsidRPr="005927C6" w:rsidRDefault="003F5CED" w:rsidP="005927C6">
            <w:pPr>
              <w:jc w:val="both"/>
              <w:rPr>
                <w:rFonts w:ascii="Arial" w:hAnsi="Arial" w:cs="Arial"/>
              </w:rPr>
            </w:pPr>
            <w:r w:rsidRPr="005927C6">
              <w:rPr>
                <w:rFonts w:ascii="Arial" w:hAnsi="Arial" w:cs="Arial"/>
                <w:b/>
                <w:bCs/>
              </w:rPr>
              <w:t>Results:</w:t>
            </w:r>
            <w:r w:rsidRPr="005927C6">
              <w:rPr>
                <w:rFonts w:ascii="Arial" w:hAnsi="Arial" w:cs="Arial"/>
              </w:rPr>
              <w:t xml:space="preserve"> At 8 °C, the bio</w:t>
            </w:r>
            <w:r w:rsidRPr="005927C6">
              <w:rPr>
                <w:rFonts w:ascii="Arial" w:hAnsi="Arial" w:cs="Arial"/>
              </w:rPr>
              <w:noBreakHyphen/>
              <w:t xml:space="preserve">bactericide (T2) almost completely suppressed disease in B1 and substantially reduced severity and incidence in B2. At 30 °C, </w:t>
            </w:r>
            <w:r w:rsidRPr="00BA3979">
              <w:rPr>
                <w:rFonts w:ascii="Arial" w:hAnsi="Arial" w:cs="Arial"/>
                <w:highlight w:val="cyan"/>
              </w:rPr>
              <w:t>T</w:t>
            </w:r>
            <w:r w:rsidR="00BA3979" w:rsidRPr="00BA3979">
              <w:rPr>
                <w:rFonts w:ascii="Arial" w:hAnsi="Arial" w:cs="Arial"/>
                <w:highlight w:val="cyan"/>
              </w:rPr>
              <w:t>2</w:t>
            </w:r>
            <w:r w:rsidRPr="005927C6">
              <w:rPr>
                <w:rFonts w:ascii="Arial" w:hAnsi="Arial" w:cs="Arial"/>
              </w:rPr>
              <w:t xml:space="preserve"> delayed symptom onset but did not prevent convergence to high severity and incidence by week 8. The bioplastic film alone (T1) was largely ineffective, showing patterns similar to the water control (T0). PCA separated treatments along PC1, which represented overall disease burden, and PC2, which represented the timing of onset, highlighting the strong influence of temperature and field protection.</w:t>
            </w:r>
          </w:p>
          <w:p w14:paraId="74CB91FC" w14:textId="77777777" w:rsidR="003F5CED" w:rsidRPr="005927C6" w:rsidRDefault="003F5CED" w:rsidP="005927C6">
            <w:pPr>
              <w:jc w:val="both"/>
              <w:rPr>
                <w:rFonts w:ascii="Arial" w:hAnsi="Arial" w:cs="Arial"/>
              </w:rPr>
            </w:pPr>
            <w:r w:rsidRPr="005927C6">
              <w:rPr>
                <w:rFonts w:ascii="Arial" w:hAnsi="Arial" w:cs="Arial"/>
                <w:b/>
                <w:bCs/>
              </w:rPr>
              <w:t>Conclusion:</w:t>
            </w:r>
            <w:r w:rsidRPr="005927C6">
              <w:rPr>
                <w:rFonts w:ascii="Arial" w:hAnsi="Arial" w:cs="Arial"/>
              </w:rPr>
              <w:t xml:space="preserve"> Bio</w:t>
            </w:r>
            <w:r w:rsidRPr="005927C6">
              <w:rPr>
                <w:rFonts w:ascii="Arial" w:hAnsi="Arial" w:cs="Arial"/>
              </w:rPr>
              <w:noBreakHyphen/>
              <w:t>bactericides are highly effective under cool storage, especially when combined with field protection, but under warm conditions they primarily delay disease progression. Cold storage therefore remains indispensable for reliable postharvest control.</w:t>
            </w:r>
          </w:p>
          <w:p w14:paraId="0B984C47" w14:textId="77777777" w:rsidR="003F5CED" w:rsidRPr="005927C6" w:rsidRDefault="003F5CED" w:rsidP="005927C6">
            <w:pPr>
              <w:pStyle w:val="Body"/>
              <w:spacing w:after="0"/>
              <w:rPr>
                <w:rFonts w:ascii="Arial" w:eastAsia="Calibri" w:hAnsi="Arial" w:cs="Arial"/>
                <w:b/>
                <w:szCs w:val="22"/>
              </w:rPr>
            </w:pPr>
          </w:p>
          <w:p w14:paraId="34937142" w14:textId="0AC12142" w:rsidR="00505F06" w:rsidRPr="005927C6" w:rsidRDefault="00505F06" w:rsidP="005927C6">
            <w:pPr>
              <w:pStyle w:val="Body"/>
              <w:spacing w:after="0"/>
              <w:rPr>
                <w:rFonts w:ascii="Arial" w:eastAsia="Calibri" w:hAnsi="Arial" w:cs="Arial"/>
                <w:szCs w:val="22"/>
              </w:rPr>
            </w:pPr>
          </w:p>
        </w:tc>
      </w:tr>
    </w:tbl>
    <w:p w14:paraId="407D2A54" w14:textId="77777777" w:rsidR="00636EB2" w:rsidRPr="005927C6" w:rsidRDefault="00636EB2" w:rsidP="005927C6">
      <w:pPr>
        <w:pStyle w:val="Body"/>
        <w:spacing w:after="0"/>
        <w:rPr>
          <w:rFonts w:ascii="Arial" w:hAnsi="Arial" w:cs="Arial"/>
          <w:i/>
        </w:rPr>
      </w:pPr>
    </w:p>
    <w:p w14:paraId="12197BCC" w14:textId="0E5B9F99" w:rsidR="008F37D4" w:rsidRPr="005927C6" w:rsidRDefault="008F37D4" w:rsidP="005927C6">
      <w:pPr>
        <w:jc w:val="both"/>
        <w:rPr>
          <w:rFonts w:ascii="Arial" w:hAnsi="Arial" w:cs="Arial"/>
          <w:i/>
          <w:iCs/>
        </w:rPr>
      </w:pPr>
      <w:r w:rsidRPr="005927C6">
        <w:rPr>
          <w:rFonts w:ascii="Arial" w:hAnsi="Arial" w:cs="Arial"/>
          <w:b/>
          <w:bCs/>
          <w:i/>
          <w:iCs/>
        </w:rPr>
        <w:t>Keywords:</w:t>
      </w:r>
      <w:r w:rsidRPr="005927C6">
        <w:rPr>
          <w:rFonts w:ascii="Arial" w:hAnsi="Arial" w:cs="Arial"/>
          <w:i/>
          <w:iCs/>
        </w:rPr>
        <w:t xml:space="preserve"> Mango, postharvest disease, severity, incidence, </w:t>
      </w:r>
      <w:r w:rsidRPr="009D4F9B">
        <w:rPr>
          <w:rFonts w:ascii="Arial" w:hAnsi="Arial" w:cs="Arial"/>
          <w:i/>
          <w:iCs/>
          <w:highlight w:val="cyan"/>
        </w:rPr>
        <w:t>bio</w:t>
      </w:r>
      <w:r w:rsidR="009D4F9B" w:rsidRPr="009D4F9B">
        <w:rPr>
          <w:rFonts w:ascii="Arial" w:hAnsi="Arial" w:cs="Arial"/>
          <w:i/>
          <w:iCs/>
          <w:highlight w:val="cyan"/>
        </w:rPr>
        <w:t>pesticides</w:t>
      </w:r>
      <w:r w:rsidRPr="009D4F9B">
        <w:rPr>
          <w:rFonts w:ascii="Arial" w:hAnsi="Arial" w:cs="Arial"/>
          <w:i/>
          <w:iCs/>
          <w:highlight w:val="cyan"/>
        </w:rPr>
        <w:t>,</w:t>
      </w:r>
      <w:r w:rsidRPr="005927C6">
        <w:rPr>
          <w:rFonts w:ascii="Arial" w:hAnsi="Arial" w:cs="Arial"/>
          <w:i/>
          <w:iCs/>
        </w:rPr>
        <w:t xml:space="preserve"> bioplastic, PCA, integrated management</w:t>
      </w:r>
    </w:p>
    <w:p w14:paraId="76AF0D02" w14:textId="77777777" w:rsidR="008F37D4" w:rsidRPr="005927C6" w:rsidRDefault="008F37D4" w:rsidP="005927C6">
      <w:pPr>
        <w:pStyle w:val="Body"/>
        <w:spacing w:after="0"/>
        <w:rPr>
          <w:rFonts w:ascii="Arial" w:eastAsia="Calibri" w:hAnsi="Arial" w:cs="Arial"/>
          <w:b/>
          <w:szCs w:val="22"/>
        </w:rPr>
      </w:pPr>
    </w:p>
    <w:p w14:paraId="175A8019" w14:textId="77777777" w:rsidR="00790ADA" w:rsidRPr="005927C6" w:rsidRDefault="00790ADA" w:rsidP="005927C6">
      <w:pPr>
        <w:pStyle w:val="Body"/>
        <w:spacing w:after="0"/>
        <w:rPr>
          <w:rFonts w:ascii="Arial" w:hAnsi="Arial" w:cs="Arial"/>
          <w:i/>
        </w:rPr>
      </w:pPr>
    </w:p>
    <w:p w14:paraId="0BA0FB11" w14:textId="588400B6" w:rsidR="00B52896" w:rsidRPr="005927C6" w:rsidRDefault="00B52896" w:rsidP="005927C6">
      <w:pPr>
        <w:pStyle w:val="Body"/>
        <w:spacing w:after="0"/>
        <w:rPr>
          <w:rFonts w:ascii="Arial" w:hAnsi="Arial" w:cs="Arial"/>
          <w:i/>
          <w:sz w:val="18"/>
        </w:rPr>
      </w:pPr>
    </w:p>
    <w:p w14:paraId="4B8D9DC9" w14:textId="53923DF3" w:rsidR="007F7B32" w:rsidRPr="005927C6" w:rsidRDefault="00902823" w:rsidP="005927C6">
      <w:pPr>
        <w:pStyle w:val="AbstHead"/>
        <w:spacing w:after="0"/>
        <w:jc w:val="both"/>
        <w:rPr>
          <w:rFonts w:ascii="Arial" w:hAnsi="Arial" w:cs="Arial"/>
        </w:rPr>
      </w:pPr>
      <w:r w:rsidRPr="005927C6">
        <w:rPr>
          <w:rFonts w:ascii="Arial" w:hAnsi="Arial" w:cs="Arial"/>
        </w:rPr>
        <w:t xml:space="preserve">1. </w:t>
      </w:r>
      <w:r w:rsidR="00B01FCD" w:rsidRPr="005927C6">
        <w:rPr>
          <w:rFonts w:ascii="Arial" w:hAnsi="Arial" w:cs="Arial"/>
        </w:rPr>
        <w:t>INTRODUCTION</w:t>
      </w:r>
      <w:r w:rsidR="007F7B32" w:rsidRPr="005927C6">
        <w:rPr>
          <w:rFonts w:ascii="Arial" w:hAnsi="Arial" w:cs="Arial"/>
        </w:rPr>
        <w:t xml:space="preserve"> </w:t>
      </w:r>
    </w:p>
    <w:p w14:paraId="12EAFFB0" w14:textId="77777777" w:rsidR="00790ADA" w:rsidRPr="005927C6" w:rsidRDefault="00790ADA" w:rsidP="005927C6">
      <w:pPr>
        <w:pStyle w:val="AbstHead"/>
        <w:spacing w:after="0"/>
        <w:jc w:val="both"/>
        <w:rPr>
          <w:rFonts w:ascii="Arial" w:hAnsi="Arial" w:cs="Arial"/>
        </w:rPr>
      </w:pPr>
    </w:p>
    <w:p w14:paraId="6F281B8E" w14:textId="10032635" w:rsidR="00742D18" w:rsidRPr="005927C6" w:rsidRDefault="00742D18" w:rsidP="005927C6">
      <w:pPr>
        <w:jc w:val="both"/>
        <w:rPr>
          <w:rFonts w:ascii="Arial" w:hAnsi="Arial" w:cs="Arial"/>
        </w:rPr>
      </w:pPr>
      <w:r w:rsidRPr="00742D18">
        <w:rPr>
          <w:rFonts w:ascii="Arial" w:hAnsi="Arial" w:cs="Arial"/>
        </w:rPr>
        <w:t>Mango (</w:t>
      </w:r>
      <w:r w:rsidRPr="00742D18">
        <w:rPr>
          <w:rFonts w:ascii="Arial" w:hAnsi="Arial" w:cs="Arial"/>
          <w:i/>
          <w:iCs/>
        </w:rPr>
        <w:t>Mangifera indica</w:t>
      </w:r>
      <w:r w:rsidRPr="00742D18">
        <w:rPr>
          <w:rFonts w:ascii="Arial" w:hAnsi="Arial" w:cs="Arial"/>
        </w:rPr>
        <w:t xml:space="preserve"> L.) is one of the most widely cultivated and commercially traded tropical fruits worldwide, with annual production exceeding 55 million tons </w:t>
      </w:r>
      <w:r w:rsidR="00147E8A">
        <w:rPr>
          <w:rFonts w:ascii="Arial" w:hAnsi="Arial" w:cs="Arial"/>
        </w:rPr>
        <w:t xml:space="preserve">1 </w:t>
      </w:r>
      <w:bookmarkStart w:id="0" w:name="_Hlk210642823"/>
      <w:r w:rsidRPr="00742D18">
        <w:rPr>
          <w:rFonts w:ascii="Arial" w:hAnsi="Arial" w:cs="Arial"/>
        </w:rPr>
        <w:t>(</w:t>
      </w:r>
      <w:r w:rsidR="0041649D">
        <w:rPr>
          <w:rFonts w:ascii="Arial" w:hAnsi="Arial" w:cs="Arial"/>
        </w:rPr>
        <w:t>Gidado</w:t>
      </w:r>
      <w:r w:rsidRPr="00742D18">
        <w:rPr>
          <w:rFonts w:ascii="Arial" w:hAnsi="Arial" w:cs="Arial"/>
        </w:rPr>
        <w:t xml:space="preserve"> et al., 2025). </w:t>
      </w:r>
      <w:bookmarkEnd w:id="0"/>
      <w:r w:rsidRPr="00742D18">
        <w:rPr>
          <w:rFonts w:ascii="Arial" w:hAnsi="Arial" w:cs="Arial"/>
        </w:rPr>
        <w:t xml:space="preserve">Its economic and nutritional value is considerable, but its preservation remains a major challenge due to its climacteric nature and high susceptibility to postharvest diseases, particularly anthracnose caused by </w:t>
      </w:r>
      <w:r w:rsidRPr="00742D18">
        <w:rPr>
          <w:rFonts w:ascii="Arial" w:hAnsi="Arial" w:cs="Arial"/>
          <w:i/>
          <w:iCs/>
        </w:rPr>
        <w:t xml:space="preserve">Colletotrichum </w:t>
      </w:r>
      <w:proofErr w:type="spellStart"/>
      <w:r w:rsidRPr="00742D18">
        <w:rPr>
          <w:rFonts w:ascii="Arial" w:hAnsi="Arial" w:cs="Arial"/>
          <w:i/>
          <w:iCs/>
        </w:rPr>
        <w:t>gloeosporioides</w:t>
      </w:r>
      <w:proofErr w:type="spellEnd"/>
      <w:r w:rsidRPr="00742D18">
        <w:rPr>
          <w:rFonts w:ascii="Arial" w:hAnsi="Arial" w:cs="Arial"/>
        </w:rPr>
        <w:t xml:space="preserve"> (</w:t>
      </w:r>
      <w:bookmarkStart w:id="1" w:name="_Hlk211187433"/>
      <w:proofErr w:type="spellStart"/>
      <w:r w:rsidR="0041649D">
        <w:rPr>
          <w:rFonts w:ascii="Arial" w:hAnsi="Arial" w:cs="Arial"/>
        </w:rPr>
        <w:t>Fayera</w:t>
      </w:r>
      <w:proofErr w:type="spellEnd"/>
      <w:r w:rsidR="0041649D">
        <w:rPr>
          <w:rFonts w:ascii="Arial" w:hAnsi="Arial" w:cs="Arial"/>
        </w:rPr>
        <w:t xml:space="preserve"> et </w:t>
      </w:r>
      <w:proofErr w:type="spellStart"/>
      <w:r w:rsidR="0041649D">
        <w:rPr>
          <w:rFonts w:ascii="Arial" w:hAnsi="Arial" w:cs="Arial"/>
        </w:rPr>
        <w:t>abdo</w:t>
      </w:r>
      <w:proofErr w:type="spellEnd"/>
      <w:r w:rsidRPr="00742D18">
        <w:rPr>
          <w:rFonts w:ascii="Arial" w:hAnsi="Arial" w:cs="Arial"/>
        </w:rPr>
        <w:t>, 2022</w:t>
      </w:r>
      <w:bookmarkEnd w:id="1"/>
      <w:r w:rsidRPr="00742D18">
        <w:rPr>
          <w:rFonts w:ascii="Arial" w:hAnsi="Arial" w:cs="Arial"/>
        </w:rPr>
        <w:t xml:space="preserve">). These pathogens, combined </w:t>
      </w:r>
      <w:r w:rsidRPr="00742D18">
        <w:rPr>
          <w:rFonts w:ascii="Arial" w:hAnsi="Arial" w:cs="Arial"/>
        </w:rPr>
        <w:lastRenderedPageBreak/>
        <w:t>with unfavorable storage conditions, lead to postharvest losses estimated between 25% and 40% in many producing countries (</w:t>
      </w:r>
      <w:bookmarkStart w:id="2" w:name="_Hlk211187465"/>
      <w:r w:rsidR="00C60827">
        <w:rPr>
          <w:rFonts w:ascii="Arial" w:hAnsi="Arial" w:cs="Arial"/>
        </w:rPr>
        <w:t>Nakahara</w:t>
      </w:r>
      <w:r w:rsidRPr="00742D18">
        <w:rPr>
          <w:rFonts w:ascii="Arial" w:hAnsi="Arial" w:cs="Arial"/>
        </w:rPr>
        <w:t xml:space="preserve"> et al., 20</w:t>
      </w:r>
      <w:r w:rsidR="00C60827">
        <w:rPr>
          <w:rFonts w:ascii="Arial" w:hAnsi="Arial" w:cs="Arial"/>
        </w:rPr>
        <w:t>13</w:t>
      </w:r>
      <w:bookmarkEnd w:id="2"/>
      <w:r w:rsidRPr="00742D18">
        <w:rPr>
          <w:rFonts w:ascii="Arial" w:hAnsi="Arial" w:cs="Arial"/>
        </w:rPr>
        <w:t>).</w:t>
      </w:r>
    </w:p>
    <w:p w14:paraId="6148B30A" w14:textId="77777777" w:rsidR="00742D18" w:rsidRPr="00742D18" w:rsidRDefault="00742D18" w:rsidP="005927C6">
      <w:pPr>
        <w:jc w:val="both"/>
        <w:rPr>
          <w:rFonts w:ascii="Arial" w:hAnsi="Arial" w:cs="Arial"/>
        </w:rPr>
      </w:pPr>
    </w:p>
    <w:p w14:paraId="70B5FD9C" w14:textId="0B247E87" w:rsidR="00742D18" w:rsidRPr="005927C6" w:rsidRDefault="00742D18" w:rsidP="005927C6">
      <w:pPr>
        <w:jc w:val="both"/>
        <w:rPr>
          <w:rFonts w:ascii="Arial" w:hAnsi="Arial" w:cs="Arial"/>
        </w:rPr>
      </w:pPr>
      <w:r w:rsidRPr="00742D18">
        <w:rPr>
          <w:rFonts w:ascii="Arial" w:hAnsi="Arial" w:cs="Arial"/>
        </w:rPr>
        <w:t>Conventional control methods rely on synthetic fungicides and chemical waxes. While these approaches are effective, they raise growing concerns regarding chemical residues, pathogen resistance, and environmental impact (</w:t>
      </w:r>
      <w:bookmarkStart w:id="3" w:name="_Hlk211187491"/>
      <w:r w:rsidRPr="00742D18">
        <w:rPr>
          <w:rFonts w:ascii="Arial" w:hAnsi="Arial" w:cs="Arial"/>
        </w:rPr>
        <w:t>N</w:t>
      </w:r>
      <w:r w:rsidR="00C60827">
        <w:rPr>
          <w:rFonts w:ascii="Arial" w:hAnsi="Arial" w:cs="Arial"/>
        </w:rPr>
        <w:t>ga et Bac</w:t>
      </w:r>
      <w:r w:rsidRPr="00742D18">
        <w:rPr>
          <w:rFonts w:ascii="Arial" w:hAnsi="Arial" w:cs="Arial"/>
        </w:rPr>
        <w:t>, 202</w:t>
      </w:r>
      <w:r w:rsidR="00C60827">
        <w:rPr>
          <w:rFonts w:ascii="Arial" w:hAnsi="Arial" w:cs="Arial"/>
        </w:rPr>
        <w:t>1</w:t>
      </w:r>
      <w:r w:rsidRPr="00742D18">
        <w:rPr>
          <w:rFonts w:ascii="Arial" w:hAnsi="Arial" w:cs="Arial"/>
        </w:rPr>
        <w:t xml:space="preserve">). </w:t>
      </w:r>
      <w:bookmarkEnd w:id="3"/>
      <w:r w:rsidRPr="00742D18">
        <w:rPr>
          <w:rFonts w:ascii="Arial" w:hAnsi="Arial" w:cs="Arial"/>
        </w:rPr>
        <w:t>In this context, natural and sustainable alternatives</w:t>
      </w:r>
      <w:r w:rsidRPr="005927C6">
        <w:rPr>
          <w:rFonts w:ascii="Arial" w:hAnsi="Arial" w:cs="Arial"/>
        </w:rPr>
        <w:t xml:space="preserve">, </w:t>
      </w:r>
      <w:r w:rsidRPr="00742D18">
        <w:rPr>
          <w:rFonts w:ascii="Arial" w:hAnsi="Arial" w:cs="Arial"/>
        </w:rPr>
        <w:t>such as edible coatings based on biopolymers and the incorporation of essential oils</w:t>
      </w:r>
      <w:r w:rsidRPr="005927C6">
        <w:rPr>
          <w:rFonts w:ascii="Arial" w:hAnsi="Arial" w:cs="Arial"/>
        </w:rPr>
        <w:t xml:space="preserve">, </w:t>
      </w:r>
      <w:r w:rsidRPr="00742D18">
        <w:rPr>
          <w:rFonts w:ascii="Arial" w:hAnsi="Arial" w:cs="Arial"/>
        </w:rPr>
        <w:t>are emerging as promising solutions. Bioplastics derived from starch, for example, offer a semi-permeable barrier that regulates gas exchange and limits water loss, while essential oils such as citronella (</w:t>
      </w:r>
      <w:r w:rsidRPr="00742D18">
        <w:rPr>
          <w:rFonts w:ascii="Arial" w:hAnsi="Arial" w:cs="Arial"/>
          <w:i/>
          <w:iCs/>
        </w:rPr>
        <w:t xml:space="preserve">Cymbopogon </w:t>
      </w:r>
      <w:proofErr w:type="spellStart"/>
      <w:r w:rsidRPr="00742D18">
        <w:rPr>
          <w:rFonts w:ascii="Arial" w:hAnsi="Arial" w:cs="Arial"/>
          <w:i/>
          <w:iCs/>
        </w:rPr>
        <w:t>citratus</w:t>
      </w:r>
      <w:proofErr w:type="spellEnd"/>
      <w:r w:rsidRPr="00742D18">
        <w:rPr>
          <w:rFonts w:ascii="Arial" w:hAnsi="Arial" w:cs="Arial"/>
        </w:rPr>
        <w:t>) have demonstrated antifungal and antibacterial properties (</w:t>
      </w:r>
      <w:bookmarkStart w:id="4" w:name="_Hlk211187520"/>
      <w:r w:rsidR="00C60827">
        <w:rPr>
          <w:rFonts w:ascii="Arial" w:hAnsi="Arial" w:cs="Arial"/>
        </w:rPr>
        <w:t>He</w:t>
      </w:r>
      <w:r w:rsidRPr="00742D18">
        <w:rPr>
          <w:rFonts w:ascii="Arial" w:hAnsi="Arial" w:cs="Arial"/>
        </w:rPr>
        <w:t xml:space="preserve"> et al., 2025</w:t>
      </w:r>
      <w:bookmarkEnd w:id="4"/>
      <w:r w:rsidRPr="00742D18">
        <w:rPr>
          <w:rFonts w:ascii="Arial" w:hAnsi="Arial" w:cs="Arial"/>
        </w:rPr>
        <w:t>).</w:t>
      </w:r>
    </w:p>
    <w:p w14:paraId="330CA21D" w14:textId="77777777" w:rsidR="00742D18" w:rsidRPr="00742D18" w:rsidRDefault="00742D18" w:rsidP="005927C6">
      <w:pPr>
        <w:jc w:val="both"/>
        <w:rPr>
          <w:rFonts w:ascii="Arial" w:hAnsi="Arial" w:cs="Arial"/>
        </w:rPr>
      </w:pPr>
    </w:p>
    <w:p w14:paraId="7F7BC256" w14:textId="2770684E" w:rsidR="00742D18" w:rsidRPr="005927C6" w:rsidRDefault="00742D18" w:rsidP="005927C6">
      <w:pPr>
        <w:jc w:val="both"/>
        <w:rPr>
          <w:rFonts w:ascii="Arial" w:hAnsi="Arial" w:cs="Arial"/>
        </w:rPr>
      </w:pPr>
      <w:r w:rsidRPr="00742D18">
        <w:rPr>
          <w:rFonts w:ascii="Arial" w:hAnsi="Arial" w:cs="Arial"/>
        </w:rPr>
        <w:t>In parallel, integrated field management</w:t>
      </w:r>
      <w:r w:rsidRPr="005927C6">
        <w:rPr>
          <w:rFonts w:ascii="Arial" w:hAnsi="Arial" w:cs="Arial"/>
        </w:rPr>
        <w:t xml:space="preserve">, </w:t>
      </w:r>
      <w:r w:rsidRPr="00742D18">
        <w:rPr>
          <w:rFonts w:ascii="Arial" w:hAnsi="Arial" w:cs="Arial"/>
        </w:rPr>
        <w:t>including control of fruit flies and bacterial diseases—plays a critical role in reducing the initial inoculum. The effectiveness of postharvest treatments therefore depends strongly on their combination with appropriate cultural practices and optimal storage conditions, particularly refrigeration (</w:t>
      </w:r>
      <w:r w:rsidR="00C60827">
        <w:rPr>
          <w:rFonts w:ascii="Arial" w:hAnsi="Arial" w:cs="Arial"/>
        </w:rPr>
        <w:t>Gidado</w:t>
      </w:r>
      <w:r w:rsidRPr="00742D18">
        <w:rPr>
          <w:rFonts w:ascii="Arial" w:hAnsi="Arial" w:cs="Arial"/>
        </w:rPr>
        <w:t xml:space="preserve"> et al., 2025). </w:t>
      </w:r>
    </w:p>
    <w:p w14:paraId="01EEBFBE" w14:textId="77777777" w:rsidR="00742D18" w:rsidRPr="005927C6" w:rsidRDefault="00742D18" w:rsidP="005927C6">
      <w:pPr>
        <w:jc w:val="both"/>
        <w:rPr>
          <w:rFonts w:ascii="Arial" w:hAnsi="Arial" w:cs="Arial"/>
        </w:rPr>
      </w:pPr>
    </w:p>
    <w:p w14:paraId="10CF4096" w14:textId="1216BB44" w:rsidR="00742D18" w:rsidRPr="00742D18" w:rsidRDefault="00C60827" w:rsidP="005927C6">
      <w:pPr>
        <w:jc w:val="both"/>
        <w:rPr>
          <w:rFonts w:ascii="Arial" w:hAnsi="Arial" w:cs="Arial"/>
        </w:rPr>
      </w:pPr>
      <w:r>
        <w:rPr>
          <w:rFonts w:ascii="Arial" w:hAnsi="Arial" w:cs="Arial"/>
        </w:rPr>
        <w:t>T</w:t>
      </w:r>
      <w:r w:rsidR="00742D18" w:rsidRPr="00742D18">
        <w:rPr>
          <w:rFonts w:ascii="Arial" w:hAnsi="Arial" w:cs="Arial"/>
        </w:rPr>
        <w:t>he objective of this study is to evaluate the combined effect of field management, bioplastic coatings, and storage conditions on the severity and incidence of postharvest mango diseases.</w:t>
      </w:r>
    </w:p>
    <w:p w14:paraId="2937F19C" w14:textId="77777777" w:rsidR="00790ADA" w:rsidRPr="005927C6" w:rsidRDefault="00790ADA" w:rsidP="005927C6">
      <w:pPr>
        <w:pStyle w:val="Body"/>
        <w:spacing w:after="0"/>
        <w:rPr>
          <w:rFonts w:ascii="Arial" w:hAnsi="Arial" w:cs="Arial"/>
        </w:rPr>
      </w:pPr>
    </w:p>
    <w:p w14:paraId="53D4DDC3" w14:textId="77777777" w:rsidR="00742D18" w:rsidRPr="005927C6" w:rsidRDefault="00742D18" w:rsidP="005927C6">
      <w:pPr>
        <w:pStyle w:val="Body"/>
        <w:spacing w:after="0"/>
        <w:rPr>
          <w:rFonts w:ascii="Arial" w:hAnsi="Arial" w:cs="Arial"/>
        </w:rPr>
      </w:pPr>
    </w:p>
    <w:p w14:paraId="7DD7CAC7" w14:textId="43E364BF" w:rsidR="004010C2" w:rsidRPr="005927C6" w:rsidRDefault="00902823" w:rsidP="005927C6">
      <w:pPr>
        <w:pStyle w:val="AbstHead"/>
        <w:spacing w:after="0"/>
        <w:jc w:val="both"/>
        <w:rPr>
          <w:rFonts w:ascii="Arial" w:hAnsi="Arial" w:cs="Arial"/>
        </w:rPr>
      </w:pPr>
      <w:r w:rsidRPr="00F24768">
        <w:rPr>
          <w:rFonts w:ascii="Arial" w:hAnsi="Arial" w:cs="Arial"/>
        </w:rPr>
        <w:t xml:space="preserve">2. </w:t>
      </w:r>
      <w:r w:rsidR="006B57D0" w:rsidRPr="00F24768">
        <w:rPr>
          <w:rFonts w:ascii="Arial" w:hAnsi="Arial" w:cs="Arial"/>
        </w:rPr>
        <w:t>methodology</w:t>
      </w:r>
      <w:r w:rsidR="007F7B32" w:rsidRPr="005927C6">
        <w:rPr>
          <w:rFonts w:ascii="Arial" w:hAnsi="Arial" w:cs="Arial"/>
        </w:rPr>
        <w:t xml:space="preserve"> </w:t>
      </w:r>
    </w:p>
    <w:p w14:paraId="02A2954A" w14:textId="77777777" w:rsidR="004010C2" w:rsidRPr="005927C6" w:rsidRDefault="004010C2" w:rsidP="005927C6">
      <w:pPr>
        <w:jc w:val="both"/>
        <w:rPr>
          <w:rFonts w:ascii="Arial" w:hAnsi="Arial" w:cs="Arial"/>
        </w:rPr>
      </w:pPr>
    </w:p>
    <w:p w14:paraId="3668965F" w14:textId="65BE6184" w:rsidR="004010C2" w:rsidRPr="005927C6" w:rsidRDefault="004010C2" w:rsidP="005927C6">
      <w:pPr>
        <w:jc w:val="both"/>
        <w:rPr>
          <w:rFonts w:ascii="Arial" w:hAnsi="Arial" w:cs="Arial"/>
          <w:b/>
          <w:bCs/>
          <w:sz w:val="22"/>
          <w:szCs w:val="22"/>
        </w:rPr>
      </w:pPr>
      <w:r w:rsidRPr="005927C6">
        <w:rPr>
          <w:rFonts w:ascii="Arial" w:hAnsi="Arial" w:cs="Arial"/>
          <w:b/>
          <w:bCs/>
          <w:sz w:val="22"/>
          <w:szCs w:val="22"/>
        </w:rPr>
        <w:t>2.1 Bio-bactericide Production</w:t>
      </w:r>
    </w:p>
    <w:p w14:paraId="7EBCB539" w14:textId="77777777" w:rsidR="009C4A73" w:rsidRPr="005927C6" w:rsidRDefault="009C4A73" w:rsidP="005927C6">
      <w:pPr>
        <w:jc w:val="both"/>
        <w:rPr>
          <w:rFonts w:ascii="Arial" w:hAnsi="Arial" w:cs="Arial"/>
          <w:b/>
          <w:bCs/>
          <w:sz w:val="22"/>
          <w:szCs w:val="22"/>
        </w:rPr>
      </w:pPr>
    </w:p>
    <w:p w14:paraId="6FAABE6B" w14:textId="4565B022" w:rsidR="0055183A" w:rsidRPr="0055183A" w:rsidRDefault="004010C2" w:rsidP="0055183A">
      <w:r w:rsidRPr="00E5751C">
        <w:rPr>
          <w:rFonts w:ascii="Arial" w:hAnsi="Arial" w:cs="Arial"/>
        </w:rPr>
        <w:t xml:space="preserve">The essential oil of lemongrass was extracted by steam distillation from plant material collected across five regions of Mali. The yield was evaluated, and the minimum inhibitory concentration (MIC) was determined following the methods described by Aktar et al. (2008) </w:t>
      </w:r>
      <w:r w:rsidR="0055183A" w:rsidRPr="00E5751C">
        <w:t xml:space="preserve">Adhikary et al., 2025; </w:t>
      </w:r>
      <w:r w:rsidR="008071FA" w:rsidRPr="008071FA">
        <w:rPr>
          <w:rFonts w:ascii="Arial" w:hAnsi="Arial" w:cs="Arial"/>
          <w:color w:val="000000"/>
        </w:rPr>
        <w:t>Majewska</w:t>
      </w:r>
      <w:r w:rsidR="0055183A" w:rsidRPr="008071FA">
        <w:t xml:space="preserve"> e</w:t>
      </w:r>
      <w:r w:rsidR="0055183A" w:rsidRPr="00E5751C">
        <w:t>t al., 20</w:t>
      </w:r>
      <w:r w:rsidR="008071FA">
        <w:t>19</w:t>
      </w:r>
      <w:r w:rsidR="0055183A" w:rsidRPr="00E5751C">
        <w:t> ; Mukarram, et al., 2022)</w:t>
      </w:r>
      <w:r w:rsidRPr="00E5751C">
        <w:rPr>
          <w:rFonts w:ascii="Arial" w:hAnsi="Arial" w:cs="Arial"/>
        </w:rPr>
        <w:t>.</w:t>
      </w:r>
      <w:r w:rsidR="009C4A73" w:rsidRPr="00E5751C">
        <w:rPr>
          <w:rFonts w:ascii="Arial" w:hAnsi="Arial" w:cs="Arial"/>
        </w:rPr>
        <w:t xml:space="preserve"> </w:t>
      </w:r>
      <w:r w:rsidRPr="00E5751C">
        <w:rPr>
          <w:rFonts w:ascii="Arial" w:hAnsi="Arial" w:cs="Arial"/>
        </w:rPr>
        <w:t>Bioplastic was produced from potato starch according to the protocol outlined by Keshav (2016)</w:t>
      </w:r>
      <w:r w:rsidR="0055183A" w:rsidRPr="00E5751C">
        <w:rPr>
          <w:rFonts w:ascii="Arial" w:hAnsi="Arial" w:cs="Arial"/>
        </w:rPr>
        <w:t xml:space="preserve">; </w:t>
      </w:r>
      <w:r w:rsidR="008071FA">
        <w:t>Singh</w:t>
      </w:r>
      <w:r w:rsidR="0055183A" w:rsidRPr="00E5751C">
        <w:t xml:space="preserve"> et al., 202</w:t>
      </w:r>
      <w:r w:rsidR="008071FA">
        <w:t>5</w:t>
      </w:r>
      <w:r w:rsidR="0055183A" w:rsidRPr="00E5751C">
        <w:t>; Choubey et al., 2023)</w:t>
      </w:r>
      <w:r w:rsidRPr="00E5751C">
        <w:rPr>
          <w:rFonts w:ascii="Arial" w:hAnsi="Arial" w:cs="Arial"/>
        </w:rPr>
        <w:t>, with the addition of 1% glycerol to impart plastic properties. The essential oil was encapsulated within the bioplastic through agitation and extrusion, then granulated</w:t>
      </w:r>
      <w:r w:rsidR="0055183A" w:rsidRPr="00E5751C">
        <w:rPr>
          <w:rFonts w:ascii="Arial" w:hAnsi="Arial" w:cs="Arial"/>
        </w:rPr>
        <w:t xml:space="preserve"> </w:t>
      </w:r>
      <w:r w:rsidR="0055183A" w:rsidRPr="00E5751C">
        <w:rPr>
          <w:rFonts w:ascii="Segoe UI Emoji" w:hAnsi="Segoe UI Emoji" w:cs="Segoe UI Emoji"/>
        </w:rPr>
        <w:t>(Worku et al., 2025; Albuquerque et al., 2022).</w:t>
      </w:r>
    </w:p>
    <w:p w14:paraId="71778A0E" w14:textId="0315139D" w:rsidR="004010C2" w:rsidRPr="00E5751C" w:rsidRDefault="004010C2" w:rsidP="00E5751C">
      <w:pPr>
        <w:spacing w:after="160" w:line="278" w:lineRule="auto"/>
      </w:pPr>
      <w:r w:rsidRPr="005927C6">
        <w:rPr>
          <w:rFonts w:ascii="Arial" w:hAnsi="Arial" w:cs="Arial"/>
        </w:rPr>
        <w:t>.</w:t>
      </w:r>
    </w:p>
    <w:p w14:paraId="719879A7" w14:textId="1EA0CE8F" w:rsidR="004010C2" w:rsidRPr="005927C6" w:rsidRDefault="004010C2" w:rsidP="005927C6">
      <w:pPr>
        <w:jc w:val="both"/>
        <w:rPr>
          <w:rFonts w:ascii="Arial" w:hAnsi="Arial" w:cs="Arial"/>
          <w:b/>
          <w:bCs/>
          <w:sz w:val="22"/>
          <w:szCs w:val="22"/>
        </w:rPr>
      </w:pPr>
      <w:r w:rsidRPr="005927C6">
        <w:rPr>
          <w:rFonts w:ascii="Arial" w:hAnsi="Arial" w:cs="Arial"/>
          <w:b/>
          <w:bCs/>
          <w:sz w:val="22"/>
          <w:szCs w:val="22"/>
        </w:rPr>
        <w:t>2.2 Experimental design</w:t>
      </w:r>
    </w:p>
    <w:p w14:paraId="68CE350F" w14:textId="77777777" w:rsidR="009C4A73" w:rsidRPr="005927C6" w:rsidRDefault="009C4A73" w:rsidP="005927C6">
      <w:pPr>
        <w:jc w:val="both"/>
        <w:rPr>
          <w:rFonts w:ascii="Arial" w:hAnsi="Arial" w:cs="Arial"/>
          <w:b/>
          <w:bCs/>
          <w:sz w:val="22"/>
          <w:szCs w:val="22"/>
        </w:rPr>
      </w:pPr>
    </w:p>
    <w:p w14:paraId="4C49F246" w14:textId="328957CA" w:rsidR="004010C2" w:rsidRDefault="004010C2" w:rsidP="005927C6">
      <w:pPr>
        <w:jc w:val="both"/>
        <w:rPr>
          <w:rFonts w:ascii="Arial" w:hAnsi="Arial" w:cs="Arial"/>
        </w:rPr>
      </w:pPr>
      <w:r w:rsidRPr="005927C6">
        <w:rPr>
          <w:rFonts w:ascii="Arial" w:hAnsi="Arial" w:cs="Arial"/>
        </w:rPr>
        <w:t xml:space="preserve">The experimental setup involved 120 crates of mangoes divided into two main blocks: </w:t>
      </w:r>
      <w:r w:rsidRPr="00877A2B">
        <w:rPr>
          <w:rFonts w:ascii="Arial" w:hAnsi="Arial" w:cs="Arial"/>
          <w:highlight w:val="cyan"/>
        </w:rPr>
        <w:t xml:space="preserve">those treated in the field </w:t>
      </w:r>
      <w:r w:rsidR="00877A2B" w:rsidRPr="00877A2B">
        <w:rPr>
          <w:rFonts w:ascii="Arial" w:hAnsi="Arial" w:cs="Arial"/>
          <w:highlight w:val="cyan"/>
        </w:rPr>
        <w:t xml:space="preserve">(TC) </w:t>
      </w:r>
      <w:r w:rsidRPr="00877A2B">
        <w:rPr>
          <w:rFonts w:ascii="Arial" w:hAnsi="Arial" w:cs="Arial"/>
          <w:highlight w:val="cyan"/>
        </w:rPr>
        <w:t>and those untreated</w:t>
      </w:r>
      <w:r w:rsidR="00877A2B" w:rsidRPr="00877A2B">
        <w:rPr>
          <w:rFonts w:ascii="Arial" w:hAnsi="Arial" w:cs="Arial"/>
          <w:highlight w:val="cyan"/>
        </w:rPr>
        <w:t xml:space="preserve"> (NTC)</w:t>
      </w:r>
      <w:r w:rsidRPr="005927C6">
        <w:rPr>
          <w:rFonts w:ascii="Arial" w:hAnsi="Arial" w:cs="Arial"/>
        </w:rPr>
        <w:t>. Each block was subjected to three post-harvest treatments—washing with distilled water (T0), coating with bioplastic (T1), and treatment with the formulated bio</w:t>
      </w:r>
      <w:r w:rsidR="002D1238" w:rsidRPr="005927C6">
        <w:rPr>
          <w:rFonts w:ascii="Arial" w:hAnsi="Arial" w:cs="Arial"/>
        </w:rPr>
        <w:t>-</w:t>
      </w:r>
      <w:r w:rsidRPr="005927C6">
        <w:rPr>
          <w:rFonts w:ascii="Arial" w:hAnsi="Arial" w:cs="Arial"/>
        </w:rPr>
        <w:t>bactericide (T2). The crates were stored under two conditions: ambient temperature</w:t>
      </w:r>
      <w:r w:rsidR="002D1238" w:rsidRPr="005927C6">
        <w:rPr>
          <w:rFonts w:ascii="Arial" w:hAnsi="Arial" w:cs="Arial"/>
        </w:rPr>
        <w:t xml:space="preserve"> at 30°C,</w:t>
      </w:r>
      <w:r w:rsidRPr="005927C6">
        <w:rPr>
          <w:rFonts w:ascii="Arial" w:hAnsi="Arial" w:cs="Arial"/>
        </w:rPr>
        <w:t xml:space="preserve"> and cold storage at 8°C. The design followed a randomized complete block structure with ten replicates per treatment.</w:t>
      </w:r>
    </w:p>
    <w:p w14:paraId="5FAA6E5C" w14:textId="77777777" w:rsidR="00E5751C" w:rsidRPr="005927C6" w:rsidRDefault="00E5751C" w:rsidP="005927C6">
      <w:pPr>
        <w:jc w:val="both"/>
        <w:rPr>
          <w:rFonts w:ascii="Arial" w:hAnsi="Arial" w:cs="Arial"/>
        </w:rPr>
      </w:pPr>
    </w:p>
    <w:p w14:paraId="3F5D4E1D" w14:textId="69A565F8" w:rsidR="00D63121" w:rsidRPr="005927C6" w:rsidRDefault="009D3D9C" w:rsidP="005927C6">
      <w:pPr>
        <w:jc w:val="both"/>
        <w:rPr>
          <w:rFonts w:ascii="Arial" w:hAnsi="Arial" w:cs="Arial"/>
          <w:b/>
          <w:bCs/>
          <w:sz w:val="22"/>
          <w:szCs w:val="22"/>
        </w:rPr>
      </w:pPr>
      <w:r w:rsidRPr="005927C6">
        <w:rPr>
          <w:rFonts w:ascii="Arial" w:hAnsi="Arial" w:cs="Arial"/>
          <w:b/>
          <w:bCs/>
          <w:sz w:val="22"/>
          <w:szCs w:val="22"/>
        </w:rPr>
        <w:t xml:space="preserve">2.3 </w:t>
      </w:r>
      <w:r w:rsidR="00D63121" w:rsidRPr="005927C6">
        <w:rPr>
          <w:rFonts w:ascii="Arial" w:hAnsi="Arial" w:cs="Arial"/>
          <w:b/>
          <w:bCs/>
          <w:sz w:val="22"/>
          <w:szCs w:val="22"/>
        </w:rPr>
        <w:t>Data collection and analysis</w:t>
      </w:r>
    </w:p>
    <w:p w14:paraId="72B6635C" w14:textId="4B6D68E1" w:rsidR="008E0755" w:rsidRDefault="008E0755" w:rsidP="005927C6">
      <w:pPr>
        <w:jc w:val="both"/>
        <w:rPr>
          <w:rFonts w:ascii="Arial" w:hAnsi="Arial" w:cs="Arial"/>
        </w:rPr>
      </w:pPr>
      <w:r w:rsidRPr="005927C6">
        <w:rPr>
          <w:rFonts w:ascii="Arial" w:hAnsi="Arial" w:cs="Arial"/>
        </w:rPr>
        <w:t>Disease assessments were performed weekly from S0 to S8, corresponding to the number of weeks of incubation after treatment.</w:t>
      </w:r>
    </w:p>
    <w:p w14:paraId="6AD933BD" w14:textId="77777777" w:rsidR="00E5751C" w:rsidRDefault="00E5751C" w:rsidP="005927C6">
      <w:pPr>
        <w:jc w:val="both"/>
        <w:rPr>
          <w:rFonts w:ascii="Arial" w:hAnsi="Arial" w:cs="Arial"/>
        </w:rPr>
      </w:pPr>
    </w:p>
    <w:p w14:paraId="0C0C8A94" w14:textId="77777777" w:rsidR="00E5751C" w:rsidRPr="005927C6" w:rsidRDefault="00E5751C" w:rsidP="005927C6">
      <w:pPr>
        <w:jc w:val="both"/>
        <w:rPr>
          <w:rFonts w:ascii="Arial" w:hAnsi="Arial" w:cs="Arial"/>
        </w:rPr>
      </w:pPr>
    </w:p>
    <w:p w14:paraId="619D4C7D" w14:textId="77777777" w:rsidR="00D63121" w:rsidRPr="005927C6" w:rsidRDefault="00D63121" w:rsidP="005927C6">
      <w:pPr>
        <w:jc w:val="both"/>
        <w:rPr>
          <w:rFonts w:ascii="Arial" w:hAnsi="Arial" w:cs="Arial"/>
        </w:rPr>
      </w:pPr>
    </w:p>
    <w:p w14:paraId="36991FB4" w14:textId="4C195D84" w:rsidR="007E1A32" w:rsidRPr="00E5751C" w:rsidRDefault="007E1A32" w:rsidP="005927C6">
      <w:pPr>
        <w:jc w:val="both"/>
        <w:rPr>
          <w:rFonts w:ascii="Arial" w:hAnsi="Arial" w:cs="Arial"/>
          <w:b/>
          <w:bCs/>
        </w:rPr>
      </w:pPr>
      <w:r w:rsidRPr="00E5751C">
        <w:rPr>
          <w:rFonts w:ascii="Arial" w:hAnsi="Arial" w:cs="Arial"/>
          <w:b/>
          <w:bCs/>
        </w:rPr>
        <w:t>2.3.1 Data collection</w:t>
      </w:r>
    </w:p>
    <w:p w14:paraId="4817843F" w14:textId="64B2B365" w:rsidR="009D3D9C" w:rsidRPr="005927C6" w:rsidRDefault="009D3D9C" w:rsidP="005927C6">
      <w:pPr>
        <w:jc w:val="both"/>
        <w:rPr>
          <w:rFonts w:ascii="Arial" w:hAnsi="Arial" w:cs="Arial"/>
        </w:rPr>
      </w:pPr>
      <w:r w:rsidRPr="005927C6">
        <w:rPr>
          <w:rFonts w:ascii="Arial" w:hAnsi="Arial" w:cs="Arial"/>
        </w:rPr>
        <w:t xml:space="preserve">Observations were conducted over an eight-week period, with weekly assessments under each storage temperature condition. The evaluation focused on the number of rotten mangoes and the total surface area of disease spots, following the method described by </w:t>
      </w:r>
      <w:r w:rsidRPr="00A2058E">
        <w:rPr>
          <w:rFonts w:ascii="Arial" w:hAnsi="Arial" w:cs="Arial"/>
        </w:rPr>
        <w:t>Lakshmi et al. (2011). Data were initially entered into Excel. Disease incidence and symptom severity were calculated using the following formulas</w:t>
      </w:r>
      <w:r w:rsidRPr="005927C6">
        <w:rPr>
          <w:rFonts w:ascii="Arial" w:hAnsi="Arial" w:cs="Arial"/>
        </w:rPr>
        <w:t>:</w:t>
      </w:r>
    </w:p>
    <w:p w14:paraId="49394DB6" w14:textId="503BCD48" w:rsidR="009D3D9C" w:rsidRPr="005927C6" w:rsidRDefault="009D3D9C" w:rsidP="005927C6">
      <w:pPr>
        <w:jc w:val="both"/>
        <w:rPr>
          <w:rFonts w:ascii="Arial" w:hAnsi="Arial" w:cs="Arial"/>
        </w:rPr>
      </w:pPr>
      <w:r w:rsidRPr="005927C6">
        <w:rPr>
          <w:rFonts w:ascii="Arial" w:hAnsi="Arial" w:cs="Arial"/>
        </w:rPr>
        <w:t>% Incidence = (Number of infected fruits / Total number of fruits) × 100</w:t>
      </w:r>
    </w:p>
    <w:p w14:paraId="056BD8FA" w14:textId="77C596CC" w:rsidR="009D3D9C" w:rsidRPr="005927C6" w:rsidRDefault="009D3D9C" w:rsidP="005927C6">
      <w:pPr>
        <w:jc w:val="both"/>
        <w:rPr>
          <w:rFonts w:ascii="Arial" w:hAnsi="Arial" w:cs="Arial"/>
        </w:rPr>
      </w:pPr>
      <w:r w:rsidRPr="005927C6">
        <w:rPr>
          <w:rFonts w:ascii="Arial" w:hAnsi="Arial" w:cs="Arial"/>
        </w:rPr>
        <w:t>Severity = (Sum of all disease spots) / (Number of fruits × Maximum disease rating) × 100</w:t>
      </w:r>
      <w:r w:rsidR="007E1A32" w:rsidRPr="005927C6">
        <w:rPr>
          <w:rFonts w:ascii="Arial" w:hAnsi="Arial" w:cs="Arial"/>
        </w:rPr>
        <w:t xml:space="preserve"> </w:t>
      </w:r>
      <w:r w:rsidR="00A2058E">
        <w:rPr>
          <w:rFonts w:ascii="Arial" w:hAnsi="Arial" w:cs="Arial"/>
        </w:rPr>
        <w:t>(</w:t>
      </w:r>
      <w:r w:rsidR="007E1A32" w:rsidRPr="00A2058E">
        <w:rPr>
          <w:rFonts w:ascii="Arial" w:hAnsi="Arial" w:cs="Arial"/>
        </w:rPr>
        <w:t>Lakshmi et al.</w:t>
      </w:r>
      <w:r w:rsidR="00A2058E">
        <w:rPr>
          <w:rFonts w:ascii="Arial" w:hAnsi="Arial" w:cs="Arial"/>
        </w:rPr>
        <w:t xml:space="preserve">, </w:t>
      </w:r>
      <w:r w:rsidR="007E1A32" w:rsidRPr="00A2058E">
        <w:rPr>
          <w:rFonts w:ascii="Arial" w:hAnsi="Arial" w:cs="Arial"/>
        </w:rPr>
        <w:t>2011).</w:t>
      </w:r>
    </w:p>
    <w:p w14:paraId="0E2F3F83" w14:textId="77777777" w:rsidR="009D3D9C" w:rsidRPr="005927C6" w:rsidRDefault="009D3D9C" w:rsidP="005927C6">
      <w:pPr>
        <w:jc w:val="both"/>
        <w:rPr>
          <w:rFonts w:ascii="Arial" w:hAnsi="Arial" w:cs="Arial"/>
        </w:rPr>
      </w:pPr>
    </w:p>
    <w:p w14:paraId="02816914" w14:textId="00B91AB5" w:rsidR="004521CA" w:rsidRPr="00DB4AAD" w:rsidRDefault="004521CA" w:rsidP="004521CA">
      <w:pPr>
        <w:jc w:val="both"/>
        <w:rPr>
          <w:rFonts w:ascii="Arial" w:hAnsi="Arial" w:cs="Arial"/>
          <w:highlight w:val="cyan"/>
        </w:rPr>
      </w:pPr>
      <w:r w:rsidRPr="00DB4AAD">
        <w:rPr>
          <w:rFonts w:ascii="Arial" w:hAnsi="Arial" w:cs="Arial"/>
          <w:highlight w:val="cyan"/>
        </w:rPr>
        <w:t>Disease severity refers to the extent of symptomatic tissue damage caused by a specific pathogen, typically quantified using a standardized ordinal scale based on visual assessment of lesion coverage, fruit decay, and tissue necrosis. In this study,</w:t>
      </w:r>
      <w:r w:rsidRPr="00DB4AAD">
        <w:rPr>
          <w:highlight w:val="cyan"/>
        </w:rPr>
        <w:t xml:space="preserve"> </w:t>
      </w:r>
      <w:r w:rsidRPr="00DB4AAD">
        <w:rPr>
          <w:rFonts w:ascii="Arial" w:hAnsi="Arial" w:cs="Arial"/>
          <w:highlight w:val="cyan"/>
        </w:rPr>
        <w:t>severity was evaluated using a 0–9 scale, where:</w:t>
      </w:r>
    </w:p>
    <w:p w14:paraId="39A8DD49" w14:textId="354119E4" w:rsidR="004521CA" w:rsidRPr="00DB4AAD" w:rsidRDefault="004521CA" w:rsidP="00DB4AAD">
      <w:pPr>
        <w:pStyle w:val="ListParagraph"/>
        <w:numPr>
          <w:ilvl w:val="0"/>
          <w:numId w:val="37"/>
        </w:numPr>
        <w:jc w:val="both"/>
        <w:rPr>
          <w:rFonts w:ascii="Arial" w:hAnsi="Arial" w:cs="Arial"/>
          <w:highlight w:val="cyan"/>
        </w:rPr>
      </w:pPr>
      <w:r w:rsidRPr="00DB4AAD">
        <w:rPr>
          <w:rFonts w:ascii="Arial" w:hAnsi="Arial" w:cs="Arial"/>
          <w:highlight w:val="cyan"/>
        </w:rPr>
        <w:t>0 = no visible symptoms</w:t>
      </w:r>
    </w:p>
    <w:p w14:paraId="1E3E1C21" w14:textId="7B28F7DF" w:rsidR="004521CA" w:rsidRPr="00DB4AAD" w:rsidRDefault="004521CA" w:rsidP="00DB4AAD">
      <w:pPr>
        <w:pStyle w:val="ListParagraph"/>
        <w:numPr>
          <w:ilvl w:val="0"/>
          <w:numId w:val="37"/>
        </w:numPr>
        <w:jc w:val="both"/>
        <w:rPr>
          <w:rFonts w:ascii="Arial" w:hAnsi="Arial" w:cs="Arial"/>
          <w:highlight w:val="cyan"/>
        </w:rPr>
      </w:pPr>
      <w:r w:rsidRPr="00DB4AAD">
        <w:rPr>
          <w:rFonts w:ascii="Arial" w:hAnsi="Arial" w:cs="Arial"/>
          <w:highlight w:val="cyan"/>
        </w:rPr>
        <w:t>1–3 = mild symptoms (≤10% surface affected)</w:t>
      </w:r>
    </w:p>
    <w:p w14:paraId="4FC9E9F7" w14:textId="2347C596" w:rsidR="004521CA" w:rsidRPr="00DB4AAD" w:rsidRDefault="004521CA" w:rsidP="00DB4AAD">
      <w:pPr>
        <w:pStyle w:val="ListParagraph"/>
        <w:numPr>
          <w:ilvl w:val="0"/>
          <w:numId w:val="37"/>
        </w:numPr>
        <w:jc w:val="both"/>
        <w:rPr>
          <w:rFonts w:ascii="Arial" w:hAnsi="Arial" w:cs="Arial"/>
          <w:highlight w:val="cyan"/>
        </w:rPr>
      </w:pPr>
      <w:r w:rsidRPr="00DB4AAD">
        <w:rPr>
          <w:rFonts w:ascii="Arial" w:hAnsi="Arial" w:cs="Arial"/>
          <w:highlight w:val="cyan"/>
        </w:rPr>
        <w:t>4–6 = moderate symptoms (10–50% surface affected)</w:t>
      </w:r>
    </w:p>
    <w:p w14:paraId="573D4E48" w14:textId="2D25D77C" w:rsidR="004521CA" w:rsidRPr="00DB4AAD" w:rsidRDefault="004521CA" w:rsidP="00DB4AAD">
      <w:pPr>
        <w:pStyle w:val="ListParagraph"/>
        <w:numPr>
          <w:ilvl w:val="0"/>
          <w:numId w:val="37"/>
        </w:numPr>
        <w:jc w:val="both"/>
        <w:rPr>
          <w:rFonts w:ascii="Arial" w:hAnsi="Arial" w:cs="Arial"/>
          <w:highlight w:val="cyan"/>
        </w:rPr>
      </w:pPr>
      <w:r w:rsidRPr="00DB4AAD">
        <w:rPr>
          <w:rFonts w:ascii="Arial" w:hAnsi="Arial" w:cs="Arial"/>
          <w:highlight w:val="cyan"/>
        </w:rPr>
        <w:t>7–9 = severe symptoms (&gt;50% surface affected or extensive rot)</w:t>
      </w:r>
      <w:r w:rsidR="00F220A0">
        <w:rPr>
          <w:rFonts w:ascii="Arial" w:hAnsi="Arial" w:cs="Arial"/>
          <w:highlight w:val="cyan"/>
        </w:rPr>
        <w:t xml:space="preserve"> </w:t>
      </w:r>
      <w:r w:rsidR="00F220A0">
        <w:rPr>
          <w:rFonts w:ascii="Arial" w:hAnsi="Arial" w:cs="Arial"/>
        </w:rPr>
        <w:t>(</w:t>
      </w:r>
      <w:r w:rsidR="00F220A0" w:rsidRPr="00A2058E">
        <w:rPr>
          <w:rFonts w:ascii="Arial" w:hAnsi="Arial" w:cs="Arial"/>
        </w:rPr>
        <w:t>Lakshmi et al.</w:t>
      </w:r>
      <w:r w:rsidR="00F220A0">
        <w:rPr>
          <w:rFonts w:ascii="Arial" w:hAnsi="Arial" w:cs="Arial"/>
        </w:rPr>
        <w:t xml:space="preserve">, </w:t>
      </w:r>
      <w:r w:rsidR="00F220A0" w:rsidRPr="00A2058E">
        <w:rPr>
          <w:rFonts w:ascii="Arial" w:hAnsi="Arial" w:cs="Arial"/>
        </w:rPr>
        <w:t>2011).</w:t>
      </w:r>
    </w:p>
    <w:p w14:paraId="1D6A49F6" w14:textId="77777777" w:rsidR="004521CA" w:rsidRPr="00DB4AAD" w:rsidRDefault="004521CA" w:rsidP="005927C6">
      <w:pPr>
        <w:jc w:val="both"/>
        <w:rPr>
          <w:rFonts w:ascii="Arial" w:hAnsi="Arial" w:cs="Arial"/>
        </w:rPr>
      </w:pPr>
    </w:p>
    <w:p w14:paraId="61BB308C" w14:textId="77777777" w:rsidR="004521CA" w:rsidRDefault="004521CA" w:rsidP="005927C6">
      <w:pPr>
        <w:jc w:val="both"/>
        <w:rPr>
          <w:rFonts w:ascii="Arial" w:hAnsi="Arial" w:cs="Arial"/>
          <w:b/>
          <w:bCs/>
        </w:rPr>
      </w:pPr>
    </w:p>
    <w:p w14:paraId="2054961B" w14:textId="1CD29F7D" w:rsidR="007E1A32" w:rsidRPr="00E5751C" w:rsidRDefault="007E1A32" w:rsidP="005927C6">
      <w:pPr>
        <w:jc w:val="both"/>
        <w:rPr>
          <w:rFonts w:ascii="Arial" w:hAnsi="Arial" w:cs="Arial"/>
          <w:b/>
          <w:bCs/>
        </w:rPr>
      </w:pPr>
      <w:r w:rsidRPr="00E5751C">
        <w:rPr>
          <w:rFonts w:ascii="Arial" w:hAnsi="Arial" w:cs="Arial"/>
          <w:b/>
          <w:bCs/>
        </w:rPr>
        <w:t>2.3.2 Data analysis</w:t>
      </w:r>
    </w:p>
    <w:p w14:paraId="2597F6A9" w14:textId="77777777" w:rsidR="00DB4AAD" w:rsidRDefault="00DB4AAD" w:rsidP="005927C6">
      <w:pPr>
        <w:jc w:val="both"/>
        <w:rPr>
          <w:rFonts w:ascii="Arial" w:hAnsi="Arial" w:cs="Arial"/>
        </w:rPr>
      </w:pPr>
    </w:p>
    <w:p w14:paraId="45A39AB0" w14:textId="5840866F" w:rsidR="00790ADA" w:rsidRPr="005927C6" w:rsidRDefault="00DB4AAD" w:rsidP="005927C6">
      <w:pPr>
        <w:jc w:val="both"/>
        <w:rPr>
          <w:rFonts w:ascii="Arial" w:hAnsi="Arial" w:cs="Arial"/>
        </w:rPr>
      </w:pPr>
      <w:r w:rsidRPr="00DB4AAD">
        <w:rPr>
          <w:rFonts w:ascii="Arial" w:hAnsi="Arial" w:cs="Arial"/>
          <w:highlight w:val="cyan"/>
        </w:rPr>
        <w:t>The collected data were first tested for homogeneity of variance. Whe</w:t>
      </w:r>
      <w:r w:rsidR="00F220A0">
        <w:rPr>
          <w:rFonts w:ascii="Arial" w:hAnsi="Arial" w:cs="Arial"/>
          <w:highlight w:val="cyan"/>
        </w:rPr>
        <w:t>re</w:t>
      </w:r>
      <w:r w:rsidRPr="00DB4AAD">
        <w:rPr>
          <w:rFonts w:ascii="Arial" w:hAnsi="Arial" w:cs="Arial"/>
          <w:highlight w:val="cyan"/>
        </w:rPr>
        <w:t xml:space="preserve"> this assumption was not met, </w:t>
      </w:r>
      <w:r w:rsidR="00F220A0" w:rsidRPr="00C56C19">
        <w:rPr>
          <w:rFonts w:ascii="Arial" w:hAnsi="Arial" w:cs="Arial"/>
          <w:highlight w:val="cyan"/>
        </w:rPr>
        <w:t xml:space="preserve">the </w:t>
      </w:r>
      <w:r w:rsidR="00E00630" w:rsidRPr="00C56C19">
        <w:rPr>
          <w:rFonts w:ascii="Arial" w:hAnsi="Arial" w:cs="Arial"/>
          <w:highlight w:val="cyan"/>
        </w:rPr>
        <w:t>square root transformation</w:t>
      </w:r>
      <w:r w:rsidRPr="00C56C19">
        <w:rPr>
          <w:rFonts w:ascii="Arial" w:hAnsi="Arial" w:cs="Arial"/>
          <w:highlight w:val="cyan"/>
        </w:rPr>
        <w:t xml:space="preserve"> w</w:t>
      </w:r>
      <w:r w:rsidR="00E00630" w:rsidRPr="00C56C19">
        <w:rPr>
          <w:rFonts w:ascii="Arial" w:hAnsi="Arial" w:cs="Arial"/>
          <w:highlight w:val="cyan"/>
        </w:rPr>
        <w:t>as</w:t>
      </w:r>
      <w:r w:rsidRPr="00C56C19">
        <w:rPr>
          <w:rFonts w:ascii="Arial" w:hAnsi="Arial" w:cs="Arial"/>
          <w:highlight w:val="cyan"/>
        </w:rPr>
        <w:t xml:space="preserve"> applied prior to conducting analysis of variance (ANOVA) using SAS software version 9.2 (</w:t>
      </w:r>
      <w:bookmarkStart w:id="5" w:name="_Hlk211187823"/>
      <w:r w:rsidRPr="00C56C19">
        <w:rPr>
          <w:rFonts w:ascii="Arial" w:hAnsi="Arial" w:cs="Arial"/>
          <w:highlight w:val="cyan"/>
        </w:rPr>
        <w:t>S</w:t>
      </w:r>
      <w:r w:rsidRPr="00DB4AAD">
        <w:rPr>
          <w:rFonts w:ascii="Arial" w:hAnsi="Arial" w:cs="Arial"/>
          <w:highlight w:val="cyan"/>
        </w:rPr>
        <w:t>AS Institute, 1999)</w:t>
      </w:r>
      <w:bookmarkEnd w:id="5"/>
      <w:r w:rsidRPr="00DB4AAD">
        <w:rPr>
          <w:rFonts w:ascii="Arial" w:hAnsi="Arial" w:cs="Arial"/>
          <w:highlight w:val="cyan"/>
        </w:rPr>
        <w:t>. Whenever the calculated F-value was statistically significant, treatment means were compared using Fisher’s protected Least Significant Difference (LSD) test</w:t>
      </w:r>
      <w:r w:rsidR="008E0755" w:rsidRPr="00DB4AAD">
        <w:rPr>
          <w:rFonts w:ascii="Arial" w:hAnsi="Arial" w:cs="Arial"/>
          <w:highlight w:val="cyan"/>
        </w:rPr>
        <w:t>.</w:t>
      </w:r>
      <w:r w:rsidR="008E0755" w:rsidRPr="005927C6">
        <w:rPr>
          <w:rFonts w:ascii="Arial" w:hAnsi="Arial" w:cs="Arial"/>
        </w:rPr>
        <w:t xml:space="preserve"> Factorial ANOVA was applied to test the effects of temperature, treatment, block, and incubation week, as well as their interactions. Principal component analysis (PCA) was performed on standardized severity and incidence values across weeks to capture both overall disease burden and timing of onset. Graphical representations included line plots for temporal dynamics and a biplot for multivariate separation.</w:t>
      </w:r>
    </w:p>
    <w:p w14:paraId="4895FFDB" w14:textId="77777777" w:rsidR="00790ADA" w:rsidRPr="005927C6" w:rsidRDefault="00790ADA" w:rsidP="005927C6">
      <w:pPr>
        <w:pStyle w:val="Body"/>
        <w:spacing w:after="0"/>
        <w:rPr>
          <w:rFonts w:ascii="Arial" w:hAnsi="Arial" w:cs="Arial"/>
        </w:rPr>
      </w:pPr>
    </w:p>
    <w:p w14:paraId="3E8076B2" w14:textId="77777777" w:rsidR="007E1A32" w:rsidRPr="005927C6" w:rsidRDefault="007E1A32" w:rsidP="005927C6">
      <w:pPr>
        <w:pStyle w:val="Body"/>
        <w:spacing w:after="0"/>
        <w:rPr>
          <w:rFonts w:ascii="Arial" w:hAnsi="Arial" w:cs="Arial"/>
        </w:rPr>
      </w:pPr>
    </w:p>
    <w:p w14:paraId="3D8554C4" w14:textId="77777777" w:rsidR="00902823" w:rsidRPr="005927C6" w:rsidRDefault="00000F8F" w:rsidP="005927C6">
      <w:pPr>
        <w:pStyle w:val="Head1"/>
        <w:spacing w:after="0"/>
        <w:jc w:val="both"/>
        <w:rPr>
          <w:rFonts w:ascii="Arial" w:hAnsi="Arial" w:cs="Arial"/>
        </w:rPr>
      </w:pPr>
      <w:r w:rsidRPr="005927C6">
        <w:rPr>
          <w:rFonts w:ascii="Arial" w:hAnsi="Arial" w:cs="Arial"/>
        </w:rPr>
        <w:t>3</w:t>
      </w:r>
      <w:r w:rsidR="00902823" w:rsidRPr="005927C6">
        <w:rPr>
          <w:rFonts w:ascii="Arial" w:hAnsi="Arial" w:cs="Arial"/>
        </w:rPr>
        <w:t xml:space="preserve">. </w:t>
      </w:r>
      <w:r w:rsidRPr="005927C6">
        <w:rPr>
          <w:rFonts w:ascii="Arial" w:hAnsi="Arial" w:cs="Arial"/>
        </w:rPr>
        <w:t>results and discussion</w:t>
      </w:r>
    </w:p>
    <w:p w14:paraId="13A8D8EC" w14:textId="4DAEE3B6" w:rsidR="00861A1D" w:rsidRPr="005927C6" w:rsidRDefault="00861A1D" w:rsidP="005927C6">
      <w:pPr>
        <w:pStyle w:val="Head1"/>
        <w:spacing w:after="0"/>
        <w:jc w:val="both"/>
        <w:rPr>
          <w:rFonts w:ascii="Arial" w:hAnsi="Arial" w:cs="Arial"/>
        </w:rPr>
      </w:pPr>
    </w:p>
    <w:p w14:paraId="7A3FBCE0" w14:textId="4D576162" w:rsidR="009B7255" w:rsidRDefault="004B759E" w:rsidP="005927C6">
      <w:pPr>
        <w:jc w:val="both"/>
        <w:rPr>
          <w:rFonts w:ascii="Arial" w:hAnsi="Arial" w:cs="Arial"/>
          <w:b/>
          <w:bCs/>
          <w:sz w:val="22"/>
          <w:szCs w:val="22"/>
        </w:rPr>
      </w:pPr>
      <w:r w:rsidRPr="005927C6">
        <w:rPr>
          <w:rFonts w:ascii="Arial" w:hAnsi="Arial" w:cs="Arial"/>
          <w:b/>
          <w:bCs/>
          <w:sz w:val="22"/>
          <w:szCs w:val="22"/>
        </w:rPr>
        <w:t xml:space="preserve">3.1 </w:t>
      </w:r>
      <w:r w:rsidR="009B7255">
        <w:rPr>
          <w:rFonts w:ascii="Arial" w:hAnsi="Arial" w:cs="Arial"/>
          <w:b/>
          <w:bCs/>
          <w:sz w:val="22"/>
          <w:szCs w:val="22"/>
        </w:rPr>
        <w:t>Results</w:t>
      </w:r>
    </w:p>
    <w:p w14:paraId="75407A1A" w14:textId="77777777" w:rsidR="009B7255" w:rsidRDefault="009B7255" w:rsidP="005927C6">
      <w:pPr>
        <w:jc w:val="both"/>
        <w:rPr>
          <w:rFonts w:ascii="Arial" w:hAnsi="Arial" w:cs="Arial"/>
          <w:b/>
          <w:bCs/>
          <w:sz w:val="22"/>
          <w:szCs w:val="22"/>
        </w:rPr>
      </w:pPr>
    </w:p>
    <w:p w14:paraId="207171B6" w14:textId="096F26FF" w:rsidR="003A7C43" w:rsidRPr="00E5751C" w:rsidRDefault="009B7255" w:rsidP="005927C6">
      <w:pPr>
        <w:jc w:val="both"/>
        <w:rPr>
          <w:rFonts w:ascii="Arial" w:hAnsi="Arial" w:cs="Arial"/>
          <w:b/>
          <w:bCs/>
        </w:rPr>
      </w:pPr>
      <w:r w:rsidRPr="00E5751C">
        <w:rPr>
          <w:rFonts w:ascii="Arial" w:hAnsi="Arial" w:cs="Arial"/>
          <w:b/>
          <w:bCs/>
        </w:rPr>
        <w:t xml:space="preserve">3.1.1 </w:t>
      </w:r>
      <w:r w:rsidR="003A7C43" w:rsidRPr="00E5751C">
        <w:rPr>
          <w:rFonts w:ascii="Arial" w:hAnsi="Arial" w:cs="Arial"/>
          <w:b/>
          <w:bCs/>
        </w:rPr>
        <w:t>Main effects and interactions</w:t>
      </w:r>
    </w:p>
    <w:p w14:paraId="3EA6B083" w14:textId="77777777" w:rsidR="009B7255" w:rsidRDefault="009B7255" w:rsidP="005927C6">
      <w:pPr>
        <w:jc w:val="both"/>
        <w:rPr>
          <w:rFonts w:ascii="Arial" w:hAnsi="Arial" w:cs="Arial"/>
          <w:sz w:val="22"/>
          <w:szCs w:val="22"/>
        </w:rPr>
      </w:pPr>
    </w:p>
    <w:p w14:paraId="6C5113AA" w14:textId="6CB6EA24" w:rsidR="004521CA" w:rsidRPr="007321E4" w:rsidRDefault="00AD3D9C" w:rsidP="005927C6">
      <w:pPr>
        <w:jc w:val="both"/>
        <w:rPr>
          <w:rFonts w:ascii="Arial" w:hAnsi="Arial" w:cs="Arial"/>
          <w:sz w:val="22"/>
          <w:szCs w:val="22"/>
          <w:highlight w:val="cyan"/>
        </w:rPr>
      </w:pPr>
      <w:r w:rsidRPr="007321E4">
        <w:rPr>
          <w:rFonts w:ascii="Arial" w:hAnsi="Arial" w:cs="Arial"/>
          <w:bCs/>
          <w:kern w:val="32"/>
          <w:sz w:val="22"/>
          <w:szCs w:val="22"/>
          <w:highlight w:val="cyan"/>
          <w:lang w:eastAsia="fr-FR"/>
        </w:rPr>
        <w:t xml:space="preserve">The ANOVA results revealed that all main factors treatment, storage temperature, and duration significantly influenced both disease incidence and severity in mangoes </w:t>
      </w:r>
      <w:r w:rsidRPr="007321E4">
        <w:rPr>
          <w:rFonts w:ascii="Arial" w:hAnsi="Arial" w:cs="Arial"/>
          <w:sz w:val="22"/>
          <w:szCs w:val="22"/>
          <w:highlight w:val="cyan"/>
        </w:rPr>
        <w:t xml:space="preserve">(Table </w:t>
      </w:r>
      <w:r w:rsidR="003D6168">
        <w:rPr>
          <w:rFonts w:ascii="Arial" w:hAnsi="Arial" w:cs="Arial"/>
          <w:sz w:val="22"/>
          <w:szCs w:val="22"/>
          <w:highlight w:val="cyan"/>
        </w:rPr>
        <w:t>1</w:t>
      </w:r>
      <w:r w:rsidRPr="007321E4">
        <w:rPr>
          <w:rFonts w:ascii="Arial" w:hAnsi="Arial" w:cs="Arial"/>
          <w:sz w:val="22"/>
          <w:szCs w:val="22"/>
          <w:highlight w:val="cyan"/>
        </w:rPr>
        <w:t>)</w:t>
      </w:r>
      <w:r w:rsidR="003A7C43" w:rsidRPr="007321E4">
        <w:rPr>
          <w:rFonts w:ascii="Arial" w:hAnsi="Arial" w:cs="Arial"/>
          <w:sz w:val="22"/>
          <w:szCs w:val="22"/>
          <w:highlight w:val="cyan"/>
        </w:rPr>
        <w:t xml:space="preserve">. </w:t>
      </w:r>
      <w:r w:rsidRPr="007321E4">
        <w:rPr>
          <w:rFonts w:ascii="Arial" w:hAnsi="Arial" w:cs="Arial"/>
          <w:bCs/>
          <w:kern w:val="32"/>
          <w:sz w:val="22"/>
          <w:szCs w:val="22"/>
          <w:highlight w:val="cyan"/>
          <w:lang w:eastAsia="fr-FR"/>
        </w:rPr>
        <w:t>The bio-fungicide (T2) consistently reduced symptoms more effectively than the bioplastic alone (T1), especially under cold storage (8 °C). Storage temperature had the strongest individual effect, confirming its critical role in postharvest disease control.</w:t>
      </w:r>
    </w:p>
    <w:p w14:paraId="796680A9" w14:textId="77777777" w:rsidR="00AD3D9C" w:rsidRPr="007321E4" w:rsidRDefault="00AD3D9C" w:rsidP="005927C6">
      <w:pPr>
        <w:jc w:val="both"/>
        <w:rPr>
          <w:rFonts w:ascii="Arial" w:hAnsi="Arial" w:cs="Arial"/>
          <w:sz w:val="22"/>
          <w:szCs w:val="22"/>
          <w:highlight w:val="cyan"/>
        </w:rPr>
      </w:pPr>
    </w:p>
    <w:p w14:paraId="602B80E1" w14:textId="7F361347" w:rsidR="00AD3D9C" w:rsidRPr="00D64B89" w:rsidRDefault="00AD3D9C" w:rsidP="00AD3D9C">
      <w:pPr>
        <w:tabs>
          <w:tab w:val="left" w:pos="8265"/>
        </w:tabs>
        <w:spacing w:line="360" w:lineRule="auto"/>
        <w:rPr>
          <w:rFonts w:ascii="Arial" w:hAnsi="Arial" w:cs="Arial"/>
          <w:bCs/>
          <w:kern w:val="32"/>
          <w:sz w:val="22"/>
          <w:szCs w:val="22"/>
          <w:lang w:eastAsia="fr-FR"/>
        </w:rPr>
      </w:pPr>
      <w:r w:rsidRPr="007321E4">
        <w:rPr>
          <w:rFonts w:ascii="Arial" w:hAnsi="Arial" w:cs="Arial"/>
          <w:b/>
          <w:kern w:val="32"/>
          <w:sz w:val="22"/>
          <w:szCs w:val="22"/>
          <w:highlight w:val="cyan"/>
          <w:lang w:eastAsia="fr-FR"/>
        </w:rPr>
        <w:t xml:space="preserve">Table </w:t>
      </w:r>
      <w:r w:rsidR="003D6168">
        <w:rPr>
          <w:rFonts w:ascii="Arial" w:hAnsi="Arial" w:cs="Arial"/>
          <w:b/>
          <w:kern w:val="32"/>
          <w:sz w:val="22"/>
          <w:szCs w:val="22"/>
          <w:highlight w:val="cyan"/>
          <w:lang w:eastAsia="fr-FR"/>
        </w:rPr>
        <w:t>1</w:t>
      </w:r>
      <w:r w:rsidRPr="007321E4">
        <w:rPr>
          <w:rFonts w:ascii="Arial" w:hAnsi="Arial" w:cs="Arial"/>
          <w:bCs/>
          <w:kern w:val="32"/>
          <w:sz w:val="22"/>
          <w:szCs w:val="22"/>
          <w:highlight w:val="cyan"/>
          <w:lang w:eastAsia="fr-FR"/>
        </w:rPr>
        <w:t>. Analysis of variance (ANOVA) for disease incidence and severity in mangoes</w:t>
      </w:r>
    </w:p>
    <w:tbl>
      <w:tblPr>
        <w:tblStyle w:val="TableGrid"/>
        <w:tblW w:w="10890" w:type="dxa"/>
        <w:tblInd w:w="-95" w:type="dxa"/>
        <w:tblLook w:val="04A0" w:firstRow="1" w:lastRow="0" w:firstColumn="1" w:lastColumn="0" w:noHBand="0" w:noVBand="1"/>
      </w:tblPr>
      <w:tblGrid>
        <w:gridCol w:w="5220"/>
        <w:gridCol w:w="2430"/>
        <w:gridCol w:w="1890"/>
        <w:gridCol w:w="1350"/>
      </w:tblGrid>
      <w:tr w:rsidR="00AD3D9C" w:rsidRPr="007321E4" w14:paraId="29D7355D" w14:textId="77777777" w:rsidTr="00E66ADD">
        <w:trPr>
          <w:trHeight w:val="341"/>
        </w:trPr>
        <w:tc>
          <w:tcPr>
            <w:tcW w:w="5220" w:type="dxa"/>
            <w:vMerge w:val="restart"/>
          </w:tcPr>
          <w:p w14:paraId="7FFC2042" w14:textId="77777777" w:rsidR="00AD3D9C" w:rsidRPr="00D64B89" w:rsidRDefault="00AD3D9C" w:rsidP="00DC7047">
            <w:pPr>
              <w:tabs>
                <w:tab w:val="left" w:pos="8265"/>
              </w:tabs>
              <w:ind w:left="144" w:right="144"/>
              <w:rPr>
                <w:rFonts w:ascii="Arial" w:hAnsi="Arial" w:cs="Arial"/>
                <w:bCs/>
                <w:kern w:val="32"/>
                <w:lang w:eastAsia="fr-FR"/>
              </w:rPr>
            </w:pPr>
          </w:p>
          <w:p w14:paraId="066E9318" w14:textId="77777777" w:rsidR="00AD3D9C" w:rsidRPr="00D64B89" w:rsidRDefault="00AD3D9C" w:rsidP="00DC7047">
            <w:pPr>
              <w:tabs>
                <w:tab w:val="left" w:pos="8265"/>
              </w:tabs>
              <w:ind w:left="144" w:right="144"/>
              <w:rPr>
                <w:rFonts w:ascii="Arial" w:hAnsi="Arial" w:cs="Arial"/>
                <w:bCs/>
                <w:kern w:val="32"/>
                <w:lang w:eastAsia="fr-FR"/>
              </w:rPr>
            </w:pPr>
          </w:p>
          <w:p w14:paraId="5B0DB0CC"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Sources of variation</w:t>
            </w:r>
          </w:p>
        </w:tc>
        <w:tc>
          <w:tcPr>
            <w:tcW w:w="2430" w:type="dxa"/>
            <w:vMerge w:val="restart"/>
          </w:tcPr>
          <w:p w14:paraId="37445AFA"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p>
          <w:p w14:paraId="5462ECA1"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p>
          <w:p w14:paraId="721CC516"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Degrees of Freedom</w:t>
            </w:r>
          </w:p>
        </w:tc>
        <w:tc>
          <w:tcPr>
            <w:tcW w:w="3240" w:type="dxa"/>
            <w:gridSpan w:val="2"/>
          </w:tcPr>
          <w:p w14:paraId="54C1CCB6"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Mean squares</w:t>
            </w:r>
          </w:p>
        </w:tc>
      </w:tr>
      <w:tr w:rsidR="00AD3D9C" w:rsidRPr="007321E4" w14:paraId="3C05630E" w14:textId="77777777" w:rsidTr="00E66ADD">
        <w:trPr>
          <w:trHeight w:val="260"/>
        </w:trPr>
        <w:tc>
          <w:tcPr>
            <w:tcW w:w="5220" w:type="dxa"/>
            <w:vMerge/>
          </w:tcPr>
          <w:p w14:paraId="4027030F" w14:textId="77777777" w:rsidR="00AD3D9C" w:rsidRPr="007321E4" w:rsidRDefault="00AD3D9C" w:rsidP="00DC7047">
            <w:pPr>
              <w:tabs>
                <w:tab w:val="left" w:pos="8265"/>
              </w:tabs>
              <w:ind w:left="144" w:right="144"/>
              <w:rPr>
                <w:rFonts w:ascii="Arial" w:hAnsi="Arial" w:cs="Arial"/>
                <w:bCs/>
                <w:kern w:val="32"/>
                <w:highlight w:val="cyan"/>
                <w:lang w:eastAsia="fr-FR"/>
              </w:rPr>
            </w:pPr>
          </w:p>
        </w:tc>
        <w:tc>
          <w:tcPr>
            <w:tcW w:w="2430" w:type="dxa"/>
            <w:vMerge/>
          </w:tcPr>
          <w:p w14:paraId="33AD1ADC"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p>
        </w:tc>
        <w:tc>
          <w:tcPr>
            <w:tcW w:w="1890" w:type="dxa"/>
          </w:tcPr>
          <w:p w14:paraId="12EC3D8C"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Incidence (%)</w:t>
            </w:r>
          </w:p>
        </w:tc>
        <w:tc>
          <w:tcPr>
            <w:tcW w:w="1350" w:type="dxa"/>
          </w:tcPr>
          <w:p w14:paraId="0C01CC40"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 xml:space="preserve">Severity </w:t>
            </w:r>
          </w:p>
        </w:tc>
      </w:tr>
      <w:tr w:rsidR="00AD3D9C" w:rsidRPr="007321E4" w14:paraId="16A5D8F0" w14:textId="77777777" w:rsidTr="00E66ADD">
        <w:trPr>
          <w:trHeight w:val="224"/>
        </w:trPr>
        <w:tc>
          <w:tcPr>
            <w:tcW w:w="5220" w:type="dxa"/>
          </w:tcPr>
          <w:p w14:paraId="35B5E594"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Blocks (Field-treated and non-treated )</w:t>
            </w:r>
          </w:p>
        </w:tc>
        <w:tc>
          <w:tcPr>
            <w:tcW w:w="2430" w:type="dxa"/>
          </w:tcPr>
          <w:p w14:paraId="1E354246"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1</w:t>
            </w:r>
          </w:p>
        </w:tc>
        <w:tc>
          <w:tcPr>
            <w:tcW w:w="1890" w:type="dxa"/>
          </w:tcPr>
          <w:p w14:paraId="7C3C334B"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8.77***</w:t>
            </w:r>
          </w:p>
        </w:tc>
        <w:tc>
          <w:tcPr>
            <w:tcW w:w="1350" w:type="dxa"/>
          </w:tcPr>
          <w:p w14:paraId="2C88C978"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2.91***</w:t>
            </w:r>
          </w:p>
        </w:tc>
      </w:tr>
      <w:tr w:rsidR="00AD3D9C" w:rsidRPr="007321E4" w14:paraId="0E0BE188" w14:textId="77777777" w:rsidTr="00E66ADD">
        <w:trPr>
          <w:trHeight w:val="179"/>
        </w:trPr>
        <w:tc>
          <w:tcPr>
            <w:tcW w:w="5220" w:type="dxa"/>
          </w:tcPr>
          <w:p w14:paraId="73802894"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Storage conditions</w:t>
            </w:r>
          </w:p>
        </w:tc>
        <w:tc>
          <w:tcPr>
            <w:tcW w:w="2430" w:type="dxa"/>
          </w:tcPr>
          <w:p w14:paraId="16A1BB37"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1</w:t>
            </w:r>
          </w:p>
        </w:tc>
        <w:tc>
          <w:tcPr>
            <w:tcW w:w="1890" w:type="dxa"/>
          </w:tcPr>
          <w:p w14:paraId="5597F3C9"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61.67***</w:t>
            </w:r>
          </w:p>
        </w:tc>
        <w:tc>
          <w:tcPr>
            <w:tcW w:w="1350" w:type="dxa"/>
          </w:tcPr>
          <w:p w14:paraId="417058CF"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7.94***</w:t>
            </w:r>
          </w:p>
        </w:tc>
      </w:tr>
      <w:tr w:rsidR="00AD3D9C" w:rsidRPr="007321E4" w14:paraId="493C620E" w14:textId="77777777" w:rsidTr="00E66ADD">
        <w:trPr>
          <w:trHeight w:val="233"/>
        </w:trPr>
        <w:tc>
          <w:tcPr>
            <w:tcW w:w="5220" w:type="dxa"/>
          </w:tcPr>
          <w:p w14:paraId="78D7DA32"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Blocks* Storage conditions</w:t>
            </w:r>
          </w:p>
        </w:tc>
        <w:tc>
          <w:tcPr>
            <w:tcW w:w="2430" w:type="dxa"/>
          </w:tcPr>
          <w:p w14:paraId="0BDAAE6C"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1</w:t>
            </w:r>
          </w:p>
        </w:tc>
        <w:tc>
          <w:tcPr>
            <w:tcW w:w="1890" w:type="dxa"/>
          </w:tcPr>
          <w:p w14:paraId="5F621B42"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4.80***</w:t>
            </w:r>
          </w:p>
        </w:tc>
        <w:tc>
          <w:tcPr>
            <w:tcW w:w="1350" w:type="dxa"/>
          </w:tcPr>
          <w:p w14:paraId="51BC8B64"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0.33***</w:t>
            </w:r>
          </w:p>
        </w:tc>
      </w:tr>
      <w:tr w:rsidR="00AD3D9C" w:rsidRPr="007321E4" w14:paraId="6BB155B8" w14:textId="77777777" w:rsidTr="00E66ADD">
        <w:trPr>
          <w:trHeight w:val="80"/>
        </w:trPr>
        <w:tc>
          <w:tcPr>
            <w:tcW w:w="5220" w:type="dxa"/>
          </w:tcPr>
          <w:p w14:paraId="2C8A8E0D"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Treatments</w:t>
            </w:r>
          </w:p>
        </w:tc>
        <w:tc>
          <w:tcPr>
            <w:tcW w:w="2430" w:type="dxa"/>
          </w:tcPr>
          <w:p w14:paraId="5A784FD4"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w:t>
            </w:r>
          </w:p>
        </w:tc>
        <w:tc>
          <w:tcPr>
            <w:tcW w:w="1890" w:type="dxa"/>
          </w:tcPr>
          <w:p w14:paraId="549B6051"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25.90***</w:t>
            </w:r>
          </w:p>
        </w:tc>
        <w:tc>
          <w:tcPr>
            <w:tcW w:w="1350" w:type="dxa"/>
          </w:tcPr>
          <w:p w14:paraId="67CAD745"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17.16***</w:t>
            </w:r>
          </w:p>
        </w:tc>
      </w:tr>
      <w:tr w:rsidR="00AD3D9C" w:rsidRPr="007321E4" w14:paraId="538E27BB" w14:textId="77777777" w:rsidTr="00E66ADD">
        <w:trPr>
          <w:trHeight w:val="134"/>
        </w:trPr>
        <w:tc>
          <w:tcPr>
            <w:tcW w:w="5220" w:type="dxa"/>
          </w:tcPr>
          <w:p w14:paraId="0D326404"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Blocks*</w:t>
            </w:r>
            <w:proofErr w:type="spellStart"/>
            <w:r w:rsidRPr="007321E4">
              <w:rPr>
                <w:rFonts w:ascii="Arial" w:hAnsi="Arial" w:cs="Arial"/>
                <w:bCs/>
                <w:kern w:val="32"/>
                <w:highlight w:val="cyan"/>
                <w:lang w:eastAsia="fr-FR"/>
              </w:rPr>
              <w:t>Traitements</w:t>
            </w:r>
            <w:proofErr w:type="spellEnd"/>
          </w:p>
        </w:tc>
        <w:tc>
          <w:tcPr>
            <w:tcW w:w="2430" w:type="dxa"/>
          </w:tcPr>
          <w:p w14:paraId="61339DC8"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w:t>
            </w:r>
          </w:p>
        </w:tc>
        <w:tc>
          <w:tcPr>
            <w:tcW w:w="1890" w:type="dxa"/>
          </w:tcPr>
          <w:p w14:paraId="1438E191"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0.56***</w:t>
            </w:r>
          </w:p>
        </w:tc>
        <w:tc>
          <w:tcPr>
            <w:tcW w:w="1350" w:type="dxa"/>
          </w:tcPr>
          <w:p w14:paraId="65323E55"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2.91***</w:t>
            </w:r>
          </w:p>
        </w:tc>
      </w:tr>
      <w:tr w:rsidR="00AD3D9C" w:rsidRPr="007321E4" w14:paraId="64CC1698" w14:textId="77777777" w:rsidTr="00E66ADD">
        <w:trPr>
          <w:trHeight w:val="179"/>
        </w:trPr>
        <w:tc>
          <w:tcPr>
            <w:tcW w:w="5220" w:type="dxa"/>
          </w:tcPr>
          <w:p w14:paraId="0F971D82"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Treatments*Storage conditions</w:t>
            </w:r>
          </w:p>
        </w:tc>
        <w:tc>
          <w:tcPr>
            <w:tcW w:w="2430" w:type="dxa"/>
          </w:tcPr>
          <w:p w14:paraId="3353BF45"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w:t>
            </w:r>
          </w:p>
        </w:tc>
        <w:tc>
          <w:tcPr>
            <w:tcW w:w="1890" w:type="dxa"/>
          </w:tcPr>
          <w:p w14:paraId="2EDD9900"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1.39***</w:t>
            </w:r>
          </w:p>
        </w:tc>
        <w:tc>
          <w:tcPr>
            <w:tcW w:w="1350" w:type="dxa"/>
          </w:tcPr>
          <w:p w14:paraId="0643742A"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4.21***</w:t>
            </w:r>
          </w:p>
        </w:tc>
      </w:tr>
      <w:tr w:rsidR="00AD3D9C" w:rsidRPr="007321E4" w14:paraId="1EF195F4" w14:textId="77777777" w:rsidTr="00E66ADD">
        <w:trPr>
          <w:trHeight w:val="278"/>
        </w:trPr>
        <w:tc>
          <w:tcPr>
            <w:tcW w:w="5220" w:type="dxa"/>
          </w:tcPr>
          <w:p w14:paraId="048BACEC"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Storage duration</w:t>
            </w:r>
          </w:p>
        </w:tc>
        <w:tc>
          <w:tcPr>
            <w:tcW w:w="2430" w:type="dxa"/>
          </w:tcPr>
          <w:p w14:paraId="7D759C31"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3</w:t>
            </w:r>
          </w:p>
        </w:tc>
        <w:tc>
          <w:tcPr>
            <w:tcW w:w="1890" w:type="dxa"/>
          </w:tcPr>
          <w:p w14:paraId="23F6086D"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14.83***</w:t>
            </w:r>
          </w:p>
        </w:tc>
        <w:tc>
          <w:tcPr>
            <w:tcW w:w="1350" w:type="dxa"/>
          </w:tcPr>
          <w:p w14:paraId="30AE048E"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2.52***</w:t>
            </w:r>
          </w:p>
        </w:tc>
      </w:tr>
      <w:tr w:rsidR="00AD3D9C" w:rsidRPr="007321E4" w14:paraId="24A12B43" w14:textId="77777777" w:rsidTr="00E66ADD">
        <w:trPr>
          <w:trHeight w:val="152"/>
        </w:trPr>
        <w:tc>
          <w:tcPr>
            <w:tcW w:w="5220" w:type="dxa"/>
          </w:tcPr>
          <w:p w14:paraId="3512675D" w14:textId="77777777" w:rsidR="00AD3D9C" w:rsidRPr="007321E4" w:rsidRDefault="00AD3D9C" w:rsidP="00DC7047">
            <w:pPr>
              <w:tabs>
                <w:tab w:val="left" w:pos="8265"/>
              </w:tabs>
              <w:ind w:left="144" w:right="144"/>
              <w:rPr>
                <w:rFonts w:ascii="Arial" w:hAnsi="Arial" w:cs="Arial"/>
                <w:bCs/>
                <w:kern w:val="32"/>
                <w:highlight w:val="cyan"/>
                <w:lang w:eastAsia="fr-FR"/>
              </w:rPr>
            </w:pPr>
            <w:proofErr w:type="spellStart"/>
            <w:r w:rsidRPr="007321E4">
              <w:rPr>
                <w:rFonts w:ascii="Arial" w:hAnsi="Arial" w:cs="Arial"/>
                <w:bCs/>
                <w:kern w:val="32"/>
                <w:highlight w:val="cyan"/>
                <w:lang w:eastAsia="fr-FR"/>
              </w:rPr>
              <w:t>Sotorage</w:t>
            </w:r>
            <w:proofErr w:type="spellEnd"/>
            <w:r w:rsidRPr="007321E4">
              <w:rPr>
                <w:rFonts w:ascii="Arial" w:hAnsi="Arial" w:cs="Arial"/>
                <w:bCs/>
                <w:kern w:val="32"/>
                <w:highlight w:val="cyan"/>
                <w:lang w:eastAsia="fr-FR"/>
              </w:rPr>
              <w:t xml:space="preserve"> conditions*Blocks</w:t>
            </w:r>
          </w:p>
        </w:tc>
        <w:tc>
          <w:tcPr>
            <w:tcW w:w="2430" w:type="dxa"/>
          </w:tcPr>
          <w:p w14:paraId="1E143DB1"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3</w:t>
            </w:r>
          </w:p>
        </w:tc>
        <w:tc>
          <w:tcPr>
            <w:tcW w:w="1890" w:type="dxa"/>
          </w:tcPr>
          <w:p w14:paraId="098F8027"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0.044NS</w:t>
            </w:r>
          </w:p>
        </w:tc>
        <w:tc>
          <w:tcPr>
            <w:tcW w:w="1350" w:type="dxa"/>
          </w:tcPr>
          <w:p w14:paraId="61340B44"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0.02NS</w:t>
            </w:r>
          </w:p>
        </w:tc>
      </w:tr>
      <w:tr w:rsidR="00AD3D9C" w:rsidRPr="007321E4" w14:paraId="14AF7A97" w14:textId="77777777" w:rsidTr="00E66ADD">
        <w:trPr>
          <w:trHeight w:val="107"/>
        </w:trPr>
        <w:tc>
          <w:tcPr>
            <w:tcW w:w="5220" w:type="dxa"/>
          </w:tcPr>
          <w:p w14:paraId="560570F8"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Storage duration*</w:t>
            </w:r>
            <w:proofErr w:type="spellStart"/>
            <w:r w:rsidRPr="007321E4">
              <w:rPr>
                <w:rFonts w:ascii="Arial" w:hAnsi="Arial" w:cs="Arial"/>
                <w:bCs/>
                <w:kern w:val="32"/>
                <w:highlight w:val="cyan"/>
                <w:lang w:eastAsia="fr-FR"/>
              </w:rPr>
              <w:t>Sturage</w:t>
            </w:r>
            <w:proofErr w:type="spellEnd"/>
            <w:r w:rsidRPr="007321E4">
              <w:rPr>
                <w:rFonts w:ascii="Arial" w:hAnsi="Arial" w:cs="Arial"/>
                <w:bCs/>
                <w:kern w:val="32"/>
                <w:highlight w:val="cyan"/>
                <w:lang w:eastAsia="fr-FR"/>
              </w:rPr>
              <w:t xml:space="preserve"> conditions</w:t>
            </w:r>
          </w:p>
        </w:tc>
        <w:tc>
          <w:tcPr>
            <w:tcW w:w="2430" w:type="dxa"/>
          </w:tcPr>
          <w:p w14:paraId="29CBCCD0"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3</w:t>
            </w:r>
          </w:p>
        </w:tc>
        <w:tc>
          <w:tcPr>
            <w:tcW w:w="1890" w:type="dxa"/>
          </w:tcPr>
          <w:p w14:paraId="0A7CFE90"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0.02NS</w:t>
            </w:r>
          </w:p>
        </w:tc>
        <w:tc>
          <w:tcPr>
            <w:tcW w:w="1350" w:type="dxa"/>
          </w:tcPr>
          <w:p w14:paraId="783E9A39"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0.11**</w:t>
            </w:r>
          </w:p>
        </w:tc>
      </w:tr>
      <w:tr w:rsidR="00AD3D9C" w:rsidRPr="007321E4" w14:paraId="2E899A9D" w14:textId="77777777" w:rsidTr="00E66ADD">
        <w:trPr>
          <w:trHeight w:val="251"/>
        </w:trPr>
        <w:tc>
          <w:tcPr>
            <w:tcW w:w="5220" w:type="dxa"/>
          </w:tcPr>
          <w:p w14:paraId="2AFEAC54"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Storage conditions*Treatments</w:t>
            </w:r>
          </w:p>
        </w:tc>
        <w:tc>
          <w:tcPr>
            <w:tcW w:w="2430" w:type="dxa"/>
          </w:tcPr>
          <w:p w14:paraId="0725D235"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6</w:t>
            </w:r>
          </w:p>
        </w:tc>
        <w:tc>
          <w:tcPr>
            <w:tcW w:w="1890" w:type="dxa"/>
          </w:tcPr>
          <w:p w14:paraId="50FDFDDD"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0.25***</w:t>
            </w:r>
          </w:p>
        </w:tc>
        <w:tc>
          <w:tcPr>
            <w:tcW w:w="1350" w:type="dxa"/>
          </w:tcPr>
          <w:p w14:paraId="3B00F37B"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0.30***</w:t>
            </w:r>
          </w:p>
        </w:tc>
      </w:tr>
      <w:tr w:rsidR="00AD3D9C" w:rsidRPr="007321E4" w14:paraId="5495541A" w14:textId="77777777" w:rsidTr="00E66ADD">
        <w:trPr>
          <w:trHeight w:val="296"/>
        </w:trPr>
        <w:tc>
          <w:tcPr>
            <w:tcW w:w="5220" w:type="dxa"/>
          </w:tcPr>
          <w:p w14:paraId="6FFD4635"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Blocks*Storage conditions*Storage duration</w:t>
            </w:r>
          </w:p>
        </w:tc>
        <w:tc>
          <w:tcPr>
            <w:tcW w:w="2430" w:type="dxa"/>
          </w:tcPr>
          <w:p w14:paraId="627B62E7"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3</w:t>
            </w:r>
          </w:p>
        </w:tc>
        <w:tc>
          <w:tcPr>
            <w:tcW w:w="1890" w:type="dxa"/>
          </w:tcPr>
          <w:p w14:paraId="328E174E"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0.53***</w:t>
            </w:r>
          </w:p>
        </w:tc>
        <w:tc>
          <w:tcPr>
            <w:tcW w:w="1350" w:type="dxa"/>
          </w:tcPr>
          <w:p w14:paraId="1020C795"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0.22***</w:t>
            </w:r>
          </w:p>
        </w:tc>
      </w:tr>
      <w:tr w:rsidR="00AD3D9C" w:rsidRPr="007321E4" w14:paraId="6AE0E685" w14:textId="77777777" w:rsidTr="00E66ADD">
        <w:trPr>
          <w:trHeight w:val="260"/>
        </w:trPr>
        <w:tc>
          <w:tcPr>
            <w:tcW w:w="5220" w:type="dxa"/>
          </w:tcPr>
          <w:p w14:paraId="7FC85364" w14:textId="77777777" w:rsidR="00AD3D9C" w:rsidRPr="007321E4" w:rsidRDefault="00AD3D9C" w:rsidP="00DC7047">
            <w:pPr>
              <w:tabs>
                <w:tab w:val="left" w:pos="8265"/>
              </w:tabs>
              <w:ind w:left="144" w:right="144"/>
              <w:rPr>
                <w:rFonts w:ascii="Arial" w:hAnsi="Arial" w:cs="Arial"/>
                <w:bCs/>
                <w:kern w:val="32"/>
                <w:highlight w:val="cyan"/>
                <w:lang w:eastAsia="fr-FR"/>
              </w:rPr>
            </w:pPr>
            <w:r w:rsidRPr="007321E4">
              <w:rPr>
                <w:rFonts w:ascii="Arial" w:hAnsi="Arial" w:cs="Arial"/>
                <w:bCs/>
                <w:kern w:val="32"/>
                <w:highlight w:val="cyan"/>
                <w:lang w:eastAsia="fr-FR"/>
              </w:rPr>
              <w:t>Storage conditions*treatments*Storage duration</w:t>
            </w:r>
          </w:p>
        </w:tc>
        <w:tc>
          <w:tcPr>
            <w:tcW w:w="2430" w:type="dxa"/>
          </w:tcPr>
          <w:p w14:paraId="43341D63"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6</w:t>
            </w:r>
          </w:p>
        </w:tc>
        <w:tc>
          <w:tcPr>
            <w:tcW w:w="1890" w:type="dxa"/>
          </w:tcPr>
          <w:p w14:paraId="415834C2"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0.93***</w:t>
            </w:r>
          </w:p>
        </w:tc>
        <w:tc>
          <w:tcPr>
            <w:tcW w:w="1350" w:type="dxa"/>
          </w:tcPr>
          <w:p w14:paraId="6FECCF7D" w14:textId="77777777" w:rsidR="00AD3D9C" w:rsidRPr="007321E4" w:rsidRDefault="00AD3D9C" w:rsidP="00DC7047">
            <w:pPr>
              <w:tabs>
                <w:tab w:val="left" w:pos="8265"/>
              </w:tabs>
              <w:ind w:left="144" w:right="144"/>
              <w:jc w:val="center"/>
              <w:rPr>
                <w:rFonts w:ascii="Arial" w:hAnsi="Arial" w:cs="Arial"/>
                <w:bCs/>
                <w:kern w:val="32"/>
                <w:highlight w:val="cyan"/>
                <w:lang w:eastAsia="fr-FR"/>
              </w:rPr>
            </w:pPr>
            <w:r w:rsidRPr="007321E4">
              <w:rPr>
                <w:rFonts w:ascii="Arial" w:hAnsi="Arial" w:cs="Arial"/>
                <w:bCs/>
                <w:kern w:val="32"/>
                <w:highlight w:val="cyan"/>
                <w:lang w:eastAsia="fr-FR"/>
              </w:rPr>
              <w:t>0.50***</w:t>
            </w:r>
          </w:p>
        </w:tc>
      </w:tr>
    </w:tbl>
    <w:p w14:paraId="50F85CC0" w14:textId="6500078B" w:rsidR="00AD3D9C" w:rsidRPr="00D64B89" w:rsidRDefault="00AD3D9C" w:rsidP="00AD3D9C">
      <w:pPr>
        <w:tabs>
          <w:tab w:val="left" w:pos="8265"/>
        </w:tabs>
        <w:ind w:left="144" w:right="144"/>
        <w:rPr>
          <w:rFonts w:ascii="Arial" w:hAnsi="Arial" w:cs="Arial"/>
          <w:sz w:val="18"/>
          <w:szCs w:val="18"/>
        </w:rPr>
      </w:pPr>
      <w:r w:rsidRPr="007321E4">
        <w:rPr>
          <w:rFonts w:ascii="Arial" w:hAnsi="Arial" w:cs="Arial"/>
          <w:b/>
          <w:bCs/>
          <w:sz w:val="18"/>
          <w:szCs w:val="18"/>
          <w:highlight w:val="cyan"/>
        </w:rPr>
        <w:t>S</w:t>
      </w:r>
      <w:r w:rsidRPr="00D64B89">
        <w:rPr>
          <w:rFonts w:ascii="Arial" w:hAnsi="Arial" w:cs="Arial"/>
          <w:b/>
          <w:bCs/>
          <w:sz w:val="18"/>
          <w:szCs w:val="18"/>
          <w:highlight w:val="cyan"/>
        </w:rPr>
        <w:t>ignificance levels:</w:t>
      </w:r>
      <w:r w:rsidRPr="007321E4">
        <w:rPr>
          <w:rFonts w:ascii="Arial" w:hAnsi="Arial" w:cs="Arial"/>
          <w:sz w:val="18"/>
          <w:szCs w:val="18"/>
          <w:highlight w:val="cyan"/>
        </w:rPr>
        <w:t xml:space="preserve"> </w:t>
      </w:r>
      <w:r w:rsidRPr="00D64B89">
        <w:rPr>
          <w:rFonts w:ascii="Arial" w:hAnsi="Arial" w:cs="Arial"/>
          <w:sz w:val="18"/>
          <w:szCs w:val="18"/>
          <w:highlight w:val="cyan"/>
        </w:rPr>
        <w:t>***Highly significant at P &lt; 0.0001</w:t>
      </w:r>
      <w:r w:rsidRPr="007321E4">
        <w:rPr>
          <w:rFonts w:ascii="Arial" w:hAnsi="Arial" w:cs="Arial"/>
          <w:sz w:val="18"/>
          <w:szCs w:val="18"/>
          <w:highlight w:val="cyan"/>
        </w:rPr>
        <w:t xml:space="preserve"> </w:t>
      </w:r>
      <w:r w:rsidRPr="00D64B89">
        <w:rPr>
          <w:rFonts w:ascii="Arial" w:hAnsi="Arial" w:cs="Arial"/>
          <w:sz w:val="18"/>
          <w:szCs w:val="18"/>
          <w:highlight w:val="cyan"/>
        </w:rPr>
        <w:t>**Significant at P &lt; 0.001</w:t>
      </w:r>
      <w:r w:rsidRPr="007321E4">
        <w:rPr>
          <w:rFonts w:ascii="Arial" w:hAnsi="Arial" w:cs="Arial"/>
          <w:sz w:val="18"/>
          <w:szCs w:val="18"/>
          <w:highlight w:val="cyan"/>
        </w:rPr>
        <w:t xml:space="preserve"> </w:t>
      </w:r>
      <w:r w:rsidRPr="00D64B89">
        <w:rPr>
          <w:rFonts w:ascii="Arial" w:hAnsi="Arial" w:cs="Arial"/>
          <w:sz w:val="18"/>
          <w:szCs w:val="18"/>
          <w:highlight w:val="cyan"/>
        </w:rPr>
        <w:t>NS = Not significant at P &gt; 0.05</w:t>
      </w:r>
    </w:p>
    <w:p w14:paraId="630B02E5" w14:textId="77777777" w:rsidR="00AD3D9C" w:rsidRPr="008D626E" w:rsidRDefault="00AD3D9C" w:rsidP="00AD3D9C">
      <w:pPr>
        <w:tabs>
          <w:tab w:val="left" w:pos="8265"/>
        </w:tabs>
        <w:spacing w:line="360" w:lineRule="auto"/>
        <w:rPr>
          <w:rFonts w:ascii="Times New Roman" w:hAnsi="Times New Roman"/>
          <w:bCs/>
          <w:kern w:val="32"/>
          <w:sz w:val="18"/>
          <w:szCs w:val="18"/>
          <w:lang w:eastAsia="fr-FR"/>
        </w:rPr>
      </w:pPr>
    </w:p>
    <w:p w14:paraId="3B24210B" w14:textId="236DC1C8" w:rsidR="003A7C43" w:rsidRDefault="00AD3D9C" w:rsidP="00493743">
      <w:pPr>
        <w:tabs>
          <w:tab w:val="left" w:pos="8265"/>
        </w:tabs>
        <w:jc w:val="both"/>
        <w:rPr>
          <w:rFonts w:ascii="Arial" w:hAnsi="Arial" w:cs="Arial"/>
          <w:sz w:val="22"/>
          <w:szCs w:val="22"/>
        </w:rPr>
      </w:pPr>
      <w:r w:rsidRPr="007321E4">
        <w:rPr>
          <w:rFonts w:ascii="Arial" w:hAnsi="Arial" w:cs="Arial"/>
          <w:bCs/>
          <w:kern w:val="32"/>
          <w:sz w:val="22"/>
          <w:szCs w:val="22"/>
          <w:highlight w:val="cyan"/>
          <w:lang w:eastAsia="fr-FR"/>
        </w:rPr>
        <w:t xml:space="preserve">Significant interactions between treatment and temperature, as well as between treatment and time, highlight that efficacy depends on both environmental conditions and storage duration. While some interactions (e.g., duration × </w:t>
      </w:r>
      <w:r w:rsidR="00DA1E14" w:rsidRPr="007321E4">
        <w:rPr>
          <w:rFonts w:ascii="Arial" w:hAnsi="Arial" w:cs="Arial"/>
          <w:bCs/>
          <w:kern w:val="32"/>
          <w:sz w:val="22"/>
          <w:szCs w:val="22"/>
          <w:highlight w:val="cyan"/>
          <w:lang w:eastAsia="fr-FR"/>
        </w:rPr>
        <w:t>Blocks (Management of bio aggressors</w:t>
      </w:r>
      <w:r w:rsidRPr="007321E4">
        <w:rPr>
          <w:rFonts w:ascii="Arial" w:hAnsi="Arial" w:cs="Arial"/>
          <w:bCs/>
          <w:kern w:val="32"/>
          <w:sz w:val="22"/>
          <w:szCs w:val="22"/>
          <w:highlight w:val="cyan"/>
          <w:lang w:eastAsia="fr-FR"/>
        </w:rPr>
        <w:t>) were not significant, the overall model supports the combined use of bioactive coatings and cold storage as a promising strategy for sustainable mango preservation.</w:t>
      </w:r>
      <w:r w:rsidR="00FA77F7" w:rsidRPr="007321E4">
        <w:rPr>
          <w:rFonts w:ascii="Arial" w:hAnsi="Arial" w:cs="Arial"/>
          <w:bCs/>
          <w:kern w:val="32"/>
          <w:sz w:val="22"/>
          <w:szCs w:val="22"/>
          <w:highlight w:val="cyan"/>
          <w:lang w:eastAsia="fr-FR"/>
        </w:rPr>
        <w:t xml:space="preserve"> </w:t>
      </w:r>
      <w:r w:rsidR="003A7C43" w:rsidRPr="007321E4">
        <w:rPr>
          <w:rFonts w:ascii="Arial" w:hAnsi="Arial" w:cs="Arial"/>
          <w:sz w:val="22"/>
          <w:szCs w:val="22"/>
          <w:highlight w:val="cyan"/>
        </w:rPr>
        <w:t>Storage at 8 °C consistently reduced disease progression compared to 30 °C</w:t>
      </w:r>
      <w:r w:rsidR="00DA1E14" w:rsidRPr="007321E4">
        <w:rPr>
          <w:rFonts w:ascii="Arial" w:hAnsi="Arial" w:cs="Arial"/>
          <w:sz w:val="22"/>
          <w:szCs w:val="22"/>
          <w:highlight w:val="cyan"/>
        </w:rPr>
        <w:t>.</w:t>
      </w:r>
    </w:p>
    <w:p w14:paraId="59F139EA" w14:textId="77777777" w:rsidR="00CB6AF6" w:rsidRDefault="00CB6AF6" w:rsidP="00FA77F7">
      <w:pPr>
        <w:tabs>
          <w:tab w:val="left" w:pos="8265"/>
        </w:tabs>
        <w:rPr>
          <w:rFonts w:ascii="Arial" w:hAnsi="Arial" w:cs="Arial"/>
          <w:sz w:val="22"/>
          <w:szCs w:val="22"/>
        </w:rPr>
      </w:pPr>
    </w:p>
    <w:p w14:paraId="0B7D8904" w14:textId="75FBB1DB" w:rsidR="005172CA" w:rsidRPr="00D25DD3" w:rsidRDefault="00E07BA4" w:rsidP="00D25DD3">
      <w:pPr>
        <w:tabs>
          <w:tab w:val="left" w:pos="8265"/>
        </w:tabs>
        <w:rPr>
          <w:rFonts w:ascii="Arial" w:hAnsi="Arial" w:cs="Arial"/>
          <w:sz w:val="22"/>
          <w:szCs w:val="22"/>
        </w:rPr>
      </w:pPr>
      <w:r>
        <w:rPr>
          <w:rFonts w:ascii="Arial" w:hAnsi="Arial" w:cs="Arial"/>
          <w:sz w:val="22"/>
          <w:szCs w:val="22"/>
        </w:rPr>
        <w:t xml:space="preserve">  </w:t>
      </w:r>
    </w:p>
    <w:p w14:paraId="698A2D32" w14:textId="6B6978F0" w:rsidR="008B39BD" w:rsidRPr="007A4045" w:rsidRDefault="00D25DD3" w:rsidP="00D25DD3">
      <w:pPr>
        <w:tabs>
          <w:tab w:val="left" w:pos="8265"/>
        </w:tabs>
        <w:jc w:val="both"/>
        <w:rPr>
          <w:rFonts w:ascii="Arial" w:hAnsi="Arial" w:cs="Arial"/>
          <w:sz w:val="22"/>
          <w:szCs w:val="22"/>
        </w:rPr>
      </w:pPr>
      <w:r w:rsidRPr="00DA1E14">
        <w:rPr>
          <w:rFonts w:ascii="Arial" w:hAnsi="Arial" w:cs="Arial"/>
          <w:sz w:val="22"/>
          <w:szCs w:val="22"/>
          <w:highlight w:val="cyan"/>
        </w:rPr>
        <w:t>The boxplot of transformed disease severity (√x) showed that treated mangoes maintained higher selectivity over time, particularly under thermal stress, highlighting the protective role of the bioactive coating (Figure 1). These findings support the combined use of natural antifungal agents and cold storage as a promising strategy for sustainable postharvest disease management.</w:t>
      </w:r>
    </w:p>
    <w:p w14:paraId="44D0B327" w14:textId="7414793C" w:rsidR="004B759E" w:rsidRPr="005927C6" w:rsidRDefault="004B759E" w:rsidP="005927C6">
      <w:pPr>
        <w:jc w:val="both"/>
        <w:rPr>
          <w:rFonts w:ascii="Arial" w:hAnsi="Arial" w:cs="Arial"/>
          <w:sz w:val="22"/>
          <w:szCs w:val="22"/>
        </w:rPr>
      </w:pPr>
      <w:r w:rsidRPr="005927C6">
        <w:rPr>
          <w:rFonts w:ascii="Arial" w:hAnsi="Arial" w:cs="Arial"/>
          <w:noProof/>
          <w:sz w:val="22"/>
          <w:szCs w:val="22"/>
        </w:rPr>
        <w:lastRenderedPageBreak/>
        <w:drawing>
          <wp:inline distT="0" distB="0" distL="0" distR="0" wp14:anchorId="12C7A268" wp14:editId="108DAD84">
            <wp:extent cx="4241800" cy="3218304"/>
            <wp:effectExtent l="0" t="0" r="6350" b="1270"/>
            <wp:docPr id="764237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155"/>
                    <a:stretch>
                      <a:fillRect/>
                    </a:stretch>
                  </pic:blipFill>
                  <pic:spPr bwMode="auto">
                    <a:xfrm>
                      <a:off x="0" y="0"/>
                      <a:ext cx="4255745" cy="3228884"/>
                    </a:xfrm>
                    <a:prstGeom prst="rect">
                      <a:avLst/>
                    </a:prstGeom>
                    <a:noFill/>
                    <a:ln>
                      <a:noFill/>
                    </a:ln>
                    <a:extLst>
                      <a:ext uri="{53640926-AAD7-44D8-BBD7-CCE9431645EC}">
                        <a14:shadowObscured xmlns:a14="http://schemas.microsoft.com/office/drawing/2010/main"/>
                      </a:ext>
                    </a:extLst>
                  </pic:spPr>
                </pic:pic>
              </a:graphicData>
            </a:graphic>
          </wp:inline>
        </w:drawing>
      </w:r>
    </w:p>
    <w:p w14:paraId="4D6EEC59" w14:textId="4322E648" w:rsidR="003A7C43" w:rsidRPr="003A7C43" w:rsidRDefault="004B759E" w:rsidP="005927C6">
      <w:pPr>
        <w:jc w:val="both"/>
        <w:rPr>
          <w:rFonts w:ascii="Arial" w:hAnsi="Arial" w:cs="Arial"/>
        </w:rPr>
      </w:pPr>
      <w:r w:rsidRPr="005927C6">
        <w:rPr>
          <w:rFonts w:ascii="Arial" w:hAnsi="Arial" w:cs="Arial"/>
        </w:rPr>
        <w:t xml:space="preserve">Figure 1: </w:t>
      </w:r>
      <w:r w:rsidR="003A7C43" w:rsidRPr="003A7C43">
        <w:rPr>
          <w:rFonts w:ascii="Arial" w:hAnsi="Arial" w:cs="Arial"/>
        </w:rPr>
        <w:t xml:space="preserve">Boxplots of transformed disease severity (√x) in mangoes according to postharvest treatments (T0: water, T1: potato-based bioplastic, T2: bioplastic + lemongrass essential oil), separated by storage block (B1: 8 °C; B2: 30 °C) and field management </w:t>
      </w:r>
      <w:r w:rsidR="003A7C43" w:rsidRPr="00DD1A4D">
        <w:rPr>
          <w:rFonts w:ascii="Arial" w:hAnsi="Arial" w:cs="Arial"/>
          <w:highlight w:val="cyan"/>
        </w:rPr>
        <w:t>(</w:t>
      </w:r>
      <w:r w:rsidR="00877A2B" w:rsidRPr="00DD1A4D">
        <w:rPr>
          <w:rFonts w:ascii="Arial" w:hAnsi="Arial" w:cs="Arial"/>
          <w:highlight w:val="cyan"/>
        </w:rPr>
        <w:t>Field treated</w:t>
      </w:r>
      <w:r w:rsidR="00DD1A4D" w:rsidRPr="00DD1A4D">
        <w:rPr>
          <w:rFonts w:ascii="Arial" w:hAnsi="Arial" w:cs="Arial"/>
          <w:highlight w:val="cyan"/>
        </w:rPr>
        <w:t xml:space="preserve"> mangoes</w:t>
      </w:r>
      <w:r w:rsidR="00877A2B" w:rsidRPr="00DD1A4D">
        <w:rPr>
          <w:rFonts w:ascii="Arial" w:hAnsi="Arial" w:cs="Arial"/>
          <w:highlight w:val="cyan"/>
        </w:rPr>
        <w:t xml:space="preserve"> (</w:t>
      </w:r>
      <w:r w:rsidR="003A7C43" w:rsidRPr="00DD1A4D">
        <w:rPr>
          <w:rFonts w:ascii="Arial" w:hAnsi="Arial" w:cs="Arial"/>
          <w:highlight w:val="cyan"/>
        </w:rPr>
        <w:t>TC</w:t>
      </w:r>
      <w:r w:rsidR="00877A2B" w:rsidRPr="00DD1A4D">
        <w:rPr>
          <w:rFonts w:ascii="Arial" w:hAnsi="Arial" w:cs="Arial"/>
          <w:highlight w:val="cyan"/>
        </w:rPr>
        <w:t>)</w:t>
      </w:r>
      <w:r w:rsidR="003A7C43" w:rsidRPr="00DD1A4D">
        <w:rPr>
          <w:rFonts w:ascii="Arial" w:hAnsi="Arial" w:cs="Arial"/>
          <w:highlight w:val="cyan"/>
        </w:rPr>
        <w:t xml:space="preserve"> vs </w:t>
      </w:r>
      <w:r w:rsidR="00877A2B" w:rsidRPr="00DD1A4D">
        <w:rPr>
          <w:rFonts w:ascii="Arial" w:hAnsi="Arial" w:cs="Arial"/>
          <w:highlight w:val="cyan"/>
        </w:rPr>
        <w:t xml:space="preserve">Field non-treated </w:t>
      </w:r>
      <w:r w:rsidR="00DD1A4D" w:rsidRPr="00DD1A4D">
        <w:rPr>
          <w:rFonts w:ascii="Arial" w:hAnsi="Arial" w:cs="Arial"/>
          <w:highlight w:val="cyan"/>
        </w:rPr>
        <w:t xml:space="preserve">mangoes </w:t>
      </w:r>
      <w:r w:rsidR="00877A2B" w:rsidRPr="00DD1A4D">
        <w:rPr>
          <w:rFonts w:ascii="Arial" w:hAnsi="Arial" w:cs="Arial"/>
          <w:highlight w:val="cyan"/>
        </w:rPr>
        <w:t>(</w:t>
      </w:r>
      <w:r w:rsidR="003A7C43" w:rsidRPr="00DD1A4D">
        <w:rPr>
          <w:rFonts w:ascii="Arial" w:hAnsi="Arial" w:cs="Arial"/>
          <w:highlight w:val="cyan"/>
        </w:rPr>
        <w:t>NTC</w:t>
      </w:r>
      <w:r w:rsidR="00877A2B" w:rsidRPr="00DD1A4D">
        <w:rPr>
          <w:rFonts w:ascii="Arial" w:hAnsi="Arial" w:cs="Arial"/>
          <w:highlight w:val="cyan"/>
        </w:rPr>
        <w:t>)</w:t>
      </w:r>
      <w:r w:rsidR="003A7C43" w:rsidRPr="00DD1A4D">
        <w:rPr>
          <w:rFonts w:ascii="Arial" w:hAnsi="Arial" w:cs="Arial"/>
          <w:highlight w:val="cyan"/>
        </w:rPr>
        <w:t>),</w:t>
      </w:r>
      <w:r w:rsidR="003A7C43" w:rsidRPr="003A7C43">
        <w:rPr>
          <w:rFonts w:ascii="Arial" w:hAnsi="Arial" w:cs="Arial"/>
        </w:rPr>
        <w:t xml:space="preserve"> at each conservation week. Boxes represent interquartile ranges, the line indicates the median, and dots show outliers.</w:t>
      </w:r>
    </w:p>
    <w:p w14:paraId="3BD39793" w14:textId="336DFAC8" w:rsidR="004B759E" w:rsidRPr="005927C6" w:rsidRDefault="004B759E" w:rsidP="005927C6">
      <w:pPr>
        <w:jc w:val="both"/>
        <w:rPr>
          <w:rFonts w:ascii="Arial" w:hAnsi="Arial" w:cs="Arial"/>
        </w:rPr>
      </w:pPr>
    </w:p>
    <w:p w14:paraId="22ECBB52" w14:textId="0B1D839F" w:rsidR="003A7C43" w:rsidRPr="007502BB" w:rsidRDefault="003A7C43" w:rsidP="005927C6">
      <w:pPr>
        <w:jc w:val="both"/>
        <w:rPr>
          <w:rFonts w:ascii="Arial" w:hAnsi="Arial" w:cs="Arial"/>
          <w:b/>
          <w:bCs/>
          <w:sz w:val="22"/>
          <w:szCs w:val="22"/>
          <w:lang w:val="en-GB"/>
        </w:rPr>
      </w:pPr>
    </w:p>
    <w:p w14:paraId="1E6C2239" w14:textId="6B260833" w:rsidR="007A4045" w:rsidRPr="007A4045" w:rsidRDefault="000F3089" w:rsidP="007A4045">
      <w:pPr>
        <w:jc w:val="both"/>
        <w:rPr>
          <w:rFonts w:ascii="Arial" w:hAnsi="Arial" w:cs="Arial"/>
          <w:b/>
          <w:bCs/>
        </w:rPr>
      </w:pPr>
      <w:r w:rsidRPr="00E5751C">
        <w:rPr>
          <w:rFonts w:ascii="Arial" w:hAnsi="Arial" w:cs="Arial"/>
          <w:b/>
          <w:bCs/>
        </w:rPr>
        <w:t>3.</w:t>
      </w:r>
      <w:r w:rsidR="009B7255" w:rsidRPr="00E5751C">
        <w:rPr>
          <w:rFonts w:ascii="Arial" w:hAnsi="Arial" w:cs="Arial"/>
          <w:b/>
          <w:bCs/>
        </w:rPr>
        <w:t>1.</w:t>
      </w:r>
      <w:r w:rsidRPr="00E5751C">
        <w:rPr>
          <w:rFonts w:ascii="Arial" w:hAnsi="Arial" w:cs="Arial"/>
          <w:b/>
          <w:bCs/>
        </w:rPr>
        <w:t xml:space="preserve">2 </w:t>
      </w:r>
      <w:r w:rsidR="007A4045" w:rsidRPr="007A4045">
        <w:rPr>
          <w:rFonts w:ascii="Arial" w:hAnsi="Arial" w:cs="Arial"/>
          <w:b/>
          <w:bCs/>
        </w:rPr>
        <w:t>Temporal Evolution of Disease Severity and Incidence</w:t>
      </w:r>
    </w:p>
    <w:p w14:paraId="2D016810" w14:textId="77777777" w:rsidR="007A4045" w:rsidRDefault="007A4045" w:rsidP="007A4045">
      <w:pPr>
        <w:jc w:val="both"/>
        <w:rPr>
          <w:rFonts w:ascii="Arial" w:hAnsi="Arial" w:cs="Arial"/>
        </w:rPr>
      </w:pPr>
    </w:p>
    <w:p w14:paraId="3CD04F60" w14:textId="1A0BE7E0" w:rsidR="007A4045" w:rsidRPr="007A4045" w:rsidRDefault="007A4045" w:rsidP="007A4045">
      <w:pPr>
        <w:jc w:val="both"/>
        <w:rPr>
          <w:rFonts w:ascii="Arial" w:hAnsi="Arial" w:cs="Arial"/>
          <w:highlight w:val="cyan"/>
        </w:rPr>
      </w:pPr>
      <w:r w:rsidRPr="007A4045">
        <w:rPr>
          <w:rFonts w:ascii="Arial" w:hAnsi="Arial" w:cs="Arial"/>
          <w:highlight w:val="cyan"/>
        </w:rPr>
        <w:t xml:space="preserve">The progression of postharvest disease symptoms over time revealed clear and consistent differences between treatments. Across the eight-week storage period (Figure 2, Figure 3), </w:t>
      </w:r>
      <w:r w:rsidRPr="007A4045">
        <w:rPr>
          <w:rFonts w:ascii="Arial" w:hAnsi="Arial" w:cs="Arial"/>
          <w:b/>
          <w:bCs/>
          <w:highlight w:val="cyan"/>
        </w:rPr>
        <w:t>T0</w:t>
      </w:r>
      <w:r w:rsidRPr="007A4045">
        <w:rPr>
          <w:rFonts w:ascii="Arial" w:hAnsi="Arial" w:cs="Arial"/>
          <w:highlight w:val="cyan"/>
        </w:rPr>
        <w:t xml:space="preserve"> (water) led to a rapid and sustained increase in both severity and incidence. Symptoms intensified early, reaching a plateau by week 6, indicating that untreated mangoes are highly susceptible to pathogen development under ambient conditions. T1 (bioplastic alone) showed intermediate behavior. Initially similar to T0, its curve began to flatten around week 4, suggesting a partial delay in symptom progression. However, the absence of antimicrobial properties limited its effectiveness, and severity remained relatively high by week 8. In contrast, T2 (bioplastic + citronella essential oil) maintained near-zero levels of severity and incidence throughout most of the storage period. The divergence from T0 and T1 became evident from week 3 onward, with T2 showing a delayed onset and significantly reduced symptom expression. This sustained suppression highlights the dual protective effect of T2, combining physical barrier and biochemical inhibition.</w:t>
      </w:r>
    </w:p>
    <w:p w14:paraId="712EE120" w14:textId="77777777" w:rsidR="007A4045" w:rsidRPr="007A4045" w:rsidRDefault="007A4045" w:rsidP="007A4045">
      <w:pPr>
        <w:jc w:val="both"/>
        <w:rPr>
          <w:rFonts w:ascii="Arial" w:hAnsi="Arial" w:cs="Arial"/>
          <w:highlight w:val="cyan"/>
        </w:rPr>
      </w:pPr>
    </w:p>
    <w:p w14:paraId="1E81DDF5" w14:textId="77777777" w:rsidR="007A4045" w:rsidRPr="007A4045" w:rsidRDefault="007A4045" w:rsidP="007A4045">
      <w:pPr>
        <w:jc w:val="both"/>
        <w:rPr>
          <w:rFonts w:ascii="Arial" w:hAnsi="Arial" w:cs="Arial"/>
        </w:rPr>
      </w:pPr>
      <w:r w:rsidRPr="007A4045">
        <w:rPr>
          <w:rFonts w:ascii="Arial" w:hAnsi="Arial" w:cs="Arial"/>
          <w:highlight w:val="cyan"/>
        </w:rPr>
        <w:t>Together, these results demonstrate that T2 is the most effective postharvest treatment, particularly when integrated with cold storage and field management. Its ability to simultaneously limit infection and symptom development positions it as a promising strategy for reducing postharvest losses in mango production.</w:t>
      </w:r>
    </w:p>
    <w:p w14:paraId="6EDB02BE" w14:textId="0D2CD679" w:rsidR="003A7C43" w:rsidRPr="00FB66F7" w:rsidRDefault="003A7C43" w:rsidP="005927C6">
      <w:pPr>
        <w:jc w:val="both"/>
        <w:rPr>
          <w:rFonts w:ascii="Arial" w:hAnsi="Arial" w:cs="Arial"/>
        </w:rPr>
      </w:pPr>
    </w:p>
    <w:p w14:paraId="3375BBBE" w14:textId="77777777" w:rsidR="003A7C43" w:rsidRPr="00FB66F7" w:rsidRDefault="003A7C43" w:rsidP="005927C6">
      <w:pPr>
        <w:jc w:val="both"/>
        <w:rPr>
          <w:rFonts w:ascii="Arial" w:hAnsi="Arial" w:cs="Arial"/>
          <w:b/>
          <w:bCs/>
          <w:sz w:val="22"/>
          <w:szCs w:val="22"/>
        </w:rPr>
      </w:pPr>
    </w:p>
    <w:p w14:paraId="5566599D" w14:textId="0B6CCC37" w:rsidR="003A7C43" w:rsidRPr="003A7C43" w:rsidRDefault="007A4045" w:rsidP="005927C6">
      <w:pPr>
        <w:jc w:val="both"/>
        <w:rPr>
          <w:rFonts w:ascii="Arial" w:hAnsi="Arial" w:cs="Arial"/>
          <w:b/>
          <w:bCs/>
          <w:sz w:val="22"/>
          <w:szCs w:val="22"/>
        </w:rPr>
      </w:pPr>
      <w:r w:rsidRPr="005927C6">
        <w:rPr>
          <w:rFonts w:ascii="Arial" w:hAnsi="Arial" w:cs="Arial"/>
          <w:noProof/>
        </w:rPr>
        <mc:AlternateContent>
          <mc:Choice Requires="wps">
            <w:drawing>
              <wp:anchor distT="0" distB="0" distL="114300" distR="114300" simplePos="0" relativeHeight="251661312" behindDoc="0" locked="0" layoutInCell="1" allowOverlap="1" wp14:anchorId="66C7A932" wp14:editId="7DEAA258">
                <wp:simplePos x="0" y="0"/>
                <wp:positionH relativeFrom="margin">
                  <wp:posOffset>2633980</wp:posOffset>
                </wp:positionH>
                <wp:positionV relativeFrom="paragraph">
                  <wp:posOffset>1776730</wp:posOffset>
                </wp:positionV>
                <wp:extent cx="2578100" cy="553720"/>
                <wp:effectExtent l="0" t="0" r="0" b="0"/>
                <wp:wrapNone/>
                <wp:docPr id="13" name="TextBox 12">
                  <a:extLst xmlns:a="http://schemas.openxmlformats.org/drawingml/2006/main">
                    <a:ext uri="{FF2B5EF4-FFF2-40B4-BE49-F238E27FC236}">
                      <a16:creationId xmlns:a16="http://schemas.microsoft.com/office/drawing/2014/main" id="{B0F9EDFA-FA47-D9F3-7161-BA4286BAE9F9}"/>
                    </a:ext>
                  </a:extLst>
                </wp:docPr>
                <wp:cNvGraphicFramePr/>
                <a:graphic xmlns:a="http://schemas.openxmlformats.org/drawingml/2006/main">
                  <a:graphicData uri="http://schemas.microsoft.com/office/word/2010/wordprocessingShape">
                    <wps:wsp>
                      <wps:cNvSpPr txBox="1"/>
                      <wps:spPr>
                        <a:xfrm>
                          <a:off x="0" y="0"/>
                          <a:ext cx="2578100" cy="553720"/>
                        </a:xfrm>
                        <a:prstGeom prst="rect">
                          <a:avLst/>
                        </a:prstGeom>
                        <a:noFill/>
                      </wps:spPr>
                      <wps:txbx>
                        <w:txbxContent>
                          <w:p w14:paraId="71908B14" w14:textId="77777777" w:rsidR="00AD4661" w:rsidRPr="00AD4661" w:rsidRDefault="00AD4661" w:rsidP="00AD4661">
                            <w:pPr>
                              <w:jc w:val="both"/>
                              <w:rPr>
                                <w:rFonts w:ascii="Arial" w:hAnsi="Arial" w:cstheme="minorBidi"/>
                                <w:color w:val="000000" w:themeColor="text1"/>
                                <w:kern w:val="24"/>
                                <w:sz w:val="16"/>
                                <w:szCs w:val="16"/>
                              </w:rPr>
                            </w:pPr>
                            <w:r w:rsidRPr="00AD4661">
                              <w:rPr>
                                <w:rFonts w:ascii="Arial" w:hAnsi="Arial" w:cstheme="minorBidi"/>
                                <w:color w:val="000000" w:themeColor="text1"/>
                                <w:kern w:val="24"/>
                                <w:sz w:val="16"/>
                                <w:szCs w:val="16"/>
                              </w:rPr>
                              <w:t>Figure 3. Temporal evolution (mean ± standard error) of transformed disease incidence (</w:t>
                            </w:r>
                            <w:proofErr w:type="spellStart"/>
                            <w:r w:rsidRPr="00AD4661">
                              <w:rPr>
                                <w:rFonts w:ascii="Arial" w:hAnsi="Arial" w:cstheme="minorBidi"/>
                                <w:color w:val="000000" w:themeColor="text1"/>
                                <w:kern w:val="24"/>
                                <w:sz w:val="16"/>
                                <w:szCs w:val="16"/>
                              </w:rPr>
                              <w:t>arcsin√p</w:t>
                            </w:r>
                            <w:proofErr w:type="spellEnd"/>
                            <w:r w:rsidRPr="00AD4661">
                              <w:rPr>
                                <w:rFonts w:ascii="Arial" w:hAnsi="Arial" w:cstheme="minorBidi"/>
                                <w:color w:val="000000" w:themeColor="text1"/>
                                <w:kern w:val="24"/>
                                <w:sz w:val="16"/>
                                <w:szCs w:val="16"/>
                              </w:rPr>
                              <w:t>) in mangoes according to postharvest treatments, shown separately for B1 (8 °C) and B2 (30 °C).</w:t>
                            </w:r>
                          </w:p>
                        </w:txbxContent>
                      </wps:txbx>
                      <wps:bodyPr wrap="square">
                        <a:spAutoFit/>
                      </wps:bodyPr>
                    </wps:wsp>
                  </a:graphicData>
                </a:graphic>
                <wp14:sizeRelH relativeFrom="margin">
                  <wp14:pctWidth>0</wp14:pctWidth>
                </wp14:sizeRelH>
              </wp:anchor>
            </w:drawing>
          </mc:Choice>
          <mc:Fallback>
            <w:pict>
              <v:shapetype w14:anchorId="66C7A932" id="_x0000_t202" coordsize="21600,21600" o:spt="202" path="m,l,21600r21600,l21600,xe">
                <v:stroke joinstyle="miter"/>
                <v:path gradientshapeok="t" o:connecttype="rect"/>
              </v:shapetype>
              <v:shape id="TextBox 12" o:spid="_x0000_s1026" type="#_x0000_t202" style="position:absolute;left:0;text-align:left;margin-left:207.4pt;margin-top:139.9pt;width:203pt;height:43.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" filled="f" stroked="f">
                <v:textbox style="mso-fit-shape-to-text:t">
                  <w:txbxContent>
                    <w:p w14:paraId="71908B14" w14:textId="77777777" w:rsidR="00AD4661" w:rsidRPr="00AD4661" w:rsidRDefault="00AD4661" w:rsidP="00AD4661">
                      <w:pPr>
                        <w:jc w:val="both"/>
                        <w:rPr>
                          <w:rFonts w:ascii="Arial" w:hAnsi="Arial" w:cstheme="minorBidi"/>
                          <w:color w:val="000000" w:themeColor="text1"/>
                          <w:kern w:val="24"/>
                          <w:sz w:val="16"/>
                          <w:szCs w:val="16"/>
                        </w:rPr>
                      </w:pPr>
                      <w:r w:rsidRPr="00AD4661">
                        <w:rPr>
                          <w:rFonts w:ascii="Arial" w:hAnsi="Arial" w:cstheme="minorBidi"/>
                          <w:color w:val="000000" w:themeColor="text1"/>
                          <w:kern w:val="24"/>
                          <w:sz w:val="16"/>
                          <w:szCs w:val="16"/>
                        </w:rPr>
                        <w:t>Figure 3. Temporal evolution (mean ± standard error) of transformed disease incidence (</w:t>
                      </w:r>
                      <w:proofErr w:type="spellStart"/>
                      <w:r w:rsidRPr="00AD4661">
                        <w:rPr>
                          <w:rFonts w:ascii="Arial" w:hAnsi="Arial" w:cstheme="minorBidi"/>
                          <w:color w:val="000000" w:themeColor="text1"/>
                          <w:kern w:val="24"/>
                          <w:sz w:val="16"/>
                          <w:szCs w:val="16"/>
                        </w:rPr>
                        <w:t>arcsin√p</w:t>
                      </w:r>
                      <w:proofErr w:type="spellEnd"/>
                      <w:r w:rsidRPr="00AD4661">
                        <w:rPr>
                          <w:rFonts w:ascii="Arial" w:hAnsi="Arial" w:cstheme="minorBidi"/>
                          <w:color w:val="000000" w:themeColor="text1"/>
                          <w:kern w:val="24"/>
                          <w:sz w:val="16"/>
                          <w:szCs w:val="16"/>
                        </w:rPr>
                        <w:t>) in mangoes according to postharvest treatments, shown separately for B1 (8 °C) and B2 (30 °C).</w:t>
                      </w:r>
                    </w:p>
                  </w:txbxContent>
                </v:textbox>
                <w10:wrap anchorx="margin"/>
              </v:shape>
            </w:pict>
          </mc:Fallback>
        </mc:AlternateContent>
      </w:r>
      <w:r w:rsidRPr="005927C6">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1A49F2CA" wp14:editId="67E3031D">
                <wp:simplePos x="0" y="0"/>
                <wp:positionH relativeFrom="margin">
                  <wp:posOffset>18415</wp:posOffset>
                </wp:positionH>
                <wp:positionV relativeFrom="paragraph">
                  <wp:posOffset>1798955</wp:posOffset>
                </wp:positionV>
                <wp:extent cx="2453005" cy="967740"/>
                <wp:effectExtent l="0" t="0" r="0" b="0"/>
                <wp:wrapNone/>
                <wp:docPr id="11" name="TextBox 10">
                  <a:extLst xmlns:a="http://schemas.openxmlformats.org/drawingml/2006/main">
                    <a:ext uri="{FF2B5EF4-FFF2-40B4-BE49-F238E27FC236}">
                      <a16:creationId xmlns:a16="http://schemas.microsoft.com/office/drawing/2014/main" id="{059B35C0-F1E3-3F9E-C7AE-57705F4B59D8}"/>
                    </a:ext>
                  </a:extLst>
                </wp:docPr>
                <wp:cNvGraphicFramePr/>
                <a:graphic xmlns:a="http://schemas.openxmlformats.org/drawingml/2006/main">
                  <a:graphicData uri="http://schemas.microsoft.com/office/word/2010/wordprocessingShape">
                    <wps:wsp>
                      <wps:cNvSpPr txBox="1"/>
                      <wps:spPr>
                        <a:xfrm>
                          <a:off x="0" y="0"/>
                          <a:ext cx="2453005" cy="967740"/>
                        </a:xfrm>
                        <a:prstGeom prst="rect">
                          <a:avLst/>
                        </a:prstGeom>
                        <a:noFill/>
                      </wps:spPr>
                      <wps:txbx>
                        <w:txbxContent>
                          <w:p w14:paraId="79379AFA" w14:textId="77777777" w:rsidR="000F3089" w:rsidRPr="000F3089" w:rsidRDefault="000F3089" w:rsidP="000F3089">
                            <w:pPr>
                              <w:jc w:val="both"/>
                              <w:rPr>
                                <w:rFonts w:ascii="Arial" w:hAnsi="Arial" w:cs="Arial"/>
                                <w:b/>
                                <w:bCs/>
                                <w:color w:val="000000" w:themeColor="text1"/>
                                <w:kern w:val="24"/>
                                <w:sz w:val="16"/>
                                <w:szCs w:val="16"/>
                              </w:rPr>
                            </w:pPr>
                            <w:r w:rsidRPr="000F3089">
                              <w:rPr>
                                <w:rFonts w:ascii="Arial" w:hAnsi="Arial" w:cs="Arial"/>
                                <w:b/>
                                <w:bCs/>
                                <w:color w:val="000000" w:themeColor="text1"/>
                                <w:kern w:val="24"/>
                                <w:sz w:val="16"/>
                                <w:szCs w:val="16"/>
                              </w:rPr>
                              <w:t xml:space="preserve">Figure 2. </w:t>
                            </w:r>
                            <w:r w:rsidRPr="000F3089">
                              <w:rPr>
                                <w:rFonts w:ascii="Arial" w:hAnsi="Arial" w:cs="Arial"/>
                                <w:color w:val="000000" w:themeColor="text1"/>
                                <w:kern w:val="24"/>
                                <w:sz w:val="16"/>
                                <w:szCs w:val="16"/>
                              </w:rPr>
                              <w:t>Temporal evolution (mean ± standard error) of transformed disease severity (√x) in mangoes according to postharvest treatments, shown separately for B1 (8 °C) and B2 (30 °C).</w:t>
                            </w:r>
                            <w:r w:rsidRPr="000F3089">
                              <w:rPr>
                                <w:rFonts w:ascii="Arial" w:hAnsi="Arial" w:cs="Arial"/>
                                <w:b/>
                                <w:bCs/>
                                <w:color w:val="000000" w:themeColor="text1"/>
                                <w:kern w:val="24"/>
                                <w:sz w:val="16"/>
                                <w:szCs w:val="16"/>
                              </w:rPr>
                              <w:t>l</w:t>
                            </w:r>
                          </w:p>
                        </w:txbxContent>
                      </wps:txbx>
                      <wps:bodyPr wrap="square">
                        <a:spAutoFit/>
                      </wps:bodyPr>
                    </wps:wsp>
                  </a:graphicData>
                </a:graphic>
                <wp14:sizeRelH relativeFrom="margin">
                  <wp14:pctWidth>0</wp14:pctWidth>
                </wp14:sizeRelH>
              </wp:anchor>
            </w:drawing>
          </mc:Choice>
          <mc:Fallback>
            <w:pict>
              <v:shape w14:anchorId="1A49F2CA" id="TextBox 10" o:spid="_x0000_s1027" type="#_x0000_t202" style="position:absolute;left:0;text-align:left;margin-left:1.45pt;margin-top:141.65pt;width:193.15pt;height:76.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" filled="f" stroked="f">
                <v:textbox style="mso-fit-shape-to-text:t">
                  <w:txbxContent>
                    <w:p w14:paraId="79379AFA" w14:textId="77777777" w:rsidR="000F3089" w:rsidRPr="000F3089" w:rsidRDefault="000F3089" w:rsidP="000F3089">
                      <w:pPr>
                        <w:jc w:val="both"/>
                        <w:rPr>
                          <w:rFonts w:ascii="Arial" w:hAnsi="Arial" w:cs="Arial"/>
                          <w:b/>
                          <w:bCs/>
                          <w:color w:val="000000" w:themeColor="text1"/>
                          <w:kern w:val="24"/>
                          <w:sz w:val="16"/>
                          <w:szCs w:val="16"/>
                        </w:rPr>
                      </w:pPr>
                      <w:r w:rsidRPr="000F3089">
                        <w:rPr>
                          <w:rFonts w:ascii="Arial" w:hAnsi="Arial" w:cs="Arial"/>
                          <w:b/>
                          <w:bCs/>
                          <w:color w:val="000000" w:themeColor="text1"/>
                          <w:kern w:val="24"/>
                          <w:sz w:val="16"/>
                          <w:szCs w:val="16"/>
                        </w:rPr>
                        <w:t xml:space="preserve">Figure 2. </w:t>
                      </w:r>
                      <w:r w:rsidRPr="000F3089">
                        <w:rPr>
                          <w:rFonts w:ascii="Arial" w:hAnsi="Arial" w:cs="Arial"/>
                          <w:color w:val="000000" w:themeColor="text1"/>
                          <w:kern w:val="24"/>
                          <w:sz w:val="16"/>
                          <w:szCs w:val="16"/>
                        </w:rPr>
                        <w:t>Temporal evolution (mean ± standard error) of transformed disease severity (√x) in mangoes according to postharvest treatments, shown separately for B1 (8 °C) and B2 (30 °C).</w:t>
                      </w:r>
                      <w:r w:rsidRPr="000F3089">
                        <w:rPr>
                          <w:rFonts w:ascii="Arial" w:hAnsi="Arial" w:cs="Arial"/>
                          <w:b/>
                          <w:bCs/>
                          <w:color w:val="000000" w:themeColor="text1"/>
                          <w:kern w:val="24"/>
                          <w:sz w:val="16"/>
                          <w:szCs w:val="16"/>
                        </w:rPr>
                        <w:t>l</w:t>
                      </w:r>
                    </w:p>
                  </w:txbxContent>
                </v:textbox>
                <w10:wrap anchorx="margin"/>
              </v:shape>
            </w:pict>
          </mc:Fallback>
        </mc:AlternateContent>
      </w:r>
      <w:r w:rsidR="000F3089" w:rsidRPr="005927C6">
        <w:rPr>
          <w:rFonts w:ascii="Arial" w:hAnsi="Arial" w:cs="Arial"/>
          <w:b/>
          <w:bCs/>
          <w:noProof/>
          <w:sz w:val="22"/>
          <w:szCs w:val="22"/>
        </w:rPr>
        <w:drawing>
          <wp:inline distT="0" distB="0" distL="0" distR="0" wp14:anchorId="228980EF" wp14:editId="6396F849">
            <wp:extent cx="4963768" cy="1773252"/>
            <wp:effectExtent l="0" t="0" r="8890" b="0"/>
            <wp:docPr id="12036857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979"/>
                    <a:stretch>
                      <a:fillRect/>
                    </a:stretch>
                  </pic:blipFill>
                  <pic:spPr bwMode="auto">
                    <a:xfrm>
                      <a:off x="0" y="0"/>
                      <a:ext cx="5090292" cy="1818451"/>
                    </a:xfrm>
                    <a:prstGeom prst="rect">
                      <a:avLst/>
                    </a:prstGeom>
                    <a:noFill/>
                    <a:ln>
                      <a:noFill/>
                    </a:ln>
                    <a:extLst>
                      <a:ext uri="{53640926-AAD7-44D8-BBD7-CCE9431645EC}">
                        <a14:shadowObscured xmlns:a14="http://schemas.microsoft.com/office/drawing/2010/main"/>
                      </a:ext>
                    </a:extLst>
                  </pic:spPr>
                </pic:pic>
              </a:graphicData>
            </a:graphic>
          </wp:inline>
        </w:drawing>
      </w:r>
      <w:r w:rsidR="003A7C43" w:rsidRPr="003A7C43">
        <w:rPr>
          <w:rFonts w:ascii="Arial" w:hAnsi="Arial" w:cs="Arial"/>
          <w:b/>
          <w:bCs/>
          <w:sz w:val="22"/>
          <w:szCs w:val="22"/>
        </w:rPr>
        <w:br/>
      </w:r>
    </w:p>
    <w:p w14:paraId="5A2C9B96" w14:textId="77777777" w:rsidR="009B7255" w:rsidRDefault="009B7255" w:rsidP="005927C6">
      <w:pPr>
        <w:jc w:val="both"/>
        <w:rPr>
          <w:rFonts w:ascii="Arial" w:hAnsi="Arial" w:cs="Arial"/>
        </w:rPr>
      </w:pPr>
    </w:p>
    <w:p w14:paraId="64E607BC" w14:textId="215D0CCC" w:rsidR="00176F3B" w:rsidRDefault="009B7255" w:rsidP="005927C6">
      <w:pPr>
        <w:jc w:val="both"/>
        <w:rPr>
          <w:rFonts w:ascii="Arial" w:hAnsi="Arial" w:cs="Arial"/>
          <w:sz w:val="22"/>
          <w:szCs w:val="22"/>
        </w:rPr>
      </w:pPr>
      <w:r w:rsidRPr="00E5751C">
        <w:rPr>
          <w:rFonts w:ascii="Arial" w:hAnsi="Arial" w:cs="Arial"/>
          <w:b/>
          <w:bCs/>
        </w:rPr>
        <w:lastRenderedPageBreak/>
        <w:t xml:space="preserve">3.1.3 </w:t>
      </w:r>
      <w:r w:rsidR="00CE2147" w:rsidRPr="00CE2147">
        <w:rPr>
          <w:rFonts w:ascii="Arial" w:hAnsi="Arial" w:cs="Arial"/>
          <w:b/>
          <w:bCs/>
          <w:sz w:val="22"/>
          <w:szCs w:val="22"/>
        </w:rPr>
        <w:t>Effect of Postharvest Treatments on Disease Severity and Incidence in Stored Mangoes</w:t>
      </w:r>
    </w:p>
    <w:p w14:paraId="4295B487" w14:textId="77777777" w:rsidR="00CE2147" w:rsidRPr="003A7C43" w:rsidRDefault="00CE2147" w:rsidP="005927C6">
      <w:pPr>
        <w:jc w:val="both"/>
        <w:rPr>
          <w:rFonts w:ascii="Arial" w:hAnsi="Arial" w:cs="Arial"/>
          <w:b/>
          <w:bCs/>
          <w:sz w:val="22"/>
          <w:szCs w:val="22"/>
        </w:rPr>
      </w:pPr>
    </w:p>
    <w:p w14:paraId="43C661FD" w14:textId="495ABECC" w:rsidR="00507260" w:rsidRPr="007A4045" w:rsidRDefault="00507260" w:rsidP="00507260">
      <w:pPr>
        <w:jc w:val="both"/>
        <w:rPr>
          <w:rFonts w:ascii="Arial" w:hAnsi="Arial" w:cs="Arial"/>
          <w:sz w:val="22"/>
          <w:szCs w:val="22"/>
          <w:highlight w:val="cyan"/>
        </w:rPr>
      </w:pPr>
      <w:r w:rsidRPr="007A4045">
        <w:rPr>
          <w:rFonts w:ascii="Arial" w:hAnsi="Arial" w:cs="Arial"/>
          <w:sz w:val="22"/>
          <w:szCs w:val="22"/>
          <w:highlight w:val="cyan"/>
        </w:rPr>
        <w:t>Tukey’s tests (p &lt; 0.05) confirmed that T2 differed significantly from T0 and T1 in most cases</w:t>
      </w:r>
      <w:r w:rsidR="007A4045" w:rsidRPr="007A4045">
        <w:rPr>
          <w:rFonts w:ascii="Arial" w:hAnsi="Arial" w:cs="Arial"/>
          <w:sz w:val="22"/>
          <w:szCs w:val="22"/>
          <w:highlight w:val="cyan"/>
        </w:rPr>
        <w:t xml:space="preserve"> (Table 2)</w:t>
      </w:r>
      <w:r w:rsidRPr="007A4045">
        <w:rPr>
          <w:rFonts w:ascii="Arial" w:hAnsi="Arial" w:cs="Arial"/>
          <w:sz w:val="22"/>
          <w:szCs w:val="22"/>
          <w:highlight w:val="cyan"/>
        </w:rPr>
        <w:t>, with larger gaps observed at weeks 6 and 8.</w:t>
      </w:r>
    </w:p>
    <w:p w14:paraId="722CF3DA" w14:textId="77777777" w:rsidR="00507260" w:rsidRPr="007A4045" w:rsidRDefault="00507260" w:rsidP="00507260">
      <w:pPr>
        <w:autoSpaceDE w:val="0"/>
        <w:autoSpaceDN w:val="0"/>
        <w:adjustRightInd w:val="0"/>
        <w:spacing w:line="300" w:lineRule="exact"/>
        <w:rPr>
          <w:rFonts w:ascii="Arial" w:hAnsi="Arial" w:cs="Arial"/>
          <w:b/>
          <w:bCs/>
          <w:sz w:val="22"/>
          <w:szCs w:val="22"/>
          <w:highlight w:val="cyan"/>
        </w:rPr>
      </w:pPr>
    </w:p>
    <w:p w14:paraId="4193D9E5" w14:textId="77777777" w:rsidR="00507260" w:rsidRPr="007A4045" w:rsidRDefault="00507260" w:rsidP="00507260">
      <w:pPr>
        <w:autoSpaceDE w:val="0"/>
        <w:autoSpaceDN w:val="0"/>
        <w:adjustRightInd w:val="0"/>
        <w:spacing w:line="300" w:lineRule="exact"/>
        <w:rPr>
          <w:rFonts w:ascii="Arial" w:hAnsi="Arial" w:cs="Arial"/>
          <w:sz w:val="22"/>
          <w:szCs w:val="22"/>
          <w:highlight w:val="cyan"/>
        </w:rPr>
      </w:pPr>
      <w:r w:rsidRPr="007A4045">
        <w:rPr>
          <w:rFonts w:ascii="Arial" w:hAnsi="Arial" w:cs="Arial"/>
          <w:b/>
          <w:bCs/>
          <w:sz w:val="22"/>
          <w:szCs w:val="22"/>
          <w:highlight w:val="cyan"/>
        </w:rPr>
        <w:t>Table 2.</w:t>
      </w:r>
      <w:r w:rsidRPr="007A4045">
        <w:rPr>
          <w:rFonts w:ascii="Arial" w:hAnsi="Arial" w:cs="Arial"/>
          <w:sz w:val="22"/>
          <w:szCs w:val="22"/>
          <w:highlight w:val="cyan"/>
        </w:rPr>
        <w:t xml:space="preserve"> Effect of Postharvest Treatments on Disease Severity and Incidence in Stored Mangoes</w:t>
      </w:r>
    </w:p>
    <w:tbl>
      <w:tblPr>
        <w:tblStyle w:val="TableGrid"/>
        <w:tblW w:w="0" w:type="auto"/>
        <w:tblLook w:val="04A0" w:firstRow="1" w:lastRow="0" w:firstColumn="1" w:lastColumn="0" w:noHBand="0" w:noVBand="1"/>
      </w:tblPr>
      <w:tblGrid>
        <w:gridCol w:w="3596"/>
        <w:gridCol w:w="1598"/>
        <w:gridCol w:w="2665"/>
      </w:tblGrid>
      <w:tr w:rsidR="00507260" w:rsidRPr="007A4045" w14:paraId="48F1244F" w14:textId="77777777" w:rsidTr="00DC7047">
        <w:tc>
          <w:tcPr>
            <w:tcW w:w="3596" w:type="dxa"/>
            <w:vMerge w:val="restart"/>
          </w:tcPr>
          <w:p w14:paraId="601B0F04" w14:textId="77777777" w:rsidR="00507260" w:rsidRPr="007A4045" w:rsidRDefault="00507260" w:rsidP="00DC7047">
            <w:pPr>
              <w:tabs>
                <w:tab w:val="left" w:pos="8265"/>
              </w:tabs>
              <w:rPr>
                <w:rFonts w:ascii="Arial" w:hAnsi="Arial" w:cs="Arial"/>
                <w:highlight w:val="cyan"/>
              </w:rPr>
            </w:pPr>
          </w:p>
          <w:p w14:paraId="091BEAB7" w14:textId="77777777" w:rsidR="00507260" w:rsidRPr="007A4045" w:rsidRDefault="00507260" w:rsidP="00DC7047">
            <w:pPr>
              <w:tabs>
                <w:tab w:val="left" w:pos="8265"/>
              </w:tabs>
              <w:rPr>
                <w:rFonts w:ascii="Arial" w:hAnsi="Arial" w:cs="Arial"/>
                <w:b/>
                <w:bCs/>
                <w:highlight w:val="cyan"/>
              </w:rPr>
            </w:pPr>
            <w:r w:rsidRPr="007A4045">
              <w:rPr>
                <w:rFonts w:ascii="Arial" w:hAnsi="Arial" w:cs="Arial"/>
                <w:b/>
                <w:bCs/>
                <w:highlight w:val="cyan"/>
              </w:rPr>
              <w:t>Treatments</w:t>
            </w:r>
          </w:p>
        </w:tc>
        <w:tc>
          <w:tcPr>
            <w:tcW w:w="4263" w:type="dxa"/>
            <w:gridSpan w:val="2"/>
          </w:tcPr>
          <w:p w14:paraId="0F08354B" w14:textId="77777777" w:rsidR="00507260" w:rsidRPr="007A4045" w:rsidRDefault="00507260" w:rsidP="00DC7047">
            <w:pPr>
              <w:tabs>
                <w:tab w:val="left" w:pos="8265"/>
              </w:tabs>
              <w:jc w:val="center"/>
              <w:rPr>
                <w:rFonts w:ascii="Arial" w:hAnsi="Arial" w:cs="Arial"/>
                <w:b/>
                <w:bCs/>
                <w:highlight w:val="cyan"/>
              </w:rPr>
            </w:pPr>
            <w:r w:rsidRPr="007A4045">
              <w:rPr>
                <w:rFonts w:ascii="Arial" w:hAnsi="Arial" w:cs="Arial"/>
                <w:b/>
                <w:bCs/>
                <w:highlight w:val="cyan"/>
              </w:rPr>
              <w:t>Impact on mango diseases in storage</w:t>
            </w:r>
          </w:p>
        </w:tc>
      </w:tr>
      <w:tr w:rsidR="00507260" w:rsidRPr="007A4045" w14:paraId="0168BEB0" w14:textId="77777777" w:rsidTr="00DC7047">
        <w:tc>
          <w:tcPr>
            <w:tcW w:w="3596" w:type="dxa"/>
            <w:vMerge/>
          </w:tcPr>
          <w:p w14:paraId="660ACF07" w14:textId="77777777" w:rsidR="00507260" w:rsidRPr="007A4045" w:rsidRDefault="00507260" w:rsidP="00DC7047">
            <w:pPr>
              <w:tabs>
                <w:tab w:val="left" w:pos="8265"/>
              </w:tabs>
              <w:rPr>
                <w:rFonts w:ascii="Arial" w:hAnsi="Arial" w:cs="Arial"/>
                <w:highlight w:val="cyan"/>
              </w:rPr>
            </w:pPr>
          </w:p>
        </w:tc>
        <w:tc>
          <w:tcPr>
            <w:tcW w:w="1598" w:type="dxa"/>
          </w:tcPr>
          <w:p w14:paraId="47B521B3" w14:textId="77777777" w:rsidR="00507260" w:rsidRPr="007A4045" w:rsidRDefault="00507260" w:rsidP="00DC7047">
            <w:pPr>
              <w:tabs>
                <w:tab w:val="left" w:pos="8265"/>
              </w:tabs>
              <w:jc w:val="center"/>
              <w:rPr>
                <w:rFonts w:ascii="Arial" w:hAnsi="Arial" w:cs="Arial"/>
                <w:b/>
                <w:bCs/>
                <w:highlight w:val="cyan"/>
              </w:rPr>
            </w:pPr>
            <w:r w:rsidRPr="007A4045">
              <w:rPr>
                <w:rFonts w:ascii="Arial" w:hAnsi="Arial" w:cs="Arial"/>
                <w:b/>
                <w:bCs/>
                <w:highlight w:val="cyan"/>
              </w:rPr>
              <w:t>Severity (%)</w:t>
            </w:r>
          </w:p>
        </w:tc>
        <w:tc>
          <w:tcPr>
            <w:tcW w:w="2665" w:type="dxa"/>
          </w:tcPr>
          <w:p w14:paraId="0ADAA7EC" w14:textId="77777777" w:rsidR="00507260" w:rsidRPr="007A4045" w:rsidRDefault="00507260" w:rsidP="00DC7047">
            <w:pPr>
              <w:tabs>
                <w:tab w:val="left" w:pos="8265"/>
              </w:tabs>
              <w:jc w:val="center"/>
              <w:rPr>
                <w:rFonts w:ascii="Arial" w:hAnsi="Arial" w:cs="Arial"/>
                <w:b/>
                <w:bCs/>
                <w:highlight w:val="cyan"/>
              </w:rPr>
            </w:pPr>
            <w:r w:rsidRPr="007A4045">
              <w:rPr>
                <w:rFonts w:ascii="Arial" w:hAnsi="Arial" w:cs="Arial"/>
                <w:b/>
                <w:bCs/>
                <w:highlight w:val="cyan"/>
              </w:rPr>
              <w:t>Incidence (%)</w:t>
            </w:r>
          </w:p>
        </w:tc>
      </w:tr>
      <w:tr w:rsidR="00507260" w:rsidRPr="007A4045" w14:paraId="78C4B038" w14:textId="77777777" w:rsidTr="00DC7047">
        <w:tc>
          <w:tcPr>
            <w:tcW w:w="3596" w:type="dxa"/>
          </w:tcPr>
          <w:p w14:paraId="2A681106" w14:textId="77777777" w:rsidR="00507260" w:rsidRPr="007A4045" w:rsidRDefault="00507260" w:rsidP="00DC7047">
            <w:pPr>
              <w:tabs>
                <w:tab w:val="left" w:pos="8265"/>
              </w:tabs>
              <w:rPr>
                <w:rFonts w:ascii="Arial" w:hAnsi="Arial" w:cs="Arial"/>
                <w:highlight w:val="cyan"/>
              </w:rPr>
            </w:pPr>
            <w:r w:rsidRPr="007A4045">
              <w:rPr>
                <w:rFonts w:ascii="Arial" w:hAnsi="Arial" w:cs="Arial"/>
                <w:highlight w:val="cyan"/>
              </w:rPr>
              <w:t>Water (T0)</w:t>
            </w:r>
          </w:p>
        </w:tc>
        <w:tc>
          <w:tcPr>
            <w:tcW w:w="1598" w:type="dxa"/>
          </w:tcPr>
          <w:p w14:paraId="7561D7AA" w14:textId="77777777" w:rsidR="00507260" w:rsidRPr="007A4045" w:rsidRDefault="00507260" w:rsidP="00DC7047">
            <w:pPr>
              <w:tabs>
                <w:tab w:val="left" w:pos="8265"/>
              </w:tabs>
              <w:jc w:val="center"/>
              <w:rPr>
                <w:rFonts w:ascii="Arial" w:hAnsi="Arial" w:cs="Arial"/>
                <w:highlight w:val="cyan"/>
              </w:rPr>
            </w:pPr>
            <w:r w:rsidRPr="007A4045">
              <w:rPr>
                <w:rFonts w:ascii="Arial" w:hAnsi="Arial" w:cs="Arial"/>
                <w:highlight w:val="cyan"/>
              </w:rPr>
              <w:t>7.33</w:t>
            </w:r>
            <w:r w:rsidRPr="007A4045">
              <w:rPr>
                <w:rFonts w:ascii="Arial" w:hAnsi="Arial" w:cs="Arial"/>
                <w:highlight w:val="cyan"/>
                <w:vertAlign w:val="superscript"/>
              </w:rPr>
              <w:t>a</w:t>
            </w:r>
          </w:p>
        </w:tc>
        <w:tc>
          <w:tcPr>
            <w:tcW w:w="2665" w:type="dxa"/>
          </w:tcPr>
          <w:p w14:paraId="459B7AD9" w14:textId="77777777" w:rsidR="00507260" w:rsidRPr="007A4045" w:rsidRDefault="00507260" w:rsidP="00DC7047">
            <w:pPr>
              <w:tabs>
                <w:tab w:val="left" w:pos="8265"/>
              </w:tabs>
              <w:jc w:val="center"/>
              <w:rPr>
                <w:rFonts w:ascii="Arial" w:hAnsi="Arial" w:cs="Arial"/>
                <w:highlight w:val="cyan"/>
              </w:rPr>
            </w:pPr>
            <w:r w:rsidRPr="007A4045">
              <w:rPr>
                <w:rFonts w:ascii="Arial" w:hAnsi="Arial" w:cs="Arial"/>
                <w:highlight w:val="cyan"/>
              </w:rPr>
              <w:t>20.10</w:t>
            </w:r>
            <w:r w:rsidRPr="007A4045">
              <w:rPr>
                <w:rFonts w:ascii="Arial" w:hAnsi="Arial" w:cs="Arial"/>
                <w:highlight w:val="cyan"/>
                <w:vertAlign w:val="superscript"/>
              </w:rPr>
              <w:t>a</w:t>
            </w:r>
          </w:p>
        </w:tc>
      </w:tr>
      <w:tr w:rsidR="00507260" w:rsidRPr="007A4045" w14:paraId="3FB8B30E" w14:textId="77777777" w:rsidTr="00DC7047">
        <w:tc>
          <w:tcPr>
            <w:tcW w:w="3596" w:type="dxa"/>
          </w:tcPr>
          <w:p w14:paraId="2CA948EF" w14:textId="77777777" w:rsidR="00507260" w:rsidRPr="007A4045" w:rsidRDefault="00507260" w:rsidP="00DC7047">
            <w:pPr>
              <w:tabs>
                <w:tab w:val="left" w:pos="8265"/>
              </w:tabs>
              <w:rPr>
                <w:rFonts w:ascii="Arial" w:hAnsi="Arial" w:cs="Arial"/>
                <w:highlight w:val="cyan"/>
              </w:rPr>
            </w:pPr>
            <w:r w:rsidRPr="007A4045">
              <w:rPr>
                <w:rFonts w:ascii="Arial" w:hAnsi="Arial" w:cs="Arial"/>
                <w:highlight w:val="cyan"/>
              </w:rPr>
              <w:t>Bioplastic (T1)</w:t>
            </w:r>
          </w:p>
        </w:tc>
        <w:tc>
          <w:tcPr>
            <w:tcW w:w="1598" w:type="dxa"/>
          </w:tcPr>
          <w:p w14:paraId="755FC493" w14:textId="77777777" w:rsidR="00507260" w:rsidRPr="007A4045" w:rsidRDefault="00507260" w:rsidP="00DC7047">
            <w:pPr>
              <w:tabs>
                <w:tab w:val="left" w:pos="8265"/>
              </w:tabs>
              <w:jc w:val="center"/>
              <w:rPr>
                <w:rFonts w:ascii="Arial" w:hAnsi="Arial" w:cs="Arial"/>
                <w:highlight w:val="cyan"/>
              </w:rPr>
            </w:pPr>
            <w:r w:rsidRPr="007A4045">
              <w:rPr>
                <w:rFonts w:ascii="Arial" w:hAnsi="Arial" w:cs="Arial"/>
                <w:highlight w:val="cyan"/>
              </w:rPr>
              <w:t>7.65</w:t>
            </w:r>
            <w:r w:rsidRPr="007A4045">
              <w:rPr>
                <w:rFonts w:ascii="Arial" w:hAnsi="Arial" w:cs="Arial"/>
                <w:highlight w:val="cyan"/>
                <w:vertAlign w:val="superscript"/>
              </w:rPr>
              <w:t>a</w:t>
            </w:r>
          </w:p>
        </w:tc>
        <w:tc>
          <w:tcPr>
            <w:tcW w:w="2665" w:type="dxa"/>
          </w:tcPr>
          <w:p w14:paraId="76052DBD" w14:textId="77777777" w:rsidR="00507260" w:rsidRPr="007A4045" w:rsidRDefault="00507260" w:rsidP="00DC7047">
            <w:pPr>
              <w:tabs>
                <w:tab w:val="left" w:pos="8265"/>
              </w:tabs>
              <w:jc w:val="center"/>
              <w:rPr>
                <w:rFonts w:ascii="Arial" w:hAnsi="Arial" w:cs="Arial"/>
                <w:highlight w:val="cyan"/>
              </w:rPr>
            </w:pPr>
            <w:r w:rsidRPr="007A4045">
              <w:rPr>
                <w:rFonts w:ascii="Arial" w:hAnsi="Arial" w:cs="Arial"/>
                <w:highlight w:val="cyan"/>
              </w:rPr>
              <w:t>20.15</w:t>
            </w:r>
            <w:r w:rsidRPr="007A4045">
              <w:rPr>
                <w:rFonts w:ascii="Arial" w:hAnsi="Arial" w:cs="Arial"/>
                <w:highlight w:val="cyan"/>
                <w:vertAlign w:val="superscript"/>
              </w:rPr>
              <w:t>a</w:t>
            </w:r>
          </w:p>
        </w:tc>
      </w:tr>
      <w:tr w:rsidR="00507260" w14:paraId="14FB9CC1" w14:textId="77777777" w:rsidTr="00DC7047">
        <w:tc>
          <w:tcPr>
            <w:tcW w:w="3596" w:type="dxa"/>
          </w:tcPr>
          <w:p w14:paraId="2BBA029E" w14:textId="77777777" w:rsidR="00507260" w:rsidRPr="007A4045" w:rsidRDefault="00507260" w:rsidP="00DC7047">
            <w:pPr>
              <w:tabs>
                <w:tab w:val="left" w:pos="8265"/>
              </w:tabs>
              <w:rPr>
                <w:rFonts w:ascii="Arial" w:hAnsi="Arial" w:cs="Arial"/>
                <w:highlight w:val="cyan"/>
              </w:rPr>
            </w:pPr>
            <w:r w:rsidRPr="007A4045">
              <w:rPr>
                <w:rFonts w:ascii="Arial" w:hAnsi="Arial" w:cs="Arial"/>
                <w:highlight w:val="cyan"/>
              </w:rPr>
              <w:t>Biopesticide (T2)</w:t>
            </w:r>
          </w:p>
        </w:tc>
        <w:tc>
          <w:tcPr>
            <w:tcW w:w="1598" w:type="dxa"/>
          </w:tcPr>
          <w:p w14:paraId="1A033BC5" w14:textId="77777777" w:rsidR="00507260" w:rsidRPr="007A4045" w:rsidRDefault="00507260" w:rsidP="00DC7047">
            <w:pPr>
              <w:tabs>
                <w:tab w:val="left" w:pos="8265"/>
              </w:tabs>
              <w:jc w:val="center"/>
              <w:rPr>
                <w:rFonts w:ascii="Arial" w:hAnsi="Arial" w:cs="Arial"/>
                <w:highlight w:val="cyan"/>
              </w:rPr>
            </w:pPr>
            <w:r w:rsidRPr="007A4045">
              <w:rPr>
                <w:rFonts w:ascii="Arial" w:hAnsi="Arial" w:cs="Arial"/>
                <w:highlight w:val="cyan"/>
              </w:rPr>
              <w:t>3.38</w:t>
            </w:r>
            <w:r w:rsidRPr="007A4045">
              <w:rPr>
                <w:rFonts w:ascii="Arial" w:hAnsi="Arial" w:cs="Arial"/>
                <w:highlight w:val="cyan"/>
                <w:vertAlign w:val="superscript"/>
              </w:rPr>
              <w:t>b</w:t>
            </w:r>
          </w:p>
        </w:tc>
        <w:tc>
          <w:tcPr>
            <w:tcW w:w="2665" w:type="dxa"/>
          </w:tcPr>
          <w:p w14:paraId="0918BC47" w14:textId="77777777" w:rsidR="00507260" w:rsidRDefault="00507260" w:rsidP="00DC7047">
            <w:pPr>
              <w:tabs>
                <w:tab w:val="left" w:pos="8265"/>
              </w:tabs>
              <w:jc w:val="center"/>
              <w:rPr>
                <w:rFonts w:ascii="Arial" w:hAnsi="Arial" w:cs="Arial"/>
              </w:rPr>
            </w:pPr>
            <w:r w:rsidRPr="007A4045">
              <w:rPr>
                <w:rFonts w:ascii="Arial" w:hAnsi="Arial" w:cs="Arial"/>
                <w:highlight w:val="cyan"/>
              </w:rPr>
              <w:t>08.90</w:t>
            </w:r>
            <w:r w:rsidRPr="007A4045">
              <w:rPr>
                <w:rFonts w:ascii="Arial" w:hAnsi="Arial" w:cs="Arial"/>
                <w:highlight w:val="cyan"/>
                <w:vertAlign w:val="superscript"/>
              </w:rPr>
              <w:t>b</w:t>
            </w:r>
          </w:p>
        </w:tc>
      </w:tr>
    </w:tbl>
    <w:p w14:paraId="13B94AFE" w14:textId="77777777" w:rsidR="00507260" w:rsidRDefault="00507260" w:rsidP="00507260">
      <w:pPr>
        <w:tabs>
          <w:tab w:val="left" w:pos="8265"/>
        </w:tabs>
        <w:rPr>
          <w:rFonts w:ascii="Arial" w:hAnsi="Arial" w:cs="Arial"/>
          <w:sz w:val="22"/>
          <w:szCs w:val="22"/>
        </w:rPr>
      </w:pPr>
    </w:p>
    <w:p w14:paraId="467EB290" w14:textId="77777777" w:rsidR="00507260" w:rsidRDefault="00507260" w:rsidP="00507260">
      <w:pPr>
        <w:autoSpaceDE w:val="0"/>
        <w:autoSpaceDN w:val="0"/>
        <w:adjustRightInd w:val="0"/>
        <w:jc w:val="both"/>
        <w:rPr>
          <w:rFonts w:ascii="Arial" w:eastAsia="MS Mincho" w:hAnsi="Arial" w:cs="Arial"/>
          <w:sz w:val="22"/>
          <w:szCs w:val="22"/>
          <w:lang w:val="en-GB"/>
        </w:rPr>
      </w:pPr>
      <w:r>
        <w:rPr>
          <w:rFonts w:ascii="Arial" w:eastAsia="MS Mincho" w:hAnsi="Arial" w:cs="Arial"/>
          <w:sz w:val="22"/>
          <w:szCs w:val="22"/>
          <w:highlight w:val="cyan"/>
        </w:rPr>
        <w:t>Results</w:t>
      </w:r>
      <w:r w:rsidRPr="00A10111">
        <w:rPr>
          <w:rFonts w:ascii="Arial" w:eastAsia="MS Mincho" w:hAnsi="Arial" w:cs="Arial"/>
          <w:sz w:val="22"/>
          <w:szCs w:val="22"/>
          <w:highlight w:val="cyan"/>
          <w:lang w:val="en-GB"/>
        </w:rPr>
        <w:t xml:space="preserve"> demonstrate that disease severity in mangoes was reduced by 12.8% with the bioplastic treatment (T1) and by 44.4% with the bio-fungicide (T2), compared to the </w:t>
      </w:r>
      <w:r>
        <w:rPr>
          <w:rFonts w:ascii="Arial" w:eastAsia="MS Mincho" w:hAnsi="Arial" w:cs="Arial"/>
          <w:sz w:val="22"/>
          <w:szCs w:val="22"/>
          <w:highlight w:val="cyan"/>
          <w:lang w:val="en-GB"/>
        </w:rPr>
        <w:t>water treated</w:t>
      </w:r>
      <w:r w:rsidRPr="00A10111">
        <w:rPr>
          <w:rFonts w:ascii="Arial" w:eastAsia="MS Mincho" w:hAnsi="Arial" w:cs="Arial"/>
          <w:sz w:val="22"/>
          <w:szCs w:val="22"/>
          <w:highlight w:val="cyan"/>
          <w:lang w:val="en-GB"/>
        </w:rPr>
        <w:t xml:space="preserve"> control (T</w:t>
      </w:r>
      <w:r>
        <w:rPr>
          <w:rFonts w:ascii="Arial" w:eastAsia="MS Mincho" w:hAnsi="Arial" w:cs="Arial"/>
          <w:sz w:val="22"/>
          <w:szCs w:val="22"/>
          <w:highlight w:val="cyan"/>
          <w:lang w:val="en-GB"/>
        </w:rPr>
        <w:t xml:space="preserve">able 2). </w:t>
      </w:r>
      <w:r w:rsidRPr="00A10111">
        <w:rPr>
          <w:rFonts w:ascii="Arial" w:eastAsia="MS Mincho" w:hAnsi="Arial" w:cs="Arial"/>
          <w:sz w:val="22"/>
          <w:szCs w:val="22"/>
          <w:highlight w:val="cyan"/>
          <w:lang w:val="en-GB"/>
        </w:rPr>
        <w:t>A similar trend was observed for disease incidence, which dropped by 4.7% and 43.2% with T1 and T2, respectively. These findings highlight the superior performance of the bio-fungicide, especially under challenging postharvest conditions, and underscore its potential as a sustainable alternative to conventional treatments.</w:t>
      </w:r>
    </w:p>
    <w:p w14:paraId="05951250" w14:textId="77777777" w:rsidR="00507260" w:rsidRDefault="00507260" w:rsidP="00507260">
      <w:pPr>
        <w:autoSpaceDE w:val="0"/>
        <w:autoSpaceDN w:val="0"/>
        <w:adjustRightInd w:val="0"/>
        <w:jc w:val="both"/>
        <w:rPr>
          <w:rFonts w:ascii="Arial" w:eastAsia="MS Mincho" w:hAnsi="Arial" w:cs="Arial"/>
          <w:sz w:val="22"/>
          <w:szCs w:val="22"/>
          <w:lang w:val="en-GB"/>
        </w:rPr>
      </w:pPr>
    </w:p>
    <w:p w14:paraId="53009B1F" w14:textId="77777777" w:rsidR="00176F3B" w:rsidRPr="005927C6" w:rsidRDefault="00176F3B" w:rsidP="005927C6">
      <w:pPr>
        <w:jc w:val="both"/>
        <w:rPr>
          <w:rFonts w:ascii="Arial" w:hAnsi="Arial" w:cs="Arial"/>
          <w:b/>
          <w:bCs/>
          <w:sz w:val="22"/>
          <w:szCs w:val="22"/>
        </w:rPr>
      </w:pPr>
    </w:p>
    <w:p w14:paraId="419F1C49" w14:textId="36698EB4" w:rsidR="00176F3B" w:rsidRDefault="009B7255" w:rsidP="005927C6">
      <w:pPr>
        <w:jc w:val="both"/>
        <w:rPr>
          <w:rFonts w:ascii="Arial" w:hAnsi="Arial" w:cs="Arial"/>
          <w:b/>
          <w:bCs/>
          <w:sz w:val="22"/>
          <w:szCs w:val="22"/>
        </w:rPr>
      </w:pPr>
      <w:r w:rsidRPr="00CE2147">
        <w:rPr>
          <w:rFonts w:ascii="Arial" w:hAnsi="Arial" w:cs="Arial"/>
          <w:b/>
          <w:bCs/>
        </w:rPr>
        <w:t xml:space="preserve">3.1.4 </w:t>
      </w:r>
      <w:r w:rsidR="00064CAF" w:rsidRPr="00CE2147">
        <w:rPr>
          <w:rFonts w:ascii="Arial" w:hAnsi="Arial" w:cs="Arial"/>
          <w:b/>
          <w:bCs/>
          <w:sz w:val="22"/>
          <w:szCs w:val="22"/>
        </w:rPr>
        <w:t>Relationship Between Incidence and Severity</w:t>
      </w:r>
    </w:p>
    <w:p w14:paraId="5D6BDCAA" w14:textId="77777777" w:rsidR="00CE2147" w:rsidRPr="00CE2147" w:rsidRDefault="00CE2147" w:rsidP="005927C6">
      <w:pPr>
        <w:jc w:val="both"/>
        <w:rPr>
          <w:rFonts w:ascii="Arial" w:hAnsi="Arial" w:cs="Arial"/>
          <w:b/>
          <w:bCs/>
        </w:rPr>
      </w:pPr>
    </w:p>
    <w:p w14:paraId="0257CCBC" w14:textId="7586FA26" w:rsidR="00064CAF" w:rsidRPr="007A4045" w:rsidRDefault="00064CAF" w:rsidP="00064CAF">
      <w:pPr>
        <w:jc w:val="both"/>
        <w:rPr>
          <w:rFonts w:ascii="Arial" w:hAnsi="Arial" w:cs="Arial"/>
          <w:sz w:val="22"/>
          <w:szCs w:val="22"/>
        </w:rPr>
      </w:pPr>
      <w:r w:rsidRPr="007A4045">
        <w:rPr>
          <w:rFonts w:ascii="Arial" w:hAnsi="Arial" w:cs="Arial"/>
          <w:sz w:val="22"/>
          <w:szCs w:val="22"/>
          <w:highlight w:val="cyan"/>
        </w:rPr>
        <w:t>Figure 4 presents the relationship between disease incidence (</w:t>
      </w:r>
      <w:proofErr w:type="spellStart"/>
      <w:r w:rsidRPr="007A4045">
        <w:rPr>
          <w:rFonts w:ascii="Arial" w:hAnsi="Arial" w:cs="Arial"/>
          <w:sz w:val="22"/>
          <w:szCs w:val="22"/>
          <w:highlight w:val="cyan"/>
        </w:rPr>
        <w:t>arcsin√p</w:t>
      </w:r>
      <w:proofErr w:type="spellEnd"/>
      <w:r w:rsidRPr="007A4045">
        <w:rPr>
          <w:rFonts w:ascii="Arial" w:hAnsi="Arial" w:cs="Arial"/>
          <w:sz w:val="22"/>
          <w:szCs w:val="22"/>
          <w:highlight w:val="cyan"/>
        </w:rPr>
        <w:t>) and severity (√x) in postharvest mangoes (</w:t>
      </w:r>
      <w:proofErr w:type="spellStart"/>
      <w:r w:rsidRPr="007A4045">
        <w:rPr>
          <w:rFonts w:ascii="Arial" w:hAnsi="Arial" w:cs="Arial"/>
          <w:sz w:val="22"/>
          <w:szCs w:val="22"/>
          <w:highlight w:val="cyan"/>
        </w:rPr>
        <w:t>r_s</w:t>
      </w:r>
      <w:proofErr w:type="spellEnd"/>
      <w:r w:rsidRPr="007A4045">
        <w:rPr>
          <w:rFonts w:ascii="Arial" w:hAnsi="Arial" w:cs="Arial"/>
          <w:sz w:val="22"/>
          <w:szCs w:val="22"/>
          <w:highlight w:val="cyan"/>
        </w:rPr>
        <w:t xml:space="preserve"> &gt; 0.8), analyzed separately for each storage condition</w:t>
      </w:r>
      <w:r w:rsidRPr="007A4045">
        <w:rPr>
          <w:rFonts w:ascii="Arial" w:hAnsi="Arial" w:cs="Arial"/>
          <w:sz w:val="22"/>
          <w:szCs w:val="22"/>
        </w:rPr>
        <w:t xml:space="preserve"> </w:t>
      </w:r>
    </w:p>
    <w:p w14:paraId="65249E10" w14:textId="77777777" w:rsidR="00064CAF" w:rsidRDefault="00064CAF" w:rsidP="00064CAF">
      <w:pPr>
        <w:jc w:val="both"/>
        <w:rPr>
          <w:rFonts w:ascii="Arial" w:hAnsi="Arial" w:cs="Arial"/>
        </w:rPr>
      </w:pPr>
    </w:p>
    <w:p w14:paraId="07F40365" w14:textId="457D5F92" w:rsidR="00064CAF" w:rsidRDefault="00064CAF" w:rsidP="00064CAF">
      <w:pPr>
        <w:jc w:val="both"/>
        <w:rPr>
          <w:rFonts w:ascii="Arial" w:hAnsi="Arial" w:cs="Arial"/>
        </w:rPr>
      </w:pPr>
      <w:r>
        <w:rPr>
          <w:rFonts w:ascii="Arial" w:hAnsi="Arial" w:cs="Arial"/>
        </w:rPr>
        <w:tab/>
      </w:r>
      <w:r w:rsidRPr="005927C6">
        <w:rPr>
          <w:rFonts w:ascii="Arial" w:hAnsi="Arial" w:cs="Arial"/>
          <w:b/>
          <w:bCs/>
          <w:noProof/>
          <w:sz w:val="22"/>
          <w:szCs w:val="22"/>
        </w:rPr>
        <w:drawing>
          <wp:inline distT="0" distB="0" distL="0" distR="0" wp14:anchorId="75C830A6" wp14:editId="1BFF5947">
            <wp:extent cx="3381375" cy="2314225"/>
            <wp:effectExtent l="0" t="0" r="0" b="0"/>
            <wp:docPr id="16956610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910"/>
                    <a:stretch>
                      <a:fillRect/>
                    </a:stretch>
                  </pic:blipFill>
                  <pic:spPr bwMode="auto">
                    <a:xfrm>
                      <a:off x="0" y="0"/>
                      <a:ext cx="3442012" cy="2355725"/>
                    </a:xfrm>
                    <a:prstGeom prst="rect">
                      <a:avLst/>
                    </a:prstGeom>
                    <a:noFill/>
                    <a:ln>
                      <a:noFill/>
                    </a:ln>
                    <a:extLst>
                      <a:ext uri="{53640926-AAD7-44D8-BBD7-CCE9431645EC}">
                        <a14:shadowObscured xmlns:a14="http://schemas.microsoft.com/office/drawing/2010/main"/>
                      </a:ext>
                    </a:extLst>
                  </pic:spPr>
                </pic:pic>
              </a:graphicData>
            </a:graphic>
          </wp:inline>
        </w:drawing>
      </w:r>
    </w:p>
    <w:p w14:paraId="38065931" w14:textId="13185D39" w:rsidR="00064CAF" w:rsidRDefault="00064CAF" w:rsidP="00064CAF">
      <w:pPr>
        <w:jc w:val="both"/>
        <w:rPr>
          <w:rFonts w:ascii="Arial" w:hAnsi="Arial" w:cs="Arial"/>
        </w:rPr>
      </w:pPr>
      <w:r w:rsidRPr="00064CAF">
        <w:rPr>
          <w:rFonts w:ascii="Arial" w:hAnsi="Arial" w:cs="Arial"/>
          <w:b/>
          <w:bCs/>
        </w:rPr>
        <w:t>Figure 4.</w:t>
      </w:r>
      <w:r w:rsidRPr="00064CAF">
        <w:rPr>
          <w:rFonts w:ascii="Arial" w:hAnsi="Arial" w:cs="Arial"/>
        </w:rPr>
        <w:t xml:space="preserve"> Relationship between disease incidence (</w:t>
      </w:r>
      <w:proofErr w:type="spellStart"/>
      <w:r w:rsidRPr="00064CAF">
        <w:rPr>
          <w:rFonts w:ascii="Arial" w:hAnsi="Arial" w:cs="Arial"/>
        </w:rPr>
        <w:t>arcsin√p</w:t>
      </w:r>
      <w:proofErr w:type="spellEnd"/>
      <w:r w:rsidRPr="00064CAF">
        <w:rPr>
          <w:rFonts w:ascii="Arial" w:hAnsi="Arial" w:cs="Arial"/>
        </w:rPr>
        <w:t>) and severity (√x) in mangoes, with fitted regression lines for each storage block. Orange crosses and line represent Block B1 (8 °C); blue crosses and line represent Block B2 (30 °C).</w:t>
      </w:r>
    </w:p>
    <w:p w14:paraId="019CFFB9" w14:textId="77777777" w:rsidR="00064CAF" w:rsidRDefault="00064CAF" w:rsidP="00064CAF">
      <w:pPr>
        <w:jc w:val="both"/>
        <w:rPr>
          <w:rFonts w:ascii="Arial" w:hAnsi="Arial" w:cs="Arial"/>
        </w:rPr>
      </w:pPr>
    </w:p>
    <w:p w14:paraId="31553661" w14:textId="592FBB4C" w:rsidR="00064CAF" w:rsidRPr="00064CAF" w:rsidRDefault="00064CAF" w:rsidP="00064CAF">
      <w:pPr>
        <w:jc w:val="both"/>
        <w:rPr>
          <w:rFonts w:ascii="Arial" w:hAnsi="Arial" w:cs="Arial"/>
          <w:highlight w:val="cyan"/>
        </w:rPr>
      </w:pPr>
      <w:r w:rsidRPr="00064CAF">
        <w:rPr>
          <w:rFonts w:ascii="Arial" w:hAnsi="Arial" w:cs="Arial"/>
          <w:highlight w:val="cyan"/>
        </w:rPr>
        <w:t>Disease severity and incidence were strongly correlated (</w:t>
      </w:r>
      <w:proofErr w:type="spellStart"/>
      <w:r w:rsidRPr="00064CAF">
        <w:rPr>
          <w:rFonts w:ascii="Arial" w:hAnsi="Arial" w:cs="Arial"/>
          <w:highlight w:val="cyan"/>
        </w:rPr>
        <w:t>r_s</w:t>
      </w:r>
      <w:proofErr w:type="spellEnd"/>
      <w:r w:rsidRPr="00064CAF">
        <w:rPr>
          <w:rFonts w:ascii="Arial" w:hAnsi="Arial" w:cs="Arial"/>
          <w:highlight w:val="cyan"/>
        </w:rPr>
        <w:t xml:space="preserve"> &gt; 0.8). The fitted regression lines reveal distinct epidemiological dynamics between the two temperature regimes. In Block B1 (8 °C), the moderate slope of the regression line indicates a restrained increase in severity as incidence rises. This pattern suggests that cold storage not only reduces the frequency of infection but also limits symptom intensity, reflecting the suppressive effect of low temperature on pathogen development. Conversely, Block B2 (30 °C) exhibits a steeper slope and greater data dispersion, indicative of a more aggressive disease trajectory. Under warm conditions, even slight increases in incidence are associated with sharp rises in severity, pointing to a more virulent expression of symptoms. This thermal amplification aligns with previous findings on the role of temperature in accelerating respiration, senescence, and fungal proliferation (</w:t>
      </w:r>
      <w:r w:rsidR="00E00630">
        <w:rPr>
          <w:rFonts w:ascii="Arial" w:hAnsi="Arial" w:cs="Arial"/>
          <w:highlight w:val="cyan"/>
        </w:rPr>
        <w:t>Gidado</w:t>
      </w:r>
      <w:r w:rsidRPr="00064CAF">
        <w:rPr>
          <w:rFonts w:ascii="Arial" w:hAnsi="Arial" w:cs="Arial"/>
          <w:highlight w:val="cyan"/>
        </w:rPr>
        <w:t xml:space="preserve"> et al., 2025).</w:t>
      </w:r>
    </w:p>
    <w:p w14:paraId="7F995AEE" w14:textId="77777777" w:rsidR="00064CAF" w:rsidRPr="00064CAF" w:rsidRDefault="00064CAF" w:rsidP="00064CAF">
      <w:pPr>
        <w:jc w:val="both"/>
        <w:rPr>
          <w:rFonts w:ascii="Arial" w:hAnsi="Arial" w:cs="Arial"/>
          <w:highlight w:val="cyan"/>
        </w:rPr>
      </w:pPr>
    </w:p>
    <w:p w14:paraId="4CD08209" w14:textId="68B4EA9C" w:rsidR="00064CAF" w:rsidRPr="00064CAF" w:rsidRDefault="00064CAF" w:rsidP="00064CAF">
      <w:pPr>
        <w:jc w:val="both"/>
        <w:rPr>
          <w:rFonts w:ascii="Arial" w:hAnsi="Arial" w:cs="Arial"/>
        </w:rPr>
      </w:pPr>
      <w:r w:rsidRPr="00064CAF">
        <w:rPr>
          <w:rFonts w:ascii="Arial" w:hAnsi="Arial" w:cs="Arial"/>
          <w:highlight w:val="cyan"/>
        </w:rPr>
        <w:t>These results confirm that storage temperature is a key determinant of postharvest disease dynamics. Cold storage stabilizes the incidence–severity relationship, while warm conditions exacerbate disease expression. This distinction reinforces the importance of integrated management strategies that combine field practices, surface treatments, and optimal storage conditions.</w:t>
      </w:r>
    </w:p>
    <w:p w14:paraId="4BCE7690" w14:textId="77777777" w:rsidR="00064CAF" w:rsidRPr="00064CAF" w:rsidRDefault="00064CAF" w:rsidP="005927C6">
      <w:pPr>
        <w:jc w:val="both"/>
        <w:rPr>
          <w:rFonts w:ascii="Arial" w:hAnsi="Arial" w:cs="Arial"/>
        </w:rPr>
      </w:pPr>
    </w:p>
    <w:p w14:paraId="029606AF" w14:textId="3CE14A4C" w:rsidR="00664E97" w:rsidRDefault="00664E97" w:rsidP="005927C6">
      <w:pPr>
        <w:jc w:val="both"/>
        <w:rPr>
          <w:rFonts w:ascii="Arial" w:hAnsi="Arial" w:cs="Arial"/>
          <w:b/>
          <w:bCs/>
          <w:sz w:val="22"/>
          <w:szCs w:val="22"/>
        </w:rPr>
      </w:pPr>
      <w:r w:rsidRPr="005927C6">
        <w:rPr>
          <w:rFonts w:ascii="Arial" w:hAnsi="Arial" w:cs="Arial"/>
          <w:b/>
          <w:bCs/>
          <w:sz w:val="22"/>
          <w:szCs w:val="22"/>
        </w:rPr>
        <w:lastRenderedPageBreak/>
        <w:t xml:space="preserve">      </w:t>
      </w:r>
    </w:p>
    <w:p w14:paraId="78EB8F2C" w14:textId="77777777" w:rsidR="00064CAF" w:rsidRDefault="00064CAF" w:rsidP="005927C6">
      <w:pPr>
        <w:jc w:val="both"/>
        <w:rPr>
          <w:rFonts w:ascii="Arial" w:hAnsi="Arial" w:cs="Arial"/>
          <w:b/>
          <w:bCs/>
          <w:sz w:val="22"/>
          <w:szCs w:val="22"/>
        </w:rPr>
      </w:pPr>
    </w:p>
    <w:p w14:paraId="61DB9E1E" w14:textId="77777777" w:rsidR="00064CAF" w:rsidRPr="00664E97" w:rsidRDefault="00064CAF" w:rsidP="005927C6">
      <w:pPr>
        <w:jc w:val="both"/>
        <w:rPr>
          <w:rFonts w:ascii="Arial" w:hAnsi="Arial" w:cs="Arial"/>
          <w:b/>
          <w:bCs/>
          <w:sz w:val="22"/>
          <w:szCs w:val="22"/>
        </w:rPr>
      </w:pPr>
    </w:p>
    <w:p w14:paraId="353B424A" w14:textId="77777777" w:rsidR="009B7255" w:rsidRDefault="009B7255" w:rsidP="005927C6">
      <w:pPr>
        <w:jc w:val="both"/>
        <w:rPr>
          <w:rFonts w:ascii="Arial" w:hAnsi="Arial" w:cs="Arial"/>
          <w:b/>
          <w:bCs/>
          <w:sz w:val="22"/>
          <w:szCs w:val="22"/>
        </w:rPr>
      </w:pPr>
    </w:p>
    <w:p w14:paraId="3786A441" w14:textId="5B8A8073" w:rsidR="00A312D6" w:rsidRPr="00A312D6" w:rsidRDefault="009B7255" w:rsidP="00A312D6">
      <w:pPr>
        <w:jc w:val="both"/>
        <w:rPr>
          <w:rFonts w:ascii="Arial" w:hAnsi="Arial" w:cs="Arial"/>
          <w:b/>
          <w:bCs/>
          <w:sz w:val="22"/>
          <w:szCs w:val="22"/>
          <w:highlight w:val="cyan"/>
        </w:rPr>
      </w:pPr>
      <w:r w:rsidRPr="00A312D6">
        <w:rPr>
          <w:rFonts w:ascii="Arial" w:hAnsi="Arial" w:cs="Arial"/>
          <w:b/>
          <w:bCs/>
          <w:sz w:val="22"/>
          <w:szCs w:val="22"/>
        </w:rPr>
        <w:t xml:space="preserve">3.1.5 </w:t>
      </w:r>
      <w:r w:rsidR="00A312D6" w:rsidRPr="00A312D6">
        <w:rPr>
          <w:rFonts w:ascii="Arial" w:hAnsi="Arial" w:cs="Arial"/>
          <w:b/>
          <w:bCs/>
          <w:sz w:val="22"/>
          <w:szCs w:val="22"/>
          <w:highlight w:val="cyan"/>
        </w:rPr>
        <w:t>Multivariate Patterns of Disease Progression</w:t>
      </w:r>
    </w:p>
    <w:p w14:paraId="47ECBF16" w14:textId="77777777" w:rsidR="00A312D6" w:rsidRPr="00A312D6" w:rsidRDefault="00A312D6" w:rsidP="00A312D6">
      <w:pPr>
        <w:jc w:val="both"/>
        <w:rPr>
          <w:rFonts w:ascii="Arial" w:hAnsi="Arial" w:cs="Arial"/>
          <w:highlight w:val="cyan"/>
        </w:rPr>
      </w:pPr>
    </w:p>
    <w:p w14:paraId="4631E305" w14:textId="77777777" w:rsidR="00A312D6" w:rsidRDefault="00A312D6" w:rsidP="00A312D6">
      <w:pPr>
        <w:jc w:val="both"/>
        <w:rPr>
          <w:rFonts w:ascii="Arial" w:hAnsi="Arial" w:cs="Arial"/>
          <w:sz w:val="22"/>
          <w:szCs w:val="22"/>
          <w:highlight w:val="cyan"/>
        </w:rPr>
      </w:pPr>
      <w:r w:rsidRPr="00A312D6">
        <w:rPr>
          <w:rFonts w:ascii="Arial" w:hAnsi="Arial" w:cs="Arial"/>
          <w:sz w:val="22"/>
          <w:szCs w:val="22"/>
          <w:highlight w:val="cyan"/>
        </w:rPr>
        <w:t xml:space="preserve">Principal component analysis (PCA) further captured the complex interplay between storage conditions, field management, and postharvest treatments (Figure 5). The first two components explained 94.7% of the total variance, with PC1 alone accounting for 85.0%, indicating a dominant axis of disease pressure across treatments. </w:t>
      </w:r>
    </w:p>
    <w:p w14:paraId="063B99A5" w14:textId="77777777" w:rsidR="00BE75B1" w:rsidRDefault="00BE75B1" w:rsidP="00A312D6">
      <w:pPr>
        <w:jc w:val="both"/>
        <w:rPr>
          <w:rFonts w:ascii="Arial" w:hAnsi="Arial" w:cs="Arial"/>
          <w:sz w:val="22"/>
          <w:szCs w:val="22"/>
          <w:highlight w:val="cyan"/>
        </w:rPr>
      </w:pPr>
    </w:p>
    <w:p w14:paraId="17141DFD" w14:textId="77777777" w:rsidR="00BE75B1" w:rsidRDefault="00BE75B1" w:rsidP="00BE75B1">
      <w:pPr>
        <w:jc w:val="both"/>
        <w:rPr>
          <w:rFonts w:ascii="Arial" w:hAnsi="Arial" w:cs="Arial"/>
        </w:rPr>
      </w:pPr>
      <w:r>
        <w:rPr>
          <w:rFonts w:ascii="Arial" w:hAnsi="Arial" w:cs="Arial"/>
          <w:sz w:val="22"/>
          <w:szCs w:val="22"/>
          <w:highlight w:val="cyan"/>
        </w:rPr>
        <w:t xml:space="preserve">    </w:t>
      </w:r>
    </w:p>
    <w:p w14:paraId="79CF2C4D" w14:textId="77777777" w:rsidR="00BE75B1" w:rsidRPr="005927C6" w:rsidRDefault="00BE75B1" w:rsidP="00BE75B1">
      <w:pPr>
        <w:jc w:val="both"/>
        <w:rPr>
          <w:rFonts w:ascii="Arial" w:hAnsi="Arial" w:cs="Arial"/>
        </w:rPr>
      </w:pPr>
    </w:p>
    <w:p w14:paraId="1BE38B6C" w14:textId="77777777" w:rsidR="00BE75B1" w:rsidRPr="005927C6" w:rsidRDefault="00BE75B1" w:rsidP="00BE75B1">
      <w:pPr>
        <w:jc w:val="both"/>
        <w:rPr>
          <w:rFonts w:ascii="Arial" w:hAnsi="Arial" w:cs="Arial"/>
          <w:b/>
          <w:bCs/>
          <w:sz w:val="22"/>
          <w:szCs w:val="22"/>
        </w:rPr>
      </w:pPr>
      <w:r w:rsidRPr="005927C6">
        <w:rPr>
          <w:rFonts w:ascii="Arial" w:hAnsi="Arial" w:cs="Arial"/>
          <w:b/>
          <w:bCs/>
          <w:noProof/>
        </w:rPr>
        <w:drawing>
          <wp:inline distT="0" distB="0" distL="0" distR="0" wp14:anchorId="57782878" wp14:editId="37B55B7C">
            <wp:extent cx="4022512" cy="2825816"/>
            <wp:effectExtent l="0" t="0" r="0" b="0"/>
            <wp:docPr id="801055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334"/>
                    <a:stretch>
                      <a:fillRect/>
                    </a:stretch>
                  </pic:blipFill>
                  <pic:spPr bwMode="auto">
                    <a:xfrm>
                      <a:off x="0" y="0"/>
                      <a:ext cx="4033319" cy="2833408"/>
                    </a:xfrm>
                    <a:prstGeom prst="rect">
                      <a:avLst/>
                    </a:prstGeom>
                    <a:noFill/>
                    <a:ln>
                      <a:noFill/>
                    </a:ln>
                    <a:extLst>
                      <a:ext uri="{53640926-AAD7-44D8-BBD7-CCE9431645EC}">
                        <a14:shadowObscured xmlns:a14="http://schemas.microsoft.com/office/drawing/2010/main"/>
                      </a:ext>
                    </a:extLst>
                  </pic:spPr>
                </pic:pic>
              </a:graphicData>
            </a:graphic>
          </wp:inline>
        </w:drawing>
      </w:r>
    </w:p>
    <w:p w14:paraId="0368750C" w14:textId="77777777" w:rsidR="00BE75B1" w:rsidRDefault="00BE75B1" w:rsidP="00BE75B1">
      <w:pPr>
        <w:jc w:val="both"/>
        <w:rPr>
          <w:rFonts w:ascii="Arial" w:hAnsi="Arial" w:cs="Arial"/>
        </w:rPr>
      </w:pPr>
      <w:r w:rsidRPr="00A312D6">
        <w:rPr>
          <w:rFonts w:ascii="Arial" w:hAnsi="Arial" w:cs="Arial"/>
          <w:b/>
          <w:bCs/>
        </w:rPr>
        <w:t>Figure 5.</w:t>
      </w:r>
      <w:r w:rsidRPr="00A312D6">
        <w:rPr>
          <w:rFonts w:ascii="Arial" w:hAnsi="Arial" w:cs="Arial"/>
        </w:rPr>
        <w:t xml:space="preserve"> Principal component analysis (PCA) biplot illustrating postharvest disease dynamics in mangoes.</w:t>
      </w:r>
      <w:r>
        <w:rPr>
          <w:rFonts w:ascii="Arial" w:hAnsi="Arial" w:cs="Arial"/>
        </w:rPr>
        <w:t xml:space="preserve"> </w:t>
      </w:r>
      <w:r w:rsidRPr="00A312D6">
        <w:rPr>
          <w:rFonts w:ascii="Arial" w:hAnsi="Arial" w:cs="Arial"/>
        </w:rPr>
        <w:t>Vectors represent severity and incidence, with treatment combinations plotted across PC1 (85.0%) and PC2 (9.7%). B2+NTC+T0 clusters in the upper right quadrant, indicating high disease pressure, while B1+TC+T2 clusters near the origin, reflecting low severity and incidence.</w:t>
      </w:r>
    </w:p>
    <w:p w14:paraId="400AEBAC" w14:textId="77777777" w:rsidR="00A312D6" w:rsidRPr="00A312D6" w:rsidRDefault="00A312D6" w:rsidP="00A312D6">
      <w:pPr>
        <w:jc w:val="both"/>
        <w:rPr>
          <w:rFonts w:ascii="Arial" w:hAnsi="Arial" w:cs="Arial"/>
          <w:sz w:val="22"/>
          <w:szCs w:val="22"/>
          <w:highlight w:val="cyan"/>
        </w:rPr>
      </w:pPr>
    </w:p>
    <w:p w14:paraId="5BFE2644" w14:textId="613DB877" w:rsidR="00A312D6" w:rsidRPr="00A312D6" w:rsidRDefault="00A312D6" w:rsidP="00A312D6">
      <w:pPr>
        <w:jc w:val="both"/>
        <w:rPr>
          <w:rFonts w:ascii="Arial" w:hAnsi="Arial" w:cs="Arial"/>
          <w:sz w:val="22"/>
          <w:szCs w:val="22"/>
          <w:highlight w:val="cyan"/>
        </w:rPr>
      </w:pPr>
      <w:r w:rsidRPr="00A312D6">
        <w:rPr>
          <w:rFonts w:ascii="Arial" w:hAnsi="Arial" w:cs="Arial"/>
          <w:sz w:val="22"/>
          <w:szCs w:val="22"/>
          <w:highlight w:val="cyan"/>
        </w:rPr>
        <w:t>The untreated combination (</w:t>
      </w:r>
      <w:r w:rsidRPr="00A312D6">
        <w:rPr>
          <w:rFonts w:ascii="Arial" w:hAnsi="Arial" w:cs="Arial"/>
          <w:b/>
          <w:bCs/>
          <w:sz w:val="22"/>
          <w:szCs w:val="22"/>
          <w:highlight w:val="cyan"/>
        </w:rPr>
        <w:t>B2+NTC+T0</w:t>
      </w:r>
      <w:r w:rsidRPr="00A312D6">
        <w:rPr>
          <w:rFonts w:ascii="Arial" w:hAnsi="Arial" w:cs="Arial"/>
          <w:sz w:val="22"/>
          <w:szCs w:val="22"/>
          <w:highlight w:val="cyan"/>
        </w:rPr>
        <w:t xml:space="preserve">) clustered distinctly in the upper right quadrant, aligned with vectors for </w:t>
      </w:r>
      <w:r w:rsidRPr="00A312D6">
        <w:rPr>
          <w:rFonts w:ascii="Arial" w:hAnsi="Arial" w:cs="Arial"/>
          <w:b/>
          <w:bCs/>
          <w:sz w:val="22"/>
          <w:szCs w:val="22"/>
          <w:highlight w:val="cyan"/>
        </w:rPr>
        <w:t>severity</w:t>
      </w:r>
      <w:r w:rsidRPr="00A312D6">
        <w:rPr>
          <w:rFonts w:ascii="Arial" w:hAnsi="Arial" w:cs="Arial"/>
          <w:sz w:val="22"/>
          <w:szCs w:val="22"/>
          <w:highlight w:val="cyan"/>
        </w:rPr>
        <w:t xml:space="preserve"> and </w:t>
      </w:r>
      <w:r w:rsidRPr="00A312D6">
        <w:rPr>
          <w:rFonts w:ascii="Arial" w:hAnsi="Arial" w:cs="Arial"/>
          <w:b/>
          <w:bCs/>
          <w:sz w:val="22"/>
          <w:szCs w:val="22"/>
          <w:highlight w:val="cyan"/>
        </w:rPr>
        <w:t>incidence</w:t>
      </w:r>
      <w:r w:rsidRPr="00A312D6">
        <w:rPr>
          <w:rFonts w:ascii="Arial" w:hAnsi="Arial" w:cs="Arial"/>
          <w:sz w:val="22"/>
          <w:szCs w:val="22"/>
          <w:highlight w:val="cyan"/>
        </w:rPr>
        <w:t>. This positioning reflects high disease burden and early symptom onset, confirming that warm storage without field protection or antimicrobial coating leads to rapid and widespread infection. In contrast, the integrated strategy (</w:t>
      </w:r>
      <w:r w:rsidRPr="00A312D6">
        <w:rPr>
          <w:rFonts w:ascii="Arial" w:hAnsi="Arial" w:cs="Arial"/>
          <w:b/>
          <w:bCs/>
          <w:sz w:val="22"/>
          <w:szCs w:val="22"/>
          <w:highlight w:val="cyan"/>
        </w:rPr>
        <w:t>B1+TC+T2</w:t>
      </w:r>
      <w:r w:rsidRPr="00A312D6">
        <w:rPr>
          <w:rFonts w:ascii="Arial" w:hAnsi="Arial" w:cs="Arial"/>
          <w:sz w:val="22"/>
          <w:szCs w:val="22"/>
          <w:highlight w:val="cyan"/>
        </w:rPr>
        <w:t xml:space="preserve">) occupied the lower left quadrant, near the origin, where disease vectors exert minimal influence. This cluster represents mangoes stored at 8 °C, treated with citronella-infused bioplastic, and supported by field management, a combination that consistently suppressed both incidence and severity. Intermediate treatments such as </w:t>
      </w:r>
      <w:r w:rsidRPr="00A312D6">
        <w:rPr>
          <w:rFonts w:ascii="Arial" w:hAnsi="Arial" w:cs="Arial"/>
          <w:b/>
          <w:bCs/>
          <w:sz w:val="22"/>
          <w:szCs w:val="22"/>
          <w:highlight w:val="cyan"/>
        </w:rPr>
        <w:t>B1+TC+T1</w:t>
      </w:r>
      <w:r w:rsidRPr="00A312D6">
        <w:rPr>
          <w:rFonts w:ascii="Arial" w:hAnsi="Arial" w:cs="Arial"/>
          <w:sz w:val="22"/>
          <w:szCs w:val="22"/>
          <w:highlight w:val="cyan"/>
        </w:rPr>
        <w:t xml:space="preserve"> and </w:t>
      </w:r>
      <w:r w:rsidRPr="00A312D6">
        <w:rPr>
          <w:rFonts w:ascii="Arial" w:hAnsi="Arial" w:cs="Arial"/>
          <w:b/>
          <w:bCs/>
          <w:sz w:val="22"/>
          <w:szCs w:val="22"/>
          <w:highlight w:val="cyan"/>
        </w:rPr>
        <w:t>B2+NTC+T2</w:t>
      </w:r>
      <w:r w:rsidRPr="00A312D6">
        <w:rPr>
          <w:rFonts w:ascii="Arial" w:hAnsi="Arial" w:cs="Arial"/>
          <w:sz w:val="22"/>
          <w:szCs w:val="22"/>
          <w:highlight w:val="cyan"/>
        </w:rPr>
        <w:t xml:space="preserve"> fell between these extremes, bending inward toward the center of the biplot. Their trajectories suggest partial mitigation, either through temperature or coating, but lacking the full synergy observed in the triple-integrated approach.</w:t>
      </w:r>
    </w:p>
    <w:p w14:paraId="4F4E0762" w14:textId="77777777" w:rsidR="00A312D6" w:rsidRPr="00A312D6" w:rsidRDefault="00A312D6" w:rsidP="00A312D6">
      <w:pPr>
        <w:jc w:val="both"/>
        <w:rPr>
          <w:rFonts w:ascii="Arial" w:hAnsi="Arial" w:cs="Arial"/>
          <w:sz w:val="22"/>
          <w:szCs w:val="22"/>
          <w:highlight w:val="cyan"/>
        </w:rPr>
      </w:pPr>
    </w:p>
    <w:p w14:paraId="400EE1D5" w14:textId="783F6E70" w:rsidR="00A312D6" w:rsidRPr="00A312D6" w:rsidRDefault="00A312D6" w:rsidP="00A312D6">
      <w:pPr>
        <w:jc w:val="both"/>
        <w:rPr>
          <w:rFonts w:ascii="Arial" w:hAnsi="Arial" w:cs="Arial"/>
          <w:sz w:val="22"/>
          <w:szCs w:val="22"/>
        </w:rPr>
      </w:pPr>
      <w:r w:rsidRPr="00A312D6">
        <w:rPr>
          <w:rFonts w:ascii="Arial" w:hAnsi="Arial" w:cs="Arial"/>
          <w:sz w:val="22"/>
          <w:szCs w:val="22"/>
          <w:highlight w:val="cyan"/>
        </w:rPr>
        <w:t>The orientation of vectors, radiating outward for disease metrics and inward for protective treatments, reinforces the continuum of postharvest outcomes. PCA not only distinguished treatment efficacy but also revealed how timing, storage, and surface protection converge to shape disease dynamics.</w:t>
      </w:r>
    </w:p>
    <w:p w14:paraId="304107C0" w14:textId="77777777" w:rsidR="00A312D6" w:rsidRPr="00A312D6" w:rsidRDefault="00A312D6" w:rsidP="00A312D6">
      <w:pPr>
        <w:jc w:val="both"/>
        <w:rPr>
          <w:rFonts w:ascii="Arial" w:hAnsi="Arial" w:cs="Arial"/>
        </w:rPr>
      </w:pPr>
    </w:p>
    <w:p w14:paraId="30250F36" w14:textId="77777777" w:rsidR="00662C63" w:rsidRDefault="00662C63" w:rsidP="00A312D6">
      <w:pPr>
        <w:jc w:val="both"/>
        <w:rPr>
          <w:rFonts w:ascii="Arial" w:hAnsi="Arial" w:cs="Arial"/>
        </w:rPr>
      </w:pPr>
    </w:p>
    <w:p w14:paraId="65784786" w14:textId="77777777" w:rsidR="00662C63" w:rsidRDefault="00662C63" w:rsidP="00A312D6">
      <w:pPr>
        <w:jc w:val="both"/>
        <w:rPr>
          <w:rFonts w:ascii="Arial" w:hAnsi="Arial" w:cs="Arial"/>
        </w:rPr>
      </w:pPr>
    </w:p>
    <w:p w14:paraId="4D0FCB8E" w14:textId="2BF5E7BB" w:rsidR="00662C63" w:rsidRPr="00662C63" w:rsidRDefault="00662C63" w:rsidP="00662C63">
      <w:pPr>
        <w:jc w:val="both"/>
        <w:rPr>
          <w:rFonts w:ascii="Arial" w:hAnsi="Arial" w:cs="Arial"/>
          <w:b/>
          <w:bCs/>
          <w:sz w:val="22"/>
          <w:szCs w:val="22"/>
        </w:rPr>
      </w:pPr>
      <w:r w:rsidRPr="00662C63">
        <w:rPr>
          <w:rFonts w:ascii="Arial" w:hAnsi="Arial" w:cs="Arial"/>
          <w:b/>
          <w:bCs/>
          <w:sz w:val="22"/>
          <w:szCs w:val="22"/>
        </w:rPr>
        <w:t>4. DISCUSSION</w:t>
      </w:r>
    </w:p>
    <w:p w14:paraId="4A74F00D" w14:textId="77777777" w:rsidR="00662C63" w:rsidRDefault="00662C63" w:rsidP="00662C63">
      <w:pPr>
        <w:jc w:val="both"/>
        <w:rPr>
          <w:rFonts w:ascii="Arial" w:hAnsi="Arial" w:cs="Arial"/>
        </w:rPr>
      </w:pPr>
    </w:p>
    <w:p w14:paraId="7200E5F8" w14:textId="4315B905" w:rsidR="00662C63" w:rsidRPr="00C56C19" w:rsidRDefault="00662C63" w:rsidP="00662C63">
      <w:pPr>
        <w:jc w:val="both"/>
        <w:rPr>
          <w:rFonts w:ascii="Arial" w:hAnsi="Arial" w:cs="Arial"/>
          <w:highlight w:val="cyan"/>
        </w:rPr>
      </w:pPr>
      <w:r w:rsidRPr="00C56C19">
        <w:rPr>
          <w:rFonts w:ascii="Arial" w:hAnsi="Arial" w:cs="Arial"/>
          <w:highlight w:val="cyan"/>
        </w:rPr>
        <w:t xml:space="preserve">Our results clearly demonstrate that temperature is the dominant factor shaping mango postharvest disease dynamics, with cold storage (8 °C) consistently reducing both incidence and severity compared to ambient storage (30 °C). This finding </w:t>
      </w:r>
      <w:r w:rsidRPr="00C56C19">
        <w:rPr>
          <w:rFonts w:ascii="Arial" w:hAnsi="Arial" w:cs="Arial"/>
          <w:highlight w:val="cyan"/>
        </w:rPr>
        <w:lastRenderedPageBreak/>
        <w:t>aligns with recent reports emphasizing the central role of low-temperature storage in slowing fruit respiration, delaying senescence, and suppressing pathogen development (</w:t>
      </w:r>
      <w:r w:rsidR="00C64BC4" w:rsidRPr="00C56C19">
        <w:rPr>
          <w:rFonts w:ascii="Arial" w:hAnsi="Arial" w:cs="Arial"/>
          <w:highlight w:val="cyan"/>
        </w:rPr>
        <w:t>Gidado</w:t>
      </w:r>
      <w:r w:rsidRPr="00C56C19">
        <w:rPr>
          <w:rFonts w:ascii="Arial" w:hAnsi="Arial" w:cs="Arial"/>
          <w:highlight w:val="cyan"/>
        </w:rPr>
        <w:t xml:space="preserve"> et al., 202</w:t>
      </w:r>
      <w:r w:rsidR="00C64BC4" w:rsidRPr="00C56C19">
        <w:rPr>
          <w:rFonts w:ascii="Arial" w:hAnsi="Arial" w:cs="Arial"/>
          <w:highlight w:val="cyan"/>
        </w:rPr>
        <w:t>4</w:t>
      </w:r>
      <w:r w:rsidRPr="00C56C19">
        <w:rPr>
          <w:rFonts w:ascii="Arial" w:hAnsi="Arial" w:cs="Arial"/>
          <w:highlight w:val="cyan"/>
        </w:rPr>
        <w:t>). Cold storage has long been recognized as indispensable for tropical fruit preservation, but our data highlight how its benefits are amplified when combined with field protection and bioactive coatings.</w:t>
      </w:r>
    </w:p>
    <w:p w14:paraId="7A808C5D" w14:textId="77777777" w:rsidR="00662C63" w:rsidRPr="00C56C19" w:rsidRDefault="00662C63" w:rsidP="00662C63">
      <w:pPr>
        <w:jc w:val="both"/>
        <w:rPr>
          <w:rFonts w:ascii="Arial" w:hAnsi="Arial" w:cs="Arial"/>
          <w:highlight w:val="cyan"/>
        </w:rPr>
      </w:pPr>
    </w:p>
    <w:p w14:paraId="27833DB4" w14:textId="6645D50A" w:rsidR="00662C63" w:rsidRPr="00C56C19" w:rsidRDefault="00662C63" w:rsidP="00662C63">
      <w:pPr>
        <w:jc w:val="both"/>
        <w:rPr>
          <w:rFonts w:ascii="Arial" w:hAnsi="Arial" w:cs="Arial"/>
          <w:highlight w:val="cyan"/>
        </w:rPr>
      </w:pPr>
      <w:r w:rsidRPr="00C56C19">
        <w:rPr>
          <w:rFonts w:ascii="Arial" w:hAnsi="Arial" w:cs="Arial"/>
          <w:highlight w:val="cyan"/>
        </w:rPr>
        <w:t xml:space="preserve">The superior performance of the bioplastic enriched with citronella essential oil (T2) under cold storage conditions underscores the synergistic effect of combining physical barriers with antimicrobial compounds. Essential oils such as citronella, lemongrass, and thyme have been widely documented for their antifungal activity against </w:t>
      </w:r>
      <w:r w:rsidRPr="00C56C19">
        <w:rPr>
          <w:rFonts w:ascii="Arial" w:hAnsi="Arial" w:cs="Arial"/>
          <w:i/>
          <w:iCs/>
          <w:highlight w:val="cyan"/>
        </w:rPr>
        <w:t xml:space="preserve">Colletotrichum </w:t>
      </w:r>
      <w:proofErr w:type="spellStart"/>
      <w:r w:rsidRPr="00C56C19">
        <w:rPr>
          <w:rFonts w:ascii="Arial" w:hAnsi="Arial" w:cs="Arial"/>
          <w:i/>
          <w:iCs/>
          <w:highlight w:val="cyan"/>
        </w:rPr>
        <w:t>gloeosporioides</w:t>
      </w:r>
      <w:proofErr w:type="spellEnd"/>
      <w:r w:rsidRPr="00C56C19">
        <w:rPr>
          <w:rFonts w:ascii="Arial" w:hAnsi="Arial" w:cs="Arial"/>
          <w:highlight w:val="cyan"/>
        </w:rPr>
        <w:t xml:space="preserve"> and other postharvest pathogens (</w:t>
      </w:r>
      <w:r w:rsidR="00C64BC4" w:rsidRPr="00C56C19">
        <w:rPr>
          <w:rFonts w:ascii="Arial" w:hAnsi="Arial" w:cs="Arial"/>
          <w:highlight w:val="cyan"/>
        </w:rPr>
        <w:t>Dadbin</w:t>
      </w:r>
      <w:r w:rsidRPr="00C56C19">
        <w:rPr>
          <w:rFonts w:ascii="Arial" w:hAnsi="Arial" w:cs="Arial"/>
          <w:highlight w:val="cyan"/>
        </w:rPr>
        <w:t xml:space="preserve"> et al., 202</w:t>
      </w:r>
      <w:r w:rsidR="00C64BC4" w:rsidRPr="00C56C19">
        <w:rPr>
          <w:rFonts w:ascii="Arial" w:hAnsi="Arial" w:cs="Arial"/>
          <w:highlight w:val="cyan"/>
        </w:rPr>
        <w:t>5</w:t>
      </w:r>
      <w:r w:rsidRPr="00C56C19">
        <w:rPr>
          <w:rFonts w:ascii="Arial" w:hAnsi="Arial" w:cs="Arial"/>
          <w:highlight w:val="cyan"/>
        </w:rPr>
        <w:t xml:space="preserve">; </w:t>
      </w:r>
      <w:r w:rsidR="00BD48E9" w:rsidRPr="00C56C19">
        <w:rPr>
          <w:rFonts w:ascii="Arial" w:hAnsi="Arial" w:cs="Arial"/>
          <w:highlight w:val="cyan"/>
        </w:rPr>
        <w:t>Dhall, 2013</w:t>
      </w:r>
      <w:r w:rsidRPr="00C56C19">
        <w:rPr>
          <w:rFonts w:ascii="Arial" w:hAnsi="Arial" w:cs="Arial"/>
          <w:highlight w:val="cyan"/>
        </w:rPr>
        <w:t>). However, their efficacy is often temperature-dependent. At 30 °C, T2 delayed symptom onset but ultimately failed to prevent disease progression, echoing findings in citrus and apple where essential oils lose stability and antimicrobial potency under warm conditions (</w:t>
      </w:r>
      <w:r w:rsidR="00C64BC4" w:rsidRPr="00C56C19">
        <w:rPr>
          <w:rFonts w:ascii="Arial" w:hAnsi="Arial" w:cs="Arial"/>
          <w:highlight w:val="cyan"/>
        </w:rPr>
        <w:t xml:space="preserve">Gómez-Contreras </w:t>
      </w:r>
      <w:r w:rsidRPr="00C56C19">
        <w:rPr>
          <w:rFonts w:ascii="Arial" w:hAnsi="Arial" w:cs="Arial"/>
          <w:highlight w:val="cyan"/>
        </w:rPr>
        <w:t>et al., 20</w:t>
      </w:r>
      <w:r w:rsidR="00C64BC4" w:rsidRPr="00C56C19">
        <w:rPr>
          <w:rFonts w:ascii="Arial" w:hAnsi="Arial" w:cs="Arial"/>
          <w:highlight w:val="cyan"/>
        </w:rPr>
        <w:t>2</w:t>
      </w:r>
      <w:r w:rsidRPr="00C56C19">
        <w:rPr>
          <w:rFonts w:ascii="Arial" w:hAnsi="Arial" w:cs="Arial"/>
          <w:highlight w:val="cyan"/>
        </w:rPr>
        <w:t xml:space="preserve">1; </w:t>
      </w:r>
      <w:proofErr w:type="spellStart"/>
      <w:r w:rsidR="00964025" w:rsidRPr="00C56C19">
        <w:rPr>
          <w:rStyle w:val="reference-surname"/>
          <w:highlight w:val="cyan"/>
        </w:rPr>
        <w:t>Dikaram</w:t>
      </w:r>
      <w:proofErr w:type="spellEnd"/>
      <w:r w:rsidRPr="00C56C19">
        <w:rPr>
          <w:rFonts w:ascii="Arial" w:hAnsi="Arial" w:cs="Arial"/>
          <w:highlight w:val="cyan"/>
        </w:rPr>
        <w:t xml:space="preserve"> et al., 20</w:t>
      </w:r>
      <w:r w:rsidR="00964025" w:rsidRPr="00C56C19">
        <w:rPr>
          <w:rFonts w:ascii="Arial" w:hAnsi="Arial" w:cs="Arial"/>
          <w:highlight w:val="cyan"/>
        </w:rPr>
        <w:t>0</w:t>
      </w:r>
      <w:r w:rsidRPr="00C56C19">
        <w:rPr>
          <w:rFonts w:ascii="Arial" w:hAnsi="Arial" w:cs="Arial"/>
          <w:highlight w:val="cyan"/>
        </w:rPr>
        <w:t>2). This suggests that while essential oils are promising, their volatility and degradation at higher temperatures limit their standalone effectiveness.</w:t>
      </w:r>
    </w:p>
    <w:p w14:paraId="7D2FD80C" w14:textId="77777777" w:rsidR="00662C63" w:rsidRPr="00C56C19" w:rsidRDefault="00662C63" w:rsidP="00662C63">
      <w:pPr>
        <w:jc w:val="both"/>
        <w:rPr>
          <w:rFonts w:ascii="Arial" w:hAnsi="Arial" w:cs="Arial"/>
          <w:highlight w:val="cyan"/>
        </w:rPr>
      </w:pPr>
    </w:p>
    <w:p w14:paraId="70E2D75D" w14:textId="31687A48" w:rsidR="00662C63" w:rsidRPr="00C56C19" w:rsidRDefault="00662C63" w:rsidP="00662C63">
      <w:pPr>
        <w:jc w:val="both"/>
        <w:rPr>
          <w:rFonts w:ascii="Arial" w:hAnsi="Arial" w:cs="Arial"/>
          <w:highlight w:val="cyan"/>
        </w:rPr>
      </w:pPr>
      <w:r w:rsidRPr="00C56C19">
        <w:rPr>
          <w:rFonts w:ascii="Arial" w:hAnsi="Arial" w:cs="Arial"/>
          <w:highlight w:val="cyan"/>
        </w:rPr>
        <w:t>By contrast, the bioplastic alone (T1) was largely ineffective, confirming that physical coatings without antimicrobial activity cannot provide sufficient protection. Similar conclusions have been drawn in other fruit systems, where starch- or chitosan-based films without bioactive additives offered only marginal benefits (Krishnan et al., 2025). This reinforces the view that edible coatings must be functionalized with antifungal agents to achieve meaningful disease suppression.</w:t>
      </w:r>
    </w:p>
    <w:p w14:paraId="72689229" w14:textId="77777777" w:rsidR="00BE75B1" w:rsidRPr="00C56C19" w:rsidRDefault="00BE75B1" w:rsidP="00662C63">
      <w:pPr>
        <w:jc w:val="both"/>
        <w:rPr>
          <w:rFonts w:ascii="Arial" w:hAnsi="Arial" w:cs="Arial"/>
          <w:highlight w:val="cyan"/>
        </w:rPr>
      </w:pPr>
    </w:p>
    <w:p w14:paraId="496CF4BC" w14:textId="77777777" w:rsidR="00662C63" w:rsidRPr="00C56C19" w:rsidRDefault="00662C63" w:rsidP="00662C63">
      <w:pPr>
        <w:jc w:val="both"/>
        <w:rPr>
          <w:rFonts w:ascii="Arial" w:hAnsi="Arial" w:cs="Arial"/>
          <w:highlight w:val="cyan"/>
        </w:rPr>
      </w:pPr>
      <w:r w:rsidRPr="00C56C19">
        <w:rPr>
          <w:rFonts w:ascii="Arial" w:hAnsi="Arial" w:cs="Arial"/>
          <w:highlight w:val="cyan"/>
        </w:rPr>
        <w:t>Field protection (B1) also emerged as a critical factor, consistently improving outcomes across treatments. This finding resonates with the broader literature on integrated pest and disease management, which emphasizes that postharvest interventions are most effective when combined with orchard-level practices that reduce initial inoculum (</w:t>
      </w:r>
      <w:proofErr w:type="spellStart"/>
      <w:r w:rsidRPr="00C56C19">
        <w:rPr>
          <w:rFonts w:ascii="Arial" w:hAnsi="Arial" w:cs="Arial"/>
          <w:highlight w:val="cyan"/>
        </w:rPr>
        <w:t>Droby</w:t>
      </w:r>
      <w:proofErr w:type="spellEnd"/>
      <w:r w:rsidRPr="00C56C19">
        <w:rPr>
          <w:rFonts w:ascii="Arial" w:hAnsi="Arial" w:cs="Arial"/>
          <w:highlight w:val="cyan"/>
        </w:rPr>
        <w:t xml:space="preserve"> et al., 2009; Bautista-Baños et al., 2013). Recent studies in mango and papaya confirm that integrating preharvest sanitation, biological control, and postharvest coatings yields superior results compared to single interventions (Lawal et al., 2025; Tenea et al., 2025).</w:t>
      </w:r>
    </w:p>
    <w:p w14:paraId="678831FC" w14:textId="77777777" w:rsidR="00662C63" w:rsidRPr="00C56C19" w:rsidRDefault="00662C63" w:rsidP="00662C63">
      <w:pPr>
        <w:jc w:val="both"/>
        <w:rPr>
          <w:rFonts w:ascii="Arial" w:hAnsi="Arial" w:cs="Arial"/>
          <w:highlight w:val="cyan"/>
        </w:rPr>
      </w:pPr>
    </w:p>
    <w:p w14:paraId="73F5A424" w14:textId="6ADAD345" w:rsidR="00662C63" w:rsidRPr="00C56C19" w:rsidRDefault="00662C63" w:rsidP="00662C63">
      <w:pPr>
        <w:jc w:val="both"/>
        <w:rPr>
          <w:rFonts w:ascii="Arial" w:hAnsi="Arial" w:cs="Arial"/>
          <w:highlight w:val="cyan"/>
        </w:rPr>
      </w:pPr>
      <w:r w:rsidRPr="00C56C19">
        <w:rPr>
          <w:rFonts w:ascii="Arial" w:hAnsi="Arial" w:cs="Arial"/>
          <w:highlight w:val="cyan"/>
        </w:rPr>
        <w:t xml:space="preserve">The multivariate analysis (PCA) provided further insight into these interactions, separating treatment combinations along two axes: overall disease burden (PC1) and timing of onset (PC2). The clustering of B1+TC+T2 near the origin, contrasted with B2+NTC+T0 in the upper right quadrant, illustrates the continuum of outcomes from integrated to neglected management. This pattern mirrors recent multivariate studies in strawberries and citrus, where PCA effectively distinguished protective strategies from high-risk scenarios (Tenea et al., 2025; </w:t>
      </w:r>
      <w:r w:rsidR="00BD48E9" w:rsidRPr="00C56C19">
        <w:rPr>
          <w:rFonts w:ascii="Arial" w:hAnsi="Arial" w:cs="Arial"/>
          <w:highlight w:val="cyan"/>
        </w:rPr>
        <w:t>Lui</w:t>
      </w:r>
      <w:r w:rsidRPr="00C56C19">
        <w:rPr>
          <w:rFonts w:ascii="Arial" w:hAnsi="Arial" w:cs="Arial"/>
          <w:highlight w:val="cyan"/>
        </w:rPr>
        <w:t xml:space="preserve"> et al., 202</w:t>
      </w:r>
      <w:r w:rsidR="00BD48E9" w:rsidRPr="00C56C19">
        <w:rPr>
          <w:rFonts w:ascii="Arial" w:hAnsi="Arial" w:cs="Arial"/>
          <w:highlight w:val="cyan"/>
        </w:rPr>
        <w:t>5</w:t>
      </w:r>
      <w:r w:rsidRPr="00C56C19">
        <w:rPr>
          <w:rFonts w:ascii="Arial" w:hAnsi="Arial" w:cs="Arial"/>
          <w:highlight w:val="cyan"/>
        </w:rPr>
        <w:t>). Such analyses underscore the value of multivariate tools in capturing the complexity of postharvest disease dynamics.</w:t>
      </w:r>
    </w:p>
    <w:p w14:paraId="6843A2F7" w14:textId="77777777" w:rsidR="00662C63" w:rsidRPr="00C56C19" w:rsidRDefault="00662C63" w:rsidP="00662C63">
      <w:pPr>
        <w:jc w:val="both"/>
        <w:rPr>
          <w:rFonts w:ascii="Arial" w:hAnsi="Arial" w:cs="Arial"/>
          <w:highlight w:val="cyan"/>
        </w:rPr>
      </w:pPr>
    </w:p>
    <w:p w14:paraId="31A6DCBC" w14:textId="33B98BFD" w:rsidR="00662C63" w:rsidRPr="00C56C19" w:rsidRDefault="00662C63" w:rsidP="00662C63">
      <w:pPr>
        <w:jc w:val="both"/>
        <w:rPr>
          <w:rFonts w:ascii="Arial" w:hAnsi="Arial" w:cs="Arial"/>
          <w:highlight w:val="cyan"/>
        </w:rPr>
      </w:pPr>
      <w:r w:rsidRPr="00C56C19">
        <w:rPr>
          <w:rFonts w:ascii="Arial" w:hAnsi="Arial" w:cs="Arial"/>
          <w:highlight w:val="cyan"/>
        </w:rPr>
        <w:t>Taken together, our findings reinforce three key messages. First, cold storage remains indispensable for reliable postharvest control of mango diseases. Second, bioactive coatings enriched with essential oils can substantially enhance protection, but their efficacy is strongly temperature-dependent. Third, integration across the value chain, from field protection to storage, is essential, as no single intervention is sufficient on its own. These insights are consistent with the growing consensus that sustainable postharvest management requires a systems approach, embedding natural antimicrobials within broader quality management frameworks (</w:t>
      </w:r>
      <w:r w:rsidR="00BD48E9" w:rsidRPr="00C56C19">
        <w:rPr>
          <w:rFonts w:ascii="Arial" w:hAnsi="Arial" w:cs="Arial"/>
          <w:highlight w:val="cyan"/>
        </w:rPr>
        <w:t>Combrink et al., 1994</w:t>
      </w:r>
      <w:r w:rsidRPr="00C56C19">
        <w:rPr>
          <w:rFonts w:ascii="Arial" w:hAnsi="Arial" w:cs="Arial"/>
          <w:highlight w:val="cyan"/>
        </w:rPr>
        <w:t xml:space="preserve">; </w:t>
      </w:r>
      <w:r w:rsidR="00E0266F" w:rsidRPr="00C56C19">
        <w:rPr>
          <w:rFonts w:ascii="Arial" w:hAnsi="Arial" w:cs="Arial"/>
          <w:highlight w:val="cyan"/>
        </w:rPr>
        <w:t xml:space="preserve">Ferdousi et al. 2024; </w:t>
      </w:r>
      <w:proofErr w:type="spellStart"/>
      <w:r w:rsidR="00E0266F" w:rsidRPr="00C56C19">
        <w:rPr>
          <w:rFonts w:ascii="Arial" w:hAnsi="Arial" w:cs="Arial"/>
          <w:highlight w:val="cyan"/>
        </w:rPr>
        <w:t>Feyera</w:t>
      </w:r>
      <w:proofErr w:type="spellEnd"/>
      <w:r w:rsidR="00E0266F" w:rsidRPr="00C56C19">
        <w:rPr>
          <w:rFonts w:ascii="Arial" w:hAnsi="Arial" w:cs="Arial"/>
          <w:highlight w:val="cyan"/>
        </w:rPr>
        <w:t xml:space="preserve"> et al., 2022</w:t>
      </w:r>
      <w:r w:rsidRPr="00C56C19">
        <w:rPr>
          <w:rFonts w:ascii="Arial" w:hAnsi="Arial" w:cs="Arial"/>
          <w:highlight w:val="cyan"/>
        </w:rPr>
        <w:t>).</w:t>
      </w:r>
    </w:p>
    <w:p w14:paraId="3BD9E85C" w14:textId="200ADBD1" w:rsidR="00EC34C8" w:rsidRPr="00EC34C8" w:rsidRDefault="00EC34C8" w:rsidP="0041649D">
      <w:pPr>
        <w:jc w:val="both"/>
        <w:rPr>
          <w:rFonts w:ascii="Arial" w:hAnsi="Arial" w:cs="Arial"/>
          <w:b/>
          <w:bCs/>
          <w:sz w:val="22"/>
          <w:szCs w:val="22"/>
        </w:rPr>
      </w:pPr>
      <w:bookmarkStart w:id="6" w:name="_Hlk211180466"/>
    </w:p>
    <w:bookmarkEnd w:id="6"/>
    <w:p w14:paraId="42E1BE0B" w14:textId="77777777" w:rsidR="00790ADA" w:rsidRPr="005927C6" w:rsidRDefault="00790ADA" w:rsidP="005927C6">
      <w:pPr>
        <w:pStyle w:val="Body"/>
        <w:spacing w:after="0"/>
        <w:rPr>
          <w:rFonts w:ascii="Arial" w:hAnsi="Arial" w:cs="Arial"/>
        </w:rPr>
      </w:pPr>
    </w:p>
    <w:p w14:paraId="694484A2" w14:textId="77777777" w:rsidR="00B01FCD" w:rsidRPr="005927C6" w:rsidRDefault="00000F8F" w:rsidP="005927C6">
      <w:pPr>
        <w:pStyle w:val="ConcHead"/>
        <w:spacing w:after="0"/>
        <w:jc w:val="both"/>
        <w:rPr>
          <w:rFonts w:ascii="Arial" w:hAnsi="Arial" w:cs="Arial"/>
        </w:rPr>
      </w:pPr>
      <w:r w:rsidRPr="005927C6">
        <w:rPr>
          <w:rFonts w:ascii="Arial" w:hAnsi="Arial" w:cs="Arial"/>
        </w:rPr>
        <w:t xml:space="preserve">4. </w:t>
      </w:r>
      <w:r w:rsidR="00B01FCD" w:rsidRPr="005927C6">
        <w:rPr>
          <w:rFonts w:ascii="Arial" w:hAnsi="Arial" w:cs="Arial"/>
        </w:rPr>
        <w:t>Conclusion</w:t>
      </w:r>
    </w:p>
    <w:p w14:paraId="04A1367D" w14:textId="77777777" w:rsidR="00790ADA" w:rsidRPr="005927C6" w:rsidRDefault="00790ADA" w:rsidP="005927C6">
      <w:pPr>
        <w:pStyle w:val="ConcHead"/>
        <w:spacing w:after="0"/>
        <w:jc w:val="both"/>
        <w:rPr>
          <w:rFonts w:ascii="Arial" w:hAnsi="Arial" w:cs="Arial"/>
        </w:rPr>
      </w:pPr>
    </w:p>
    <w:p w14:paraId="0B23A3D6" w14:textId="77777777" w:rsidR="009D47E3" w:rsidRPr="005927C6" w:rsidRDefault="009D47E3" w:rsidP="005927C6">
      <w:pPr>
        <w:pStyle w:val="Body"/>
        <w:rPr>
          <w:rFonts w:ascii="Arial" w:hAnsi="Arial" w:cs="Arial"/>
        </w:rPr>
      </w:pPr>
      <w:r w:rsidRPr="005927C6">
        <w:rPr>
          <w:rFonts w:ascii="Arial" w:hAnsi="Arial" w:cs="Arial"/>
        </w:rPr>
        <w:t>This study demonstrates that the combination of field management (TC), bioplastic coating enriched with citronella essential oil (T2), and cold storage at 8 °C constitutes a highly effective strategy for reducing postharvest mango decay. These findings reinforce the growing interest in natural and sustainable alternatives to synthetic fungicides, while highlighting the need for an integrated approach.</w:t>
      </w:r>
    </w:p>
    <w:p w14:paraId="0FB0058A" w14:textId="715109B4" w:rsidR="00790ADA" w:rsidRPr="005927C6" w:rsidRDefault="009D47E3" w:rsidP="005927C6">
      <w:pPr>
        <w:pStyle w:val="Body"/>
        <w:spacing w:after="0"/>
        <w:rPr>
          <w:rFonts w:ascii="Arial" w:hAnsi="Arial" w:cs="Arial"/>
        </w:rPr>
      </w:pPr>
      <w:r w:rsidRPr="005927C6">
        <w:rPr>
          <w:rFonts w:ascii="Arial" w:hAnsi="Arial" w:cs="Arial"/>
        </w:rPr>
        <w:t>From a practical standpoint, the results offer concrete opportunities to improve the mango value chain in tropical regions, where postharvest losses remain a major barrier to competitiveness.</w:t>
      </w:r>
    </w:p>
    <w:p w14:paraId="078DF5F0" w14:textId="77777777" w:rsidR="009D47E3" w:rsidRPr="005927C6" w:rsidRDefault="009D47E3" w:rsidP="005927C6">
      <w:pPr>
        <w:pStyle w:val="Body"/>
        <w:spacing w:after="0"/>
        <w:rPr>
          <w:rFonts w:ascii="Arial" w:hAnsi="Arial" w:cs="Arial"/>
        </w:rPr>
      </w:pPr>
    </w:p>
    <w:p w14:paraId="394FCFB6" w14:textId="77777777" w:rsidR="009D47E3" w:rsidRPr="005927C6" w:rsidRDefault="009D47E3" w:rsidP="005927C6">
      <w:pPr>
        <w:pStyle w:val="Body"/>
        <w:spacing w:after="0"/>
        <w:rPr>
          <w:rFonts w:ascii="Arial" w:hAnsi="Arial" w:cs="Arial"/>
        </w:rPr>
      </w:pPr>
    </w:p>
    <w:p w14:paraId="0863DCDA" w14:textId="7A1C5AED" w:rsidR="00982751" w:rsidRDefault="00982751" w:rsidP="005927C6">
      <w:pPr>
        <w:pStyle w:val="ReferHead"/>
        <w:spacing w:after="0"/>
        <w:jc w:val="both"/>
        <w:rPr>
          <w:rFonts w:ascii="Arial" w:hAnsi="Arial" w:cs="Arial"/>
          <w:b w:val="0"/>
          <w:caps w:val="0"/>
          <w:sz w:val="20"/>
        </w:rPr>
      </w:pPr>
    </w:p>
    <w:p w14:paraId="26E01ADF" w14:textId="77777777" w:rsidR="00BE75B1" w:rsidRDefault="00BE75B1" w:rsidP="00982751">
      <w:pPr>
        <w:rPr>
          <w:rFonts w:ascii="Calibri" w:eastAsia="Calibri" w:hAnsi="Calibri"/>
          <w:kern w:val="2"/>
          <w:highlight w:val="yellow"/>
        </w:rPr>
      </w:pPr>
      <w:bookmarkStart w:id="7" w:name="_Hlk197682619"/>
      <w:bookmarkStart w:id="8" w:name="_Hlk180402183"/>
      <w:bookmarkStart w:id="9" w:name="_Hlk183680988"/>
    </w:p>
    <w:p w14:paraId="35075FBA" w14:textId="77777777" w:rsidR="00BE75B1" w:rsidRDefault="00BE75B1" w:rsidP="00982751">
      <w:pPr>
        <w:rPr>
          <w:rFonts w:ascii="Calibri" w:eastAsia="Calibri" w:hAnsi="Calibri"/>
          <w:kern w:val="2"/>
          <w:highlight w:val="yellow"/>
        </w:rPr>
      </w:pPr>
    </w:p>
    <w:p w14:paraId="252FEC46" w14:textId="5AA1F31D" w:rsidR="00982751" w:rsidRPr="00B70E60" w:rsidRDefault="00982751" w:rsidP="00982751">
      <w:pPr>
        <w:rPr>
          <w:rFonts w:ascii="Arial" w:eastAsia="Calibri" w:hAnsi="Arial" w:cs="Arial"/>
          <w:kern w:val="2"/>
          <w:highlight w:val="cyan"/>
        </w:rPr>
      </w:pPr>
      <w:r w:rsidRPr="00B70E60">
        <w:rPr>
          <w:rFonts w:ascii="Arial" w:eastAsia="Calibri" w:hAnsi="Arial" w:cs="Arial"/>
          <w:b/>
          <w:bCs/>
          <w:kern w:val="2"/>
          <w:sz w:val="22"/>
          <w:szCs w:val="22"/>
          <w:highlight w:val="cyan"/>
        </w:rPr>
        <w:t>D</w:t>
      </w:r>
      <w:r w:rsidR="00BE75B1" w:rsidRPr="00B70E60">
        <w:rPr>
          <w:rFonts w:ascii="Arial" w:eastAsia="Calibri" w:hAnsi="Arial" w:cs="Arial"/>
          <w:b/>
          <w:bCs/>
          <w:kern w:val="2"/>
          <w:sz w:val="22"/>
          <w:szCs w:val="22"/>
          <w:highlight w:val="cyan"/>
        </w:rPr>
        <w:t>ISCLAIMER</w:t>
      </w:r>
      <w:r w:rsidRPr="00B70E60">
        <w:rPr>
          <w:rFonts w:ascii="Arial" w:eastAsia="Calibri" w:hAnsi="Arial" w:cs="Arial"/>
          <w:b/>
          <w:bCs/>
          <w:kern w:val="2"/>
          <w:sz w:val="22"/>
          <w:szCs w:val="22"/>
          <w:highlight w:val="cyan"/>
        </w:rPr>
        <w:t xml:space="preserve"> </w:t>
      </w:r>
      <w:r w:rsidRPr="00B70E60">
        <w:rPr>
          <w:rFonts w:ascii="Arial" w:eastAsia="Calibri" w:hAnsi="Arial" w:cs="Arial"/>
          <w:kern w:val="2"/>
          <w:highlight w:val="cyan"/>
        </w:rPr>
        <w:t>(Artificial intelligence)</w:t>
      </w:r>
    </w:p>
    <w:p w14:paraId="63110CEA" w14:textId="77777777" w:rsidR="00F54731" w:rsidRPr="00B70E60" w:rsidRDefault="00F54731" w:rsidP="00982751">
      <w:pPr>
        <w:rPr>
          <w:rFonts w:ascii="Arial" w:eastAsia="Calibri" w:hAnsi="Arial" w:cs="Arial"/>
          <w:kern w:val="2"/>
          <w:highlight w:val="cyan"/>
        </w:rPr>
      </w:pPr>
    </w:p>
    <w:p w14:paraId="0B957216" w14:textId="31AA0866" w:rsidR="00982751" w:rsidRPr="00F54731" w:rsidRDefault="00982751" w:rsidP="00982751">
      <w:pPr>
        <w:rPr>
          <w:rFonts w:ascii="Arial" w:eastAsia="Calibri" w:hAnsi="Arial" w:cs="Arial"/>
          <w:kern w:val="2"/>
        </w:rPr>
      </w:pPr>
      <w:r w:rsidRPr="00B70E60">
        <w:rPr>
          <w:rFonts w:ascii="Arial" w:eastAsia="Calibri" w:hAnsi="Arial" w:cs="Arial"/>
          <w:kern w:val="2"/>
          <w:highlight w:val="cyan"/>
        </w:rPr>
        <w:t>Author(s) hereby declare that NO generative AI technologies such as Large Language Models (ChatGPT, COPILOT, etc.) and text-to-image generators have been used during the writing or editing of this manuscript.</w:t>
      </w:r>
      <w:r w:rsidRPr="00F54731">
        <w:rPr>
          <w:rFonts w:ascii="Arial" w:eastAsia="Calibri" w:hAnsi="Arial" w:cs="Arial"/>
          <w:kern w:val="2"/>
        </w:rPr>
        <w:t xml:space="preserve"> </w:t>
      </w:r>
    </w:p>
    <w:bookmarkEnd w:id="7"/>
    <w:bookmarkEnd w:id="8"/>
    <w:bookmarkEnd w:id="9"/>
    <w:p w14:paraId="2CD93E18" w14:textId="77777777" w:rsidR="00982751" w:rsidRPr="00F54731" w:rsidRDefault="00982751" w:rsidP="005927C6">
      <w:pPr>
        <w:pStyle w:val="ReferHead"/>
        <w:spacing w:after="0"/>
        <w:jc w:val="both"/>
        <w:rPr>
          <w:rFonts w:ascii="Arial" w:hAnsi="Arial" w:cs="Arial"/>
          <w:b w:val="0"/>
          <w:caps w:val="0"/>
          <w:sz w:val="20"/>
        </w:rPr>
      </w:pPr>
    </w:p>
    <w:p w14:paraId="4AE4FFF1" w14:textId="77777777" w:rsidR="00C63D59" w:rsidRPr="00F54731" w:rsidRDefault="00C63D59" w:rsidP="005927C6">
      <w:pPr>
        <w:pStyle w:val="ReferHead"/>
        <w:spacing w:after="0"/>
        <w:jc w:val="both"/>
        <w:rPr>
          <w:rFonts w:ascii="Arial" w:hAnsi="Arial" w:cs="Arial"/>
          <w:b w:val="0"/>
          <w:caps w:val="0"/>
          <w:sz w:val="20"/>
        </w:rPr>
      </w:pPr>
    </w:p>
    <w:p w14:paraId="7548837C" w14:textId="77777777" w:rsidR="00860000" w:rsidRPr="00F54731" w:rsidRDefault="00860000" w:rsidP="005927C6">
      <w:pPr>
        <w:pStyle w:val="ReferHead"/>
        <w:spacing w:after="0"/>
        <w:jc w:val="both"/>
        <w:rPr>
          <w:rFonts w:ascii="Arial" w:hAnsi="Arial" w:cs="Arial"/>
        </w:rPr>
      </w:pPr>
    </w:p>
    <w:p w14:paraId="79E931B7" w14:textId="77777777" w:rsidR="00B01FCD" w:rsidRPr="005927C6" w:rsidRDefault="00B01FCD" w:rsidP="005927C6">
      <w:pPr>
        <w:pStyle w:val="ReferHead"/>
        <w:spacing w:after="0"/>
        <w:jc w:val="both"/>
        <w:rPr>
          <w:rFonts w:ascii="Arial" w:hAnsi="Arial" w:cs="Arial"/>
        </w:rPr>
      </w:pPr>
      <w:r w:rsidRPr="005927C6">
        <w:rPr>
          <w:rFonts w:ascii="Arial" w:hAnsi="Arial" w:cs="Arial"/>
        </w:rPr>
        <w:t>References</w:t>
      </w:r>
    </w:p>
    <w:p w14:paraId="02253B7C" w14:textId="77777777" w:rsidR="00790ADA" w:rsidRDefault="00790ADA" w:rsidP="005927C6">
      <w:pPr>
        <w:pStyle w:val="ReferHead"/>
        <w:spacing w:after="0"/>
        <w:jc w:val="both"/>
        <w:rPr>
          <w:rFonts w:ascii="Arial" w:hAnsi="Arial" w:cs="Arial"/>
        </w:rPr>
      </w:pPr>
    </w:p>
    <w:p w14:paraId="7602F95C" w14:textId="77777777" w:rsidR="006A5E82" w:rsidRPr="00B70E60" w:rsidRDefault="006A5E82" w:rsidP="00DB596C">
      <w:pPr>
        <w:pStyle w:val="ListParagraph"/>
        <w:numPr>
          <w:ilvl w:val="0"/>
          <w:numId w:val="41"/>
        </w:numPr>
        <w:jc w:val="both"/>
        <w:rPr>
          <w:rFonts w:ascii="Arial" w:hAnsi="Arial" w:cs="Arial"/>
          <w:highlight w:val="cyan"/>
        </w:rPr>
      </w:pPr>
      <w:r w:rsidRPr="00B70E60">
        <w:rPr>
          <w:rFonts w:ascii="Arial" w:hAnsi="Arial" w:cs="Arial"/>
          <w:highlight w:val="cyan"/>
        </w:rPr>
        <w:t xml:space="preserve">Gidado, M.J., Ahmad Anas </w:t>
      </w:r>
      <w:proofErr w:type="spellStart"/>
      <w:r w:rsidRPr="00B70E60">
        <w:rPr>
          <w:rFonts w:ascii="Arial" w:hAnsi="Arial" w:cs="Arial"/>
          <w:highlight w:val="cyan"/>
        </w:rPr>
        <w:t>Nagoor</w:t>
      </w:r>
      <w:proofErr w:type="spellEnd"/>
      <w:r w:rsidRPr="00B70E60">
        <w:rPr>
          <w:rFonts w:ascii="Arial" w:hAnsi="Arial" w:cs="Arial"/>
          <w:highlight w:val="cyan"/>
        </w:rPr>
        <w:t xml:space="preserve"> Gunny, A.A.N., Gopinath, S.C.B., Adam, T., Mohamed </w:t>
      </w:r>
      <w:proofErr w:type="spellStart"/>
      <w:r w:rsidRPr="00B70E60">
        <w:rPr>
          <w:rFonts w:ascii="Arial" w:hAnsi="Arial" w:cs="Arial"/>
          <w:highlight w:val="cyan"/>
        </w:rPr>
        <w:t>Mydin</w:t>
      </w:r>
      <w:proofErr w:type="spellEnd"/>
      <w:r w:rsidRPr="00B70E60">
        <w:rPr>
          <w:rFonts w:ascii="Arial" w:hAnsi="Arial" w:cs="Arial"/>
          <w:highlight w:val="cyan"/>
        </w:rPr>
        <w:t xml:space="preserve"> M. Abdul Kader, M.M.M., Oyeniyi, O.A. (2025). The Effects of Storage Conditions on Postharvest Physiology of Fruits. Proceedings of the 4th International Conference on Biomass Utilization and Sustainable Energy; </w:t>
      </w:r>
      <w:proofErr w:type="spellStart"/>
      <w:r w:rsidRPr="00B70E60">
        <w:rPr>
          <w:rFonts w:ascii="Arial" w:hAnsi="Arial" w:cs="Arial"/>
          <w:highlight w:val="cyan"/>
        </w:rPr>
        <w:t>ICoBiomasSE</w:t>
      </w:r>
      <w:proofErr w:type="spellEnd"/>
      <w:r w:rsidRPr="00B70E60">
        <w:rPr>
          <w:rFonts w:ascii="Arial" w:hAnsi="Arial" w:cs="Arial"/>
          <w:highlight w:val="cyan"/>
        </w:rPr>
        <w:t>; 2–3 September; Penang, Malaysia (pp.425-439)</w:t>
      </w:r>
    </w:p>
    <w:p w14:paraId="551FFD24" w14:textId="6F5569EE" w:rsidR="001B1329" w:rsidRDefault="006A5E82" w:rsidP="001B1329">
      <w:pPr>
        <w:pStyle w:val="ListParagraph"/>
        <w:spacing w:after="160" w:line="278" w:lineRule="auto"/>
        <w:jc w:val="both"/>
        <w:rPr>
          <w:highlight w:val="cyan"/>
        </w:rPr>
      </w:pPr>
      <w:r w:rsidRPr="00B70E60">
        <w:rPr>
          <w:rFonts w:ascii="Arial" w:hAnsi="Arial" w:cs="Arial"/>
          <w:highlight w:val="cyan"/>
        </w:rPr>
        <w:t xml:space="preserve"> </w:t>
      </w:r>
      <w:hyperlink r:id="rId18" w:history="1">
        <w:r w:rsidRPr="00B70E60">
          <w:rPr>
            <w:rStyle w:val="Hyperlink"/>
            <w:rFonts w:ascii="Arial" w:hAnsi="Arial" w:cs="Arial"/>
            <w:highlight w:val="cyan"/>
          </w:rPr>
          <w:t>https://www.researchgate.net/publication/392908013</w:t>
        </w:r>
      </w:hyperlink>
    </w:p>
    <w:p w14:paraId="1CAB9C58" w14:textId="77777777" w:rsidR="001B1329" w:rsidRPr="001B1329" w:rsidRDefault="001B1329" w:rsidP="001B1329">
      <w:pPr>
        <w:pStyle w:val="ListParagraph"/>
        <w:spacing w:after="160" w:line="278" w:lineRule="auto"/>
        <w:jc w:val="both"/>
        <w:rPr>
          <w:rFonts w:ascii="Arial" w:hAnsi="Arial" w:cs="Arial"/>
          <w:highlight w:val="cyan"/>
        </w:rPr>
      </w:pPr>
    </w:p>
    <w:p w14:paraId="0DA14028" w14:textId="132031B7"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Feyera, M., Abdo, T. (2022). Post Harvest Treatments and Shelf Life of Some Tropical Fruit. </w:t>
      </w:r>
      <w:r w:rsidRPr="00B70E60">
        <w:rPr>
          <w:rFonts w:ascii="Arial" w:hAnsi="Arial" w:cs="Arial"/>
          <w:i/>
          <w:iCs/>
          <w:highlight w:val="cyan"/>
        </w:rPr>
        <w:t>Journal of Advances in Biology &amp; Biotechnology</w:t>
      </w:r>
      <w:r w:rsidRPr="00B70E60">
        <w:rPr>
          <w:rFonts w:ascii="Arial" w:hAnsi="Arial" w:cs="Arial"/>
          <w:highlight w:val="cyan"/>
        </w:rPr>
        <w:t>,  25 (9), pp.48-55. </w:t>
      </w:r>
      <w:hyperlink r:id="rId19" w:tgtFrame="_blank" w:history="1">
        <w:r w:rsidRPr="00B70E60">
          <w:rPr>
            <w:rStyle w:val="Hyperlink"/>
            <w:rFonts w:ascii="Cambria Math" w:hAnsi="Cambria Math" w:cs="Cambria Math"/>
            <w:highlight w:val="cyan"/>
          </w:rPr>
          <w:t>⟨</w:t>
        </w:r>
        <w:r w:rsidRPr="00B70E60">
          <w:rPr>
            <w:rStyle w:val="Hyperlink"/>
            <w:rFonts w:ascii="Arial" w:hAnsi="Arial" w:cs="Arial"/>
            <w:highlight w:val="cyan"/>
          </w:rPr>
          <w:t>hal-05196665</w:t>
        </w:r>
        <w:r w:rsidRPr="00B70E60">
          <w:rPr>
            <w:rStyle w:val="Hyperlink"/>
            <w:rFonts w:ascii="Cambria Math" w:hAnsi="Cambria Math" w:cs="Cambria Math"/>
            <w:highlight w:val="cyan"/>
          </w:rPr>
          <w:t>⟩</w:t>
        </w:r>
      </w:hyperlink>
    </w:p>
    <w:p w14:paraId="63E55325" w14:textId="77777777" w:rsidR="003F5E04" w:rsidRPr="00B70E60" w:rsidRDefault="003F5E04" w:rsidP="006A5E82">
      <w:pPr>
        <w:rPr>
          <w:rFonts w:ascii="Arial" w:hAnsi="Arial" w:cs="Arial"/>
          <w:highlight w:val="cyan"/>
        </w:rPr>
      </w:pPr>
    </w:p>
    <w:p w14:paraId="7E26EEB5" w14:textId="0D7530FF"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 xml:space="preserve">Nakahara K, </w:t>
      </w:r>
      <w:proofErr w:type="spellStart"/>
      <w:r w:rsidRPr="00B70E60">
        <w:rPr>
          <w:rFonts w:ascii="Arial" w:hAnsi="Arial" w:cs="Arial"/>
          <w:highlight w:val="cyan"/>
        </w:rPr>
        <w:t>Alzoreky</w:t>
      </w:r>
      <w:proofErr w:type="spellEnd"/>
      <w:r w:rsidRPr="00B70E60">
        <w:rPr>
          <w:rFonts w:ascii="Arial" w:hAnsi="Arial" w:cs="Arial"/>
          <w:highlight w:val="cyan"/>
        </w:rPr>
        <w:t xml:space="preserve"> NS, </w:t>
      </w:r>
      <w:proofErr w:type="spellStart"/>
      <w:r w:rsidRPr="00B70E60">
        <w:rPr>
          <w:rFonts w:ascii="Arial" w:hAnsi="Arial" w:cs="Arial"/>
          <w:highlight w:val="cyan"/>
        </w:rPr>
        <w:t>Yoshihashi</w:t>
      </w:r>
      <w:proofErr w:type="spellEnd"/>
      <w:r w:rsidRPr="00B70E60">
        <w:rPr>
          <w:rFonts w:ascii="Arial" w:hAnsi="Arial" w:cs="Arial"/>
          <w:highlight w:val="cyan"/>
        </w:rPr>
        <w:t xml:space="preserve"> T, Nguyen HT, </w:t>
      </w:r>
      <w:proofErr w:type="spellStart"/>
      <w:r w:rsidRPr="00B70E60">
        <w:rPr>
          <w:rFonts w:ascii="Arial" w:hAnsi="Arial" w:cs="Arial"/>
          <w:highlight w:val="cyan"/>
        </w:rPr>
        <w:t>Trakoontivakorn</w:t>
      </w:r>
      <w:proofErr w:type="spellEnd"/>
      <w:r w:rsidRPr="00B70E60">
        <w:rPr>
          <w:rFonts w:ascii="Arial" w:hAnsi="Arial" w:cs="Arial"/>
          <w:highlight w:val="cyan"/>
        </w:rPr>
        <w:t xml:space="preserve"> G. (2013). Chemical composition and antifungal activity of essential oil from Cymbopogon </w:t>
      </w:r>
      <w:proofErr w:type="spellStart"/>
      <w:r w:rsidRPr="00B70E60">
        <w:rPr>
          <w:rFonts w:ascii="Arial" w:hAnsi="Arial" w:cs="Arial"/>
          <w:highlight w:val="cyan"/>
        </w:rPr>
        <w:t>nardus</w:t>
      </w:r>
      <w:proofErr w:type="spellEnd"/>
      <w:r w:rsidRPr="00B70E60">
        <w:rPr>
          <w:rFonts w:ascii="Arial" w:hAnsi="Arial" w:cs="Arial"/>
          <w:highlight w:val="cyan"/>
        </w:rPr>
        <w:t xml:space="preserve"> (citronella grass). Japan Agricultural Research Quarterly: JARQ; 37(4):249-52. DOI: 10.6090/jarq.37.249.</w:t>
      </w:r>
    </w:p>
    <w:p w14:paraId="01FE2244" w14:textId="77777777" w:rsidR="003F5E04" w:rsidRPr="00B70E60" w:rsidRDefault="003F5E04" w:rsidP="006A5E82">
      <w:pPr>
        <w:rPr>
          <w:rFonts w:ascii="Arial" w:hAnsi="Arial" w:cs="Arial"/>
          <w:highlight w:val="cyan"/>
        </w:rPr>
      </w:pPr>
    </w:p>
    <w:p w14:paraId="36A08E17" w14:textId="47617CD0"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Nga, N., Bac, N. (2021). Effects of Chitosan-Plant Extract Coatings on the Postharvest Quality of Mango Fruits (Mangifera indica) with Anthracnose Disease. </w:t>
      </w:r>
      <w:r w:rsidRPr="00B70E60">
        <w:rPr>
          <w:rFonts w:ascii="Arial" w:hAnsi="Arial" w:cs="Arial"/>
          <w:i/>
          <w:iCs/>
          <w:highlight w:val="cyan"/>
        </w:rPr>
        <w:t>Vietnam Journal of Agricultural Sciences</w:t>
      </w:r>
      <w:r w:rsidRPr="00B70E60">
        <w:rPr>
          <w:rFonts w:ascii="Arial" w:hAnsi="Arial" w:cs="Arial"/>
          <w:highlight w:val="cyan"/>
        </w:rPr>
        <w:t>, </w:t>
      </w:r>
      <w:r w:rsidRPr="00B70E60">
        <w:rPr>
          <w:rFonts w:ascii="Arial" w:hAnsi="Arial" w:cs="Arial"/>
          <w:i/>
          <w:iCs/>
          <w:highlight w:val="cyan"/>
        </w:rPr>
        <w:t>4</w:t>
      </w:r>
      <w:r w:rsidRPr="00B70E60">
        <w:rPr>
          <w:rFonts w:ascii="Arial" w:hAnsi="Arial" w:cs="Arial"/>
          <w:highlight w:val="cyan"/>
        </w:rPr>
        <w:t>(4), 1293–1302. </w:t>
      </w:r>
      <w:hyperlink r:id="rId20" w:history="1">
        <w:r w:rsidRPr="00B70E60">
          <w:rPr>
            <w:rStyle w:val="Hyperlink"/>
            <w:rFonts w:ascii="Arial" w:hAnsi="Arial" w:cs="Arial"/>
            <w:highlight w:val="cyan"/>
          </w:rPr>
          <w:t>https://doi.org/10.31817/vjas.2021.4.4.08</w:t>
        </w:r>
      </w:hyperlink>
    </w:p>
    <w:p w14:paraId="56424518" w14:textId="77777777" w:rsidR="003F5E04" w:rsidRPr="00B70E60" w:rsidRDefault="003F5E04" w:rsidP="006A5E82">
      <w:pPr>
        <w:rPr>
          <w:rFonts w:ascii="Arial" w:hAnsi="Arial" w:cs="Arial"/>
          <w:highlight w:val="cyan"/>
        </w:rPr>
      </w:pPr>
    </w:p>
    <w:p w14:paraId="4877D768" w14:textId="3AF4A3F2"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Lili, He, Yun, Z., Min, Y., Jun-</w:t>
      </w:r>
      <w:proofErr w:type="spellStart"/>
      <w:r w:rsidRPr="00B70E60">
        <w:rPr>
          <w:rFonts w:ascii="Arial" w:hAnsi="Arial" w:cs="Arial"/>
          <w:highlight w:val="cyan"/>
        </w:rPr>
        <w:t>jie</w:t>
      </w:r>
      <w:proofErr w:type="spellEnd"/>
      <w:r w:rsidRPr="00B70E60">
        <w:rPr>
          <w:rFonts w:ascii="Arial" w:hAnsi="Arial" w:cs="Arial"/>
          <w:highlight w:val="cyan"/>
        </w:rPr>
        <w:t>, Z, Li-</w:t>
      </w:r>
      <w:proofErr w:type="spellStart"/>
      <w:r w:rsidRPr="00B70E60">
        <w:rPr>
          <w:rFonts w:ascii="Arial" w:hAnsi="Arial" w:cs="Arial"/>
          <w:highlight w:val="cyan"/>
        </w:rPr>
        <w:t>hong</w:t>
      </w:r>
      <w:proofErr w:type="spellEnd"/>
      <w:r w:rsidRPr="00B70E60">
        <w:rPr>
          <w:rFonts w:ascii="Arial" w:hAnsi="Arial" w:cs="Arial"/>
          <w:highlight w:val="cyan"/>
        </w:rPr>
        <w:t xml:space="preserve">, </w:t>
      </w:r>
      <w:proofErr w:type="spellStart"/>
      <w:r w:rsidRPr="00B70E60">
        <w:rPr>
          <w:rFonts w:ascii="Arial" w:hAnsi="Arial" w:cs="Arial"/>
          <w:highlight w:val="cyan"/>
        </w:rPr>
        <w:t>T.,Yun</w:t>
      </w:r>
      <w:proofErr w:type="spellEnd"/>
      <w:r w:rsidRPr="00B70E60">
        <w:rPr>
          <w:rFonts w:ascii="Arial" w:hAnsi="Arial" w:cs="Arial"/>
          <w:highlight w:val="cyan"/>
        </w:rPr>
        <w:t>-ha, Y., Li-ming, F.,  Fa-</w:t>
      </w:r>
      <w:proofErr w:type="spellStart"/>
      <w:r w:rsidRPr="00B70E60">
        <w:rPr>
          <w:rFonts w:ascii="Arial" w:hAnsi="Arial" w:cs="Arial"/>
          <w:highlight w:val="cyan"/>
        </w:rPr>
        <w:t>wu</w:t>
      </w:r>
      <w:proofErr w:type="spellEnd"/>
      <w:r w:rsidRPr="00B70E60">
        <w:rPr>
          <w:rFonts w:ascii="Arial" w:hAnsi="Arial" w:cs="Arial"/>
          <w:highlight w:val="cyan"/>
        </w:rPr>
        <w:t xml:space="preserve">, S.,  Qi-bin, C. Antifungal Activity of Cymbopogon </w:t>
      </w:r>
      <w:proofErr w:type="spellStart"/>
      <w:r w:rsidRPr="00B70E60">
        <w:rPr>
          <w:rFonts w:ascii="Arial" w:hAnsi="Arial" w:cs="Arial"/>
          <w:highlight w:val="cyan"/>
        </w:rPr>
        <w:t>Citratus</w:t>
      </w:r>
      <w:proofErr w:type="spellEnd"/>
      <w:r w:rsidRPr="00B70E60">
        <w:rPr>
          <w:rFonts w:ascii="Arial" w:hAnsi="Arial" w:cs="Arial"/>
          <w:highlight w:val="cyan"/>
        </w:rPr>
        <w:t xml:space="preserve"> Essential Oils from Different Habitats Against Botrytis Cinerea. Available at SSRN: </w:t>
      </w:r>
      <w:hyperlink r:id="rId21" w:tgtFrame="_blank" w:history="1">
        <w:r w:rsidRPr="00B70E60">
          <w:rPr>
            <w:rStyle w:val="Hyperlink"/>
            <w:rFonts w:ascii="Arial" w:hAnsi="Arial" w:cs="Arial"/>
            <w:highlight w:val="cyan"/>
          </w:rPr>
          <w:t>https://ssrn.com/abstract=4074553</w:t>
        </w:r>
      </w:hyperlink>
      <w:r w:rsidRPr="00B70E60">
        <w:rPr>
          <w:rFonts w:ascii="Arial" w:hAnsi="Arial" w:cs="Arial"/>
          <w:highlight w:val="cyan"/>
        </w:rPr>
        <w:t> or </w:t>
      </w:r>
      <w:hyperlink r:id="rId22" w:tgtFrame="_blank" w:history="1">
        <w:r w:rsidRPr="00B70E60">
          <w:rPr>
            <w:rStyle w:val="Hyperlink"/>
            <w:rFonts w:ascii="Arial" w:hAnsi="Arial" w:cs="Arial"/>
            <w:highlight w:val="cyan"/>
          </w:rPr>
          <w:t>http://dx.doi.org/10.2139/ssrn.4074553</w:t>
        </w:r>
      </w:hyperlink>
    </w:p>
    <w:p w14:paraId="48A69D7D" w14:textId="77777777" w:rsidR="003F5E04" w:rsidRPr="00B70E60" w:rsidRDefault="003F5E04" w:rsidP="006A5E82">
      <w:pPr>
        <w:rPr>
          <w:rFonts w:ascii="Arial" w:hAnsi="Arial" w:cs="Arial"/>
          <w:highlight w:val="cyan"/>
        </w:rPr>
      </w:pPr>
    </w:p>
    <w:p w14:paraId="388F7C76" w14:textId="6F19B7A1"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 xml:space="preserve">Aktar, M. S., </w:t>
      </w:r>
      <w:proofErr w:type="spellStart"/>
      <w:r w:rsidRPr="00B70E60">
        <w:rPr>
          <w:rFonts w:ascii="Arial" w:hAnsi="Arial" w:cs="Arial"/>
          <w:highlight w:val="cyan"/>
        </w:rPr>
        <w:t>Degaga</w:t>
      </w:r>
      <w:proofErr w:type="spellEnd"/>
      <w:r w:rsidRPr="00B70E60">
        <w:rPr>
          <w:rFonts w:ascii="Arial" w:hAnsi="Arial" w:cs="Arial"/>
          <w:highlight w:val="cyan"/>
        </w:rPr>
        <w:t xml:space="preserve">, B., &amp; Azam, M. S. (2008). Antimicrobial activity of essential oils extracted from medicinal plants. </w:t>
      </w:r>
      <w:r w:rsidRPr="00B70E60">
        <w:rPr>
          <w:rFonts w:ascii="Arial" w:hAnsi="Arial" w:cs="Arial"/>
          <w:i/>
          <w:iCs/>
          <w:highlight w:val="cyan"/>
        </w:rPr>
        <w:t>Journal of Microbiology and Antimicrobials</w:t>
      </w:r>
      <w:r w:rsidRPr="00B70E60">
        <w:rPr>
          <w:rFonts w:ascii="Arial" w:hAnsi="Arial" w:cs="Arial"/>
          <w:highlight w:val="cyan"/>
        </w:rPr>
        <w:t xml:space="preserve">, </w:t>
      </w:r>
      <w:r w:rsidRPr="00B70E60">
        <w:rPr>
          <w:rFonts w:ascii="Arial" w:hAnsi="Arial" w:cs="Arial"/>
          <w:i/>
          <w:iCs/>
          <w:highlight w:val="cyan"/>
        </w:rPr>
        <w:t>1</w:t>
      </w:r>
      <w:r w:rsidRPr="00B70E60">
        <w:rPr>
          <w:rFonts w:ascii="Arial" w:hAnsi="Arial" w:cs="Arial"/>
          <w:highlight w:val="cyan"/>
        </w:rPr>
        <w:t xml:space="preserve">(3), 28–34. t </w:t>
      </w:r>
      <w:hyperlink r:id="rId23" w:history="1">
        <w:r w:rsidRPr="00B70E60">
          <w:rPr>
            <w:rStyle w:val="Hyperlink"/>
            <w:rFonts w:ascii="Arial" w:hAnsi="Arial" w:cs="Arial"/>
            <w:highlight w:val="cyan"/>
          </w:rPr>
          <w:t>http://www.journalissues.org/IBSPR/</w:t>
        </w:r>
      </w:hyperlink>
      <w:r w:rsidRPr="00B70E60">
        <w:rPr>
          <w:rFonts w:ascii="Arial" w:hAnsi="Arial" w:cs="Arial"/>
          <w:highlight w:val="cyan"/>
        </w:rPr>
        <w:t xml:space="preserve">      </w:t>
      </w:r>
    </w:p>
    <w:p w14:paraId="6DD3BD80" w14:textId="77777777" w:rsidR="003F5E04" w:rsidRPr="00B70E60" w:rsidRDefault="003F5E04" w:rsidP="006A5E82">
      <w:pPr>
        <w:rPr>
          <w:rFonts w:ascii="Arial" w:hAnsi="Arial" w:cs="Arial"/>
          <w:highlight w:val="cyan"/>
        </w:rPr>
      </w:pPr>
    </w:p>
    <w:p w14:paraId="73A67FE0" w14:textId="500869E8"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Adhikary, K., Barman, S., Banerjee, P., Mondal, P., Dam, B., Misra, A., Mandal, N. C., Mukherjee, D., Bandyopadhyay, B., &amp; Maiti, R. (2025). Characterization and antimicrobial activity of essential oils extracted from lemongrass (</w:t>
      </w:r>
      <w:r w:rsidRPr="00B70E60">
        <w:rPr>
          <w:rFonts w:ascii="Arial" w:hAnsi="Arial" w:cs="Arial"/>
          <w:i/>
          <w:iCs/>
          <w:highlight w:val="cyan"/>
        </w:rPr>
        <w:t xml:space="preserve">Cymbopogon </w:t>
      </w:r>
      <w:proofErr w:type="spellStart"/>
      <w:r w:rsidRPr="00B70E60">
        <w:rPr>
          <w:rFonts w:ascii="Arial" w:hAnsi="Arial" w:cs="Arial"/>
          <w:i/>
          <w:iCs/>
          <w:highlight w:val="cyan"/>
        </w:rPr>
        <w:t>flexuosus</w:t>
      </w:r>
      <w:proofErr w:type="spellEnd"/>
      <w:r w:rsidRPr="00B70E60">
        <w:rPr>
          <w:rFonts w:ascii="Arial" w:hAnsi="Arial" w:cs="Arial"/>
          <w:highlight w:val="cyan"/>
        </w:rPr>
        <w:t xml:space="preserve">) using microwave-assisted hydro distillation. </w:t>
      </w:r>
      <w:proofErr w:type="spellStart"/>
      <w:r w:rsidRPr="00B70E60">
        <w:rPr>
          <w:rFonts w:ascii="Arial" w:hAnsi="Arial" w:cs="Arial"/>
          <w:i/>
          <w:iCs/>
          <w:highlight w:val="cyan"/>
        </w:rPr>
        <w:t>Zeitschrift</w:t>
      </w:r>
      <w:proofErr w:type="spellEnd"/>
      <w:r w:rsidRPr="00B70E60">
        <w:rPr>
          <w:rFonts w:ascii="Arial" w:hAnsi="Arial" w:cs="Arial"/>
          <w:i/>
          <w:iCs/>
          <w:highlight w:val="cyan"/>
        </w:rPr>
        <w:t xml:space="preserve"> für </w:t>
      </w:r>
      <w:proofErr w:type="spellStart"/>
      <w:r w:rsidRPr="00B70E60">
        <w:rPr>
          <w:rFonts w:ascii="Arial" w:hAnsi="Arial" w:cs="Arial"/>
          <w:i/>
          <w:iCs/>
          <w:highlight w:val="cyan"/>
        </w:rPr>
        <w:t>Naturforschung</w:t>
      </w:r>
      <w:proofErr w:type="spellEnd"/>
      <w:r w:rsidRPr="00B70E60">
        <w:rPr>
          <w:rFonts w:ascii="Arial" w:hAnsi="Arial" w:cs="Arial"/>
          <w:i/>
          <w:iCs/>
          <w:highlight w:val="cyan"/>
        </w:rPr>
        <w:t xml:space="preserve"> C</w:t>
      </w:r>
      <w:r w:rsidRPr="00B70E60">
        <w:rPr>
          <w:rFonts w:ascii="Arial" w:hAnsi="Arial" w:cs="Arial"/>
          <w:highlight w:val="cyan"/>
        </w:rPr>
        <w:t xml:space="preserve">, </w:t>
      </w:r>
      <w:r w:rsidRPr="00B70E60">
        <w:rPr>
          <w:rFonts w:ascii="Arial" w:hAnsi="Arial" w:cs="Arial"/>
          <w:i/>
          <w:iCs/>
          <w:highlight w:val="cyan"/>
        </w:rPr>
        <w:t>80</w:t>
      </w:r>
      <w:r w:rsidRPr="00B70E60">
        <w:rPr>
          <w:rFonts w:ascii="Arial" w:hAnsi="Arial" w:cs="Arial"/>
          <w:highlight w:val="cyan"/>
        </w:rPr>
        <w:t xml:space="preserve">(5–6), 201–211. </w:t>
      </w:r>
      <w:hyperlink r:id="rId24" w:history="1">
        <w:r w:rsidRPr="00B70E60">
          <w:rPr>
            <w:rStyle w:val="Hyperlink"/>
            <w:rFonts w:ascii="Arial" w:hAnsi="Arial" w:cs="Arial"/>
            <w:highlight w:val="cyan"/>
          </w:rPr>
          <w:t>https://doi.org/10.1515/znc-2024-0095</w:t>
        </w:r>
      </w:hyperlink>
    </w:p>
    <w:p w14:paraId="56E20BC4" w14:textId="77777777" w:rsidR="003F5E04" w:rsidRPr="00B70E60" w:rsidRDefault="003F5E04" w:rsidP="006A5E82">
      <w:pPr>
        <w:shd w:val="clear" w:color="auto" w:fill="FFFFFF"/>
        <w:jc w:val="both"/>
        <w:rPr>
          <w:rFonts w:ascii="Arial" w:hAnsi="Arial" w:cs="Arial"/>
          <w:color w:val="000000"/>
          <w:highlight w:val="cyan"/>
        </w:rPr>
      </w:pPr>
    </w:p>
    <w:p w14:paraId="55849961" w14:textId="6827B89B" w:rsidR="006A5E82" w:rsidRPr="001B1329" w:rsidRDefault="006A5E82" w:rsidP="00DB596C">
      <w:pPr>
        <w:pStyle w:val="ListParagraph"/>
        <w:numPr>
          <w:ilvl w:val="0"/>
          <w:numId w:val="41"/>
        </w:numPr>
        <w:shd w:val="clear" w:color="auto" w:fill="FFFFFF"/>
        <w:jc w:val="both"/>
        <w:rPr>
          <w:rFonts w:ascii="Arial" w:hAnsi="Arial" w:cs="Arial"/>
          <w:color w:val="000000"/>
          <w:highlight w:val="cyan"/>
        </w:rPr>
      </w:pPr>
      <w:r w:rsidRPr="00B70E60">
        <w:rPr>
          <w:rFonts w:ascii="Arial" w:hAnsi="Arial" w:cs="Arial"/>
          <w:color w:val="000000"/>
          <w:highlight w:val="cyan"/>
        </w:rPr>
        <w:t xml:space="preserve">Majewska, E., Mariola Koz </w:t>
      </w:r>
      <w:proofErr w:type="spellStart"/>
      <w:r w:rsidRPr="00B70E60">
        <w:rPr>
          <w:rFonts w:ascii="Arial" w:hAnsi="Arial" w:cs="Arial"/>
          <w:color w:val="000000"/>
          <w:highlight w:val="cyan"/>
        </w:rPr>
        <w:t>owska</w:t>
      </w:r>
      <w:proofErr w:type="spellEnd"/>
      <w:r w:rsidRPr="00B70E60">
        <w:rPr>
          <w:rFonts w:ascii="Arial" w:hAnsi="Arial" w:cs="Arial"/>
          <w:color w:val="000000"/>
          <w:highlight w:val="cyan"/>
        </w:rPr>
        <w:t xml:space="preserve">, Eliza Gruczy ska-S </w:t>
      </w:r>
      <w:proofErr w:type="spellStart"/>
      <w:r w:rsidRPr="00B70E60">
        <w:rPr>
          <w:rFonts w:ascii="Arial" w:hAnsi="Arial" w:cs="Arial"/>
          <w:color w:val="000000"/>
          <w:highlight w:val="cyan"/>
        </w:rPr>
        <w:t>kowska</w:t>
      </w:r>
      <w:proofErr w:type="spellEnd"/>
      <w:r w:rsidRPr="00B70E60">
        <w:rPr>
          <w:rFonts w:ascii="Arial" w:hAnsi="Arial" w:cs="Arial"/>
          <w:color w:val="000000"/>
          <w:highlight w:val="cyan"/>
        </w:rPr>
        <w:t>, Dorota Kowalska, Katarzyna Tarnowska (2019).  Lemongrass (</w:t>
      </w:r>
      <w:r w:rsidRPr="00B70E60">
        <w:rPr>
          <w:rFonts w:ascii="Arial" w:hAnsi="Arial" w:cs="Arial"/>
          <w:i/>
          <w:iCs/>
          <w:color w:val="000000"/>
          <w:highlight w:val="cyan"/>
        </w:rPr>
        <w:t xml:space="preserve">Cymbopogon </w:t>
      </w:r>
      <w:proofErr w:type="spellStart"/>
      <w:r w:rsidRPr="00B70E60">
        <w:rPr>
          <w:rFonts w:ascii="Arial" w:hAnsi="Arial" w:cs="Arial"/>
          <w:i/>
          <w:iCs/>
          <w:color w:val="000000"/>
          <w:highlight w:val="cyan"/>
        </w:rPr>
        <w:t>citratus</w:t>
      </w:r>
      <w:proofErr w:type="spellEnd"/>
      <w:r w:rsidRPr="00B70E60">
        <w:rPr>
          <w:rFonts w:ascii="Arial" w:hAnsi="Arial" w:cs="Arial"/>
          <w:color w:val="000000"/>
          <w:highlight w:val="cyan"/>
        </w:rPr>
        <w:t xml:space="preserve">) Essential Oil: Extraction, Composition, Bioactivity and Uses for Food Preservation : A Review, Pol. J. Food </w:t>
      </w:r>
      <w:proofErr w:type="spellStart"/>
      <w:r w:rsidRPr="00B70E60">
        <w:rPr>
          <w:rFonts w:ascii="Arial" w:hAnsi="Arial" w:cs="Arial"/>
          <w:color w:val="000000"/>
          <w:highlight w:val="cyan"/>
        </w:rPr>
        <w:t>Nutr</w:t>
      </w:r>
      <w:proofErr w:type="spellEnd"/>
      <w:r w:rsidRPr="00B70E60">
        <w:rPr>
          <w:rFonts w:ascii="Arial" w:hAnsi="Arial" w:cs="Arial"/>
          <w:color w:val="000000"/>
          <w:highlight w:val="cyan"/>
        </w:rPr>
        <w:t>. Sci., 69(4): 327-341  DOI: 10.31883/</w:t>
      </w:r>
      <w:proofErr w:type="spellStart"/>
      <w:r w:rsidRPr="00B70E60">
        <w:rPr>
          <w:rFonts w:ascii="Arial" w:hAnsi="Arial" w:cs="Arial"/>
          <w:color w:val="000000"/>
          <w:highlight w:val="cyan"/>
        </w:rPr>
        <w:t>pjfns</w:t>
      </w:r>
      <w:proofErr w:type="spellEnd"/>
      <w:r w:rsidRPr="00B70E60">
        <w:rPr>
          <w:rFonts w:ascii="Arial" w:hAnsi="Arial" w:cs="Arial"/>
          <w:color w:val="000000"/>
          <w:highlight w:val="cyan"/>
        </w:rPr>
        <w:t xml:space="preserve">/113152 </w:t>
      </w:r>
      <w:hyperlink r:id="rId25" w:history="1">
        <w:r w:rsidRPr="00B70E60">
          <w:rPr>
            <w:rStyle w:val="Hyperlink"/>
            <w:rFonts w:ascii="Arial" w:hAnsi="Arial" w:cs="Arial"/>
            <w:highlight w:val="cyan"/>
          </w:rPr>
          <w:t>http://journal.pan.olsztyn.pl</w:t>
        </w:r>
      </w:hyperlink>
    </w:p>
    <w:p w14:paraId="4D102BAD" w14:textId="77777777" w:rsidR="001B1329" w:rsidRPr="001B1329" w:rsidRDefault="001B1329" w:rsidP="001B1329">
      <w:pPr>
        <w:shd w:val="clear" w:color="auto" w:fill="FFFFFF"/>
        <w:jc w:val="both"/>
        <w:rPr>
          <w:rFonts w:ascii="Arial" w:hAnsi="Arial" w:cs="Arial"/>
          <w:color w:val="000000"/>
          <w:highlight w:val="cyan"/>
        </w:rPr>
      </w:pPr>
    </w:p>
    <w:p w14:paraId="1401B083" w14:textId="13741EA1" w:rsidR="001B1329" w:rsidRPr="001B1329" w:rsidRDefault="006A5E82" w:rsidP="001B1329">
      <w:pPr>
        <w:pStyle w:val="ListParagraph"/>
        <w:numPr>
          <w:ilvl w:val="0"/>
          <w:numId w:val="41"/>
        </w:numPr>
        <w:spacing w:after="160" w:line="278" w:lineRule="auto"/>
        <w:rPr>
          <w:rFonts w:ascii="Arial" w:hAnsi="Arial" w:cs="Arial"/>
          <w:highlight w:val="cyan"/>
        </w:rPr>
      </w:pPr>
      <w:r w:rsidRPr="00B70E60">
        <w:rPr>
          <w:rFonts w:ascii="Arial" w:hAnsi="Arial" w:cs="Arial"/>
          <w:highlight w:val="cyan"/>
        </w:rPr>
        <w:t xml:space="preserve">Mukarram, M., Choudhary, S., Khan, M. A., </w:t>
      </w:r>
      <w:proofErr w:type="spellStart"/>
      <w:r w:rsidRPr="00B70E60">
        <w:rPr>
          <w:rFonts w:ascii="Arial" w:hAnsi="Arial" w:cs="Arial"/>
          <w:highlight w:val="cyan"/>
        </w:rPr>
        <w:t>Poltronieri</w:t>
      </w:r>
      <w:proofErr w:type="spellEnd"/>
      <w:r w:rsidRPr="00B70E60">
        <w:rPr>
          <w:rFonts w:ascii="Arial" w:hAnsi="Arial" w:cs="Arial"/>
          <w:highlight w:val="cyan"/>
        </w:rPr>
        <w:t xml:space="preserve">, P., Khan, M. M. A., Ali, J., Kurjak, D., &amp; Shahid, M. (2022). Lemongrass essential oil components with antimicrobial and anticancer activities. </w:t>
      </w:r>
      <w:r w:rsidRPr="00B70E60">
        <w:rPr>
          <w:rFonts w:ascii="Arial" w:hAnsi="Arial" w:cs="Arial"/>
          <w:i/>
          <w:iCs/>
          <w:highlight w:val="cyan"/>
        </w:rPr>
        <w:t>Antioxidants</w:t>
      </w:r>
      <w:r w:rsidRPr="00B70E60">
        <w:rPr>
          <w:rFonts w:ascii="Arial" w:hAnsi="Arial" w:cs="Arial"/>
          <w:highlight w:val="cyan"/>
        </w:rPr>
        <w:t xml:space="preserve">, </w:t>
      </w:r>
      <w:r w:rsidRPr="00B70E60">
        <w:rPr>
          <w:rFonts w:ascii="Arial" w:hAnsi="Arial" w:cs="Arial"/>
          <w:i/>
          <w:iCs/>
          <w:highlight w:val="cyan"/>
        </w:rPr>
        <w:t>11</w:t>
      </w:r>
      <w:r w:rsidRPr="00B70E60">
        <w:rPr>
          <w:rFonts w:ascii="Arial" w:hAnsi="Arial" w:cs="Arial"/>
          <w:highlight w:val="cyan"/>
        </w:rPr>
        <w:t xml:space="preserve">(1), 20. </w:t>
      </w:r>
      <w:hyperlink r:id="rId26" w:history="1">
        <w:r w:rsidRPr="00B70E60">
          <w:rPr>
            <w:rStyle w:val="Hyperlink"/>
            <w:rFonts w:ascii="Arial" w:hAnsi="Arial" w:cs="Arial"/>
            <w:highlight w:val="cyan"/>
          </w:rPr>
          <w:t>https://doi.org/10.3390/antiox11010020</w:t>
        </w:r>
      </w:hyperlink>
    </w:p>
    <w:p w14:paraId="7DC6BE96" w14:textId="77777777" w:rsidR="001B1329" w:rsidRPr="001B1329" w:rsidRDefault="001B1329" w:rsidP="001B1329">
      <w:pPr>
        <w:pStyle w:val="ListParagraph"/>
        <w:rPr>
          <w:rFonts w:ascii="Arial" w:hAnsi="Arial" w:cs="Arial"/>
          <w:highlight w:val="cyan"/>
        </w:rPr>
      </w:pPr>
    </w:p>
    <w:p w14:paraId="513BCA25" w14:textId="77777777" w:rsidR="001B1329" w:rsidRPr="001B1329" w:rsidRDefault="001B1329" w:rsidP="001B1329">
      <w:pPr>
        <w:pStyle w:val="ListParagraph"/>
        <w:spacing w:after="160" w:line="278" w:lineRule="auto"/>
        <w:rPr>
          <w:rFonts w:ascii="Arial" w:hAnsi="Arial" w:cs="Arial"/>
          <w:highlight w:val="cyan"/>
        </w:rPr>
      </w:pPr>
    </w:p>
    <w:p w14:paraId="34EB72C4" w14:textId="77777777" w:rsidR="006A5E82" w:rsidRDefault="006A5E82" w:rsidP="00DB596C">
      <w:pPr>
        <w:pStyle w:val="ListParagraph"/>
        <w:numPr>
          <w:ilvl w:val="0"/>
          <w:numId w:val="41"/>
        </w:numPr>
        <w:autoSpaceDE w:val="0"/>
        <w:autoSpaceDN w:val="0"/>
        <w:rPr>
          <w:rFonts w:ascii="Arial" w:hAnsi="Arial" w:cs="Arial"/>
          <w:highlight w:val="cyan"/>
        </w:rPr>
      </w:pPr>
      <w:r w:rsidRPr="00B70E60">
        <w:rPr>
          <w:rFonts w:ascii="Arial" w:hAnsi="Arial" w:cs="Arial"/>
          <w:highlight w:val="cyan"/>
        </w:rPr>
        <w:t>Keshav, S. (2016). Production of bioplastics. University of Mauritius Faculty of Engineering Department of Chemical Engineering Chemical and Environmental Engineering, Dissertation thesis 87 p.</w:t>
      </w:r>
    </w:p>
    <w:p w14:paraId="385BADFF" w14:textId="77777777" w:rsidR="001B1329" w:rsidRPr="00B70E60" w:rsidRDefault="001B1329" w:rsidP="001B1329">
      <w:pPr>
        <w:pStyle w:val="ListParagraph"/>
        <w:autoSpaceDE w:val="0"/>
        <w:autoSpaceDN w:val="0"/>
        <w:rPr>
          <w:rFonts w:ascii="Arial" w:hAnsi="Arial" w:cs="Arial"/>
          <w:highlight w:val="cyan"/>
        </w:rPr>
      </w:pPr>
    </w:p>
    <w:p w14:paraId="479EA8E3" w14:textId="26454A26" w:rsidR="006A5E82" w:rsidRDefault="006A5E82" w:rsidP="00DB596C">
      <w:pPr>
        <w:pStyle w:val="ListParagraph"/>
        <w:numPr>
          <w:ilvl w:val="0"/>
          <w:numId w:val="41"/>
        </w:numPr>
        <w:spacing w:after="160" w:line="278" w:lineRule="auto"/>
        <w:rPr>
          <w:rFonts w:ascii="Arial" w:hAnsi="Arial" w:cs="Arial"/>
          <w:highlight w:val="cyan"/>
        </w:rPr>
      </w:pPr>
      <w:r w:rsidRPr="00B70E60">
        <w:rPr>
          <w:rFonts w:ascii="Arial" w:hAnsi="Arial" w:cs="Arial"/>
          <w:highlight w:val="cyan"/>
        </w:rPr>
        <w:t>Singh, D. A. K. ., Sharma, P., Shrivastav, M., Chaudhary, R., Chauhan, P., Sanskriti, &amp; Banerjee, A. (2025). PRODUCTION OF BIODEGRADABLE PLASTIC FILM FROM POTATO AND SAGO STARCH. </w:t>
      </w:r>
      <w:r w:rsidRPr="00B70E60">
        <w:rPr>
          <w:rFonts w:ascii="Arial" w:hAnsi="Arial" w:cs="Arial"/>
          <w:i/>
          <w:iCs/>
          <w:highlight w:val="cyan"/>
        </w:rPr>
        <w:t>Journal of Microbiology, Biotechnology and Food Sciences</w:t>
      </w:r>
      <w:r w:rsidRPr="00B70E60">
        <w:rPr>
          <w:rFonts w:ascii="Arial" w:hAnsi="Arial" w:cs="Arial"/>
          <w:highlight w:val="cyan"/>
        </w:rPr>
        <w:t>, </w:t>
      </w:r>
      <w:r w:rsidRPr="00B70E60">
        <w:rPr>
          <w:rFonts w:ascii="Arial" w:hAnsi="Arial" w:cs="Arial"/>
          <w:i/>
          <w:iCs/>
          <w:highlight w:val="cyan"/>
        </w:rPr>
        <w:t>14</w:t>
      </w:r>
      <w:r w:rsidRPr="00B70E60">
        <w:rPr>
          <w:rFonts w:ascii="Arial" w:hAnsi="Arial" w:cs="Arial"/>
          <w:highlight w:val="cyan"/>
        </w:rPr>
        <w:t xml:space="preserve">(4), e11143. </w:t>
      </w:r>
      <w:hyperlink r:id="rId27" w:history="1">
        <w:r w:rsidR="001B1329" w:rsidRPr="00D84035">
          <w:rPr>
            <w:rStyle w:val="Hyperlink"/>
            <w:rFonts w:ascii="Arial" w:hAnsi="Arial" w:cs="Arial"/>
            <w:highlight w:val="cyan"/>
          </w:rPr>
          <w:t>https://doi.org/10.55251/jmbfs.11143</w:t>
        </w:r>
      </w:hyperlink>
    </w:p>
    <w:p w14:paraId="30202623" w14:textId="77777777" w:rsidR="001B1329" w:rsidRPr="00B70E60" w:rsidRDefault="001B1329" w:rsidP="001B1329">
      <w:pPr>
        <w:pStyle w:val="ListParagraph"/>
        <w:spacing w:after="160" w:line="278" w:lineRule="auto"/>
        <w:rPr>
          <w:rFonts w:ascii="Arial" w:hAnsi="Arial" w:cs="Arial"/>
          <w:highlight w:val="cyan"/>
        </w:rPr>
      </w:pPr>
    </w:p>
    <w:p w14:paraId="2CC1E495" w14:textId="77777777" w:rsidR="006A5E82" w:rsidRPr="001B1329" w:rsidRDefault="006A5E82" w:rsidP="00DB596C">
      <w:pPr>
        <w:pStyle w:val="ListParagraph"/>
        <w:numPr>
          <w:ilvl w:val="0"/>
          <w:numId w:val="41"/>
        </w:numPr>
        <w:spacing w:after="160" w:line="278" w:lineRule="auto"/>
        <w:rPr>
          <w:rFonts w:ascii="Arial" w:hAnsi="Arial" w:cs="Arial"/>
          <w:highlight w:val="cyan"/>
        </w:rPr>
      </w:pPr>
      <w:r w:rsidRPr="00B70E60">
        <w:rPr>
          <w:rFonts w:ascii="Arial" w:hAnsi="Arial" w:cs="Arial"/>
          <w:highlight w:val="cyan"/>
        </w:rPr>
        <w:t xml:space="preserve">Choubey, V., Smriti, A., Fatma, E., Rajak, S. K., &amp; Suman, R. (2023). Production of bio-plastic from potato starch. </w:t>
      </w:r>
      <w:r w:rsidRPr="00B70E60">
        <w:rPr>
          <w:rFonts w:ascii="Arial" w:hAnsi="Arial" w:cs="Arial"/>
          <w:i/>
          <w:iCs/>
          <w:highlight w:val="cyan"/>
        </w:rPr>
        <w:t>The Pharma Innovation Journal</w:t>
      </w:r>
      <w:r w:rsidRPr="00B70E60">
        <w:rPr>
          <w:rFonts w:ascii="Arial" w:hAnsi="Arial" w:cs="Arial"/>
          <w:highlight w:val="cyan"/>
        </w:rPr>
        <w:t xml:space="preserve">, </w:t>
      </w:r>
      <w:r w:rsidRPr="00B70E60">
        <w:rPr>
          <w:rFonts w:ascii="Arial" w:hAnsi="Arial" w:cs="Arial"/>
          <w:i/>
          <w:iCs/>
          <w:highlight w:val="cyan"/>
        </w:rPr>
        <w:t>12</w:t>
      </w:r>
      <w:r w:rsidRPr="00B70E60">
        <w:rPr>
          <w:rFonts w:ascii="Arial" w:hAnsi="Arial" w:cs="Arial"/>
          <w:highlight w:val="cyan"/>
        </w:rPr>
        <w:t xml:space="preserve">(11), 1312–1316. </w:t>
      </w:r>
      <w:hyperlink r:id="rId28" w:history="1">
        <w:r w:rsidRPr="00B70E60">
          <w:rPr>
            <w:rStyle w:val="Hyperlink"/>
            <w:rFonts w:ascii="Arial" w:hAnsi="Arial" w:cs="Arial"/>
            <w:highlight w:val="cyan"/>
          </w:rPr>
          <w:t>https://www.thepharmajournal.com/archives/2023/vol12issue11/PartP/12-10-270-891.pdf</w:t>
        </w:r>
      </w:hyperlink>
    </w:p>
    <w:p w14:paraId="36EF252F" w14:textId="77777777" w:rsidR="001B1329" w:rsidRPr="00B70E60" w:rsidRDefault="001B1329" w:rsidP="001B1329">
      <w:pPr>
        <w:pStyle w:val="ListParagraph"/>
        <w:spacing w:after="160" w:line="278" w:lineRule="auto"/>
        <w:rPr>
          <w:rFonts w:ascii="Arial" w:hAnsi="Arial" w:cs="Arial"/>
          <w:highlight w:val="cyan"/>
        </w:rPr>
      </w:pPr>
    </w:p>
    <w:p w14:paraId="256AF2FC" w14:textId="77777777" w:rsidR="006A5E82" w:rsidRPr="00B70E60" w:rsidRDefault="006A5E82" w:rsidP="00DB596C">
      <w:pPr>
        <w:pStyle w:val="ListParagraph"/>
        <w:numPr>
          <w:ilvl w:val="0"/>
          <w:numId w:val="41"/>
        </w:numPr>
        <w:spacing w:after="160" w:line="278" w:lineRule="auto"/>
        <w:rPr>
          <w:rFonts w:ascii="Arial" w:hAnsi="Arial" w:cs="Arial"/>
          <w:highlight w:val="cyan"/>
        </w:rPr>
      </w:pPr>
      <w:r w:rsidRPr="00B70E60">
        <w:rPr>
          <w:rFonts w:ascii="Arial" w:hAnsi="Arial" w:cs="Arial"/>
          <w:highlight w:val="cyan"/>
        </w:rPr>
        <w:lastRenderedPageBreak/>
        <w:t xml:space="preserve">Worku, B. M., Shibeshi, N. T., Zhiyuan, T., Cho, J.-Y., &amp; Eun, J.-B. (2025). Encapsulated essential oils in protein–polysaccharide biopolymers: Characteristics and applications in the biomedical and food industries. </w:t>
      </w:r>
      <w:r w:rsidRPr="00B70E60">
        <w:rPr>
          <w:rFonts w:ascii="Arial" w:hAnsi="Arial" w:cs="Arial"/>
          <w:i/>
          <w:iCs/>
          <w:highlight w:val="cyan"/>
        </w:rPr>
        <w:t>Food Science and Biotechnology</w:t>
      </w:r>
      <w:r w:rsidRPr="00B70E60">
        <w:rPr>
          <w:rFonts w:ascii="Arial" w:hAnsi="Arial" w:cs="Arial"/>
          <w:highlight w:val="cyan"/>
        </w:rPr>
        <w:t xml:space="preserve">, </w:t>
      </w:r>
      <w:r w:rsidRPr="00B70E60">
        <w:rPr>
          <w:rFonts w:ascii="Arial" w:hAnsi="Arial" w:cs="Arial"/>
          <w:i/>
          <w:iCs/>
          <w:highlight w:val="cyan"/>
        </w:rPr>
        <w:t>34</w:t>
      </w:r>
      <w:r w:rsidRPr="00B70E60">
        <w:rPr>
          <w:rFonts w:ascii="Arial" w:hAnsi="Arial" w:cs="Arial"/>
          <w:highlight w:val="cyan"/>
        </w:rPr>
        <w:t xml:space="preserve">, 851–869. </w:t>
      </w:r>
      <w:hyperlink r:id="rId29" w:history="1">
        <w:r w:rsidRPr="00B70E60">
          <w:rPr>
            <w:rStyle w:val="Hyperlink"/>
            <w:rFonts w:ascii="Arial" w:hAnsi="Arial" w:cs="Arial"/>
            <w:highlight w:val="cyan"/>
          </w:rPr>
          <w:t>https://doi.org/10.1007/s10068-024-01724-8</w:t>
        </w:r>
      </w:hyperlink>
    </w:p>
    <w:p w14:paraId="12F872A2" w14:textId="77777777" w:rsidR="006A5E82" w:rsidRPr="001B1329" w:rsidRDefault="006A5E82" w:rsidP="00DB596C">
      <w:pPr>
        <w:pStyle w:val="ListParagraph"/>
        <w:numPr>
          <w:ilvl w:val="0"/>
          <w:numId w:val="41"/>
        </w:numPr>
        <w:spacing w:after="160" w:line="278" w:lineRule="auto"/>
        <w:rPr>
          <w:rFonts w:ascii="Arial" w:hAnsi="Arial" w:cs="Arial"/>
          <w:highlight w:val="cyan"/>
        </w:rPr>
      </w:pPr>
      <w:r w:rsidRPr="00B70E60">
        <w:rPr>
          <w:rFonts w:ascii="Arial" w:hAnsi="Arial" w:cs="Arial"/>
          <w:highlight w:val="cyan"/>
          <w:lang w:val="fr-FR"/>
        </w:rPr>
        <w:t xml:space="preserve">Albuquerque, P. M., Azevedo, S. G., Andrade, C. P., D’Ambros, N. C. S., Pérez, M. T. M., &amp; </w:t>
      </w:r>
      <w:proofErr w:type="spellStart"/>
      <w:r w:rsidRPr="00B70E60">
        <w:rPr>
          <w:rFonts w:ascii="Arial" w:hAnsi="Arial" w:cs="Arial"/>
          <w:highlight w:val="cyan"/>
          <w:lang w:val="fr-FR"/>
        </w:rPr>
        <w:t>Manzato</w:t>
      </w:r>
      <w:proofErr w:type="spellEnd"/>
      <w:r w:rsidRPr="00B70E60">
        <w:rPr>
          <w:rFonts w:ascii="Arial" w:hAnsi="Arial" w:cs="Arial"/>
          <w:highlight w:val="cyan"/>
          <w:lang w:val="fr-FR"/>
        </w:rPr>
        <w:t xml:space="preserve">, L. (2022). </w:t>
      </w:r>
      <w:r w:rsidRPr="00B70E60">
        <w:rPr>
          <w:rFonts w:ascii="Arial" w:hAnsi="Arial" w:cs="Arial"/>
          <w:highlight w:val="cyan"/>
        </w:rPr>
        <w:t xml:space="preserve">Biotechnological applications of </w:t>
      </w:r>
      <w:proofErr w:type="spellStart"/>
      <w:r w:rsidRPr="00B70E60">
        <w:rPr>
          <w:rFonts w:ascii="Arial" w:hAnsi="Arial" w:cs="Arial"/>
          <w:highlight w:val="cyan"/>
        </w:rPr>
        <w:t>nanoencapsulated</w:t>
      </w:r>
      <w:proofErr w:type="spellEnd"/>
      <w:r w:rsidRPr="00B70E60">
        <w:rPr>
          <w:rFonts w:ascii="Arial" w:hAnsi="Arial" w:cs="Arial"/>
          <w:highlight w:val="cyan"/>
        </w:rPr>
        <w:t xml:space="preserve"> essential oils: A review. </w:t>
      </w:r>
      <w:r w:rsidRPr="00B70E60">
        <w:rPr>
          <w:rFonts w:ascii="Arial" w:hAnsi="Arial" w:cs="Arial"/>
          <w:i/>
          <w:iCs/>
          <w:highlight w:val="cyan"/>
        </w:rPr>
        <w:t>Polymers</w:t>
      </w:r>
      <w:r w:rsidRPr="00B70E60">
        <w:rPr>
          <w:rFonts w:ascii="Arial" w:hAnsi="Arial" w:cs="Arial"/>
          <w:highlight w:val="cyan"/>
        </w:rPr>
        <w:t xml:space="preserve">, </w:t>
      </w:r>
      <w:r w:rsidRPr="00B70E60">
        <w:rPr>
          <w:rFonts w:ascii="Arial" w:hAnsi="Arial" w:cs="Arial"/>
          <w:i/>
          <w:iCs/>
          <w:highlight w:val="cyan"/>
        </w:rPr>
        <w:t>14</w:t>
      </w:r>
      <w:r w:rsidRPr="00B70E60">
        <w:rPr>
          <w:rFonts w:ascii="Arial" w:hAnsi="Arial" w:cs="Arial"/>
          <w:highlight w:val="cyan"/>
        </w:rPr>
        <w:t xml:space="preserve">(24), 5495. </w:t>
      </w:r>
      <w:hyperlink r:id="rId30" w:history="1">
        <w:r w:rsidRPr="00B70E60">
          <w:rPr>
            <w:rStyle w:val="Hyperlink"/>
            <w:rFonts w:ascii="Arial" w:hAnsi="Arial" w:cs="Arial"/>
            <w:highlight w:val="cyan"/>
          </w:rPr>
          <w:t>https://doi.org/10.3390/polym14245495</w:t>
        </w:r>
      </w:hyperlink>
    </w:p>
    <w:p w14:paraId="0CD78679" w14:textId="77777777" w:rsidR="001B1329" w:rsidRPr="00B70E60" w:rsidRDefault="001B1329" w:rsidP="001B1329">
      <w:pPr>
        <w:pStyle w:val="ListParagraph"/>
        <w:spacing w:after="160" w:line="278" w:lineRule="auto"/>
        <w:rPr>
          <w:rFonts w:ascii="Arial" w:hAnsi="Arial" w:cs="Arial"/>
          <w:highlight w:val="cyan"/>
        </w:rPr>
      </w:pPr>
    </w:p>
    <w:p w14:paraId="4DA86815" w14:textId="77777777" w:rsidR="001B1329" w:rsidRPr="001B1329" w:rsidRDefault="006A5E82" w:rsidP="001B1329">
      <w:pPr>
        <w:pStyle w:val="ListParagraph"/>
        <w:numPr>
          <w:ilvl w:val="0"/>
          <w:numId w:val="41"/>
        </w:numPr>
        <w:autoSpaceDE w:val="0"/>
        <w:autoSpaceDN w:val="0"/>
        <w:rPr>
          <w:rFonts w:ascii="Arial" w:hAnsi="Arial" w:cs="Arial"/>
          <w:highlight w:val="cyan"/>
        </w:rPr>
      </w:pPr>
      <w:r w:rsidRPr="00B70E60">
        <w:rPr>
          <w:rFonts w:ascii="Arial" w:hAnsi="Arial" w:cs="Arial"/>
          <w:highlight w:val="cyan"/>
        </w:rPr>
        <w:t xml:space="preserve">Lakshmi, B. K. M., Reddy P. N., Prasad R. O. (2011). Cross-infection Potential of Colletotrichum </w:t>
      </w:r>
      <w:proofErr w:type="spellStart"/>
      <w:r w:rsidRPr="00B70E60">
        <w:rPr>
          <w:rFonts w:ascii="Arial" w:hAnsi="Arial" w:cs="Arial"/>
          <w:highlight w:val="cyan"/>
        </w:rPr>
        <w:t>gloeosporioides</w:t>
      </w:r>
      <w:proofErr w:type="spellEnd"/>
      <w:r w:rsidRPr="00B70E60">
        <w:rPr>
          <w:rFonts w:ascii="Arial" w:hAnsi="Arial" w:cs="Arial"/>
          <w:highlight w:val="cyan"/>
        </w:rPr>
        <w:t xml:space="preserve"> Penz. Isolates Causing Anthracnose in Subtropical Fruit Crops. Tropical Agricultural Research, 22(2): 183-193. </w:t>
      </w:r>
      <w:hyperlink r:id="rId31" w:history="1">
        <w:r w:rsidRPr="00B70E60">
          <w:rPr>
            <w:rStyle w:val="Hyperlink"/>
            <w:rFonts w:ascii="Arial" w:hAnsi="Arial" w:cs="Arial"/>
            <w:highlight w:val="cyan"/>
          </w:rPr>
          <w:t>https://tar.sljol.info/articles/2827/files/submission/proof/2827-1-9858-1-10-20110221.pdf</w:t>
        </w:r>
      </w:hyperlink>
    </w:p>
    <w:p w14:paraId="38147DE2" w14:textId="77777777" w:rsidR="001B1329" w:rsidRPr="001B1329" w:rsidRDefault="001B1329" w:rsidP="001B1329">
      <w:pPr>
        <w:pStyle w:val="ListParagraph"/>
        <w:autoSpaceDE w:val="0"/>
        <w:autoSpaceDN w:val="0"/>
        <w:rPr>
          <w:rFonts w:ascii="Arial" w:hAnsi="Arial" w:cs="Arial"/>
          <w:highlight w:val="cyan"/>
        </w:rPr>
      </w:pPr>
    </w:p>
    <w:p w14:paraId="57F63945" w14:textId="55703B86" w:rsidR="003F5E04" w:rsidRDefault="001B1329" w:rsidP="001B1329">
      <w:pPr>
        <w:pStyle w:val="ListParagraph"/>
        <w:numPr>
          <w:ilvl w:val="0"/>
          <w:numId w:val="41"/>
        </w:numPr>
        <w:autoSpaceDE w:val="0"/>
        <w:autoSpaceDN w:val="0"/>
        <w:rPr>
          <w:rFonts w:ascii="Arial" w:hAnsi="Arial" w:cs="Arial"/>
          <w:highlight w:val="cyan"/>
        </w:rPr>
      </w:pPr>
      <w:r w:rsidRPr="001B1329">
        <w:rPr>
          <w:rFonts w:ascii="Arial" w:hAnsi="Arial" w:cs="Arial"/>
          <w:highlight w:val="cyan"/>
        </w:rPr>
        <w:t>SAS, Institute Inc 1990. SAS procedure guide version 6 edition. SAS Institute Inc, Car, NC, 705 pp.</w:t>
      </w:r>
    </w:p>
    <w:p w14:paraId="561FCA4F" w14:textId="77777777" w:rsidR="001B1329" w:rsidRPr="001B1329" w:rsidRDefault="001B1329" w:rsidP="001B1329">
      <w:pPr>
        <w:autoSpaceDE w:val="0"/>
        <w:autoSpaceDN w:val="0"/>
        <w:rPr>
          <w:rFonts w:ascii="Arial" w:hAnsi="Arial" w:cs="Arial"/>
          <w:highlight w:val="cyan"/>
        </w:rPr>
      </w:pPr>
    </w:p>
    <w:p w14:paraId="65C52CB7" w14:textId="395B6BAB" w:rsidR="001B1329" w:rsidRPr="001B1329" w:rsidRDefault="006A5E82" w:rsidP="001B1329">
      <w:pPr>
        <w:pStyle w:val="ListParagraph"/>
        <w:numPr>
          <w:ilvl w:val="0"/>
          <w:numId w:val="41"/>
        </w:numPr>
        <w:spacing w:after="160" w:line="278" w:lineRule="auto"/>
        <w:rPr>
          <w:rFonts w:ascii="Arial" w:hAnsi="Arial" w:cs="Arial"/>
          <w:highlight w:val="cyan"/>
        </w:rPr>
      </w:pPr>
      <w:r w:rsidRPr="00B70E60">
        <w:rPr>
          <w:rFonts w:ascii="Arial" w:hAnsi="Arial" w:cs="Arial"/>
          <w:highlight w:val="cyan"/>
        </w:rPr>
        <w:t xml:space="preserve">Dadbin M, </w:t>
      </w:r>
      <w:proofErr w:type="spellStart"/>
      <w:r w:rsidRPr="00B70E60">
        <w:rPr>
          <w:rFonts w:ascii="Arial" w:hAnsi="Arial" w:cs="Arial"/>
          <w:highlight w:val="cyan"/>
        </w:rPr>
        <w:t>Soltanpour</w:t>
      </w:r>
      <w:proofErr w:type="spellEnd"/>
      <w:r w:rsidRPr="00B70E60">
        <w:rPr>
          <w:rFonts w:ascii="Arial" w:hAnsi="Arial" w:cs="Arial"/>
          <w:highlight w:val="cyan"/>
        </w:rPr>
        <w:t xml:space="preserve"> M, Khodaie L, </w:t>
      </w:r>
      <w:proofErr w:type="spellStart"/>
      <w:r w:rsidRPr="00B70E60">
        <w:rPr>
          <w:rFonts w:ascii="Arial" w:hAnsi="Arial" w:cs="Arial"/>
          <w:highlight w:val="cyan"/>
        </w:rPr>
        <w:t>Islambulchilar</w:t>
      </w:r>
      <w:proofErr w:type="spellEnd"/>
      <w:r w:rsidRPr="00B70E60">
        <w:rPr>
          <w:rFonts w:ascii="Arial" w:hAnsi="Arial" w:cs="Arial"/>
          <w:highlight w:val="cyan"/>
        </w:rPr>
        <w:t xml:space="preserve"> M. Chemical composition, antimicrobial, antioxidant, and toxicity of essential oils as food preservatives . J Res Pharm. 2025; 29(4): 1379-1418. </w:t>
      </w:r>
      <w:hyperlink r:id="rId32" w:history="1">
        <w:r w:rsidRPr="00B70E60">
          <w:rPr>
            <w:rStyle w:val="Hyperlink"/>
            <w:rFonts w:ascii="Arial" w:hAnsi="Arial" w:cs="Arial"/>
            <w:highlight w:val="cyan"/>
          </w:rPr>
          <w:t>https://doi.org/10.12991/jrespharm.1653671</w:t>
        </w:r>
      </w:hyperlink>
    </w:p>
    <w:p w14:paraId="09BF68DA" w14:textId="77777777" w:rsidR="001B1329" w:rsidRDefault="001B1329" w:rsidP="001B1329">
      <w:pPr>
        <w:pStyle w:val="ListParagraph"/>
        <w:rPr>
          <w:rFonts w:ascii="Arial" w:hAnsi="Arial" w:cs="Arial"/>
          <w:highlight w:val="cyan"/>
        </w:rPr>
      </w:pPr>
    </w:p>
    <w:p w14:paraId="136E6D55" w14:textId="033E57EA" w:rsidR="003F5E04" w:rsidRPr="00B70E60" w:rsidRDefault="006A5E82" w:rsidP="00765430">
      <w:pPr>
        <w:pStyle w:val="ListParagraph"/>
        <w:numPr>
          <w:ilvl w:val="0"/>
          <w:numId w:val="41"/>
        </w:numPr>
        <w:rPr>
          <w:rFonts w:ascii="Arial" w:hAnsi="Arial" w:cs="Arial"/>
          <w:highlight w:val="cyan"/>
        </w:rPr>
      </w:pPr>
      <w:r w:rsidRPr="00B70E60">
        <w:rPr>
          <w:rFonts w:ascii="Arial" w:hAnsi="Arial" w:cs="Arial"/>
          <w:highlight w:val="cyan"/>
        </w:rPr>
        <w:t xml:space="preserve">Dhall RK. Advances in edible coatings for fresh fruits and vegetables: a review (2013). Crit Rev Food Sci </w:t>
      </w:r>
      <w:proofErr w:type="spellStart"/>
      <w:r w:rsidRPr="00B70E60">
        <w:rPr>
          <w:rFonts w:ascii="Arial" w:hAnsi="Arial" w:cs="Arial"/>
          <w:highlight w:val="cyan"/>
        </w:rPr>
        <w:t>Nutr</w:t>
      </w:r>
      <w:proofErr w:type="spellEnd"/>
      <w:r w:rsidRPr="00B70E60">
        <w:rPr>
          <w:rFonts w:ascii="Arial" w:hAnsi="Arial" w:cs="Arial"/>
          <w:highlight w:val="cyan"/>
        </w:rPr>
        <w:t xml:space="preserve">. 53(5):435-50. </w:t>
      </w:r>
      <w:proofErr w:type="spellStart"/>
      <w:r w:rsidRPr="00B70E60">
        <w:rPr>
          <w:rFonts w:ascii="Arial" w:hAnsi="Arial" w:cs="Arial"/>
          <w:highlight w:val="cyan"/>
        </w:rPr>
        <w:t>doi</w:t>
      </w:r>
      <w:proofErr w:type="spellEnd"/>
      <w:r w:rsidRPr="00B70E60">
        <w:rPr>
          <w:rFonts w:ascii="Arial" w:hAnsi="Arial" w:cs="Arial"/>
          <w:highlight w:val="cyan"/>
        </w:rPr>
        <w:t>: 10.1080/10408398.2010.541568. PMID: 23391012.</w:t>
      </w:r>
    </w:p>
    <w:p w14:paraId="55ADF11C" w14:textId="77777777" w:rsidR="00765430" w:rsidRPr="00B70E60" w:rsidRDefault="00765430" w:rsidP="00765430">
      <w:pPr>
        <w:pStyle w:val="ListParagraph"/>
        <w:rPr>
          <w:rFonts w:ascii="Arial" w:hAnsi="Arial" w:cs="Arial"/>
          <w:highlight w:val="cyan"/>
        </w:rPr>
      </w:pPr>
    </w:p>
    <w:p w14:paraId="42819A93" w14:textId="0C8CDFB2" w:rsidR="006A5E82" w:rsidRPr="00B70E60" w:rsidRDefault="006A5E82" w:rsidP="00DB596C">
      <w:pPr>
        <w:pStyle w:val="ListParagraph"/>
        <w:numPr>
          <w:ilvl w:val="0"/>
          <w:numId w:val="41"/>
        </w:numPr>
        <w:spacing w:after="160" w:line="278" w:lineRule="auto"/>
        <w:rPr>
          <w:rFonts w:ascii="Arial" w:hAnsi="Arial" w:cs="Arial"/>
          <w:highlight w:val="cyan"/>
        </w:rPr>
      </w:pPr>
      <w:r w:rsidRPr="00B70E60">
        <w:rPr>
          <w:rFonts w:ascii="Arial" w:hAnsi="Arial" w:cs="Arial"/>
          <w:highlight w:val="cyan"/>
        </w:rPr>
        <w:t xml:space="preserve">Gómez-Contreras, P.; Figueroa-Lopez, K.J.; Hernández-Fernández, J.; Cortés Rodríguez, M.; Ortega-Toro, R. (2021)Effect of Different Essential Oils on the Properties of Edible Coatings Based on Yam (Dioscorea </w:t>
      </w:r>
      <w:proofErr w:type="spellStart"/>
      <w:r w:rsidRPr="00B70E60">
        <w:rPr>
          <w:rFonts w:ascii="Arial" w:hAnsi="Arial" w:cs="Arial"/>
          <w:highlight w:val="cyan"/>
        </w:rPr>
        <w:t>rotundata</w:t>
      </w:r>
      <w:proofErr w:type="spellEnd"/>
      <w:r w:rsidRPr="00B70E60">
        <w:rPr>
          <w:rFonts w:ascii="Arial" w:hAnsi="Arial" w:cs="Arial"/>
          <w:highlight w:val="cyan"/>
        </w:rPr>
        <w:t xml:space="preserve"> L.) Starch and Its Application in Strawberry (Fragaria </w:t>
      </w:r>
      <w:proofErr w:type="spellStart"/>
      <w:r w:rsidRPr="00B70E60">
        <w:rPr>
          <w:rFonts w:ascii="Arial" w:hAnsi="Arial" w:cs="Arial"/>
          <w:highlight w:val="cyan"/>
        </w:rPr>
        <w:t>vesca</w:t>
      </w:r>
      <w:proofErr w:type="spellEnd"/>
      <w:r w:rsidRPr="00B70E60">
        <w:rPr>
          <w:rFonts w:ascii="Arial" w:hAnsi="Arial" w:cs="Arial"/>
          <w:highlight w:val="cyan"/>
        </w:rPr>
        <w:t xml:space="preserve"> L.) Preservation. Appl. Sci. 2021, 11, 11057. https://doi.org/ 10.3390/app112211057</w:t>
      </w:r>
    </w:p>
    <w:p w14:paraId="487ADC8F" w14:textId="77777777" w:rsidR="001B1329" w:rsidRDefault="001B1329" w:rsidP="001B1329">
      <w:pPr>
        <w:pStyle w:val="ListParagraph"/>
        <w:rPr>
          <w:rStyle w:val="reference-surname"/>
          <w:rFonts w:ascii="Arial" w:hAnsi="Arial" w:cs="Arial"/>
          <w:highlight w:val="cyan"/>
        </w:rPr>
      </w:pPr>
    </w:p>
    <w:p w14:paraId="0113C622" w14:textId="0F26398F" w:rsidR="006A5E82" w:rsidRPr="00B70E60" w:rsidRDefault="006A5E82" w:rsidP="00DB596C">
      <w:pPr>
        <w:pStyle w:val="ListParagraph"/>
        <w:numPr>
          <w:ilvl w:val="0"/>
          <w:numId w:val="41"/>
        </w:numPr>
        <w:rPr>
          <w:rFonts w:ascii="Arial" w:hAnsi="Arial" w:cs="Arial"/>
          <w:highlight w:val="cyan"/>
        </w:rPr>
      </w:pPr>
      <w:proofErr w:type="spellStart"/>
      <w:r w:rsidRPr="00B70E60">
        <w:rPr>
          <w:rStyle w:val="reference-surname"/>
          <w:rFonts w:ascii="Arial" w:hAnsi="Arial" w:cs="Arial"/>
          <w:highlight w:val="cyan"/>
        </w:rPr>
        <w:t>Dikaram</w:t>
      </w:r>
      <w:proofErr w:type="spellEnd"/>
      <w:r w:rsidRPr="00B70E60">
        <w:rPr>
          <w:rFonts w:ascii="Arial" w:hAnsi="Arial" w:cs="Arial"/>
          <w:highlight w:val="cyan"/>
        </w:rPr>
        <w:t> </w:t>
      </w:r>
      <w:r w:rsidRPr="00B70E60">
        <w:rPr>
          <w:rStyle w:val="reference-given-names"/>
          <w:rFonts w:ascii="Arial" w:hAnsi="Arial" w:cs="Arial"/>
          <w:highlight w:val="cyan"/>
        </w:rPr>
        <w:t>NKB</w:t>
      </w:r>
      <w:r w:rsidRPr="00B70E60">
        <w:rPr>
          <w:rFonts w:ascii="Arial" w:hAnsi="Arial" w:cs="Arial"/>
          <w:highlight w:val="cyan"/>
        </w:rPr>
        <w:t>, </w:t>
      </w:r>
      <w:r w:rsidRPr="00B70E60">
        <w:rPr>
          <w:rStyle w:val="reference-surname"/>
          <w:rFonts w:ascii="Arial" w:hAnsi="Arial" w:cs="Arial"/>
          <w:highlight w:val="cyan"/>
        </w:rPr>
        <w:t>Joyce</w:t>
      </w:r>
      <w:r w:rsidRPr="00B70E60">
        <w:rPr>
          <w:rFonts w:ascii="Arial" w:hAnsi="Arial" w:cs="Arial"/>
          <w:highlight w:val="cyan"/>
        </w:rPr>
        <w:t> </w:t>
      </w:r>
      <w:r w:rsidRPr="00B70E60">
        <w:rPr>
          <w:rStyle w:val="reference-given-names"/>
          <w:rFonts w:ascii="Arial" w:hAnsi="Arial" w:cs="Arial"/>
          <w:highlight w:val="cyan"/>
        </w:rPr>
        <w:t>DC</w:t>
      </w:r>
      <w:r w:rsidRPr="00B70E60">
        <w:rPr>
          <w:rFonts w:ascii="Arial" w:hAnsi="Arial" w:cs="Arial"/>
          <w:highlight w:val="cyan"/>
        </w:rPr>
        <w:t>, </w:t>
      </w:r>
      <w:r w:rsidRPr="00B70E60">
        <w:rPr>
          <w:rStyle w:val="reference-surname"/>
          <w:rFonts w:ascii="Arial" w:hAnsi="Arial" w:cs="Arial"/>
          <w:highlight w:val="cyan"/>
        </w:rPr>
        <w:t>Terry</w:t>
      </w:r>
      <w:r w:rsidRPr="00B70E60">
        <w:rPr>
          <w:rFonts w:ascii="Arial" w:hAnsi="Arial" w:cs="Arial"/>
          <w:highlight w:val="cyan"/>
        </w:rPr>
        <w:t> </w:t>
      </w:r>
      <w:r w:rsidRPr="00B70E60">
        <w:rPr>
          <w:rStyle w:val="reference-given-names"/>
          <w:rFonts w:ascii="Arial" w:hAnsi="Arial" w:cs="Arial"/>
          <w:highlight w:val="cyan"/>
        </w:rPr>
        <w:t>LA.</w:t>
      </w:r>
      <w:r w:rsidRPr="00B70E60">
        <w:rPr>
          <w:rFonts w:ascii="Arial" w:hAnsi="Arial" w:cs="Arial"/>
          <w:highlight w:val="cyan"/>
        </w:rPr>
        <w:t> (</w:t>
      </w:r>
      <w:r w:rsidRPr="00B70E60">
        <w:rPr>
          <w:rStyle w:val="reference-year"/>
          <w:rFonts w:ascii="Arial" w:hAnsi="Arial" w:cs="Arial"/>
          <w:b/>
          <w:bCs/>
          <w:highlight w:val="cyan"/>
        </w:rPr>
        <w:t>2002)</w:t>
      </w:r>
      <w:r w:rsidRPr="00B70E60">
        <w:rPr>
          <w:rFonts w:ascii="Arial" w:hAnsi="Arial" w:cs="Arial"/>
          <w:highlight w:val="cyan"/>
        </w:rPr>
        <w:t>. </w:t>
      </w:r>
      <w:r w:rsidRPr="00B70E60">
        <w:rPr>
          <w:rStyle w:val="reference-article-title"/>
          <w:rFonts w:ascii="Arial" w:hAnsi="Arial" w:cs="Arial"/>
          <w:highlight w:val="cyan"/>
        </w:rPr>
        <w:t>Biocontrol activity and induced resistance as a possible mode of action for </w:t>
      </w:r>
      <w:proofErr w:type="spellStart"/>
      <w:r w:rsidRPr="00B70E60">
        <w:rPr>
          <w:rStyle w:val="reference-italic"/>
          <w:rFonts w:ascii="Arial" w:hAnsi="Arial" w:cs="Arial"/>
          <w:i/>
          <w:iCs/>
          <w:highlight w:val="cyan"/>
        </w:rPr>
        <w:t>Aureobasidium</w:t>
      </w:r>
      <w:proofErr w:type="spellEnd"/>
      <w:r w:rsidRPr="00B70E60">
        <w:rPr>
          <w:rStyle w:val="reference-italic"/>
          <w:rFonts w:ascii="Arial" w:hAnsi="Arial" w:cs="Arial"/>
          <w:i/>
          <w:iCs/>
          <w:highlight w:val="cyan"/>
        </w:rPr>
        <w:t xml:space="preserve"> pullulans</w:t>
      </w:r>
      <w:r w:rsidRPr="00B70E60">
        <w:rPr>
          <w:rStyle w:val="reference-article-title"/>
          <w:rFonts w:ascii="Arial" w:hAnsi="Arial" w:cs="Arial"/>
          <w:highlight w:val="cyan"/>
        </w:rPr>
        <w:t xml:space="preserve"> against grey </w:t>
      </w:r>
      <w:proofErr w:type="spellStart"/>
      <w:r w:rsidRPr="00B70E60">
        <w:rPr>
          <w:rStyle w:val="reference-article-title"/>
          <w:rFonts w:ascii="Arial" w:hAnsi="Arial" w:cs="Arial"/>
          <w:highlight w:val="cyan"/>
        </w:rPr>
        <w:t>mould</w:t>
      </w:r>
      <w:proofErr w:type="spellEnd"/>
      <w:r w:rsidRPr="00B70E60">
        <w:rPr>
          <w:rStyle w:val="reference-article-title"/>
          <w:rFonts w:ascii="Arial" w:hAnsi="Arial" w:cs="Arial"/>
          <w:highlight w:val="cyan"/>
        </w:rPr>
        <w:t xml:space="preserve"> of strawberry fruit. </w:t>
      </w:r>
      <w:proofErr w:type="spellStart"/>
      <w:r w:rsidRPr="00B70E60">
        <w:rPr>
          <w:rStyle w:val="reference-italic"/>
          <w:rFonts w:ascii="Arial" w:hAnsi="Arial" w:cs="Arial"/>
          <w:i/>
          <w:iCs/>
          <w:highlight w:val="cyan"/>
        </w:rPr>
        <w:t>Australas</w:t>
      </w:r>
      <w:proofErr w:type="spellEnd"/>
      <w:r w:rsidRPr="00B70E60">
        <w:rPr>
          <w:rStyle w:val="reference-italic"/>
          <w:rFonts w:ascii="Arial" w:hAnsi="Arial" w:cs="Arial"/>
          <w:i/>
          <w:iCs/>
          <w:highlight w:val="cyan"/>
        </w:rPr>
        <w:t xml:space="preserve">. Plant </w:t>
      </w:r>
      <w:proofErr w:type="spellStart"/>
      <w:r w:rsidRPr="00B70E60">
        <w:rPr>
          <w:rStyle w:val="reference-italic"/>
          <w:rFonts w:ascii="Arial" w:hAnsi="Arial" w:cs="Arial"/>
          <w:i/>
          <w:iCs/>
          <w:highlight w:val="cyan"/>
        </w:rPr>
        <w:t>Pathol</w:t>
      </w:r>
      <w:proofErr w:type="spellEnd"/>
      <w:r w:rsidRPr="00B70E60">
        <w:rPr>
          <w:rStyle w:val="reference-italic"/>
          <w:rFonts w:ascii="Arial" w:hAnsi="Arial" w:cs="Arial"/>
          <w:i/>
          <w:iCs/>
          <w:highlight w:val="cyan"/>
        </w:rPr>
        <w:t>.</w:t>
      </w:r>
      <w:r w:rsidRPr="00B70E60">
        <w:rPr>
          <w:rFonts w:ascii="Arial" w:hAnsi="Arial" w:cs="Arial"/>
          <w:highlight w:val="cyan"/>
        </w:rPr>
        <w:t> </w:t>
      </w:r>
      <w:r w:rsidRPr="00B70E60">
        <w:rPr>
          <w:rStyle w:val="reference-volume"/>
          <w:rFonts w:ascii="Arial" w:hAnsi="Arial" w:cs="Arial"/>
          <w:highlight w:val="cyan"/>
        </w:rPr>
        <w:t>31</w:t>
      </w:r>
      <w:r w:rsidRPr="00B70E60">
        <w:rPr>
          <w:rFonts w:ascii="Arial" w:hAnsi="Arial" w:cs="Arial"/>
          <w:highlight w:val="cyan"/>
        </w:rPr>
        <w:t>:</w:t>
      </w:r>
      <w:r w:rsidRPr="00B70E60">
        <w:rPr>
          <w:rStyle w:val="reference-fpage"/>
          <w:rFonts w:ascii="Arial" w:hAnsi="Arial" w:cs="Arial"/>
          <w:highlight w:val="cyan"/>
        </w:rPr>
        <w:t>223–</w:t>
      </w:r>
      <w:r w:rsidRPr="00B70E60">
        <w:rPr>
          <w:rStyle w:val="reference-lpage"/>
          <w:rFonts w:ascii="Arial" w:hAnsi="Arial" w:cs="Arial"/>
          <w:highlight w:val="cyan"/>
        </w:rPr>
        <w:t xml:space="preserve">29 </w:t>
      </w:r>
      <w:hyperlink r:id="rId33" w:history="1">
        <w:r w:rsidRPr="00B70E60">
          <w:rPr>
            <w:rStyle w:val="Hyperlink"/>
            <w:rFonts w:ascii="Arial" w:hAnsi="Arial" w:cs="Arial"/>
            <w:b/>
            <w:bCs/>
            <w:highlight w:val="cyan"/>
          </w:rPr>
          <w:t>https://doi.org/10.1146/annurev-phyto-021722-035135</w:t>
        </w:r>
      </w:hyperlink>
    </w:p>
    <w:p w14:paraId="1E506058" w14:textId="77777777" w:rsidR="003F5E04" w:rsidRPr="00B70E60" w:rsidRDefault="003F5E04" w:rsidP="006A5E82">
      <w:pPr>
        <w:rPr>
          <w:rFonts w:ascii="Arial" w:hAnsi="Arial" w:cs="Arial"/>
          <w:highlight w:val="cyan"/>
        </w:rPr>
      </w:pPr>
    </w:p>
    <w:p w14:paraId="6EA4B9D3" w14:textId="62DB9E2F"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 xml:space="preserve">Krishnan, R. R., Olasupo, A. D., Patel, K. H., et al. (2025). Edible biopolymers with functional additives coatings for postharvest quality preservation in horticultural crops: A review. </w:t>
      </w:r>
      <w:r w:rsidRPr="00B70E60">
        <w:rPr>
          <w:rFonts w:ascii="Arial" w:hAnsi="Arial" w:cs="Arial"/>
          <w:i/>
          <w:iCs/>
          <w:highlight w:val="cyan"/>
        </w:rPr>
        <w:t>Frontiers in Sustainable Food Systems</w:t>
      </w:r>
      <w:r w:rsidRPr="00B70E60">
        <w:rPr>
          <w:rFonts w:ascii="Arial" w:hAnsi="Arial" w:cs="Arial"/>
          <w:highlight w:val="cyan"/>
        </w:rPr>
        <w:t xml:space="preserve">, 9, 1569458. </w:t>
      </w:r>
      <w:hyperlink r:id="rId34" w:history="1">
        <w:r w:rsidRPr="00B70E60">
          <w:rPr>
            <w:rStyle w:val="Hyperlink"/>
            <w:rFonts w:ascii="Arial" w:hAnsi="Arial" w:cs="Arial"/>
            <w:highlight w:val="cyan"/>
          </w:rPr>
          <w:t>https://doi.org/10.3389/fsufs.2025.1569458</w:t>
        </w:r>
      </w:hyperlink>
    </w:p>
    <w:p w14:paraId="1370A0F5" w14:textId="77777777" w:rsidR="003F5E04" w:rsidRPr="00B70E60" w:rsidRDefault="003F5E04" w:rsidP="006A5E82">
      <w:pPr>
        <w:rPr>
          <w:rFonts w:ascii="Arial" w:hAnsi="Arial" w:cs="Arial"/>
          <w:highlight w:val="cyan"/>
        </w:rPr>
      </w:pPr>
      <w:bookmarkStart w:id="10" w:name="baep-author-id3-profile"/>
    </w:p>
    <w:p w14:paraId="4079CBB0" w14:textId="5AD0B305" w:rsidR="006A5E82" w:rsidRPr="00B70E60" w:rsidRDefault="006A5E82" w:rsidP="00DB596C">
      <w:pPr>
        <w:pStyle w:val="ListParagraph"/>
        <w:numPr>
          <w:ilvl w:val="0"/>
          <w:numId w:val="41"/>
        </w:numPr>
        <w:rPr>
          <w:rFonts w:ascii="Arial" w:hAnsi="Arial" w:cs="Arial"/>
          <w:highlight w:val="cyan"/>
        </w:rPr>
      </w:pPr>
      <w:proofErr w:type="spellStart"/>
      <w:r w:rsidRPr="00B70E60">
        <w:rPr>
          <w:rFonts w:ascii="Arial" w:hAnsi="Arial" w:cs="Arial"/>
          <w:highlight w:val="cyan"/>
        </w:rPr>
        <w:t>Droby</w:t>
      </w:r>
      <w:bookmarkEnd w:id="10"/>
      <w:proofErr w:type="spellEnd"/>
      <w:r w:rsidRPr="00B70E60">
        <w:rPr>
          <w:rFonts w:ascii="Arial" w:hAnsi="Arial" w:cs="Arial"/>
          <w:highlight w:val="cyan"/>
        </w:rPr>
        <w:t>, S., </w:t>
      </w:r>
      <w:bookmarkStart w:id="11" w:name="baep-author-id4-profile"/>
      <w:r w:rsidRPr="00B70E60">
        <w:rPr>
          <w:rFonts w:ascii="Arial" w:hAnsi="Arial" w:cs="Arial"/>
          <w:highlight w:val="cyan"/>
        </w:rPr>
        <w:t>Michael Wisniewski </w:t>
      </w:r>
      <w:r w:rsidRPr="00B70E60">
        <w:rPr>
          <w:rFonts w:ascii="Arial" w:hAnsi="Arial" w:cs="Arial"/>
          <w:highlight w:val="cyan"/>
          <w:vertAlign w:val="superscript"/>
        </w:rPr>
        <w:t>b</w:t>
      </w:r>
      <w:bookmarkEnd w:id="11"/>
      <w:r w:rsidRPr="00B70E60">
        <w:rPr>
          <w:rFonts w:ascii="Arial" w:hAnsi="Arial" w:cs="Arial"/>
          <w:highlight w:val="cyan"/>
        </w:rPr>
        <w:t>, </w:t>
      </w:r>
      <w:bookmarkStart w:id="12" w:name="baep-author-id5-profile"/>
      <w:r w:rsidRPr="00B70E60">
        <w:rPr>
          <w:rFonts w:ascii="Arial" w:hAnsi="Arial" w:cs="Arial"/>
          <w:highlight w:val="cyan"/>
        </w:rPr>
        <w:t>Dumitru </w:t>
      </w:r>
      <w:proofErr w:type="spellStart"/>
      <w:r w:rsidRPr="00B70E60">
        <w:rPr>
          <w:rFonts w:ascii="Arial" w:hAnsi="Arial" w:cs="Arial"/>
          <w:highlight w:val="cyan"/>
        </w:rPr>
        <w:t>Macarisin</w:t>
      </w:r>
      <w:bookmarkStart w:id="13" w:name="baep-author-id6-profile"/>
      <w:bookmarkEnd w:id="12"/>
      <w:proofErr w:type="spellEnd"/>
      <w:r w:rsidRPr="00B70E60">
        <w:rPr>
          <w:rFonts w:ascii="Arial" w:hAnsi="Arial" w:cs="Arial"/>
          <w:highlight w:val="cyan"/>
        </w:rPr>
        <w:fldChar w:fldCharType="begin"/>
      </w:r>
      <w:r w:rsidRPr="00B70E60">
        <w:rPr>
          <w:rFonts w:ascii="Arial" w:hAnsi="Arial" w:cs="Arial"/>
          <w:highlight w:val="cyan"/>
        </w:rPr>
        <w:instrText>HYPERLINK "https://www.sciencedirect.com/author/35585513700/charles-l-wilson"</w:instrText>
      </w:r>
      <w:r w:rsidRPr="00B70E60">
        <w:rPr>
          <w:rFonts w:ascii="Arial" w:hAnsi="Arial" w:cs="Arial"/>
          <w:highlight w:val="cyan"/>
        </w:rPr>
      </w:r>
      <w:r w:rsidRPr="00B70E60">
        <w:rPr>
          <w:rFonts w:ascii="Arial" w:hAnsi="Arial" w:cs="Arial"/>
          <w:highlight w:val="cyan"/>
        </w:rPr>
        <w:fldChar w:fldCharType="end"/>
      </w:r>
      <w:bookmarkEnd w:id="13"/>
      <w:r w:rsidRPr="00B70E60">
        <w:rPr>
          <w:rFonts w:ascii="Arial" w:hAnsi="Arial" w:cs="Arial"/>
          <w:highlight w:val="cyan"/>
        </w:rPr>
        <w:t xml:space="preserve"> (2009). Twenty years of postharvest biocontrol research: Is it time for a new paradigm? </w:t>
      </w:r>
      <w:hyperlink r:id="rId35" w:tooltip="Go to Postharvest Biology and Technology on ScienceDirect" w:history="1">
        <w:r w:rsidRPr="00B70E60">
          <w:rPr>
            <w:rStyle w:val="Hyperlink"/>
            <w:rFonts w:ascii="Arial" w:hAnsi="Arial" w:cs="Arial"/>
            <w:highlight w:val="cyan"/>
          </w:rPr>
          <w:t>Postharvest Biology and Technology</w:t>
        </w:r>
      </w:hyperlink>
      <w:r w:rsidRPr="00B70E60">
        <w:rPr>
          <w:rFonts w:ascii="Arial" w:hAnsi="Arial" w:cs="Arial"/>
          <w:highlight w:val="cyan"/>
        </w:rPr>
        <w:t xml:space="preserve">          52(2): 137-145 </w:t>
      </w:r>
      <w:hyperlink r:id="rId36" w:tgtFrame="_blank" w:tooltip="Persistent link using digital object identifier" w:history="1">
        <w:r w:rsidRPr="00B70E60">
          <w:rPr>
            <w:rStyle w:val="Hyperlink"/>
            <w:rFonts w:ascii="Arial" w:hAnsi="Arial" w:cs="Arial"/>
            <w:highlight w:val="cyan"/>
          </w:rPr>
          <w:t>https://doi.org/10.1016/j.postharvbio.2008.11.009</w:t>
        </w:r>
      </w:hyperlink>
    </w:p>
    <w:p w14:paraId="69DCE882" w14:textId="77777777" w:rsidR="003F5E04" w:rsidRPr="00B70E60" w:rsidRDefault="003F5E04" w:rsidP="006A5E82">
      <w:pPr>
        <w:rPr>
          <w:rFonts w:ascii="Arial" w:hAnsi="Arial" w:cs="Arial"/>
          <w:highlight w:val="cyan"/>
        </w:rPr>
      </w:pPr>
    </w:p>
    <w:p w14:paraId="1B8803DE" w14:textId="16EEFFED" w:rsidR="006A5E82" w:rsidRPr="00B70E60" w:rsidRDefault="006A5E82" w:rsidP="00DB596C">
      <w:pPr>
        <w:pStyle w:val="ListParagraph"/>
        <w:numPr>
          <w:ilvl w:val="0"/>
          <w:numId w:val="41"/>
        </w:numPr>
        <w:rPr>
          <w:rFonts w:ascii="Arial" w:hAnsi="Arial" w:cs="Arial"/>
          <w:highlight w:val="cyan"/>
          <w:lang w:val="fr-FR"/>
        </w:rPr>
      </w:pPr>
      <w:r w:rsidRPr="00B70E60">
        <w:rPr>
          <w:rFonts w:ascii="Arial" w:hAnsi="Arial" w:cs="Arial"/>
          <w:highlight w:val="cyan"/>
        </w:rPr>
        <w:t xml:space="preserve">Bautista-Baños, Silvia, Sivakumar, Dharini, Bello-Pérez, Arturo, Villanueva, Ramón Hernández-López, Mónica (2013). A review of the management alternatives for controlling fungi on papaya fruit during the postharvest supply chain. </w:t>
      </w:r>
      <w:hyperlink r:id="rId37" w:history="1">
        <w:proofErr w:type="spellStart"/>
        <w:r w:rsidRPr="00B70E60">
          <w:rPr>
            <w:rStyle w:val="Hyperlink"/>
            <w:rFonts w:ascii="Arial" w:hAnsi="Arial" w:cs="Arial"/>
            <w:highlight w:val="cyan"/>
            <w:lang w:val="fr-FR"/>
          </w:rPr>
          <w:t>Crop</w:t>
        </w:r>
        <w:proofErr w:type="spellEnd"/>
        <w:r w:rsidRPr="00B70E60">
          <w:rPr>
            <w:rStyle w:val="Hyperlink"/>
            <w:rFonts w:ascii="Arial" w:hAnsi="Arial" w:cs="Arial"/>
            <w:highlight w:val="cyan"/>
            <w:lang w:val="fr-FR"/>
          </w:rPr>
          <w:t xml:space="preserve"> Protection</w:t>
        </w:r>
      </w:hyperlink>
      <w:r w:rsidRPr="00B70E60">
        <w:rPr>
          <w:rFonts w:ascii="Arial" w:hAnsi="Arial" w:cs="Arial"/>
          <w:highlight w:val="cyan"/>
          <w:lang w:val="fr-FR"/>
        </w:rPr>
        <w:t> 49:8–20 DOI:</w:t>
      </w:r>
      <w:hyperlink r:id="rId38" w:tgtFrame="_blank" w:history="1">
        <w:r w:rsidRPr="00B70E60">
          <w:rPr>
            <w:rStyle w:val="Hyperlink"/>
            <w:rFonts w:ascii="Arial" w:hAnsi="Arial" w:cs="Arial"/>
            <w:highlight w:val="cyan"/>
            <w:lang w:val="fr-FR"/>
          </w:rPr>
          <w:t>10.1016/j.cropro.2013.02.011</w:t>
        </w:r>
      </w:hyperlink>
    </w:p>
    <w:p w14:paraId="73EE458C" w14:textId="77777777" w:rsidR="003F5E04" w:rsidRPr="00B70E60" w:rsidRDefault="003F5E04" w:rsidP="003F5E04">
      <w:pPr>
        <w:rPr>
          <w:rFonts w:ascii="Arial" w:hAnsi="Arial" w:cs="Arial"/>
          <w:highlight w:val="cyan"/>
          <w:lang w:val="fr-FR"/>
        </w:rPr>
      </w:pPr>
    </w:p>
    <w:p w14:paraId="6437684E" w14:textId="6BD560C5" w:rsidR="003F5E04" w:rsidRPr="00B70E60" w:rsidRDefault="006A5E82" w:rsidP="00DB596C">
      <w:pPr>
        <w:pStyle w:val="ListParagraph"/>
        <w:numPr>
          <w:ilvl w:val="0"/>
          <w:numId w:val="41"/>
        </w:numPr>
        <w:rPr>
          <w:rFonts w:ascii="Arial" w:hAnsi="Arial" w:cs="Arial"/>
          <w:highlight w:val="cyan"/>
        </w:rPr>
      </w:pPr>
      <w:proofErr w:type="spellStart"/>
      <w:r w:rsidRPr="00B70E60">
        <w:rPr>
          <w:rFonts w:ascii="Arial" w:hAnsi="Arial" w:cs="Arial"/>
          <w:highlight w:val="cyan"/>
          <w:lang w:val="fr-FR"/>
        </w:rPr>
        <w:t>Lawal</w:t>
      </w:r>
      <w:proofErr w:type="spellEnd"/>
      <w:r w:rsidRPr="00B70E60">
        <w:rPr>
          <w:rFonts w:ascii="Arial" w:hAnsi="Arial" w:cs="Arial"/>
          <w:highlight w:val="cyan"/>
          <w:lang w:val="fr-FR"/>
        </w:rPr>
        <w:t xml:space="preserve">, H., </w:t>
      </w:r>
      <w:proofErr w:type="spellStart"/>
      <w:r w:rsidRPr="00B70E60">
        <w:rPr>
          <w:rFonts w:ascii="Arial" w:hAnsi="Arial" w:cs="Arial"/>
          <w:highlight w:val="cyan"/>
          <w:lang w:val="fr-FR"/>
        </w:rPr>
        <w:t>Gaddafi</w:t>
      </w:r>
      <w:proofErr w:type="spellEnd"/>
      <w:r w:rsidRPr="00B70E60">
        <w:rPr>
          <w:rFonts w:ascii="Arial" w:hAnsi="Arial" w:cs="Arial"/>
          <w:highlight w:val="cyan"/>
          <w:lang w:val="fr-FR"/>
        </w:rPr>
        <w:t xml:space="preserve">, M. S., </w:t>
      </w:r>
      <w:proofErr w:type="spellStart"/>
      <w:r w:rsidRPr="00B70E60">
        <w:rPr>
          <w:rFonts w:ascii="Arial" w:hAnsi="Arial" w:cs="Arial"/>
          <w:highlight w:val="cyan"/>
          <w:lang w:val="fr-FR"/>
        </w:rPr>
        <w:t>Jamiu</w:t>
      </w:r>
      <w:proofErr w:type="spellEnd"/>
      <w:r w:rsidRPr="00B70E60">
        <w:rPr>
          <w:rFonts w:ascii="Arial" w:hAnsi="Arial" w:cs="Arial"/>
          <w:highlight w:val="cyan"/>
          <w:lang w:val="fr-FR"/>
        </w:rPr>
        <w:t xml:space="preserve">, A. M., et al. </w:t>
      </w:r>
      <w:r w:rsidRPr="00B70E60">
        <w:rPr>
          <w:rFonts w:ascii="Arial" w:hAnsi="Arial" w:cs="Arial"/>
          <w:highlight w:val="cyan"/>
        </w:rPr>
        <w:t xml:space="preserve">(2025). Biocontrol and nanotechnology strategies for postharvest disease management in fruits and vegetables: A comprehensive review. </w:t>
      </w:r>
      <w:r w:rsidRPr="00B70E60">
        <w:rPr>
          <w:rFonts w:ascii="Arial" w:hAnsi="Arial" w:cs="Arial"/>
          <w:i/>
          <w:iCs/>
          <w:highlight w:val="cyan"/>
        </w:rPr>
        <w:t>Foods</w:t>
      </w:r>
      <w:r w:rsidRPr="00B70E60">
        <w:rPr>
          <w:rFonts w:ascii="Arial" w:hAnsi="Arial" w:cs="Arial"/>
          <w:highlight w:val="cyan"/>
        </w:rPr>
        <w:t xml:space="preserve">, 14(16), 2782. </w:t>
      </w:r>
      <w:hyperlink r:id="rId39" w:history="1">
        <w:r w:rsidRPr="00B70E60">
          <w:rPr>
            <w:rStyle w:val="Hyperlink"/>
            <w:rFonts w:ascii="Arial" w:hAnsi="Arial" w:cs="Arial"/>
            <w:highlight w:val="cyan"/>
          </w:rPr>
          <w:t>https://doi.org/10.3390/foods14162782</w:t>
        </w:r>
      </w:hyperlink>
    </w:p>
    <w:p w14:paraId="492C5E37" w14:textId="77777777" w:rsidR="003F5E04" w:rsidRPr="00B70E60" w:rsidRDefault="003F5E04" w:rsidP="003F5E04">
      <w:pPr>
        <w:rPr>
          <w:rFonts w:ascii="Arial" w:hAnsi="Arial" w:cs="Arial"/>
          <w:highlight w:val="cyan"/>
        </w:rPr>
      </w:pPr>
    </w:p>
    <w:p w14:paraId="056F8B0D" w14:textId="3CA96249" w:rsidR="003F5E04"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 xml:space="preserve">Tenea, G. N., Reyes, P., &amp; Flores, C. (2025). Crosslinking bacterial postbiotics for microbial and quality control of strawberries postharvest: PCA and metagenomic evidence. </w:t>
      </w:r>
      <w:r w:rsidRPr="00B70E60">
        <w:rPr>
          <w:rFonts w:ascii="Arial" w:hAnsi="Arial" w:cs="Arial"/>
          <w:i/>
          <w:iCs/>
          <w:highlight w:val="cyan"/>
        </w:rPr>
        <w:t>Frontiers in Microbiology</w:t>
      </w:r>
      <w:r w:rsidRPr="00B70E60">
        <w:rPr>
          <w:rFonts w:ascii="Arial" w:hAnsi="Arial" w:cs="Arial"/>
          <w:highlight w:val="cyan"/>
        </w:rPr>
        <w:t xml:space="preserve">, 16, 1570312. </w:t>
      </w:r>
      <w:hyperlink r:id="rId40" w:history="1">
        <w:r w:rsidRPr="00B70E60">
          <w:rPr>
            <w:rStyle w:val="Hyperlink"/>
            <w:rFonts w:ascii="Arial" w:hAnsi="Arial" w:cs="Arial"/>
            <w:highlight w:val="cyan"/>
          </w:rPr>
          <w:t>https://doi.org/10.3389/fmicb.2025.1570312</w:t>
        </w:r>
      </w:hyperlink>
    </w:p>
    <w:p w14:paraId="69DD5A12" w14:textId="77777777" w:rsidR="003F5E04" w:rsidRPr="00B70E60" w:rsidRDefault="003F5E04" w:rsidP="006A5E82">
      <w:pPr>
        <w:rPr>
          <w:rFonts w:ascii="Arial" w:hAnsi="Arial" w:cs="Arial"/>
          <w:highlight w:val="cyan"/>
        </w:rPr>
      </w:pPr>
    </w:p>
    <w:p w14:paraId="48CAFCC6" w14:textId="462739B3" w:rsidR="006A5E82" w:rsidRPr="00B70E60" w:rsidRDefault="006A5E82" w:rsidP="00DB596C">
      <w:pPr>
        <w:pStyle w:val="ListParagraph"/>
        <w:numPr>
          <w:ilvl w:val="0"/>
          <w:numId w:val="41"/>
        </w:numPr>
        <w:rPr>
          <w:rFonts w:ascii="Arial" w:hAnsi="Arial" w:cs="Arial"/>
          <w:highlight w:val="cyan"/>
        </w:rPr>
      </w:pPr>
      <w:r w:rsidRPr="00B70E60">
        <w:rPr>
          <w:rFonts w:ascii="Arial" w:hAnsi="Arial" w:cs="Arial"/>
          <w:highlight w:val="cyan"/>
        </w:rPr>
        <w:t>Liu, S., Yuling Cai, Ying Lou, Yan Zhao, Mingfeng Cao, </w:t>
      </w:r>
      <w:bookmarkStart w:id="14" w:name="bau0030-profile"/>
      <w:r w:rsidRPr="00B70E60">
        <w:rPr>
          <w:rFonts w:ascii="Arial" w:hAnsi="Arial" w:cs="Arial"/>
          <w:highlight w:val="cyan"/>
        </w:rPr>
        <w:t>Ping Li</w:t>
      </w:r>
      <w:bookmarkEnd w:id="14"/>
      <w:r w:rsidRPr="00B70E60">
        <w:rPr>
          <w:rFonts w:ascii="Arial" w:hAnsi="Arial" w:cs="Arial"/>
          <w:highlight w:val="cyan"/>
        </w:rPr>
        <w:t>, </w:t>
      </w:r>
      <w:bookmarkStart w:id="15" w:name="bau0035-profile"/>
      <w:r w:rsidRPr="00B70E60">
        <w:rPr>
          <w:rFonts w:ascii="Arial" w:hAnsi="Arial" w:cs="Arial"/>
          <w:highlight w:val="cyan"/>
        </w:rPr>
        <w:t>Qing Gu</w:t>
      </w:r>
      <w:bookmarkEnd w:id="15"/>
      <w:r w:rsidRPr="00B70E60">
        <w:rPr>
          <w:rFonts w:ascii="Arial" w:hAnsi="Arial" w:cs="Arial"/>
          <w:highlight w:val="cyan"/>
        </w:rPr>
        <w:t xml:space="preserve"> (2025). Understanding citrus aroma: Changes induced by postharvest treatments of fresh fruit. Postharvest Biology and Technology Volume 224, 113491 </w:t>
      </w:r>
      <w:hyperlink r:id="rId41" w:tgtFrame="_blank" w:tooltip="Persistent link using digital object identifier" w:history="1">
        <w:r w:rsidRPr="00B70E60">
          <w:rPr>
            <w:rStyle w:val="Hyperlink"/>
            <w:rFonts w:ascii="Arial" w:hAnsi="Arial" w:cs="Arial"/>
            <w:highlight w:val="cyan"/>
          </w:rPr>
          <w:t>https://doi.org/10.1016/j.postharvbio.2025.113491</w:t>
        </w:r>
      </w:hyperlink>
    </w:p>
    <w:p w14:paraId="4EBE7FC7" w14:textId="77777777" w:rsidR="003F5E04" w:rsidRPr="00B70E60" w:rsidRDefault="003F5E04" w:rsidP="006A5E82">
      <w:pPr>
        <w:rPr>
          <w:rFonts w:ascii="Arial" w:hAnsi="Arial" w:cs="Arial"/>
          <w:highlight w:val="cyan"/>
        </w:rPr>
      </w:pPr>
      <w:bookmarkStart w:id="16" w:name="_Hlk211191710"/>
    </w:p>
    <w:p w14:paraId="2E501764" w14:textId="02E60E48" w:rsidR="006A5E82" w:rsidRPr="001B1329" w:rsidRDefault="006A5E82" w:rsidP="00DB596C">
      <w:pPr>
        <w:pStyle w:val="ListParagraph"/>
        <w:numPr>
          <w:ilvl w:val="0"/>
          <w:numId w:val="41"/>
        </w:numPr>
        <w:rPr>
          <w:rFonts w:ascii="Arial" w:hAnsi="Arial" w:cs="Arial"/>
          <w:highlight w:val="cyan"/>
        </w:rPr>
      </w:pPr>
      <w:r w:rsidRPr="00B70E60">
        <w:rPr>
          <w:rFonts w:ascii="Arial" w:hAnsi="Arial" w:cs="Arial"/>
          <w:highlight w:val="cyan"/>
        </w:rPr>
        <w:t>Combrink</w:t>
      </w:r>
      <w:bookmarkEnd w:id="16"/>
      <w:r w:rsidRPr="00B70E60">
        <w:rPr>
          <w:rFonts w:ascii="Arial" w:hAnsi="Arial" w:cs="Arial"/>
          <w:highlight w:val="cyan"/>
        </w:rPr>
        <w:t xml:space="preserve">, J.C., Benic, L.M., Lotz, E., Truter, A.B. (1994). Integrated management of postharvest fruit quality . Acta </w:t>
      </w:r>
      <w:proofErr w:type="spellStart"/>
      <w:r w:rsidRPr="00B70E60">
        <w:rPr>
          <w:rFonts w:ascii="Arial" w:hAnsi="Arial" w:cs="Arial"/>
          <w:highlight w:val="cyan"/>
        </w:rPr>
        <w:t>Hortic</w:t>
      </w:r>
      <w:proofErr w:type="spellEnd"/>
      <w:r w:rsidRPr="00B70E60">
        <w:rPr>
          <w:rFonts w:ascii="Arial" w:hAnsi="Arial" w:cs="Arial"/>
          <w:highlight w:val="cyan"/>
        </w:rPr>
        <w:t>. 368, 657-666 DOI: 10.17660/</w:t>
      </w:r>
      <w:proofErr w:type="spellStart"/>
      <w:r w:rsidRPr="00B70E60">
        <w:rPr>
          <w:rFonts w:ascii="Arial" w:hAnsi="Arial" w:cs="Arial"/>
          <w:highlight w:val="cyan"/>
        </w:rPr>
        <w:t>ActaHortic</w:t>
      </w:r>
      <w:proofErr w:type="spellEnd"/>
      <w:r w:rsidRPr="00B70E60">
        <w:rPr>
          <w:rFonts w:ascii="Arial" w:hAnsi="Arial" w:cs="Arial"/>
          <w:highlight w:val="cyan"/>
        </w:rPr>
        <w:t xml:space="preserve">. </w:t>
      </w:r>
      <w:hyperlink r:id="rId42" w:history="1">
        <w:r w:rsidRPr="00B70E60">
          <w:rPr>
            <w:rStyle w:val="Hyperlink"/>
            <w:rFonts w:ascii="Arial" w:hAnsi="Arial" w:cs="Arial"/>
            <w:highlight w:val="cyan"/>
          </w:rPr>
          <w:t>https://doi.org/10.17660/ActaHortic.1994.368.78</w:t>
        </w:r>
      </w:hyperlink>
    </w:p>
    <w:p w14:paraId="4FADDB46" w14:textId="77777777" w:rsidR="001B1329" w:rsidRPr="001B1329" w:rsidRDefault="001B1329" w:rsidP="001B1329">
      <w:pPr>
        <w:rPr>
          <w:rFonts w:ascii="Arial" w:hAnsi="Arial" w:cs="Arial"/>
          <w:highlight w:val="cyan"/>
        </w:rPr>
      </w:pPr>
    </w:p>
    <w:p w14:paraId="519E1A8A" w14:textId="77777777" w:rsidR="006A5E82" w:rsidRPr="00B70E60" w:rsidRDefault="006A5E82" w:rsidP="00DB596C">
      <w:pPr>
        <w:pStyle w:val="ListParagraph"/>
        <w:numPr>
          <w:ilvl w:val="0"/>
          <w:numId w:val="41"/>
        </w:numPr>
        <w:jc w:val="both"/>
        <w:rPr>
          <w:rFonts w:ascii="Arial" w:hAnsi="Arial" w:cs="Arial"/>
          <w:highlight w:val="cyan"/>
        </w:rPr>
      </w:pPr>
      <w:r w:rsidRPr="00B70E60">
        <w:rPr>
          <w:rFonts w:ascii="Arial" w:hAnsi="Arial" w:cs="Arial"/>
          <w:highlight w:val="cyan"/>
        </w:rPr>
        <w:lastRenderedPageBreak/>
        <w:t xml:space="preserve">Ferdousi, J., Hossain, I., Saha, S.R., Rob, M., Afroz, T., </w:t>
      </w:r>
      <w:proofErr w:type="spellStart"/>
      <w:r w:rsidRPr="00B70E60">
        <w:rPr>
          <w:rFonts w:ascii="Arial" w:hAnsi="Arial" w:cs="Arial"/>
          <w:highlight w:val="cyan"/>
        </w:rPr>
        <w:t>Pramanick</w:t>
      </w:r>
      <w:proofErr w:type="spellEnd"/>
      <w:r w:rsidRPr="00B70E60">
        <w:rPr>
          <w:rFonts w:ascii="Arial" w:hAnsi="Arial" w:cs="Arial"/>
          <w:highlight w:val="cyan"/>
        </w:rPr>
        <w:t xml:space="preserve">, S., Islam, R., Nath, D.D. (2024). </w:t>
      </w:r>
      <w:proofErr w:type="spellStart"/>
      <w:r w:rsidRPr="00B70E60">
        <w:rPr>
          <w:rFonts w:ascii="Arial" w:hAnsi="Arial" w:cs="Arial"/>
          <w:highlight w:val="cyan"/>
        </w:rPr>
        <w:t>Posthavest</w:t>
      </w:r>
      <w:proofErr w:type="spellEnd"/>
      <w:r w:rsidRPr="00B70E60">
        <w:rPr>
          <w:rFonts w:ascii="Arial" w:hAnsi="Arial" w:cs="Arial"/>
          <w:highlight w:val="cyan"/>
        </w:rPr>
        <w:t xml:space="preserve"> physiology of fruit and vegetables and their management technology: A review . The Journal of Animal and Plant Sciences 34(2):2024 DOI</w:t>
      </w:r>
      <w:r w:rsidRPr="00B70E60">
        <w:rPr>
          <w:rFonts w:ascii="Arial" w:hAnsi="Arial" w:cs="Arial"/>
          <w:b/>
          <w:bCs/>
          <w:highlight w:val="cyan"/>
        </w:rPr>
        <w:t>:</w:t>
      </w:r>
      <w:hyperlink r:id="rId43" w:tgtFrame="_blank" w:history="1">
        <w:r w:rsidRPr="00B70E60">
          <w:rPr>
            <w:rStyle w:val="Hyperlink"/>
            <w:rFonts w:ascii="Arial" w:hAnsi="Arial" w:cs="Arial"/>
            <w:highlight w:val="cyan"/>
          </w:rPr>
          <w:t>10.36899/JAPS.2024.2.0717</w:t>
        </w:r>
      </w:hyperlink>
    </w:p>
    <w:p w14:paraId="396CF75A" w14:textId="77777777" w:rsidR="006A5E82" w:rsidRPr="008C0885" w:rsidRDefault="006A5E82" w:rsidP="006A5E82">
      <w:pPr>
        <w:rPr>
          <w:rFonts w:ascii="Arial" w:hAnsi="Arial" w:cs="Arial"/>
        </w:rPr>
      </w:pPr>
    </w:p>
    <w:p w14:paraId="2459FBA8" w14:textId="77777777" w:rsidR="006A5E82" w:rsidRPr="008C0885" w:rsidRDefault="006A5E82" w:rsidP="006A5E82">
      <w:pPr>
        <w:jc w:val="both"/>
        <w:rPr>
          <w:rFonts w:ascii="Arial" w:hAnsi="Arial" w:cs="Arial"/>
          <w:highlight w:val="lightGray"/>
          <w:lang w:val="fr-FR"/>
        </w:rPr>
      </w:pPr>
    </w:p>
    <w:p w14:paraId="2B182C35" w14:textId="77777777" w:rsidR="006A5E82" w:rsidRPr="008C0885" w:rsidRDefault="006A5E82" w:rsidP="006A5E82">
      <w:pPr>
        <w:jc w:val="both"/>
        <w:rPr>
          <w:rFonts w:ascii="Arial" w:hAnsi="Arial" w:cs="Arial"/>
          <w:highlight w:val="cyan"/>
          <w:lang w:val="fr-FR"/>
        </w:rPr>
      </w:pPr>
    </w:p>
    <w:p w14:paraId="097CD08F" w14:textId="45CCA1BD" w:rsidR="00B01FCD" w:rsidRPr="006355D9" w:rsidRDefault="00B01FCD" w:rsidP="00DB596C">
      <w:pPr>
        <w:spacing w:after="160" w:line="278" w:lineRule="auto"/>
        <w:rPr>
          <w:rFonts w:ascii="Arial" w:hAnsi="Arial" w:cs="Arial"/>
        </w:rPr>
      </w:pPr>
    </w:p>
    <w:sectPr w:rsidR="00B01FCD" w:rsidRPr="006355D9" w:rsidSect="00B06C60">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EB6E" w14:textId="77777777" w:rsidR="00E342A2" w:rsidRDefault="00E342A2" w:rsidP="00C37E61">
      <w:r>
        <w:separator/>
      </w:r>
    </w:p>
  </w:endnote>
  <w:endnote w:type="continuationSeparator" w:id="0">
    <w:p w14:paraId="3C672B3E" w14:textId="77777777" w:rsidR="00E342A2" w:rsidRDefault="00E342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E7D2" w14:textId="77777777" w:rsidR="00B06C60" w:rsidRDefault="00B0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0DB6" w14:textId="77777777" w:rsidR="00B06C60" w:rsidRDefault="00B06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F0B6" w14:textId="3DD063AB" w:rsidR="00754C9A" w:rsidRPr="00B06C60" w:rsidRDefault="00754C9A" w:rsidP="00B06C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A1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B5BE" w14:textId="77777777" w:rsidR="00E342A2" w:rsidRDefault="00E342A2" w:rsidP="00C37E61">
      <w:r>
        <w:separator/>
      </w:r>
    </w:p>
  </w:footnote>
  <w:footnote w:type="continuationSeparator" w:id="0">
    <w:p w14:paraId="6F3808EB" w14:textId="77777777" w:rsidR="00E342A2" w:rsidRDefault="00E342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E82" w14:textId="51557D39" w:rsidR="00B06C60" w:rsidRDefault="00000000">
    <w:pPr>
      <w:pStyle w:val="Header"/>
    </w:pPr>
    <w:r>
      <w:rPr>
        <w:noProof/>
      </w:rPr>
      <w:pict w14:anchorId="076BE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C7A8" w14:textId="31FF0548" w:rsidR="00B06C60" w:rsidRDefault="00000000">
    <w:pPr>
      <w:pStyle w:val="Header"/>
    </w:pPr>
    <w:r>
      <w:rPr>
        <w:noProof/>
      </w:rPr>
      <w:pict w14:anchorId="6638F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94BF" w14:textId="74CC8980" w:rsidR="00296529" w:rsidRPr="00296529" w:rsidRDefault="00000000" w:rsidP="00296529">
    <w:pPr>
      <w:ind w:left="2160"/>
      <w:jc w:val="center"/>
      <w:rPr>
        <w:rFonts w:ascii="Times New Roman" w:eastAsia="Calibri" w:hAnsi="Times New Roman"/>
        <w:i/>
        <w:sz w:val="18"/>
        <w:szCs w:val="22"/>
      </w:rPr>
    </w:pPr>
    <w:r>
      <w:rPr>
        <w:noProof/>
      </w:rPr>
      <w:pict w14:anchorId="2635B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A90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6EFE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63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734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C4F7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10B4" w14:textId="4645580D" w:rsidR="00B06C60" w:rsidRDefault="00000000">
    <w:pPr>
      <w:pStyle w:val="Header"/>
    </w:pPr>
    <w:r>
      <w:rPr>
        <w:noProof/>
      </w:rPr>
      <w:pict w14:anchorId="521D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5EE7" w14:textId="065674ED" w:rsidR="00B06C60" w:rsidRDefault="00000000">
    <w:pPr>
      <w:pStyle w:val="Header"/>
    </w:pPr>
    <w:r>
      <w:rPr>
        <w:noProof/>
      </w:rPr>
      <w:pict w14:anchorId="2354C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D001" w14:textId="308A918C" w:rsidR="00B06C60" w:rsidRDefault="00000000">
    <w:pPr>
      <w:pStyle w:val="Header"/>
    </w:pPr>
    <w:r>
      <w:rPr>
        <w:noProof/>
      </w:rPr>
      <w:pict w14:anchorId="47D7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F6D2D"/>
    <w:multiLevelType w:val="multilevel"/>
    <w:tmpl w:val="2D1C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A22390"/>
    <w:multiLevelType w:val="multilevel"/>
    <w:tmpl w:val="1E7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E26CC4"/>
    <w:multiLevelType w:val="hybridMultilevel"/>
    <w:tmpl w:val="DD2C718A"/>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80771D"/>
    <w:multiLevelType w:val="multilevel"/>
    <w:tmpl w:val="AEBE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700F6"/>
    <w:multiLevelType w:val="hybridMultilevel"/>
    <w:tmpl w:val="1F88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DD30ED"/>
    <w:multiLevelType w:val="multilevel"/>
    <w:tmpl w:val="873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3BD0E40"/>
    <w:multiLevelType w:val="multilevel"/>
    <w:tmpl w:val="B8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B51F7"/>
    <w:multiLevelType w:val="hybridMultilevel"/>
    <w:tmpl w:val="3EDA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61D3FE4"/>
    <w:multiLevelType w:val="hybridMultilevel"/>
    <w:tmpl w:val="9DBA5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B5D222D"/>
    <w:multiLevelType w:val="multilevel"/>
    <w:tmpl w:val="C6F2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92B3B3B"/>
    <w:multiLevelType w:val="multilevel"/>
    <w:tmpl w:val="17E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612742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8714339">
    <w:abstractNumId w:val="23"/>
  </w:num>
  <w:num w:numId="3" w16cid:durableId="46297799">
    <w:abstractNumId w:val="33"/>
  </w:num>
  <w:num w:numId="4" w16cid:durableId="17000067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7414331">
    <w:abstractNumId w:val="10"/>
  </w:num>
  <w:num w:numId="6" w16cid:durableId="1282758966">
    <w:abstractNumId w:val="8"/>
  </w:num>
  <w:num w:numId="7" w16cid:durableId="1901670278">
    <w:abstractNumId w:val="2"/>
  </w:num>
  <w:num w:numId="8" w16cid:durableId="138613195">
    <w:abstractNumId w:val="17"/>
  </w:num>
  <w:num w:numId="9" w16cid:durableId="1864588647">
    <w:abstractNumId w:val="35"/>
  </w:num>
  <w:num w:numId="10" w16cid:durableId="511409637">
    <w:abstractNumId w:val="3"/>
  </w:num>
  <w:num w:numId="11" w16cid:durableId="410784532">
    <w:abstractNumId w:val="27"/>
  </w:num>
  <w:num w:numId="12" w16cid:durableId="1064911289">
    <w:abstractNumId w:val="5"/>
  </w:num>
  <w:num w:numId="13" w16cid:durableId="343283767">
    <w:abstractNumId w:val="25"/>
  </w:num>
  <w:num w:numId="14" w16cid:durableId="1787389936">
    <w:abstractNumId w:val="12"/>
  </w:num>
  <w:num w:numId="15" w16cid:durableId="1297880760">
    <w:abstractNumId w:val="31"/>
  </w:num>
  <w:num w:numId="16" w16cid:durableId="2086144437">
    <w:abstractNumId w:val="7"/>
  </w:num>
  <w:num w:numId="17" w16cid:durableId="1388649858">
    <w:abstractNumId w:val="32"/>
  </w:num>
  <w:num w:numId="18" w16cid:durableId="262997340">
    <w:abstractNumId w:val="20"/>
  </w:num>
  <w:num w:numId="19" w16cid:durableId="2020430267">
    <w:abstractNumId w:val="39"/>
  </w:num>
  <w:num w:numId="20" w16cid:durableId="229393360">
    <w:abstractNumId w:val="16"/>
  </w:num>
  <w:num w:numId="21" w16cid:durableId="451823449">
    <w:abstractNumId w:val="13"/>
  </w:num>
  <w:num w:numId="22" w16cid:durableId="345983852">
    <w:abstractNumId w:val="19"/>
  </w:num>
  <w:num w:numId="23" w16cid:durableId="579489644">
    <w:abstractNumId w:val="29"/>
  </w:num>
  <w:num w:numId="24" w16cid:durableId="279728901">
    <w:abstractNumId w:val="37"/>
  </w:num>
  <w:num w:numId="25" w16cid:durableId="1559171056">
    <w:abstractNumId w:val="6"/>
  </w:num>
  <w:num w:numId="26" w16cid:durableId="1342852637">
    <w:abstractNumId w:val="24"/>
  </w:num>
  <w:num w:numId="27" w16cid:durableId="1523743491">
    <w:abstractNumId w:val="30"/>
  </w:num>
  <w:num w:numId="28" w16cid:durableId="549341846">
    <w:abstractNumId w:val="38"/>
  </w:num>
  <w:num w:numId="29" w16cid:durableId="1466045538">
    <w:abstractNumId w:val="34"/>
  </w:num>
  <w:num w:numId="30" w16cid:durableId="199325933">
    <w:abstractNumId w:val="14"/>
  </w:num>
  <w:num w:numId="31" w16cid:durableId="1833989114">
    <w:abstractNumId w:val="36"/>
  </w:num>
  <w:num w:numId="32" w16cid:durableId="385295895">
    <w:abstractNumId w:val="18"/>
  </w:num>
  <w:num w:numId="33" w16cid:durableId="1176841504">
    <w:abstractNumId w:val="28"/>
  </w:num>
  <w:num w:numId="34" w16cid:durableId="516383065">
    <w:abstractNumId w:val="4"/>
  </w:num>
  <w:num w:numId="35" w16cid:durableId="811413326">
    <w:abstractNumId w:val="9"/>
  </w:num>
  <w:num w:numId="36" w16cid:durableId="123351543">
    <w:abstractNumId w:val="22"/>
  </w:num>
  <w:num w:numId="37" w16cid:durableId="8218589">
    <w:abstractNumId w:val="15"/>
  </w:num>
  <w:num w:numId="38" w16cid:durableId="1385132961">
    <w:abstractNumId w:val="21"/>
  </w:num>
  <w:num w:numId="39" w16cid:durableId="2091534014">
    <w:abstractNumId w:val="1"/>
  </w:num>
  <w:num w:numId="40" w16cid:durableId="328220745">
    <w:abstractNumId w:val="11"/>
  </w:num>
  <w:num w:numId="41" w16cid:durableId="10508849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jAyMzMwMbcwMzBU0lEKTi0uzszPAykwrAUA2utzoiwAAAA="/>
  </w:docVars>
  <w:rsids>
    <w:rsidRoot w:val="00AA6219"/>
    <w:rsid w:val="00000343"/>
    <w:rsid w:val="00000F8F"/>
    <w:rsid w:val="00007E92"/>
    <w:rsid w:val="000226CD"/>
    <w:rsid w:val="00030174"/>
    <w:rsid w:val="00034AD6"/>
    <w:rsid w:val="00037B46"/>
    <w:rsid w:val="0004579C"/>
    <w:rsid w:val="00064CAF"/>
    <w:rsid w:val="000A47FA"/>
    <w:rsid w:val="000A65D3"/>
    <w:rsid w:val="000B1E33"/>
    <w:rsid w:val="000D2FD9"/>
    <w:rsid w:val="000D689F"/>
    <w:rsid w:val="000E7B7B"/>
    <w:rsid w:val="000E7D62"/>
    <w:rsid w:val="000F3089"/>
    <w:rsid w:val="00103357"/>
    <w:rsid w:val="00114C27"/>
    <w:rsid w:val="00123C9F"/>
    <w:rsid w:val="00126190"/>
    <w:rsid w:val="0012726C"/>
    <w:rsid w:val="00130F17"/>
    <w:rsid w:val="001320BF"/>
    <w:rsid w:val="001400EA"/>
    <w:rsid w:val="00147E8A"/>
    <w:rsid w:val="00163BC4"/>
    <w:rsid w:val="00176F3B"/>
    <w:rsid w:val="001906EE"/>
    <w:rsid w:val="00191062"/>
    <w:rsid w:val="00192B72"/>
    <w:rsid w:val="001A29D8"/>
    <w:rsid w:val="001A5CAA"/>
    <w:rsid w:val="001B0427"/>
    <w:rsid w:val="001B1329"/>
    <w:rsid w:val="001D3A51"/>
    <w:rsid w:val="001E10D2"/>
    <w:rsid w:val="001E25B4"/>
    <w:rsid w:val="001E44FE"/>
    <w:rsid w:val="001E7C86"/>
    <w:rsid w:val="001F740C"/>
    <w:rsid w:val="00200595"/>
    <w:rsid w:val="00204835"/>
    <w:rsid w:val="00231920"/>
    <w:rsid w:val="0023195C"/>
    <w:rsid w:val="002413A2"/>
    <w:rsid w:val="0024282C"/>
    <w:rsid w:val="002460DC"/>
    <w:rsid w:val="00250985"/>
    <w:rsid w:val="002556F6"/>
    <w:rsid w:val="00283105"/>
    <w:rsid w:val="00284C4C"/>
    <w:rsid w:val="00287E68"/>
    <w:rsid w:val="00296529"/>
    <w:rsid w:val="002B27FB"/>
    <w:rsid w:val="002B685A"/>
    <w:rsid w:val="002C57D2"/>
    <w:rsid w:val="002D1238"/>
    <w:rsid w:val="002D3DA0"/>
    <w:rsid w:val="002E0D56"/>
    <w:rsid w:val="002E304D"/>
    <w:rsid w:val="003015AE"/>
    <w:rsid w:val="00305A5C"/>
    <w:rsid w:val="00313908"/>
    <w:rsid w:val="00315186"/>
    <w:rsid w:val="00331601"/>
    <w:rsid w:val="0033343E"/>
    <w:rsid w:val="00350394"/>
    <w:rsid w:val="003512C2"/>
    <w:rsid w:val="00371FB6"/>
    <w:rsid w:val="003763C1"/>
    <w:rsid w:val="00376BBE"/>
    <w:rsid w:val="00390325"/>
    <w:rsid w:val="0039224F"/>
    <w:rsid w:val="003A4038"/>
    <w:rsid w:val="003A43A4"/>
    <w:rsid w:val="003A6548"/>
    <w:rsid w:val="003A7C43"/>
    <w:rsid w:val="003A7E18"/>
    <w:rsid w:val="003B58D1"/>
    <w:rsid w:val="003C432D"/>
    <w:rsid w:val="003C4C86"/>
    <w:rsid w:val="003C6258"/>
    <w:rsid w:val="003C76E2"/>
    <w:rsid w:val="003D6168"/>
    <w:rsid w:val="003E2064"/>
    <w:rsid w:val="003E2904"/>
    <w:rsid w:val="003F5CED"/>
    <w:rsid w:val="003F5E04"/>
    <w:rsid w:val="003F6866"/>
    <w:rsid w:val="004010C2"/>
    <w:rsid w:val="00401927"/>
    <w:rsid w:val="0041027F"/>
    <w:rsid w:val="00412475"/>
    <w:rsid w:val="004130B2"/>
    <w:rsid w:val="0041649D"/>
    <w:rsid w:val="00416E5F"/>
    <w:rsid w:val="00423789"/>
    <w:rsid w:val="00436104"/>
    <w:rsid w:val="00436EB9"/>
    <w:rsid w:val="00440F43"/>
    <w:rsid w:val="00441B6F"/>
    <w:rsid w:val="00441BC1"/>
    <w:rsid w:val="00446221"/>
    <w:rsid w:val="00450E62"/>
    <w:rsid w:val="004521CA"/>
    <w:rsid w:val="004539DB"/>
    <w:rsid w:val="0046374D"/>
    <w:rsid w:val="00467669"/>
    <w:rsid w:val="00471A80"/>
    <w:rsid w:val="00493743"/>
    <w:rsid w:val="004B11BC"/>
    <w:rsid w:val="004B6AD4"/>
    <w:rsid w:val="004B759E"/>
    <w:rsid w:val="004D305E"/>
    <w:rsid w:val="004D40EF"/>
    <w:rsid w:val="004D4277"/>
    <w:rsid w:val="004F2AEC"/>
    <w:rsid w:val="00502516"/>
    <w:rsid w:val="00505F06"/>
    <w:rsid w:val="00506828"/>
    <w:rsid w:val="00507260"/>
    <w:rsid w:val="005172CA"/>
    <w:rsid w:val="0053056E"/>
    <w:rsid w:val="0055183A"/>
    <w:rsid w:val="00554FDA"/>
    <w:rsid w:val="005809D2"/>
    <w:rsid w:val="00582A16"/>
    <w:rsid w:val="005927C6"/>
    <w:rsid w:val="005B54A1"/>
    <w:rsid w:val="005C784C"/>
    <w:rsid w:val="005D17F6"/>
    <w:rsid w:val="005D4E39"/>
    <w:rsid w:val="005E5539"/>
    <w:rsid w:val="00600DED"/>
    <w:rsid w:val="00602BF5"/>
    <w:rsid w:val="00607102"/>
    <w:rsid w:val="00616E12"/>
    <w:rsid w:val="00617FDD"/>
    <w:rsid w:val="00633614"/>
    <w:rsid w:val="00633F68"/>
    <w:rsid w:val="006355D9"/>
    <w:rsid w:val="006359FF"/>
    <w:rsid w:val="00636EB2"/>
    <w:rsid w:val="006375B8"/>
    <w:rsid w:val="00662C63"/>
    <w:rsid w:val="00664E97"/>
    <w:rsid w:val="0066510A"/>
    <w:rsid w:val="00673F9F"/>
    <w:rsid w:val="006743AF"/>
    <w:rsid w:val="006852BB"/>
    <w:rsid w:val="00686953"/>
    <w:rsid w:val="00687DEA"/>
    <w:rsid w:val="00687E67"/>
    <w:rsid w:val="006967F7"/>
    <w:rsid w:val="006A21B9"/>
    <w:rsid w:val="006A250C"/>
    <w:rsid w:val="006A5E82"/>
    <w:rsid w:val="006B21D3"/>
    <w:rsid w:val="006B57D0"/>
    <w:rsid w:val="006D30FF"/>
    <w:rsid w:val="006D6940"/>
    <w:rsid w:val="006F11EC"/>
    <w:rsid w:val="0070082C"/>
    <w:rsid w:val="00712492"/>
    <w:rsid w:val="0073139A"/>
    <w:rsid w:val="007321E4"/>
    <w:rsid w:val="007369E6"/>
    <w:rsid w:val="00742D18"/>
    <w:rsid w:val="00746E59"/>
    <w:rsid w:val="007502BB"/>
    <w:rsid w:val="00754C9A"/>
    <w:rsid w:val="0075599A"/>
    <w:rsid w:val="00761D52"/>
    <w:rsid w:val="00765430"/>
    <w:rsid w:val="0077749E"/>
    <w:rsid w:val="00790ADA"/>
    <w:rsid w:val="007A4045"/>
    <w:rsid w:val="007C2C03"/>
    <w:rsid w:val="007D2288"/>
    <w:rsid w:val="007D7D05"/>
    <w:rsid w:val="007E088F"/>
    <w:rsid w:val="007E1A32"/>
    <w:rsid w:val="007E6202"/>
    <w:rsid w:val="007E76F8"/>
    <w:rsid w:val="007F7B32"/>
    <w:rsid w:val="008049A6"/>
    <w:rsid w:val="00804BC2"/>
    <w:rsid w:val="008071FA"/>
    <w:rsid w:val="0081431A"/>
    <w:rsid w:val="00814CB7"/>
    <w:rsid w:val="0083216F"/>
    <w:rsid w:val="00844DCC"/>
    <w:rsid w:val="00860000"/>
    <w:rsid w:val="00861A1D"/>
    <w:rsid w:val="00863BD3"/>
    <w:rsid w:val="008641ED"/>
    <w:rsid w:val="00866D66"/>
    <w:rsid w:val="008671C6"/>
    <w:rsid w:val="00875803"/>
    <w:rsid w:val="00877A2B"/>
    <w:rsid w:val="008A248F"/>
    <w:rsid w:val="008B39BD"/>
    <w:rsid w:val="008B459E"/>
    <w:rsid w:val="008B77AA"/>
    <w:rsid w:val="008C557E"/>
    <w:rsid w:val="008D626E"/>
    <w:rsid w:val="008D6F3C"/>
    <w:rsid w:val="008E0755"/>
    <w:rsid w:val="008E13AE"/>
    <w:rsid w:val="008E1506"/>
    <w:rsid w:val="008E710C"/>
    <w:rsid w:val="008F37D4"/>
    <w:rsid w:val="008F69D6"/>
    <w:rsid w:val="00902823"/>
    <w:rsid w:val="00911734"/>
    <w:rsid w:val="00911B9A"/>
    <w:rsid w:val="00915CA6"/>
    <w:rsid w:val="00927834"/>
    <w:rsid w:val="00947728"/>
    <w:rsid w:val="009500A6"/>
    <w:rsid w:val="00957C18"/>
    <w:rsid w:val="00964025"/>
    <w:rsid w:val="009659BA"/>
    <w:rsid w:val="00977F42"/>
    <w:rsid w:val="00982751"/>
    <w:rsid w:val="00983040"/>
    <w:rsid w:val="00991185"/>
    <w:rsid w:val="009B3FB9"/>
    <w:rsid w:val="009B7255"/>
    <w:rsid w:val="009C2465"/>
    <w:rsid w:val="009C4A73"/>
    <w:rsid w:val="009D35A0"/>
    <w:rsid w:val="009D3D9C"/>
    <w:rsid w:val="009D47E3"/>
    <w:rsid w:val="009D4F9B"/>
    <w:rsid w:val="009D7EB7"/>
    <w:rsid w:val="009E048A"/>
    <w:rsid w:val="009E08E9"/>
    <w:rsid w:val="009E3DB9"/>
    <w:rsid w:val="009E6807"/>
    <w:rsid w:val="009E6E35"/>
    <w:rsid w:val="009F0EDA"/>
    <w:rsid w:val="00A03B96"/>
    <w:rsid w:val="00A05B19"/>
    <w:rsid w:val="00A10111"/>
    <w:rsid w:val="00A1134E"/>
    <w:rsid w:val="00A2058E"/>
    <w:rsid w:val="00A24E7E"/>
    <w:rsid w:val="00A258C3"/>
    <w:rsid w:val="00A25F6D"/>
    <w:rsid w:val="00A312D6"/>
    <w:rsid w:val="00A347C0"/>
    <w:rsid w:val="00A51431"/>
    <w:rsid w:val="00A539AD"/>
    <w:rsid w:val="00A56D97"/>
    <w:rsid w:val="00A61EE9"/>
    <w:rsid w:val="00A73D17"/>
    <w:rsid w:val="00A94063"/>
    <w:rsid w:val="00AA20DD"/>
    <w:rsid w:val="00AA6219"/>
    <w:rsid w:val="00AA74E0"/>
    <w:rsid w:val="00AB0C57"/>
    <w:rsid w:val="00AB703F"/>
    <w:rsid w:val="00AC6BB8"/>
    <w:rsid w:val="00AD3D9C"/>
    <w:rsid w:val="00AD4661"/>
    <w:rsid w:val="00AE008F"/>
    <w:rsid w:val="00B01FCD"/>
    <w:rsid w:val="00B06C60"/>
    <w:rsid w:val="00B161D8"/>
    <w:rsid w:val="00B1776C"/>
    <w:rsid w:val="00B52583"/>
    <w:rsid w:val="00B52896"/>
    <w:rsid w:val="00B6379D"/>
    <w:rsid w:val="00B65A58"/>
    <w:rsid w:val="00B70E60"/>
    <w:rsid w:val="00B877CD"/>
    <w:rsid w:val="00B930C0"/>
    <w:rsid w:val="00B95236"/>
    <w:rsid w:val="00B96BD9"/>
    <w:rsid w:val="00BA1B01"/>
    <w:rsid w:val="00BA2641"/>
    <w:rsid w:val="00BA3979"/>
    <w:rsid w:val="00BB37AA"/>
    <w:rsid w:val="00BC53A0"/>
    <w:rsid w:val="00BD48E9"/>
    <w:rsid w:val="00BE62AD"/>
    <w:rsid w:val="00BE75B1"/>
    <w:rsid w:val="00BF121F"/>
    <w:rsid w:val="00BF1F80"/>
    <w:rsid w:val="00C166EF"/>
    <w:rsid w:val="00C17EB0"/>
    <w:rsid w:val="00C27F5F"/>
    <w:rsid w:val="00C30A0F"/>
    <w:rsid w:val="00C368DC"/>
    <w:rsid w:val="00C36B52"/>
    <w:rsid w:val="00C37E61"/>
    <w:rsid w:val="00C50B3B"/>
    <w:rsid w:val="00C56C19"/>
    <w:rsid w:val="00C60827"/>
    <w:rsid w:val="00C63D59"/>
    <w:rsid w:val="00C64BC4"/>
    <w:rsid w:val="00C70F1B"/>
    <w:rsid w:val="00C71A47"/>
    <w:rsid w:val="00C7464C"/>
    <w:rsid w:val="00C75D2A"/>
    <w:rsid w:val="00C80873"/>
    <w:rsid w:val="00C847E1"/>
    <w:rsid w:val="00C85588"/>
    <w:rsid w:val="00C93287"/>
    <w:rsid w:val="00C973DF"/>
    <w:rsid w:val="00CB6AF6"/>
    <w:rsid w:val="00CD6755"/>
    <w:rsid w:val="00CD6856"/>
    <w:rsid w:val="00CE0089"/>
    <w:rsid w:val="00CE2147"/>
    <w:rsid w:val="00CE793C"/>
    <w:rsid w:val="00CF193C"/>
    <w:rsid w:val="00D173F1"/>
    <w:rsid w:val="00D22EB8"/>
    <w:rsid w:val="00D25DD3"/>
    <w:rsid w:val="00D526FF"/>
    <w:rsid w:val="00D54384"/>
    <w:rsid w:val="00D63121"/>
    <w:rsid w:val="00D702DA"/>
    <w:rsid w:val="00D74CB0"/>
    <w:rsid w:val="00D8295D"/>
    <w:rsid w:val="00DA1E14"/>
    <w:rsid w:val="00DB1F75"/>
    <w:rsid w:val="00DB4AAD"/>
    <w:rsid w:val="00DB596C"/>
    <w:rsid w:val="00DC2A65"/>
    <w:rsid w:val="00DD1A4D"/>
    <w:rsid w:val="00DD7B93"/>
    <w:rsid w:val="00DE15F0"/>
    <w:rsid w:val="00DE5663"/>
    <w:rsid w:val="00DE78AA"/>
    <w:rsid w:val="00E00630"/>
    <w:rsid w:val="00E0266F"/>
    <w:rsid w:val="00E053D0"/>
    <w:rsid w:val="00E07BA4"/>
    <w:rsid w:val="00E15994"/>
    <w:rsid w:val="00E3114E"/>
    <w:rsid w:val="00E31A70"/>
    <w:rsid w:val="00E342A2"/>
    <w:rsid w:val="00E34934"/>
    <w:rsid w:val="00E35B02"/>
    <w:rsid w:val="00E4182E"/>
    <w:rsid w:val="00E42540"/>
    <w:rsid w:val="00E5751C"/>
    <w:rsid w:val="00E62491"/>
    <w:rsid w:val="00E66496"/>
    <w:rsid w:val="00E66ADD"/>
    <w:rsid w:val="00E66B35"/>
    <w:rsid w:val="00E66E10"/>
    <w:rsid w:val="00E71274"/>
    <w:rsid w:val="00E769F6"/>
    <w:rsid w:val="00E805EF"/>
    <w:rsid w:val="00E813AC"/>
    <w:rsid w:val="00E8407C"/>
    <w:rsid w:val="00E84F3C"/>
    <w:rsid w:val="00EA012C"/>
    <w:rsid w:val="00EC34C8"/>
    <w:rsid w:val="00EC6A55"/>
    <w:rsid w:val="00ED0288"/>
    <w:rsid w:val="00EE52CB"/>
    <w:rsid w:val="00EF313C"/>
    <w:rsid w:val="00EF581D"/>
    <w:rsid w:val="00EF6CEC"/>
    <w:rsid w:val="00EF7FD8"/>
    <w:rsid w:val="00F06414"/>
    <w:rsid w:val="00F06F59"/>
    <w:rsid w:val="00F17988"/>
    <w:rsid w:val="00F220A0"/>
    <w:rsid w:val="00F24768"/>
    <w:rsid w:val="00F25A2F"/>
    <w:rsid w:val="00F31AEE"/>
    <w:rsid w:val="00F469F0"/>
    <w:rsid w:val="00F53273"/>
    <w:rsid w:val="00F54731"/>
    <w:rsid w:val="00F755E4"/>
    <w:rsid w:val="00F77D02"/>
    <w:rsid w:val="00FA3344"/>
    <w:rsid w:val="00FA77F7"/>
    <w:rsid w:val="00FB3A86"/>
    <w:rsid w:val="00FB66F7"/>
    <w:rsid w:val="00FD36C8"/>
    <w:rsid w:val="00FD4C2A"/>
    <w:rsid w:val="00FD7FA0"/>
    <w:rsid w:val="00FF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FFA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D3D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A40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44DCC"/>
    <w:rPr>
      <w:rFonts w:ascii="Times New Roman" w:hAnsi="Times New Roman"/>
      <w:sz w:val="24"/>
      <w:szCs w:val="24"/>
    </w:rPr>
  </w:style>
  <w:style w:type="paragraph" w:styleId="ListParagraph">
    <w:name w:val="List Paragraph"/>
    <w:basedOn w:val="Normal"/>
    <w:uiPriority w:val="34"/>
    <w:qFormat/>
    <w:rsid w:val="00DB4AAD"/>
    <w:pPr>
      <w:ind w:left="720"/>
      <w:contextualSpacing/>
    </w:pPr>
  </w:style>
  <w:style w:type="character" w:customStyle="1" w:styleId="Heading3Char">
    <w:name w:val="Heading 3 Char"/>
    <w:basedOn w:val="DefaultParagraphFont"/>
    <w:link w:val="Heading3"/>
    <w:semiHidden/>
    <w:rsid w:val="003A4038"/>
    <w:rPr>
      <w:rFonts w:asciiTheme="majorHAnsi" w:eastAsiaTheme="majorEastAsia" w:hAnsiTheme="majorHAnsi" w:cstheme="majorBidi"/>
      <w:color w:val="243F60" w:themeColor="accent1" w:themeShade="7F"/>
      <w:sz w:val="24"/>
      <w:szCs w:val="24"/>
    </w:rPr>
  </w:style>
  <w:style w:type="character" w:customStyle="1" w:styleId="reference-surname">
    <w:name w:val="reference-surname"/>
    <w:basedOn w:val="DefaultParagraphFont"/>
    <w:rsid w:val="002D3DA0"/>
  </w:style>
  <w:style w:type="character" w:customStyle="1" w:styleId="reference-given-names">
    <w:name w:val="reference-given-names"/>
    <w:basedOn w:val="DefaultParagraphFont"/>
    <w:rsid w:val="002D3DA0"/>
  </w:style>
  <w:style w:type="character" w:customStyle="1" w:styleId="reference-year">
    <w:name w:val="reference-year"/>
    <w:basedOn w:val="DefaultParagraphFont"/>
    <w:rsid w:val="002D3DA0"/>
  </w:style>
  <w:style w:type="character" w:customStyle="1" w:styleId="reference-article-title">
    <w:name w:val="reference-article-title"/>
    <w:basedOn w:val="DefaultParagraphFont"/>
    <w:rsid w:val="002D3DA0"/>
  </w:style>
  <w:style w:type="character" w:customStyle="1" w:styleId="reference-italic">
    <w:name w:val="reference-italic"/>
    <w:basedOn w:val="DefaultParagraphFont"/>
    <w:rsid w:val="002D3DA0"/>
  </w:style>
  <w:style w:type="character" w:customStyle="1" w:styleId="reference-volume">
    <w:name w:val="reference-volume"/>
    <w:basedOn w:val="DefaultParagraphFont"/>
    <w:rsid w:val="002D3DA0"/>
  </w:style>
  <w:style w:type="character" w:customStyle="1" w:styleId="reference-fpage">
    <w:name w:val="reference-fpage"/>
    <w:basedOn w:val="DefaultParagraphFont"/>
    <w:rsid w:val="002D3DA0"/>
  </w:style>
  <w:style w:type="character" w:customStyle="1" w:styleId="reference-lpage">
    <w:name w:val="reference-lpage"/>
    <w:basedOn w:val="DefaultParagraphFont"/>
    <w:rsid w:val="002D3DA0"/>
  </w:style>
  <w:style w:type="character" w:customStyle="1" w:styleId="js-references">
    <w:name w:val="js-references"/>
    <w:basedOn w:val="DefaultParagraphFont"/>
    <w:rsid w:val="002D3DA0"/>
  </w:style>
  <w:style w:type="character" w:customStyle="1" w:styleId="Heading2Char">
    <w:name w:val="Heading 2 Char"/>
    <w:basedOn w:val="DefaultParagraphFont"/>
    <w:link w:val="Heading2"/>
    <w:semiHidden/>
    <w:rsid w:val="002D3D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ublication/392908013" TargetMode="External"/><Relationship Id="rId26" Type="http://schemas.openxmlformats.org/officeDocument/2006/relationships/hyperlink" Target="https://doi.org/10.3390/antiox11010020" TargetMode="External"/><Relationship Id="rId39" Type="http://schemas.openxmlformats.org/officeDocument/2006/relationships/hyperlink" Target="https://doi.org/10.3390/foods14162782" TargetMode="External"/><Relationship Id="rId3" Type="http://schemas.openxmlformats.org/officeDocument/2006/relationships/styles" Target="styles.xml"/><Relationship Id="rId21" Type="http://schemas.openxmlformats.org/officeDocument/2006/relationships/hyperlink" Target="https://ssrn.com/abstract=4074553" TargetMode="External"/><Relationship Id="rId34" Type="http://schemas.openxmlformats.org/officeDocument/2006/relationships/hyperlink" Target="https://doi.org/10.3389/fsufs.2025.1569458" TargetMode="External"/><Relationship Id="rId42" Type="http://schemas.openxmlformats.org/officeDocument/2006/relationships/hyperlink" Target="https://doi.org/10.17660/ActaHortic.1994.368.78" TargetMode="External"/><Relationship Id="rId47"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journal.pan.olsztyn.pl" TargetMode="External"/><Relationship Id="rId33" Type="http://schemas.openxmlformats.org/officeDocument/2006/relationships/hyperlink" Target="https://doi.org/10.1146/annurev-phyto-021722-035135" TargetMode="External"/><Relationship Id="rId38" Type="http://schemas.openxmlformats.org/officeDocument/2006/relationships/hyperlink" Target="https://doi.org/10.1016/j.cropro.2013.02.011"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1817/vjas.2021.4.4.08" TargetMode="External"/><Relationship Id="rId29" Type="http://schemas.openxmlformats.org/officeDocument/2006/relationships/hyperlink" Target="https://doi.org/10.1007/s10068-024-01724-8" TargetMode="External"/><Relationship Id="rId41" Type="http://schemas.openxmlformats.org/officeDocument/2006/relationships/hyperlink" Target="https://doi.org/10.1016/j.postharvbio.2025.1134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15/znc-2024-0095" TargetMode="External"/><Relationship Id="rId32" Type="http://schemas.openxmlformats.org/officeDocument/2006/relationships/hyperlink" Target="https://doi.org/10.12991/jrespharm.1653671" TargetMode="External"/><Relationship Id="rId37" Type="http://schemas.openxmlformats.org/officeDocument/2006/relationships/hyperlink" Target="https://www.researchgate.net/journal/Crop-Protection-0261-2194?_tp=eyJjb250ZXh0Ijp7ImZpcnN0UGFnZSI6InB1YmxpY2F0aW9uIiwicGFnZSI6InB1YmxpY2F0aW9uIn19" TargetMode="External"/><Relationship Id="rId40" Type="http://schemas.openxmlformats.org/officeDocument/2006/relationships/hyperlink" Target="https://doi.org/10.3389/fmicb.2025.1570312"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journalissues.org/IBSPR/" TargetMode="External"/><Relationship Id="rId28" Type="http://schemas.openxmlformats.org/officeDocument/2006/relationships/hyperlink" Target="https://www.thepharmajournal.com/archives/2023/vol12issue11/PartP/12-10-270-891.pdf" TargetMode="External"/><Relationship Id="rId36" Type="http://schemas.openxmlformats.org/officeDocument/2006/relationships/hyperlink" Target="https://doi.org/10.1016/j.postharvbio.2008.11.009"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hal.science/hal-05196665v1" TargetMode="External"/><Relationship Id="rId31" Type="http://schemas.openxmlformats.org/officeDocument/2006/relationships/hyperlink" Target="https://tar.sljol.info/articles/2827/files/submission/proof/2827-1-9858-1-10-20110221.pdf"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x.doi.org/10.2139/ssrn.4074553" TargetMode="External"/><Relationship Id="rId27" Type="http://schemas.openxmlformats.org/officeDocument/2006/relationships/hyperlink" Target="https://doi.org/10.55251/jmbfs.11143" TargetMode="External"/><Relationship Id="rId30" Type="http://schemas.openxmlformats.org/officeDocument/2006/relationships/hyperlink" Target="https://doi.org/10.3390/polym14245495" TargetMode="External"/><Relationship Id="rId35" Type="http://schemas.openxmlformats.org/officeDocument/2006/relationships/hyperlink" Target="https://www.sciencedirect.com/journal/postharvest-biology-and-technology" TargetMode="External"/><Relationship Id="rId43" Type="http://schemas.openxmlformats.org/officeDocument/2006/relationships/hyperlink" Target="https://doi.org/10.36899/JAPS.2024.2.0717" TargetMode="Externa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A480F-06D1-46C1-8E11-99A27AAB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516</TotalTime>
  <Pages>10</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23</cp:revision>
  <cp:lastPrinted>1999-07-06T11:00:00Z</cp:lastPrinted>
  <dcterms:created xsi:type="dcterms:W3CDTF">2025-10-12T01:28:00Z</dcterms:created>
  <dcterms:modified xsi:type="dcterms:W3CDTF">2025-10-16T12:51:00Z</dcterms:modified>
</cp:coreProperties>
</file>