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1CBBE" w14:textId="7B5569D7" w:rsidR="001623C8" w:rsidRPr="00163BC4" w:rsidRDefault="001623C8" w:rsidP="00441B6F">
      <w:pPr>
        <w:pStyle w:val="Author"/>
        <w:spacing w:line="240" w:lineRule="auto"/>
        <w:rPr>
          <w:rFonts w:ascii="Arial" w:hAnsi="Arial" w:cs="Arial"/>
          <w:bCs/>
          <w:iCs/>
          <w:kern w:val="28"/>
          <w:sz w:val="36"/>
        </w:rPr>
      </w:pPr>
      <w:r w:rsidRPr="001623C8">
        <w:rPr>
          <w:rFonts w:ascii="Arial" w:hAnsi="Arial" w:cs="Arial"/>
          <w:bCs/>
          <w:iCs/>
          <w:kern w:val="28"/>
          <w:sz w:val="36"/>
        </w:rPr>
        <w:t>Community Engagement and Renewable Energy Transitions in Agricultural Landscapes: A Comparative Analysis of Global North and South</w:t>
      </w:r>
    </w:p>
    <w:p w14:paraId="0588C2A5" w14:textId="77777777" w:rsidR="00A258C3" w:rsidRPr="00790ADA" w:rsidRDefault="00A258C3" w:rsidP="00441B6F">
      <w:pPr>
        <w:pStyle w:val="Author"/>
        <w:spacing w:line="240" w:lineRule="auto"/>
        <w:jc w:val="both"/>
        <w:rPr>
          <w:rFonts w:ascii="Arial" w:hAnsi="Arial" w:cs="Arial"/>
          <w:sz w:val="36"/>
        </w:rPr>
      </w:pPr>
    </w:p>
    <w:p w14:paraId="7AA1CF9B" w14:textId="2CB841C9" w:rsidR="00790ADA" w:rsidRPr="00CB3EE9" w:rsidRDefault="00790ADA" w:rsidP="00441B6F">
      <w:pPr>
        <w:pStyle w:val="Affiliation"/>
        <w:spacing w:after="0" w:line="240" w:lineRule="auto"/>
        <w:jc w:val="both"/>
        <w:rPr>
          <w:rFonts w:ascii="Arial" w:hAnsi="Arial" w:cs="Arial"/>
          <w:lang w:val="pt-BR"/>
        </w:rPr>
      </w:pPr>
    </w:p>
    <w:p w14:paraId="2CA65C6E" w14:textId="77777777" w:rsidR="002C57D2" w:rsidRPr="00CB3EE9" w:rsidRDefault="002C57D2" w:rsidP="00441B6F">
      <w:pPr>
        <w:pStyle w:val="Affiliation"/>
        <w:spacing w:after="0" w:line="240" w:lineRule="auto"/>
        <w:jc w:val="both"/>
        <w:rPr>
          <w:rFonts w:ascii="Arial" w:hAnsi="Arial" w:cs="Arial"/>
          <w:lang w:val="pt-BR"/>
        </w:rPr>
      </w:pPr>
    </w:p>
    <w:p w14:paraId="0534A9D4" w14:textId="4CFF01E0" w:rsidR="00B01FCD" w:rsidRPr="00FB3A86" w:rsidRDefault="0096457F"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275CD752" wp14:editId="2C2CC7F0">
                <wp:extent cx="5303520" cy="635"/>
                <wp:effectExtent l="11430" t="15240" r="9525" b="13335"/>
                <wp:docPr id="13573719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87C0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063D087" w14:textId="4317BC2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043B2D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61498F9" w14:textId="77777777" w:rsidTr="001E44FE">
        <w:tc>
          <w:tcPr>
            <w:tcW w:w="9576" w:type="dxa"/>
            <w:shd w:val="clear" w:color="auto" w:fill="F2F2F2"/>
          </w:tcPr>
          <w:p w14:paraId="48CC70EA" w14:textId="5E2FB194" w:rsidR="00475564" w:rsidRPr="00BA1B01" w:rsidRDefault="00475564" w:rsidP="00475564">
            <w:pPr>
              <w:pStyle w:val="Body"/>
              <w:rPr>
                <w:rFonts w:ascii="Arial" w:eastAsia="Calibri" w:hAnsi="Arial" w:cs="Arial"/>
                <w:szCs w:val="22"/>
              </w:rPr>
            </w:pPr>
            <w:r w:rsidRPr="00475564">
              <w:rPr>
                <w:rFonts w:ascii="Arial" w:eastAsia="Calibri" w:hAnsi="Arial" w:cs="Arial"/>
                <w:szCs w:val="22"/>
              </w:rPr>
              <w:t>This article aims to analyze community engagement processes in renewable energy transitions within agricultural landscapes from a socioeconomic perspective, with particular attention to the Global South. An integrative literature review was conducted following the PRISMA 2020 guidelines, enabling a structured synthesis of empirical and theoretical evidence related to renewable energy, governance, and rural development. The review was carried out between June and September 2025 and included studies published between 2007 and 2025 from Europe, North America, Latin America, Asia, Africa, and Australia. A comprehensive search was conducted in Scopus, Web of Science, ScienceDirect, PubMed, SpringerLink, and Google Scholar using Boolean operators and controlled descriptors. A total of 238 studies were identified, 68 were fully reviewed, and 20 met the eligibility criteria for final synthesis. Data were coded according to region, energy source, engagement strategies, governance models, and socioeconomic outcomes. Most studies originated from Europe (37%) and North America (26%), with comparatively fewer studies from Asia (12%), South America (9%), and Africa (5%). Solar and wind energy were the most studied technologies. Four major thematic clusters emerged: community engagement and social acceptance (38%), governance and participatory models (30%), socioeconomic impacts (22%), and integrated socio-technical approaches (10%</w:t>
            </w:r>
            <w:proofErr w:type="gramStart"/>
            <w:r w:rsidRPr="00475564">
              <w:rPr>
                <w:rFonts w:ascii="Arial" w:eastAsia="Calibri" w:hAnsi="Arial" w:cs="Arial"/>
                <w:szCs w:val="22"/>
              </w:rPr>
              <w:t>).The</w:t>
            </w:r>
            <w:proofErr w:type="gramEnd"/>
            <w:r w:rsidRPr="00475564">
              <w:rPr>
                <w:rFonts w:ascii="Arial" w:eastAsia="Calibri" w:hAnsi="Arial" w:cs="Arial"/>
                <w:szCs w:val="22"/>
              </w:rPr>
              <w:t xml:space="preserve"> findings indicate clear asymmetries in research production between the Global North and South. While Northern studies often emphasize structured governance frameworks and technological innovation, Southern contexts highlight local participation, community ownership, and social equity challenges. However, important limitations persist, including language bias, geographical concentration of studies in developed regions, and the predominance of short-term research designs. These gaps highlight the urgent need to expand research agendas, strengthen participatory approaches, and promote equitable renewable energy transitions</w:t>
            </w:r>
            <w:r>
              <w:rPr>
                <w:rFonts w:ascii="Arial" w:eastAsia="Calibri" w:hAnsi="Arial" w:cs="Arial"/>
                <w:szCs w:val="22"/>
              </w:rPr>
              <w:t>.</w:t>
            </w:r>
          </w:p>
        </w:tc>
      </w:tr>
    </w:tbl>
    <w:p w14:paraId="3F3D6BBD" w14:textId="77777777" w:rsidR="00636EB2" w:rsidRDefault="00636EB2" w:rsidP="00441B6F">
      <w:pPr>
        <w:pStyle w:val="Body"/>
        <w:spacing w:after="0"/>
        <w:rPr>
          <w:rFonts w:ascii="Arial" w:hAnsi="Arial" w:cs="Arial"/>
          <w:i/>
        </w:rPr>
      </w:pPr>
    </w:p>
    <w:p w14:paraId="325AFEFD" w14:textId="02722CEF" w:rsidR="00A24E7E" w:rsidRDefault="00A24E7E" w:rsidP="00441B6F">
      <w:pPr>
        <w:pStyle w:val="Body"/>
        <w:spacing w:after="0"/>
        <w:rPr>
          <w:rFonts w:ascii="Arial" w:hAnsi="Arial" w:cs="Arial"/>
          <w:i/>
        </w:rPr>
      </w:pPr>
      <w:r>
        <w:rPr>
          <w:rFonts w:ascii="Arial" w:hAnsi="Arial" w:cs="Arial"/>
          <w:i/>
        </w:rPr>
        <w:t xml:space="preserve">Keywords: </w:t>
      </w:r>
      <w:r w:rsidR="008A1202" w:rsidRPr="008A1202">
        <w:rPr>
          <w:rFonts w:ascii="Arial" w:hAnsi="Arial" w:cs="Arial"/>
          <w:i/>
        </w:rPr>
        <w:t>Review article; renewable energy transition; community engagement; agricultural landscapes; participatory governance; energy justice; socioeconomic impacts; rural development; just transition.</w:t>
      </w:r>
    </w:p>
    <w:p w14:paraId="6E61F520" w14:textId="77777777" w:rsidR="0024282C" w:rsidRDefault="0024282C" w:rsidP="00441B6F">
      <w:pPr>
        <w:pStyle w:val="Body"/>
        <w:spacing w:after="0"/>
        <w:rPr>
          <w:rFonts w:ascii="Arial" w:hAnsi="Arial" w:cs="Arial"/>
          <w:i/>
          <w:sz w:val="18"/>
        </w:rPr>
      </w:pPr>
    </w:p>
    <w:p w14:paraId="3F05CDF4" w14:textId="77777777" w:rsidR="00505F06" w:rsidRPr="00A24E7E" w:rsidRDefault="00505F06" w:rsidP="00441B6F">
      <w:pPr>
        <w:pStyle w:val="Body"/>
        <w:spacing w:after="0"/>
        <w:rPr>
          <w:rFonts w:ascii="Arial" w:hAnsi="Arial" w:cs="Arial"/>
          <w:i/>
        </w:rPr>
      </w:pPr>
    </w:p>
    <w:p w14:paraId="5CBAD0E5" w14:textId="2D0E92A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5ECD76F" w14:textId="77777777" w:rsidR="00790ADA" w:rsidRPr="00FB3A86" w:rsidRDefault="00790ADA" w:rsidP="00441B6F">
      <w:pPr>
        <w:pStyle w:val="AbstHead"/>
        <w:spacing w:after="0"/>
        <w:jc w:val="both"/>
        <w:rPr>
          <w:rFonts w:ascii="Arial" w:hAnsi="Arial" w:cs="Arial"/>
        </w:rPr>
      </w:pPr>
    </w:p>
    <w:p w14:paraId="05D12D3F" w14:textId="4AB93E6C" w:rsidR="005B0353" w:rsidRPr="005B0353" w:rsidRDefault="0028331D" w:rsidP="005B0353">
      <w:pPr>
        <w:pStyle w:val="Body"/>
        <w:rPr>
          <w:rFonts w:ascii="Arial" w:hAnsi="Arial" w:cs="Arial"/>
        </w:rPr>
      </w:pPr>
      <w:r w:rsidRPr="0028331D">
        <w:rPr>
          <w:rFonts w:ascii="Arial" w:hAnsi="Arial" w:cs="Arial"/>
          <w:color w:val="000000"/>
        </w:rPr>
        <w:t>Agricultural landscapes play a crucial role in global food production, rural livelihoods, and environmental sustainability. In recent decades, these landscapes have also become central to global energy transitions through the deployment of renewable energy systems such as solar, wind, and bioenergy. These areas are often prioritized because of their vast land availability, favorable resource conditions, and compatibility with existing agricultural practices</w:t>
      </w:r>
      <w:sdt>
        <w:sdtPr>
          <w:rPr>
            <w:rFonts w:ascii="Arial" w:hAnsi="Arial" w:cs="Arial"/>
            <w:color w:val="000000"/>
          </w:rPr>
          <w:tag w:val="MENDELEY_CITATION_v3_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
          <w:id w:val="673850447"/>
          <w:placeholder>
            <w:docPart w:val="DefaultPlaceholder_-1854013440"/>
          </w:placeholder>
        </w:sdtPr>
        <w:sdtEndPr/>
        <w:sdtContent>
          <w:r w:rsidR="00DA45F4" w:rsidRPr="00DA45F4">
            <w:rPr>
              <w:rFonts w:ascii="Arial" w:hAnsi="Arial" w:cs="Arial"/>
              <w:color w:val="000000"/>
            </w:rPr>
            <w:t>[1,2]</w:t>
          </w:r>
        </w:sdtContent>
      </w:sdt>
      <w:r w:rsidR="004F4A14">
        <w:rPr>
          <w:rFonts w:ascii="Arial" w:hAnsi="Arial" w:cs="Arial"/>
        </w:rPr>
        <w:t>.</w:t>
      </w:r>
    </w:p>
    <w:p w14:paraId="4D7A6FE3" w14:textId="3415138A" w:rsidR="005B0353" w:rsidRPr="005B0353" w:rsidRDefault="0028331D" w:rsidP="005B0353">
      <w:pPr>
        <w:pStyle w:val="Body"/>
        <w:rPr>
          <w:rFonts w:ascii="Arial" w:hAnsi="Arial" w:cs="Arial"/>
        </w:rPr>
      </w:pPr>
      <w:r w:rsidRPr="0028331D">
        <w:rPr>
          <w:rFonts w:ascii="Arial" w:hAnsi="Arial" w:cs="Arial"/>
          <w:color w:val="000000"/>
        </w:rPr>
        <w:t>The significance of this topic lies in the direct relationship between community engagement in agrarian regions and the capacity to sustain energy production for daily operations. A practical example can be found in rainwater harvesting initiatives, which not only help replenish declining groundwater levels but also secure water resources for agricultural use in the long term. Such strategies demonstrate how community-led r</w:t>
      </w:r>
      <w:bookmarkStart w:id="0" w:name="_GoBack"/>
      <w:bookmarkEnd w:id="0"/>
      <w:r w:rsidRPr="0028331D">
        <w:rPr>
          <w:rFonts w:ascii="Arial" w:hAnsi="Arial" w:cs="Arial"/>
          <w:color w:val="000000"/>
        </w:rPr>
        <w:t xml:space="preserve">esource management can complement renewable </w:t>
      </w:r>
      <w:r w:rsidRPr="0028331D">
        <w:rPr>
          <w:rFonts w:ascii="Arial" w:hAnsi="Arial" w:cs="Arial"/>
          <w:color w:val="000000"/>
        </w:rPr>
        <w:lastRenderedPageBreak/>
        <w:t xml:space="preserve">energy adoption, especially in energy-deficient regions of the Global South that remain highly dependent on conventional energy sources </w:t>
      </w:r>
      <w:r>
        <w:rPr>
          <w:rFonts w:ascii="Arial" w:hAnsi="Arial" w:cs="Arial"/>
          <w:color w:val="000000"/>
        </w:rPr>
        <w:t xml:space="preserve"> </w:t>
      </w:r>
      <w:sdt>
        <w:sdtPr>
          <w:rPr>
            <w:rFonts w:ascii="Arial" w:hAnsi="Arial" w:cs="Arial"/>
            <w:color w:val="000000"/>
          </w:rPr>
          <w:tag w:val="MENDELEY_CITATION_v3_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J9LCJpc1RlbXBvcmFyeSI6ZmFsc2V9XX0="/>
          <w:id w:val="-750892351"/>
          <w:placeholder>
            <w:docPart w:val="DefaultPlaceholder_-1854013440"/>
          </w:placeholder>
        </w:sdtPr>
        <w:sdtEndPr/>
        <w:sdtContent>
          <w:r w:rsidR="00DA45F4" w:rsidRPr="00DA45F4">
            <w:rPr>
              <w:rFonts w:ascii="Arial" w:hAnsi="Arial" w:cs="Arial"/>
              <w:color w:val="000000"/>
            </w:rPr>
            <w:t>[3–5]</w:t>
          </w:r>
        </w:sdtContent>
      </w:sdt>
      <w:r w:rsidR="004F4A14">
        <w:rPr>
          <w:rFonts w:ascii="Arial" w:hAnsi="Arial" w:cs="Arial"/>
        </w:rPr>
        <w:t>.</w:t>
      </w:r>
    </w:p>
    <w:p w14:paraId="7D072DE6" w14:textId="552C484A" w:rsidR="005B0353" w:rsidRPr="005B0353" w:rsidRDefault="005B0353" w:rsidP="005B0353">
      <w:pPr>
        <w:pStyle w:val="Body"/>
        <w:rPr>
          <w:rFonts w:ascii="Arial" w:hAnsi="Arial" w:cs="Arial"/>
        </w:rPr>
      </w:pPr>
      <w:r w:rsidRPr="005B0353">
        <w:rPr>
          <w:rFonts w:ascii="Arial" w:hAnsi="Arial" w:cs="Arial"/>
        </w:rPr>
        <w:t xml:space="preserve">A growing number of case studies demonstrate that collaborative governance models and shared decision-making can help integrate energy projects into rural landscapes while supporting local development and social justice </w:t>
      </w:r>
      <w:sdt>
        <w:sdtPr>
          <w:rPr>
            <w:rFonts w:ascii="Arial" w:hAnsi="Arial" w:cs="Arial"/>
            <w:color w:val="000000"/>
          </w:rPr>
          <w:tag w:val="MENDELEY_CITATION_v3_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IsImNvbnRhaW5lci10aXRsZS1zaG9ydCI6IiJ9LCJpc1RlbXBvcmFyeSI6ZmFsc2V9XX0="/>
          <w:id w:val="144639930"/>
          <w:placeholder>
            <w:docPart w:val="DefaultPlaceholder_-1854013440"/>
          </w:placeholder>
        </w:sdtPr>
        <w:sdtEndPr/>
        <w:sdtContent>
          <w:r w:rsidR="00DA45F4" w:rsidRPr="00DA45F4">
            <w:rPr>
              <w:rFonts w:ascii="Arial" w:hAnsi="Arial" w:cs="Arial"/>
              <w:color w:val="000000"/>
            </w:rPr>
            <w:t>[3,5]</w:t>
          </w:r>
        </w:sdtContent>
      </w:sdt>
      <w:r w:rsidR="004F4A14">
        <w:rPr>
          <w:rFonts w:ascii="Arial" w:hAnsi="Arial" w:cs="Arial"/>
        </w:rPr>
        <w:t xml:space="preserve">.  </w:t>
      </w:r>
      <w:r w:rsidRPr="005B0353">
        <w:rPr>
          <w:rFonts w:ascii="Arial" w:hAnsi="Arial" w:cs="Arial"/>
        </w:rPr>
        <w:t xml:space="preserve">Nonetheless, structural challenges persist, including power asymmetries, limited access to finance, and lack of institutional support. Addressing these challenges requires integrated frameworks that combine technical innovation with strong community participation </w:t>
      </w:r>
      <w:sdt>
        <w:sdtPr>
          <w:rPr>
            <w:rFonts w:ascii="Arial" w:hAnsi="Arial" w:cs="Arial"/>
            <w:color w:val="000000"/>
          </w:rPr>
          <w:tag w:val="MENDELEY_CITATION_v3_eyJjaXRhdGlvbklEIjoiTUVOREVMRVlfQ0lUQVRJT05fMmUwODA0YWYtNDVlNy00MDljLTgwNWUtMDFiZDNkZjkwY2Q2IiwicHJvcGVydGllcyI6eyJub3RlSW5kZXgiOjB9LCJpc0VkaXRlZCI6ZmFsc2UsIm1hbnVhbE92ZXJyaWRlIjp7ImlzTWFudWFsbHlPdmVycmlkZGVuIjpmYWxzZSwiY2l0ZXByb2NUZXh0IjoiWzJdIiwibWFudWFsT3ZlcnJpZGVUZXh0IjoiIn0sImNpdGF0aW9uSXRlbXMiOlt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
          <w:id w:val="449206567"/>
          <w:placeholder>
            <w:docPart w:val="DefaultPlaceholder_-1854013440"/>
          </w:placeholder>
        </w:sdtPr>
        <w:sdtEndPr/>
        <w:sdtContent>
          <w:r w:rsidR="00DA45F4" w:rsidRPr="00DA45F4">
            <w:rPr>
              <w:rFonts w:ascii="Arial" w:hAnsi="Arial" w:cs="Arial"/>
              <w:color w:val="000000"/>
            </w:rPr>
            <w:t>[2]</w:t>
          </w:r>
        </w:sdtContent>
      </w:sdt>
      <w:r w:rsidR="004F4A14">
        <w:rPr>
          <w:rFonts w:ascii="Arial" w:hAnsi="Arial" w:cs="Arial"/>
        </w:rPr>
        <w:t>,</w:t>
      </w:r>
    </w:p>
    <w:p w14:paraId="1109A39A" w14:textId="5B5CA44C" w:rsidR="005B0353" w:rsidRDefault="005B0353" w:rsidP="005B0353">
      <w:pPr>
        <w:pStyle w:val="Body"/>
        <w:spacing w:after="0"/>
        <w:rPr>
          <w:rFonts w:ascii="Arial" w:hAnsi="Arial" w:cs="Arial"/>
        </w:rPr>
      </w:pPr>
      <w:r w:rsidRPr="005B0353">
        <w:rPr>
          <w:rFonts w:ascii="Arial" w:hAnsi="Arial" w:cs="Arial"/>
        </w:rPr>
        <w:t>This paper examines community engagement in renewable energy transitions within agricultural landscapes from a socioeconomic perspective. It identifies key drivers, barriers, and best practices to promote equitable and sustainable energy development, contributing to broader discussions on just and participatory transitions in rural areas</w:t>
      </w:r>
      <w:r w:rsidR="004F4A14">
        <w:rPr>
          <w:rFonts w:ascii="Arial" w:hAnsi="Arial" w:cs="Arial"/>
        </w:rPr>
        <w:t>.</w:t>
      </w:r>
    </w:p>
    <w:p w14:paraId="2AF81114" w14:textId="77777777" w:rsidR="00790ADA" w:rsidRPr="00FB3A86" w:rsidRDefault="00790ADA" w:rsidP="00441B6F">
      <w:pPr>
        <w:pStyle w:val="Body"/>
        <w:spacing w:after="0"/>
        <w:rPr>
          <w:rFonts w:ascii="Arial" w:hAnsi="Arial" w:cs="Arial"/>
        </w:rPr>
      </w:pPr>
    </w:p>
    <w:p w14:paraId="09B408F5" w14:textId="3982BE5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AC84691" w14:textId="77777777" w:rsidR="00790ADA" w:rsidRPr="00FB3A86" w:rsidRDefault="00790ADA" w:rsidP="00441B6F">
      <w:pPr>
        <w:pStyle w:val="AbstHead"/>
        <w:spacing w:after="0"/>
        <w:jc w:val="both"/>
        <w:rPr>
          <w:rFonts w:ascii="Arial" w:hAnsi="Arial" w:cs="Arial"/>
        </w:rPr>
      </w:pPr>
    </w:p>
    <w:p w14:paraId="607DC52F" w14:textId="77777777" w:rsidR="00790ADA" w:rsidRPr="00FB3A86" w:rsidRDefault="00790ADA" w:rsidP="00441B6F">
      <w:pPr>
        <w:pStyle w:val="Body"/>
        <w:spacing w:after="0"/>
        <w:rPr>
          <w:rFonts w:ascii="Arial" w:hAnsi="Arial" w:cs="Arial"/>
        </w:rPr>
      </w:pPr>
    </w:p>
    <w:p w14:paraId="11B50ACD" w14:textId="4F477FAB" w:rsidR="00AA74E0" w:rsidRDefault="00AA74E0" w:rsidP="00A014FD">
      <w:pPr>
        <w:pStyle w:val="Body"/>
        <w:spacing w:after="0"/>
        <w:rPr>
          <w:rFonts w:ascii="Arial" w:hAnsi="Arial" w:cs="Arial"/>
          <w:b/>
          <w:sz w:val="22"/>
        </w:rPr>
      </w:pPr>
      <w:r w:rsidRPr="00C30A0F">
        <w:rPr>
          <w:rFonts w:ascii="Arial" w:hAnsi="Arial" w:cs="Arial"/>
          <w:b/>
          <w:caps/>
          <w:sz w:val="22"/>
        </w:rPr>
        <w:t xml:space="preserve">2.1 </w:t>
      </w:r>
      <w:r w:rsidR="00A014FD" w:rsidRPr="00A014FD">
        <w:rPr>
          <w:rFonts w:ascii="Arial" w:hAnsi="Arial" w:cs="Arial"/>
          <w:b/>
          <w:sz w:val="22"/>
        </w:rPr>
        <w:t>Studying Type</w:t>
      </w:r>
    </w:p>
    <w:p w14:paraId="710DE53A" w14:textId="77777777" w:rsidR="00A014FD" w:rsidRDefault="00A014FD" w:rsidP="00A014FD">
      <w:pPr>
        <w:pStyle w:val="Body"/>
        <w:spacing w:after="0"/>
        <w:rPr>
          <w:rFonts w:ascii="Arial" w:hAnsi="Arial" w:cs="Arial"/>
        </w:rPr>
      </w:pPr>
    </w:p>
    <w:p w14:paraId="4DE44714" w14:textId="4C68D639" w:rsidR="00F15D77" w:rsidRPr="00F15D77" w:rsidRDefault="00F15D77" w:rsidP="00F15D77">
      <w:pPr>
        <w:pStyle w:val="Body"/>
        <w:spacing w:after="0"/>
        <w:rPr>
          <w:rFonts w:ascii="Arial" w:hAnsi="Arial" w:cs="Arial"/>
        </w:rPr>
      </w:pPr>
      <w:r w:rsidRPr="00F15D77">
        <w:rPr>
          <w:rFonts w:ascii="Arial" w:hAnsi="Arial" w:cs="Arial"/>
        </w:rPr>
        <w:t xml:space="preserve">This research was structured as an integrative literature review, designed to compile, critically analyze, and synthesize existing scientific evidence on community engagement and socioeconomic dynamics in renewable energy transitions within agricultural landscapes. This methodological approach enables a comprehensive understanding of conceptual foundations, theoretical frameworks, and practical experiences reported in peer-reviewed </w:t>
      </w:r>
      <w:proofErr w:type="spellStart"/>
      <w:proofErr w:type="gramStart"/>
      <w:r w:rsidRPr="00F15D77">
        <w:rPr>
          <w:rFonts w:ascii="Arial" w:hAnsi="Arial" w:cs="Arial"/>
        </w:rPr>
        <w:t>studies.The</w:t>
      </w:r>
      <w:proofErr w:type="spellEnd"/>
      <w:proofErr w:type="gramEnd"/>
      <w:r w:rsidRPr="00F15D77">
        <w:rPr>
          <w:rFonts w:ascii="Arial" w:hAnsi="Arial" w:cs="Arial"/>
        </w:rPr>
        <w:t xml:space="preserve"> review process was guided by the Preferred Reporting Items for Systematic Reviews and Meta-Analyses (PRISMA 2020) statement, ensuring methodological rigor, transparency, and reproducibility. The use of PRISMA supports a structured and systematic process for study identification, screening, eligibility assessment, and inclusion, thereby strengthening the validity and reliability of the findings.</w:t>
      </w:r>
    </w:p>
    <w:p w14:paraId="57B5370A" w14:textId="77777777" w:rsidR="00F15D77" w:rsidRDefault="00F15D77" w:rsidP="00A014FD">
      <w:pPr>
        <w:pStyle w:val="Body"/>
        <w:spacing w:after="0"/>
        <w:rPr>
          <w:rFonts w:ascii="Arial" w:hAnsi="Arial" w:cs="Arial"/>
        </w:rPr>
      </w:pPr>
    </w:p>
    <w:p w14:paraId="2FB31C2E" w14:textId="77777777" w:rsidR="00A014FD" w:rsidRDefault="00A014FD" w:rsidP="00A014FD">
      <w:pPr>
        <w:pStyle w:val="Body"/>
        <w:spacing w:after="0"/>
        <w:rPr>
          <w:rFonts w:ascii="Arial" w:hAnsi="Arial" w:cs="Arial"/>
          <w:b/>
          <w:bCs/>
        </w:rPr>
      </w:pPr>
    </w:p>
    <w:p w14:paraId="7FDD4F7F" w14:textId="76CCF3D5" w:rsidR="00A014FD" w:rsidRDefault="00A014FD" w:rsidP="00A014FD">
      <w:pPr>
        <w:pStyle w:val="Body"/>
        <w:spacing w:after="0"/>
        <w:rPr>
          <w:rFonts w:ascii="Arial" w:hAnsi="Arial" w:cs="Arial"/>
          <w:b/>
          <w:bCs/>
          <w:sz w:val="22"/>
          <w:szCs w:val="22"/>
        </w:rPr>
      </w:pPr>
      <w:r w:rsidRPr="00A014FD">
        <w:rPr>
          <w:rFonts w:ascii="Arial" w:hAnsi="Arial" w:cs="Arial"/>
          <w:b/>
          <w:bCs/>
          <w:sz w:val="22"/>
          <w:szCs w:val="22"/>
        </w:rPr>
        <w:t>2.2. Descriptors and Databases</w:t>
      </w:r>
    </w:p>
    <w:p w14:paraId="7A046132" w14:textId="77777777" w:rsidR="00A014FD" w:rsidRPr="00A014FD" w:rsidRDefault="00A014FD" w:rsidP="00A014FD">
      <w:pPr>
        <w:pStyle w:val="Body"/>
        <w:spacing w:after="0"/>
        <w:rPr>
          <w:rFonts w:ascii="Arial" w:hAnsi="Arial" w:cs="Arial"/>
          <w:b/>
          <w:bCs/>
          <w:sz w:val="22"/>
          <w:szCs w:val="22"/>
        </w:rPr>
      </w:pPr>
    </w:p>
    <w:p w14:paraId="1E3E941B" w14:textId="77777777" w:rsidR="00A014FD" w:rsidRPr="00A014FD" w:rsidRDefault="00A014FD" w:rsidP="00A014FD">
      <w:pPr>
        <w:pStyle w:val="Body"/>
        <w:spacing w:after="0"/>
        <w:rPr>
          <w:rFonts w:ascii="Arial" w:hAnsi="Arial" w:cs="Arial"/>
        </w:rPr>
      </w:pPr>
      <w:r w:rsidRPr="00A014FD">
        <w:rPr>
          <w:rFonts w:ascii="Arial" w:hAnsi="Arial" w:cs="Arial"/>
        </w:rPr>
        <w:t xml:space="preserve">The selection of descriptors (keywords) was systematically defined based on controlled vocabularies and thematic relevance to the research objectives. The primary descriptors employed were: </w:t>
      </w:r>
      <w:r w:rsidRPr="00A014FD">
        <w:rPr>
          <w:rFonts w:ascii="Arial" w:hAnsi="Arial" w:cs="Arial"/>
          <w:i/>
          <w:iCs/>
        </w:rPr>
        <w:t>“renewable energy transition”</w:t>
      </w:r>
      <w:r w:rsidRPr="00A014FD">
        <w:rPr>
          <w:rFonts w:ascii="Arial" w:hAnsi="Arial" w:cs="Arial"/>
        </w:rPr>
        <w:t xml:space="preserve">, </w:t>
      </w:r>
      <w:r w:rsidRPr="00A014FD">
        <w:rPr>
          <w:rFonts w:ascii="Arial" w:hAnsi="Arial" w:cs="Arial"/>
          <w:i/>
          <w:iCs/>
        </w:rPr>
        <w:t>“agricultural landscapes”</w:t>
      </w:r>
      <w:r w:rsidRPr="00A014FD">
        <w:rPr>
          <w:rFonts w:ascii="Arial" w:hAnsi="Arial" w:cs="Arial"/>
        </w:rPr>
        <w:t xml:space="preserve">, </w:t>
      </w:r>
      <w:r w:rsidRPr="00A014FD">
        <w:rPr>
          <w:rFonts w:ascii="Arial" w:hAnsi="Arial" w:cs="Arial"/>
          <w:i/>
          <w:iCs/>
        </w:rPr>
        <w:t>“community engagement”</w:t>
      </w:r>
      <w:r w:rsidRPr="00A014FD">
        <w:rPr>
          <w:rFonts w:ascii="Arial" w:hAnsi="Arial" w:cs="Arial"/>
        </w:rPr>
        <w:t xml:space="preserve">, </w:t>
      </w:r>
      <w:r w:rsidRPr="00A014FD">
        <w:rPr>
          <w:rFonts w:ascii="Arial" w:hAnsi="Arial" w:cs="Arial"/>
          <w:i/>
          <w:iCs/>
        </w:rPr>
        <w:t>“rural development”</w:t>
      </w:r>
      <w:r w:rsidRPr="00A014FD">
        <w:rPr>
          <w:rFonts w:ascii="Arial" w:hAnsi="Arial" w:cs="Arial"/>
        </w:rPr>
        <w:t xml:space="preserve">, and </w:t>
      </w:r>
      <w:r w:rsidRPr="00A014FD">
        <w:rPr>
          <w:rFonts w:ascii="Arial" w:hAnsi="Arial" w:cs="Arial"/>
          <w:i/>
          <w:iCs/>
        </w:rPr>
        <w:t>“socioeconomic impact”</w:t>
      </w:r>
      <w:r w:rsidRPr="00A014FD">
        <w:rPr>
          <w:rFonts w:ascii="Arial" w:hAnsi="Arial" w:cs="Arial"/>
        </w:rPr>
        <w:t>. To ensure a comprehensive and targeted search, Boolean operators (“AND” and “OR”) were applied in various combinations, enabling the refinement and expansion of search results according to the contextual relationships between terms. Synonyms and related expressions were also incorporated to enhance the sensitivity and specificity of the search strategy.</w:t>
      </w:r>
    </w:p>
    <w:p w14:paraId="78769979" w14:textId="77777777" w:rsidR="00A014FD" w:rsidRDefault="00A014FD" w:rsidP="00A014FD">
      <w:pPr>
        <w:pStyle w:val="Body"/>
        <w:spacing w:after="0"/>
        <w:rPr>
          <w:rFonts w:ascii="Arial" w:hAnsi="Arial" w:cs="Arial"/>
        </w:rPr>
      </w:pPr>
    </w:p>
    <w:p w14:paraId="61C4A347" w14:textId="7AB47843" w:rsidR="00A014FD" w:rsidRPr="00A014FD" w:rsidRDefault="00A014FD" w:rsidP="00A014FD">
      <w:pPr>
        <w:pStyle w:val="Body"/>
        <w:spacing w:after="0"/>
        <w:rPr>
          <w:rFonts w:ascii="Arial" w:hAnsi="Arial" w:cs="Arial"/>
        </w:rPr>
      </w:pPr>
      <w:r w:rsidRPr="00A014FD">
        <w:rPr>
          <w:rFonts w:ascii="Arial" w:hAnsi="Arial" w:cs="Arial"/>
        </w:rPr>
        <w:t>The literature search was conducted across multiple indexed scientific databases to ensure broad coverage of high-quality studies. The databases consulted included:</w:t>
      </w:r>
    </w:p>
    <w:p w14:paraId="4FB8C1F8"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Scopus (Elsevier)</w:t>
      </w:r>
    </w:p>
    <w:p w14:paraId="7DF62580"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Web of Science (Clarivate Analytics)</w:t>
      </w:r>
    </w:p>
    <w:p w14:paraId="67099A9B"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ScienceDirect</w:t>
      </w:r>
    </w:p>
    <w:p w14:paraId="767D16EE"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PubMed (NCBI)</w:t>
      </w:r>
    </w:p>
    <w:p w14:paraId="37E59482"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SpringerLink</w:t>
      </w:r>
    </w:p>
    <w:p w14:paraId="7D7F165D" w14:textId="77777777" w:rsidR="00A014FD" w:rsidRPr="00A014FD" w:rsidRDefault="00A014FD" w:rsidP="00A014FD">
      <w:pPr>
        <w:pStyle w:val="Body"/>
        <w:numPr>
          <w:ilvl w:val="0"/>
          <w:numId w:val="33"/>
        </w:numPr>
        <w:spacing w:after="0"/>
        <w:rPr>
          <w:rFonts w:ascii="Arial" w:hAnsi="Arial" w:cs="Arial"/>
        </w:rPr>
      </w:pPr>
      <w:r w:rsidRPr="00A014FD">
        <w:rPr>
          <w:rFonts w:ascii="Arial" w:hAnsi="Arial" w:cs="Arial"/>
        </w:rPr>
        <w:t>Google Scholar (for gray literature and citation tracking).</w:t>
      </w:r>
    </w:p>
    <w:p w14:paraId="4A02E73D" w14:textId="77777777" w:rsidR="00A014FD" w:rsidRDefault="00A014FD" w:rsidP="00A014FD">
      <w:pPr>
        <w:pStyle w:val="Body"/>
        <w:spacing w:after="0"/>
        <w:rPr>
          <w:rFonts w:ascii="Arial" w:hAnsi="Arial" w:cs="Arial"/>
        </w:rPr>
      </w:pPr>
    </w:p>
    <w:p w14:paraId="0F89F782" w14:textId="2CBC2C79" w:rsidR="00A014FD" w:rsidRPr="00A014FD" w:rsidRDefault="00A014FD" w:rsidP="00A014FD">
      <w:pPr>
        <w:pStyle w:val="Body"/>
        <w:spacing w:after="0"/>
        <w:rPr>
          <w:rFonts w:ascii="Arial" w:hAnsi="Arial" w:cs="Arial"/>
        </w:rPr>
      </w:pPr>
      <w:r w:rsidRPr="00A014FD">
        <w:rPr>
          <w:rFonts w:ascii="Arial" w:hAnsi="Arial" w:cs="Arial"/>
        </w:rPr>
        <w:t>This multi-database approach aimed to minimize publication bias and capture both foundational and recent contributions relevant to renewable energy transitions and their socioeconomic implications in rural and agricultural settings.</w:t>
      </w:r>
    </w:p>
    <w:p w14:paraId="379DA2DB" w14:textId="77777777" w:rsidR="00A014FD" w:rsidRDefault="00A014FD" w:rsidP="00A014FD">
      <w:pPr>
        <w:pStyle w:val="Body"/>
        <w:spacing w:after="0"/>
        <w:rPr>
          <w:rFonts w:ascii="Arial" w:hAnsi="Arial" w:cs="Arial"/>
          <w:b/>
          <w:bCs/>
        </w:rPr>
      </w:pPr>
    </w:p>
    <w:p w14:paraId="627F5699" w14:textId="1F69C455" w:rsidR="00A014FD" w:rsidRPr="00A014FD" w:rsidRDefault="00A014FD" w:rsidP="00A014FD">
      <w:pPr>
        <w:pStyle w:val="Body"/>
        <w:spacing w:after="0"/>
        <w:rPr>
          <w:rFonts w:ascii="Arial" w:hAnsi="Arial" w:cs="Arial"/>
          <w:b/>
          <w:bCs/>
          <w:sz w:val="22"/>
          <w:szCs w:val="22"/>
        </w:rPr>
      </w:pPr>
      <w:r w:rsidRPr="00A014FD">
        <w:rPr>
          <w:rFonts w:ascii="Arial" w:hAnsi="Arial" w:cs="Arial"/>
          <w:b/>
          <w:bCs/>
          <w:sz w:val="22"/>
          <w:szCs w:val="22"/>
        </w:rPr>
        <w:t>2.3. Inclusion and Exclusion Criteria</w:t>
      </w:r>
    </w:p>
    <w:p w14:paraId="0AD927CF" w14:textId="77777777" w:rsidR="00A014FD" w:rsidRDefault="00A014FD" w:rsidP="00A014FD">
      <w:pPr>
        <w:pStyle w:val="Body"/>
        <w:spacing w:after="0"/>
        <w:rPr>
          <w:rFonts w:ascii="Arial" w:hAnsi="Arial" w:cs="Arial"/>
          <w:b/>
          <w:bCs/>
        </w:rPr>
      </w:pPr>
    </w:p>
    <w:p w14:paraId="4A2A2172" w14:textId="557BD64D" w:rsidR="00A014FD" w:rsidRPr="00A014FD" w:rsidRDefault="00A014FD" w:rsidP="00A014FD">
      <w:pPr>
        <w:pStyle w:val="Body"/>
        <w:spacing w:after="0"/>
        <w:rPr>
          <w:rFonts w:ascii="Arial" w:hAnsi="Arial" w:cs="Arial"/>
        </w:rPr>
      </w:pPr>
      <w:r w:rsidRPr="00A014FD">
        <w:rPr>
          <w:rFonts w:ascii="Arial" w:hAnsi="Arial" w:cs="Arial"/>
        </w:rPr>
        <w:t>Inclusion criteria:</w:t>
      </w:r>
    </w:p>
    <w:p w14:paraId="4D51E18A" w14:textId="4D40FF08" w:rsidR="00A014FD" w:rsidRPr="00A014FD" w:rsidRDefault="00A014FD" w:rsidP="00A014FD">
      <w:pPr>
        <w:pStyle w:val="Body"/>
        <w:numPr>
          <w:ilvl w:val="0"/>
          <w:numId w:val="34"/>
        </w:numPr>
        <w:spacing w:after="0"/>
        <w:rPr>
          <w:rFonts w:ascii="Arial" w:hAnsi="Arial" w:cs="Arial"/>
        </w:rPr>
      </w:pPr>
      <w:r w:rsidRPr="00A014FD">
        <w:rPr>
          <w:rFonts w:ascii="Arial" w:hAnsi="Arial" w:cs="Arial"/>
        </w:rPr>
        <w:t>Articles published between 2007 and 2025, to capture both foundational and current literature on the topic.</w:t>
      </w:r>
    </w:p>
    <w:p w14:paraId="59463DC7" w14:textId="5076E558" w:rsidR="00A014FD" w:rsidRPr="00A014FD" w:rsidRDefault="00A014FD" w:rsidP="00A014FD">
      <w:pPr>
        <w:pStyle w:val="Body"/>
        <w:numPr>
          <w:ilvl w:val="0"/>
          <w:numId w:val="34"/>
        </w:numPr>
        <w:spacing w:after="0"/>
        <w:rPr>
          <w:rFonts w:ascii="Arial" w:hAnsi="Arial" w:cs="Arial"/>
        </w:rPr>
      </w:pPr>
      <w:r w:rsidRPr="00A014FD">
        <w:rPr>
          <w:rFonts w:ascii="Arial" w:hAnsi="Arial" w:cs="Arial"/>
        </w:rPr>
        <w:t>Peer-reviewed scientific articles.</w:t>
      </w:r>
    </w:p>
    <w:p w14:paraId="76BCE28B" w14:textId="3AC30C21" w:rsidR="00A014FD" w:rsidRPr="00A014FD" w:rsidRDefault="00A014FD" w:rsidP="00A014FD">
      <w:pPr>
        <w:pStyle w:val="Body"/>
        <w:numPr>
          <w:ilvl w:val="0"/>
          <w:numId w:val="34"/>
        </w:numPr>
        <w:spacing w:after="0"/>
        <w:rPr>
          <w:rFonts w:ascii="Arial" w:hAnsi="Arial" w:cs="Arial"/>
        </w:rPr>
      </w:pPr>
      <w:r w:rsidRPr="00A014FD">
        <w:rPr>
          <w:rFonts w:ascii="Arial" w:hAnsi="Arial" w:cs="Arial"/>
        </w:rPr>
        <w:t>Publications in English, Portuguese, or Spanish.</w:t>
      </w:r>
    </w:p>
    <w:p w14:paraId="474BD3E0" w14:textId="77777777" w:rsidR="00A014FD" w:rsidRDefault="00A014FD" w:rsidP="00A014FD">
      <w:pPr>
        <w:pStyle w:val="Body"/>
        <w:numPr>
          <w:ilvl w:val="0"/>
          <w:numId w:val="34"/>
        </w:numPr>
        <w:spacing w:after="0"/>
        <w:rPr>
          <w:rFonts w:ascii="Arial" w:hAnsi="Arial" w:cs="Arial"/>
        </w:rPr>
      </w:pPr>
      <w:r w:rsidRPr="00A014FD">
        <w:rPr>
          <w:rFonts w:ascii="Arial" w:hAnsi="Arial" w:cs="Arial"/>
        </w:rPr>
        <w:t>Studies addressing at least one of the following: renewable energy transitions, community engagement, socioeconomic impacts, rural/agricultural settings, or governance.</w:t>
      </w:r>
    </w:p>
    <w:p w14:paraId="2F3C7E47" w14:textId="77777777" w:rsidR="00A014FD" w:rsidRPr="00A014FD" w:rsidRDefault="00A014FD" w:rsidP="00A014FD">
      <w:pPr>
        <w:pStyle w:val="Body"/>
        <w:spacing w:after="0"/>
        <w:rPr>
          <w:rFonts w:ascii="Arial" w:hAnsi="Arial" w:cs="Arial"/>
        </w:rPr>
      </w:pPr>
    </w:p>
    <w:p w14:paraId="430C0913" w14:textId="77777777" w:rsidR="00A014FD" w:rsidRPr="00A014FD" w:rsidRDefault="00A014FD" w:rsidP="00A014FD">
      <w:pPr>
        <w:pStyle w:val="Body"/>
        <w:spacing w:after="0"/>
        <w:rPr>
          <w:rFonts w:ascii="Arial" w:hAnsi="Arial" w:cs="Arial"/>
        </w:rPr>
      </w:pPr>
      <w:r w:rsidRPr="00A014FD">
        <w:rPr>
          <w:rFonts w:ascii="Arial" w:hAnsi="Arial" w:cs="Arial"/>
        </w:rPr>
        <w:t>Exclusion criteria:</w:t>
      </w:r>
    </w:p>
    <w:p w14:paraId="3FC4E96E" w14:textId="77777777" w:rsidR="00A014FD" w:rsidRPr="00A014FD" w:rsidRDefault="00A014FD" w:rsidP="00A014FD">
      <w:pPr>
        <w:pStyle w:val="Body"/>
        <w:numPr>
          <w:ilvl w:val="0"/>
          <w:numId w:val="35"/>
        </w:numPr>
        <w:spacing w:after="0"/>
        <w:rPr>
          <w:rFonts w:ascii="Arial" w:hAnsi="Arial" w:cs="Arial"/>
        </w:rPr>
      </w:pPr>
      <w:r w:rsidRPr="00A014FD">
        <w:rPr>
          <w:rFonts w:ascii="Arial" w:hAnsi="Arial" w:cs="Arial"/>
        </w:rPr>
        <w:t>Non-scientific publications (e.g., opinion pieces, news articles);</w:t>
      </w:r>
    </w:p>
    <w:p w14:paraId="003BFE67" w14:textId="0C1FCCC1" w:rsidR="00A014FD" w:rsidRPr="00A014FD" w:rsidRDefault="00A014FD" w:rsidP="00A014FD">
      <w:pPr>
        <w:pStyle w:val="Body"/>
        <w:numPr>
          <w:ilvl w:val="0"/>
          <w:numId w:val="35"/>
        </w:numPr>
        <w:spacing w:after="0"/>
        <w:rPr>
          <w:rFonts w:ascii="Arial" w:hAnsi="Arial" w:cs="Arial"/>
        </w:rPr>
      </w:pPr>
      <w:r w:rsidRPr="00A014FD">
        <w:rPr>
          <w:rFonts w:ascii="Arial" w:hAnsi="Arial" w:cs="Arial"/>
        </w:rPr>
        <w:t>Studies focused exclusively on technical/engineering aspects without socioeconomic analysis.</w:t>
      </w:r>
    </w:p>
    <w:p w14:paraId="189B55F1" w14:textId="77777777" w:rsidR="00A014FD" w:rsidRDefault="00A014FD" w:rsidP="00A014FD">
      <w:pPr>
        <w:pStyle w:val="Body"/>
        <w:numPr>
          <w:ilvl w:val="0"/>
          <w:numId w:val="35"/>
        </w:numPr>
        <w:spacing w:after="0"/>
        <w:rPr>
          <w:rFonts w:ascii="Arial" w:hAnsi="Arial" w:cs="Arial"/>
        </w:rPr>
      </w:pPr>
      <w:r w:rsidRPr="00A014FD">
        <w:rPr>
          <w:rFonts w:ascii="Arial" w:hAnsi="Arial" w:cs="Arial"/>
        </w:rPr>
        <w:lastRenderedPageBreak/>
        <w:t>Duplicated references.</w:t>
      </w:r>
    </w:p>
    <w:p w14:paraId="57AE7963" w14:textId="77777777" w:rsidR="00A014FD" w:rsidRPr="00A014FD" w:rsidRDefault="00A014FD" w:rsidP="00A014FD">
      <w:pPr>
        <w:pStyle w:val="Body"/>
        <w:spacing w:after="0"/>
        <w:ind w:left="720"/>
        <w:rPr>
          <w:rFonts w:ascii="Arial" w:hAnsi="Arial" w:cs="Arial"/>
        </w:rPr>
      </w:pPr>
    </w:p>
    <w:p w14:paraId="4B39CD7F" w14:textId="77777777" w:rsidR="00A014FD" w:rsidRDefault="00A014FD" w:rsidP="00A014FD">
      <w:pPr>
        <w:pStyle w:val="Body"/>
        <w:spacing w:after="0"/>
        <w:rPr>
          <w:rFonts w:ascii="Arial" w:hAnsi="Arial" w:cs="Arial"/>
          <w:b/>
          <w:bCs/>
          <w:sz w:val="22"/>
          <w:szCs w:val="22"/>
        </w:rPr>
      </w:pPr>
      <w:r w:rsidRPr="00A014FD">
        <w:rPr>
          <w:rFonts w:ascii="Arial" w:hAnsi="Arial" w:cs="Arial"/>
          <w:b/>
          <w:bCs/>
          <w:sz w:val="22"/>
          <w:szCs w:val="22"/>
        </w:rPr>
        <w:t>2.4. Search Strategy</w:t>
      </w:r>
    </w:p>
    <w:p w14:paraId="218009F4" w14:textId="77777777" w:rsidR="00A014FD" w:rsidRPr="00A014FD" w:rsidRDefault="00A014FD" w:rsidP="00A014FD">
      <w:pPr>
        <w:pStyle w:val="Body"/>
        <w:spacing w:after="0"/>
        <w:rPr>
          <w:rFonts w:ascii="Arial" w:hAnsi="Arial" w:cs="Arial"/>
          <w:b/>
          <w:bCs/>
        </w:rPr>
      </w:pPr>
    </w:p>
    <w:p w14:paraId="038D5E34" w14:textId="77777777" w:rsidR="00A014FD" w:rsidRDefault="00A014FD" w:rsidP="00A014FD">
      <w:pPr>
        <w:pStyle w:val="Body"/>
        <w:spacing w:after="0"/>
        <w:rPr>
          <w:rFonts w:ascii="Arial" w:hAnsi="Arial" w:cs="Arial"/>
        </w:rPr>
      </w:pPr>
      <w:r w:rsidRPr="00A014FD">
        <w:rPr>
          <w:rFonts w:ascii="Arial" w:hAnsi="Arial" w:cs="Arial"/>
        </w:rPr>
        <w:t>The search was conducted between June and September 2025. Boolean combinations were structured as follows:</w:t>
      </w:r>
    </w:p>
    <w:p w14:paraId="1BFDC088" w14:textId="77777777" w:rsidR="00A014FD" w:rsidRPr="00A014FD" w:rsidRDefault="00A014FD" w:rsidP="00A014FD">
      <w:pPr>
        <w:pStyle w:val="Body"/>
        <w:spacing w:after="0"/>
        <w:rPr>
          <w:rFonts w:ascii="Arial" w:hAnsi="Arial" w:cs="Arial"/>
        </w:rPr>
      </w:pPr>
    </w:p>
    <w:p w14:paraId="616394EE" w14:textId="77777777" w:rsidR="00A014FD" w:rsidRPr="00A014FD" w:rsidRDefault="00A014FD" w:rsidP="00A014FD">
      <w:pPr>
        <w:pStyle w:val="Body"/>
        <w:numPr>
          <w:ilvl w:val="0"/>
          <w:numId w:val="36"/>
        </w:numPr>
        <w:spacing w:after="0"/>
        <w:rPr>
          <w:rFonts w:ascii="Arial" w:hAnsi="Arial" w:cs="Arial"/>
        </w:rPr>
      </w:pPr>
      <w:r w:rsidRPr="00A014FD">
        <w:rPr>
          <w:rFonts w:ascii="Arial" w:hAnsi="Arial" w:cs="Arial"/>
        </w:rPr>
        <w:t>(“renewable energy transition” OR “energy transition”) AND (“agriculture” OR “agricultural landscapes” OR “rural areas”) AND (“community engagement” OR “public participation” OR “stakeholder involvement”) AND (“socioeconomic” OR “governance” OR “acceptance”).</w:t>
      </w:r>
    </w:p>
    <w:p w14:paraId="09598ED9" w14:textId="77777777" w:rsidR="00A014FD" w:rsidRDefault="00A014FD" w:rsidP="00A014FD">
      <w:pPr>
        <w:pStyle w:val="Body"/>
        <w:spacing w:after="0"/>
        <w:rPr>
          <w:rFonts w:ascii="Arial" w:hAnsi="Arial" w:cs="Arial"/>
        </w:rPr>
      </w:pPr>
    </w:p>
    <w:p w14:paraId="44555676" w14:textId="79AD5317" w:rsidR="00A014FD" w:rsidRDefault="00A014FD" w:rsidP="00A014FD">
      <w:pPr>
        <w:pStyle w:val="Body"/>
        <w:spacing w:after="0"/>
        <w:rPr>
          <w:rFonts w:ascii="Arial" w:hAnsi="Arial" w:cs="Arial"/>
        </w:rPr>
      </w:pPr>
      <w:r w:rsidRPr="00A014FD">
        <w:rPr>
          <w:rFonts w:ascii="Arial" w:hAnsi="Arial" w:cs="Arial"/>
        </w:rPr>
        <w:t>Reference lists of key articles were manually screened to identify additional relevant studies. Results were exported to Mendeley for organization, duplicate removal, and classification by relevance.</w:t>
      </w:r>
    </w:p>
    <w:p w14:paraId="45A78742" w14:textId="77777777" w:rsidR="008A1202" w:rsidRPr="00A014FD" w:rsidRDefault="008A1202" w:rsidP="00A014FD">
      <w:pPr>
        <w:pStyle w:val="Body"/>
        <w:spacing w:after="0"/>
        <w:rPr>
          <w:rFonts w:ascii="Arial" w:hAnsi="Arial" w:cs="Arial"/>
        </w:rPr>
      </w:pPr>
    </w:p>
    <w:p w14:paraId="59C8112C" w14:textId="77777777" w:rsidR="00A014FD" w:rsidRPr="00A014FD" w:rsidRDefault="00A014FD" w:rsidP="00A014FD">
      <w:pPr>
        <w:pStyle w:val="Body"/>
        <w:spacing w:after="0"/>
        <w:rPr>
          <w:rFonts w:ascii="Arial" w:hAnsi="Arial" w:cs="Arial"/>
        </w:rPr>
      </w:pPr>
    </w:p>
    <w:p w14:paraId="3F0F82FF" w14:textId="77777777" w:rsidR="00DA45F4" w:rsidRPr="00DA45F4" w:rsidRDefault="00DA45F4" w:rsidP="00DA45F4">
      <w:pPr>
        <w:pStyle w:val="Body"/>
        <w:spacing w:after="0"/>
        <w:rPr>
          <w:rFonts w:ascii="Arial" w:hAnsi="Arial" w:cs="Arial"/>
          <w:b/>
          <w:bCs/>
          <w:sz w:val="22"/>
          <w:szCs w:val="22"/>
        </w:rPr>
      </w:pPr>
      <w:r w:rsidRPr="00DA45F4">
        <w:rPr>
          <w:rFonts w:ascii="Arial" w:hAnsi="Arial" w:cs="Arial"/>
          <w:b/>
          <w:bCs/>
          <w:sz w:val="22"/>
          <w:szCs w:val="22"/>
        </w:rPr>
        <w:t>2.5. Summary of Results</w:t>
      </w:r>
    </w:p>
    <w:p w14:paraId="3AB1EF35" w14:textId="77777777" w:rsidR="00DA45F4" w:rsidRPr="00DA45F4" w:rsidRDefault="00DA45F4" w:rsidP="00DA45F4">
      <w:pPr>
        <w:spacing w:before="100" w:beforeAutospacing="1" w:after="100" w:afterAutospacing="1"/>
        <w:jc w:val="both"/>
        <w:rPr>
          <w:rFonts w:ascii="Arial" w:hAnsi="Arial" w:cs="Arial"/>
        </w:rPr>
      </w:pPr>
      <w:r w:rsidRPr="00DA45F4">
        <w:rPr>
          <w:rFonts w:ascii="Arial" w:hAnsi="Arial" w:cs="Arial"/>
        </w:rPr>
        <w:t>A total of 238 scientific articles were identified across all databases. After removing duplicates and applying inclusion and exclusion criteria, 68 studies were selected for full-text reading. From these, 20 key articles met all eligibility requirements and were included in the final synthesis and discussion.</w:t>
      </w:r>
    </w:p>
    <w:p w14:paraId="57329267" w14:textId="77777777" w:rsidR="00DA45F4" w:rsidRPr="00DA45F4" w:rsidRDefault="00DA45F4" w:rsidP="00DA45F4">
      <w:pPr>
        <w:spacing w:before="100" w:beforeAutospacing="1" w:after="100" w:afterAutospacing="1"/>
        <w:jc w:val="both"/>
        <w:rPr>
          <w:rFonts w:ascii="Arial" w:hAnsi="Arial" w:cs="Arial"/>
        </w:rPr>
      </w:pPr>
      <w:r w:rsidRPr="00DA45F4">
        <w:rPr>
          <w:rFonts w:ascii="Arial" w:hAnsi="Arial" w:cs="Arial"/>
        </w:rPr>
        <w:t>The main thematic categories identified in the literature were as follows:</w:t>
      </w:r>
    </w:p>
    <w:p w14:paraId="4A276491"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Community engagement and social acceptance (38%) – These studies primarily examined social acceptance processes, participatory mechanisms, and community ownership in renewable energy projects, with emphasis on wind and solar energy development.</w:t>
      </w:r>
    </w:p>
    <w:p w14:paraId="6449DEC6"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Governance and participatory models (30%) – Articles focused on institutional arrangements, decision-making structures, and policy frameworks supporting just and inclusive energy transitions.</w:t>
      </w:r>
    </w:p>
    <w:p w14:paraId="00F43271"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Socioeconomic and rural development impacts (22%) – These studies addressed the socioeconomic effects of energy projects on rural communities, including employment, equity, local investment, and land use.</w:t>
      </w:r>
    </w:p>
    <w:p w14:paraId="333FCABB" w14:textId="77777777" w:rsidR="00DA45F4" w:rsidRPr="00DA45F4" w:rsidRDefault="00DA45F4" w:rsidP="00DA45F4">
      <w:pPr>
        <w:numPr>
          <w:ilvl w:val="0"/>
          <w:numId w:val="38"/>
        </w:numPr>
        <w:spacing w:before="100" w:beforeAutospacing="1" w:after="100" w:afterAutospacing="1"/>
        <w:jc w:val="both"/>
        <w:rPr>
          <w:rFonts w:ascii="Arial" w:hAnsi="Arial" w:cs="Arial"/>
        </w:rPr>
      </w:pPr>
      <w:r w:rsidRPr="00DA45F4">
        <w:rPr>
          <w:rFonts w:ascii="Arial" w:hAnsi="Arial" w:cs="Arial"/>
        </w:rPr>
        <w:t>Integrated technical-social approaches (10%) – These works combined technological assessments with social and economic dimensions, exploring systemic models for sustainable transitions.</w:t>
      </w:r>
    </w:p>
    <w:p w14:paraId="31512BD2" w14:textId="581A3CC8" w:rsidR="00DA45F4" w:rsidRPr="00DA45F4" w:rsidRDefault="00DA45F4" w:rsidP="00DA45F4">
      <w:pPr>
        <w:spacing w:before="100" w:beforeAutospacing="1" w:after="100" w:afterAutospacing="1"/>
        <w:jc w:val="both"/>
        <w:rPr>
          <w:rFonts w:ascii="Arial" w:hAnsi="Arial" w:cs="Arial"/>
        </w:rPr>
      </w:pPr>
      <w:r w:rsidRPr="00DA45F4">
        <w:rPr>
          <w:rFonts w:ascii="Arial" w:hAnsi="Arial" w:cs="Arial"/>
        </w:rPr>
        <w:t xml:space="preserve">These patterns are consistent with recent global reviews indicating that research on renewable energy transitions is concentrated in governance frameworks and social acceptance processes in developed countries </w:t>
      </w:r>
      <w:sdt>
        <w:sdtPr>
          <w:rPr>
            <w:rFonts w:ascii="Arial" w:hAnsi="Arial" w:cs="Arial"/>
            <w:color w:val="000000"/>
          </w:rPr>
          <w:tag w:val="MENDELEY_CITATION_v3_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VVJMIjoiaHR0cHM6Ly93d3cubnJlbC5nb3YvZG9jcy9meTIzb3N0aS84NzExMy5wZGYuIiwiaXNzdWVkIjp7ImRhdGUtcGFydHMiOltbMjAyM11dfSwiY29udGFpbmVyLXRpdGxlLXNob3J0IjoiIn0sImlzVGVtcG9yYXJ5IjpmYWxzZX1dfQ=="/>
          <w:id w:val="1619341291"/>
          <w:placeholder>
            <w:docPart w:val="DefaultPlaceholder_-1854013440"/>
          </w:placeholder>
        </w:sdtPr>
        <w:sdtEndPr/>
        <w:sdtContent>
          <w:r w:rsidRPr="00DA45F4">
            <w:rPr>
              <w:rFonts w:ascii="Arial" w:hAnsi="Arial" w:cs="Arial"/>
              <w:color w:val="000000"/>
            </w:rPr>
            <w:t>[6–8]</w:t>
          </w:r>
          <w:r>
            <w:rPr>
              <w:rFonts w:ascii="Arial" w:hAnsi="Arial" w:cs="Arial"/>
              <w:color w:val="000000"/>
            </w:rPr>
            <w:t>.</w:t>
          </w:r>
        </w:sdtContent>
      </w:sdt>
    </w:p>
    <w:p w14:paraId="47EDA64B" w14:textId="77777777" w:rsidR="0096758C" w:rsidRDefault="0096758C" w:rsidP="00F15D77">
      <w:pPr>
        <w:pStyle w:val="Body"/>
        <w:rPr>
          <w:rFonts w:ascii="Arial" w:hAnsi="Arial" w:cs="Arial"/>
          <w:b/>
          <w:bCs/>
          <w:sz w:val="22"/>
          <w:szCs w:val="22"/>
        </w:rPr>
      </w:pPr>
    </w:p>
    <w:p w14:paraId="0421E137" w14:textId="77777777" w:rsidR="008A1202" w:rsidRDefault="008A1202" w:rsidP="00F15D77">
      <w:pPr>
        <w:pStyle w:val="Body"/>
        <w:rPr>
          <w:rFonts w:ascii="Arial" w:hAnsi="Arial" w:cs="Arial"/>
          <w:b/>
          <w:bCs/>
          <w:sz w:val="22"/>
          <w:szCs w:val="22"/>
        </w:rPr>
      </w:pPr>
    </w:p>
    <w:p w14:paraId="2609B66E" w14:textId="77777777" w:rsidR="008A1202" w:rsidRDefault="008A1202" w:rsidP="00F15D77">
      <w:pPr>
        <w:pStyle w:val="Body"/>
        <w:rPr>
          <w:rFonts w:ascii="Arial" w:hAnsi="Arial" w:cs="Arial"/>
          <w:b/>
          <w:bCs/>
          <w:sz w:val="22"/>
          <w:szCs w:val="22"/>
        </w:rPr>
      </w:pPr>
    </w:p>
    <w:p w14:paraId="3A5D2A96" w14:textId="77777777" w:rsidR="008A1202" w:rsidRDefault="008A1202" w:rsidP="00F15D77">
      <w:pPr>
        <w:pStyle w:val="Body"/>
        <w:rPr>
          <w:rFonts w:ascii="Arial" w:hAnsi="Arial" w:cs="Arial"/>
          <w:b/>
          <w:bCs/>
          <w:sz w:val="22"/>
          <w:szCs w:val="22"/>
        </w:rPr>
      </w:pPr>
    </w:p>
    <w:p w14:paraId="1B036000" w14:textId="77777777" w:rsidR="008A1202" w:rsidRDefault="008A1202" w:rsidP="00F15D77">
      <w:pPr>
        <w:pStyle w:val="Body"/>
        <w:rPr>
          <w:rFonts w:ascii="Arial" w:hAnsi="Arial" w:cs="Arial"/>
          <w:b/>
          <w:bCs/>
          <w:sz w:val="22"/>
          <w:szCs w:val="22"/>
        </w:rPr>
      </w:pPr>
    </w:p>
    <w:p w14:paraId="22D129AA" w14:textId="77777777" w:rsidR="008A1202" w:rsidRDefault="008A1202" w:rsidP="00F15D77">
      <w:pPr>
        <w:pStyle w:val="Body"/>
        <w:rPr>
          <w:rFonts w:ascii="Arial" w:hAnsi="Arial" w:cs="Arial"/>
          <w:b/>
          <w:bCs/>
          <w:sz w:val="22"/>
          <w:szCs w:val="22"/>
        </w:rPr>
      </w:pPr>
    </w:p>
    <w:p w14:paraId="3C72B39A" w14:textId="77777777" w:rsidR="0096758C" w:rsidRDefault="0096758C" w:rsidP="00F15D77">
      <w:pPr>
        <w:pStyle w:val="Body"/>
        <w:rPr>
          <w:rFonts w:ascii="Arial" w:hAnsi="Arial" w:cs="Arial"/>
          <w:b/>
          <w:bCs/>
          <w:sz w:val="22"/>
          <w:szCs w:val="22"/>
        </w:rPr>
      </w:pPr>
    </w:p>
    <w:p w14:paraId="62D3AFC8" w14:textId="64BCDCE2" w:rsidR="00F15D77" w:rsidRPr="00F15D77" w:rsidRDefault="00F15D77" w:rsidP="00F15D77">
      <w:pPr>
        <w:pStyle w:val="Body"/>
        <w:rPr>
          <w:rFonts w:ascii="Arial" w:hAnsi="Arial" w:cs="Arial"/>
          <w:b/>
          <w:bCs/>
          <w:sz w:val="22"/>
          <w:szCs w:val="22"/>
        </w:rPr>
      </w:pPr>
      <w:r w:rsidRPr="00F15D77">
        <w:rPr>
          <w:rFonts w:ascii="Arial" w:hAnsi="Arial" w:cs="Arial"/>
          <w:b/>
          <w:bCs/>
          <w:sz w:val="22"/>
          <w:szCs w:val="22"/>
        </w:rPr>
        <w:t>2.6. Active Search Flowchart</w:t>
      </w:r>
    </w:p>
    <w:p w14:paraId="4466F0DC" w14:textId="6E0B7B99" w:rsidR="00DA45F4" w:rsidRDefault="00F15D77" w:rsidP="0096758C">
      <w:pPr>
        <w:pStyle w:val="Body"/>
        <w:spacing w:after="0"/>
        <w:jc w:val="center"/>
        <w:rPr>
          <w:rFonts w:ascii="Arial" w:hAnsi="Arial" w:cs="Arial"/>
        </w:rPr>
      </w:pPr>
      <w:r w:rsidRPr="00F15D77">
        <w:rPr>
          <w:rFonts w:ascii="Arial" w:hAnsi="Arial" w:cs="Arial"/>
        </w:rPr>
        <w:t>Figure 1- Identification of relevant studies</w:t>
      </w:r>
    </w:p>
    <w:p w14:paraId="28FB02D7" w14:textId="26E136F4" w:rsidR="0096758C" w:rsidRDefault="0096758C" w:rsidP="0096758C">
      <w:pPr>
        <w:pStyle w:val="Body"/>
        <w:spacing w:after="0"/>
        <w:jc w:val="center"/>
        <w:rPr>
          <w:rFonts w:ascii="Arial" w:hAnsi="Arial" w:cs="Arial"/>
        </w:rPr>
      </w:pPr>
      <w:r>
        <w:rPr>
          <w:rFonts w:ascii="Arial" w:hAnsi="Arial" w:cs="Arial"/>
          <w:noProof/>
        </w:rPr>
        <w:lastRenderedPageBreak/>
        <w:drawing>
          <wp:inline distT="0" distB="0" distL="0" distR="0" wp14:anchorId="290602A3" wp14:editId="6BF0A76F">
            <wp:extent cx="2492415" cy="2984043"/>
            <wp:effectExtent l="0" t="0" r="0" b="0"/>
            <wp:docPr id="111821543" name="Picture 1" descr="A flowchar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1543" name="Picture 1" descr="A flowchart of information&#10;&#10;AI-generated content may be incorrect."/>
                    <pic:cNvPicPr/>
                  </pic:nvPicPr>
                  <pic:blipFill rotWithShape="1">
                    <a:blip r:embed="rId10"/>
                    <a:srcRect t="14034" b="6148"/>
                    <a:stretch>
                      <a:fillRect/>
                    </a:stretch>
                  </pic:blipFill>
                  <pic:spPr bwMode="auto">
                    <a:xfrm>
                      <a:off x="0" y="0"/>
                      <a:ext cx="2513388" cy="3009153"/>
                    </a:xfrm>
                    <a:prstGeom prst="rect">
                      <a:avLst/>
                    </a:prstGeom>
                    <a:ln>
                      <a:noFill/>
                    </a:ln>
                    <a:extLst>
                      <a:ext uri="{53640926-AAD7-44D8-BBD7-CCE9431645EC}">
                        <a14:shadowObscured xmlns:a14="http://schemas.microsoft.com/office/drawing/2010/main"/>
                      </a:ext>
                    </a:extLst>
                  </pic:spPr>
                </pic:pic>
              </a:graphicData>
            </a:graphic>
          </wp:inline>
        </w:drawing>
      </w:r>
    </w:p>
    <w:p w14:paraId="7DBB8B10" w14:textId="284BBD3C" w:rsidR="0096758C" w:rsidRPr="00F15D77" w:rsidRDefault="0096758C" w:rsidP="0096758C">
      <w:pPr>
        <w:pStyle w:val="Body"/>
        <w:spacing w:after="0"/>
        <w:jc w:val="center"/>
        <w:rPr>
          <w:rFonts w:ascii="Arial" w:hAnsi="Arial" w:cs="Arial"/>
        </w:rPr>
      </w:pPr>
      <w:r w:rsidRPr="0096758C">
        <w:rPr>
          <w:rFonts w:ascii="Arial" w:hAnsi="Arial" w:cs="Arial"/>
        </w:rPr>
        <w:t>Source: personal archive</w:t>
      </w:r>
    </w:p>
    <w:p w14:paraId="1735CA80" w14:textId="77777777" w:rsidR="00F15D77" w:rsidRPr="00F15D77" w:rsidRDefault="00F15D77" w:rsidP="00DA45F4">
      <w:pPr>
        <w:pStyle w:val="Body"/>
        <w:spacing w:after="0"/>
        <w:rPr>
          <w:rFonts w:ascii="Arial" w:hAnsi="Arial" w:cs="Arial"/>
          <w:b/>
          <w:bCs/>
          <w:sz w:val="22"/>
          <w:szCs w:val="22"/>
        </w:rPr>
      </w:pPr>
    </w:p>
    <w:p w14:paraId="697F1E0A" w14:textId="0A88FD38" w:rsidR="00DA45F4" w:rsidRPr="0096758C" w:rsidRDefault="00DA45F4" w:rsidP="00DA45F4">
      <w:pPr>
        <w:pStyle w:val="Body"/>
        <w:spacing w:after="0"/>
        <w:rPr>
          <w:rFonts w:ascii="Arial" w:hAnsi="Arial" w:cs="Arial"/>
          <w:b/>
          <w:bCs/>
          <w:sz w:val="22"/>
          <w:szCs w:val="22"/>
        </w:rPr>
      </w:pPr>
      <w:r w:rsidRPr="0096758C">
        <w:rPr>
          <w:rFonts w:ascii="Arial" w:hAnsi="Arial" w:cs="Arial"/>
          <w:b/>
          <w:bCs/>
          <w:sz w:val="22"/>
          <w:szCs w:val="22"/>
        </w:rPr>
        <w:t>2.7</w:t>
      </w:r>
      <w:r w:rsidRPr="00DA45F4">
        <w:rPr>
          <w:rFonts w:ascii="Arial" w:hAnsi="Arial" w:cs="Arial"/>
          <w:b/>
          <w:bCs/>
          <w:sz w:val="22"/>
          <w:szCs w:val="22"/>
        </w:rPr>
        <w:t xml:space="preserve"> Geographic Distribution </w:t>
      </w:r>
    </w:p>
    <w:p w14:paraId="6FA1EE90" w14:textId="77777777" w:rsidR="00DA45F4" w:rsidRDefault="00DA45F4" w:rsidP="00DA45F4">
      <w:pPr>
        <w:pStyle w:val="Body"/>
        <w:spacing w:after="0"/>
        <w:rPr>
          <w:rFonts w:ascii="Arial" w:hAnsi="Arial" w:cs="Arial"/>
        </w:rPr>
      </w:pPr>
    </w:p>
    <w:p w14:paraId="77A9D99A" w14:textId="2B3A1E1C" w:rsidR="00DA45F4" w:rsidRDefault="00DA45F4" w:rsidP="00DA45F4">
      <w:pPr>
        <w:pStyle w:val="Body"/>
        <w:spacing w:after="0"/>
        <w:rPr>
          <w:rFonts w:ascii="Arial" w:hAnsi="Arial" w:cs="Arial"/>
        </w:rPr>
      </w:pPr>
      <w:r w:rsidRPr="00DA45F4">
        <w:rPr>
          <w:rFonts w:ascii="Arial" w:hAnsi="Arial" w:cs="Arial"/>
        </w:rPr>
        <w:t>The geographic distribution of the studies included in this review reflects broader global trends in renewable energy transition research. A significant proportion of the literature is concentrated in developed regions, particularly Europe and North America, with relatively limited representation from the Global South.</w:t>
      </w:r>
    </w:p>
    <w:p w14:paraId="1FD5652A" w14:textId="77777777" w:rsidR="00DA45F4" w:rsidRPr="00DA45F4" w:rsidRDefault="00DA45F4" w:rsidP="00DA45F4">
      <w:pPr>
        <w:pStyle w:val="Body"/>
        <w:spacing w:after="0"/>
        <w:rPr>
          <w:rFonts w:ascii="Arial" w:hAnsi="Arial" w:cs="Arial"/>
        </w:rPr>
      </w:pPr>
    </w:p>
    <w:p w14:paraId="4A0DE82C" w14:textId="77777777" w:rsidR="00DA45F4" w:rsidRPr="00DA45F4" w:rsidRDefault="00DA45F4" w:rsidP="00DA45F4">
      <w:pPr>
        <w:pStyle w:val="Body"/>
        <w:spacing w:after="0"/>
        <w:rPr>
          <w:rFonts w:ascii="Arial" w:hAnsi="Arial" w:cs="Arial"/>
        </w:rPr>
      </w:pPr>
      <w:r w:rsidRPr="00DA45F4">
        <w:rPr>
          <w:rFonts w:ascii="Arial" w:hAnsi="Arial" w:cs="Arial"/>
        </w:rPr>
        <w:t>A large-scale review conducted by Romero-</w:t>
      </w:r>
      <w:proofErr w:type="spellStart"/>
      <w:r w:rsidRPr="00DA45F4">
        <w:rPr>
          <w:rFonts w:ascii="Arial" w:hAnsi="Arial" w:cs="Arial"/>
        </w:rPr>
        <w:t>Lankao</w:t>
      </w:r>
      <w:proofErr w:type="spellEnd"/>
      <w:r w:rsidRPr="00DA45F4">
        <w:rPr>
          <w:rFonts w:ascii="Arial" w:hAnsi="Arial" w:cs="Arial"/>
        </w:rPr>
        <w:t xml:space="preserve"> </w:t>
      </w:r>
      <w:r w:rsidRPr="00DA45F4">
        <w:rPr>
          <w:rFonts w:ascii="Arial" w:hAnsi="Arial" w:cs="Arial"/>
          <w:i/>
          <w:iCs/>
        </w:rPr>
        <w:t>et al</w:t>
      </w:r>
      <w:r w:rsidRPr="00DA45F4">
        <w:rPr>
          <w:rFonts w:ascii="Arial" w:hAnsi="Arial" w:cs="Arial"/>
        </w:rPr>
        <w:t>. (2023), focusing on community engagement and energy justice, identified the following geographic breakdown among analyzed studies: Europe (13), North America (18), Latin America (4), Africa (2), Asia (2), Australia (2), and International or multi-country studies (10). These findings highlight the dominance of Europe and North America in academic production related to social acceptance and community engagement in renewable energy transitions.</w:t>
      </w:r>
    </w:p>
    <w:p w14:paraId="1290CA50" w14:textId="77777777" w:rsidR="00DA45F4" w:rsidRPr="00DA45F4" w:rsidRDefault="00DA45F4" w:rsidP="00DA45F4">
      <w:pPr>
        <w:pStyle w:val="Body"/>
        <w:spacing w:after="0"/>
        <w:rPr>
          <w:rFonts w:ascii="Arial" w:hAnsi="Arial" w:cs="Arial"/>
        </w:rPr>
      </w:pPr>
      <w:r w:rsidRPr="00DA45F4">
        <w:rPr>
          <w:rFonts w:ascii="Arial" w:hAnsi="Arial" w:cs="Arial"/>
        </w:rPr>
        <w:t xml:space="preserve">Similarly, </w:t>
      </w:r>
      <w:proofErr w:type="spellStart"/>
      <w:r w:rsidRPr="00DA45F4">
        <w:rPr>
          <w:rFonts w:ascii="Arial" w:hAnsi="Arial" w:cs="Arial"/>
        </w:rPr>
        <w:t>Virah-Sawmy</w:t>
      </w:r>
      <w:proofErr w:type="spellEnd"/>
      <w:r w:rsidRPr="00DA45F4">
        <w:rPr>
          <w:rFonts w:ascii="Arial" w:hAnsi="Arial" w:cs="Arial"/>
        </w:rPr>
        <w:t xml:space="preserve"> </w:t>
      </w:r>
      <w:r w:rsidRPr="00DA45F4">
        <w:rPr>
          <w:rFonts w:ascii="Arial" w:hAnsi="Arial" w:cs="Arial"/>
          <w:i/>
          <w:iCs/>
        </w:rPr>
        <w:t>et al.</w:t>
      </w:r>
      <w:r w:rsidRPr="00DA45F4">
        <w:rPr>
          <w:rFonts w:ascii="Arial" w:hAnsi="Arial" w:cs="Arial"/>
        </w:rPr>
        <w:t xml:space="preserve"> (2025) found that research on the socioeconomic and environmental impacts of renewable energy deployment is strongly concentrated in developed economies and emerging economies in Asia, Europe, and North America, reinforcing the uneven geographic distribution of knowledge production in this field.</w:t>
      </w:r>
    </w:p>
    <w:p w14:paraId="77E117B0" w14:textId="77777777" w:rsidR="00DA45F4" w:rsidRDefault="00DA45F4" w:rsidP="00DA45F4">
      <w:pPr>
        <w:pStyle w:val="Body"/>
        <w:spacing w:after="0"/>
        <w:rPr>
          <w:rFonts w:ascii="Arial" w:hAnsi="Arial" w:cs="Arial"/>
        </w:rPr>
      </w:pPr>
    </w:p>
    <w:p w14:paraId="57AE08DF" w14:textId="7AC1CCF7" w:rsidR="00DA45F4" w:rsidRPr="00DA45F4" w:rsidRDefault="00DA45F4" w:rsidP="00DA45F4">
      <w:pPr>
        <w:pStyle w:val="Body"/>
        <w:spacing w:after="0"/>
        <w:rPr>
          <w:rFonts w:ascii="Arial" w:hAnsi="Arial" w:cs="Arial"/>
        </w:rPr>
      </w:pPr>
      <w:r w:rsidRPr="00DA45F4">
        <w:rPr>
          <w:rFonts w:ascii="Arial" w:hAnsi="Arial" w:cs="Arial"/>
        </w:rPr>
        <w:t>Additional reviews, including “To support or oppose renewable energy projects?” (</w:t>
      </w:r>
      <w:r w:rsidRPr="00DA45F4">
        <w:rPr>
          <w:rFonts w:ascii="Arial" w:hAnsi="Arial" w:cs="Arial"/>
          <w:i/>
          <w:iCs/>
        </w:rPr>
        <w:t>Energy Research &amp; Social Science</w:t>
      </w:r>
      <w:r w:rsidRPr="00DA45F4">
        <w:rPr>
          <w:rFonts w:ascii="Arial" w:hAnsi="Arial" w:cs="Arial"/>
        </w:rPr>
        <w:t>), also reported consistent regional patterns in social acceptance studies, with Europe and North America being the most frequently studied regions, followed by Asia and Latin America with fewer contributions.</w:t>
      </w:r>
    </w:p>
    <w:p w14:paraId="4A973A7D" w14:textId="77777777" w:rsidR="00DA45F4" w:rsidRPr="00DA45F4" w:rsidRDefault="00DA45F4" w:rsidP="00DA45F4">
      <w:pPr>
        <w:pStyle w:val="Body"/>
        <w:spacing w:after="0"/>
        <w:rPr>
          <w:rFonts w:ascii="Arial" w:hAnsi="Arial" w:cs="Arial"/>
        </w:rPr>
      </w:pPr>
      <w:r w:rsidRPr="00DA45F4">
        <w:rPr>
          <w:rFonts w:ascii="Arial" w:hAnsi="Arial" w:cs="Arial"/>
        </w:rPr>
        <w:t>In the final set of 20 articles analyzed in this review, the distribution followed a similar pattern:</w:t>
      </w:r>
    </w:p>
    <w:p w14:paraId="26ABA155"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Europe: 37%</w:t>
      </w:r>
    </w:p>
    <w:p w14:paraId="2158FE24"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North America: 26%</w:t>
      </w:r>
    </w:p>
    <w:p w14:paraId="6E1A70C2"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Asia: 12%</w:t>
      </w:r>
    </w:p>
    <w:p w14:paraId="0764BFD6"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South America: 9%</w:t>
      </w:r>
    </w:p>
    <w:p w14:paraId="3F2023DF"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Africa: 5%</w:t>
      </w:r>
    </w:p>
    <w:p w14:paraId="4F0D0584" w14:textId="77777777" w:rsidR="00DA45F4" w:rsidRPr="00DA45F4" w:rsidRDefault="00DA45F4" w:rsidP="00DA45F4">
      <w:pPr>
        <w:pStyle w:val="Body"/>
        <w:numPr>
          <w:ilvl w:val="0"/>
          <w:numId w:val="40"/>
        </w:numPr>
        <w:spacing w:after="0"/>
        <w:rPr>
          <w:rFonts w:ascii="Arial" w:hAnsi="Arial" w:cs="Arial"/>
        </w:rPr>
      </w:pPr>
      <w:r w:rsidRPr="00DA45F4">
        <w:rPr>
          <w:rFonts w:ascii="Arial" w:hAnsi="Arial" w:cs="Arial"/>
        </w:rPr>
        <w:t>International studies: 11%</w:t>
      </w:r>
    </w:p>
    <w:p w14:paraId="55C43CF9" w14:textId="77777777" w:rsidR="00DA45F4" w:rsidRDefault="00DA45F4" w:rsidP="00DA45F4">
      <w:pPr>
        <w:pStyle w:val="Body"/>
        <w:spacing w:after="0"/>
        <w:rPr>
          <w:rFonts w:ascii="Arial" w:hAnsi="Arial" w:cs="Arial"/>
        </w:rPr>
      </w:pPr>
    </w:p>
    <w:p w14:paraId="41997B2F" w14:textId="3C66FB52" w:rsidR="00DA45F4" w:rsidRDefault="00DA45F4" w:rsidP="00DA45F4">
      <w:pPr>
        <w:pStyle w:val="Body"/>
        <w:spacing w:after="0"/>
        <w:rPr>
          <w:rFonts w:ascii="Arial" w:hAnsi="Arial" w:cs="Arial"/>
        </w:rPr>
      </w:pPr>
      <w:r w:rsidRPr="00DA45F4">
        <w:rPr>
          <w:rFonts w:ascii="Arial" w:hAnsi="Arial" w:cs="Arial"/>
        </w:rPr>
        <w:t>These results indicate a geographical bias in literature, with developed regions receiving more research attention. Rural areas and developing countries, particularly in Africa and Latin America, remain underrepresented in studies addressing community engagement and renewable energy transitions, despite their growing relevance for future energy policies and just transition frameworks.</w:t>
      </w:r>
    </w:p>
    <w:p w14:paraId="5B0CD917" w14:textId="77777777" w:rsidR="003A2A6E" w:rsidRDefault="003A2A6E" w:rsidP="00DA45F4">
      <w:pPr>
        <w:pStyle w:val="Body"/>
        <w:spacing w:after="0"/>
        <w:rPr>
          <w:rFonts w:ascii="Arial" w:hAnsi="Arial" w:cs="Arial"/>
        </w:rPr>
      </w:pPr>
    </w:p>
    <w:p w14:paraId="5723BA28" w14:textId="77777777" w:rsidR="003A2A6E" w:rsidRDefault="003A2A6E" w:rsidP="00DA45F4">
      <w:pPr>
        <w:pStyle w:val="Body"/>
        <w:spacing w:after="0"/>
        <w:rPr>
          <w:rFonts w:ascii="Arial" w:hAnsi="Arial" w:cs="Arial"/>
        </w:rPr>
      </w:pPr>
    </w:p>
    <w:p w14:paraId="18289BEC" w14:textId="77777777" w:rsidR="003A2A6E" w:rsidRDefault="003A2A6E" w:rsidP="00DA45F4">
      <w:pPr>
        <w:pStyle w:val="Body"/>
        <w:spacing w:after="0"/>
        <w:rPr>
          <w:rFonts w:ascii="Arial" w:hAnsi="Arial" w:cs="Arial"/>
        </w:rPr>
      </w:pPr>
    </w:p>
    <w:p w14:paraId="63620A35" w14:textId="77777777" w:rsidR="003A2A6E" w:rsidRPr="00DA45F4" w:rsidRDefault="003A2A6E" w:rsidP="00DA45F4">
      <w:pPr>
        <w:pStyle w:val="Body"/>
        <w:spacing w:after="0"/>
        <w:rPr>
          <w:rFonts w:ascii="Arial" w:hAnsi="Arial" w:cs="Arial"/>
        </w:rPr>
      </w:pPr>
    </w:p>
    <w:p w14:paraId="7EBC7CC3" w14:textId="77777777" w:rsidR="00DA45F4" w:rsidRDefault="00DA45F4" w:rsidP="00DA45F4">
      <w:pPr>
        <w:pStyle w:val="Body"/>
        <w:spacing w:after="0"/>
        <w:rPr>
          <w:rFonts w:ascii="Arial" w:hAnsi="Arial" w:cs="Arial"/>
        </w:rPr>
      </w:pPr>
    </w:p>
    <w:p w14:paraId="2C0224F5" w14:textId="77777777" w:rsidR="00F15D77" w:rsidRPr="00F15D77" w:rsidRDefault="00F15D77" w:rsidP="00F15D77">
      <w:pPr>
        <w:pStyle w:val="Body"/>
        <w:spacing w:after="0"/>
        <w:rPr>
          <w:rFonts w:ascii="Arial" w:hAnsi="Arial" w:cs="Arial"/>
          <w:b/>
          <w:bCs/>
          <w:sz w:val="22"/>
          <w:szCs w:val="22"/>
        </w:rPr>
      </w:pPr>
      <w:r w:rsidRPr="00F15D77">
        <w:rPr>
          <w:rFonts w:ascii="Arial" w:hAnsi="Arial" w:cs="Arial"/>
          <w:b/>
          <w:bCs/>
          <w:sz w:val="22"/>
          <w:szCs w:val="22"/>
        </w:rPr>
        <w:t>2.8. Data Extraction and Coding</w:t>
      </w:r>
    </w:p>
    <w:p w14:paraId="4AC3A220" w14:textId="77777777" w:rsidR="00F15D77" w:rsidRDefault="00F15D77" w:rsidP="00F15D77">
      <w:pPr>
        <w:pStyle w:val="Body"/>
        <w:spacing w:after="0"/>
        <w:rPr>
          <w:rFonts w:ascii="Arial" w:hAnsi="Arial" w:cs="Arial"/>
        </w:rPr>
      </w:pPr>
    </w:p>
    <w:p w14:paraId="695088F8" w14:textId="031B561F" w:rsidR="00F15D77" w:rsidRDefault="00F15D77" w:rsidP="00F15D77">
      <w:pPr>
        <w:pStyle w:val="Body"/>
        <w:spacing w:after="0"/>
        <w:rPr>
          <w:rFonts w:ascii="Arial" w:hAnsi="Arial" w:cs="Arial"/>
        </w:rPr>
      </w:pPr>
      <w:r w:rsidRPr="00F15D77">
        <w:rPr>
          <w:rFonts w:ascii="Arial" w:hAnsi="Arial" w:cs="Arial"/>
        </w:rPr>
        <w:lastRenderedPageBreak/>
        <w:t>Data extraction was conducted systematically to ensure accuracy, reproducibility, and consistency throughout the review process. A standardized spreadsheet was developed in Microsoft Excel, where each of the 20 included studies was coded according to the following variables:</w:t>
      </w:r>
    </w:p>
    <w:p w14:paraId="53ECBA26" w14:textId="77777777" w:rsidR="008A1202" w:rsidRPr="00F15D77" w:rsidRDefault="008A1202" w:rsidP="00F15D77">
      <w:pPr>
        <w:pStyle w:val="Body"/>
        <w:spacing w:after="0"/>
        <w:rPr>
          <w:rFonts w:ascii="Arial" w:hAnsi="Arial" w:cs="Arial"/>
        </w:rPr>
      </w:pPr>
    </w:p>
    <w:p w14:paraId="51A37440" w14:textId="36B0765D" w:rsidR="00F15D77" w:rsidRPr="00F15D77" w:rsidRDefault="00F15D77" w:rsidP="00F15D77">
      <w:pPr>
        <w:pStyle w:val="Body"/>
        <w:numPr>
          <w:ilvl w:val="0"/>
          <w:numId w:val="41"/>
        </w:numPr>
        <w:spacing w:after="0"/>
        <w:rPr>
          <w:rFonts w:ascii="Arial" w:hAnsi="Arial" w:cs="Arial"/>
        </w:rPr>
      </w:pPr>
      <w:r w:rsidRPr="00F15D77">
        <w:rPr>
          <w:rFonts w:ascii="Arial" w:hAnsi="Arial" w:cs="Arial"/>
        </w:rPr>
        <w:t>Authorship and year of publication.</w:t>
      </w:r>
    </w:p>
    <w:p w14:paraId="06AF9325" w14:textId="376898DC" w:rsidR="00F15D77" w:rsidRPr="00F15D77" w:rsidRDefault="00F15D77" w:rsidP="00F15D77">
      <w:pPr>
        <w:pStyle w:val="Body"/>
        <w:numPr>
          <w:ilvl w:val="0"/>
          <w:numId w:val="41"/>
        </w:numPr>
        <w:spacing w:after="0"/>
        <w:rPr>
          <w:rFonts w:ascii="Arial" w:hAnsi="Arial" w:cs="Arial"/>
        </w:rPr>
      </w:pPr>
      <w:r w:rsidRPr="00F15D77">
        <w:rPr>
          <w:rFonts w:ascii="Arial" w:hAnsi="Arial" w:cs="Arial"/>
        </w:rPr>
        <w:t>Country or region of study.</w:t>
      </w:r>
    </w:p>
    <w:p w14:paraId="18ACA864" w14:textId="77777777" w:rsidR="00F15D77" w:rsidRPr="00F15D77" w:rsidRDefault="00F15D77" w:rsidP="00F15D77">
      <w:pPr>
        <w:pStyle w:val="Body"/>
        <w:numPr>
          <w:ilvl w:val="0"/>
          <w:numId w:val="41"/>
        </w:numPr>
        <w:spacing w:after="0"/>
        <w:rPr>
          <w:rFonts w:ascii="Arial" w:hAnsi="Arial" w:cs="Arial"/>
        </w:rPr>
      </w:pPr>
      <w:r w:rsidRPr="00F15D77">
        <w:rPr>
          <w:rFonts w:ascii="Arial" w:hAnsi="Arial" w:cs="Arial"/>
        </w:rPr>
        <w:t>Type of renewable energy source (e.g., solar, wind, bioenergy, hydropower);</w:t>
      </w:r>
    </w:p>
    <w:p w14:paraId="32C4D5C7" w14:textId="07A130A2" w:rsidR="00F15D77" w:rsidRPr="00F15D77" w:rsidRDefault="00F15D77" w:rsidP="00F15D77">
      <w:pPr>
        <w:pStyle w:val="Body"/>
        <w:numPr>
          <w:ilvl w:val="0"/>
          <w:numId w:val="41"/>
        </w:numPr>
        <w:spacing w:after="0"/>
        <w:rPr>
          <w:rFonts w:ascii="Arial" w:hAnsi="Arial" w:cs="Arial"/>
        </w:rPr>
      </w:pPr>
      <w:r w:rsidRPr="00F15D77">
        <w:rPr>
          <w:rFonts w:ascii="Arial" w:hAnsi="Arial" w:cs="Arial"/>
        </w:rPr>
        <w:t>Stakeholders involved (e.g., local communities, government agencies, private sector, NGOs).</w:t>
      </w:r>
    </w:p>
    <w:p w14:paraId="4449F7C7" w14:textId="184D5A93" w:rsidR="00F15D77" w:rsidRPr="00F15D77" w:rsidRDefault="00F15D77" w:rsidP="00F15D77">
      <w:pPr>
        <w:pStyle w:val="Body"/>
        <w:numPr>
          <w:ilvl w:val="0"/>
          <w:numId w:val="41"/>
        </w:numPr>
        <w:spacing w:after="0"/>
        <w:rPr>
          <w:rFonts w:ascii="Arial" w:hAnsi="Arial" w:cs="Arial"/>
        </w:rPr>
      </w:pPr>
      <w:r w:rsidRPr="00F15D77">
        <w:rPr>
          <w:rFonts w:ascii="Arial" w:hAnsi="Arial" w:cs="Arial"/>
        </w:rPr>
        <w:t>Engagement strategies (e.g., participatory planning, community ownership models, co-management).</w:t>
      </w:r>
    </w:p>
    <w:p w14:paraId="64B367E1" w14:textId="4D1BECC5" w:rsidR="00F15D77" w:rsidRPr="00F15D77" w:rsidRDefault="00F15D77" w:rsidP="00F15D77">
      <w:pPr>
        <w:pStyle w:val="Body"/>
        <w:numPr>
          <w:ilvl w:val="0"/>
          <w:numId w:val="41"/>
        </w:numPr>
        <w:spacing w:after="0"/>
        <w:rPr>
          <w:rFonts w:ascii="Arial" w:hAnsi="Arial" w:cs="Arial"/>
        </w:rPr>
      </w:pPr>
      <w:r w:rsidRPr="00F15D77">
        <w:rPr>
          <w:rFonts w:ascii="Arial" w:hAnsi="Arial" w:cs="Arial"/>
        </w:rPr>
        <w:t>Socioeconomic outcomes (e.g., employment generation, equity, land use, income diversification).</w:t>
      </w:r>
    </w:p>
    <w:p w14:paraId="51A513BB" w14:textId="77777777" w:rsidR="00F15D77" w:rsidRPr="00F15D77" w:rsidRDefault="00F15D77" w:rsidP="00F15D77">
      <w:pPr>
        <w:pStyle w:val="Body"/>
        <w:numPr>
          <w:ilvl w:val="0"/>
          <w:numId w:val="41"/>
        </w:numPr>
        <w:spacing w:after="0"/>
        <w:rPr>
          <w:rFonts w:ascii="Arial" w:hAnsi="Arial" w:cs="Arial"/>
        </w:rPr>
      </w:pPr>
      <w:r w:rsidRPr="00F15D77">
        <w:rPr>
          <w:rFonts w:ascii="Arial" w:hAnsi="Arial" w:cs="Arial"/>
        </w:rPr>
        <w:t>Governance frameworks (e.g., institutional arrangements, legal frameworks, participatory governance);</w:t>
      </w:r>
    </w:p>
    <w:p w14:paraId="44F2C37A" w14:textId="77777777" w:rsidR="00F15D77" w:rsidRPr="00F15D77" w:rsidRDefault="00F15D77" w:rsidP="00F15D77">
      <w:pPr>
        <w:pStyle w:val="Body"/>
        <w:numPr>
          <w:ilvl w:val="0"/>
          <w:numId w:val="41"/>
        </w:numPr>
        <w:spacing w:after="0"/>
        <w:rPr>
          <w:rFonts w:ascii="Arial" w:hAnsi="Arial" w:cs="Arial"/>
        </w:rPr>
      </w:pPr>
      <w:r w:rsidRPr="00F15D77">
        <w:rPr>
          <w:rFonts w:ascii="Arial" w:hAnsi="Arial" w:cs="Arial"/>
        </w:rPr>
        <w:t>Methodological approach (qualitative, quantitative, or mixed methods).</w:t>
      </w:r>
    </w:p>
    <w:p w14:paraId="3041F14B" w14:textId="77777777" w:rsidR="00F15D77" w:rsidRPr="00F15D77" w:rsidRDefault="00F15D77" w:rsidP="00F15D77">
      <w:pPr>
        <w:pStyle w:val="Body"/>
        <w:spacing w:after="0"/>
        <w:rPr>
          <w:rFonts w:ascii="Arial" w:hAnsi="Arial" w:cs="Arial"/>
        </w:rPr>
      </w:pPr>
      <w:r w:rsidRPr="00F15D77">
        <w:rPr>
          <w:rFonts w:ascii="Arial" w:hAnsi="Arial" w:cs="Arial"/>
        </w:rPr>
        <w:t>Two independent reviewers extracted the data, and any discrepancies were resolved through discussion until consensus was reached. This structured approach allowed for efficient organization, filtering, and subsequent thematic synthesis of evidence.</w:t>
      </w:r>
    </w:p>
    <w:p w14:paraId="3B6DD9CE" w14:textId="092C5E8C" w:rsidR="00DA45F4" w:rsidRPr="00DA45F4" w:rsidRDefault="00DA45F4" w:rsidP="00DA45F4">
      <w:pPr>
        <w:pStyle w:val="Body"/>
        <w:spacing w:after="0"/>
        <w:rPr>
          <w:rFonts w:ascii="Arial" w:hAnsi="Arial" w:cs="Arial"/>
        </w:rPr>
      </w:pPr>
    </w:p>
    <w:p w14:paraId="2181A198" w14:textId="77777777" w:rsidR="0096758C" w:rsidRDefault="0096758C" w:rsidP="0096758C">
      <w:pPr>
        <w:pStyle w:val="Body"/>
        <w:spacing w:after="0"/>
        <w:rPr>
          <w:rFonts w:ascii="Arial" w:hAnsi="Arial" w:cs="Arial"/>
          <w:b/>
          <w:bCs/>
        </w:rPr>
      </w:pPr>
      <w:r w:rsidRPr="0096758C">
        <w:rPr>
          <w:rFonts w:ascii="Arial" w:hAnsi="Arial" w:cs="Arial"/>
          <w:b/>
          <w:bCs/>
        </w:rPr>
        <w:t>2.9. Thematic Analysis and Categorization</w:t>
      </w:r>
    </w:p>
    <w:p w14:paraId="3CF406F2" w14:textId="77777777" w:rsidR="0096758C" w:rsidRPr="0096758C" w:rsidRDefault="0096758C" w:rsidP="0096758C">
      <w:pPr>
        <w:pStyle w:val="Body"/>
        <w:spacing w:after="0"/>
        <w:rPr>
          <w:rFonts w:ascii="Arial" w:hAnsi="Arial" w:cs="Arial"/>
          <w:b/>
          <w:bCs/>
        </w:rPr>
      </w:pPr>
    </w:p>
    <w:p w14:paraId="052117C5" w14:textId="77777777" w:rsidR="0096758C" w:rsidRDefault="0096758C" w:rsidP="0096758C">
      <w:pPr>
        <w:pStyle w:val="Body"/>
        <w:spacing w:after="0"/>
        <w:rPr>
          <w:rFonts w:ascii="Arial" w:hAnsi="Arial" w:cs="Arial"/>
        </w:rPr>
      </w:pPr>
      <w:r w:rsidRPr="0096758C">
        <w:rPr>
          <w:rFonts w:ascii="Arial" w:hAnsi="Arial" w:cs="Arial"/>
        </w:rPr>
        <w:t>A thematic content analysis was performed to identify patterns, recurrent concepts, and analytical frameworks across the selected studies. Using inductive and deductive coding, articles were categorized into four major thematic domains, reflecting the core research trends in the field:</w:t>
      </w:r>
    </w:p>
    <w:p w14:paraId="5C7DD82F" w14:textId="77777777" w:rsidR="0096758C" w:rsidRPr="0096758C" w:rsidRDefault="0096758C" w:rsidP="0096758C">
      <w:pPr>
        <w:pStyle w:val="Body"/>
        <w:spacing w:after="0"/>
        <w:rPr>
          <w:rFonts w:ascii="Arial" w:hAnsi="Arial" w:cs="Arial"/>
        </w:rPr>
      </w:pPr>
    </w:p>
    <w:p w14:paraId="619981FC"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Community Engagement and Social Acceptance (38%) – Studies examining participatory mechanisms, local empowerment, and community ownership in renewable energy projects, with emphasis on wind and solar energy transitions in rural settings.</w:t>
      </w:r>
    </w:p>
    <w:p w14:paraId="591C7AD6"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Governance and Participatory Models (30%) – Articles analyzing policy frameworks, institutional arrangements, co-decision mechanisms, and regulatory structures supporting inclusive and just transitions.</w:t>
      </w:r>
    </w:p>
    <w:p w14:paraId="34A138DD"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Socioeconomic and Rural Development Impacts (22%) – Studies addressing employment creation, income diversification, local investment, infrastructure development, and equity outcomes.</w:t>
      </w:r>
    </w:p>
    <w:p w14:paraId="280F36F3" w14:textId="77777777" w:rsidR="0096758C" w:rsidRPr="0096758C" w:rsidRDefault="0096758C" w:rsidP="0096758C">
      <w:pPr>
        <w:pStyle w:val="Body"/>
        <w:numPr>
          <w:ilvl w:val="0"/>
          <w:numId w:val="42"/>
        </w:numPr>
        <w:spacing w:after="0"/>
        <w:rPr>
          <w:rFonts w:ascii="Arial" w:hAnsi="Arial" w:cs="Arial"/>
        </w:rPr>
      </w:pPr>
      <w:r w:rsidRPr="0096758C">
        <w:rPr>
          <w:rFonts w:ascii="Arial" w:hAnsi="Arial" w:cs="Arial"/>
        </w:rPr>
        <w:t>Integrated Technical-Social Approaches (10%) – Interdisciplinary research combining technological assessments with socioeconomic and governance dimensions.</w:t>
      </w:r>
    </w:p>
    <w:p w14:paraId="45FDE699" w14:textId="77777777" w:rsidR="0096758C" w:rsidRDefault="0096758C" w:rsidP="0096758C">
      <w:pPr>
        <w:pStyle w:val="Body"/>
        <w:spacing w:after="0"/>
        <w:rPr>
          <w:rFonts w:ascii="Arial" w:hAnsi="Arial" w:cs="Arial"/>
        </w:rPr>
      </w:pPr>
    </w:p>
    <w:p w14:paraId="6ABBD8C0" w14:textId="14B6DB0B" w:rsidR="0096758C" w:rsidRPr="0096758C" w:rsidRDefault="0096758C" w:rsidP="0096758C">
      <w:pPr>
        <w:pStyle w:val="Body"/>
        <w:spacing w:after="0"/>
        <w:rPr>
          <w:rFonts w:ascii="Arial" w:hAnsi="Arial" w:cs="Arial"/>
        </w:rPr>
      </w:pPr>
      <w:r w:rsidRPr="0096758C">
        <w:rPr>
          <w:rFonts w:ascii="Arial" w:hAnsi="Arial" w:cs="Arial"/>
        </w:rPr>
        <w:t>The NVivo software (version 14) was used to support the qualitative coding process, facilitating systematic grouping of codes and visualization of thematic clusters. This structured analysis enabled the identification of knowledge gaps, such as the underrepresentation of studies from the Global South and limited focus on long-term community outcomes.</w:t>
      </w:r>
    </w:p>
    <w:p w14:paraId="77567F6F" w14:textId="77777777" w:rsidR="00A014FD" w:rsidRPr="0096758C" w:rsidRDefault="00A014FD" w:rsidP="00A014FD">
      <w:pPr>
        <w:pStyle w:val="Body"/>
        <w:spacing w:after="0"/>
        <w:rPr>
          <w:rFonts w:ascii="Arial" w:hAnsi="Arial" w:cs="Arial"/>
        </w:rPr>
      </w:pPr>
    </w:p>
    <w:p w14:paraId="3D6D9F17" w14:textId="77777777" w:rsidR="0096758C" w:rsidRPr="0096758C" w:rsidRDefault="0096758C" w:rsidP="0096758C">
      <w:pPr>
        <w:spacing w:before="100" w:beforeAutospacing="1" w:after="100" w:afterAutospacing="1"/>
        <w:jc w:val="both"/>
        <w:outlineLvl w:val="2"/>
        <w:rPr>
          <w:rFonts w:ascii="Arial" w:hAnsi="Arial" w:cs="Arial"/>
          <w:b/>
          <w:bCs/>
          <w:sz w:val="22"/>
          <w:szCs w:val="22"/>
        </w:rPr>
      </w:pPr>
      <w:r w:rsidRPr="0096758C">
        <w:rPr>
          <w:rFonts w:ascii="Arial" w:hAnsi="Arial" w:cs="Arial"/>
          <w:b/>
          <w:bCs/>
          <w:sz w:val="22"/>
          <w:szCs w:val="22"/>
        </w:rPr>
        <w:t>2.11. Limitations of the Review</w:t>
      </w:r>
    </w:p>
    <w:p w14:paraId="317CF9B1" w14:textId="77777777" w:rsidR="0096758C" w:rsidRPr="0096758C" w:rsidRDefault="0096758C" w:rsidP="0096758C">
      <w:pPr>
        <w:spacing w:before="100" w:beforeAutospacing="1" w:after="100" w:afterAutospacing="1"/>
        <w:jc w:val="both"/>
        <w:rPr>
          <w:rFonts w:ascii="Arial" w:hAnsi="Arial" w:cs="Arial"/>
        </w:rPr>
      </w:pPr>
      <w:r w:rsidRPr="0096758C">
        <w:rPr>
          <w:rFonts w:ascii="Arial" w:hAnsi="Arial" w:cs="Arial"/>
        </w:rPr>
        <w:t>This review is subject to several limitations. First, the inclusion of publications in English, Portuguese, and Spanish may have led to language bias, potentially excluding relevant research published in other languages, particularly from Asia and Africa. Second, despite an extensive search strategy, the reliance on peer-reviewed literature and selected databases may have introduced publication bias, as non-indexed or local studies might not have been captured.</w:t>
      </w:r>
    </w:p>
    <w:p w14:paraId="3D589F35" w14:textId="77777777" w:rsidR="00905E85" w:rsidRDefault="0096758C" w:rsidP="0096758C">
      <w:pPr>
        <w:spacing w:before="100" w:beforeAutospacing="1" w:after="100" w:afterAutospacing="1"/>
        <w:jc w:val="both"/>
        <w:rPr>
          <w:rFonts w:ascii="Arial" w:hAnsi="Arial" w:cs="Arial"/>
        </w:rPr>
      </w:pPr>
      <w:r w:rsidRPr="0096758C">
        <w:rPr>
          <w:rFonts w:ascii="Arial" w:hAnsi="Arial" w:cs="Arial"/>
        </w:rPr>
        <w:t>Additionally, the geographical distribution of studies was uneven, with a concentration in Europe (37%) and North America (26%), and limited representation from the Global South, particularly Africa (5%) and Latin America (9%). This imbalance reflects broader trends in academic production and may limit the generalizability of the findings to underrepresented regions.</w:t>
      </w:r>
    </w:p>
    <w:p w14:paraId="696C2493" w14:textId="77777777" w:rsidR="00790ADA" w:rsidRDefault="00790ADA" w:rsidP="00441B6F">
      <w:pPr>
        <w:pStyle w:val="Body"/>
        <w:spacing w:after="0"/>
        <w:rPr>
          <w:rFonts w:ascii="Arial" w:hAnsi="Arial" w:cs="Arial"/>
        </w:rPr>
      </w:pPr>
    </w:p>
    <w:p w14:paraId="0DB5DBF0" w14:textId="0EA19191" w:rsidR="008A1202" w:rsidRDefault="001E2F04" w:rsidP="00441B6F">
      <w:pPr>
        <w:pStyle w:val="Body"/>
        <w:spacing w:after="0"/>
        <w:rPr>
          <w:rFonts w:ascii="Arial" w:hAnsi="Arial" w:cs="Arial"/>
        </w:rPr>
      </w:pPr>
      <w:r w:rsidRPr="001E2F04">
        <w:rPr>
          <w:rFonts w:ascii="Arial" w:hAnsi="Arial" w:cs="Arial"/>
        </w:rPr>
        <w:t>Finally, the inclusion of additional studies from diverse geographic and socioeconomic contexts would further strengthen the validity and robustness of the findings, addressing current evidence gaps and reinforcing the overall argument of this review</w:t>
      </w:r>
    </w:p>
    <w:p w14:paraId="700B8456" w14:textId="77777777" w:rsidR="008A1202" w:rsidRDefault="008A1202" w:rsidP="00441B6F">
      <w:pPr>
        <w:pStyle w:val="Body"/>
        <w:spacing w:after="0"/>
        <w:rPr>
          <w:rFonts w:ascii="Arial" w:hAnsi="Arial" w:cs="Arial"/>
        </w:rPr>
      </w:pPr>
    </w:p>
    <w:p w14:paraId="0C8D0FFF" w14:textId="77777777" w:rsidR="008A1202" w:rsidRPr="0096758C" w:rsidRDefault="008A1202" w:rsidP="00441B6F">
      <w:pPr>
        <w:pStyle w:val="Body"/>
        <w:spacing w:after="0"/>
        <w:rPr>
          <w:rFonts w:ascii="Arial" w:hAnsi="Arial" w:cs="Arial"/>
        </w:rPr>
      </w:pPr>
    </w:p>
    <w:p w14:paraId="74C40DE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DFA1005" w14:textId="618B27D0" w:rsidR="00516C84" w:rsidRPr="00516C84" w:rsidRDefault="00516C84" w:rsidP="00516C84">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w:t>
      </w:r>
      <w:r w:rsidRPr="00516C84">
        <w:rPr>
          <w:rFonts w:ascii="Arial" w:hAnsi="Arial" w:cs="Arial"/>
          <w:b/>
          <w:bCs/>
          <w:sz w:val="22"/>
          <w:szCs w:val="22"/>
        </w:rPr>
        <w:t>1</w:t>
      </w:r>
      <w:r w:rsidRPr="00905E85">
        <w:rPr>
          <w:rFonts w:ascii="Arial" w:hAnsi="Arial" w:cs="Arial"/>
          <w:b/>
          <w:bCs/>
          <w:sz w:val="22"/>
          <w:szCs w:val="22"/>
        </w:rPr>
        <w:t xml:space="preserve"> </w:t>
      </w:r>
      <w:r w:rsidRPr="00516C84">
        <w:rPr>
          <w:rFonts w:ascii="Arial" w:hAnsi="Arial" w:cs="Arial"/>
          <w:b/>
          <w:bCs/>
          <w:sz w:val="22"/>
          <w:szCs w:val="22"/>
        </w:rPr>
        <w:t>Overview of Main Findings</w:t>
      </w:r>
    </w:p>
    <w:p w14:paraId="3D455BDE" w14:textId="77777777" w:rsidR="00516C84" w:rsidRPr="00516C84" w:rsidRDefault="00516C84" w:rsidP="00516C84">
      <w:pPr>
        <w:spacing w:before="100" w:beforeAutospacing="1" w:after="100" w:afterAutospacing="1"/>
        <w:jc w:val="both"/>
        <w:rPr>
          <w:rFonts w:ascii="Arial" w:hAnsi="Arial" w:cs="Arial"/>
        </w:rPr>
      </w:pPr>
      <w:r w:rsidRPr="00516C84">
        <w:rPr>
          <w:rFonts w:ascii="Arial" w:hAnsi="Arial" w:cs="Arial"/>
        </w:rPr>
        <w:lastRenderedPageBreak/>
        <w:t>The literature on renewable energy transitions in agricultural landscapes consistently demonstrates that community engagement is not peripheral but structurally central to the success of energy projects [6,7]. Systematic reviews across Europe, North America, and parts of Asia have shown that projects with active community participation and transparent benefit-sharing mechanisms display lower levels of organized resistance and more stable long-term operation. This is particularly evident in cooperative and hybrid governance models, where farmers and residents are not only consulted but involved in decision-making and profit allocation.</w:t>
      </w:r>
    </w:p>
    <w:p w14:paraId="28E23B80" w14:textId="6F760BA9" w:rsidR="00516C84" w:rsidRPr="00516C84" w:rsidRDefault="00516C84" w:rsidP="00516C84">
      <w:pPr>
        <w:spacing w:before="100" w:beforeAutospacing="1" w:after="100" w:afterAutospacing="1"/>
        <w:jc w:val="both"/>
        <w:rPr>
          <w:rFonts w:ascii="Arial" w:hAnsi="Arial" w:cs="Arial"/>
        </w:rPr>
      </w:pPr>
      <w:r w:rsidRPr="00516C84">
        <w:rPr>
          <w:rFonts w:ascii="Arial" w:hAnsi="Arial" w:cs="Arial"/>
        </w:rPr>
        <w:t xml:space="preserve">Beyond social acceptance, the quality and depth of engagement have been shown to directly influence the socioeconomic impacts of these initiatives. Well-structured community projects generate local income through leasing agreements, local job creation during installation and operation, and increased energy self-sufficiency [8,9]. They also reinforce local trust networks and strengthen social capital, particularly in rural regions where energy projects intersect with identity, land tenure, and livelihood. Conversely, projects developed without meaningful engagement often face social </w:t>
      </w:r>
      <w:r w:rsidRPr="00905E85">
        <w:rPr>
          <w:rFonts w:ascii="Arial" w:hAnsi="Arial" w:cs="Arial"/>
        </w:rPr>
        <w:t>backlashes</w:t>
      </w:r>
      <w:r w:rsidRPr="00516C84">
        <w:rPr>
          <w:rFonts w:ascii="Arial" w:hAnsi="Arial" w:cs="Arial"/>
        </w:rPr>
        <w:t>, land-use disputes, and delays in implementation.</w:t>
      </w:r>
    </w:p>
    <w:p w14:paraId="0A116DE7" w14:textId="0BC075D6" w:rsidR="00516C84" w:rsidRPr="00516C84" w:rsidRDefault="00516C84" w:rsidP="00516C84">
      <w:pPr>
        <w:spacing w:before="100" w:beforeAutospacing="1" w:after="100" w:afterAutospacing="1"/>
        <w:jc w:val="both"/>
        <w:rPr>
          <w:rFonts w:ascii="Times New Roman" w:hAnsi="Times New Roman"/>
          <w:sz w:val="24"/>
          <w:szCs w:val="24"/>
        </w:rPr>
      </w:pPr>
      <w:r w:rsidRPr="00516C84">
        <w:rPr>
          <w:rFonts w:ascii="Arial" w:hAnsi="Arial" w:cs="Arial"/>
        </w:rPr>
        <w:t xml:space="preserve">A crucial finding is </w:t>
      </w:r>
      <w:r w:rsidRPr="00905E85">
        <w:rPr>
          <w:rFonts w:ascii="Arial" w:hAnsi="Arial" w:cs="Arial"/>
        </w:rPr>
        <w:t>geographical</w:t>
      </w:r>
      <w:r w:rsidRPr="00516C84">
        <w:rPr>
          <w:rFonts w:ascii="Arial" w:hAnsi="Arial" w:cs="Arial"/>
        </w:rPr>
        <w:t xml:space="preserve"> asymmetry in both research and implementation. Approximately 70% of published studies are concentrated in Europe and North America, while the Global South remains underrepresented [10]. This uneven distribution of knowledge and resources creates structural inequities, limiting the adaptability of existing models to more complex sociocultural contexts in Africa, Latin America, and parts of Asia. It also underscores the urgent need for context-sensitive approaches to ensure equitable global energy transitions.</w:t>
      </w:r>
    </w:p>
    <w:p w14:paraId="123683B0" w14:textId="5EB84CD3"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w:t>
      </w:r>
      <w:r>
        <w:rPr>
          <w:rFonts w:ascii="Arial" w:hAnsi="Arial" w:cs="Arial"/>
          <w:b/>
          <w:bCs/>
          <w:sz w:val="22"/>
          <w:szCs w:val="22"/>
        </w:rPr>
        <w:t>2</w:t>
      </w:r>
      <w:r w:rsidRPr="00905E85">
        <w:rPr>
          <w:rFonts w:ascii="Arial" w:hAnsi="Arial" w:cs="Arial"/>
          <w:b/>
          <w:bCs/>
          <w:sz w:val="22"/>
          <w:szCs w:val="22"/>
        </w:rPr>
        <w:t xml:space="preserve"> Thematic Patterns and Conceptual Advances</w:t>
      </w:r>
    </w:p>
    <w:p w14:paraId="4C3C5CB6"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Recent scholarship reveals three dominant thematic axes shaping this field: (</w:t>
      </w:r>
      <w:proofErr w:type="spellStart"/>
      <w:r w:rsidRPr="00905E85">
        <w:rPr>
          <w:rFonts w:ascii="Arial" w:hAnsi="Arial" w:cs="Arial"/>
        </w:rPr>
        <w:t>i</w:t>
      </w:r>
      <w:proofErr w:type="spellEnd"/>
      <w:r w:rsidRPr="00905E85">
        <w:rPr>
          <w:rFonts w:ascii="Arial" w:hAnsi="Arial" w:cs="Arial"/>
        </w:rPr>
        <w:t xml:space="preserve">) the rise of community-based governance structures such as energy cooperatives and energy communities; (ii) the institutionalization of energy justice frameworks, including distributive, procedural, and recognition dimensions; and (iii) the development of </w:t>
      </w:r>
      <w:proofErr w:type="spellStart"/>
      <w:r w:rsidRPr="00905E85">
        <w:rPr>
          <w:rFonts w:ascii="Arial" w:hAnsi="Arial" w:cs="Arial"/>
        </w:rPr>
        <w:t>agro</w:t>
      </w:r>
      <w:proofErr w:type="spellEnd"/>
      <w:r w:rsidRPr="00905E85">
        <w:rPr>
          <w:rFonts w:ascii="Arial" w:hAnsi="Arial" w:cs="Arial"/>
        </w:rPr>
        <w:t xml:space="preserve">-energy hybrid models, particularly </w:t>
      </w:r>
      <w:proofErr w:type="spellStart"/>
      <w:r w:rsidRPr="00905E85">
        <w:rPr>
          <w:rFonts w:ascii="Arial" w:hAnsi="Arial" w:cs="Arial"/>
        </w:rPr>
        <w:t>agrivoltaics</w:t>
      </w:r>
      <w:proofErr w:type="spellEnd"/>
      <w:r w:rsidRPr="00905E85">
        <w:rPr>
          <w:rFonts w:ascii="Arial" w:hAnsi="Arial" w:cs="Arial"/>
        </w:rPr>
        <w:t>, which integrate agricultural production and energy generation [11–13]. These conceptual advances indicate a broader shift from purely technical approaches to socio-technical transition paradigms.</w:t>
      </w:r>
    </w:p>
    <w:p w14:paraId="42BDA2E2"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Participatory energy governance represents a structural shift in how energy is produced and managed. Instead of relying exclusively on centralized corporate or state-owned utilities, these models enable farmers, municipalities, and cooperatives to directly participate in decision-making and ownership [14]. This not only enhances democratic legitimacy but also redistributes economic power within rural territories, increasing resilience and local investment retention.</w:t>
      </w:r>
    </w:p>
    <w:p w14:paraId="001EA01B" w14:textId="1FDB0AC4"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Additionally, energy justice frameworks are increasingly embedded in both research and policy. These approaches emphasize that who participates, who benefits, and whose voice is recognized are just as important as technical feasibility [15]. This conceptual evolution is mirrored in EU energy directives, national strategies in countries like Germany and Denmark, and pilot projects in the Global South, providing a theoretical and normative foundation for more equitable transitions.</w:t>
      </w:r>
    </w:p>
    <w:p w14:paraId="3FE252A5" w14:textId="492FEB34"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w:t>
      </w:r>
      <w:r>
        <w:rPr>
          <w:rFonts w:ascii="Arial" w:hAnsi="Arial" w:cs="Arial"/>
          <w:b/>
          <w:bCs/>
          <w:sz w:val="22"/>
          <w:szCs w:val="22"/>
        </w:rPr>
        <w:t>3</w:t>
      </w:r>
      <w:r w:rsidRPr="00905E85">
        <w:rPr>
          <w:rFonts w:ascii="Arial" w:hAnsi="Arial" w:cs="Arial"/>
          <w:b/>
          <w:bCs/>
          <w:sz w:val="22"/>
          <w:szCs w:val="22"/>
        </w:rPr>
        <w:t xml:space="preserve"> </w:t>
      </w:r>
      <w:r>
        <w:rPr>
          <w:rFonts w:ascii="Arial" w:hAnsi="Arial" w:cs="Arial"/>
          <w:b/>
          <w:bCs/>
          <w:sz w:val="22"/>
          <w:szCs w:val="22"/>
        </w:rPr>
        <w:t>Community</w:t>
      </w:r>
      <w:r w:rsidRPr="00905E85">
        <w:rPr>
          <w:rFonts w:ascii="Arial" w:hAnsi="Arial" w:cs="Arial"/>
          <w:b/>
          <w:bCs/>
          <w:sz w:val="22"/>
          <w:szCs w:val="22"/>
        </w:rPr>
        <w:t xml:space="preserve"> Engagement and Social Acceptance</w:t>
      </w:r>
    </w:p>
    <w:p w14:paraId="137A9933" w14:textId="093419CD"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 xml:space="preserve">Social acceptance of renewable energy projects in agricultural settings hinges not only on environmental or economic concerns but on perceived fairness, legitimacy, and agency. Empirical studies show that communities are significantly more supportive of projects when they experience transparency, active participation, and shared benefits [16,17]. This pattern is particularly strong in </w:t>
      </w:r>
      <w:proofErr w:type="spellStart"/>
      <w:r w:rsidRPr="00905E85">
        <w:rPr>
          <w:rFonts w:ascii="Arial" w:hAnsi="Arial" w:cs="Arial"/>
        </w:rPr>
        <w:t>agrivoltaics</w:t>
      </w:r>
      <w:proofErr w:type="spellEnd"/>
      <w:r w:rsidRPr="00905E85">
        <w:rPr>
          <w:rFonts w:ascii="Arial" w:hAnsi="Arial" w:cs="Arial"/>
        </w:rPr>
        <w:t xml:space="preserve"> initiatives and cooperative energy schemes, where local actors transition from passive land providers to co-owners or co-managers.</w:t>
      </w:r>
    </w:p>
    <w:p w14:paraId="6153FF5C" w14:textId="77777777"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By contrast, projects imposed through top-down decision-making, without meaningful consultation or economic inclusion, tend to face organized resistance. Documented cases in France, Germany, and the United States highlight how communities mobilize against projects when benefits are externalized or when landscape impacts are poorly managed [18]. This can lead to project cancellation, costly delays, or lasting distrust between developers and rural residents.</w:t>
      </w:r>
    </w:p>
    <w:p w14:paraId="6E785159" w14:textId="77777777"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Importantly, acceptance is a dynamic process, not a static event. Projects that only engage communities at the planning stage and fail to sustain communication and transparency during operation often face conflicts in later phases [19]. Conversely, projects that maintain participatory structures and financial clarity over time tend to build institutional legitimacy, weather political or regulatory changes more effectively, and deliver more stable social and economic outcomes.</w:t>
      </w:r>
    </w:p>
    <w:p w14:paraId="5CCB851E" w14:textId="5ACDAA27"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3.4 Governance Structures and Participatory Models</w:t>
      </w:r>
    </w:p>
    <w:p w14:paraId="42DD34CC"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lastRenderedPageBreak/>
        <w:t>Governance structures determine how power, responsibilities, and benefits are distributed within renewable energy transitions. The formal recognition of energy communities in EU legislation has been a turning point in energy decentralization [20,21]. These frameworks grant local actors the right to produce, consume, and trade energy collectively, paving the way for more democratic and territorially rooted governance. Cooperative structures in Denmark and Germany have become international reference models, demonstrating how transparent governance can sustain public support over decades [22].</w:t>
      </w:r>
    </w:p>
    <w:p w14:paraId="3B3F5F9C" w14:textId="67928DE3"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Institutional strength is equally critical. Projects supported by formal participatory mechanisms such as local councils, cooperative boards, and structured assemblies tend to experience lower levels of conflict and greater procedural legitimacy [23]. Governance, in this sense, functions not only as a managerial tool but also as a political negotiation mechanism, balancing agricultural livelihoods, environmental standards, and investment objectives.</w:t>
      </w:r>
    </w:p>
    <w:p w14:paraId="1C170823" w14:textId="5E33D321"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However, in low- and middle-income countries, the absence of clear legal frameworks and institutional support often undermines these governance models [24]. Communities face barriers to formal organization and lack legal instruments to claim fair participation. As a result, developers retain most of the decision-making power, and communities are left with minimal economic gains. This demonstrates that participatory governance is not optional, it is a structural requirement for fair and sustainable energy transitions.</w:t>
      </w:r>
    </w:p>
    <w:p w14:paraId="016BFF89" w14:textId="5B86EE49"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3.5 Power Relations and Institutional Capacity</w:t>
      </w:r>
    </w:p>
    <w:p w14:paraId="122A647F"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Power asymmetries between local communities and energy developers shape both the process and the outcomes of renewable energy transitions. Large corporate actors often control capital, legal expertise, and technical know-how, leaving rural communities in a subordinate, reactive position [25]. Comparative studies in North America and Europe indicate that, without regulatory safeguards, farmers are reduced to simple leaseholders, capturing only a small fraction of project revenues [26].</w:t>
      </w:r>
    </w:p>
    <w:p w14:paraId="7F5E2364"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Nevertheless, this dynamic can be altered through institutional capacity-building and regulatory support. In Germany and Scandinavian countries, for example, governments provide legal, financial, and technical assistance to rural cooperatives, enabling them to negotiate on more equal terms. This support allows communities to participate as co-investors and co-owners, sharing both profits and decision-making authority [27,28]. Such arrangements have resulted in stronger local economies and higher project legitimacy.</w:t>
      </w:r>
    </w:p>
    <w:p w14:paraId="02E0DF66" w14:textId="121F3409"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Conversely, in settings with weak institutions, communities often lack collective bargaining power and rely on asymmetrical contracts that favor external developers [29]. This not only limits local benefits but also perpetuates rural marginalization in energy transitions. Strengthening local governance, legal literacy, and access to finance is therefore essential for reshaping power relations and achieving more just outcomes</w:t>
      </w:r>
    </w:p>
    <w:p w14:paraId="53F47666" w14:textId="49F148C4" w:rsid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3.6 Socioeconomic Impacts in Agricultural Landscapes</w:t>
      </w:r>
    </w:p>
    <w:p w14:paraId="4F636617" w14:textId="77777777"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Renewable energy transitions can generate significant socioeconomic impacts in rural areas. Well-designed projects contribute to local income generation through leasing schemes, create direct and indirect employment in installation, maintenance, and logistics, and reduce farmers’ operational energy costs [30]. These impacts are often amplified in cooperative and community-led models, where economic benefits circulate locally rather than being exported to external stakeholders.</w:t>
      </w:r>
    </w:p>
    <w:p w14:paraId="3350589F" w14:textId="5F396928"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Another key dimension involves social capital formation. Participatory energy projects strengthen local networks, build trust between stakeholders, and can stimulate complementary economic activities such as Agri-tourism or local value-added industries [31]. In several European case studies, communities involved in renewable energy projects reported increased perceptions of empowerment, improved infrastructure, and greater resilience to external economic shocks.</w:t>
      </w:r>
    </w:p>
    <w:p w14:paraId="282CC6C2" w14:textId="68F20C3E" w:rsidR="00905E85" w:rsidRPr="00905E85" w:rsidRDefault="00905E85" w:rsidP="00905E85">
      <w:pPr>
        <w:spacing w:before="100" w:beforeAutospacing="1" w:after="100" w:afterAutospacing="1"/>
        <w:jc w:val="both"/>
        <w:rPr>
          <w:rFonts w:ascii="Arial" w:hAnsi="Arial" w:cs="Arial"/>
        </w:rPr>
      </w:pPr>
      <w:r w:rsidRPr="00905E85">
        <w:rPr>
          <w:rFonts w:ascii="Arial" w:hAnsi="Arial" w:cs="Arial"/>
        </w:rPr>
        <w:t>However, the distribution of benefits is not automatic. Socioeconomic outcomes depend heavily on governance arrangements, legal frameworks, and financing mechanisms [32]. Projects developed without equitable benefit-sharing often exacerbate existing inequalities, while inclusive models can help close rural development gaps. Thus, renewable energy in agricultural landscapes is both a technical and a social development issue.</w:t>
      </w:r>
    </w:p>
    <w:p w14:paraId="4A3C1908" w14:textId="0E538A51" w:rsidR="00905E85" w:rsidRPr="00905E85" w:rsidRDefault="00905E85" w:rsidP="00905E85">
      <w:pPr>
        <w:spacing w:before="100" w:beforeAutospacing="1" w:after="100" w:afterAutospacing="1"/>
        <w:jc w:val="both"/>
        <w:outlineLvl w:val="1"/>
        <w:rPr>
          <w:rFonts w:ascii="Arial" w:hAnsi="Arial" w:cs="Arial"/>
          <w:b/>
          <w:bCs/>
          <w:sz w:val="22"/>
          <w:szCs w:val="22"/>
        </w:rPr>
      </w:pPr>
      <w:r w:rsidRPr="00905E85">
        <w:rPr>
          <w:rFonts w:ascii="Arial" w:hAnsi="Arial" w:cs="Arial"/>
          <w:b/>
          <w:bCs/>
          <w:sz w:val="22"/>
          <w:szCs w:val="22"/>
        </w:rPr>
        <w:t>3.7 Land Use Dynamics and Conflict Mediation</w:t>
      </w:r>
    </w:p>
    <w:p w14:paraId="29E07EB1" w14:textId="77777777"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lastRenderedPageBreak/>
        <w:t>Renewable energy projects frequently intersect with agricultural land, triggering complex land-use dynamics. When projects compete directly with agricultural production, especially in regions with strong land attachment, tensions can escalate into active opposition [33]. This is particularly true for utility-scale solar and wind farms that alter landscapes and restrict agricultural activities. In these contexts, land is not only an economic asset but also a cultural and identity marker, amplifying the social stakes of energy transitions.</w:t>
      </w:r>
    </w:p>
    <w:p w14:paraId="246909AB" w14:textId="6506937B" w:rsidR="00905E85" w:rsidRPr="00905E85" w:rsidRDefault="00905E85" w:rsidP="00905E85">
      <w:pPr>
        <w:spacing w:before="100" w:beforeAutospacing="1" w:after="100" w:afterAutospacing="1"/>
        <w:jc w:val="both"/>
        <w:outlineLvl w:val="1"/>
        <w:rPr>
          <w:rFonts w:ascii="Arial" w:hAnsi="Arial" w:cs="Arial"/>
        </w:rPr>
      </w:pPr>
      <w:r w:rsidRPr="00905E85">
        <w:rPr>
          <w:rFonts w:ascii="Arial" w:hAnsi="Arial" w:cs="Arial"/>
        </w:rPr>
        <w:t xml:space="preserve">Conflict mediation strategies have proven effective in mitigating these tensions. Participatory planning, early community engagement, and co-design approaches allow local actors to shape project sitting, scale, and operational models [34]. </w:t>
      </w:r>
      <w:proofErr w:type="spellStart"/>
      <w:r w:rsidRPr="00905E85">
        <w:rPr>
          <w:rFonts w:ascii="Arial" w:hAnsi="Arial" w:cs="Arial"/>
        </w:rPr>
        <w:t>Agrivoltaics</w:t>
      </w:r>
      <w:proofErr w:type="spellEnd"/>
      <w:r w:rsidRPr="00905E85">
        <w:rPr>
          <w:rFonts w:ascii="Arial" w:hAnsi="Arial" w:cs="Arial"/>
        </w:rPr>
        <w:t xml:space="preserve"> is a promising solution that integrates energy production with agricultural practices, minimizing land competition and increasing acceptance among farmers. Such hybrid models align environmental objectives with rural development priorities.</w:t>
      </w:r>
    </w:p>
    <w:p w14:paraId="2055D2A6" w14:textId="462B9FAC" w:rsidR="00790ADA" w:rsidRPr="00FB3A86" w:rsidRDefault="00905E85" w:rsidP="00905E85">
      <w:pPr>
        <w:spacing w:before="100" w:beforeAutospacing="1" w:after="100" w:afterAutospacing="1"/>
        <w:jc w:val="both"/>
        <w:outlineLvl w:val="1"/>
        <w:rPr>
          <w:rFonts w:ascii="Arial" w:hAnsi="Arial" w:cs="Arial"/>
        </w:rPr>
      </w:pPr>
      <w:r w:rsidRPr="00905E85">
        <w:rPr>
          <w:rFonts w:ascii="Arial" w:hAnsi="Arial" w:cs="Arial"/>
        </w:rPr>
        <w:t>Moreover, studies emphasize the importance of institutionalizing mediation mechanisms rather than relying on ad hoc negotiations [35]. Legal and regulatory frameworks that mandate transparent consultation and benefit-sharing can prevent conflicts before they escalate. This shifts project development from reactive conflict management to proactive conflict prevention, enabling smoother energy transitions in agricultural territories.</w:t>
      </w:r>
    </w:p>
    <w:p w14:paraId="2C156081" w14:textId="77777777" w:rsidR="00790ADA" w:rsidRPr="00FB3A86" w:rsidRDefault="00790ADA" w:rsidP="00441B6F">
      <w:pPr>
        <w:pStyle w:val="Body"/>
        <w:spacing w:after="0"/>
        <w:rPr>
          <w:rFonts w:ascii="Arial" w:hAnsi="Arial" w:cs="Arial"/>
        </w:rPr>
      </w:pPr>
    </w:p>
    <w:p w14:paraId="4B240D6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1240343" w14:textId="77777777" w:rsidR="00790ADA" w:rsidRPr="00FB3A86" w:rsidRDefault="00790ADA" w:rsidP="00441B6F">
      <w:pPr>
        <w:pStyle w:val="ConcHead"/>
        <w:spacing w:after="0"/>
        <w:jc w:val="both"/>
        <w:rPr>
          <w:rFonts w:ascii="Arial" w:hAnsi="Arial" w:cs="Arial"/>
        </w:rPr>
      </w:pPr>
    </w:p>
    <w:p w14:paraId="4A37B184" w14:textId="62D790DD" w:rsidR="008A1202" w:rsidRPr="008A1202" w:rsidRDefault="008A1202" w:rsidP="008A1202">
      <w:pPr>
        <w:pStyle w:val="Body"/>
        <w:rPr>
          <w:rFonts w:ascii="Arial" w:hAnsi="Arial" w:cs="Arial"/>
        </w:rPr>
      </w:pPr>
      <w:r w:rsidRPr="008A1202">
        <w:rPr>
          <w:rFonts w:ascii="Arial" w:hAnsi="Arial" w:cs="Arial"/>
        </w:rPr>
        <w:t>This integrative literature review provides robust evidence that community engagement is not merely a complementary factor but a structural pillar in the transition toward renewable energy systems in agricultural landscapes. Across diverse geographic contexts, participatory governance, cooperative ownership models, and transparent benefit-sharing mechanisms consistently emerge as decisive elements for achieving high levels of social acceptance, equitable distribution of benefits, and project durability. These processes not only foster trust between communities, developers, and policymakers but also strengthen local social capital, stimulate rural economic diversification, and promote greater territorial resilience in the face of global energy challenges.</w:t>
      </w:r>
    </w:p>
    <w:p w14:paraId="3F6CBDC4" w14:textId="3CBF9E0D" w:rsidR="008A1202" w:rsidRPr="008A1202" w:rsidRDefault="008A1202" w:rsidP="008A1202">
      <w:pPr>
        <w:pStyle w:val="Body"/>
        <w:rPr>
          <w:rFonts w:ascii="Arial" w:hAnsi="Arial" w:cs="Arial"/>
        </w:rPr>
      </w:pPr>
      <w:r w:rsidRPr="008A1202">
        <w:rPr>
          <w:rFonts w:ascii="Arial" w:hAnsi="Arial" w:cs="Arial"/>
        </w:rPr>
        <w:t>The thematic synthesis of the 20 studies included in this review revealed four dominant research domains: community engagement and social acceptance, governance and participatory models, socioeconomic impacts, and integrated socio-technical approaches. Together, these dimensions illustrate that successful energy transitions require the articulation of technical innovation with democratic, inclusive, and community-led governance frameworks. Regions where energy cooperatives, community energy schemes, and local councils play a formal role in project planning and management tend to demonstrate lower resistance rates, stronger political legitimacy, and longer-term sustainability.</w:t>
      </w:r>
    </w:p>
    <w:p w14:paraId="525D6D58" w14:textId="6538AFF7" w:rsidR="008A1202" w:rsidRPr="008A1202" w:rsidRDefault="008A1202" w:rsidP="008A1202">
      <w:pPr>
        <w:pStyle w:val="Body"/>
        <w:rPr>
          <w:rFonts w:ascii="Arial" w:hAnsi="Arial" w:cs="Arial"/>
        </w:rPr>
      </w:pPr>
      <w:r w:rsidRPr="008A1202">
        <w:rPr>
          <w:rFonts w:ascii="Arial" w:hAnsi="Arial" w:cs="Arial"/>
        </w:rPr>
        <w:t>Nevertheless, this review also exposes significant research gaps and structural asymmetries. There is a clear geographical concentration of studies in Europe and North America, while regions of the Global South</w:t>
      </w:r>
      <w:r>
        <w:rPr>
          <w:rFonts w:ascii="Arial" w:hAnsi="Arial" w:cs="Arial"/>
        </w:rPr>
        <w:t xml:space="preserve"> </w:t>
      </w:r>
      <w:r w:rsidRPr="008A1202">
        <w:rPr>
          <w:rFonts w:ascii="Arial" w:hAnsi="Arial" w:cs="Arial"/>
        </w:rPr>
        <w:t>particularly Africa and Latin America</w:t>
      </w:r>
      <w:r>
        <w:rPr>
          <w:rFonts w:ascii="Arial" w:hAnsi="Arial" w:cs="Arial"/>
        </w:rPr>
        <w:t xml:space="preserve"> </w:t>
      </w:r>
      <w:r w:rsidRPr="008A1202">
        <w:rPr>
          <w:rFonts w:ascii="Arial" w:hAnsi="Arial" w:cs="Arial"/>
        </w:rPr>
        <w:t>remain critically underrepresented in the literature. This imbalance limits the development of context-sensitive strategies adapted to rural realities characterized by distinct legal, cultural, institutional, and socio-economic conditions. Additionally, the predominance of cross-sectional study designs weakens the understanding of long-term community impacts, power redistribution, and adaptive governance processes over time.</w:t>
      </w:r>
    </w:p>
    <w:p w14:paraId="48A8326C" w14:textId="4EA7B62A" w:rsidR="008A1202" w:rsidRPr="008A1202" w:rsidRDefault="008A1202" w:rsidP="008A1202">
      <w:pPr>
        <w:pStyle w:val="Body"/>
        <w:rPr>
          <w:rFonts w:ascii="Arial" w:hAnsi="Arial" w:cs="Arial"/>
        </w:rPr>
      </w:pPr>
      <w:r w:rsidRPr="008A1202">
        <w:rPr>
          <w:rFonts w:ascii="Arial" w:hAnsi="Arial" w:cs="Arial"/>
        </w:rPr>
        <w:t>Addressing these gaps requires a multi-layered research and policy agenda. Future studies should prioritize longitudinal and participatory research methodologies that capture the dynamic evolution of community engagement throughout project lifecycles. Comparative studies across diverse rural contexts are essential to understand how local governance, cultural factors, and resource distribution shape energy transitions. Moreover, interdisciplinary approaches integrating social sciences, engineering, law, and economics are needed to bridge the persistent divide between technical design and social implementation.</w:t>
      </w:r>
    </w:p>
    <w:p w14:paraId="4C835F36" w14:textId="566B12EA" w:rsidR="008A1202" w:rsidRPr="008A1202" w:rsidRDefault="008A1202" w:rsidP="008A1202">
      <w:pPr>
        <w:pStyle w:val="Body"/>
        <w:rPr>
          <w:rFonts w:ascii="Arial" w:hAnsi="Arial" w:cs="Arial"/>
        </w:rPr>
      </w:pPr>
      <w:r w:rsidRPr="008A1202">
        <w:rPr>
          <w:rFonts w:ascii="Arial" w:hAnsi="Arial" w:cs="Arial"/>
        </w:rPr>
        <w:t>From a policy perspective, the findings of this review highlight the urgency of institutionalizing participatory governance mechanisms as a structural requirement, not an optional step, in energy transition strategies. Governments and funding agencies must strengthen legal frameworks that guarantee the right of communities to participate, co-own, and co-manage renewable energy projects. Transparent financial models, accessible credit mechanisms for cooperatives, and capacity-building programs can significantly enhance community agencies and autonomy.</w:t>
      </w:r>
    </w:p>
    <w:p w14:paraId="7DC620E2" w14:textId="66E86A44" w:rsidR="008A1202" w:rsidRDefault="008A1202" w:rsidP="008A1202">
      <w:pPr>
        <w:pStyle w:val="Body"/>
        <w:spacing w:after="0"/>
        <w:rPr>
          <w:rFonts w:ascii="Arial" w:hAnsi="Arial" w:cs="Arial"/>
        </w:rPr>
      </w:pPr>
      <w:r w:rsidRPr="008A1202">
        <w:rPr>
          <w:rFonts w:ascii="Arial" w:hAnsi="Arial" w:cs="Arial"/>
        </w:rPr>
        <w:t>In sum, community engagement represents both a pathway and a precondition for just, inclusive, and sustainable energy transitions in rural and agricultural landscapes. Empowering local actors transforms them from passive recipients of energy projects into co-producers of energy, knowledge, and governance. By doing so, renewable energy transitions can simultaneously advance decarbonization goals, promote rural development, reduce structural inequalities, and foster a more democratic and equitable energy future.</w:t>
      </w:r>
    </w:p>
    <w:p w14:paraId="4CF35DB2" w14:textId="77777777" w:rsidR="00371FB6" w:rsidRPr="00371FB6" w:rsidRDefault="00371FB6" w:rsidP="00441B6F">
      <w:pPr>
        <w:pStyle w:val="ReferHead"/>
        <w:spacing w:after="0"/>
        <w:jc w:val="both"/>
        <w:rPr>
          <w:rFonts w:ascii="Arial" w:hAnsi="Arial" w:cs="Arial"/>
          <w:bCs/>
        </w:rPr>
      </w:pPr>
    </w:p>
    <w:p w14:paraId="2FD1448F" w14:textId="77777777" w:rsidR="008A1202" w:rsidRPr="00786D36" w:rsidRDefault="008A1202" w:rsidP="008A1202">
      <w:pPr>
        <w:pStyle w:val="ReferHead"/>
        <w:spacing w:after="0"/>
        <w:jc w:val="both"/>
        <w:rPr>
          <w:rFonts w:ascii="Arial" w:hAnsi="Arial" w:cs="Arial"/>
          <w:bCs/>
        </w:rPr>
      </w:pPr>
      <w:r w:rsidRPr="00786D36">
        <w:rPr>
          <w:rFonts w:ascii="Arial" w:hAnsi="Arial" w:cs="Arial"/>
          <w:bCs/>
        </w:rPr>
        <w:t>Competing interests</w:t>
      </w:r>
    </w:p>
    <w:p w14:paraId="0A3FF7D2" w14:textId="77777777" w:rsidR="008A1202" w:rsidRDefault="008A1202" w:rsidP="008A1202">
      <w:pPr>
        <w:pStyle w:val="ReferHead"/>
        <w:spacing w:after="0"/>
        <w:jc w:val="both"/>
        <w:rPr>
          <w:rFonts w:ascii="Arial" w:hAnsi="Arial" w:cs="Arial"/>
          <w:b w:val="0"/>
          <w:caps w:val="0"/>
          <w:sz w:val="20"/>
        </w:rPr>
      </w:pPr>
    </w:p>
    <w:p w14:paraId="5312ECE8" w14:textId="11588273" w:rsidR="008A1202" w:rsidRDefault="008A1202" w:rsidP="008A1202">
      <w:pPr>
        <w:pStyle w:val="ReferHead"/>
        <w:spacing w:after="0"/>
        <w:jc w:val="both"/>
        <w:rPr>
          <w:rFonts w:ascii="Arial" w:hAnsi="Arial" w:cs="Arial"/>
          <w:b w:val="0"/>
          <w:caps w:val="0"/>
          <w:sz w:val="20"/>
        </w:rPr>
      </w:pPr>
      <w:r w:rsidRPr="00892EF7">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r w:rsidRPr="008A1202">
        <w:t xml:space="preserve"> </w:t>
      </w:r>
    </w:p>
    <w:p w14:paraId="77576083" w14:textId="77777777" w:rsidR="008A1202" w:rsidRDefault="008A1202" w:rsidP="008A1202">
      <w:pPr>
        <w:pStyle w:val="ReferHead"/>
        <w:spacing w:after="0"/>
        <w:jc w:val="both"/>
        <w:rPr>
          <w:rFonts w:ascii="Arial" w:hAnsi="Arial" w:cs="Arial"/>
          <w:bCs/>
        </w:rPr>
      </w:pPr>
    </w:p>
    <w:p w14:paraId="6BC47882" w14:textId="477F3D16" w:rsidR="008A1202" w:rsidRDefault="008A1202" w:rsidP="008A1202">
      <w:pPr>
        <w:pStyle w:val="ReferHead"/>
        <w:spacing w:after="0"/>
        <w:jc w:val="both"/>
        <w:rPr>
          <w:rFonts w:ascii="Arial" w:hAnsi="Arial" w:cs="Arial"/>
          <w:bCs/>
        </w:rPr>
      </w:pPr>
      <w:r w:rsidRPr="00371FB6">
        <w:rPr>
          <w:rFonts w:ascii="Arial" w:hAnsi="Arial" w:cs="Arial"/>
          <w:bCs/>
        </w:rPr>
        <w:t>Authors’ Contributions</w:t>
      </w:r>
    </w:p>
    <w:p w14:paraId="4BAB4087" w14:textId="77777777" w:rsidR="008A1202" w:rsidRDefault="008A1202" w:rsidP="008A1202">
      <w:pPr>
        <w:pStyle w:val="ReferHead"/>
        <w:spacing w:after="0"/>
        <w:jc w:val="both"/>
        <w:rPr>
          <w:rFonts w:ascii="Arial" w:hAnsi="Arial" w:cs="Arial"/>
          <w:b w:val="0"/>
          <w:caps w:val="0"/>
          <w:sz w:val="20"/>
        </w:rPr>
      </w:pPr>
    </w:p>
    <w:p w14:paraId="44BFCFF0" w14:textId="1DB5347C" w:rsidR="008A1202" w:rsidRDefault="008A1202" w:rsidP="008A1202">
      <w:pPr>
        <w:pStyle w:val="ReferHead"/>
        <w:spacing w:after="0"/>
        <w:jc w:val="both"/>
        <w:rPr>
          <w:rFonts w:ascii="Arial" w:hAnsi="Arial" w:cs="Arial"/>
          <w:b w:val="0"/>
          <w:caps w:val="0"/>
          <w:sz w:val="20"/>
        </w:rPr>
      </w:pPr>
      <w:proofErr w:type="spellStart"/>
      <w:r w:rsidRPr="008A1202">
        <w:rPr>
          <w:rFonts w:ascii="Arial" w:hAnsi="Arial" w:cs="Arial"/>
          <w:b w:val="0"/>
          <w:caps w:val="0"/>
          <w:sz w:val="20"/>
        </w:rPr>
        <w:t>Tayná</w:t>
      </w:r>
      <w:proofErr w:type="spellEnd"/>
      <w:r w:rsidRPr="008A1202">
        <w:rPr>
          <w:rFonts w:ascii="Arial" w:hAnsi="Arial" w:cs="Arial"/>
          <w:b w:val="0"/>
          <w:caps w:val="0"/>
          <w:sz w:val="20"/>
        </w:rPr>
        <w:t xml:space="preserve"> </w:t>
      </w:r>
      <w:proofErr w:type="spellStart"/>
      <w:r w:rsidRPr="008A1202">
        <w:rPr>
          <w:rFonts w:ascii="Arial" w:hAnsi="Arial" w:cs="Arial"/>
          <w:b w:val="0"/>
          <w:caps w:val="0"/>
          <w:sz w:val="20"/>
        </w:rPr>
        <w:t>Padilha</w:t>
      </w:r>
      <w:proofErr w:type="spellEnd"/>
      <w:r w:rsidRPr="008A1202">
        <w:rPr>
          <w:rFonts w:ascii="Arial" w:hAnsi="Arial" w:cs="Arial"/>
          <w:b w:val="0"/>
          <w:caps w:val="0"/>
          <w:sz w:val="20"/>
        </w:rPr>
        <w:t xml:space="preserve"> </w:t>
      </w:r>
      <w:proofErr w:type="spellStart"/>
      <w:r w:rsidRPr="008A1202">
        <w:rPr>
          <w:rFonts w:ascii="Arial" w:hAnsi="Arial" w:cs="Arial"/>
          <w:b w:val="0"/>
          <w:caps w:val="0"/>
          <w:sz w:val="20"/>
        </w:rPr>
        <w:t>Basqueroto</w:t>
      </w:r>
      <w:proofErr w:type="spellEnd"/>
      <w:r w:rsidRPr="008A1202">
        <w:rPr>
          <w:rFonts w:ascii="Arial" w:hAnsi="Arial" w:cs="Arial"/>
          <w:b w:val="0"/>
          <w:caps w:val="0"/>
          <w:sz w:val="20"/>
        </w:rPr>
        <w:t xml:space="preserve"> Antunes was responsible for the conceptualization and methodological design of the study, conducted an extensive literature review and formal analysis, and wrote the original draft of the manuscript, in addition to revising and editing the final text. Edward Antunes contributed to the conceptual discussion, critically reviewed the manuscript for intellectual content, and assisted in the writing, review, and editing process. </w:t>
      </w:r>
      <w:proofErr w:type="spellStart"/>
      <w:r w:rsidRPr="008A1202">
        <w:rPr>
          <w:rFonts w:ascii="Arial" w:hAnsi="Arial" w:cs="Arial"/>
          <w:b w:val="0"/>
          <w:caps w:val="0"/>
          <w:sz w:val="20"/>
        </w:rPr>
        <w:t>Luana</w:t>
      </w:r>
      <w:proofErr w:type="spellEnd"/>
      <w:r w:rsidRPr="008A1202">
        <w:rPr>
          <w:rFonts w:ascii="Arial" w:hAnsi="Arial" w:cs="Arial"/>
          <w:b w:val="0"/>
          <w:caps w:val="0"/>
          <w:sz w:val="20"/>
        </w:rPr>
        <w:t xml:space="preserve"> Oliveira </w:t>
      </w:r>
      <w:proofErr w:type="spellStart"/>
      <w:r w:rsidRPr="008A1202">
        <w:rPr>
          <w:rFonts w:ascii="Arial" w:hAnsi="Arial" w:cs="Arial"/>
          <w:b w:val="0"/>
          <w:caps w:val="0"/>
          <w:sz w:val="20"/>
        </w:rPr>
        <w:t>Bernardes</w:t>
      </w:r>
      <w:proofErr w:type="spellEnd"/>
      <w:r w:rsidRPr="008A1202">
        <w:rPr>
          <w:rFonts w:ascii="Arial" w:hAnsi="Arial" w:cs="Arial"/>
          <w:b w:val="0"/>
          <w:caps w:val="0"/>
          <w:sz w:val="20"/>
        </w:rPr>
        <w:t xml:space="preserve"> participated in the literature review and contextual analysis, integrating environmental perspectives relevant to the topic, and contributed to the review and editing of the manuscript. All authors have read and approved the final version of the manuscript.</w:t>
      </w:r>
    </w:p>
    <w:p w14:paraId="74B59979" w14:textId="77777777" w:rsidR="008A1202" w:rsidRDefault="008A1202" w:rsidP="008A1202">
      <w:pPr>
        <w:pStyle w:val="ReferHead"/>
        <w:spacing w:after="0"/>
        <w:jc w:val="both"/>
        <w:rPr>
          <w:rFonts w:ascii="Arial" w:hAnsi="Arial" w:cs="Arial"/>
          <w:bCs/>
        </w:rPr>
      </w:pPr>
    </w:p>
    <w:p w14:paraId="18177446" w14:textId="77777777" w:rsidR="008A1202" w:rsidRPr="008A1202" w:rsidRDefault="008A1202" w:rsidP="008A1202">
      <w:pPr>
        <w:pStyle w:val="ReferHead"/>
        <w:spacing w:after="0"/>
        <w:jc w:val="both"/>
        <w:rPr>
          <w:rFonts w:ascii="Arial" w:hAnsi="Arial" w:cs="Arial"/>
          <w:b w:val="0"/>
          <w:caps w:val="0"/>
          <w:szCs w:val="22"/>
        </w:rPr>
      </w:pPr>
    </w:p>
    <w:p w14:paraId="56D45BCC" w14:textId="77777777" w:rsidR="008A1202" w:rsidRPr="008A1202" w:rsidRDefault="008A1202" w:rsidP="008A1202">
      <w:pPr>
        <w:rPr>
          <w:rFonts w:ascii="Arial" w:eastAsia="Calibri" w:hAnsi="Arial" w:cs="Arial"/>
          <w:b/>
          <w:bCs/>
          <w:kern w:val="2"/>
          <w:sz w:val="22"/>
          <w:szCs w:val="22"/>
        </w:rPr>
      </w:pPr>
      <w:bookmarkStart w:id="1" w:name="_Hlk204003461"/>
      <w:r w:rsidRPr="008A1202">
        <w:rPr>
          <w:rFonts w:ascii="Arial" w:eastAsia="Calibri" w:hAnsi="Arial" w:cs="Arial"/>
          <w:b/>
          <w:bCs/>
          <w:kern w:val="2"/>
          <w:sz w:val="22"/>
          <w:szCs w:val="22"/>
        </w:rPr>
        <w:t xml:space="preserve">Disclaimer </w:t>
      </w:r>
    </w:p>
    <w:p w14:paraId="2BD28E0F" w14:textId="77777777" w:rsidR="008A1202" w:rsidRDefault="008A1202" w:rsidP="008A1202">
      <w:pPr>
        <w:rPr>
          <w:rFonts w:ascii="Arial" w:eastAsia="Calibri" w:hAnsi="Arial" w:cs="Arial"/>
          <w:kern w:val="2"/>
        </w:rPr>
      </w:pPr>
    </w:p>
    <w:p w14:paraId="47A08CF9" w14:textId="77777777" w:rsidR="008A1202" w:rsidRPr="008375F9" w:rsidRDefault="008A1202" w:rsidP="008A1202">
      <w:pPr>
        <w:rPr>
          <w:rFonts w:ascii="Arial" w:eastAsia="Calibri" w:hAnsi="Arial" w:cs="Arial"/>
          <w:kern w:val="2"/>
        </w:rPr>
      </w:pPr>
      <w:r w:rsidRPr="008375F9">
        <w:rPr>
          <w:rFonts w:ascii="Arial" w:eastAsia="Calibri" w:hAnsi="Arial" w:cs="Arial"/>
          <w:kern w:val="2"/>
        </w:rPr>
        <w:t>Author(s) hereby declares that NO generative AI technologies such as Large Language Models (</w:t>
      </w:r>
      <w:proofErr w:type="spellStart"/>
      <w:r w:rsidRPr="008375F9">
        <w:rPr>
          <w:rFonts w:ascii="Arial" w:eastAsia="Calibri" w:hAnsi="Arial" w:cs="Arial"/>
          <w:kern w:val="2"/>
        </w:rPr>
        <w:t>ChatGPT</w:t>
      </w:r>
      <w:proofErr w:type="spellEnd"/>
      <w:r w:rsidRPr="008375F9">
        <w:rPr>
          <w:rFonts w:ascii="Arial" w:eastAsia="Calibri" w:hAnsi="Arial" w:cs="Arial"/>
          <w:kern w:val="2"/>
        </w:rPr>
        <w:t xml:space="preserve">, COPILOT, etc.) and text-to-image generators have been used during the writing or editing of this manuscript. </w:t>
      </w:r>
    </w:p>
    <w:bookmarkEnd w:id="1"/>
    <w:p w14:paraId="754CF6C8" w14:textId="77777777" w:rsidR="008A1202" w:rsidRPr="008375F9" w:rsidRDefault="008A1202" w:rsidP="008A1202">
      <w:pPr>
        <w:pStyle w:val="ReferHead"/>
        <w:spacing w:after="0"/>
        <w:jc w:val="both"/>
        <w:rPr>
          <w:rFonts w:ascii="Arial" w:hAnsi="Arial" w:cs="Arial"/>
          <w:b w:val="0"/>
          <w:caps w:val="0"/>
          <w:sz w:val="20"/>
        </w:rPr>
      </w:pPr>
    </w:p>
    <w:p w14:paraId="0DF07950" w14:textId="77777777" w:rsidR="00860000" w:rsidRDefault="00860000" w:rsidP="00441B6F">
      <w:pPr>
        <w:pStyle w:val="ReferHead"/>
        <w:spacing w:after="0"/>
        <w:jc w:val="both"/>
        <w:rPr>
          <w:rFonts w:ascii="Arial" w:hAnsi="Arial" w:cs="Arial"/>
        </w:rPr>
      </w:pPr>
    </w:p>
    <w:p w14:paraId="5D6AAE8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0B66149" w14:textId="77777777" w:rsidR="00790ADA" w:rsidRPr="00FB3A86" w:rsidRDefault="00790ADA" w:rsidP="00441B6F">
      <w:pPr>
        <w:pStyle w:val="ReferHead"/>
        <w:spacing w:after="0"/>
        <w:jc w:val="both"/>
        <w:rPr>
          <w:rFonts w:ascii="Arial" w:hAnsi="Arial" w:cs="Arial"/>
        </w:rPr>
      </w:pPr>
    </w:p>
    <w:sdt>
      <w:sdtPr>
        <w:rPr>
          <w:rFonts w:ascii="Arial" w:hAnsi="Arial" w:cs="Arial"/>
          <w:color w:val="000000"/>
        </w:rPr>
        <w:tag w:val="MENDELEY_BIBLIOGRAPHY"/>
        <w:id w:val="-1380549710"/>
        <w:placeholder>
          <w:docPart w:val="DefaultPlaceholder_-1854013440"/>
        </w:placeholder>
      </w:sdtPr>
      <w:sdtEndPr/>
      <w:sdtContent>
        <w:p w14:paraId="689D213D" w14:textId="77777777" w:rsidR="008A1202" w:rsidRPr="003A2A6E" w:rsidRDefault="008A1202" w:rsidP="003A2A6E">
          <w:pPr>
            <w:autoSpaceDE w:val="0"/>
            <w:autoSpaceDN w:val="0"/>
            <w:ind w:hanging="640"/>
            <w:divId w:val="666977620"/>
            <w:rPr>
              <w:rFonts w:ascii="Arial" w:hAnsi="Arial" w:cs="Arial"/>
              <w:color w:val="000000"/>
              <w:sz w:val="24"/>
              <w:szCs w:val="24"/>
            </w:rPr>
          </w:pPr>
          <w:r w:rsidRPr="003A2A6E">
            <w:rPr>
              <w:rFonts w:ascii="Arial" w:hAnsi="Arial" w:cs="Arial"/>
              <w:color w:val="000000"/>
            </w:rPr>
            <w:t>[1]</w:t>
          </w:r>
          <w:r w:rsidRPr="003A2A6E">
            <w:rPr>
              <w:rFonts w:ascii="Arial" w:hAnsi="Arial" w:cs="Arial"/>
              <w:color w:val="000000"/>
            </w:rPr>
            <w:tab/>
          </w:r>
          <w:proofErr w:type="spellStart"/>
          <w:r w:rsidRPr="003A2A6E">
            <w:rPr>
              <w:rFonts w:ascii="Arial" w:hAnsi="Arial" w:cs="Arial"/>
              <w:color w:val="000000"/>
            </w:rPr>
            <w:t>Wüstenhagen</w:t>
          </w:r>
          <w:proofErr w:type="spellEnd"/>
          <w:r w:rsidRPr="003A2A6E">
            <w:rPr>
              <w:rFonts w:ascii="Arial" w:hAnsi="Arial" w:cs="Arial"/>
              <w:color w:val="000000"/>
            </w:rPr>
            <w:t xml:space="preserve"> R, </w:t>
          </w:r>
          <w:proofErr w:type="spellStart"/>
          <w:r w:rsidRPr="003A2A6E">
            <w:rPr>
              <w:rFonts w:ascii="Arial" w:hAnsi="Arial" w:cs="Arial"/>
              <w:color w:val="000000"/>
            </w:rPr>
            <w:t>Wolsink</w:t>
          </w:r>
          <w:proofErr w:type="spellEnd"/>
          <w:r w:rsidRPr="003A2A6E">
            <w:rPr>
              <w:rFonts w:ascii="Arial" w:hAnsi="Arial" w:cs="Arial"/>
              <w:color w:val="000000"/>
            </w:rPr>
            <w:t xml:space="preserve"> M, </w:t>
          </w:r>
          <w:proofErr w:type="spellStart"/>
          <w:r w:rsidRPr="003A2A6E">
            <w:rPr>
              <w:rFonts w:ascii="Arial" w:hAnsi="Arial" w:cs="Arial"/>
              <w:color w:val="000000"/>
            </w:rPr>
            <w:t>Bürer</w:t>
          </w:r>
          <w:proofErr w:type="spellEnd"/>
          <w:r w:rsidRPr="003A2A6E">
            <w:rPr>
              <w:rFonts w:ascii="Arial" w:hAnsi="Arial" w:cs="Arial"/>
              <w:color w:val="000000"/>
            </w:rPr>
            <w:t xml:space="preserve"> MJ. Social acceptance of renewable energy innovation: An introduction to the concept. Energy Policy </w:t>
          </w:r>
          <w:proofErr w:type="gramStart"/>
          <w:r w:rsidRPr="003A2A6E">
            <w:rPr>
              <w:rFonts w:ascii="Arial" w:hAnsi="Arial" w:cs="Arial"/>
              <w:color w:val="000000"/>
            </w:rPr>
            <w:t>2007;35:2683</w:t>
          </w:r>
          <w:proofErr w:type="gramEnd"/>
          <w:r w:rsidRPr="003A2A6E">
            <w:rPr>
              <w:rFonts w:ascii="Arial" w:hAnsi="Arial" w:cs="Arial"/>
              <w:color w:val="000000"/>
            </w:rPr>
            <w:t>–91. https://doi.org/10.1016/J.ENPOL.2006.12.001.</w:t>
          </w:r>
        </w:p>
        <w:p w14:paraId="6F110530" w14:textId="77777777" w:rsidR="008A1202" w:rsidRPr="003A2A6E" w:rsidRDefault="008A1202" w:rsidP="003A2A6E">
          <w:pPr>
            <w:autoSpaceDE w:val="0"/>
            <w:autoSpaceDN w:val="0"/>
            <w:ind w:hanging="640"/>
            <w:divId w:val="1053846206"/>
            <w:rPr>
              <w:rFonts w:ascii="Arial" w:hAnsi="Arial" w:cs="Arial"/>
              <w:color w:val="000000"/>
            </w:rPr>
          </w:pPr>
          <w:r w:rsidRPr="003A2A6E">
            <w:rPr>
              <w:rFonts w:ascii="Arial" w:hAnsi="Arial" w:cs="Arial"/>
              <w:color w:val="000000"/>
            </w:rPr>
            <w:t>[2]</w:t>
          </w:r>
          <w:r w:rsidRPr="003A2A6E">
            <w:rPr>
              <w:rFonts w:ascii="Arial" w:hAnsi="Arial" w:cs="Arial"/>
              <w:color w:val="000000"/>
            </w:rPr>
            <w:tab/>
            <w:t>Romero-</w:t>
          </w:r>
          <w:proofErr w:type="spellStart"/>
          <w:r w:rsidRPr="003A2A6E">
            <w:rPr>
              <w:rFonts w:ascii="Arial" w:hAnsi="Arial" w:cs="Arial"/>
              <w:color w:val="000000"/>
            </w:rPr>
            <w:t>Lankao</w:t>
          </w:r>
          <w:proofErr w:type="spellEnd"/>
          <w:r w:rsidRPr="003A2A6E">
            <w:rPr>
              <w:rFonts w:ascii="Arial" w:hAnsi="Arial" w:cs="Arial"/>
              <w:color w:val="000000"/>
            </w:rPr>
            <w:t xml:space="preserve"> P, Rosner N, </w:t>
          </w:r>
          <w:proofErr w:type="spellStart"/>
          <w:r w:rsidRPr="003A2A6E">
            <w:rPr>
              <w:rFonts w:ascii="Arial" w:hAnsi="Arial" w:cs="Arial"/>
              <w:color w:val="000000"/>
            </w:rPr>
            <w:t>Efroymson</w:t>
          </w:r>
          <w:proofErr w:type="spellEnd"/>
          <w:r w:rsidRPr="003A2A6E">
            <w:rPr>
              <w:rFonts w:ascii="Arial" w:hAnsi="Arial" w:cs="Arial"/>
              <w:color w:val="000000"/>
            </w:rPr>
            <w:t xml:space="preserve"> R, </w:t>
          </w:r>
          <w:proofErr w:type="spellStart"/>
          <w:r w:rsidRPr="003A2A6E">
            <w:rPr>
              <w:rFonts w:ascii="Arial" w:hAnsi="Arial" w:cs="Arial"/>
              <w:color w:val="000000"/>
            </w:rPr>
            <w:t>Parisch</w:t>
          </w:r>
          <w:proofErr w:type="spellEnd"/>
          <w:r w:rsidRPr="003A2A6E">
            <w:rPr>
              <w:rFonts w:ascii="Arial" w:hAnsi="Arial" w:cs="Arial"/>
              <w:color w:val="000000"/>
            </w:rPr>
            <w:t xml:space="preserve"> E, Blanco L, </w:t>
          </w:r>
          <w:proofErr w:type="spellStart"/>
          <w:r w:rsidRPr="003A2A6E">
            <w:rPr>
              <w:rFonts w:ascii="Arial" w:hAnsi="Arial" w:cs="Arial"/>
              <w:color w:val="000000"/>
            </w:rPr>
            <w:t>Smolinski</w:t>
          </w:r>
          <w:proofErr w:type="spellEnd"/>
          <w:r w:rsidRPr="003A2A6E">
            <w:rPr>
              <w:rFonts w:ascii="Arial" w:hAnsi="Arial" w:cs="Arial"/>
              <w:color w:val="000000"/>
            </w:rPr>
            <w:t xml:space="preserve"> S, et al. Community Engagement and Equity in Renewable Energy Projects: A Literature Review 2023. https://doi.org/10.2172/1996557.</w:t>
          </w:r>
        </w:p>
        <w:p w14:paraId="7B00EF15" w14:textId="0E888A7F" w:rsidR="008A1202" w:rsidRPr="003A2A6E" w:rsidRDefault="008A1202" w:rsidP="003A2A6E">
          <w:pPr>
            <w:autoSpaceDE w:val="0"/>
            <w:autoSpaceDN w:val="0"/>
            <w:ind w:hanging="640"/>
            <w:divId w:val="1091852630"/>
            <w:rPr>
              <w:rFonts w:ascii="Arial" w:hAnsi="Arial" w:cs="Arial"/>
              <w:color w:val="000000"/>
            </w:rPr>
          </w:pPr>
          <w:r w:rsidRPr="003A2A6E">
            <w:rPr>
              <w:rFonts w:ascii="Arial" w:hAnsi="Arial" w:cs="Arial"/>
              <w:color w:val="000000"/>
            </w:rPr>
            <w:t>[3]</w:t>
          </w:r>
          <w:r w:rsidRPr="003A2A6E">
            <w:rPr>
              <w:rFonts w:ascii="Arial" w:hAnsi="Arial" w:cs="Arial"/>
              <w:color w:val="000000"/>
            </w:rPr>
            <w:tab/>
            <w:t xml:space="preserve">Newell P, Mulvaney D. The political economy of the “just transition.” Geographical Journal </w:t>
          </w:r>
          <w:r w:rsidR="00FB6D84" w:rsidRPr="003A2A6E">
            <w:rPr>
              <w:rFonts w:ascii="Arial" w:hAnsi="Arial" w:cs="Arial"/>
              <w:color w:val="000000"/>
            </w:rPr>
            <w:t>2013; 179:132</w:t>
          </w:r>
          <w:r w:rsidRPr="003A2A6E">
            <w:rPr>
              <w:rFonts w:ascii="Arial" w:hAnsi="Arial" w:cs="Arial"/>
              <w:color w:val="000000"/>
            </w:rPr>
            <w:t>–40. https://doi.org/10.1111/GEOJ.12008.</w:t>
          </w:r>
        </w:p>
        <w:p w14:paraId="6DE0E127" w14:textId="28073DB7" w:rsidR="008A1202" w:rsidRPr="003A2A6E" w:rsidRDefault="008A1202" w:rsidP="003A2A6E">
          <w:pPr>
            <w:autoSpaceDE w:val="0"/>
            <w:autoSpaceDN w:val="0"/>
            <w:ind w:hanging="640"/>
            <w:divId w:val="1634674587"/>
            <w:rPr>
              <w:rFonts w:ascii="Arial" w:hAnsi="Arial" w:cs="Arial"/>
              <w:color w:val="000000"/>
            </w:rPr>
          </w:pPr>
          <w:r w:rsidRPr="003A2A6E">
            <w:rPr>
              <w:rFonts w:ascii="Arial" w:hAnsi="Arial" w:cs="Arial"/>
              <w:color w:val="000000"/>
            </w:rPr>
            <w:t>[4]</w:t>
          </w:r>
          <w:r w:rsidRPr="003A2A6E">
            <w:rPr>
              <w:rFonts w:ascii="Arial" w:hAnsi="Arial" w:cs="Arial"/>
              <w:color w:val="000000"/>
            </w:rPr>
            <w:tab/>
            <w:t xml:space="preserve">Devine-Wright P. Public engagement with large-scale renewable energy technologies: breaking the cycle of NIMBYism. Wiley </w:t>
          </w:r>
          <w:proofErr w:type="spellStart"/>
          <w:r w:rsidRPr="003A2A6E">
            <w:rPr>
              <w:rFonts w:ascii="Arial" w:hAnsi="Arial" w:cs="Arial"/>
              <w:color w:val="000000"/>
            </w:rPr>
            <w:t>Interdiscip</w:t>
          </w:r>
          <w:proofErr w:type="spellEnd"/>
          <w:r w:rsidRPr="003A2A6E">
            <w:rPr>
              <w:rFonts w:ascii="Arial" w:hAnsi="Arial" w:cs="Arial"/>
              <w:color w:val="000000"/>
            </w:rPr>
            <w:t xml:space="preserve"> Rev </w:t>
          </w:r>
          <w:proofErr w:type="spellStart"/>
          <w:r w:rsidRPr="003A2A6E">
            <w:rPr>
              <w:rFonts w:ascii="Arial" w:hAnsi="Arial" w:cs="Arial"/>
              <w:color w:val="000000"/>
            </w:rPr>
            <w:t>Clim</w:t>
          </w:r>
          <w:proofErr w:type="spellEnd"/>
          <w:r w:rsidRPr="003A2A6E">
            <w:rPr>
              <w:rFonts w:ascii="Arial" w:hAnsi="Arial" w:cs="Arial"/>
              <w:color w:val="000000"/>
            </w:rPr>
            <w:t xml:space="preserve"> Change </w:t>
          </w:r>
          <w:r w:rsidR="00FB6D84" w:rsidRPr="003A2A6E">
            <w:rPr>
              <w:rFonts w:ascii="Arial" w:hAnsi="Arial" w:cs="Arial"/>
              <w:color w:val="000000"/>
            </w:rPr>
            <w:t>2011; 2:19</w:t>
          </w:r>
          <w:r w:rsidRPr="003A2A6E">
            <w:rPr>
              <w:rFonts w:ascii="Arial" w:hAnsi="Arial" w:cs="Arial"/>
              <w:color w:val="000000"/>
            </w:rPr>
            <w:t>–26. https://doi.org/10.1002/WCC.89.</w:t>
          </w:r>
        </w:p>
        <w:p w14:paraId="672A7DFE" w14:textId="77777777" w:rsidR="008A1202" w:rsidRPr="003A2A6E" w:rsidRDefault="008A1202" w:rsidP="003A2A6E">
          <w:pPr>
            <w:autoSpaceDE w:val="0"/>
            <w:autoSpaceDN w:val="0"/>
            <w:ind w:hanging="640"/>
            <w:divId w:val="756485231"/>
            <w:rPr>
              <w:rFonts w:ascii="Arial" w:hAnsi="Arial" w:cs="Arial"/>
              <w:color w:val="000000"/>
            </w:rPr>
          </w:pPr>
          <w:r w:rsidRPr="003A2A6E">
            <w:rPr>
              <w:rFonts w:ascii="Arial" w:hAnsi="Arial" w:cs="Arial"/>
              <w:color w:val="000000"/>
            </w:rPr>
            <w:t>[5]</w:t>
          </w:r>
          <w:r w:rsidRPr="003A2A6E">
            <w:rPr>
              <w:rFonts w:ascii="Arial" w:hAnsi="Arial" w:cs="Arial"/>
              <w:color w:val="000000"/>
            </w:rPr>
            <w:tab/>
            <w:t>Kumar M, Kumar M. Social, Economic, and Environmental Impacts of Renewable Energy Resources. Wind Solar Hybrid Renewable Energy System [Working Title] 2020. https://doi.org/10.5772/INTECHOPEN.89494.</w:t>
          </w:r>
        </w:p>
        <w:p w14:paraId="6430579B" w14:textId="516A4330" w:rsidR="008A1202" w:rsidRPr="003A2A6E" w:rsidRDefault="008A1202" w:rsidP="003A2A6E">
          <w:pPr>
            <w:autoSpaceDE w:val="0"/>
            <w:autoSpaceDN w:val="0"/>
            <w:ind w:hanging="640"/>
            <w:divId w:val="1304391047"/>
            <w:rPr>
              <w:rFonts w:ascii="Arial" w:hAnsi="Arial" w:cs="Arial"/>
              <w:color w:val="000000"/>
            </w:rPr>
          </w:pPr>
          <w:r w:rsidRPr="003A2A6E">
            <w:rPr>
              <w:rFonts w:ascii="Arial" w:hAnsi="Arial" w:cs="Arial"/>
              <w:color w:val="000000"/>
            </w:rPr>
            <w:t>[6]</w:t>
          </w:r>
          <w:r w:rsidRPr="003A2A6E">
            <w:rPr>
              <w:rFonts w:ascii="Arial" w:hAnsi="Arial" w:cs="Arial"/>
              <w:color w:val="000000"/>
            </w:rPr>
            <w:tab/>
            <w:t xml:space="preserve">Liu W, Wang C, Mol APJ. Rural public acceptance of renewable energy deployment: The case of Shandong in China. Appl Energy </w:t>
          </w:r>
          <w:r w:rsidR="00FB6D84" w:rsidRPr="003A2A6E">
            <w:rPr>
              <w:rFonts w:ascii="Arial" w:hAnsi="Arial" w:cs="Arial"/>
              <w:color w:val="000000"/>
            </w:rPr>
            <w:t>2013; 102:1187</w:t>
          </w:r>
          <w:r w:rsidRPr="003A2A6E">
            <w:rPr>
              <w:rFonts w:ascii="Arial" w:hAnsi="Arial" w:cs="Arial"/>
              <w:color w:val="000000"/>
            </w:rPr>
            <w:t>–96. https://doi.org/10.1016/J.APENERGY.2012.06.057.</w:t>
          </w:r>
        </w:p>
        <w:p w14:paraId="2D9DC973" w14:textId="478238C7" w:rsidR="008A1202" w:rsidRPr="003A2A6E" w:rsidRDefault="008A1202" w:rsidP="003A2A6E">
          <w:pPr>
            <w:autoSpaceDE w:val="0"/>
            <w:autoSpaceDN w:val="0"/>
            <w:ind w:hanging="640"/>
            <w:divId w:val="1705717856"/>
            <w:rPr>
              <w:rFonts w:ascii="Arial" w:hAnsi="Arial" w:cs="Arial"/>
              <w:color w:val="000000"/>
            </w:rPr>
          </w:pPr>
          <w:r w:rsidRPr="003A2A6E">
            <w:rPr>
              <w:rFonts w:ascii="Arial" w:hAnsi="Arial" w:cs="Arial"/>
              <w:color w:val="000000"/>
            </w:rPr>
            <w:t>[7]</w:t>
          </w:r>
          <w:r w:rsidRPr="003A2A6E">
            <w:rPr>
              <w:rFonts w:ascii="Arial" w:hAnsi="Arial" w:cs="Arial"/>
              <w:color w:val="000000"/>
            </w:rPr>
            <w:tab/>
          </w:r>
          <w:proofErr w:type="spellStart"/>
          <w:r w:rsidRPr="003A2A6E">
            <w:rPr>
              <w:rFonts w:ascii="Arial" w:hAnsi="Arial" w:cs="Arial"/>
              <w:color w:val="000000"/>
            </w:rPr>
            <w:t>Virah-Sawmy</w:t>
          </w:r>
          <w:proofErr w:type="spellEnd"/>
          <w:r w:rsidRPr="003A2A6E">
            <w:rPr>
              <w:rFonts w:ascii="Arial" w:hAnsi="Arial" w:cs="Arial"/>
              <w:color w:val="000000"/>
            </w:rPr>
            <w:t xml:space="preserve"> D, </w:t>
          </w:r>
          <w:proofErr w:type="spellStart"/>
          <w:r w:rsidRPr="003A2A6E">
            <w:rPr>
              <w:rFonts w:ascii="Arial" w:hAnsi="Arial" w:cs="Arial"/>
              <w:color w:val="000000"/>
            </w:rPr>
            <w:t>Sturmberg</w:t>
          </w:r>
          <w:proofErr w:type="spellEnd"/>
          <w:r w:rsidRPr="003A2A6E">
            <w:rPr>
              <w:rFonts w:ascii="Arial" w:hAnsi="Arial" w:cs="Arial"/>
              <w:color w:val="000000"/>
            </w:rPr>
            <w:t xml:space="preserve"> B. Socio-economic and environmental impacts of renewable energy deployments: A review. Renewable and Sustainable Energy Reviews </w:t>
          </w:r>
          <w:r w:rsidR="003A2A6E" w:rsidRPr="003A2A6E">
            <w:rPr>
              <w:rFonts w:ascii="Arial" w:hAnsi="Arial" w:cs="Arial"/>
              <w:color w:val="000000"/>
            </w:rPr>
            <w:t>2025; 207:114956</w:t>
          </w:r>
          <w:r w:rsidRPr="003A2A6E">
            <w:rPr>
              <w:rFonts w:ascii="Arial" w:hAnsi="Arial" w:cs="Arial"/>
              <w:color w:val="000000"/>
            </w:rPr>
            <w:t>. https://doi.org/10.1016/J.RSER.2024.114956.</w:t>
          </w:r>
        </w:p>
        <w:p w14:paraId="19460916" w14:textId="77777777" w:rsidR="008A1202" w:rsidRPr="003A2A6E" w:rsidRDefault="008A1202" w:rsidP="003A2A6E">
          <w:pPr>
            <w:autoSpaceDE w:val="0"/>
            <w:autoSpaceDN w:val="0"/>
            <w:ind w:hanging="640"/>
            <w:divId w:val="230312754"/>
            <w:rPr>
              <w:rFonts w:ascii="Arial" w:hAnsi="Arial" w:cs="Arial"/>
              <w:color w:val="000000"/>
            </w:rPr>
          </w:pPr>
          <w:r w:rsidRPr="003A2A6E">
            <w:rPr>
              <w:rFonts w:ascii="Arial" w:hAnsi="Arial" w:cs="Arial"/>
              <w:color w:val="000000"/>
            </w:rPr>
            <w:t>[8]</w:t>
          </w:r>
          <w:r w:rsidRPr="003A2A6E">
            <w:rPr>
              <w:rFonts w:ascii="Arial" w:hAnsi="Arial" w:cs="Arial"/>
              <w:color w:val="000000"/>
            </w:rPr>
            <w:tab/>
            <w:t>Romero-</w:t>
          </w:r>
          <w:proofErr w:type="spellStart"/>
          <w:r w:rsidRPr="003A2A6E">
            <w:rPr>
              <w:rFonts w:ascii="Arial" w:hAnsi="Arial" w:cs="Arial"/>
              <w:color w:val="000000"/>
            </w:rPr>
            <w:t>Lankao</w:t>
          </w:r>
          <w:proofErr w:type="spellEnd"/>
          <w:r w:rsidRPr="003A2A6E">
            <w:rPr>
              <w:rFonts w:ascii="Arial" w:hAnsi="Arial" w:cs="Arial"/>
              <w:color w:val="000000"/>
            </w:rPr>
            <w:t xml:space="preserve"> P, Rosner N, </w:t>
          </w:r>
          <w:proofErr w:type="spellStart"/>
          <w:r w:rsidRPr="003A2A6E">
            <w:rPr>
              <w:rFonts w:ascii="Arial" w:hAnsi="Arial" w:cs="Arial"/>
              <w:color w:val="000000"/>
            </w:rPr>
            <w:t>Efroymson</w:t>
          </w:r>
          <w:proofErr w:type="spellEnd"/>
          <w:r w:rsidRPr="003A2A6E">
            <w:rPr>
              <w:rFonts w:ascii="Arial" w:hAnsi="Arial" w:cs="Arial"/>
              <w:color w:val="000000"/>
            </w:rPr>
            <w:t xml:space="preserve"> RA, </w:t>
          </w:r>
          <w:proofErr w:type="spellStart"/>
          <w:r w:rsidRPr="003A2A6E">
            <w:rPr>
              <w:rFonts w:ascii="Arial" w:hAnsi="Arial" w:cs="Arial"/>
              <w:color w:val="000000"/>
            </w:rPr>
            <w:t>Parisch</w:t>
          </w:r>
          <w:proofErr w:type="spellEnd"/>
          <w:r w:rsidRPr="003A2A6E">
            <w:rPr>
              <w:rFonts w:ascii="Arial" w:hAnsi="Arial" w:cs="Arial"/>
              <w:color w:val="000000"/>
            </w:rPr>
            <w:t xml:space="preserve"> ES, Blanco L, </w:t>
          </w:r>
          <w:proofErr w:type="spellStart"/>
          <w:r w:rsidRPr="003A2A6E">
            <w:rPr>
              <w:rFonts w:ascii="Arial" w:hAnsi="Arial" w:cs="Arial"/>
              <w:color w:val="000000"/>
            </w:rPr>
            <w:t>Smolinski</w:t>
          </w:r>
          <w:proofErr w:type="spellEnd"/>
          <w:r w:rsidRPr="003A2A6E">
            <w:rPr>
              <w:rFonts w:ascii="Arial" w:hAnsi="Arial" w:cs="Arial"/>
              <w:color w:val="000000"/>
            </w:rPr>
            <w:t xml:space="preserve"> S, et al. Community Engagement and Equity in Renewable Energy Projects: A Literature Review 2023.</w:t>
          </w:r>
        </w:p>
        <w:p w14:paraId="2187A6C8" w14:textId="19B77215" w:rsidR="003A2A6E" w:rsidRPr="003A2A6E" w:rsidRDefault="003A2A6E" w:rsidP="003A2A6E">
          <w:pPr>
            <w:pStyle w:val="Body"/>
            <w:rPr>
              <w:rFonts w:ascii="Arial" w:hAnsi="Arial" w:cs="Arial"/>
              <w:color w:val="000000"/>
            </w:rPr>
          </w:pPr>
          <w:r w:rsidRPr="003A2A6E">
            <w:rPr>
              <w:rFonts w:ascii="Arial" w:hAnsi="Arial" w:cs="Arial"/>
              <w:color w:val="000000"/>
            </w:rPr>
            <w:t>[9] Alex-</w:t>
          </w:r>
          <w:proofErr w:type="spellStart"/>
          <w:r w:rsidRPr="003A2A6E">
            <w:rPr>
              <w:rFonts w:ascii="Arial" w:hAnsi="Arial" w:cs="Arial"/>
              <w:color w:val="000000"/>
            </w:rPr>
            <w:t>Oke</w:t>
          </w:r>
          <w:proofErr w:type="spellEnd"/>
          <w:r w:rsidRPr="003A2A6E">
            <w:rPr>
              <w:rFonts w:ascii="Arial" w:hAnsi="Arial" w:cs="Arial"/>
              <w:color w:val="000000"/>
            </w:rPr>
            <w:t xml:space="preserve"> T, Adeola O, Mbatha N. Renewable energy market in Africa: opportunities and pathways. Renew Energy Focus. </w:t>
          </w:r>
          <w:proofErr w:type="gramStart"/>
          <w:r w:rsidRPr="003A2A6E">
            <w:rPr>
              <w:rFonts w:ascii="Arial" w:hAnsi="Arial" w:cs="Arial"/>
              <w:color w:val="000000"/>
            </w:rPr>
            <w:t>2025;46:34</w:t>
          </w:r>
          <w:proofErr w:type="gramEnd"/>
          <w:r w:rsidRPr="003A2A6E">
            <w:rPr>
              <w:rFonts w:ascii="Arial" w:hAnsi="Arial" w:cs="Arial"/>
              <w:color w:val="000000"/>
            </w:rPr>
            <w:t>–45.</w:t>
          </w:r>
        </w:p>
        <w:p w14:paraId="6C160033"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[10] International Renewable Energy Agency (IRENA). A just energy transition for communities: Sub-Saharan Africa. Abu Dhabi: IRENA; 2025.</w:t>
          </w:r>
        </w:p>
        <w:p w14:paraId="2312918D"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[11] Hoops B. EU directives on governance of energy communities. J World Energy Law Bus. 2024;17(3):147–170.</w:t>
          </w:r>
        </w:p>
        <w:p w14:paraId="1A668CCA"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[12] </w:t>
          </w:r>
          <w:proofErr w:type="spellStart"/>
          <w:r w:rsidRPr="003A2A6E">
            <w:rPr>
              <w:rFonts w:ascii="Arial" w:hAnsi="Arial" w:cs="Arial"/>
              <w:color w:val="000000"/>
            </w:rPr>
            <w:t>Buechler</w:t>
          </w:r>
          <w:proofErr w:type="spellEnd"/>
          <w:r w:rsidRPr="003A2A6E">
            <w:rPr>
              <w:rFonts w:ascii="Arial" w:hAnsi="Arial" w:cs="Arial"/>
              <w:color w:val="000000"/>
            </w:rPr>
            <w:t xml:space="preserve"> S, </w:t>
          </w:r>
          <w:proofErr w:type="spellStart"/>
          <w:r w:rsidRPr="003A2A6E">
            <w:rPr>
              <w:rFonts w:ascii="Arial" w:hAnsi="Arial" w:cs="Arial"/>
              <w:color w:val="000000"/>
            </w:rPr>
            <w:t>Ravera</w:t>
          </w:r>
          <w:proofErr w:type="spellEnd"/>
          <w:r w:rsidRPr="003A2A6E">
            <w:rPr>
              <w:rFonts w:ascii="Arial" w:hAnsi="Arial" w:cs="Arial"/>
              <w:color w:val="000000"/>
            </w:rPr>
            <w:t xml:space="preserve"> F, Ensor J. Energy justice and the rural–urban divide. J Energy Soc Sci Adv. 2021;1(1):100025.</w:t>
          </w:r>
        </w:p>
        <w:p w14:paraId="6B33EE8F"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[13] </w:t>
          </w:r>
          <w:proofErr w:type="spellStart"/>
          <w:r w:rsidRPr="003A2A6E">
            <w:rPr>
              <w:rFonts w:ascii="Arial" w:hAnsi="Arial" w:cs="Arial"/>
              <w:color w:val="000000"/>
            </w:rPr>
            <w:t>Pascaris</w:t>
          </w:r>
          <w:proofErr w:type="spellEnd"/>
          <w:r w:rsidRPr="003A2A6E">
            <w:rPr>
              <w:rFonts w:ascii="Arial" w:hAnsi="Arial" w:cs="Arial"/>
              <w:color w:val="000000"/>
            </w:rPr>
            <w:t xml:space="preserve"> A. The social aspects of </w:t>
          </w:r>
          <w:proofErr w:type="spellStart"/>
          <w:r w:rsidRPr="003A2A6E">
            <w:rPr>
              <w:rFonts w:ascii="Arial" w:hAnsi="Arial" w:cs="Arial"/>
              <w:color w:val="000000"/>
            </w:rPr>
            <w:t>agrivoltaics</w:t>
          </w:r>
          <w:proofErr w:type="spellEnd"/>
          <w:r w:rsidRPr="003A2A6E">
            <w:rPr>
              <w:rFonts w:ascii="Arial" w:hAnsi="Arial" w:cs="Arial"/>
              <w:color w:val="000000"/>
            </w:rPr>
            <w:t>. Golden (CO): National Renewable Energy Laboratory; 2024. Report No.: NREL/PR-6A20-90358.</w:t>
          </w:r>
        </w:p>
        <w:p w14:paraId="4253C13C"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[14] European Commission. Energy communities [Internet]. Brussels: European Commission; 2024 [cited 2025 Oct 10]. Available from: https://energy.ec.europa.eu</w:t>
          </w:r>
        </w:p>
        <w:p w14:paraId="2228FA2F"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[15] </w:t>
          </w:r>
          <w:proofErr w:type="spellStart"/>
          <w:r w:rsidRPr="003A2A6E">
            <w:rPr>
              <w:rFonts w:ascii="Arial" w:hAnsi="Arial" w:cs="Arial"/>
              <w:color w:val="000000"/>
            </w:rPr>
            <w:t>Regier</w:t>
          </w:r>
          <w:proofErr w:type="spellEnd"/>
          <w:r w:rsidRPr="003A2A6E">
            <w:rPr>
              <w:rFonts w:ascii="Arial" w:hAnsi="Arial" w:cs="Arial"/>
              <w:color w:val="000000"/>
            </w:rPr>
            <w:t xml:space="preserve"> AJ, Stanley L, Purcell M, Smith A. </w:t>
          </w:r>
          <w:proofErr w:type="spellStart"/>
          <w:r w:rsidRPr="003A2A6E">
            <w:rPr>
              <w:rFonts w:ascii="Arial" w:hAnsi="Arial" w:cs="Arial"/>
              <w:color w:val="000000"/>
            </w:rPr>
            <w:t>Decarbonising</w:t>
          </w:r>
          <w:proofErr w:type="spellEnd"/>
          <w:r w:rsidRPr="003A2A6E">
            <w:rPr>
              <w:rFonts w:ascii="Arial" w:hAnsi="Arial" w:cs="Arial"/>
              <w:color w:val="000000"/>
            </w:rPr>
            <w:t xml:space="preserve"> regions through energy justice and civic participation. Local Environ. 2025;30(2):245–263.</w:t>
          </w:r>
        </w:p>
        <w:p w14:paraId="19129952" w14:textId="28974D1E"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[16] De Falco M, Lombardi P, Bianchi G. Social acceptance and </w:t>
          </w:r>
          <w:proofErr w:type="spellStart"/>
          <w:r w:rsidRPr="003A2A6E">
            <w:rPr>
              <w:rFonts w:ascii="Arial" w:hAnsi="Arial" w:cs="Arial"/>
              <w:color w:val="000000"/>
            </w:rPr>
            <w:t>agrivoltaics</w:t>
          </w:r>
          <w:proofErr w:type="spellEnd"/>
          <w:r w:rsidRPr="003A2A6E">
            <w:rPr>
              <w:rFonts w:ascii="Arial" w:hAnsi="Arial" w:cs="Arial"/>
              <w:color w:val="000000"/>
            </w:rPr>
            <w:t xml:space="preserve"> in Italy. Energy Res Soc Sci. </w:t>
          </w:r>
          <w:r w:rsidR="00FB6D84" w:rsidRPr="003A2A6E">
            <w:rPr>
              <w:rFonts w:ascii="Arial" w:hAnsi="Arial" w:cs="Arial"/>
              <w:color w:val="000000"/>
            </w:rPr>
            <w:t>2025; 116:103178</w:t>
          </w:r>
          <w:r w:rsidRPr="003A2A6E">
            <w:rPr>
              <w:rFonts w:ascii="Arial" w:hAnsi="Arial" w:cs="Arial"/>
              <w:color w:val="000000"/>
            </w:rPr>
            <w:t>.</w:t>
          </w:r>
        </w:p>
        <w:p w14:paraId="799093C3" w14:textId="4F191E0B" w:rsidR="003A2A6E" w:rsidRPr="003A2A6E" w:rsidRDefault="003A2A6E" w:rsidP="003A2A6E">
          <w:pPr>
            <w:pStyle w:val="Body"/>
            <w:spacing w:after="0"/>
            <w:rPr>
              <w:rFonts w:ascii="Arial" w:hAnsi="Arial" w:cs="Arial"/>
              <w:color w:val="000000"/>
            </w:rPr>
          </w:pPr>
          <w:r w:rsidRPr="003A2A6E">
            <w:rPr>
              <w:rFonts w:ascii="Arial" w:hAnsi="Arial" w:cs="Arial"/>
              <w:color w:val="000000"/>
            </w:rPr>
            <w:lastRenderedPageBreak/>
            <w:t xml:space="preserve">[17] López I, </w:t>
          </w:r>
          <w:proofErr w:type="spellStart"/>
          <w:r w:rsidRPr="003A2A6E">
            <w:rPr>
              <w:rFonts w:ascii="Arial" w:hAnsi="Arial" w:cs="Arial"/>
              <w:color w:val="000000"/>
            </w:rPr>
            <w:t>Nuñez</w:t>
          </w:r>
          <w:proofErr w:type="spellEnd"/>
          <w:r w:rsidRPr="003A2A6E">
            <w:rPr>
              <w:rFonts w:ascii="Arial" w:hAnsi="Arial" w:cs="Arial"/>
              <w:color w:val="000000"/>
            </w:rPr>
            <w:t xml:space="preserve"> D, del Río P. European energy communities: trends and challenges. Renew Sustain Energy Rev. </w:t>
          </w:r>
          <w:r w:rsidR="00FB6D84" w:rsidRPr="003A2A6E">
            <w:rPr>
              <w:rFonts w:ascii="Arial" w:hAnsi="Arial" w:cs="Arial"/>
              <w:color w:val="000000"/>
            </w:rPr>
            <w:t>2024; 186:113642</w:t>
          </w:r>
          <w:r w:rsidRPr="003A2A6E">
            <w:rPr>
              <w:rFonts w:ascii="Arial" w:hAnsi="Arial" w:cs="Arial"/>
              <w:color w:val="000000"/>
            </w:rPr>
            <w:t>.</w:t>
          </w:r>
        </w:p>
        <w:p w14:paraId="3A8189CA"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[18] Community Power Agency. Submission to the Australian Energy Infrastructure Commissioner—Community Engagement Review. Sydney: CPA; 2024.</w:t>
          </w:r>
        </w:p>
        <w:p w14:paraId="168FDE3B"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[19] Australian Government. Community Engagement Review—Final Report. Canberra: Department of Climate Change, Energy, the Environment and Water; 2023.</w:t>
          </w:r>
        </w:p>
        <w:p w14:paraId="284D3ABA"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[20] REScoop.eu. A supportive EU legal framework for energy communities in energy efficiency. Brussels: REScoop.eu; 2020.</w:t>
          </w:r>
        </w:p>
        <w:p w14:paraId="35D2BB60"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[21] World Economic Forum (WEF). Energy Transition Readiness: Latin America &amp; Caribbean 2025. Geneva: WEF; 2025.</w:t>
          </w:r>
        </w:p>
        <w:p w14:paraId="706B287D" w14:textId="1D0DDD8A"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[22] Bauwens T, Devine-Wright P. Positive energies? An empirical study of community energy participation. Energy Policy. </w:t>
          </w:r>
          <w:r w:rsidR="00FB6D84" w:rsidRPr="003A2A6E">
            <w:rPr>
              <w:rFonts w:ascii="Arial" w:hAnsi="Arial" w:cs="Arial"/>
              <w:color w:val="000000"/>
            </w:rPr>
            <w:t>20</w:t>
          </w:r>
          <w:r w:rsidR="00386AEB">
            <w:rPr>
              <w:rFonts w:ascii="Arial" w:hAnsi="Arial" w:cs="Arial"/>
              <w:color w:val="000000"/>
            </w:rPr>
            <w:t>18</w:t>
          </w:r>
          <w:r w:rsidR="00FB6D84" w:rsidRPr="003A2A6E">
            <w:rPr>
              <w:rFonts w:ascii="Arial" w:hAnsi="Arial" w:cs="Arial"/>
              <w:color w:val="000000"/>
            </w:rPr>
            <w:t>; 165:112979</w:t>
          </w:r>
          <w:r w:rsidRPr="003A2A6E">
            <w:rPr>
              <w:rFonts w:ascii="Arial" w:hAnsi="Arial" w:cs="Arial"/>
              <w:color w:val="000000"/>
            </w:rPr>
            <w:t>.</w:t>
          </w:r>
        </w:p>
        <w:p w14:paraId="59FD42B6" w14:textId="61EC7AC0"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[23] Creamer E, Taylor Aiken G, van </w:t>
          </w:r>
          <w:proofErr w:type="spellStart"/>
          <w:r w:rsidRPr="003A2A6E">
            <w:rPr>
              <w:rFonts w:ascii="Arial" w:hAnsi="Arial" w:cs="Arial"/>
              <w:color w:val="000000"/>
            </w:rPr>
            <w:t>Veelen</w:t>
          </w:r>
          <w:proofErr w:type="spellEnd"/>
          <w:r w:rsidRPr="003A2A6E">
            <w:rPr>
              <w:rFonts w:ascii="Arial" w:hAnsi="Arial" w:cs="Arial"/>
              <w:color w:val="000000"/>
            </w:rPr>
            <w:t xml:space="preserve"> B, Walker G, Devine-Wright P. Community energy: entanglements of community, state, and private sector. Energy Res Soc Sci. </w:t>
          </w:r>
          <w:r w:rsidR="00FB6D84" w:rsidRPr="003A2A6E">
            <w:rPr>
              <w:rFonts w:ascii="Arial" w:hAnsi="Arial" w:cs="Arial"/>
              <w:color w:val="000000"/>
            </w:rPr>
            <w:t>20</w:t>
          </w:r>
          <w:r w:rsidR="00386AEB">
            <w:rPr>
              <w:rFonts w:ascii="Arial" w:hAnsi="Arial" w:cs="Arial"/>
              <w:color w:val="000000"/>
            </w:rPr>
            <w:t>18</w:t>
          </w:r>
          <w:r w:rsidR="00FB6D84" w:rsidRPr="003A2A6E">
            <w:rPr>
              <w:rFonts w:ascii="Arial" w:hAnsi="Arial" w:cs="Arial"/>
              <w:color w:val="000000"/>
            </w:rPr>
            <w:t>; 84:102357</w:t>
          </w:r>
          <w:r w:rsidRPr="003A2A6E">
            <w:rPr>
              <w:rFonts w:ascii="Arial" w:hAnsi="Arial" w:cs="Arial"/>
              <w:color w:val="000000"/>
            </w:rPr>
            <w:t>.</w:t>
          </w:r>
        </w:p>
        <w:p w14:paraId="63F53155" w14:textId="470F7A6D"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[24] Khan MS, </w:t>
          </w:r>
          <w:proofErr w:type="spellStart"/>
          <w:r w:rsidRPr="003A2A6E">
            <w:rPr>
              <w:rFonts w:ascii="Arial" w:hAnsi="Arial" w:cs="Arial"/>
              <w:color w:val="000000"/>
            </w:rPr>
            <w:t>Okechukwu</w:t>
          </w:r>
          <w:proofErr w:type="spellEnd"/>
          <w:r w:rsidRPr="003A2A6E">
            <w:rPr>
              <w:rFonts w:ascii="Arial" w:hAnsi="Arial" w:cs="Arial"/>
              <w:color w:val="000000"/>
            </w:rPr>
            <w:t xml:space="preserve"> A, Afolabi A. Strategies to engage the Global South in energy transition dialogues. Energy Res Soc Sci. </w:t>
          </w:r>
          <w:r w:rsidR="00FB6D84" w:rsidRPr="003A2A6E">
            <w:rPr>
              <w:rFonts w:ascii="Arial" w:hAnsi="Arial" w:cs="Arial"/>
              <w:color w:val="000000"/>
            </w:rPr>
            <w:t>2025; 115:103018</w:t>
          </w:r>
          <w:r w:rsidRPr="003A2A6E">
            <w:rPr>
              <w:rFonts w:ascii="Arial" w:hAnsi="Arial" w:cs="Arial"/>
              <w:color w:val="000000"/>
            </w:rPr>
            <w:t>.</w:t>
          </w:r>
        </w:p>
        <w:p w14:paraId="50727553" w14:textId="124DEA86"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[25] Brummer V. Community energy—benefits and barriers: a comparative literature review. Renew Sustain Energy Rev. </w:t>
          </w:r>
          <w:r w:rsidR="00FB6D84" w:rsidRPr="003A2A6E">
            <w:rPr>
              <w:rFonts w:ascii="Arial" w:hAnsi="Arial" w:cs="Arial"/>
              <w:color w:val="000000"/>
            </w:rPr>
            <w:t>2021; 141:110795</w:t>
          </w:r>
          <w:r w:rsidRPr="003A2A6E">
            <w:rPr>
              <w:rFonts w:ascii="Arial" w:hAnsi="Arial" w:cs="Arial"/>
              <w:color w:val="000000"/>
            </w:rPr>
            <w:t>.</w:t>
          </w:r>
        </w:p>
        <w:p w14:paraId="520BDD20" w14:textId="20B75749"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[26] </w:t>
          </w:r>
          <w:r w:rsidR="00962611" w:rsidRPr="00962611">
            <w:rPr>
              <w:rFonts w:ascii="Arial" w:hAnsi="Arial" w:cs="Arial"/>
              <w:color w:val="000000"/>
            </w:rPr>
            <w:t xml:space="preserve">Hall S, </w:t>
          </w:r>
          <w:proofErr w:type="spellStart"/>
          <w:r w:rsidR="00962611" w:rsidRPr="00962611">
            <w:rPr>
              <w:rFonts w:ascii="Arial" w:hAnsi="Arial" w:cs="Arial"/>
              <w:color w:val="000000"/>
            </w:rPr>
            <w:t>Foxon</w:t>
          </w:r>
          <w:proofErr w:type="spellEnd"/>
          <w:r w:rsidR="00962611" w:rsidRPr="00962611">
            <w:rPr>
              <w:rFonts w:ascii="Arial" w:hAnsi="Arial" w:cs="Arial"/>
              <w:color w:val="000000"/>
            </w:rPr>
            <w:t xml:space="preserve"> TJ, Bolton R. Investing in low-carbon transitions: energy finance as an adaptive market. Climate policy. 2017 Apr 3;17(3):280-98.</w:t>
          </w:r>
        </w:p>
        <w:p w14:paraId="2C2EE4A6" w14:textId="75B71453"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[27] Bauwens T. Explaining the diversity of motivations behind community renewable energy. Energy Policy. </w:t>
          </w:r>
          <w:r w:rsidR="00FB6D84" w:rsidRPr="003A2A6E">
            <w:rPr>
              <w:rFonts w:ascii="Arial" w:hAnsi="Arial" w:cs="Arial"/>
              <w:color w:val="000000"/>
            </w:rPr>
            <w:t>2020; 138:111298</w:t>
          </w:r>
          <w:r w:rsidRPr="003A2A6E">
            <w:rPr>
              <w:rFonts w:ascii="Arial" w:hAnsi="Arial" w:cs="Arial"/>
              <w:color w:val="000000"/>
            </w:rPr>
            <w:t>.</w:t>
          </w:r>
        </w:p>
        <w:p w14:paraId="1E068DD9" w14:textId="136662D6"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[28] </w:t>
          </w:r>
          <w:proofErr w:type="spellStart"/>
          <w:r w:rsidRPr="003A2A6E">
            <w:rPr>
              <w:rFonts w:ascii="Arial" w:hAnsi="Arial" w:cs="Arial"/>
              <w:color w:val="000000"/>
            </w:rPr>
            <w:t>Gailing</w:t>
          </w:r>
          <w:proofErr w:type="spellEnd"/>
          <w:r w:rsidRPr="003A2A6E">
            <w:rPr>
              <w:rFonts w:ascii="Arial" w:hAnsi="Arial" w:cs="Arial"/>
              <w:color w:val="000000"/>
            </w:rPr>
            <w:t xml:space="preserve"> L, Moss T. Energy transitions and power relations. </w:t>
          </w:r>
          <w:proofErr w:type="spellStart"/>
          <w:r w:rsidRPr="003A2A6E">
            <w:rPr>
              <w:rFonts w:ascii="Arial" w:hAnsi="Arial" w:cs="Arial"/>
              <w:color w:val="000000"/>
            </w:rPr>
            <w:t>Geoforum</w:t>
          </w:r>
          <w:proofErr w:type="spellEnd"/>
          <w:r w:rsidRPr="003A2A6E">
            <w:rPr>
              <w:rFonts w:ascii="Arial" w:hAnsi="Arial" w:cs="Arial"/>
              <w:color w:val="000000"/>
            </w:rPr>
            <w:t xml:space="preserve">. </w:t>
          </w:r>
          <w:r w:rsidR="00FB6D84" w:rsidRPr="003A2A6E">
            <w:rPr>
              <w:rFonts w:ascii="Arial" w:hAnsi="Arial" w:cs="Arial"/>
              <w:color w:val="000000"/>
            </w:rPr>
            <w:t>2020; 112:68</w:t>
          </w:r>
          <w:r w:rsidRPr="003A2A6E">
            <w:rPr>
              <w:rFonts w:ascii="Arial" w:hAnsi="Arial" w:cs="Arial"/>
              <w:color w:val="000000"/>
            </w:rPr>
            <w:t>–75.</w:t>
          </w:r>
        </w:p>
        <w:p w14:paraId="7C7C73A1" w14:textId="63AFDE10"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[29] </w:t>
          </w:r>
          <w:r w:rsidR="00364997" w:rsidRPr="00364997">
            <w:rPr>
              <w:rFonts w:ascii="Arial" w:hAnsi="Arial" w:cs="Arial"/>
              <w:color w:val="000000"/>
            </w:rPr>
            <w:t>Becker S, Naumann M. Energy democracy: Mapping the debate on energy alternatives. Geography Compass. 2017 Aug;11(8): e12321.</w:t>
          </w:r>
        </w:p>
        <w:p w14:paraId="0B2A8817" w14:textId="0B24398D" w:rsidR="00C6040D" w:rsidRPr="003A2A6E" w:rsidRDefault="003A2A6E" w:rsidP="003A2A6E">
          <w:pPr>
            <w:pStyle w:val="Body"/>
            <w:spacing w:after="0"/>
            <w:rPr>
              <w:rFonts w:ascii="Arial" w:hAnsi="Arial" w:cs="Arial"/>
              <w:color w:val="000000"/>
            </w:rPr>
          </w:pPr>
          <w:r w:rsidRPr="003A2A6E">
            <w:rPr>
              <w:rFonts w:ascii="Arial" w:hAnsi="Arial" w:cs="Arial"/>
              <w:color w:val="000000"/>
            </w:rPr>
            <w:t xml:space="preserve">[30] </w:t>
          </w:r>
          <w:proofErr w:type="spellStart"/>
          <w:r w:rsidR="00C6040D" w:rsidRPr="00C6040D">
            <w:rPr>
              <w:rFonts w:ascii="Arial" w:hAnsi="Arial" w:cs="Arial"/>
              <w:color w:val="000000"/>
            </w:rPr>
            <w:t>Gamarra</w:t>
          </w:r>
          <w:proofErr w:type="spellEnd"/>
          <w:r w:rsidR="00C6040D" w:rsidRPr="00C6040D">
            <w:rPr>
              <w:rFonts w:ascii="Arial" w:hAnsi="Arial" w:cs="Arial"/>
              <w:color w:val="000000"/>
            </w:rPr>
            <w:t xml:space="preserve"> R, Santacruz </w:t>
          </w:r>
          <w:proofErr w:type="spellStart"/>
          <w:r w:rsidR="00C6040D" w:rsidRPr="00C6040D">
            <w:rPr>
              <w:rFonts w:ascii="Arial" w:hAnsi="Arial" w:cs="Arial"/>
              <w:color w:val="000000"/>
            </w:rPr>
            <w:t>Banacloche</w:t>
          </w:r>
          <w:proofErr w:type="spellEnd"/>
          <w:r w:rsidR="00C6040D" w:rsidRPr="00C6040D">
            <w:rPr>
              <w:rFonts w:ascii="Arial" w:hAnsi="Arial" w:cs="Arial"/>
              <w:color w:val="000000"/>
            </w:rPr>
            <w:t xml:space="preserve">, </w:t>
          </w:r>
          <w:proofErr w:type="spellStart"/>
          <w:r w:rsidR="00C6040D" w:rsidRPr="00C6040D">
            <w:rPr>
              <w:rFonts w:ascii="Arial" w:hAnsi="Arial" w:cs="Arial"/>
              <w:color w:val="000000"/>
            </w:rPr>
            <w:t>Caldés</w:t>
          </w:r>
          <w:proofErr w:type="spellEnd"/>
          <w:r w:rsidR="00C6040D" w:rsidRPr="00C6040D">
            <w:rPr>
              <w:rFonts w:ascii="Arial" w:hAnsi="Arial" w:cs="Arial"/>
              <w:color w:val="000000"/>
            </w:rPr>
            <w:t xml:space="preserve"> N, </w:t>
          </w:r>
          <w:proofErr w:type="spellStart"/>
          <w:r w:rsidR="00C6040D" w:rsidRPr="00C6040D">
            <w:rPr>
              <w:rFonts w:ascii="Arial" w:hAnsi="Arial" w:cs="Arial"/>
              <w:color w:val="000000"/>
            </w:rPr>
            <w:t>Lechón</w:t>
          </w:r>
          <w:proofErr w:type="spellEnd"/>
          <w:r w:rsidR="00C6040D" w:rsidRPr="00C6040D">
            <w:rPr>
              <w:rFonts w:ascii="Arial" w:hAnsi="Arial" w:cs="Arial"/>
              <w:color w:val="000000"/>
            </w:rPr>
            <w:t xml:space="preserve"> Y. The socioeconomic benefits of renewable energy projects. In: del Río P, </w:t>
          </w:r>
          <w:proofErr w:type="spellStart"/>
          <w:r w:rsidR="00C6040D" w:rsidRPr="00C6040D">
            <w:rPr>
              <w:rFonts w:ascii="Arial" w:hAnsi="Arial" w:cs="Arial"/>
              <w:color w:val="000000"/>
            </w:rPr>
            <w:t>Ragwitz</w:t>
          </w:r>
          <w:proofErr w:type="spellEnd"/>
          <w:r w:rsidR="00C6040D" w:rsidRPr="00C6040D">
            <w:rPr>
              <w:rFonts w:ascii="Arial" w:hAnsi="Arial" w:cs="Arial"/>
              <w:color w:val="000000"/>
            </w:rPr>
            <w:t xml:space="preserve"> M, editors. </w:t>
          </w:r>
          <w:r w:rsidR="00C6040D" w:rsidRPr="00C6040D">
            <w:rPr>
              <w:rFonts w:ascii="Arial" w:hAnsi="Arial" w:cs="Arial"/>
              <w:i/>
              <w:iCs/>
              <w:color w:val="000000"/>
            </w:rPr>
            <w:t>Handbook on the Economics of Renewable Energy</w:t>
          </w:r>
          <w:r w:rsidR="00C6040D" w:rsidRPr="00C6040D">
            <w:rPr>
              <w:rFonts w:ascii="Arial" w:hAnsi="Arial" w:cs="Arial"/>
              <w:color w:val="000000"/>
            </w:rPr>
            <w:t>. Cheltenham: Edward Elgar Publishing; 2023. p. 118–137.</w:t>
          </w:r>
        </w:p>
        <w:p w14:paraId="62A8A996" w14:textId="0314D30A"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[31] </w:t>
          </w:r>
          <w:r w:rsidR="002E6216" w:rsidRPr="002E6216">
            <w:rPr>
              <w:rFonts w:ascii="Arial" w:hAnsi="Arial" w:cs="Arial"/>
              <w:color w:val="000000"/>
            </w:rPr>
            <w:t xml:space="preserve">Bauwens T, </w:t>
          </w:r>
          <w:proofErr w:type="spellStart"/>
          <w:r w:rsidR="002E6216" w:rsidRPr="002E6216">
            <w:rPr>
              <w:rFonts w:ascii="Arial" w:hAnsi="Arial" w:cs="Arial"/>
              <w:color w:val="000000"/>
            </w:rPr>
            <w:t>Schraven</w:t>
          </w:r>
          <w:proofErr w:type="spellEnd"/>
          <w:r w:rsidR="002E6216" w:rsidRPr="002E6216">
            <w:rPr>
              <w:rFonts w:ascii="Arial" w:hAnsi="Arial" w:cs="Arial"/>
              <w:color w:val="000000"/>
            </w:rPr>
            <w:t xml:space="preserve"> D, </w:t>
          </w:r>
          <w:proofErr w:type="spellStart"/>
          <w:r w:rsidR="002E6216" w:rsidRPr="002E6216">
            <w:rPr>
              <w:rFonts w:ascii="Arial" w:hAnsi="Arial" w:cs="Arial"/>
              <w:color w:val="000000"/>
            </w:rPr>
            <w:t>Drewing</w:t>
          </w:r>
          <w:proofErr w:type="spellEnd"/>
          <w:r w:rsidR="002E6216" w:rsidRPr="002E6216">
            <w:rPr>
              <w:rFonts w:ascii="Arial" w:hAnsi="Arial" w:cs="Arial"/>
              <w:color w:val="000000"/>
            </w:rPr>
            <w:t xml:space="preserve"> E, Radtke J, </w:t>
          </w:r>
          <w:proofErr w:type="spellStart"/>
          <w:r w:rsidR="002E6216" w:rsidRPr="002E6216">
            <w:rPr>
              <w:rFonts w:ascii="Arial" w:hAnsi="Arial" w:cs="Arial"/>
              <w:color w:val="000000"/>
            </w:rPr>
            <w:t>Holstenkamp</w:t>
          </w:r>
          <w:proofErr w:type="spellEnd"/>
          <w:r w:rsidR="002E6216" w:rsidRPr="002E6216">
            <w:rPr>
              <w:rFonts w:ascii="Arial" w:hAnsi="Arial" w:cs="Arial"/>
              <w:color w:val="000000"/>
            </w:rPr>
            <w:t xml:space="preserve"> L, </w:t>
          </w:r>
          <w:proofErr w:type="spellStart"/>
          <w:r w:rsidR="002E6216" w:rsidRPr="002E6216">
            <w:rPr>
              <w:rFonts w:ascii="Arial" w:hAnsi="Arial" w:cs="Arial"/>
              <w:color w:val="000000"/>
            </w:rPr>
            <w:t>Gotchev</w:t>
          </w:r>
          <w:proofErr w:type="spellEnd"/>
          <w:r w:rsidR="002E6216" w:rsidRPr="002E6216">
            <w:rPr>
              <w:rFonts w:ascii="Arial" w:hAnsi="Arial" w:cs="Arial"/>
              <w:color w:val="000000"/>
            </w:rPr>
            <w:t xml:space="preserve"> B, </w:t>
          </w:r>
          <w:proofErr w:type="spellStart"/>
          <w:r w:rsidR="002E6216" w:rsidRPr="002E6216">
            <w:rPr>
              <w:rFonts w:ascii="Arial" w:hAnsi="Arial" w:cs="Arial"/>
              <w:color w:val="000000"/>
            </w:rPr>
            <w:t>Yildiz</w:t>
          </w:r>
          <w:proofErr w:type="spellEnd"/>
          <w:r w:rsidR="002E6216" w:rsidRPr="002E6216">
            <w:rPr>
              <w:rFonts w:ascii="Arial" w:hAnsi="Arial" w:cs="Arial"/>
              <w:color w:val="000000"/>
            </w:rPr>
            <w:t xml:space="preserve"> Ö. Conceptualizing community in energy systems: A systematic review of 183 definitions. Renewable and Sustainable Energy Reviews. 2022 Mar 1; 156:111999.</w:t>
          </w:r>
        </w:p>
        <w:p w14:paraId="7B7EC04C" w14:textId="4F65E6A0"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[32] </w:t>
          </w:r>
          <w:proofErr w:type="spellStart"/>
          <w:r w:rsidR="0054069E" w:rsidRPr="0054069E">
            <w:rPr>
              <w:rFonts w:ascii="Arial" w:hAnsi="Arial" w:cs="Arial"/>
              <w:color w:val="000000"/>
            </w:rPr>
            <w:t>Klagge</w:t>
          </w:r>
          <w:proofErr w:type="spellEnd"/>
          <w:r w:rsidR="0054069E" w:rsidRPr="0054069E">
            <w:rPr>
              <w:rFonts w:ascii="Arial" w:hAnsi="Arial" w:cs="Arial"/>
              <w:color w:val="000000"/>
            </w:rPr>
            <w:t>, B., &amp; Meister, T. (2018). Energy cooperatives in Germany – an example of successful alternative economies? Local Environment, 23(7), 697–716. https://doi.org/10.1080/13549839.2018.1436045</w:t>
          </w:r>
        </w:p>
        <w:p w14:paraId="48A41786"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[33] </w:t>
          </w:r>
          <w:proofErr w:type="spellStart"/>
          <w:r w:rsidRPr="003A2A6E">
            <w:rPr>
              <w:rFonts w:ascii="Arial" w:hAnsi="Arial" w:cs="Arial"/>
              <w:color w:val="000000"/>
            </w:rPr>
            <w:t>Pascaris</w:t>
          </w:r>
          <w:proofErr w:type="spellEnd"/>
          <w:r w:rsidRPr="003A2A6E">
            <w:rPr>
              <w:rFonts w:ascii="Arial" w:hAnsi="Arial" w:cs="Arial"/>
              <w:color w:val="000000"/>
            </w:rPr>
            <w:t xml:space="preserve"> A, </w:t>
          </w:r>
          <w:proofErr w:type="spellStart"/>
          <w:r w:rsidRPr="003A2A6E">
            <w:rPr>
              <w:rFonts w:ascii="Arial" w:hAnsi="Arial" w:cs="Arial"/>
              <w:color w:val="000000"/>
            </w:rPr>
            <w:t>Radyuli</w:t>
          </w:r>
          <w:proofErr w:type="spellEnd"/>
          <w:r w:rsidRPr="003A2A6E">
            <w:rPr>
              <w:rFonts w:ascii="Arial" w:hAnsi="Arial" w:cs="Arial"/>
              <w:color w:val="000000"/>
            </w:rPr>
            <w:t xml:space="preserve"> N, Ochs T. Social aspects and considerations for </w:t>
          </w:r>
          <w:proofErr w:type="spellStart"/>
          <w:r w:rsidRPr="003A2A6E">
            <w:rPr>
              <w:rFonts w:ascii="Arial" w:hAnsi="Arial" w:cs="Arial"/>
              <w:color w:val="000000"/>
            </w:rPr>
            <w:t>agrivoltaics</w:t>
          </w:r>
          <w:proofErr w:type="spellEnd"/>
          <w:r w:rsidRPr="003A2A6E">
            <w:rPr>
              <w:rFonts w:ascii="Arial" w:hAnsi="Arial" w:cs="Arial"/>
              <w:color w:val="000000"/>
            </w:rPr>
            <w:t>. Golden (CO): National Renewable Energy Laboratory; 2025. Report No.: NREL/TP-XXXX-93532.</w:t>
          </w:r>
        </w:p>
        <w:p w14:paraId="5A274984" w14:textId="4319E1BA" w:rsidR="003A2A6E" w:rsidRPr="003A2A6E" w:rsidRDefault="003A2A6E" w:rsidP="003A2A6E">
          <w:pPr>
            <w:pStyle w:val="Body"/>
            <w:spacing w:after="0"/>
            <w:rPr>
              <w:rFonts w:ascii="Arial" w:hAnsi="Arial" w:cs="Arial"/>
              <w:color w:val="000000"/>
            </w:rPr>
          </w:pPr>
          <w:r w:rsidRPr="003A2A6E">
            <w:rPr>
              <w:rFonts w:ascii="Arial" w:hAnsi="Arial" w:cs="Arial"/>
              <w:color w:val="000000"/>
            </w:rPr>
            <w:t xml:space="preserve">[34] </w:t>
          </w:r>
          <w:r w:rsidR="0054069E" w:rsidRPr="0054069E">
            <w:rPr>
              <w:rFonts w:ascii="Arial" w:hAnsi="Arial" w:cs="Arial"/>
              <w:color w:val="000000"/>
            </w:rPr>
            <w:t>Benz C, Scott-</w:t>
          </w:r>
          <w:proofErr w:type="spellStart"/>
          <w:r w:rsidR="0054069E" w:rsidRPr="0054069E">
            <w:rPr>
              <w:rFonts w:ascii="Arial" w:hAnsi="Arial" w:cs="Arial"/>
              <w:color w:val="000000"/>
            </w:rPr>
            <w:t>Jeffs</w:t>
          </w:r>
          <w:proofErr w:type="spellEnd"/>
          <w:r w:rsidR="0054069E" w:rsidRPr="0054069E">
            <w:rPr>
              <w:rFonts w:ascii="Arial" w:hAnsi="Arial" w:cs="Arial"/>
              <w:color w:val="000000"/>
            </w:rPr>
            <w:t xml:space="preserve"> W, McKercher KA, et al. Community-based participatory-research through co-design: supporting collaboration from all sides of disability. </w:t>
          </w:r>
          <w:r w:rsidR="0054069E" w:rsidRPr="0054069E">
            <w:rPr>
              <w:rFonts w:ascii="Arial" w:hAnsi="Arial" w:cs="Arial"/>
              <w:i/>
              <w:iCs/>
              <w:color w:val="000000"/>
            </w:rPr>
            <w:t xml:space="preserve">Res </w:t>
          </w:r>
          <w:proofErr w:type="spellStart"/>
          <w:r w:rsidR="0054069E" w:rsidRPr="0054069E">
            <w:rPr>
              <w:rFonts w:ascii="Arial" w:hAnsi="Arial" w:cs="Arial"/>
              <w:i/>
              <w:iCs/>
              <w:color w:val="000000"/>
            </w:rPr>
            <w:t>Involv</w:t>
          </w:r>
          <w:proofErr w:type="spellEnd"/>
          <w:r w:rsidR="0054069E" w:rsidRPr="0054069E">
            <w:rPr>
              <w:rFonts w:ascii="Arial" w:hAnsi="Arial" w:cs="Arial"/>
              <w:i/>
              <w:iCs/>
              <w:color w:val="000000"/>
            </w:rPr>
            <w:t xml:space="preserve"> </w:t>
          </w:r>
          <w:proofErr w:type="spellStart"/>
          <w:r w:rsidR="0054069E" w:rsidRPr="0054069E">
            <w:rPr>
              <w:rFonts w:ascii="Arial" w:hAnsi="Arial" w:cs="Arial"/>
              <w:i/>
              <w:iCs/>
              <w:color w:val="000000"/>
            </w:rPr>
            <w:t>Engagem</w:t>
          </w:r>
          <w:proofErr w:type="spellEnd"/>
          <w:r w:rsidR="0054069E" w:rsidRPr="0054069E">
            <w:rPr>
              <w:rFonts w:ascii="Arial" w:hAnsi="Arial" w:cs="Arial"/>
              <w:color w:val="000000"/>
            </w:rPr>
            <w:t>. 2024;10(1):47. Published 2024 May 10. doi:10.1186/s40900-024-00573-3</w:t>
          </w:r>
        </w:p>
        <w:p w14:paraId="303C44FD" w14:textId="77777777" w:rsidR="003A2A6E" w:rsidRPr="003A2A6E" w:rsidRDefault="003A2A6E" w:rsidP="003A2A6E">
          <w:pPr>
            <w:pStyle w:val="Body"/>
            <w:spacing w:after="0"/>
            <w:rPr>
              <w:rFonts w:ascii="Arial" w:hAnsi="Arial" w:cs="Arial"/>
              <w:color w:val="000000"/>
            </w:rPr>
          </w:pPr>
          <w:r w:rsidRPr="003A2A6E">
            <w:rPr>
              <w:rFonts w:ascii="Arial" w:hAnsi="Arial" w:cs="Arial"/>
              <w:color w:val="000000"/>
            </w:rPr>
            <w:t>[35] Walker G, Devine-Wright P. Community renewable energy: what should it mean? Energy Policy. 2008;36(2):497–500.</w:t>
          </w:r>
        </w:p>
        <w:p w14:paraId="20D27AE1" w14:textId="132F774D" w:rsidR="00D74CB0" w:rsidRPr="003A2A6E" w:rsidRDefault="00C75A6E" w:rsidP="003A2A6E">
          <w:pPr>
            <w:pStyle w:val="Body"/>
            <w:spacing w:after="0"/>
            <w:rPr>
              <w:rFonts w:ascii="Arial" w:hAnsi="Arial" w:cs="Arial"/>
            </w:rPr>
          </w:pPr>
        </w:p>
      </w:sdtContent>
    </w:sdt>
    <w:p w14:paraId="7F9AEF7A" w14:textId="77777777" w:rsidR="00441B6F" w:rsidRPr="003A2A6E" w:rsidRDefault="00441B6F" w:rsidP="003A2A6E">
      <w:pPr>
        <w:pStyle w:val="Body"/>
        <w:spacing w:after="0"/>
        <w:jc w:val="left"/>
        <w:rPr>
          <w:rFonts w:ascii="Arial" w:hAnsi="Arial" w:cs="Arial"/>
        </w:rPr>
      </w:pPr>
    </w:p>
    <w:p w14:paraId="75E223E9" w14:textId="77777777" w:rsidR="00441B6F" w:rsidRDefault="00441B6F" w:rsidP="00441B6F">
      <w:pPr>
        <w:pStyle w:val="Body"/>
        <w:spacing w:after="0"/>
        <w:jc w:val="left"/>
        <w:rPr>
          <w:rFonts w:ascii="Arial" w:hAnsi="Arial" w:cs="Arial"/>
        </w:rPr>
      </w:pPr>
    </w:p>
    <w:p w14:paraId="7F88A6F0" w14:textId="77777777" w:rsidR="00B01FCD" w:rsidRPr="00FB3A86" w:rsidRDefault="00B01FCD" w:rsidP="00441B6F">
      <w:pPr>
        <w:pStyle w:val="Reference"/>
        <w:numPr>
          <w:ilvl w:val="0"/>
          <w:numId w:val="0"/>
        </w:numPr>
        <w:spacing w:line="240" w:lineRule="auto"/>
        <w:rPr>
          <w:rFonts w:ascii="Arial" w:hAnsi="Arial" w:cs="Arial"/>
        </w:rPr>
      </w:pPr>
    </w:p>
    <w:p w14:paraId="6BEAAF0A" w14:textId="77777777" w:rsidR="00790ADA" w:rsidRPr="00FB3A86" w:rsidRDefault="00790ADA" w:rsidP="00441B6F">
      <w:pPr>
        <w:pStyle w:val="Body"/>
        <w:spacing w:after="0"/>
        <w:rPr>
          <w:rFonts w:ascii="Arial" w:hAnsi="Arial" w:cs="Arial"/>
        </w:rPr>
      </w:pPr>
    </w:p>
    <w:p w14:paraId="25F52B2A" w14:textId="77777777" w:rsidR="00B01FCD" w:rsidRPr="00FB3A86" w:rsidRDefault="00B01FCD" w:rsidP="00441B6F">
      <w:pPr>
        <w:pStyle w:val="Appendix"/>
        <w:spacing w:after="0"/>
        <w:jc w:val="both"/>
        <w:rPr>
          <w:rFonts w:ascii="Arial" w:hAnsi="Arial" w:cs="Arial"/>
          <w:b w:val="0"/>
        </w:rPr>
      </w:pPr>
    </w:p>
    <w:sectPr w:rsidR="00B01FCD" w:rsidRPr="00FB3A86" w:rsidSect="00412475">
      <w:footerReference w:type="default" r:id="rId11"/>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644DE" w14:textId="77777777" w:rsidR="00C75A6E" w:rsidRDefault="00C75A6E" w:rsidP="00C37E61">
      <w:r>
        <w:separator/>
      </w:r>
    </w:p>
  </w:endnote>
  <w:endnote w:type="continuationSeparator" w:id="0">
    <w:p w14:paraId="69ABBE40" w14:textId="77777777" w:rsidR="00C75A6E" w:rsidRDefault="00C75A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0128" w14:textId="77777777" w:rsidR="009E048A" w:rsidRDefault="009E048A">
    <w:pPr>
      <w:pStyle w:val="Footer"/>
      <w:rPr>
        <w:rFonts w:ascii="Arial" w:hAnsi="Arial" w:cs="Arial"/>
        <w:sz w:val="16"/>
      </w:rPr>
    </w:pPr>
  </w:p>
  <w:p w14:paraId="23571E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040565E" w14:textId="77777777" w:rsidR="009E048A" w:rsidRDefault="009E048A">
    <w:pPr>
      <w:pStyle w:val="Footer"/>
      <w:rPr>
        <w:rFonts w:ascii="Arial" w:hAnsi="Arial" w:cs="Arial"/>
        <w:sz w:val="16"/>
      </w:rPr>
    </w:pPr>
  </w:p>
  <w:p w14:paraId="1F3E429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317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3AA83" w14:textId="77777777" w:rsidR="00C75A6E" w:rsidRDefault="00C75A6E" w:rsidP="00C37E61">
      <w:r>
        <w:separator/>
      </w:r>
    </w:p>
  </w:footnote>
  <w:footnote w:type="continuationSeparator" w:id="0">
    <w:p w14:paraId="4DEADE52" w14:textId="77777777" w:rsidR="00C75A6E" w:rsidRDefault="00C75A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6B7F" w14:textId="77777777" w:rsidR="00296529" w:rsidRPr="00296529" w:rsidRDefault="00296529" w:rsidP="00296529">
    <w:pPr>
      <w:ind w:left="2160"/>
      <w:jc w:val="center"/>
      <w:rPr>
        <w:rFonts w:ascii="Times New Roman" w:eastAsia="Calibri" w:hAnsi="Times New Roman"/>
        <w:i/>
        <w:sz w:val="18"/>
        <w:szCs w:val="22"/>
      </w:rPr>
    </w:pPr>
  </w:p>
  <w:p w14:paraId="1456DC0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43B9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3BF5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4D69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DC250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848DA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D87249"/>
    <w:multiLevelType w:val="multilevel"/>
    <w:tmpl w:val="5280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0F778A1"/>
    <w:multiLevelType w:val="multilevel"/>
    <w:tmpl w:val="1E9E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6B5CC8"/>
    <w:multiLevelType w:val="multilevel"/>
    <w:tmpl w:val="5FF4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9A73DE"/>
    <w:multiLevelType w:val="multilevel"/>
    <w:tmpl w:val="BCE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C07A9"/>
    <w:multiLevelType w:val="multilevel"/>
    <w:tmpl w:val="0AF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62941"/>
    <w:multiLevelType w:val="multilevel"/>
    <w:tmpl w:val="9D1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134AD"/>
    <w:multiLevelType w:val="multilevel"/>
    <w:tmpl w:val="028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4C8F5DE3"/>
    <w:multiLevelType w:val="multilevel"/>
    <w:tmpl w:val="52FA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B6CB0"/>
    <w:multiLevelType w:val="multilevel"/>
    <w:tmpl w:val="D61C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86296"/>
    <w:multiLevelType w:val="multilevel"/>
    <w:tmpl w:val="B556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C3487"/>
    <w:multiLevelType w:val="multilevel"/>
    <w:tmpl w:val="A23E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A74A11"/>
    <w:multiLevelType w:val="hybridMultilevel"/>
    <w:tmpl w:val="529A4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0134856"/>
    <w:multiLevelType w:val="multilevel"/>
    <w:tmpl w:val="A348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C4164"/>
    <w:multiLevelType w:val="multilevel"/>
    <w:tmpl w:val="98EC2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492E3C"/>
    <w:multiLevelType w:val="multilevel"/>
    <w:tmpl w:val="C846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8"/>
  </w:num>
  <w:num w:numId="10">
    <w:abstractNumId w:val="2"/>
  </w:num>
  <w:num w:numId="11">
    <w:abstractNumId w:val="30"/>
  </w:num>
  <w:num w:numId="12">
    <w:abstractNumId w:val="3"/>
  </w:num>
  <w:num w:numId="13">
    <w:abstractNumId w:val="28"/>
  </w:num>
  <w:num w:numId="14">
    <w:abstractNumId w:val="11"/>
  </w:num>
  <w:num w:numId="15">
    <w:abstractNumId w:val="34"/>
  </w:num>
  <w:num w:numId="16">
    <w:abstractNumId w:val="5"/>
  </w:num>
  <w:num w:numId="17">
    <w:abstractNumId w:val="35"/>
  </w:num>
  <w:num w:numId="18">
    <w:abstractNumId w:val="17"/>
  </w:num>
  <w:num w:numId="19">
    <w:abstractNumId w:val="43"/>
  </w:num>
  <w:num w:numId="20">
    <w:abstractNumId w:val="14"/>
  </w:num>
  <w:num w:numId="21">
    <w:abstractNumId w:val="12"/>
  </w:num>
  <w:num w:numId="22">
    <w:abstractNumId w:val="16"/>
  </w:num>
  <w:num w:numId="23">
    <w:abstractNumId w:val="32"/>
  </w:num>
  <w:num w:numId="24">
    <w:abstractNumId w:val="39"/>
  </w:num>
  <w:num w:numId="25">
    <w:abstractNumId w:val="4"/>
  </w:num>
  <w:num w:numId="26">
    <w:abstractNumId w:val="26"/>
  </w:num>
  <w:num w:numId="27">
    <w:abstractNumId w:val="33"/>
  </w:num>
  <w:num w:numId="28">
    <w:abstractNumId w:val="41"/>
  </w:num>
  <w:num w:numId="29">
    <w:abstractNumId w:val="37"/>
  </w:num>
  <w:num w:numId="30">
    <w:abstractNumId w:val="13"/>
  </w:num>
  <w:num w:numId="31">
    <w:abstractNumId w:val="10"/>
  </w:num>
  <w:num w:numId="32">
    <w:abstractNumId w:val="29"/>
  </w:num>
  <w:num w:numId="33">
    <w:abstractNumId w:val="27"/>
  </w:num>
  <w:num w:numId="34">
    <w:abstractNumId w:val="21"/>
  </w:num>
  <w:num w:numId="35">
    <w:abstractNumId w:val="24"/>
  </w:num>
  <w:num w:numId="36">
    <w:abstractNumId w:val="8"/>
  </w:num>
  <w:num w:numId="37">
    <w:abstractNumId w:val="25"/>
  </w:num>
  <w:num w:numId="38">
    <w:abstractNumId w:val="19"/>
  </w:num>
  <w:num w:numId="39">
    <w:abstractNumId w:val="31"/>
  </w:num>
  <w:num w:numId="40">
    <w:abstractNumId w:val="42"/>
  </w:num>
  <w:num w:numId="41">
    <w:abstractNumId w:val="23"/>
  </w:num>
  <w:num w:numId="42">
    <w:abstractNumId w:val="6"/>
  </w:num>
  <w:num w:numId="43">
    <w:abstractNumId w:val="40"/>
  </w:num>
  <w:num w:numId="44">
    <w:abstractNumId w:val="2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7D45"/>
    <w:rsid w:val="00082245"/>
    <w:rsid w:val="000A47FA"/>
    <w:rsid w:val="000A65D3"/>
    <w:rsid w:val="000B1E33"/>
    <w:rsid w:val="000D689F"/>
    <w:rsid w:val="000D72B0"/>
    <w:rsid w:val="000E7B7B"/>
    <w:rsid w:val="000E7D62"/>
    <w:rsid w:val="00103357"/>
    <w:rsid w:val="00117724"/>
    <w:rsid w:val="00123C9F"/>
    <w:rsid w:val="00126190"/>
    <w:rsid w:val="00130F17"/>
    <w:rsid w:val="001320BF"/>
    <w:rsid w:val="001623C8"/>
    <w:rsid w:val="00163BC4"/>
    <w:rsid w:val="00191062"/>
    <w:rsid w:val="00192B72"/>
    <w:rsid w:val="001A29D8"/>
    <w:rsid w:val="001A5CAA"/>
    <w:rsid w:val="001B0427"/>
    <w:rsid w:val="001D3A51"/>
    <w:rsid w:val="001E10D2"/>
    <w:rsid w:val="001E25B4"/>
    <w:rsid w:val="001E2F04"/>
    <w:rsid w:val="001E44FE"/>
    <w:rsid w:val="00200595"/>
    <w:rsid w:val="00204835"/>
    <w:rsid w:val="00231920"/>
    <w:rsid w:val="0023195C"/>
    <w:rsid w:val="0024282C"/>
    <w:rsid w:val="002460DC"/>
    <w:rsid w:val="00250985"/>
    <w:rsid w:val="002556F6"/>
    <w:rsid w:val="00283105"/>
    <w:rsid w:val="0028331D"/>
    <w:rsid w:val="00284C4C"/>
    <w:rsid w:val="00287E68"/>
    <w:rsid w:val="00296529"/>
    <w:rsid w:val="002B27FB"/>
    <w:rsid w:val="002B685A"/>
    <w:rsid w:val="002C57D2"/>
    <w:rsid w:val="002E0D56"/>
    <w:rsid w:val="002E6216"/>
    <w:rsid w:val="00315186"/>
    <w:rsid w:val="0033343E"/>
    <w:rsid w:val="003512C2"/>
    <w:rsid w:val="00364997"/>
    <w:rsid w:val="00371FB6"/>
    <w:rsid w:val="003763C1"/>
    <w:rsid w:val="00376BBE"/>
    <w:rsid w:val="00386AEB"/>
    <w:rsid w:val="0039224F"/>
    <w:rsid w:val="003A2A6E"/>
    <w:rsid w:val="003A43A4"/>
    <w:rsid w:val="003A7E18"/>
    <w:rsid w:val="003C4C86"/>
    <w:rsid w:val="003C6258"/>
    <w:rsid w:val="003E2904"/>
    <w:rsid w:val="003F2B44"/>
    <w:rsid w:val="00401927"/>
    <w:rsid w:val="0041027F"/>
    <w:rsid w:val="00412475"/>
    <w:rsid w:val="00423789"/>
    <w:rsid w:val="00440F43"/>
    <w:rsid w:val="00441B6F"/>
    <w:rsid w:val="00446221"/>
    <w:rsid w:val="00450E62"/>
    <w:rsid w:val="004539DB"/>
    <w:rsid w:val="00471A80"/>
    <w:rsid w:val="00475564"/>
    <w:rsid w:val="004D305E"/>
    <w:rsid w:val="004D4277"/>
    <w:rsid w:val="004F4A14"/>
    <w:rsid w:val="00502516"/>
    <w:rsid w:val="00505F06"/>
    <w:rsid w:val="00506828"/>
    <w:rsid w:val="00506B26"/>
    <w:rsid w:val="00516C84"/>
    <w:rsid w:val="0053056E"/>
    <w:rsid w:val="0054069E"/>
    <w:rsid w:val="00554FDA"/>
    <w:rsid w:val="005B035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E4C2A"/>
    <w:rsid w:val="007F7B32"/>
    <w:rsid w:val="00802D22"/>
    <w:rsid w:val="00804BC2"/>
    <w:rsid w:val="0081431A"/>
    <w:rsid w:val="0083216F"/>
    <w:rsid w:val="00860000"/>
    <w:rsid w:val="00863BD3"/>
    <w:rsid w:val="008641ED"/>
    <w:rsid w:val="00866D66"/>
    <w:rsid w:val="008671C6"/>
    <w:rsid w:val="00875803"/>
    <w:rsid w:val="008A1202"/>
    <w:rsid w:val="008B459E"/>
    <w:rsid w:val="008E13AE"/>
    <w:rsid w:val="008E1506"/>
    <w:rsid w:val="008E497E"/>
    <w:rsid w:val="008E710C"/>
    <w:rsid w:val="008F69D6"/>
    <w:rsid w:val="00902823"/>
    <w:rsid w:val="00905E85"/>
    <w:rsid w:val="00915CA6"/>
    <w:rsid w:val="00927834"/>
    <w:rsid w:val="009500A6"/>
    <w:rsid w:val="00957C18"/>
    <w:rsid w:val="00962611"/>
    <w:rsid w:val="0096457F"/>
    <w:rsid w:val="009659BA"/>
    <w:rsid w:val="0096758C"/>
    <w:rsid w:val="00983040"/>
    <w:rsid w:val="009B3FB9"/>
    <w:rsid w:val="009C2465"/>
    <w:rsid w:val="009D35A0"/>
    <w:rsid w:val="009D7EB7"/>
    <w:rsid w:val="009E048A"/>
    <w:rsid w:val="009E08E9"/>
    <w:rsid w:val="009E3DB9"/>
    <w:rsid w:val="009E6E35"/>
    <w:rsid w:val="009F0EDA"/>
    <w:rsid w:val="00A014FD"/>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6042"/>
    <w:rsid w:val="00B01FCD"/>
    <w:rsid w:val="00B1776C"/>
    <w:rsid w:val="00B41CFD"/>
    <w:rsid w:val="00B52583"/>
    <w:rsid w:val="00B52896"/>
    <w:rsid w:val="00B95236"/>
    <w:rsid w:val="00B96284"/>
    <w:rsid w:val="00B96BD9"/>
    <w:rsid w:val="00BA1B01"/>
    <w:rsid w:val="00BA2641"/>
    <w:rsid w:val="00BB37AA"/>
    <w:rsid w:val="00BC53A0"/>
    <w:rsid w:val="00BE62AD"/>
    <w:rsid w:val="00BF121F"/>
    <w:rsid w:val="00BF1F80"/>
    <w:rsid w:val="00BF49AE"/>
    <w:rsid w:val="00C166EF"/>
    <w:rsid w:val="00C17EB0"/>
    <w:rsid w:val="00C21614"/>
    <w:rsid w:val="00C27F5F"/>
    <w:rsid w:val="00C30A0F"/>
    <w:rsid w:val="00C37E61"/>
    <w:rsid w:val="00C6040D"/>
    <w:rsid w:val="00C70F1B"/>
    <w:rsid w:val="00C71A47"/>
    <w:rsid w:val="00C7464C"/>
    <w:rsid w:val="00C75A6E"/>
    <w:rsid w:val="00C85588"/>
    <w:rsid w:val="00CB3EE9"/>
    <w:rsid w:val="00CD6755"/>
    <w:rsid w:val="00CD6856"/>
    <w:rsid w:val="00CE0089"/>
    <w:rsid w:val="00CE793C"/>
    <w:rsid w:val="00CF193C"/>
    <w:rsid w:val="00D173F1"/>
    <w:rsid w:val="00D227BC"/>
    <w:rsid w:val="00D41B26"/>
    <w:rsid w:val="00D74CB0"/>
    <w:rsid w:val="00D8295D"/>
    <w:rsid w:val="00DA45F4"/>
    <w:rsid w:val="00DC2A65"/>
    <w:rsid w:val="00DE15F0"/>
    <w:rsid w:val="00DE5663"/>
    <w:rsid w:val="00DE78AA"/>
    <w:rsid w:val="00E053D0"/>
    <w:rsid w:val="00E15994"/>
    <w:rsid w:val="00E3114E"/>
    <w:rsid w:val="00E31A70"/>
    <w:rsid w:val="00E35B02"/>
    <w:rsid w:val="00E57F9F"/>
    <w:rsid w:val="00E66496"/>
    <w:rsid w:val="00E66B35"/>
    <w:rsid w:val="00E66E10"/>
    <w:rsid w:val="00E769F6"/>
    <w:rsid w:val="00E8407C"/>
    <w:rsid w:val="00E84F3C"/>
    <w:rsid w:val="00EA012C"/>
    <w:rsid w:val="00EC6A55"/>
    <w:rsid w:val="00ED0288"/>
    <w:rsid w:val="00EE52CB"/>
    <w:rsid w:val="00EF581D"/>
    <w:rsid w:val="00EF7FD8"/>
    <w:rsid w:val="00F06F59"/>
    <w:rsid w:val="00F15D77"/>
    <w:rsid w:val="00F17988"/>
    <w:rsid w:val="00F469F0"/>
    <w:rsid w:val="00F53273"/>
    <w:rsid w:val="00F755E4"/>
    <w:rsid w:val="00F77D02"/>
    <w:rsid w:val="00FA31CE"/>
    <w:rsid w:val="00FB3A86"/>
    <w:rsid w:val="00FB6D84"/>
    <w:rsid w:val="00FD2A30"/>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44EA5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16C8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A45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014F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CB3EE9"/>
    <w:rPr>
      <w:rFonts w:ascii="Times New Roman" w:hAnsi="Times New Roman"/>
      <w:sz w:val="24"/>
      <w:szCs w:val="24"/>
    </w:rPr>
  </w:style>
  <w:style w:type="character" w:styleId="PlaceholderText">
    <w:name w:val="Placeholder Text"/>
    <w:basedOn w:val="DefaultParagraphFont"/>
    <w:uiPriority w:val="99"/>
    <w:semiHidden/>
    <w:rsid w:val="004F4A14"/>
    <w:rPr>
      <w:color w:val="666666"/>
    </w:rPr>
  </w:style>
  <w:style w:type="character" w:customStyle="1" w:styleId="Heading4Char">
    <w:name w:val="Heading 4 Char"/>
    <w:basedOn w:val="DefaultParagraphFont"/>
    <w:link w:val="Heading4"/>
    <w:semiHidden/>
    <w:rsid w:val="00A014FD"/>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DA45F4"/>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516C8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0312754">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977620">
      <w:marLeft w:val="640"/>
      <w:marRight w:val="0"/>
      <w:marTop w:val="0"/>
      <w:marBottom w:val="0"/>
      <w:divBdr>
        <w:top w:val="none" w:sz="0" w:space="0" w:color="auto"/>
        <w:left w:val="none" w:sz="0" w:space="0" w:color="auto"/>
        <w:bottom w:val="none" w:sz="0" w:space="0" w:color="auto"/>
        <w:right w:val="none" w:sz="0" w:space="0" w:color="auto"/>
      </w:divBdr>
    </w:div>
    <w:div w:id="756485231">
      <w:marLeft w:val="64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3846206">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1852630">
      <w:marLeft w:val="64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4391047">
      <w:marLeft w:val="640"/>
      <w:marRight w:val="0"/>
      <w:marTop w:val="0"/>
      <w:marBottom w:val="0"/>
      <w:divBdr>
        <w:top w:val="none" w:sz="0" w:space="0" w:color="auto"/>
        <w:left w:val="none" w:sz="0" w:space="0" w:color="auto"/>
        <w:bottom w:val="none" w:sz="0" w:space="0" w:color="auto"/>
        <w:right w:val="none" w:sz="0" w:space="0" w:color="auto"/>
      </w:divBdr>
    </w:div>
    <w:div w:id="1634674587">
      <w:marLeft w:val="640"/>
      <w:marRight w:val="0"/>
      <w:marTop w:val="0"/>
      <w:marBottom w:val="0"/>
      <w:divBdr>
        <w:top w:val="none" w:sz="0" w:space="0" w:color="auto"/>
        <w:left w:val="none" w:sz="0" w:space="0" w:color="auto"/>
        <w:bottom w:val="none" w:sz="0" w:space="0" w:color="auto"/>
        <w:right w:val="none" w:sz="0" w:space="0" w:color="auto"/>
      </w:divBdr>
    </w:div>
    <w:div w:id="1705717856">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CDEF685-5055-4AB5-AF94-5FE4C0869034}"/>
      </w:docPartPr>
      <w:docPartBody>
        <w:p w:rsidR="00365B2B" w:rsidRDefault="00717D38">
          <w:r w:rsidRPr="00C456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38"/>
    <w:rsid w:val="0019346B"/>
    <w:rsid w:val="00365B2B"/>
    <w:rsid w:val="003F2B44"/>
    <w:rsid w:val="00641AEA"/>
    <w:rsid w:val="006953B6"/>
    <w:rsid w:val="00717D38"/>
    <w:rsid w:val="008E497E"/>
    <w:rsid w:val="00AD4E31"/>
    <w:rsid w:val="00FD2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D3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D738D7-CA7F-4ACF-8E02-4C86E14A5A6B}">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0120646090"/>
    <we:property name="MENDELEY_CITATIONS" value="[{&quot;citationID&quot;:&quot;MENDELEY_CITATION_07a6647c-67f6-4232-97d1-0d6c7d60114f&quot;,&quot;properties&quot;:{&quot;noteIndex&quot;:0},&quot;isEdited&quot;:false,&quot;manualOverride&quot;:{&quot;isManuallyOverridden&quot;:false,&quot;citeprocText&quot;:&quot;[1,2]&quot;,&quot;manualOverrideText&quot;:&quot;&quot;},&quot;citationTag&quot;:&quot;MENDELEY_CITATION_v3_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quot;,&quot;citationItems&quot;:[{&quot;id&quot;:&quot;a8d75367-ede7-34df-9ac6-e83602ebed8f&quot;,&quot;itemData&quot;:{&quot;type&quot;:&quot;article-journal&quot;,&quot;id&quot;:&quot;a8d75367-ede7-34df-9ac6-e83602ebed8f&quot;,&quot;title&quot;:&quot;Social acceptance of renewable energy innovation: An introduction to the concept&quot;,&quot;author&quot;:[{&quot;family&quot;:&quot;Wüstenhagen&quot;,&quot;given&quot;:&quot;Rolf&quot;,&quot;parse-names&quot;:false,&quot;dropping-particle&quot;:&quot;&quot;,&quot;non-dropping-particle&quot;:&quot;&quot;},{&quot;family&quot;:&quot;Wolsink&quot;,&quot;given&quot;:&quot;Maarten&quot;,&quot;parse-names&quot;:false,&quot;dropping-particle&quot;:&quot;&quot;,&quot;non-dropping-particle&quot;:&quot;&quot;},{&quot;family&quot;:&quot;Bürer&quot;,&quot;given&quot;:&quot;Mary Jean&quot;,&quot;parse-names&quot;:false,&quot;dropping-particle&quot;:&quot;&quot;,&quot;non-dropping-particle&quot;:&quot;&quot;}],&quot;container-title&quot;:&quot;Energy Policy&quot;,&quot;container-title-short&quot;:&quot;Energy Policy&quot;,&quot;accessed&quot;:{&quot;date-parts&quot;:[[2025,10,9]]},&quot;DOI&quot;:&quot;10.1016/J.ENPOL.2006.12.001&quot;,&quot;ISSN&quot;:&quot;0301-4215&quot;,&quot;URL&quot;:&quot;https://www.sciencedirect.com/science/article/pii/S0301421506004824?casa_token=n-737aDUs44AAAAA:MaMX3OnwTpWsUUDaFcmW28h-EH8tNM_r8sZoXUvGLhX8iCJIclhplCiO--5Voi_89eIG0Kgp_Vk&quot;,&quot;issued&quot;:{&quot;date-parts&quot;:[[2007,5,1]]},&quot;page&quot;:&quot;2683-2691&quot;,&quot;abstract&quot;:&quot;This paper introduces the special issue on Social Acceptance of Renewable Energy Innovation. It is a collection of best papers presented at an international research conference held in Tramelan (Switzerland) in February 2006. While there are ambitious government targets to increase the share of renewable energy in many countries, it is increasingly recognized that social acceptance may be a constraining factor in achieving this target. This is particularly apparent in the case of wind energy, which has become a subject of contested debates in several countries largely due to its visual impact on landscapes. This paper introduces three dimensions of social acceptance, namely socio-political, community and market acceptance. Factors influencing socio-political and community acceptance are increasingly recognized as being important for understanding the apparent contradictions between general public support for renewable energy innovation and the difficult realization of specific projects. The third dimension, market acceptance, has received less attention so far and provides opportunities for further research, particularly from management scholars. © 2006.&quot;,&quot;publisher&quot;:&quot;Elsevier&quot;,&quot;issue&quot;:&quot;5&quot;,&quot;volume&quot;:&quot;35&quot;},&quot;isTemporary&quot;:false},{&quot;id&quot;:&quot;0278069f-e3a4-3890-b3c7-fbfad8e6d905&quot;,&quot;itemData&quot;:{&quot;type&quot;:&quot;article-journal&quot;,&quot;id&quot;:&quot;0278069f-e3a4-3890-b3c7-fbfad8e6d905&quot;,&quot;title&quot;:&quot;Community Engagement and Equity in Renewable Energy Projects: A Literature Review&quot;,&quot;author&quot;:[{&quot;family&quot;:&quot;Romero-Lankao&quot;,&quot;given&quot;:&quot;Paty&quot;,&quot;parse-names&quot;:false,&quot;dropping-particle&quot;:&quot;&quot;,&quot;non-dropping-particle&quot;:&quot;&quot;},{&quot;family&quot;:&quot;Rosner&quot;,&quot;given&quot;:&quot;Nicole&quot;,&quot;parse-names&quot;:false,&quot;dropping-particle&quot;:&quot;&quot;,&quot;non-dropping-particle&quot;:&quot;&quot;},{&quot;family&quot;:&quot;Efroymson&quot;,&quot;given&quot;:&quot;Rebecca&quot;,&quot;parse-names&quot;:false,&quot;dropping-particle&quot;:&quot;&quot;,&quot;non-dropping-particle&quot;:&quot;&quot;},{&quot;family&quot;:&quot;Parisch&quot;,&quot;given&quot;:&quot;Esther&quot;,&quot;parse-names&quot;:false,&quot;dropping-particle&quot;:&quot;&quot;,&quot;non-dropping-particle&quot;:&quot;&quot;},{&quot;family&quot;:&quot;Blanco&quot;,&quot;given&quot;:&quot;Lis&quot;,&quot;parse-names&quot;:false,&quot;dropping-particle&quot;:&quot;&quot;,&quot;non-dropping-particle&quot;:&quot;&quot;},{&quot;family&quot;:&quot;Smolinski&quot;,&quot;given&quot;:&quot;Sharon&quot;,&quot;parse-names&quot;:false,&quot;dropping-particle&quot;:&quot;&quot;,&quot;non-dropping-particle&quot;:&quot;&quot;},{&quot;family&quot;:&quot;Kline&quot;,&quot;given&quot;:&quot;Keith&quot;,&quot;parse-names&quot;:false,&quot;dropping-particle&quot;:&quot;&quot;,&quot;non-dropping-particle&quot;:&quot;&quot;}],&quot;accessed&quot;:{&quot;date-parts&quot;:[[2025,10,9]]},&quot;DOI&quot;:&quot;10.2172/1996557&quot;,&quot;URL&quot;:&quot;https://research-hub.nrel.gov/en/publications/community-engagement-and-equity-in-renewable-energy-projects-a-li&quot;,&quot;issued&quot;:{&quot;date-parts&quot;:[[2023,8,1]]},&quot;publisher-place&quot;:&quot;Golden, CO (United States)&quot;,&quot;container-title-short&quot;:&quot;&quot;},&quot;isTemporary&quot;:false}]},{&quot;citationID&quot;:&quot;MENDELEY_CITATION_a6eccb28-f2fb-4a98-bba9-c613570157d4&quot;,&quot;properties&quot;:{&quot;noteIndex&quot;:0},&quot;isEdited&quot;:false,&quot;manualOverride&quot;:{&quot;isManuallyOverridden&quot;:false,&quot;citeprocText&quot;:&quot;[3–5]&quot;,&quot;manualOverrideText&quot;:&quot;&quot;},&quot;citationTag&quot;:&quot;MENDELEY_CITATION_v3_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J9LCJpc1RlbXBvcmFyeSI6ZmFsc2V9XX0=&quot;,&quot;citationItems&quot;:[{&quot;id&quot;:&quot;fda5e6c8-be3f-3a05-a3b8-15ee0b5b9649&quot;,&quot;itemData&quot;:{&quot;type&quot;:&quot;article-journal&quot;,&quot;id&quot;:&quot;fda5e6c8-be3f-3a05-a3b8-15ee0b5b9649&quot;,&quot;title&quot;:&quot;The political economy of the 'just transition'&quot;,&quot;author&quot;:[{&quot;family&quot;:&quot;Newell&quot;,&quot;given&quot;:&quot;Peter&quot;,&quot;parse-names&quot;:false,&quot;dropping-particle&quot;:&quot;&quot;,&quot;non-dropping-particle&quot;:&quot;&quot;},{&quot;family&quot;:&quot;Mulvaney&quot;,&quot;given&quot;:&quot;Dustin&quot;,&quot;parse-names&quot;:false,&quot;dropping-particle&quot;:&quot;&quot;,&quot;non-dropping-particle&quot;:&quot;&quot;}],&quot;container-title&quot;:&quot;Geographical Journal&quot;,&quot;accessed&quot;:{&quot;date-parts&quot;:[[2025,10,9]]},&quot;DOI&quot;:&quot;10.1111/GEOJ.12008&quot;,&quot;ISSN&quot;:&quot;00167398&quot;,&quot;URL&quot;:&quot;https://www.researchgate.net/publication/259043435_The_Political_Economy_of_the_Just_Transition&quot;,&quot;issued&quot;:{&quot;date-parts&quot;:[[2013,6]]},&quot;page&quot;:&quot;132-140&quot;,&quot;abstract&quot;:&quot;This paper explores the political economy of the 'just transition' to a low carbon economy. The idea of a 'just transition' increasingly features in policy and political discourse and appeals to the need to ensure that efforts to steer society towards a lower carbon future are underpinned by attention to issues of equity and justice: to those currently without access to reliable energy supplies and living in energy poverty and to those whose livelihoods are affected by and dependent on a fossil fuel economy. To complicate things further this transition has to be made compatible with the pursuit of 'climate justice' to current and future generations exposed to the social and ecological disruptions produced by increasing concentrations of greenhouse gas emissions in the atmosphere. Here we seek to identify and analyse the immensely difficult political trade-offs that will characterise collective attempts to enact and realise a just transition. We explore procedural and distributional aspects of energy politics and practice in particular as they relate to the just transition: energy access for those who do not have it; justice for those who work within and are affected by the fossil fuel economy; and attempts to manage the potential contradictions that might flow from pursuing energy and climate justice simultaneously. © 2013 The Authors. The Geographical Journal © 2013 Royal Geographical Society (with the Institute of British Geographers).&quot;,&quot;issue&quot;:&quot;2&quot;,&quot;volume&quot;:&quot;179&quot;,&quot;container-title-short&quot;:&quot;&quot;},&quot;isTemporary&quot;:false},{&quot;id&quot;:&quot;0144e16e-f844-37e4-9089-c4bfb5f179c7&quot;,&quot;itemData&quot;:{&quot;type&quot;:&quot;article-journal&quot;,&quot;id&quot;:&quot;0144e16e-f844-37e4-9089-c4bfb5f179c7&quot;,&quot;title&quot;:&quot;Public engagement with large-scale renewable energy technologies: breaking the cycle of NIMBYism&quot;,&quot;author&quot;:[{&quot;family&quot;:&quot;Devine-Wright&quot;,&quot;given&quot;:&quot;Patrick&quot;,&quot;parse-names&quot;:false,&quot;dropping-particle&quot;:&quot;&quot;,&quot;non-dropping-particle&quot;:&quot;&quot;}],&quot;container-title&quot;:&quot;Wiley Interdisciplinary Reviews: Climate Change&quot;,&quot;container-title-short&quot;:&quot;Wiley Interdiscip Rev Clim Change&quot;,&quot;accessed&quot;:{&quot;date-parts&quot;:[[2025,10,9]]},&quot;DOI&quot;:&quot;10.1002/WCC.89&quot;,&quot;ISSN&quot;:&quot;1757-7799&quot;,&quot;URL&quot;:&quot;/doi/pdf/10.1002/wcc.89&quot;,&quot;issued&quot;:{&quot;date-parts&quot;:[[2011,1,1]]},&quot;page&quot;:&quot;19-26&quot;,&quot;abstract&quot;:&quot;In response to the threat of climate change, many governments have set policy goals to rapidly and extensively increase the use of renewable energy in order to lessen reliance upon fossil fuels and reduce emissions of greenhouse gases. Such policy goals are ambitious, given past controversies over large-scale renewable energy projects, particularly onshore wind farms, that have occurred in many countries and involved bitter disputes between private developers and local 'NIMBYs' (not in my backyard) protestors. This article critically reviews recent research into how public engagement is conceived and practiced by policy makers and developers, with a specific focus upon the UK. The review reveals a distinction between different scales of technology deployment, with active public engagement only promoted at smaller scales, and a more passive role promoted at larger scales. This passive role stems from the influence of widely held NIMBY conceptions that presume the public to be an 'ever present danger' to development, arising from a deficit in factual knowledge and a surfeit of emotion, to be marginalized through streamlined planning processes and one-way engagement mechanisms. It is concluded that NIMBYism is a destructive, self-fulfilling way of thinking that risks undermining the fragile, qualified social consent that exists to increase renewable energy use. Breaking the cycle of NIMBYism requires new ways of thinking and practicing public engagement that better connect national policy making with local places directly affected by specific projects. Such a step would match the radical ambitions of rapid increases in renewable energy use with a process of change more likely to facilitate its achievement. © 2010 John Wiley &amp; Sons, Ltd.&quot;,&quot;publisher&quot;:&quot;John Wiley &amp; Sons, Ltd&quot;,&quot;issue&quot;:&quot;1&quot;,&quot;volume&quot;:&quot;2&quot;},&quot;isTemporary&quot;:false},{&quot;id&quot;:&quot;844d10d5-b99e-398b-9eef-92d70a89aa75&quot;,&quot;itemData&quot;:{&quot;type&quot;:&quot;article-journal&quot;,&quot;id&quot;:&quot;844d10d5-b99e-398b-9eef-92d70a89aa75&quot;,&quot;title&quot;:&quot;Social, Economic, and Environmental Impacts of Renewable Energy Resources&quot;,&quot;author&quot;:[{&quot;family&quot;:&quot;Kumar&quot;,&quot;given&quot;:&quot;Mahesh&quot;,&quot;parse-names&quot;:false,&quot;dropping-particle&quot;:&quot;&quot;,&quot;non-dropping-particle&quot;:&quot;&quot;},{&quot;family&quot;:&quot;Kumar&quot;,&quot;given&quot;:&quot;Mahesh&quot;,&quot;parse-names&quot;:false,&quot;dropping-particle&quot;:&quot;&quot;,&quot;non-dropping-particle&quot;:&quot;&quot;}],&quot;container-title&quot;:&quot;Wind Solar Hybrid Renewable Energy System [Working Title]&quot;,&quot;accessed&quot;:{&quot;date-parts&quot;:[[2025,10,9]]},&quot;DOI&quot;:&quot;10.5772/INTECHOPEN.89494&quot;,&quot;ISBN&quot;:&quot;978-1-78984-591-4&quot;,&quot;URL&quot;:&quot;https://www.intechopen.com/chapters/70874&quot;,&quot;issued&quot;:{&quot;date-parts&quot;:[[2020,1,21]]},&quot;abstract&quot;:&quot;Conventional energy source based on coal, gas, and oil are very much helpful for the improvement in the economy of a country, but on the other hand, some bad impacts of these resources in the environment have bound us to use these resources within some limit and turned our thinking toward the renewable energy resources. The social, environmental, and economical problems can be omitted by use of renewable energy sources, because these resources are considered as environment- friendly, having no or little emission of exhaust and poisonous gases like carbon dioxide, carbon monooxide, sulfur dioxide, etc. Renewable energy is going to be an important source for power generation in near future, because we can use these resources again and again to produce useful energy. Wind power generation is considered as having lowest water consumption, lowest relative greenhouse gas emission, and most favorable social impacts. It is considered as one of the most sustainable renewable energy sources, followed by hydropower, photovoltaic, and then geothermal. As these resources are considered as clean energy resources, they can be helpful for the mitigation of greenhouse effect and global warming effect. Local employment, better health, job opportunities, job creation, consumer choice, improvement of life standard, social bonds creation, income development, demo- graphic impacts, social bonds creation, and community development can be achieved by the proper usage of renewable energy system. Along with the outstanding advan- tages of these resources, some shortcomings also exist such as the variation of output due to seasonal change, which is the common thing for wind and hydroelectric power plant; hence, special design and consideration are required, which are fulfilled by the hardware and software due to the improvement in computer technology.&quot;,&quot;publisher&quot;:&quot;IntechOpen&quot;},&quot;isTemporary&quot;:false}]},{&quot;citationID&quot;:&quot;MENDELEY_CITATION_d26255d1-1120-46ae-84de-a78e3a45fe52&quot;,&quot;properties&quot;:{&quot;noteIndex&quot;:0},&quot;isEdited&quot;:false,&quot;manualOverride&quot;:{&quot;isManuallyOverridden&quot;:false,&quot;citeprocText&quot;:&quot;[3,5]&quot;,&quot;manualOverrideText&quot;:&quot;&quot;},&quot;citationTag&quot;:&quot;MENDELEY_CITATION_v3_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&quot;,&quot;citationItems&quot;:[{&quot;id&quot;:&quot;fda5e6c8-be3f-3a05-a3b8-15ee0b5b9649&quot;,&quot;itemData&quot;:{&quot;type&quot;:&quot;article-journal&quot;,&quot;id&quot;:&quot;fda5e6c8-be3f-3a05-a3b8-15ee0b5b9649&quot;,&quot;title&quot;:&quot;The political economy of the 'just transition'&quot;,&quot;author&quot;:[{&quot;family&quot;:&quot;Newell&quot;,&quot;given&quot;:&quot;Peter&quot;,&quot;parse-names&quot;:false,&quot;dropping-particle&quot;:&quot;&quot;,&quot;non-dropping-particle&quot;:&quot;&quot;},{&quot;family&quot;:&quot;Mulvaney&quot;,&quot;given&quot;:&quot;Dustin&quot;,&quot;parse-names&quot;:false,&quot;dropping-particle&quot;:&quot;&quot;,&quot;non-dropping-particle&quot;:&quot;&quot;}],&quot;container-title&quot;:&quot;Geographical Journal&quot;,&quot;accessed&quot;:{&quot;date-parts&quot;:[[2025,10,9]]},&quot;DOI&quot;:&quot;10.1111/GEOJ.12008&quot;,&quot;ISSN&quot;:&quot;00167398&quot;,&quot;URL&quot;:&quot;https://www.researchgate.net/publication/259043435_The_Political_Economy_of_the_Just_Transition&quot;,&quot;issued&quot;:{&quot;date-parts&quot;:[[2013,6]]},&quot;page&quot;:&quot;132-140&quot;,&quot;abstract&quot;:&quot;This paper explores the political economy of the 'just transition' to a low carbon economy. The idea of a 'just transition' increasingly features in policy and political discourse and appeals to the need to ensure that efforts to steer society towards a lower carbon future are underpinned by attention to issues of equity and justice: to those currently without access to reliable energy supplies and living in energy poverty and to those whose livelihoods are affected by and dependent on a fossil fuel economy. To complicate things further this transition has to be made compatible with the pursuit of 'climate justice' to current and future generations exposed to the social and ecological disruptions produced by increasing concentrations of greenhouse gas emissions in the atmosphere. Here we seek to identify and analyse the immensely difficult political trade-offs that will characterise collective attempts to enact and realise a just transition. We explore procedural and distributional aspects of energy politics and practice in particular as they relate to the just transition: energy access for those who do not have it; justice for those who work within and are affected by the fossil fuel economy; and attempts to manage the potential contradictions that might flow from pursuing energy and climate justice simultaneously. © 2013 The Authors. The Geographical Journal © 2013 Royal Geographical Society (with the Institute of British Geographers).&quot;,&quot;issue&quot;:&quot;2&quot;,&quot;volume&quot;:&quot;179&quot;,&quot;container-title-short&quot;:&quot;&quot;},&quot;isTemporary&quot;:false},{&quot;id&quot;:&quot;844d10d5-b99e-398b-9eef-92d70a89aa75&quot;,&quot;itemData&quot;:{&quot;type&quot;:&quot;article-journal&quot;,&quot;id&quot;:&quot;844d10d5-b99e-398b-9eef-92d70a89aa75&quot;,&quot;title&quot;:&quot;Social, Economic, and Environmental Impacts of Renewable Energy Resources&quot;,&quot;author&quot;:[{&quot;family&quot;:&quot;Kumar&quot;,&quot;given&quot;:&quot;Mahesh&quot;,&quot;parse-names&quot;:false,&quot;dropping-particle&quot;:&quot;&quot;,&quot;non-dropping-particle&quot;:&quot;&quot;},{&quot;family&quot;:&quot;Kumar&quot;,&quot;given&quot;:&quot;Mahesh&quot;,&quot;parse-names&quot;:false,&quot;dropping-particle&quot;:&quot;&quot;,&quot;non-dropping-particle&quot;:&quot;&quot;}],&quot;container-title&quot;:&quot;Wind Solar Hybrid Renewable Energy System [Working Title]&quot;,&quot;accessed&quot;:{&quot;date-parts&quot;:[[2025,10,9]]},&quot;DOI&quot;:&quot;10.5772/INTECHOPEN.89494&quot;,&quot;ISBN&quot;:&quot;978-1-78984-591-4&quot;,&quot;URL&quot;:&quot;https://www.intechopen.com/chapters/70874&quot;,&quot;issued&quot;:{&quot;date-parts&quot;:[[2020,1,21]]},&quot;abstract&quot;:&quot;Conventional energy source based on coal, gas, and oil are very much helpful for the improvement in the economy of a country, but on the other hand, some bad impacts of these resources in the environment have bound us to use these resources within some limit and turned our thinking toward the renewable energy resources. The social, environmental, and economical problems can be omitted by use of renewable energy sources, because these resources are considered as environment- friendly, having no or little emission of exhaust and poisonous gases like carbon dioxide, carbon monooxide, sulfur dioxide, etc. Renewable energy is going to be an important source for power generation in near future, because we can use these resources again and again to produce useful energy. Wind power generation is considered as having lowest water consumption, lowest relative greenhouse gas emission, and most favorable social impacts. It is considered as one of the most sustainable renewable energy sources, followed by hydropower, photovoltaic, and then geothermal. As these resources are considered as clean energy resources, they can be helpful for the mitigation of greenhouse effect and global warming effect. Local employment, better health, job opportunities, job creation, consumer choice, improvement of life standard, social bonds creation, income development, demo- graphic impacts, social bonds creation, and community development can be achieved by the proper usage of renewable energy system. Along with the outstanding advan- tages of these resources, some shortcomings also exist such as the variation of output due to seasonal change, which is the common thing for wind and hydroelectric power plant; hence, special design and consideration are required, which are fulfilled by the hardware and software due to the improvement in computer technology.&quot;,&quot;publisher&quot;:&quot;IntechOpen&quot;,&quot;container-title-short&quot;:&quot;&quot;},&quot;isTemporary&quot;:false}]},{&quot;citationID&quot;:&quot;MENDELEY_CITATION_2e0804af-45e7-409c-805e-01bd3df90cd6&quot;,&quot;properties&quot;:{&quot;noteIndex&quot;:0},&quot;isEdited&quot;:false,&quot;manualOverride&quot;:{&quot;isManuallyOverridden&quot;:false,&quot;citeprocText&quot;:&quot;[2]&quot;,&quot;manualOverrideText&quot;:&quot;&quot;},&quot;citationTag&quot;:&quot;MENDELEY_CITATION_v3_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RE9JIjoiMTAuMjE3Mi8xOTk2NTU3IiwiVVJMIjoiaHR0cHM6Ly9yZXNlYXJjaC1odWIubnJlbC5nb3YvZW4vcHVibGljYXRpb25zL2NvbW11bml0eS1lbmdhZ2VtZW50LWFuZC1lcXVpdHktaW4tcmVuZXdhYmxlLWVuZXJneS1wcm9qZWN0cy1hLWxpIiwiaXNzdWVkIjp7ImRhdGUtcGFydHMiOltbMjAyMyw4LDFdXX0sInB1Ymxpc2hlci1wbGFjZSI6IkdvbGRlbiwgQ08gKFVuaXRlZCBTdGF0ZXMpIiwiY29udGFpbmVyLXRpdGxlLXNob3J0IjoiIn0sImlzVGVtcG9yYXJ5IjpmYWxzZX1dfQ==&quot;,&quot;citationItems&quot;:[{&quot;id&quot;:&quot;0278069f-e3a4-3890-b3c7-fbfad8e6d905&quot;,&quot;itemData&quot;:{&quot;type&quot;:&quot;article-journal&quot;,&quot;id&quot;:&quot;0278069f-e3a4-3890-b3c7-fbfad8e6d905&quot;,&quot;title&quot;:&quot;Community Engagement and Equity in Renewable Energy Projects: A Literature Review&quot;,&quot;author&quot;:[{&quot;family&quot;:&quot;Romero-Lankao&quot;,&quot;given&quot;:&quot;Paty&quot;,&quot;parse-names&quot;:false,&quot;dropping-particle&quot;:&quot;&quot;,&quot;non-dropping-particle&quot;:&quot;&quot;},{&quot;family&quot;:&quot;Rosner&quot;,&quot;given&quot;:&quot;Nicole&quot;,&quot;parse-names&quot;:false,&quot;dropping-particle&quot;:&quot;&quot;,&quot;non-dropping-particle&quot;:&quot;&quot;},{&quot;family&quot;:&quot;Efroymson&quot;,&quot;given&quot;:&quot;Rebecca&quot;,&quot;parse-names&quot;:false,&quot;dropping-particle&quot;:&quot;&quot;,&quot;non-dropping-particle&quot;:&quot;&quot;},{&quot;family&quot;:&quot;Parisch&quot;,&quot;given&quot;:&quot;Esther&quot;,&quot;parse-names&quot;:false,&quot;dropping-particle&quot;:&quot;&quot;,&quot;non-dropping-particle&quot;:&quot;&quot;},{&quot;family&quot;:&quot;Blanco&quot;,&quot;given&quot;:&quot;Lis&quot;,&quot;parse-names&quot;:false,&quot;dropping-particle&quot;:&quot;&quot;,&quot;non-dropping-particle&quot;:&quot;&quot;},{&quot;family&quot;:&quot;Smolinski&quot;,&quot;given&quot;:&quot;Sharon&quot;,&quot;parse-names&quot;:false,&quot;dropping-particle&quot;:&quot;&quot;,&quot;non-dropping-particle&quot;:&quot;&quot;},{&quot;family&quot;:&quot;Kline&quot;,&quot;given&quot;:&quot;Keith&quot;,&quot;parse-names&quot;:false,&quot;dropping-particle&quot;:&quot;&quot;,&quot;non-dropping-particle&quot;:&quot;&quot;}],&quot;accessed&quot;:{&quot;date-parts&quot;:[[2025,10,9]]},&quot;DOI&quot;:&quot;10.2172/1996557&quot;,&quot;URL&quot;:&quot;https://research-hub.nrel.gov/en/publications/community-engagement-and-equity-in-renewable-energy-projects-a-li&quot;,&quot;issued&quot;:{&quot;date-parts&quot;:[[2023,8,1]]},&quot;publisher-place&quot;:&quot;Golden, CO (United States)&quot;,&quot;container-title-short&quot;:&quot;&quot;},&quot;isTemporary&quot;:false}]},{&quot;citationID&quot;:&quot;MENDELEY_CITATION_2eaf1b90-4b90-4f2f-8253-e58fa10850f5&quot;,&quot;properties&quot;:{&quot;noteIndex&quot;:0},&quot;isEdited&quot;:false,&quot;manualOverride&quot;:{&quot;isManuallyOverridden&quot;:false,&quot;citeprocText&quot;:&quot;[6–8]&quot;,&quot;manualOverrideText&quot;:&quot;&quot;},&quot;citationTag&quot;:&quot;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&quot;,&quot;citationItems&quot;:[{&quot;id&quot;:&quot;cd8f94b8-0dfe-398b-a08b-4d0307a2f1ba&quot;,&quot;itemData&quot;:{&quot;type&quot;:&quot;article-journal&quot;,&quot;id&quot;:&quot;cd8f94b8-0dfe-398b-a08b-4d0307a2f1ba&quot;,&quot;title&quot;:&quot;Rural public acceptance of renewable energy deployment: The case of Shandong in China&quot;,&quot;author&quot;:[{&quot;family&quot;:&quot;Liu&quot;,&quot;given&quot;:&quot;Wenling&quot;,&quot;parse-names&quot;:false,&quot;dropping-particle&quot;:&quot;&quot;,&quot;non-dropping-particle&quot;:&quot;&quot;},{&quot;family&quot;:&quot;Wang&quot;,&quot;given&quot;:&quot;Can&quot;,&quot;parse-names&quot;:false,&quot;dropping-particle&quot;:&quot;&quot;,&quot;non-dropping-particle&quot;:&quot;&quot;},{&quot;family&quot;:&quot;Mol&quot;,&quot;given&quot;:&quot;Arthur P.J.&quot;,&quot;parse-names&quot;:false,&quot;dropping-particle&quot;:&quot;&quot;,&quot;non-dropping-particle&quot;:&quot;&quot;}],&quot;container-title&quot;:&quot;Applied Energy&quot;,&quot;container-title-short&quot;:&quot;Appl Energy&quot;,&quot;accessed&quot;:{&quot;date-parts&quot;:[[2025,10,9]]},&quot;DOI&quot;:&quot;10.1016/J.APENERGY.2012.06.057&quot;,&quot;ISSN&quot;:&quot;0306-2619&quot;,&quot;URL&quot;:&quot;https://www.sciencedirect.com/science/article/pii/S0306261912005028&quot;,&quot;issued&quot;:{&quot;date-parts&quot;:[[2013,2,1]]},&quot;page&quot;:&quot;1187-1196&quot;,&quot;abstract&quot;:&quot;China has set ambitious goals to increase the use of renewable energy. Developing renewables in rural areas is also one of the most important energy strategies. This paper examines rural social acceptance of renewable energy deployment taking Shandong as a case study via a field questionnaire survey. Theory of planned behavior is adopted to establish an analytical framework, and a logit model is used to examine possible determinants of local social acceptance. The results show that rural residents are generally supportive renewable energy development given its positive impacts on environment. A stated willingness to pay more for renewable electricity is taken as a variable representing an individual's behavioral intention. The probability of occurrence of positive intention is found to increase with household income, individual knowledge level and belief about costs of renewable energy use but decrease with individual age. Residents with higher level of income are more likely to be willing to pay more for green electricity, so are the younger people. Enhancive knowledge and understanding about renewable energy (for instance, the cost) would be conducive to win public acceptance of renewable energy deployment. © 2012 Elsevier Ltd.&quot;,&quot;publisher&quot;:&quot;Elsevier&quot;,&quot;volume&quot;:&quot;102&quot;},&quot;isTemporary&quot;:false},{&quot;id&quot;:&quot;7c789a47-d6b7-3edd-a67c-f47dc9585fcf&quot;,&quot;itemData&quot;:{&quot;type&quot;:&quot;article-journal&quot;,&quot;id&quot;:&quot;7c789a47-d6b7-3edd-a67c-f47dc9585fcf&quot;,&quot;title&quot;:&quot;Socio-economic and environmental impacts of renewable energy deployments: A review&quot;,&quot;author&quot;:[{&quot;family&quot;:&quot;Virah-Sawmy&quot;,&quot;given&quot;:&quot;Dan&quot;,&quot;parse-names&quot;:false,&quot;dropping-particle&quot;:&quot;&quot;,&quot;non-dropping-particle&quot;:&quot;&quot;},{&quot;family&quot;:&quot;Sturmberg&quot;,&quot;given&quot;:&quot;Bjorn&quot;,&quot;parse-names&quot;:false,&quot;dropping-particle&quot;:&quot;&quot;,&quot;non-dropping-particle&quot;:&quot;&quot;}],&quot;container-title&quot;:&quot;Renewable and Sustainable Energy Reviews&quot;,&quot;accessed&quot;:{&quot;date-parts&quot;:[[2025,10,9]]},&quot;DOI&quot;:&quot;10.1016/J.RSER.2024.114956&quot;,&quot;ISSN&quot;:&quot;1364-0321&quot;,&quot;URL&quot;:&quot;https://www.sciencedirect.com/science/article/pii/S1364032124006828&quot;,&quot;issued&quot;:{&quot;date-parts&quot;:[[2025,1,1]]},&quot;page&quot;:&quot;114956&quot;,&quot;abstract&quot;:&quot;Mitigating global warming requires the rapid deployment of renewable energy (RE) systems throughout all parts of the world economy. A crucial step for such deployments is the assessment of their social, economic and environmental impacts. By reviewing three hundred and sixty-nine studies, this work identifies and synthesises a myriad of social, economic and environmental aspects of RE technologies deployment that have been studied over the past decade. The review identifies barriers and drivers that have been found to be common across countries, and those where studies and/or local contexts have found contradictory results. Amongst social issues, trust and quality of institutional governance were found to be increasingly prominent themes of research and key drivers for RE deployment. The review also reveals a growing interest in attachment to place, but with contradicting findings for its negative or positive impacts. Amongst economic issues, the review found widespread agreement that, irrespective of the type of economy, countries continue to preferentially pursue economic growth through expanded production and innovation in fossil fuels. The review of the environmental impacts found that studies of RE deployments tend to focus on negative local impacts, leaving positive global benefits, such as mitigating climate change, as implicit, and that there are only a few studies on the environmental impacts of RE in developing economies. Two gaps that the review identifies as demanding future work are investigating the benefits of RE co-location in developing economies and redressing the underrepresentation of First Nations perspectives and participation in research and RE deployments.&quot;,&quot;publisher&quot;:&quot;Pergamon&quot;,&quot;volume&quot;:&quot;207&quot;,&quot;container-title-short&quot;:&quot;&quot;},&quot;isTemporary&quot;:false},{&quot;id&quot;:&quot;2ae8d115-549a-3590-9fd2-580b655e6191&quot;,&quot;itemData&quot;:{&quot;type&quot;:&quot;article-journal&quot;,&quot;id&quot;:&quot;2ae8d115-549a-3590-9fd2-580b655e6191&quot;,&quot;title&quot;:&quot;Community Engagement and Equity in Renewable Energy Projects: A Literature Review&quot;,&quot;author&quot;:[{&quot;family&quot;:&quot;Romero-Lankao&quot;,&quot;given&quot;:&quot;Paty&quot;,&quot;parse-names&quot;:false,&quot;dropping-particle&quot;:&quot;&quot;,&quot;non-dropping-particle&quot;:&quot;&quot;},{&quot;family&quot;:&quot;Rosner&quot;,&quot;given&quot;:&quot;Nicole&quot;,&quot;parse-names&quot;:false,&quot;dropping-particle&quot;:&quot;&quot;,&quot;non-dropping-particle&quot;:&quot;&quot;},{&quot;family&quot;:&quot;Efroymson&quot;,&quot;given&quot;:&quot;Rebecca A&quot;,&quot;parse-names&quot;:false,&quot;dropping-particle&quot;:&quot;&quot;,&quot;non-dropping-particle&quot;:&quot;&quot;},{&quot;family&quot;:&quot;Parisch&quot;,&quot;given&quot;:&quot;Esther S&quot;,&quot;parse-names&quot;:false,&quot;dropping-particle&quot;:&quot;&quot;,&quot;non-dropping-particle&quot;:&quot;&quot;},{&quot;family&quot;:&quot;Blanco&quot;,&quot;given&quot;:&quot;Lis&quot;,&quot;parse-names&quot;:false,&quot;dropping-particle&quot;:&quot;&quot;,&quot;non-dropping-particle&quot;:&quot;&quot;},{&quot;family&quot;:&quot;Smolinski&quot;,&quot;given&quot;:&quot;Sharon&quot;,&quot;parse-names&quot;:false,&quot;dropping-particle&quot;:&quot;&quot;,&quot;non-dropping-particle&quot;:&quot;&quot;},{&quot;family&quot;:&quot;Kline&quot;,&quot;given&quot;:&quot;Keith&quot;,&quot;parse-names&quot;:false,&quot;dropping-particle&quot;:&quot;&quot;,&quot;non-dropping-particle&quot;:&quot;&quot;}],&quot;accessed&quot;:{&quot;date-parts&quot;:[[2025,10,9]]},&quot;URL&quot;:&quot;https://www.nrel.gov/docs/fy23osti/87113.pdf.&quot;,&quot;issued&quot;:{&quot;date-parts&quot;:[[2023]]},&quot;container-title-short&quot;:&quot;&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54BC1-D344-4913-B3E3-3A04E8A5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TotalTime>
  <Pages>10</Pages>
  <Words>5552</Words>
  <Characters>31653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37131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9</cp:revision>
  <cp:lastPrinted>1999-07-06T11:00:00Z</cp:lastPrinted>
  <dcterms:created xsi:type="dcterms:W3CDTF">2025-10-13T12:06:00Z</dcterms:created>
  <dcterms:modified xsi:type="dcterms:W3CDTF">2025-10-14T08:30:00Z</dcterms:modified>
</cp:coreProperties>
</file>