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C1E97" w14:textId="77777777" w:rsidR="00754C9A" w:rsidRDefault="00764098" w:rsidP="00441B6F">
      <w:pPr>
        <w:pStyle w:val="Title"/>
        <w:spacing w:after="0"/>
        <w:jc w:val="both"/>
        <w:rPr>
          <w:rFonts w:ascii="Arial" w:hAnsi="Arial" w:cs="Arial"/>
        </w:rPr>
      </w:pPr>
      <w:r w:rsidRPr="00764098">
        <w:rPr>
          <w:rFonts w:ascii="Arial" w:hAnsi="Arial" w:cs="Arial"/>
        </w:rPr>
        <w:t>Original Research Article</w:t>
      </w:r>
    </w:p>
    <w:p w14:paraId="521E626B" w14:textId="31EA5131" w:rsidR="00F008DF" w:rsidRPr="00F008DF" w:rsidRDefault="00F008DF" w:rsidP="00F008DF">
      <w:pPr>
        <w:pStyle w:val="Author"/>
        <w:spacing w:line="240" w:lineRule="auto"/>
        <w:jc w:val="both"/>
        <w:rPr>
          <w:rFonts w:ascii="Arial" w:hAnsi="Arial" w:cs="Arial"/>
          <w:bCs/>
          <w:iCs/>
          <w:kern w:val="28"/>
          <w:sz w:val="36"/>
        </w:rPr>
      </w:pPr>
      <w:r w:rsidRPr="00F008DF">
        <w:rPr>
          <w:rFonts w:ascii="Arial" w:hAnsi="Arial" w:cs="Arial"/>
          <w:bCs/>
          <w:iCs/>
          <w:kern w:val="28"/>
          <w:sz w:val="36"/>
          <w:lang w:val="en-GB"/>
        </w:rPr>
        <w:t xml:space="preserve">Structural and Institutional Drivers of Investor–Smallholder </w:t>
      </w:r>
      <w:r w:rsidR="00DD7D1D">
        <w:rPr>
          <w:rFonts w:ascii="Arial" w:hAnsi="Arial" w:cs="Arial"/>
          <w:bCs/>
          <w:iCs/>
          <w:kern w:val="28"/>
          <w:sz w:val="36"/>
          <w:lang w:val="en-GB"/>
        </w:rPr>
        <w:t xml:space="preserve">Land </w:t>
      </w:r>
      <w:r w:rsidRPr="00F008DF">
        <w:rPr>
          <w:rFonts w:ascii="Arial" w:hAnsi="Arial" w:cs="Arial"/>
          <w:bCs/>
          <w:iCs/>
          <w:kern w:val="28"/>
          <w:sz w:val="36"/>
          <w:lang w:val="en-GB"/>
        </w:rPr>
        <w:t>Conflicts in Kilombero, Tanzania</w:t>
      </w:r>
    </w:p>
    <w:p w14:paraId="72B27B5C" w14:textId="77777777" w:rsidR="00A258C3" w:rsidRPr="00790ADA" w:rsidRDefault="00A258C3" w:rsidP="00441B6F">
      <w:pPr>
        <w:pStyle w:val="Author"/>
        <w:spacing w:line="240" w:lineRule="auto"/>
        <w:jc w:val="both"/>
        <w:rPr>
          <w:rFonts w:ascii="Arial" w:hAnsi="Arial" w:cs="Arial"/>
          <w:sz w:val="36"/>
        </w:rPr>
      </w:pPr>
    </w:p>
    <w:p w14:paraId="0483A791"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594AF4">
        <w:rPr>
          <w:rFonts w:ascii="Arial" w:hAnsi="Arial" w:cs="Arial"/>
        </w:rPr>
        <w:t xml:space="preserve"> </w:t>
      </w:r>
    </w:p>
    <w:p w14:paraId="49C02A1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EBE3CBB" w14:textId="77777777" w:rsidTr="001E44FE">
        <w:tc>
          <w:tcPr>
            <w:tcW w:w="9576" w:type="dxa"/>
            <w:shd w:val="clear" w:color="auto" w:fill="F2F2F2"/>
          </w:tcPr>
          <w:p w14:paraId="6C1B619C" w14:textId="77777777" w:rsidR="00AC698D" w:rsidRDefault="00594AF4" w:rsidP="008C5EC3">
            <w:pPr>
              <w:pStyle w:val="Body"/>
              <w:spacing w:after="0" w:line="480" w:lineRule="auto"/>
              <w:rPr>
                <w:rFonts w:ascii="Arial" w:eastAsia="Calibri" w:hAnsi="Arial" w:cs="Arial"/>
                <w:szCs w:val="22"/>
                <w:lang w:val="en-GB"/>
              </w:rPr>
            </w:pPr>
            <w:r w:rsidRPr="00594AF4">
              <w:rPr>
                <w:rFonts w:ascii="Arial" w:eastAsia="Calibri" w:hAnsi="Arial" w:cs="Arial"/>
                <w:szCs w:val="22"/>
                <w:lang w:val="en-GB"/>
              </w:rPr>
              <w:t xml:space="preserve">Tanzania’s promotion of agricultural commercialization has generated persistent </w:t>
            </w:r>
            <w:r w:rsidR="00665B47">
              <w:rPr>
                <w:rFonts w:ascii="Arial" w:eastAsia="Calibri" w:hAnsi="Arial" w:cs="Arial"/>
                <w:szCs w:val="22"/>
                <w:lang w:val="en-GB"/>
              </w:rPr>
              <w:t xml:space="preserve">land </w:t>
            </w:r>
            <w:r w:rsidRPr="00594AF4">
              <w:rPr>
                <w:rFonts w:ascii="Arial" w:eastAsia="Calibri" w:hAnsi="Arial" w:cs="Arial"/>
                <w:szCs w:val="22"/>
                <w:lang w:val="en-GB"/>
              </w:rPr>
              <w:t xml:space="preserve">conflicts between investor </w:t>
            </w:r>
            <w:r w:rsidR="00665B47" w:rsidRPr="00594AF4">
              <w:rPr>
                <w:rFonts w:ascii="Arial" w:eastAsia="Calibri" w:hAnsi="Arial" w:cs="Arial"/>
                <w:szCs w:val="22"/>
                <w:lang w:val="en-GB"/>
              </w:rPr>
              <w:t xml:space="preserve">farmers </w:t>
            </w:r>
            <w:r w:rsidRPr="00594AF4">
              <w:rPr>
                <w:rFonts w:ascii="Arial" w:eastAsia="Calibri" w:hAnsi="Arial" w:cs="Arial"/>
                <w:szCs w:val="22"/>
                <w:lang w:val="en-GB"/>
              </w:rPr>
              <w:t>and smallholder</w:t>
            </w:r>
            <w:r w:rsidR="00665B47" w:rsidRPr="00594AF4">
              <w:rPr>
                <w:rFonts w:ascii="Arial" w:eastAsia="Calibri" w:hAnsi="Arial" w:cs="Arial"/>
                <w:szCs w:val="22"/>
                <w:lang w:val="en-GB"/>
              </w:rPr>
              <w:t>s</w:t>
            </w:r>
            <w:r w:rsidRPr="00594AF4">
              <w:rPr>
                <w:rFonts w:ascii="Arial" w:eastAsia="Calibri" w:hAnsi="Arial" w:cs="Arial"/>
                <w:szCs w:val="22"/>
                <w:lang w:val="en-GB"/>
              </w:rPr>
              <w:t xml:space="preserve">. </w:t>
            </w:r>
            <w:r w:rsidR="00AC698D" w:rsidRPr="00AC698D">
              <w:rPr>
                <w:rFonts w:ascii="Arial" w:eastAsia="Calibri" w:hAnsi="Arial" w:cs="Arial"/>
                <w:szCs w:val="22"/>
                <w:lang w:val="en-GB"/>
              </w:rPr>
              <w:t>This paper argues that these conflicts are not simply the result of competing land uses but are embedded in structural and institutional weaknesses of the Tanzanian land governance framework.</w:t>
            </w:r>
            <w:r w:rsidR="00AC698D">
              <w:rPr>
                <w:rFonts w:ascii="Arial" w:eastAsia="Calibri" w:hAnsi="Arial" w:cs="Arial"/>
                <w:szCs w:val="22"/>
                <w:lang w:val="en-GB"/>
              </w:rPr>
              <w:t xml:space="preserve"> The paper</w:t>
            </w:r>
            <w:r w:rsidRPr="00594AF4">
              <w:rPr>
                <w:rFonts w:ascii="Arial" w:eastAsia="Calibri" w:hAnsi="Arial" w:cs="Arial"/>
                <w:szCs w:val="22"/>
                <w:lang w:val="en-GB"/>
              </w:rPr>
              <w:t xml:space="preserve"> </w:t>
            </w:r>
            <w:r w:rsidR="00A640A7">
              <w:rPr>
                <w:rFonts w:ascii="Arial" w:eastAsia="Calibri" w:hAnsi="Arial" w:cs="Arial"/>
                <w:szCs w:val="22"/>
                <w:lang w:val="en-GB"/>
              </w:rPr>
              <w:t>examines the</w:t>
            </w:r>
            <w:r w:rsidRPr="00594AF4">
              <w:rPr>
                <w:rFonts w:ascii="Arial" w:eastAsia="Calibri" w:hAnsi="Arial" w:cs="Arial"/>
                <w:szCs w:val="22"/>
                <w:lang w:val="en-GB"/>
              </w:rPr>
              <w:t xml:space="preserve"> </w:t>
            </w:r>
            <w:r w:rsidR="00A640A7">
              <w:rPr>
                <w:rFonts w:ascii="Arial" w:eastAsia="Calibri" w:hAnsi="Arial" w:cs="Arial"/>
                <w:szCs w:val="22"/>
                <w:lang w:val="en-GB"/>
              </w:rPr>
              <w:t>influence of</w:t>
            </w:r>
            <w:r w:rsidRPr="00594AF4">
              <w:rPr>
                <w:rFonts w:ascii="Arial" w:eastAsia="Calibri" w:hAnsi="Arial" w:cs="Arial"/>
                <w:szCs w:val="22"/>
                <w:lang w:val="en-GB"/>
              </w:rPr>
              <w:t xml:space="preserve"> the Tanzanian land governance framework</w:t>
            </w:r>
            <w:r w:rsidR="00A640A7">
              <w:rPr>
                <w:rFonts w:ascii="Arial" w:eastAsia="Calibri" w:hAnsi="Arial" w:cs="Arial"/>
                <w:szCs w:val="22"/>
                <w:lang w:val="en-GB"/>
              </w:rPr>
              <w:t xml:space="preserve"> in the investor – smallholder land conflicts</w:t>
            </w:r>
            <w:r w:rsidRPr="00594AF4">
              <w:rPr>
                <w:rFonts w:ascii="Arial" w:eastAsia="Calibri" w:hAnsi="Arial" w:cs="Arial"/>
                <w:szCs w:val="22"/>
                <w:lang w:val="en-GB"/>
              </w:rPr>
              <w:t xml:space="preserve">. </w:t>
            </w:r>
          </w:p>
          <w:p w14:paraId="717C92C8" w14:textId="77777777" w:rsidR="00AC698D" w:rsidRDefault="00C2057D" w:rsidP="008C5EC3">
            <w:pPr>
              <w:pStyle w:val="Body"/>
              <w:spacing w:after="0" w:line="480" w:lineRule="auto"/>
              <w:rPr>
                <w:rFonts w:ascii="Arial" w:eastAsia="Calibri" w:hAnsi="Arial" w:cs="Arial"/>
                <w:szCs w:val="22"/>
              </w:rPr>
            </w:pPr>
            <w:r>
              <w:rPr>
                <w:rFonts w:ascii="Arial" w:eastAsia="Calibri" w:hAnsi="Arial" w:cs="Arial"/>
                <w:szCs w:val="22"/>
              </w:rPr>
              <w:t xml:space="preserve">The study was conducted at </w:t>
            </w:r>
            <w:r w:rsidRPr="00A640A7">
              <w:rPr>
                <w:rFonts w:ascii="Arial" w:eastAsia="Calibri" w:hAnsi="Arial" w:cs="Arial"/>
                <w:szCs w:val="22"/>
                <w:lang w:val="en-GB"/>
              </w:rPr>
              <w:t>the Kilombero Pl</w:t>
            </w:r>
            <w:r>
              <w:rPr>
                <w:rFonts w:ascii="Arial" w:eastAsia="Calibri" w:hAnsi="Arial" w:cs="Arial"/>
                <w:szCs w:val="22"/>
                <w:lang w:val="en-GB"/>
              </w:rPr>
              <w:t>antations Limited (KPL), in Kilombero District, Tanzania</w:t>
            </w:r>
            <w:r w:rsidR="00AC698D">
              <w:rPr>
                <w:rFonts w:ascii="Arial" w:eastAsia="Calibri" w:hAnsi="Arial" w:cs="Arial"/>
                <w:szCs w:val="22"/>
                <w:lang w:val="en-GB"/>
              </w:rPr>
              <w:t>,</w:t>
            </w:r>
            <w:r>
              <w:rPr>
                <w:rFonts w:ascii="Arial" w:eastAsia="Calibri" w:hAnsi="Arial" w:cs="Arial"/>
                <w:szCs w:val="22"/>
                <w:lang w:val="en-GB"/>
              </w:rPr>
              <w:t xml:space="preserve"> in June 2019</w:t>
            </w:r>
            <w:r w:rsidRPr="00BA1B01">
              <w:rPr>
                <w:rFonts w:ascii="Arial" w:eastAsia="Calibri" w:hAnsi="Arial" w:cs="Arial"/>
                <w:szCs w:val="22"/>
              </w:rPr>
              <w:t>.</w:t>
            </w:r>
            <w:r w:rsidR="00AC698D">
              <w:rPr>
                <w:rFonts w:ascii="Arial" w:eastAsia="Calibri" w:hAnsi="Arial" w:cs="Arial"/>
                <w:szCs w:val="22"/>
              </w:rPr>
              <w:t xml:space="preserve"> </w:t>
            </w:r>
            <w:r w:rsidR="00A640A7" w:rsidRPr="00A640A7">
              <w:rPr>
                <w:rFonts w:ascii="Arial" w:eastAsia="Calibri" w:hAnsi="Arial" w:cs="Arial"/>
                <w:szCs w:val="22"/>
                <w:lang w:val="en-GB"/>
              </w:rPr>
              <w:t xml:space="preserve">Drawing on a qualitative case study, the study analyses archival records, legal frameworks, and data from </w:t>
            </w:r>
            <w:r w:rsidR="002B4EA9">
              <w:rPr>
                <w:rFonts w:ascii="Arial" w:eastAsia="Calibri" w:hAnsi="Arial" w:cs="Arial"/>
                <w:szCs w:val="22"/>
                <w:lang w:val="en-GB"/>
              </w:rPr>
              <w:t xml:space="preserve">four </w:t>
            </w:r>
            <w:r w:rsidR="00A640A7" w:rsidRPr="00A640A7">
              <w:rPr>
                <w:rFonts w:ascii="Arial" w:eastAsia="Calibri" w:hAnsi="Arial" w:cs="Arial"/>
                <w:szCs w:val="22"/>
                <w:lang w:val="en-GB"/>
              </w:rPr>
              <w:t>semi-structured intervi</w:t>
            </w:r>
            <w:r w:rsidR="002B4EA9">
              <w:rPr>
                <w:rFonts w:ascii="Arial" w:eastAsia="Calibri" w:hAnsi="Arial" w:cs="Arial"/>
                <w:szCs w:val="22"/>
                <w:lang w:val="en-GB"/>
              </w:rPr>
              <w:t>ews</w:t>
            </w:r>
            <w:r w:rsidR="00A640A7" w:rsidRPr="00A640A7">
              <w:rPr>
                <w:rFonts w:ascii="Arial" w:eastAsia="Calibri" w:hAnsi="Arial" w:cs="Arial"/>
                <w:szCs w:val="22"/>
                <w:lang w:val="en-GB"/>
              </w:rPr>
              <w:t xml:space="preserve"> and a focus group discussion with village leader</w:t>
            </w:r>
            <w:r w:rsidR="002B4EA9">
              <w:rPr>
                <w:rFonts w:ascii="Arial" w:eastAsia="Calibri" w:hAnsi="Arial" w:cs="Arial"/>
                <w:szCs w:val="22"/>
                <w:lang w:val="en-GB"/>
              </w:rPr>
              <w:t>s</w:t>
            </w:r>
            <w:r w:rsidR="00AC698D">
              <w:rPr>
                <w:rFonts w:ascii="Arial" w:eastAsia="Calibri" w:hAnsi="Arial" w:cs="Arial"/>
                <w:szCs w:val="22"/>
              </w:rPr>
              <w:t xml:space="preserve">. </w:t>
            </w:r>
          </w:p>
          <w:p w14:paraId="1E1D93EF" w14:textId="4C850C99" w:rsidR="008300BE" w:rsidRDefault="00C2057D" w:rsidP="008300BE">
            <w:pPr>
              <w:pStyle w:val="Body"/>
              <w:spacing w:after="0" w:line="480" w:lineRule="auto"/>
              <w:rPr>
                <w:rFonts w:ascii="Arial" w:eastAsia="Calibri" w:hAnsi="Arial" w:cs="Arial"/>
                <w:szCs w:val="22"/>
                <w:lang w:val="en-GB"/>
              </w:rPr>
            </w:pPr>
            <w:r w:rsidRPr="00C2057D">
              <w:rPr>
                <w:rFonts w:ascii="Arial" w:eastAsia="Calibri" w:hAnsi="Arial" w:cs="Arial"/>
                <w:szCs w:val="22"/>
                <w:lang w:val="en-GB"/>
              </w:rPr>
              <w:t xml:space="preserve">Findings point to five key structural drivers. </w:t>
            </w:r>
            <w:r w:rsidR="00D25E3E">
              <w:rPr>
                <w:rFonts w:ascii="Arial" w:eastAsia="Calibri" w:hAnsi="Arial" w:cs="Arial"/>
                <w:szCs w:val="22"/>
                <w:lang w:val="en-GB"/>
              </w:rPr>
              <w:t>First</w:t>
            </w:r>
            <w:r w:rsidR="002B4EA9">
              <w:rPr>
                <w:rFonts w:ascii="Arial" w:eastAsia="Calibri" w:hAnsi="Arial" w:cs="Arial"/>
                <w:szCs w:val="22"/>
                <w:lang w:val="en-GB"/>
              </w:rPr>
              <w:t>,</w:t>
            </w:r>
            <w:r w:rsidR="00D25E3E">
              <w:rPr>
                <w:rFonts w:ascii="Arial" w:eastAsia="Calibri" w:hAnsi="Arial" w:cs="Arial"/>
                <w:szCs w:val="22"/>
                <w:lang w:val="en-GB"/>
              </w:rPr>
              <w:t xml:space="preserve"> there are u</w:t>
            </w:r>
            <w:r w:rsidRPr="00C2057D">
              <w:rPr>
                <w:rFonts w:ascii="Arial" w:eastAsia="Calibri" w:hAnsi="Arial" w:cs="Arial"/>
                <w:szCs w:val="22"/>
                <w:lang w:val="en-GB"/>
              </w:rPr>
              <w:t>nresolved issues from villagisation</w:t>
            </w:r>
            <w:r w:rsidR="006D44BD">
              <w:rPr>
                <w:rFonts w:ascii="Arial" w:eastAsia="Calibri" w:hAnsi="Arial" w:cs="Arial"/>
                <w:szCs w:val="22"/>
                <w:lang w:val="en-GB"/>
              </w:rPr>
              <w:t>.</w:t>
            </w:r>
            <w:r w:rsidR="002B4EA9">
              <w:rPr>
                <w:rFonts w:ascii="Arial" w:eastAsia="Calibri" w:hAnsi="Arial" w:cs="Arial"/>
                <w:szCs w:val="22"/>
                <w:lang w:val="en-GB"/>
              </w:rPr>
              <w:t xml:space="preserve"> Second, there is</w:t>
            </w:r>
            <w:r w:rsidRPr="00C2057D">
              <w:rPr>
                <w:rFonts w:ascii="Arial" w:eastAsia="Calibri" w:hAnsi="Arial" w:cs="Arial"/>
                <w:szCs w:val="22"/>
                <w:lang w:val="en-GB"/>
              </w:rPr>
              <w:t xml:space="preserve"> exclusion of village institutions after the land turns into general land. </w:t>
            </w:r>
            <w:r w:rsidR="00D25E3E">
              <w:rPr>
                <w:rFonts w:ascii="Arial" w:eastAsia="Calibri" w:hAnsi="Arial" w:cs="Arial"/>
                <w:szCs w:val="22"/>
                <w:lang w:val="en-GB"/>
              </w:rPr>
              <w:t>There is also c</w:t>
            </w:r>
            <w:r w:rsidRPr="00C2057D">
              <w:rPr>
                <w:rFonts w:ascii="Arial" w:eastAsia="Calibri" w:hAnsi="Arial" w:cs="Arial"/>
                <w:szCs w:val="22"/>
                <w:lang w:val="en-GB"/>
              </w:rPr>
              <w:t>onfusion between compensation and discretionary compassionate payments</w:t>
            </w:r>
            <w:r w:rsidR="002B4EA9">
              <w:rPr>
                <w:rFonts w:ascii="Arial" w:eastAsia="Calibri" w:hAnsi="Arial" w:cs="Arial"/>
                <w:szCs w:val="22"/>
                <w:lang w:val="en-GB"/>
              </w:rPr>
              <w:t>,</w:t>
            </w:r>
            <w:r w:rsidRPr="00C2057D">
              <w:rPr>
                <w:rFonts w:ascii="Arial" w:eastAsia="Calibri" w:hAnsi="Arial" w:cs="Arial"/>
                <w:szCs w:val="22"/>
                <w:lang w:val="en-GB"/>
              </w:rPr>
              <w:t xml:space="preserve"> </w:t>
            </w:r>
            <w:r w:rsidR="00D25E3E">
              <w:rPr>
                <w:rFonts w:ascii="Arial" w:eastAsia="Calibri" w:hAnsi="Arial" w:cs="Arial"/>
                <w:szCs w:val="22"/>
                <w:lang w:val="en-GB"/>
              </w:rPr>
              <w:t>and</w:t>
            </w:r>
            <w:r w:rsidRPr="00C2057D">
              <w:rPr>
                <w:rFonts w:ascii="Arial" w:eastAsia="Calibri" w:hAnsi="Arial" w:cs="Arial"/>
                <w:szCs w:val="22"/>
                <w:lang w:val="en-GB"/>
              </w:rPr>
              <w:t xml:space="preserve"> denial of long-term occupation claims due to the pr</w:t>
            </w:r>
            <w:r w:rsidR="00D25E3E">
              <w:rPr>
                <w:rFonts w:ascii="Arial" w:eastAsia="Calibri" w:hAnsi="Arial" w:cs="Arial"/>
                <w:szCs w:val="22"/>
                <w:lang w:val="en-GB"/>
              </w:rPr>
              <w:t>ohibition of adverse possession. Lastly</w:t>
            </w:r>
            <w:r w:rsidR="002B4EA9">
              <w:rPr>
                <w:rFonts w:ascii="Arial" w:eastAsia="Calibri" w:hAnsi="Arial" w:cs="Arial"/>
                <w:szCs w:val="22"/>
                <w:lang w:val="en-GB"/>
              </w:rPr>
              <w:t>,</w:t>
            </w:r>
            <w:r w:rsidR="00D25E3E">
              <w:rPr>
                <w:rFonts w:ascii="Arial" w:eastAsia="Calibri" w:hAnsi="Arial" w:cs="Arial"/>
                <w:szCs w:val="22"/>
                <w:lang w:val="en-GB"/>
              </w:rPr>
              <w:t xml:space="preserve"> </w:t>
            </w:r>
            <w:r w:rsidR="002B4EA9">
              <w:rPr>
                <w:rFonts w:ascii="Arial" w:eastAsia="Calibri" w:hAnsi="Arial" w:cs="Arial"/>
                <w:szCs w:val="22"/>
                <w:lang w:val="en-GB"/>
              </w:rPr>
              <w:t xml:space="preserve">there </w:t>
            </w:r>
            <w:r w:rsidR="00D25E3E">
              <w:rPr>
                <w:rFonts w:ascii="Arial" w:eastAsia="Calibri" w:hAnsi="Arial" w:cs="Arial"/>
                <w:szCs w:val="22"/>
                <w:lang w:val="en-GB"/>
              </w:rPr>
              <w:t>is</w:t>
            </w:r>
            <w:r w:rsidRPr="00C2057D">
              <w:rPr>
                <w:rFonts w:ascii="Arial" w:eastAsia="Calibri" w:hAnsi="Arial" w:cs="Arial"/>
                <w:szCs w:val="22"/>
                <w:lang w:val="en-GB"/>
              </w:rPr>
              <w:t xml:space="preserve"> weak enforcement of land development conditions. </w:t>
            </w:r>
            <w:r w:rsidR="00B159B9" w:rsidRPr="00B159B9">
              <w:rPr>
                <w:rFonts w:ascii="Arial" w:eastAsia="Calibri" w:hAnsi="Arial" w:cs="Arial"/>
                <w:szCs w:val="22"/>
              </w:rPr>
              <w:t xml:space="preserve">These institutional factors systematically restrict community rights, concentrate authority </w:t>
            </w:r>
            <w:r w:rsidR="008300BE">
              <w:rPr>
                <w:rFonts w:ascii="Arial" w:eastAsia="Calibri" w:hAnsi="Arial" w:cs="Arial"/>
                <w:szCs w:val="22"/>
              </w:rPr>
              <w:t>in central agencies,</w:t>
            </w:r>
            <w:r w:rsidR="00B159B9" w:rsidRPr="00B159B9">
              <w:rPr>
                <w:rFonts w:ascii="Arial" w:eastAsia="Calibri" w:hAnsi="Arial" w:cs="Arial"/>
                <w:szCs w:val="22"/>
              </w:rPr>
              <w:t xml:space="preserve"> institutionalize exclusion</w:t>
            </w:r>
            <w:r w:rsidR="008300BE">
              <w:rPr>
                <w:rFonts w:ascii="Arial" w:eastAsia="Calibri" w:hAnsi="Arial" w:cs="Arial"/>
                <w:szCs w:val="22"/>
              </w:rPr>
              <w:t xml:space="preserve">, </w:t>
            </w:r>
            <w:r w:rsidR="009B7D21">
              <w:rPr>
                <w:rFonts w:ascii="Arial" w:eastAsia="Calibri" w:hAnsi="Arial" w:cs="Arial"/>
                <w:szCs w:val="22"/>
              </w:rPr>
              <w:t>diminish tenure security</w:t>
            </w:r>
            <w:r w:rsidR="00B159B9" w:rsidRPr="00B159B9">
              <w:rPr>
                <w:rFonts w:ascii="Arial" w:eastAsia="Calibri" w:hAnsi="Arial" w:cs="Arial"/>
                <w:szCs w:val="22"/>
              </w:rPr>
              <w:t xml:space="preserve"> </w:t>
            </w:r>
            <w:r w:rsidR="008300BE">
              <w:rPr>
                <w:rFonts w:ascii="Arial" w:eastAsia="Calibri" w:hAnsi="Arial" w:cs="Arial"/>
                <w:szCs w:val="22"/>
              </w:rPr>
              <w:t>and hence contribute to land conflicts.</w:t>
            </w:r>
            <w:r w:rsidR="00B159B9" w:rsidRPr="00B159B9">
              <w:rPr>
                <w:rFonts w:ascii="Arial" w:eastAsia="Calibri" w:hAnsi="Arial" w:cs="Arial"/>
                <w:szCs w:val="22"/>
                <w:lang w:val="en-GB"/>
              </w:rPr>
              <w:t xml:space="preserve"> </w:t>
            </w:r>
          </w:p>
          <w:p w14:paraId="5AA889E0" w14:textId="6FC0FEEE" w:rsidR="00505F06" w:rsidRPr="00BA1B01" w:rsidRDefault="008300BE" w:rsidP="008300BE">
            <w:pPr>
              <w:pStyle w:val="Body"/>
              <w:spacing w:after="0" w:line="480" w:lineRule="auto"/>
              <w:rPr>
                <w:rFonts w:ascii="Arial" w:eastAsia="Calibri" w:hAnsi="Arial" w:cs="Arial"/>
                <w:szCs w:val="22"/>
              </w:rPr>
            </w:pPr>
            <w:r>
              <w:rPr>
                <w:rFonts w:ascii="Arial" w:eastAsia="Calibri" w:hAnsi="Arial" w:cs="Arial"/>
                <w:szCs w:val="22"/>
                <w:lang w:val="en-GB"/>
              </w:rPr>
              <w:t>The paper extends debates on land conflicts in sub-Saharan Africa by connecting local grievances to systemic governance failures</w:t>
            </w:r>
            <w:r w:rsidR="002B4EA9">
              <w:rPr>
                <w:rFonts w:ascii="Arial" w:eastAsia="Calibri" w:hAnsi="Arial" w:cs="Arial"/>
                <w:szCs w:val="22"/>
                <w:lang w:val="en-GB"/>
              </w:rPr>
              <w:t>. The paper</w:t>
            </w:r>
            <w:r w:rsidR="00C2057D" w:rsidRPr="00C2057D">
              <w:rPr>
                <w:rFonts w:ascii="Arial" w:eastAsia="Calibri" w:hAnsi="Arial" w:cs="Arial"/>
                <w:szCs w:val="22"/>
                <w:lang w:val="en-GB"/>
              </w:rPr>
              <w:t xml:space="preserve"> argues for </w:t>
            </w:r>
            <w:r w:rsidR="00DE1690">
              <w:rPr>
                <w:rFonts w:ascii="Arial" w:eastAsia="Calibri" w:hAnsi="Arial" w:cs="Arial"/>
                <w:szCs w:val="22"/>
                <w:lang w:val="en-GB"/>
              </w:rPr>
              <w:t>structur</w:t>
            </w:r>
            <w:r w:rsidR="00C2057D" w:rsidRPr="00C2057D">
              <w:rPr>
                <w:rFonts w:ascii="Arial" w:eastAsia="Calibri" w:hAnsi="Arial" w:cs="Arial"/>
                <w:szCs w:val="22"/>
                <w:lang w:val="en-GB"/>
              </w:rPr>
              <w:t>al reforms that decentralize authority, clarify compensation regimes, and strengthen accountability in land investment processes.</w:t>
            </w:r>
          </w:p>
        </w:tc>
      </w:tr>
    </w:tbl>
    <w:p w14:paraId="332C8A0E" w14:textId="77777777" w:rsidR="00A24E7E" w:rsidRDefault="00A24E7E" w:rsidP="00441B6F">
      <w:pPr>
        <w:pStyle w:val="Body"/>
        <w:spacing w:after="0"/>
        <w:rPr>
          <w:rFonts w:ascii="Arial" w:hAnsi="Arial" w:cs="Arial"/>
          <w:i/>
        </w:rPr>
      </w:pPr>
      <w:r>
        <w:rPr>
          <w:rFonts w:ascii="Arial" w:hAnsi="Arial" w:cs="Arial"/>
          <w:i/>
        </w:rPr>
        <w:t xml:space="preserve">Keywords: </w:t>
      </w:r>
      <w:r w:rsidR="00C042AB" w:rsidRPr="00C042AB">
        <w:rPr>
          <w:rFonts w:ascii="Arial" w:hAnsi="Arial" w:cs="Arial"/>
          <w:i/>
          <w:lang w:val="en-GB"/>
        </w:rPr>
        <w:t>land governance, land conflicts, structural drivers, institutional reforms</w:t>
      </w:r>
    </w:p>
    <w:p w14:paraId="4EB916CC" w14:textId="77777777" w:rsidR="00790ADA" w:rsidRDefault="00790ADA" w:rsidP="00441B6F">
      <w:pPr>
        <w:pStyle w:val="Body"/>
        <w:spacing w:after="0"/>
        <w:rPr>
          <w:rFonts w:ascii="Arial" w:hAnsi="Arial" w:cs="Arial"/>
          <w:i/>
        </w:rPr>
      </w:pPr>
    </w:p>
    <w:p w14:paraId="2DAC768A" w14:textId="77777777" w:rsidR="00C042AB" w:rsidRDefault="00C042AB" w:rsidP="00441B6F">
      <w:pPr>
        <w:pStyle w:val="Body"/>
        <w:spacing w:after="0"/>
        <w:rPr>
          <w:rFonts w:ascii="Arial" w:hAnsi="Arial" w:cs="Arial"/>
          <w:i/>
        </w:rPr>
      </w:pPr>
    </w:p>
    <w:p w14:paraId="4C4C4B39" w14:textId="77777777" w:rsidR="00790ADA" w:rsidRPr="008815C9" w:rsidRDefault="00B01FCD" w:rsidP="008C5EC3">
      <w:pPr>
        <w:pStyle w:val="AbstHead"/>
        <w:numPr>
          <w:ilvl w:val="0"/>
          <w:numId w:val="34"/>
        </w:numPr>
        <w:spacing w:after="0" w:line="480" w:lineRule="auto"/>
        <w:jc w:val="both"/>
        <w:rPr>
          <w:rFonts w:ascii="Arial" w:hAnsi="Arial" w:cs="Arial"/>
        </w:rPr>
      </w:pPr>
      <w:r w:rsidRPr="00FB3A86">
        <w:rPr>
          <w:rFonts w:ascii="Arial" w:hAnsi="Arial" w:cs="Arial"/>
        </w:rPr>
        <w:t>INTRODUCTION</w:t>
      </w:r>
    </w:p>
    <w:p w14:paraId="25EEA14D" w14:textId="77777777" w:rsidR="00B954C9" w:rsidRDefault="00B02BF0" w:rsidP="008C5EC3">
      <w:pPr>
        <w:pStyle w:val="Body"/>
        <w:spacing w:after="0" w:line="480" w:lineRule="auto"/>
        <w:rPr>
          <w:rFonts w:ascii="Arial" w:eastAsia="Calibri" w:hAnsi="Arial" w:cs="Arial"/>
          <w:szCs w:val="22"/>
          <w:lang w:val="en-GB"/>
        </w:rPr>
      </w:pPr>
      <w:r w:rsidRPr="00B02BF0">
        <w:rPr>
          <w:rFonts w:ascii="Arial" w:eastAsia="Calibri" w:hAnsi="Arial" w:cs="Arial"/>
          <w:szCs w:val="22"/>
        </w:rPr>
        <w:t xml:space="preserve">Agriculture remains central to Tanzania’s economy, contributing a substantial share of GDP and employing the majority of the </w:t>
      </w:r>
      <w:proofErr w:type="spellStart"/>
      <w:r w:rsidRPr="00B02BF0">
        <w:rPr>
          <w:rFonts w:ascii="Arial" w:eastAsia="Calibri" w:hAnsi="Arial" w:cs="Arial"/>
          <w:szCs w:val="22"/>
        </w:rPr>
        <w:t>labour</w:t>
      </w:r>
      <w:proofErr w:type="spellEnd"/>
      <w:r w:rsidRPr="00B02BF0">
        <w:rPr>
          <w:rFonts w:ascii="Arial" w:eastAsia="Calibri" w:hAnsi="Arial" w:cs="Arial"/>
          <w:szCs w:val="22"/>
        </w:rPr>
        <w:t xml:space="preserve"> force</w:t>
      </w:r>
      <w:sdt>
        <w:sdtPr>
          <w:rPr>
            <w:rFonts w:ascii="Arial" w:eastAsia="Calibri" w:hAnsi="Arial" w:cs="Arial"/>
            <w:szCs w:val="22"/>
            <w:lang w:val="en-GB"/>
          </w:rPr>
          <w:id w:val="-620991020"/>
          <w:citation/>
        </w:sdtPr>
        <w:sdtEndPr/>
        <w:sdtContent>
          <w:r w:rsidR="00B954C9" w:rsidRPr="00B954C9">
            <w:rPr>
              <w:rFonts w:ascii="Arial" w:eastAsia="Calibri" w:hAnsi="Arial" w:cs="Arial"/>
              <w:szCs w:val="22"/>
              <w:lang w:val="en-GB"/>
            </w:rPr>
            <w:fldChar w:fldCharType="begin"/>
          </w:r>
          <w:r w:rsidR="00B954C9" w:rsidRPr="00B954C9">
            <w:rPr>
              <w:rFonts w:ascii="Arial" w:eastAsia="Calibri" w:hAnsi="Arial" w:cs="Arial"/>
              <w:szCs w:val="22"/>
            </w:rPr>
            <w:instrText xml:space="preserve"> CITATION Has20 \l 1033 </w:instrText>
          </w:r>
          <w:r w:rsidR="00B954C9" w:rsidRPr="00B954C9">
            <w:rPr>
              <w:rFonts w:ascii="Arial" w:eastAsia="Calibri" w:hAnsi="Arial" w:cs="Arial"/>
              <w:szCs w:val="22"/>
              <w:lang w:val="en-GB"/>
            </w:rPr>
            <w:fldChar w:fldCharType="separate"/>
          </w:r>
          <w:r w:rsidR="00B954C9" w:rsidRPr="00B954C9">
            <w:rPr>
              <w:rFonts w:ascii="Arial" w:eastAsia="Calibri" w:hAnsi="Arial" w:cs="Arial"/>
              <w:szCs w:val="22"/>
            </w:rPr>
            <w:t xml:space="preserve"> (Hassunga, 2019)</w:t>
          </w:r>
          <w:r w:rsidR="00B954C9" w:rsidRPr="00B954C9">
            <w:rPr>
              <w:rFonts w:ascii="Arial" w:eastAsia="Calibri" w:hAnsi="Arial" w:cs="Arial"/>
              <w:szCs w:val="22"/>
            </w:rPr>
            <w:fldChar w:fldCharType="end"/>
          </w:r>
        </w:sdtContent>
      </w:sdt>
      <w:r w:rsidR="00B954C9" w:rsidRPr="00B954C9">
        <w:rPr>
          <w:rFonts w:ascii="Arial" w:eastAsia="Calibri" w:hAnsi="Arial" w:cs="Arial"/>
          <w:szCs w:val="22"/>
          <w:lang w:val="en-GB"/>
        </w:rPr>
        <w:t xml:space="preserve"> </w:t>
      </w:r>
      <w:r w:rsidRPr="00B02BF0">
        <w:rPr>
          <w:rFonts w:ascii="Arial" w:eastAsia="Calibri" w:hAnsi="Arial" w:cs="Arial"/>
          <w:szCs w:val="22"/>
        </w:rPr>
        <w:t>The Gover</w:t>
      </w:r>
      <w:r>
        <w:rPr>
          <w:rFonts w:ascii="Arial" w:eastAsia="Calibri" w:hAnsi="Arial" w:cs="Arial"/>
          <w:szCs w:val="22"/>
        </w:rPr>
        <w:t xml:space="preserve">nment has promoted investment in agriculture through initiatives such as </w:t>
      </w:r>
      <w:proofErr w:type="spellStart"/>
      <w:r w:rsidRPr="00B02BF0">
        <w:rPr>
          <w:rFonts w:ascii="Arial" w:eastAsia="Calibri" w:hAnsi="Arial" w:cs="Arial"/>
          <w:bCs/>
          <w:szCs w:val="22"/>
        </w:rPr>
        <w:t>Kilimo</w:t>
      </w:r>
      <w:proofErr w:type="spellEnd"/>
      <w:r w:rsidRPr="00B02BF0">
        <w:rPr>
          <w:rFonts w:ascii="Arial" w:eastAsia="Calibri" w:hAnsi="Arial" w:cs="Arial"/>
          <w:bCs/>
          <w:szCs w:val="22"/>
        </w:rPr>
        <w:t xml:space="preserve"> Kwanza</w:t>
      </w:r>
      <w:r w:rsidRPr="00B02BF0">
        <w:rPr>
          <w:rFonts w:ascii="Arial" w:eastAsia="Calibri" w:hAnsi="Arial" w:cs="Arial"/>
          <w:szCs w:val="22"/>
        </w:rPr>
        <w:t xml:space="preserve"> and the </w:t>
      </w:r>
      <w:r>
        <w:rPr>
          <w:rFonts w:ascii="Arial" w:eastAsia="Calibri" w:hAnsi="Arial" w:cs="Arial"/>
          <w:szCs w:val="22"/>
        </w:rPr>
        <w:t>Southern Agriculture Corridor of Tanzania (</w:t>
      </w:r>
      <w:r w:rsidRPr="00B02BF0">
        <w:rPr>
          <w:rFonts w:ascii="Arial" w:eastAsia="Calibri" w:hAnsi="Arial" w:cs="Arial"/>
          <w:bCs/>
          <w:szCs w:val="22"/>
        </w:rPr>
        <w:t>SAGCOT</w:t>
      </w:r>
      <w:r>
        <w:rPr>
          <w:rFonts w:ascii="Arial" w:eastAsia="Calibri" w:hAnsi="Arial" w:cs="Arial"/>
          <w:bCs/>
          <w:szCs w:val="22"/>
        </w:rPr>
        <w:t>)</w:t>
      </w:r>
      <w:r w:rsidRPr="00B02BF0">
        <w:rPr>
          <w:rFonts w:ascii="Arial" w:eastAsia="Calibri" w:hAnsi="Arial" w:cs="Arial"/>
          <w:szCs w:val="22"/>
        </w:rPr>
        <w:t xml:space="preserve"> to foster productivity, jobs and technology transfer</w:t>
      </w:r>
      <w:sdt>
        <w:sdtPr>
          <w:rPr>
            <w:rFonts w:ascii="Arial" w:eastAsia="Calibri" w:hAnsi="Arial" w:cs="Arial"/>
            <w:szCs w:val="22"/>
            <w:lang w:val="en-GB"/>
          </w:rPr>
          <w:id w:val="312602913"/>
          <w:citation/>
        </w:sdtPr>
        <w:sdtEndPr/>
        <w:sdtContent>
          <w:r w:rsidR="00B954C9" w:rsidRPr="00B954C9">
            <w:rPr>
              <w:rFonts w:ascii="Arial" w:eastAsia="Calibri" w:hAnsi="Arial" w:cs="Arial"/>
              <w:szCs w:val="22"/>
              <w:lang w:val="en-GB"/>
            </w:rPr>
            <w:fldChar w:fldCharType="begin"/>
          </w:r>
          <w:r>
            <w:rPr>
              <w:rFonts w:ascii="Arial" w:eastAsia="Calibri" w:hAnsi="Arial" w:cs="Arial"/>
              <w:szCs w:val="22"/>
            </w:rPr>
            <w:instrText xml:space="preserve">CITATION Eng22 \t  \m Sul20 \l 1033 </w:instrText>
          </w:r>
          <w:r w:rsidR="00B954C9" w:rsidRPr="00B954C9">
            <w:rPr>
              <w:rFonts w:ascii="Arial" w:eastAsia="Calibri" w:hAnsi="Arial" w:cs="Arial"/>
              <w:szCs w:val="22"/>
              <w:lang w:val="en-GB"/>
            </w:rPr>
            <w:fldChar w:fldCharType="separate"/>
          </w:r>
          <w:r>
            <w:rPr>
              <w:rFonts w:ascii="Arial" w:eastAsia="Calibri" w:hAnsi="Arial" w:cs="Arial"/>
              <w:noProof/>
              <w:szCs w:val="22"/>
            </w:rPr>
            <w:t xml:space="preserve"> </w:t>
          </w:r>
          <w:r w:rsidRPr="00B02BF0">
            <w:rPr>
              <w:rFonts w:ascii="Arial" w:eastAsia="Calibri" w:hAnsi="Arial" w:cs="Arial"/>
              <w:noProof/>
              <w:szCs w:val="22"/>
            </w:rPr>
            <w:t>(Engström, Bélair, &amp; Blache, 2022; Sulle, 2020)</w:t>
          </w:r>
          <w:r w:rsidR="00B954C9" w:rsidRPr="00B954C9">
            <w:rPr>
              <w:rFonts w:ascii="Arial" w:eastAsia="Calibri" w:hAnsi="Arial" w:cs="Arial"/>
              <w:szCs w:val="22"/>
            </w:rPr>
            <w:fldChar w:fldCharType="end"/>
          </w:r>
        </w:sdtContent>
      </w:sdt>
      <w:r w:rsidR="00B954C9" w:rsidRPr="00B954C9">
        <w:rPr>
          <w:rFonts w:ascii="Arial" w:eastAsia="Calibri" w:hAnsi="Arial" w:cs="Arial"/>
          <w:szCs w:val="22"/>
          <w:lang w:val="en-GB"/>
        </w:rPr>
        <w:t xml:space="preserve">. </w:t>
      </w:r>
      <w:r w:rsidR="009A272E" w:rsidRPr="009A272E">
        <w:rPr>
          <w:rFonts w:ascii="Arial" w:eastAsia="Calibri" w:hAnsi="Arial" w:cs="Arial"/>
          <w:szCs w:val="22"/>
        </w:rPr>
        <w:t>While proponents argue that large-scale investments boost growth, critics have linked them to a rising incidence of land disputes and insecurity for smallholders</w:t>
      </w:r>
      <w:sdt>
        <w:sdtPr>
          <w:rPr>
            <w:rFonts w:ascii="Arial" w:eastAsia="Calibri" w:hAnsi="Arial" w:cs="Arial"/>
            <w:szCs w:val="22"/>
            <w:lang w:val="en-GB"/>
          </w:rPr>
          <w:id w:val="-873764103"/>
          <w:citation/>
        </w:sdtPr>
        <w:sdtEndPr/>
        <w:sdtContent>
          <w:r w:rsidR="00B954C9" w:rsidRPr="00B954C9">
            <w:rPr>
              <w:rFonts w:ascii="Arial" w:eastAsia="Calibri" w:hAnsi="Arial" w:cs="Arial"/>
              <w:szCs w:val="22"/>
              <w:lang w:val="en-GB"/>
            </w:rPr>
            <w:fldChar w:fldCharType="begin"/>
          </w:r>
          <w:r w:rsidR="00B954C9" w:rsidRPr="00B954C9">
            <w:rPr>
              <w:rFonts w:ascii="Arial" w:eastAsia="Calibri" w:hAnsi="Arial" w:cs="Arial"/>
              <w:szCs w:val="22"/>
            </w:rPr>
            <w:instrText xml:space="preserve">CITATION Sny20 \m Joh17 \m Eng181 \t  \m Placeholder1 \l 1033 </w:instrText>
          </w:r>
          <w:r w:rsidR="00B954C9" w:rsidRPr="00B954C9">
            <w:rPr>
              <w:rFonts w:ascii="Arial" w:eastAsia="Calibri" w:hAnsi="Arial" w:cs="Arial"/>
              <w:szCs w:val="22"/>
              <w:lang w:val="en-GB"/>
            </w:rPr>
            <w:fldChar w:fldCharType="separate"/>
          </w:r>
          <w:r w:rsidR="00B954C9" w:rsidRPr="00B954C9">
            <w:rPr>
              <w:rFonts w:ascii="Arial" w:eastAsia="Calibri" w:hAnsi="Arial" w:cs="Arial"/>
              <w:szCs w:val="22"/>
            </w:rPr>
            <w:t xml:space="preserve"> (Snyder, et al., 2020; John &amp; Kabote, 2017; Engström, 2018; Cotula, 2012)</w:t>
          </w:r>
          <w:r w:rsidR="00B954C9" w:rsidRPr="00B954C9">
            <w:rPr>
              <w:rFonts w:ascii="Arial" w:eastAsia="Calibri" w:hAnsi="Arial" w:cs="Arial"/>
              <w:szCs w:val="22"/>
            </w:rPr>
            <w:fldChar w:fldCharType="end"/>
          </w:r>
        </w:sdtContent>
      </w:sdt>
      <w:r w:rsidR="00B954C9" w:rsidRPr="00B954C9">
        <w:rPr>
          <w:rFonts w:ascii="Arial" w:eastAsia="Calibri" w:hAnsi="Arial" w:cs="Arial"/>
          <w:szCs w:val="22"/>
          <w:lang w:val="en-GB"/>
        </w:rPr>
        <w:t>.</w:t>
      </w:r>
    </w:p>
    <w:p w14:paraId="4EAEC769" w14:textId="77777777" w:rsidR="00C23EBA" w:rsidRPr="00B954C9" w:rsidRDefault="00C23EBA" w:rsidP="008C5EC3">
      <w:pPr>
        <w:pStyle w:val="Body"/>
        <w:spacing w:after="0" w:line="480" w:lineRule="auto"/>
        <w:rPr>
          <w:rFonts w:ascii="Arial" w:eastAsia="Calibri" w:hAnsi="Arial" w:cs="Arial"/>
          <w:szCs w:val="22"/>
          <w:lang w:val="en-GB"/>
        </w:rPr>
      </w:pPr>
    </w:p>
    <w:p w14:paraId="2224E914" w14:textId="3DCC4B36" w:rsidR="00B954C9" w:rsidRDefault="00B954C9" w:rsidP="008C5EC3">
      <w:pPr>
        <w:pStyle w:val="Body"/>
        <w:spacing w:after="0" w:line="480" w:lineRule="auto"/>
        <w:rPr>
          <w:rFonts w:ascii="Arial" w:eastAsia="Calibri" w:hAnsi="Arial" w:cs="Arial"/>
          <w:szCs w:val="22"/>
          <w:lang w:val="en-GB"/>
        </w:rPr>
      </w:pPr>
      <w:r w:rsidRPr="00B954C9">
        <w:rPr>
          <w:rFonts w:ascii="Arial" w:eastAsia="Calibri" w:hAnsi="Arial" w:cs="Arial"/>
          <w:szCs w:val="22"/>
          <w:lang w:val="en-GB"/>
        </w:rPr>
        <w:t>Research on Large Scale Agricultural Investments in Tanzania mainly focuses on their economic and social impacts on smallholders, including land conflicts</w:t>
      </w:r>
      <w:sdt>
        <w:sdtPr>
          <w:rPr>
            <w:rFonts w:ascii="Arial" w:eastAsia="Calibri" w:hAnsi="Arial" w:cs="Arial"/>
            <w:szCs w:val="22"/>
            <w:lang w:val="en-GB"/>
          </w:rPr>
          <w:id w:val="1077949616"/>
          <w:citation/>
        </w:sdtPr>
        <w:sdtEndPr/>
        <w:sdtContent>
          <w:r w:rsidRPr="00B954C9">
            <w:rPr>
              <w:rFonts w:ascii="Arial" w:eastAsia="Calibri" w:hAnsi="Arial" w:cs="Arial"/>
              <w:szCs w:val="22"/>
              <w:lang w:val="en-GB"/>
            </w:rPr>
            <w:fldChar w:fldCharType="begin"/>
          </w:r>
          <w:r w:rsidRPr="00B954C9">
            <w:rPr>
              <w:rFonts w:ascii="Arial" w:eastAsia="Calibri" w:hAnsi="Arial" w:cs="Arial"/>
              <w:szCs w:val="22"/>
            </w:rPr>
            <w:instrText xml:space="preserve">CITATION Eng181 \t  \m Gre15 \m Sul20 \m Sny20 \l 1033 </w:instrText>
          </w:r>
          <w:r w:rsidRPr="00B954C9">
            <w:rPr>
              <w:rFonts w:ascii="Arial" w:eastAsia="Calibri" w:hAnsi="Arial" w:cs="Arial"/>
              <w:szCs w:val="22"/>
              <w:lang w:val="en-GB"/>
            </w:rPr>
            <w:fldChar w:fldCharType="separate"/>
          </w:r>
          <w:r w:rsidRPr="00B954C9">
            <w:rPr>
              <w:rFonts w:ascii="Arial" w:eastAsia="Calibri" w:hAnsi="Arial" w:cs="Arial"/>
              <w:szCs w:val="22"/>
            </w:rPr>
            <w:t xml:space="preserve"> (Engström, 2018; Greco, 2015; Sulle, 2020; Snyder, et al., 2020)</w:t>
          </w:r>
          <w:r w:rsidRPr="00B954C9">
            <w:rPr>
              <w:rFonts w:ascii="Arial" w:eastAsia="Calibri" w:hAnsi="Arial" w:cs="Arial"/>
              <w:szCs w:val="22"/>
            </w:rPr>
            <w:fldChar w:fldCharType="end"/>
          </w:r>
        </w:sdtContent>
      </w:sdt>
      <w:r w:rsidRPr="00B954C9">
        <w:rPr>
          <w:rFonts w:ascii="Arial" w:eastAsia="Calibri" w:hAnsi="Arial" w:cs="Arial"/>
          <w:szCs w:val="22"/>
          <w:lang w:val="en-GB"/>
        </w:rPr>
        <w:t xml:space="preserve">. However, </w:t>
      </w:r>
      <w:r w:rsidR="009A272E">
        <w:rPr>
          <w:rFonts w:ascii="Arial" w:eastAsia="Calibri" w:hAnsi="Arial" w:cs="Arial"/>
          <w:szCs w:val="22"/>
          <w:lang w:val="en-GB"/>
        </w:rPr>
        <w:t>less</w:t>
      </w:r>
      <w:r w:rsidRPr="00B954C9">
        <w:rPr>
          <w:rFonts w:ascii="Arial" w:eastAsia="Calibri" w:hAnsi="Arial" w:cs="Arial"/>
          <w:szCs w:val="22"/>
          <w:lang w:val="en-GB"/>
        </w:rPr>
        <w:t xml:space="preserve"> is discussed on the influence</w:t>
      </w:r>
      <w:r w:rsidR="009A272E">
        <w:rPr>
          <w:rFonts w:ascii="Arial" w:eastAsia="Calibri" w:hAnsi="Arial" w:cs="Arial"/>
          <w:szCs w:val="22"/>
          <w:lang w:val="en-GB"/>
        </w:rPr>
        <w:t xml:space="preserve"> of structural</w:t>
      </w:r>
      <w:r w:rsidRPr="00B954C9">
        <w:rPr>
          <w:rFonts w:ascii="Arial" w:eastAsia="Calibri" w:hAnsi="Arial" w:cs="Arial"/>
          <w:szCs w:val="22"/>
          <w:lang w:val="en-GB"/>
        </w:rPr>
        <w:t xml:space="preserve"> factors on land conflicts </w:t>
      </w:r>
      <w:sdt>
        <w:sdtPr>
          <w:rPr>
            <w:rFonts w:ascii="Arial" w:eastAsia="Calibri" w:hAnsi="Arial" w:cs="Arial"/>
            <w:szCs w:val="22"/>
            <w:lang w:val="en-GB"/>
          </w:rPr>
          <w:id w:val="1547186075"/>
          <w:citation/>
        </w:sdtPr>
        <w:sdtEndPr/>
        <w:sdtContent>
          <w:r w:rsidRPr="00B954C9">
            <w:rPr>
              <w:rFonts w:ascii="Arial" w:eastAsia="Calibri" w:hAnsi="Arial" w:cs="Arial"/>
              <w:szCs w:val="22"/>
              <w:lang w:val="en-GB"/>
            </w:rPr>
            <w:fldChar w:fldCharType="begin"/>
          </w:r>
          <w:r w:rsidRPr="00B954C9">
            <w:rPr>
              <w:rFonts w:ascii="Arial" w:eastAsia="Calibri" w:hAnsi="Arial" w:cs="Arial"/>
              <w:szCs w:val="22"/>
            </w:rPr>
            <w:instrText xml:space="preserve"> CITATION Brü16 \l 1033 </w:instrText>
          </w:r>
          <w:r w:rsidRPr="00B954C9">
            <w:rPr>
              <w:rFonts w:ascii="Arial" w:eastAsia="Calibri" w:hAnsi="Arial" w:cs="Arial"/>
              <w:szCs w:val="22"/>
              <w:lang w:val="en-GB"/>
            </w:rPr>
            <w:fldChar w:fldCharType="separate"/>
          </w:r>
          <w:r w:rsidRPr="00B954C9">
            <w:rPr>
              <w:rFonts w:ascii="Arial" w:eastAsia="Calibri" w:hAnsi="Arial" w:cs="Arial"/>
              <w:szCs w:val="22"/>
            </w:rPr>
            <w:t>(Brüntrup, et al., 2016)</w:t>
          </w:r>
          <w:r w:rsidRPr="00B954C9">
            <w:rPr>
              <w:rFonts w:ascii="Arial" w:eastAsia="Calibri" w:hAnsi="Arial" w:cs="Arial"/>
              <w:szCs w:val="22"/>
            </w:rPr>
            <w:fldChar w:fldCharType="end"/>
          </w:r>
        </w:sdtContent>
      </w:sdt>
      <w:r w:rsidRPr="00B954C9">
        <w:rPr>
          <w:rFonts w:ascii="Arial" w:eastAsia="Calibri" w:hAnsi="Arial" w:cs="Arial"/>
          <w:szCs w:val="22"/>
          <w:lang w:val="en-GB"/>
        </w:rPr>
        <w:t>.</w:t>
      </w:r>
      <w:r w:rsidR="009A272E" w:rsidRPr="009A272E">
        <w:t xml:space="preserve"> </w:t>
      </w:r>
      <w:r w:rsidR="009A272E" w:rsidRPr="009A272E">
        <w:rPr>
          <w:rFonts w:ascii="Arial" w:eastAsia="Calibri" w:hAnsi="Arial" w:cs="Arial"/>
          <w:szCs w:val="22"/>
        </w:rPr>
        <w:t>Much of the literature on large-scale land investments concentrates on socio-economic impacts, but less attention has been paid to the structural and institutional drivers that shape those impacts</w:t>
      </w:r>
      <w:sdt>
        <w:sdtPr>
          <w:rPr>
            <w:rFonts w:ascii="Arial" w:eastAsia="Calibri" w:hAnsi="Arial" w:cs="Arial"/>
            <w:szCs w:val="22"/>
          </w:rPr>
          <w:id w:val="976884987"/>
          <w:citation/>
        </w:sdtPr>
        <w:sdtEndPr/>
        <w:sdtContent>
          <w:r w:rsidR="00B341B3">
            <w:rPr>
              <w:rFonts w:ascii="Arial" w:eastAsia="Calibri" w:hAnsi="Arial" w:cs="Arial"/>
              <w:szCs w:val="22"/>
            </w:rPr>
            <w:fldChar w:fldCharType="begin"/>
          </w:r>
          <w:r w:rsidR="00B341B3">
            <w:rPr>
              <w:rFonts w:ascii="Arial" w:eastAsia="Calibri" w:hAnsi="Arial" w:cs="Arial"/>
              <w:szCs w:val="22"/>
            </w:rPr>
            <w:instrText xml:space="preserve"> CITATION Man19 \l 1033 </w:instrText>
          </w:r>
          <w:r w:rsidR="00B341B3">
            <w:rPr>
              <w:rFonts w:ascii="Arial" w:eastAsia="Calibri" w:hAnsi="Arial" w:cs="Arial"/>
              <w:szCs w:val="22"/>
            </w:rPr>
            <w:fldChar w:fldCharType="separate"/>
          </w:r>
          <w:r w:rsidR="00B341B3">
            <w:rPr>
              <w:rFonts w:ascii="Arial" w:eastAsia="Calibri" w:hAnsi="Arial" w:cs="Arial"/>
              <w:noProof/>
              <w:szCs w:val="22"/>
            </w:rPr>
            <w:t xml:space="preserve"> </w:t>
          </w:r>
          <w:r w:rsidR="00B341B3" w:rsidRPr="00B341B3">
            <w:rPr>
              <w:rFonts w:ascii="Arial" w:eastAsia="Calibri" w:hAnsi="Arial" w:cs="Arial"/>
              <w:noProof/>
              <w:szCs w:val="22"/>
            </w:rPr>
            <w:t>(Manda, Tallontire, &amp; Dougill, 2019)</w:t>
          </w:r>
          <w:r w:rsidR="00B341B3">
            <w:rPr>
              <w:rFonts w:ascii="Arial" w:eastAsia="Calibri" w:hAnsi="Arial" w:cs="Arial"/>
              <w:szCs w:val="22"/>
            </w:rPr>
            <w:fldChar w:fldCharType="end"/>
          </w:r>
        </w:sdtContent>
      </w:sdt>
      <w:r w:rsidR="009A272E" w:rsidRPr="009A272E">
        <w:rPr>
          <w:rFonts w:ascii="Arial" w:eastAsia="Calibri" w:hAnsi="Arial" w:cs="Arial"/>
          <w:szCs w:val="22"/>
        </w:rPr>
        <w:t>.</w:t>
      </w:r>
      <w:r w:rsidRPr="00B954C9">
        <w:rPr>
          <w:rFonts w:ascii="Arial" w:eastAsia="Calibri" w:hAnsi="Arial" w:cs="Arial"/>
          <w:szCs w:val="22"/>
          <w:lang w:val="en-GB"/>
        </w:rPr>
        <w:t xml:space="preserve"> Studies carried out in other countries also follow a similar pattern, undermining the role of structural and institutional influence on land conflicts</w:t>
      </w:r>
      <w:sdt>
        <w:sdtPr>
          <w:rPr>
            <w:rFonts w:ascii="Arial" w:eastAsia="Calibri" w:hAnsi="Arial" w:cs="Arial"/>
            <w:szCs w:val="22"/>
            <w:lang w:val="en-GB"/>
          </w:rPr>
          <w:id w:val="1860538338"/>
          <w:citation/>
        </w:sdtPr>
        <w:sdtEndPr/>
        <w:sdtContent>
          <w:r w:rsidRPr="00B954C9">
            <w:rPr>
              <w:rFonts w:ascii="Arial" w:eastAsia="Calibri" w:hAnsi="Arial" w:cs="Arial"/>
              <w:szCs w:val="22"/>
              <w:lang w:val="en-GB"/>
            </w:rPr>
            <w:fldChar w:fldCharType="begin"/>
          </w:r>
          <w:r w:rsidR="005A6704">
            <w:rPr>
              <w:rFonts w:ascii="Arial" w:eastAsia="Calibri" w:hAnsi="Arial" w:cs="Arial"/>
              <w:szCs w:val="22"/>
            </w:rPr>
            <w:instrText xml:space="preserve">CITATION Uet24 \l 1033 </w:instrText>
          </w:r>
          <w:r w:rsidR="00735904">
            <w:rPr>
              <w:rFonts w:ascii="Arial" w:eastAsia="Calibri" w:hAnsi="Arial" w:cs="Arial"/>
              <w:szCs w:val="22"/>
            </w:rPr>
            <w:instrText xml:space="preserve"> \m Bot16</w:instrText>
          </w:r>
          <w:r w:rsidRPr="00B954C9">
            <w:rPr>
              <w:rFonts w:ascii="Arial" w:eastAsia="Calibri" w:hAnsi="Arial" w:cs="Arial"/>
              <w:szCs w:val="22"/>
              <w:lang w:val="en-GB"/>
            </w:rPr>
            <w:fldChar w:fldCharType="separate"/>
          </w:r>
          <w:r w:rsidR="00735904">
            <w:rPr>
              <w:rFonts w:ascii="Arial" w:eastAsia="Calibri" w:hAnsi="Arial" w:cs="Arial"/>
              <w:noProof/>
              <w:szCs w:val="22"/>
            </w:rPr>
            <w:t xml:space="preserve"> </w:t>
          </w:r>
          <w:r w:rsidR="00735904" w:rsidRPr="00735904">
            <w:rPr>
              <w:rFonts w:ascii="Arial" w:eastAsia="Calibri" w:hAnsi="Arial" w:cs="Arial"/>
              <w:noProof/>
              <w:szCs w:val="22"/>
            </w:rPr>
            <w:t>(Ueta, 2024; Bottazzi, Goguen, &amp; Rist, 2016)</w:t>
          </w:r>
          <w:r w:rsidRPr="00B954C9">
            <w:rPr>
              <w:rFonts w:ascii="Arial" w:eastAsia="Calibri" w:hAnsi="Arial" w:cs="Arial"/>
              <w:szCs w:val="22"/>
            </w:rPr>
            <w:fldChar w:fldCharType="end"/>
          </w:r>
        </w:sdtContent>
      </w:sdt>
      <w:r w:rsidRPr="00B954C9">
        <w:rPr>
          <w:rFonts w:ascii="Arial" w:eastAsia="Calibri" w:hAnsi="Arial" w:cs="Arial"/>
          <w:szCs w:val="22"/>
          <w:lang w:val="en-GB"/>
        </w:rPr>
        <w:t xml:space="preserve">. </w:t>
      </w:r>
      <w:r w:rsidR="009A272E" w:rsidRPr="009A272E">
        <w:rPr>
          <w:rFonts w:ascii="Arial" w:eastAsia="Calibri" w:hAnsi="Arial" w:cs="Arial"/>
          <w:szCs w:val="22"/>
        </w:rPr>
        <w:t>This study addresses that gap by examining how the Tanzanian land governance framework contributes to investor–smallholder conflicts, using KPL in Kilom</w:t>
      </w:r>
      <w:r w:rsidR="009A272E">
        <w:rPr>
          <w:rFonts w:ascii="Arial" w:eastAsia="Calibri" w:hAnsi="Arial" w:cs="Arial"/>
          <w:szCs w:val="22"/>
        </w:rPr>
        <w:t>bero District as a focused case</w:t>
      </w:r>
      <w:r w:rsidRPr="00B954C9">
        <w:rPr>
          <w:rFonts w:ascii="Arial" w:eastAsia="Calibri" w:hAnsi="Arial" w:cs="Arial"/>
          <w:szCs w:val="22"/>
          <w:lang w:val="en-GB"/>
        </w:rPr>
        <w:t xml:space="preserve">. </w:t>
      </w:r>
      <w:r w:rsidR="006D76D1" w:rsidRPr="006D76D1">
        <w:rPr>
          <w:rFonts w:ascii="Arial" w:eastAsia="Calibri" w:hAnsi="Arial" w:cs="Arial"/>
          <w:szCs w:val="22"/>
        </w:rPr>
        <w:t xml:space="preserve">The research asks: </w:t>
      </w:r>
      <w:r w:rsidR="006D76D1" w:rsidRPr="006D76D1">
        <w:rPr>
          <w:rFonts w:ascii="Arial" w:eastAsia="Calibri" w:hAnsi="Arial" w:cs="Arial"/>
          <w:bCs/>
          <w:szCs w:val="22"/>
        </w:rPr>
        <w:t>How does Tanzania’s institutional and legal architecture feed into land conflicts between investors and smallholders</w:t>
      </w:r>
      <w:r w:rsidR="006D76D1">
        <w:rPr>
          <w:rFonts w:ascii="Arial" w:eastAsia="Calibri" w:hAnsi="Arial" w:cs="Arial"/>
          <w:bCs/>
          <w:szCs w:val="22"/>
        </w:rPr>
        <w:t>?</w:t>
      </w:r>
      <w:r w:rsidR="006D76D1" w:rsidRPr="006D76D1">
        <w:t xml:space="preserve"> </w:t>
      </w:r>
      <w:r w:rsidR="006D76D1" w:rsidRPr="006D76D1">
        <w:rPr>
          <w:rFonts w:ascii="Arial" w:eastAsia="Calibri" w:hAnsi="Arial" w:cs="Arial"/>
          <w:bCs/>
          <w:szCs w:val="22"/>
        </w:rPr>
        <w:t>The study is based on interviews with relevant technocrats and an investor representative, a focus group with village leaders, and documentary review for triangulation.</w:t>
      </w:r>
    </w:p>
    <w:p w14:paraId="7D0E6740" w14:textId="77777777" w:rsidR="00C23EBA" w:rsidRPr="00B954C9" w:rsidRDefault="00C23EBA" w:rsidP="008C5EC3">
      <w:pPr>
        <w:pStyle w:val="Body"/>
        <w:spacing w:after="0" w:line="480" w:lineRule="auto"/>
        <w:rPr>
          <w:rFonts w:ascii="Arial" w:eastAsia="Calibri" w:hAnsi="Arial" w:cs="Arial"/>
          <w:szCs w:val="22"/>
          <w:lang w:val="en-GB"/>
        </w:rPr>
      </w:pPr>
    </w:p>
    <w:p w14:paraId="2C9BEAED" w14:textId="77777777" w:rsidR="00B954C9" w:rsidRPr="00B954C9" w:rsidRDefault="00B954C9" w:rsidP="008C5EC3">
      <w:pPr>
        <w:pStyle w:val="Body"/>
        <w:spacing w:after="0" w:line="480" w:lineRule="auto"/>
        <w:rPr>
          <w:rFonts w:ascii="Arial" w:eastAsia="Calibri" w:hAnsi="Arial" w:cs="Arial"/>
          <w:szCs w:val="22"/>
          <w:lang w:val="en-GB"/>
        </w:rPr>
      </w:pPr>
      <w:r w:rsidRPr="00B954C9">
        <w:rPr>
          <w:rFonts w:ascii="Arial" w:eastAsia="Calibri" w:hAnsi="Arial" w:cs="Arial"/>
          <w:szCs w:val="22"/>
          <w:lang w:val="en-GB"/>
        </w:rPr>
        <w:t>Findings identified five key factors about the struc</w:t>
      </w:r>
      <w:r w:rsidR="006D76D1">
        <w:rPr>
          <w:rFonts w:ascii="Arial" w:eastAsia="Calibri" w:hAnsi="Arial" w:cs="Arial"/>
          <w:szCs w:val="22"/>
          <w:lang w:val="en-GB"/>
        </w:rPr>
        <w:t>tural</w:t>
      </w:r>
      <w:r w:rsidRPr="00B954C9">
        <w:rPr>
          <w:rFonts w:ascii="Arial" w:eastAsia="Calibri" w:hAnsi="Arial" w:cs="Arial"/>
          <w:szCs w:val="22"/>
          <w:lang w:val="en-GB"/>
        </w:rPr>
        <w:t xml:space="preserve"> causes of land conflict. Unresolved villagisation legacy and returnee claims. Structural exclusion of village institutions when land is converted to general land. Confusion over compensation versus compassionate payments. Denial of long-term occupation via the prohibition of adverse possession and weak enforcement of development conditions on the Rights of Occupancy.</w:t>
      </w:r>
      <w:r w:rsidR="006D76D1">
        <w:rPr>
          <w:rFonts w:ascii="Arial" w:eastAsia="Calibri" w:hAnsi="Arial" w:cs="Arial"/>
          <w:szCs w:val="22"/>
          <w:lang w:val="en-GB"/>
        </w:rPr>
        <w:t xml:space="preserve"> </w:t>
      </w:r>
      <w:r w:rsidRPr="00B954C9">
        <w:rPr>
          <w:rFonts w:ascii="Arial" w:eastAsia="Calibri" w:hAnsi="Arial" w:cs="Arial"/>
          <w:szCs w:val="22"/>
          <w:lang w:val="en-GB"/>
        </w:rPr>
        <w:t>By spotlighting these, the paper demonstrates that land conflicts are also rooted in institutionalized exclusion, advancing Africa’s land governance debates. The study shows how history and weak governance affect tenure security and calls for reforms to balance power among land administration institutions, clarify rights, and demand more accountability.</w:t>
      </w:r>
    </w:p>
    <w:p w14:paraId="7490567E" w14:textId="77777777" w:rsidR="00C23EBA" w:rsidRDefault="00C23EBA" w:rsidP="008C5EC3">
      <w:pPr>
        <w:pStyle w:val="Body"/>
        <w:spacing w:after="0" w:line="480" w:lineRule="auto"/>
        <w:rPr>
          <w:rFonts w:ascii="Arial" w:eastAsia="Calibri" w:hAnsi="Arial" w:cs="Arial"/>
          <w:szCs w:val="22"/>
          <w:lang w:val="en-GB"/>
        </w:rPr>
      </w:pPr>
    </w:p>
    <w:p w14:paraId="60531C27" w14:textId="77777777" w:rsidR="00B954C9" w:rsidRDefault="00B954C9" w:rsidP="008C5EC3">
      <w:pPr>
        <w:pStyle w:val="Body"/>
        <w:numPr>
          <w:ilvl w:val="0"/>
          <w:numId w:val="34"/>
        </w:numPr>
        <w:spacing w:after="0" w:line="480" w:lineRule="auto"/>
        <w:rPr>
          <w:rFonts w:ascii="Arial" w:hAnsi="Arial" w:cs="Arial"/>
          <w:b/>
          <w:caps/>
          <w:sz w:val="22"/>
        </w:rPr>
      </w:pPr>
      <w:r w:rsidRPr="00B954C9">
        <w:rPr>
          <w:rFonts w:ascii="Arial" w:hAnsi="Arial" w:cs="Arial"/>
          <w:b/>
          <w:caps/>
          <w:sz w:val="22"/>
        </w:rPr>
        <w:t>Theoretical Framework</w:t>
      </w:r>
    </w:p>
    <w:p w14:paraId="6F6BF216" w14:textId="77777777" w:rsidR="00C23EBA" w:rsidRPr="00B954C9" w:rsidRDefault="00C23EBA" w:rsidP="008C5EC3">
      <w:pPr>
        <w:pStyle w:val="Body"/>
        <w:spacing w:after="0" w:line="480" w:lineRule="auto"/>
        <w:ind w:left="720"/>
        <w:rPr>
          <w:rFonts w:ascii="Arial" w:hAnsi="Arial" w:cs="Arial"/>
          <w:b/>
          <w:caps/>
          <w:sz w:val="22"/>
        </w:rPr>
      </w:pPr>
    </w:p>
    <w:p w14:paraId="1B3321BE" w14:textId="77777777" w:rsidR="00B954C9" w:rsidRDefault="00B954C9" w:rsidP="008C5EC3">
      <w:pPr>
        <w:pStyle w:val="Body"/>
        <w:spacing w:after="0" w:line="480" w:lineRule="auto"/>
        <w:rPr>
          <w:rFonts w:ascii="Arial" w:eastAsia="Calibri" w:hAnsi="Arial" w:cs="Arial"/>
          <w:szCs w:val="22"/>
          <w:lang w:val="en-GB"/>
        </w:rPr>
      </w:pPr>
      <w:r w:rsidRPr="00B954C9">
        <w:rPr>
          <w:rFonts w:ascii="Arial" w:eastAsia="Calibri" w:hAnsi="Arial" w:cs="Arial"/>
          <w:szCs w:val="22"/>
          <w:lang w:val="en-GB"/>
        </w:rPr>
        <w:t>A conflict arises when there is active disagreement between parties that have different opinions, goals, and values</w:t>
      </w:r>
      <w:sdt>
        <w:sdtPr>
          <w:rPr>
            <w:rFonts w:ascii="Arial" w:eastAsia="Calibri" w:hAnsi="Arial" w:cs="Arial"/>
            <w:szCs w:val="22"/>
            <w:lang w:val="en-GB"/>
          </w:rPr>
          <w:id w:val="215935297"/>
          <w:citation/>
        </w:sdtPr>
        <w:sdtEndPr/>
        <w:sdtContent>
          <w:r w:rsidRPr="00B954C9">
            <w:rPr>
              <w:rFonts w:ascii="Arial" w:eastAsia="Calibri" w:hAnsi="Arial" w:cs="Arial"/>
              <w:szCs w:val="22"/>
              <w:lang w:val="en-GB"/>
            </w:rPr>
            <w:fldChar w:fldCharType="begin"/>
          </w:r>
          <w:r w:rsidRPr="00B954C9">
            <w:rPr>
              <w:rFonts w:ascii="Arial" w:eastAsia="Calibri" w:hAnsi="Arial" w:cs="Arial"/>
              <w:szCs w:val="22"/>
            </w:rPr>
            <w:instrText xml:space="preserve"> CITATION Bou15 \l 1033 </w:instrText>
          </w:r>
          <w:r w:rsidRPr="00B954C9">
            <w:rPr>
              <w:rFonts w:ascii="Arial" w:eastAsia="Calibri" w:hAnsi="Arial" w:cs="Arial"/>
              <w:szCs w:val="22"/>
              <w:lang w:val="en-GB"/>
            </w:rPr>
            <w:fldChar w:fldCharType="separate"/>
          </w:r>
          <w:r w:rsidRPr="00B954C9">
            <w:rPr>
              <w:rFonts w:ascii="Arial" w:eastAsia="Calibri" w:hAnsi="Arial" w:cs="Arial"/>
              <w:szCs w:val="22"/>
            </w:rPr>
            <w:t xml:space="preserve"> (Boulding, 2015)</w:t>
          </w:r>
          <w:r w:rsidRPr="00B954C9">
            <w:rPr>
              <w:rFonts w:ascii="Arial" w:eastAsia="Calibri" w:hAnsi="Arial" w:cs="Arial"/>
              <w:szCs w:val="22"/>
            </w:rPr>
            <w:fldChar w:fldCharType="end"/>
          </w:r>
        </w:sdtContent>
      </w:sdt>
      <w:r w:rsidRPr="00B954C9">
        <w:rPr>
          <w:rFonts w:ascii="Arial" w:eastAsia="Calibri" w:hAnsi="Arial" w:cs="Arial"/>
          <w:szCs w:val="22"/>
          <w:lang w:val="en-GB"/>
        </w:rPr>
        <w:t xml:space="preserve">. Mostert </w:t>
      </w:r>
      <w:sdt>
        <w:sdtPr>
          <w:rPr>
            <w:rFonts w:ascii="Arial" w:eastAsia="Calibri" w:hAnsi="Arial" w:cs="Arial"/>
            <w:szCs w:val="22"/>
            <w:lang w:val="en-GB"/>
          </w:rPr>
          <w:id w:val="54526292"/>
          <w:citation/>
        </w:sdtPr>
        <w:sdtEndPr/>
        <w:sdtContent>
          <w:r w:rsidRPr="00B954C9">
            <w:rPr>
              <w:rFonts w:ascii="Arial" w:eastAsia="Calibri" w:hAnsi="Arial" w:cs="Arial"/>
              <w:szCs w:val="22"/>
              <w:lang w:val="en-GB"/>
            </w:rPr>
            <w:fldChar w:fldCharType="begin"/>
          </w:r>
          <w:r w:rsidRPr="00B954C9">
            <w:rPr>
              <w:rFonts w:ascii="Arial" w:eastAsia="Calibri" w:hAnsi="Arial" w:cs="Arial"/>
              <w:szCs w:val="22"/>
            </w:rPr>
            <w:instrText xml:space="preserve">CITATION Mos98 \n  \t  \l 1033 </w:instrText>
          </w:r>
          <w:r w:rsidRPr="00B954C9">
            <w:rPr>
              <w:rFonts w:ascii="Arial" w:eastAsia="Calibri" w:hAnsi="Arial" w:cs="Arial"/>
              <w:szCs w:val="22"/>
              <w:lang w:val="en-GB"/>
            </w:rPr>
            <w:fldChar w:fldCharType="separate"/>
          </w:r>
          <w:r w:rsidRPr="00B954C9">
            <w:rPr>
              <w:rFonts w:ascii="Arial" w:eastAsia="Calibri" w:hAnsi="Arial" w:cs="Arial"/>
              <w:szCs w:val="22"/>
            </w:rPr>
            <w:t>(1998)</w:t>
          </w:r>
          <w:r w:rsidRPr="00B954C9">
            <w:rPr>
              <w:rFonts w:ascii="Arial" w:eastAsia="Calibri" w:hAnsi="Arial" w:cs="Arial"/>
              <w:szCs w:val="22"/>
            </w:rPr>
            <w:fldChar w:fldCharType="end"/>
          </w:r>
        </w:sdtContent>
      </w:sdt>
      <w:r w:rsidRPr="00B954C9">
        <w:rPr>
          <w:rFonts w:ascii="Arial" w:eastAsia="Calibri" w:hAnsi="Arial" w:cs="Arial"/>
          <w:szCs w:val="22"/>
          <w:lang w:val="en-GB"/>
        </w:rPr>
        <w:t xml:space="preserve"> identifies th</w:t>
      </w:r>
      <w:r w:rsidR="00316B18">
        <w:rPr>
          <w:rFonts w:ascii="Arial" w:eastAsia="Calibri" w:hAnsi="Arial" w:cs="Arial"/>
          <w:szCs w:val="22"/>
          <w:lang w:val="en-GB"/>
        </w:rPr>
        <w:t>ree primary causes of conflict:</w:t>
      </w:r>
      <w:r w:rsidRPr="00B954C9">
        <w:rPr>
          <w:rFonts w:ascii="Arial" w:eastAsia="Calibri" w:hAnsi="Arial" w:cs="Arial"/>
          <w:szCs w:val="22"/>
          <w:lang w:val="en-GB"/>
        </w:rPr>
        <w:t xml:space="preserve"> Differences in values and interests, factual disagreements or relational issues from mistrust, and power struggles amongst the conflicting parties. To resolve factual disagreements, Mostert recommends improving communication and sharing information to achieve a common understanding. For conflicts rooted in differences in values and interests, he suggests seeking win-win solutions through mutual interests. Lastly, conflicts that stem from power struggles can be addressed by correcting the power imbalance among the involved parties.</w:t>
      </w:r>
    </w:p>
    <w:p w14:paraId="13A2314B" w14:textId="77777777" w:rsidR="00C23EBA" w:rsidRPr="00B954C9" w:rsidRDefault="00C23EBA" w:rsidP="008C5EC3">
      <w:pPr>
        <w:pStyle w:val="Body"/>
        <w:spacing w:after="0" w:line="480" w:lineRule="auto"/>
        <w:rPr>
          <w:rFonts w:ascii="Arial" w:eastAsia="Calibri" w:hAnsi="Arial" w:cs="Arial"/>
          <w:szCs w:val="22"/>
          <w:lang w:val="en-GB"/>
        </w:rPr>
      </w:pPr>
    </w:p>
    <w:p w14:paraId="5049D7B9" w14:textId="77777777" w:rsidR="00B954C9" w:rsidRDefault="00316B18" w:rsidP="008C5EC3">
      <w:pPr>
        <w:pStyle w:val="Body"/>
        <w:spacing w:after="0" w:line="480" w:lineRule="auto"/>
        <w:rPr>
          <w:rFonts w:ascii="Arial" w:eastAsia="Calibri" w:hAnsi="Arial" w:cs="Arial"/>
          <w:szCs w:val="22"/>
          <w:lang w:val="en-GB"/>
        </w:rPr>
      </w:pPr>
      <w:r w:rsidRPr="00316B18">
        <w:rPr>
          <w:rFonts w:ascii="Arial" w:eastAsia="Calibri" w:hAnsi="Arial" w:cs="Arial"/>
          <w:szCs w:val="22"/>
        </w:rPr>
        <w:t xml:space="preserve">Conflicts over land arise when </w:t>
      </w:r>
      <w:r w:rsidR="00E17361">
        <w:rPr>
          <w:rFonts w:ascii="Arial" w:eastAsia="Calibri" w:hAnsi="Arial" w:cs="Arial"/>
          <w:szCs w:val="22"/>
        </w:rPr>
        <w:t xml:space="preserve">there are </w:t>
      </w:r>
      <w:r w:rsidRPr="00316B18">
        <w:rPr>
          <w:rFonts w:ascii="Arial" w:eastAsia="Calibri" w:hAnsi="Arial" w:cs="Arial"/>
          <w:szCs w:val="22"/>
        </w:rPr>
        <w:t xml:space="preserve">competing claims, unequal power, or differing interpretations of </w:t>
      </w:r>
      <w:r>
        <w:rPr>
          <w:rFonts w:ascii="Arial" w:eastAsia="Calibri" w:hAnsi="Arial" w:cs="Arial"/>
          <w:szCs w:val="22"/>
        </w:rPr>
        <w:t xml:space="preserve">property </w:t>
      </w:r>
      <w:r w:rsidRPr="00316B18">
        <w:rPr>
          <w:rFonts w:ascii="Arial" w:eastAsia="Calibri" w:hAnsi="Arial" w:cs="Arial"/>
          <w:szCs w:val="22"/>
        </w:rPr>
        <w:t xml:space="preserve">rights. </w:t>
      </w:r>
      <w:r w:rsidR="00B954C9" w:rsidRPr="00B954C9">
        <w:rPr>
          <w:rFonts w:ascii="Arial" w:eastAsia="Calibri" w:hAnsi="Arial" w:cs="Arial"/>
          <w:szCs w:val="22"/>
          <w:lang w:val="en-GB"/>
        </w:rPr>
        <w:t>Property rights come from socially acceptable norms and conventions negotiated in the community that give exclusive control to specific property actions and interests</w:t>
      </w:r>
      <w:sdt>
        <w:sdtPr>
          <w:rPr>
            <w:rFonts w:ascii="Arial" w:eastAsia="Calibri" w:hAnsi="Arial" w:cs="Arial"/>
            <w:szCs w:val="22"/>
            <w:lang w:val="en-GB"/>
          </w:rPr>
          <w:id w:val="-412783437"/>
          <w:citation/>
        </w:sdtPr>
        <w:sdtEndPr/>
        <w:sdtContent>
          <w:r w:rsidR="00B954C9" w:rsidRPr="00B954C9">
            <w:rPr>
              <w:rFonts w:ascii="Arial" w:eastAsia="Calibri" w:hAnsi="Arial" w:cs="Arial"/>
              <w:szCs w:val="22"/>
              <w:lang w:val="en-GB"/>
            </w:rPr>
            <w:fldChar w:fldCharType="begin"/>
          </w:r>
          <w:r w:rsidR="00B954C9" w:rsidRPr="00B954C9">
            <w:rPr>
              <w:rFonts w:ascii="Arial" w:eastAsia="Calibri" w:hAnsi="Arial" w:cs="Arial"/>
              <w:szCs w:val="22"/>
            </w:rPr>
            <w:instrText xml:space="preserve"> CITATION Gar89 \l 1033 </w:instrText>
          </w:r>
          <w:r w:rsidR="00B954C9" w:rsidRPr="00B954C9">
            <w:rPr>
              <w:rFonts w:ascii="Arial" w:eastAsia="Calibri" w:hAnsi="Arial" w:cs="Arial"/>
              <w:szCs w:val="22"/>
              <w:lang w:val="en-GB"/>
            </w:rPr>
            <w:fldChar w:fldCharType="separate"/>
          </w:r>
          <w:r w:rsidR="00B954C9" w:rsidRPr="00B954C9">
            <w:rPr>
              <w:rFonts w:ascii="Arial" w:eastAsia="Calibri" w:hAnsi="Arial" w:cs="Arial"/>
              <w:szCs w:val="22"/>
            </w:rPr>
            <w:t xml:space="preserve"> (Libecap, 1989)</w:t>
          </w:r>
          <w:r w:rsidR="00B954C9" w:rsidRPr="00B954C9">
            <w:rPr>
              <w:rFonts w:ascii="Arial" w:eastAsia="Calibri" w:hAnsi="Arial" w:cs="Arial"/>
              <w:szCs w:val="22"/>
            </w:rPr>
            <w:fldChar w:fldCharType="end"/>
          </w:r>
        </w:sdtContent>
      </w:sdt>
      <w:r w:rsidR="00B954C9" w:rsidRPr="00B954C9">
        <w:rPr>
          <w:rFonts w:ascii="Arial" w:eastAsia="Calibri" w:hAnsi="Arial" w:cs="Arial"/>
          <w:szCs w:val="22"/>
          <w:lang w:val="en-GB"/>
        </w:rPr>
        <w:t>. Property rights work only if right-holders benefit from their rights and duty-bearers respect the rights</w:t>
      </w:r>
      <w:sdt>
        <w:sdtPr>
          <w:rPr>
            <w:rFonts w:ascii="Arial" w:eastAsia="Calibri" w:hAnsi="Arial" w:cs="Arial"/>
            <w:szCs w:val="22"/>
            <w:lang w:val="en-GB"/>
          </w:rPr>
          <w:id w:val="1813138159"/>
          <w:citation/>
        </w:sdtPr>
        <w:sdtEndPr/>
        <w:sdtContent>
          <w:r w:rsidR="00B954C9" w:rsidRPr="00B954C9">
            <w:rPr>
              <w:rFonts w:ascii="Arial" w:eastAsia="Calibri" w:hAnsi="Arial" w:cs="Arial"/>
              <w:szCs w:val="22"/>
              <w:lang w:val="en-GB"/>
            </w:rPr>
            <w:fldChar w:fldCharType="begin"/>
          </w:r>
          <w:r w:rsidR="00B954C9" w:rsidRPr="00B954C9">
            <w:rPr>
              <w:rFonts w:ascii="Arial" w:eastAsia="Calibri" w:hAnsi="Arial" w:cs="Arial"/>
              <w:szCs w:val="22"/>
            </w:rPr>
            <w:instrText xml:space="preserve"> CITATION Sen97 \l 1033 </w:instrText>
          </w:r>
          <w:r w:rsidR="00B954C9" w:rsidRPr="00B954C9">
            <w:rPr>
              <w:rFonts w:ascii="Arial" w:eastAsia="Calibri" w:hAnsi="Arial" w:cs="Arial"/>
              <w:szCs w:val="22"/>
              <w:lang w:val="en-GB"/>
            </w:rPr>
            <w:fldChar w:fldCharType="separate"/>
          </w:r>
          <w:r w:rsidR="00B954C9" w:rsidRPr="00B954C9">
            <w:rPr>
              <w:rFonts w:ascii="Arial" w:eastAsia="Calibri" w:hAnsi="Arial" w:cs="Arial"/>
              <w:szCs w:val="22"/>
            </w:rPr>
            <w:t xml:space="preserve"> (Sened, 1997)</w:t>
          </w:r>
          <w:r w:rsidR="00B954C9" w:rsidRPr="00B954C9">
            <w:rPr>
              <w:rFonts w:ascii="Arial" w:eastAsia="Calibri" w:hAnsi="Arial" w:cs="Arial"/>
              <w:szCs w:val="22"/>
            </w:rPr>
            <w:fldChar w:fldCharType="end"/>
          </w:r>
        </w:sdtContent>
      </w:sdt>
      <w:r w:rsidR="00C23EBA">
        <w:rPr>
          <w:rFonts w:ascii="Arial" w:eastAsia="Calibri" w:hAnsi="Arial" w:cs="Arial"/>
          <w:szCs w:val="22"/>
          <w:lang w:val="en-GB"/>
        </w:rPr>
        <w:t>.</w:t>
      </w:r>
      <w:r>
        <w:rPr>
          <w:rFonts w:ascii="Arial" w:eastAsia="Calibri" w:hAnsi="Arial" w:cs="Arial"/>
          <w:szCs w:val="22"/>
          <w:lang w:val="en-GB"/>
        </w:rPr>
        <w:t xml:space="preserve"> </w:t>
      </w:r>
      <w:r w:rsidR="00B954C9" w:rsidRPr="00B954C9">
        <w:rPr>
          <w:rFonts w:ascii="Arial" w:eastAsia="Calibri" w:hAnsi="Arial" w:cs="Arial"/>
          <w:szCs w:val="22"/>
          <w:lang w:val="en-GB"/>
        </w:rPr>
        <w:t xml:space="preserve">Property rights are determined through a process that involves negotiations among claimants and validation by the authority. Libecap </w:t>
      </w:r>
      <w:sdt>
        <w:sdtPr>
          <w:rPr>
            <w:rFonts w:ascii="Arial" w:eastAsia="Calibri" w:hAnsi="Arial" w:cs="Arial"/>
            <w:szCs w:val="22"/>
            <w:lang w:val="en-GB"/>
          </w:rPr>
          <w:id w:val="-1735927534"/>
          <w:citation/>
        </w:sdtPr>
        <w:sdtEndPr/>
        <w:sdtContent>
          <w:r w:rsidR="00B954C9" w:rsidRPr="00B954C9">
            <w:rPr>
              <w:rFonts w:ascii="Arial" w:eastAsia="Calibri" w:hAnsi="Arial" w:cs="Arial"/>
              <w:szCs w:val="22"/>
              <w:lang w:val="en-GB"/>
            </w:rPr>
            <w:fldChar w:fldCharType="begin"/>
          </w:r>
          <w:r w:rsidR="00B954C9" w:rsidRPr="00B954C9">
            <w:rPr>
              <w:rFonts w:ascii="Arial" w:eastAsia="Calibri" w:hAnsi="Arial" w:cs="Arial"/>
              <w:szCs w:val="22"/>
            </w:rPr>
            <w:instrText xml:space="preserve">CITATION Gar89 \n  \t  \l 1033 </w:instrText>
          </w:r>
          <w:r w:rsidR="00B954C9" w:rsidRPr="00B954C9">
            <w:rPr>
              <w:rFonts w:ascii="Arial" w:eastAsia="Calibri" w:hAnsi="Arial" w:cs="Arial"/>
              <w:szCs w:val="22"/>
              <w:lang w:val="en-GB"/>
            </w:rPr>
            <w:fldChar w:fldCharType="separate"/>
          </w:r>
          <w:r w:rsidR="00B954C9" w:rsidRPr="00B954C9">
            <w:rPr>
              <w:rFonts w:ascii="Arial" w:eastAsia="Calibri" w:hAnsi="Arial" w:cs="Arial"/>
              <w:szCs w:val="22"/>
            </w:rPr>
            <w:t>(1989)</w:t>
          </w:r>
          <w:r w:rsidR="00B954C9" w:rsidRPr="00B954C9">
            <w:rPr>
              <w:rFonts w:ascii="Arial" w:eastAsia="Calibri" w:hAnsi="Arial" w:cs="Arial"/>
              <w:szCs w:val="22"/>
            </w:rPr>
            <w:fldChar w:fldCharType="end"/>
          </w:r>
        </w:sdtContent>
      </w:sdt>
      <w:r w:rsidR="00B954C9" w:rsidRPr="00B954C9">
        <w:rPr>
          <w:rFonts w:ascii="Arial" w:eastAsia="Calibri" w:hAnsi="Arial" w:cs="Arial"/>
          <w:szCs w:val="22"/>
          <w:lang w:val="en-GB"/>
        </w:rPr>
        <w:t xml:space="preserve"> identifies parties to property rights negotiations as private claimants, bureaucrats with delegated power from legislators, and politicians directing the state. </w:t>
      </w:r>
      <w:r>
        <w:rPr>
          <w:rFonts w:ascii="Arial" w:eastAsia="Calibri" w:hAnsi="Arial" w:cs="Arial"/>
          <w:szCs w:val="22"/>
          <w:lang w:val="en-GB"/>
        </w:rPr>
        <w:t>T</w:t>
      </w:r>
      <w:r w:rsidR="00B954C9" w:rsidRPr="00B954C9">
        <w:rPr>
          <w:rFonts w:ascii="Arial" w:eastAsia="Calibri" w:hAnsi="Arial" w:cs="Arial"/>
          <w:szCs w:val="22"/>
          <w:lang w:val="en-GB"/>
        </w:rPr>
        <w:t>he property rights are thus determined through agreement between claimants and the privilege of endorsement by the authority in power.</w:t>
      </w:r>
    </w:p>
    <w:p w14:paraId="3BE5A701" w14:textId="77777777" w:rsidR="00C23EBA" w:rsidRPr="00B954C9" w:rsidRDefault="00C23EBA" w:rsidP="008C5EC3">
      <w:pPr>
        <w:pStyle w:val="Body"/>
        <w:spacing w:after="0" w:line="480" w:lineRule="auto"/>
        <w:rPr>
          <w:rFonts w:ascii="Arial" w:eastAsia="Calibri" w:hAnsi="Arial" w:cs="Arial"/>
          <w:szCs w:val="22"/>
          <w:lang w:val="en-GB"/>
        </w:rPr>
      </w:pPr>
    </w:p>
    <w:p w14:paraId="7444A02F" w14:textId="77777777" w:rsidR="00B954C9" w:rsidRDefault="00B954C9" w:rsidP="008C5EC3">
      <w:pPr>
        <w:pStyle w:val="Body"/>
        <w:spacing w:after="0" w:line="480" w:lineRule="auto"/>
        <w:rPr>
          <w:rFonts w:ascii="Arial" w:eastAsia="Calibri" w:hAnsi="Arial" w:cs="Arial"/>
          <w:szCs w:val="22"/>
        </w:rPr>
      </w:pPr>
      <w:r w:rsidRPr="00B954C9">
        <w:rPr>
          <w:rFonts w:ascii="Arial" w:eastAsia="Calibri" w:hAnsi="Arial" w:cs="Arial"/>
          <w:szCs w:val="22"/>
        </w:rPr>
        <w:t xml:space="preserve">Snare </w:t>
      </w:r>
      <w:sdt>
        <w:sdtPr>
          <w:rPr>
            <w:rFonts w:ascii="Arial" w:eastAsia="Calibri" w:hAnsi="Arial" w:cs="Arial"/>
            <w:szCs w:val="22"/>
          </w:rPr>
          <w:id w:val="-708723680"/>
          <w:citation/>
        </w:sdtPr>
        <w:sdtEndPr/>
        <w:sdtContent>
          <w:r w:rsidRPr="00B954C9">
            <w:rPr>
              <w:rFonts w:ascii="Arial" w:eastAsia="Calibri" w:hAnsi="Arial" w:cs="Arial"/>
              <w:szCs w:val="22"/>
            </w:rPr>
            <w:fldChar w:fldCharType="begin"/>
          </w:r>
          <w:r w:rsidR="005A6704">
            <w:rPr>
              <w:rFonts w:ascii="Arial" w:eastAsia="Calibri" w:hAnsi="Arial" w:cs="Arial"/>
              <w:szCs w:val="22"/>
            </w:rPr>
            <w:instrText xml:space="preserve">CITATION Sna72 \n  \t  \l 1033 </w:instrText>
          </w:r>
          <w:r w:rsidRPr="00B954C9">
            <w:rPr>
              <w:rFonts w:ascii="Arial" w:eastAsia="Calibri" w:hAnsi="Arial" w:cs="Arial"/>
              <w:szCs w:val="22"/>
            </w:rPr>
            <w:fldChar w:fldCharType="separate"/>
          </w:r>
          <w:r w:rsidR="005A6704" w:rsidRPr="005A6704">
            <w:rPr>
              <w:rFonts w:ascii="Arial" w:eastAsia="Calibri" w:hAnsi="Arial" w:cs="Arial"/>
              <w:noProof/>
              <w:szCs w:val="22"/>
            </w:rPr>
            <w:t>(1972)</w:t>
          </w:r>
          <w:r w:rsidRPr="00B954C9">
            <w:rPr>
              <w:rFonts w:ascii="Arial" w:eastAsia="Calibri" w:hAnsi="Arial" w:cs="Arial"/>
              <w:szCs w:val="22"/>
            </w:rPr>
            <w:fldChar w:fldCharType="end"/>
          </w:r>
        </w:sdtContent>
      </w:sdt>
      <w:r w:rsidR="00882C60">
        <w:rPr>
          <w:rFonts w:ascii="Arial" w:eastAsia="Calibri" w:hAnsi="Arial" w:cs="Arial"/>
          <w:szCs w:val="22"/>
        </w:rPr>
        <w:t xml:space="preserve"> presented six </w:t>
      </w:r>
      <w:r w:rsidRPr="00B954C9">
        <w:rPr>
          <w:rFonts w:ascii="Arial" w:eastAsia="Calibri" w:hAnsi="Arial" w:cs="Arial"/>
          <w:szCs w:val="22"/>
        </w:rPr>
        <w:t xml:space="preserve">rules </w:t>
      </w:r>
      <w:r w:rsidR="00882C60">
        <w:rPr>
          <w:rFonts w:ascii="Arial" w:eastAsia="Calibri" w:hAnsi="Arial" w:cs="Arial"/>
          <w:szCs w:val="22"/>
        </w:rPr>
        <w:t>with regard to ownership:</w:t>
      </w:r>
      <w:r w:rsidRPr="00B954C9">
        <w:rPr>
          <w:rFonts w:ascii="Arial" w:eastAsia="Calibri" w:hAnsi="Arial" w:cs="Arial"/>
          <w:szCs w:val="22"/>
        </w:rPr>
        <w:t xml:space="preserve"> The right to use, right of exclusion, right of transfer, punishment rules, damage rules, and liability rules. The right holder has the privilege of implementing these rules on his/her property, and duty bearers are bound by social and state laws to respect. </w:t>
      </w:r>
      <w:r w:rsidR="002B365D">
        <w:rPr>
          <w:rFonts w:ascii="Arial" w:eastAsia="Calibri" w:hAnsi="Arial" w:cs="Arial"/>
          <w:szCs w:val="22"/>
        </w:rPr>
        <w:t>A</w:t>
      </w:r>
      <w:r w:rsidR="002B365D" w:rsidRPr="002B365D">
        <w:rPr>
          <w:rFonts w:ascii="Arial" w:eastAsia="Calibri" w:hAnsi="Arial" w:cs="Arial"/>
          <w:szCs w:val="22"/>
        </w:rPr>
        <w:t>ccording to John Locke (1632 – 1704),</w:t>
      </w:r>
      <w:r w:rsidR="00E17361" w:rsidRPr="00E17361">
        <w:rPr>
          <w:rFonts w:ascii="Arial" w:eastAsia="Calibri" w:hAnsi="Arial" w:cs="Arial"/>
          <w:szCs w:val="22"/>
        </w:rPr>
        <w:t xml:space="preserve"> punishment rule</w:t>
      </w:r>
      <w:r w:rsidR="002B365D">
        <w:rPr>
          <w:rFonts w:ascii="Arial" w:eastAsia="Calibri" w:hAnsi="Arial" w:cs="Arial"/>
          <w:szCs w:val="22"/>
        </w:rPr>
        <w:t xml:space="preserve"> </w:t>
      </w:r>
      <w:r w:rsidR="00E17361" w:rsidRPr="00E17361">
        <w:rPr>
          <w:rFonts w:ascii="Arial" w:eastAsia="Calibri" w:hAnsi="Arial" w:cs="Arial"/>
          <w:szCs w:val="22"/>
        </w:rPr>
        <w:t>is surrendered to the state in a civil society</w:t>
      </w:r>
      <w:sdt>
        <w:sdtPr>
          <w:rPr>
            <w:rFonts w:ascii="Arial" w:eastAsia="Calibri" w:hAnsi="Arial" w:cs="Arial"/>
            <w:szCs w:val="22"/>
          </w:rPr>
          <w:id w:val="641086895"/>
          <w:citation/>
        </w:sdtPr>
        <w:sdtEndPr/>
        <w:sdtContent>
          <w:r w:rsidR="00E17361" w:rsidRPr="00E17361">
            <w:rPr>
              <w:rFonts w:ascii="Arial" w:eastAsia="Calibri" w:hAnsi="Arial" w:cs="Arial"/>
              <w:szCs w:val="22"/>
            </w:rPr>
            <w:fldChar w:fldCharType="begin"/>
          </w:r>
          <w:r w:rsidR="00E17361" w:rsidRPr="00E17361">
            <w:rPr>
              <w:rFonts w:ascii="Arial" w:eastAsia="Calibri" w:hAnsi="Arial" w:cs="Arial"/>
              <w:szCs w:val="22"/>
            </w:rPr>
            <w:instrText xml:space="preserve">CITATION Sna72 \l 1033 </w:instrText>
          </w:r>
          <w:r w:rsidR="00E17361" w:rsidRPr="00E17361">
            <w:rPr>
              <w:rFonts w:ascii="Arial" w:eastAsia="Calibri" w:hAnsi="Arial" w:cs="Arial"/>
              <w:szCs w:val="22"/>
            </w:rPr>
            <w:fldChar w:fldCharType="separate"/>
          </w:r>
          <w:r w:rsidR="00E17361" w:rsidRPr="00E17361">
            <w:rPr>
              <w:rFonts w:ascii="Arial" w:eastAsia="Calibri" w:hAnsi="Arial" w:cs="Arial"/>
              <w:szCs w:val="22"/>
            </w:rPr>
            <w:t xml:space="preserve"> (Snare, 1972)</w:t>
          </w:r>
          <w:r w:rsidR="00E17361" w:rsidRPr="00E17361">
            <w:rPr>
              <w:rFonts w:ascii="Arial" w:eastAsia="Calibri" w:hAnsi="Arial" w:cs="Arial"/>
              <w:szCs w:val="22"/>
            </w:rPr>
            <w:fldChar w:fldCharType="end"/>
          </w:r>
        </w:sdtContent>
      </w:sdt>
      <w:r w:rsidR="00E17361">
        <w:rPr>
          <w:rFonts w:ascii="Arial" w:eastAsia="Calibri" w:hAnsi="Arial" w:cs="Arial"/>
          <w:szCs w:val="22"/>
        </w:rPr>
        <w:t>.</w:t>
      </w:r>
      <w:r w:rsidR="00E17361" w:rsidRPr="00E17361">
        <w:rPr>
          <w:rFonts w:ascii="Arial" w:eastAsia="Calibri" w:hAnsi="Arial" w:cs="Arial"/>
          <w:szCs w:val="22"/>
        </w:rPr>
        <w:t xml:space="preserve"> According to this view, the state has an obligation to monitor and punish violators of the social convention to protect private property rights.</w:t>
      </w:r>
      <w:r w:rsidR="00E17361">
        <w:rPr>
          <w:rFonts w:ascii="Arial" w:eastAsia="Calibri" w:hAnsi="Arial" w:cs="Arial"/>
          <w:szCs w:val="22"/>
        </w:rPr>
        <w:t xml:space="preserve"> </w:t>
      </w:r>
      <w:r w:rsidRPr="00B954C9">
        <w:rPr>
          <w:rFonts w:ascii="Arial" w:eastAsia="Calibri" w:hAnsi="Arial" w:cs="Arial"/>
          <w:szCs w:val="22"/>
        </w:rPr>
        <w:t xml:space="preserve">Violation of </w:t>
      </w:r>
      <w:r w:rsidR="00E17361">
        <w:rPr>
          <w:rFonts w:ascii="Arial" w:eastAsia="Calibri" w:hAnsi="Arial" w:cs="Arial"/>
          <w:szCs w:val="22"/>
        </w:rPr>
        <w:t xml:space="preserve">any of </w:t>
      </w:r>
      <w:r w:rsidRPr="00B954C9">
        <w:rPr>
          <w:rFonts w:ascii="Arial" w:eastAsia="Calibri" w:hAnsi="Arial" w:cs="Arial"/>
          <w:szCs w:val="22"/>
        </w:rPr>
        <w:t>these rules by duty bearers results in strong protest by the right holders and hence a conflict between the interested parties. But as shall be noted, sometimes there is disagreement on who the right holders and duty bearers are.</w:t>
      </w:r>
    </w:p>
    <w:p w14:paraId="07C22E94" w14:textId="77777777" w:rsidR="00E17361" w:rsidRDefault="00E17361" w:rsidP="008C5EC3">
      <w:pPr>
        <w:pStyle w:val="Body"/>
        <w:spacing w:after="0" w:line="480" w:lineRule="auto"/>
        <w:rPr>
          <w:rFonts w:ascii="Arial" w:eastAsia="Calibri" w:hAnsi="Arial" w:cs="Arial"/>
          <w:szCs w:val="22"/>
        </w:rPr>
      </w:pPr>
    </w:p>
    <w:p w14:paraId="3F818EDA" w14:textId="77777777" w:rsidR="00CF056C" w:rsidRPr="00CF056C" w:rsidRDefault="00B954C9" w:rsidP="00CF056C">
      <w:pPr>
        <w:pStyle w:val="Body"/>
        <w:spacing w:line="480" w:lineRule="auto"/>
        <w:rPr>
          <w:rFonts w:ascii="Arial" w:eastAsia="Calibri" w:hAnsi="Arial" w:cs="Arial"/>
          <w:szCs w:val="22"/>
          <w:lang w:val="en-GB"/>
        </w:rPr>
      </w:pPr>
      <w:r w:rsidRPr="00B954C9">
        <w:rPr>
          <w:rFonts w:ascii="Arial" w:eastAsia="Calibri" w:hAnsi="Arial" w:cs="Arial"/>
          <w:szCs w:val="22"/>
        </w:rPr>
        <w:t xml:space="preserve">The Tanzania </w:t>
      </w:r>
      <w:r w:rsidR="008815C9">
        <w:rPr>
          <w:rFonts w:ascii="Arial" w:eastAsia="Calibri" w:hAnsi="Arial" w:cs="Arial"/>
          <w:szCs w:val="22"/>
        </w:rPr>
        <w:t>institutional framework protects</w:t>
      </w:r>
      <w:r w:rsidRPr="00B954C9">
        <w:rPr>
          <w:rFonts w:ascii="Arial" w:eastAsia="Calibri" w:hAnsi="Arial" w:cs="Arial"/>
          <w:szCs w:val="22"/>
        </w:rPr>
        <w:t xml:space="preserve"> property through a dual tenure system that involves statutory and customary tenure</w:t>
      </w:r>
      <w:sdt>
        <w:sdtPr>
          <w:rPr>
            <w:rFonts w:ascii="Arial" w:eastAsia="Calibri" w:hAnsi="Arial" w:cs="Arial"/>
            <w:szCs w:val="22"/>
          </w:rPr>
          <w:id w:val="2034683699"/>
          <w:citation/>
        </w:sdtPr>
        <w:sdtEndPr/>
        <w:sdtContent>
          <w:r w:rsidRPr="00B954C9">
            <w:rPr>
              <w:rFonts w:ascii="Arial" w:eastAsia="Calibri" w:hAnsi="Arial" w:cs="Arial"/>
              <w:szCs w:val="22"/>
            </w:rPr>
            <w:fldChar w:fldCharType="begin"/>
          </w:r>
          <w:r w:rsidRPr="00B954C9">
            <w:rPr>
              <w:rFonts w:ascii="Arial" w:eastAsia="Calibri" w:hAnsi="Arial" w:cs="Arial"/>
              <w:szCs w:val="22"/>
            </w:rPr>
            <w:instrText xml:space="preserve"> CITATION Joh17 \l 1033 </w:instrText>
          </w:r>
          <w:r w:rsidRPr="00B954C9">
            <w:rPr>
              <w:rFonts w:ascii="Arial" w:eastAsia="Calibri" w:hAnsi="Arial" w:cs="Arial"/>
              <w:szCs w:val="22"/>
            </w:rPr>
            <w:fldChar w:fldCharType="separate"/>
          </w:r>
          <w:r w:rsidRPr="00B954C9">
            <w:rPr>
              <w:rFonts w:ascii="Arial" w:eastAsia="Calibri" w:hAnsi="Arial" w:cs="Arial"/>
              <w:szCs w:val="22"/>
            </w:rPr>
            <w:t xml:space="preserve"> (John &amp; Kabote, 2017)</w:t>
          </w:r>
          <w:r w:rsidRPr="00B954C9">
            <w:rPr>
              <w:rFonts w:ascii="Arial" w:eastAsia="Calibri" w:hAnsi="Arial" w:cs="Arial"/>
              <w:szCs w:val="22"/>
            </w:rPr>
            <w:fldChar w:fldCharType="end"/>
          </w:r>
        </w:sdtContent>
      </w:sdt>
      <w:r w:rsidRPr="00B954C9">
        <w:rPr>
          <w:rFonts w:ascii="Arial" w:eastAsia="Calibri" w:hAnsi="Arial" w:cs="Arial"/>
          <w:szCs w:val="22"/>
        </w:rPr>
        <w:t xml:space="preserve">. These tenure systems sometimes overlap, creating a situation in which the government may fail to protect the interests of property rights holders from both tenure systems. </w:t>
      </w:r>
      <w:r w:rsidR="00CF056C" w:rsidRPr="00CF056C">
        <w:rPr>
          <w:rFonts w:ascii="Arial" w:eastAsia="Calibri" w:hAnsi="Arial" w:cs="Arial"/>
          <w:szCs w:val="22"/>
          <w:lang w:val="en-GB"/>
        </w:rPr>
        <w:t xml:space="preserve">For this paper, the combined lenses of property-rights theory and conflict frameworks help explain why overlapping tenure systems, centralised authority, and ambiguous compensation rules generate persistent </w:t>
      </w:r>
      <w:r w:rsidR="00CF056C">
        <w:rPr>
          <w:rFonts w:ascii="Arial" w:eastAsia="Calibri" w:hAnsi="Arial" w:cs="Arial"/>
          <w:szCs w:val="22"/>
          <w:lang w:val="en-GB"/>
        </w:rPr>
        <w:t>tensions</w:t>
      </w:r>
      <w:r w:rsidR="00CF056C" w:rsidRPr="00CF056C">
        <w:rPr>
          <w:rFonts w:ascii="Arial" w:eastAsia="Calibri" w:hAnsi="Arial" w:cs="Arial"/>
          <w:szCs w:val="22"/>
          <w:lang w:val="en-GB"/>
        </w:rPr>
        <w:t xml:space="preserve">. </w:t>
      </w:r>
    </w:p>
    <w:p w14:paraId="685205AD" w14:textId="77777777" w:rsidR="00C23EBA" w:rsidRPr="00B954C9" w:rsidRDefault="00C23EBA" w:rsidP="008C5EC3">
      <w:pPr>
        <w:pStyle w:val="Body"/>
        <w:spacing w:after="0" w:line="480" w:lineRule="auto"/>
        <w:rPr>
          <w:rFonts w:ascii="Arial" w:eastAsia="Calibri" w:hAnsi="Arial" w:cs="Arial"/>
          <w:szCs w:val="22"/>
          <w:lang w:val="en-GB"/>
        </w:rPr>
      </w:pPr>
    </w:p>
    <w:p w14:paraId="2DB0BECD" w14:textId="77777777" w:rsidR="00B954C9" w:rsidRDefault="00B954C9" w:rsidP="008C5EC3">
      <w:pPr>
        <w:pStyle w:val="AbstHead"/>
        <w:numPr>
          <w:ilvl w:val="0"/>
          <w:numId w:val="34"/>
        </w:numPr>
        <w:spacing w:after="0" w:line="480" w:lineRule="auto"/>
        <w:jc w:val="both"/>
        <w:rPr>
          <w:rFonts w:ascii="Arial" w:hAnsi="Arial" w:cs="Arial"/>
        </w:rPr>
      </w:pPr>
      <w:r w:rsidRPr="00F349C5">
        <w:rPr>
          <w:rFonts w:ascii="Arial" w:hAnsi="Arial" w:cs="Arial"/>
        </w:rPr>
        <w:t>Policy and Legal Framework</w:t>
      </w:r>
    </w:p>
    <w:p w14:paraId="70948919" w14:textId="77777777" w:rsidR="00C23EBA" w:rsidRPr="00F349C5" w:rsidRDefault="00C23EBA" w:rsidP="008C5EC3">
      <w:pPr>
        <w:pStyle w:val="AbstHead"/>
        <w:spacing w:after="0" w:line="480" w:lineRule="auto"/>
        <w:ind w:left="720"/>
        <w:jc w:val="both"/>
        <w:rPr>
          <w:rFonts w:ascii="Arial" w:hAnsi="Arial" w:cs="Arial"/>
        </w:rPr>
      </w:pPr>
    </w:p>
    <w:p w14:paraId="0D5C80FE" w14:textId="77777777" w:rsidR="00B954C9" w:rsidRDefault="008266E9" w:rsidP="008C5EC3">
      <w:pPr>
        <w:pStyle w:val="Body"/>
        <w:spacing w:after="0" w:line="480" w:lineRule="auto"/>
        <w:rPr>
          <w:rFonts w:ascii="Arial" w:eastAsia="Calibri" w:hAnsi="Arial" w:cs="Arial"/>
          <w:szCs w:val="22"/>
        </w:rPr>
      </w:pPr>
      <w:r w:rsidRPr="008266E9">
        <w:rPr>
          <w:rFonts w:ascii="Arial" w:eastAsia="Calibri" w:hAnsi="Arial" w:cs="Arial"/>
          <w:szCs w:val="22"/>
        </w:rPr>
        <w:t xml:space="preserve">Tanzania’s land governance system is shaped by a complex body of laws, policies, and institutions that collectively determine how rights are allocated and disputes resolved. Historically, the 1923 Land Ordinance vested radical title in the Governor, a principle that was retained after independence and today remains in the hands of the President, who acts as trustee on behalf of all citizens. This concentration of authority has far-reaching implications, as the President may transfer </w:t>
      </w:r>
      <w:r w:rsidRPr="008266E9">
        <w:rPr>
          <w:rFonts w:ascii="Arial" w:eastAsia="Calibri" w:hAnsi="Arial" w:cs="Arial"/>
          <w:szCs w:val="22"/>
        </w:rPr>
        <w:lastRenderedPageBreak/>
        <w:t xml:space="preserve">land between tenure categories and allocate it for investment or other public purposes. </w:t>
      </w:r>
      <w:r w:rsidR="00B954C9" w:rsidRPr="00B954C9">
        <w:rPr>
          <w:rFonts w:ascii="Arial" w:eastAsia="Calibri" w:hAnsi="Arial" w:cs="Arial"/>
          <w:szCs w:val="22"/>
        </w:rPr>
        <w:t xml:space="preserve">The </w:t>
      </w:r>
      <w:r>
        <w:rPr>
          <w:rFonts w:ascii="Arial" w:eastAsia="Calibri" w:hAnsi="Arial" w:cs="Arial"/>
          <w:szCs w:val="22"/>
        </w:rPr>
        <w:t xml:space="preserve">President mainly acts through the </w:t>
      </w:r>
      <w:r w:rsidR="00B954C9" w:rsidRPr="00B954C9">
        <w:rPr>
          <w:rFonts w:ascii="Arial" w:eastAsia="Calibri" w:hAnsi="Arial" w:cs="Arial"/>
          <w:szCs w:val="22"/>
        </w:rPr>
        <w:t xml:space="preserve">Commissioner for Lands </w:t>
      </w:r>
      <w:r>
        <w:rPr>
          <w:rFonts w:ascii="Arial" w:eastAsia="Calibri" w:hAnsi="Arial" w:cs="Arial"/>
          <w:szCs w:val="22"/>
        </w:rPr>
        <w:t xml:space="preserve">who </w:t>
      </w:r>
      <w:r w:rsidR="00B954C9" w:rsidRPr="00B954C9">
        <w:rPr>
          <w:rFonts w:ascii="Arial" w:eastAsia="Calibri" w:hAnsi="Arial" w:cs="Arial"/>
          <w:szCs w:val="22"/>
        </w:rPr>
        <w:t xml:space="preserve">is the focal point of Land Administration to which other high-ranking Land Administration personnel report. </w:t>
      </w:r>
    </w:p>
    <w:p w14:paraId="30CD3BF5" w14:textId="77777777" w:rsidR="00C23EBA" w:rsidRPr="00B954C9" w:rsidRDefault="00C23EBA" w:rsidP="008C5EC3">
      <w:pPr>
        <w:pStyle w:val="Body"/>
        <w:spacing w:after="0" w:line="480" w:lineRule="auto"/>
        <w:rPr>
          <w:rFonts w:ascii="Arial" w:eastAsia="Calibri" w:hAnsi="Arial" w:cs="Arial"/>
          <w:szCs w:val="22"/>
        </w:rPr>
      </w:pPr>
    </w:p>
    <w:p w14:paraId="4C81FBDF" w14:textId="77777777" w:rsidR="00B954C9" w:rsidRDefault="00B954C9" w:rsidP="008C5EC3">
      <w:pPr>
        <w:pStyle w:val="Body"/>
        <w:spacing w:after="0" w:line="480" w:lineRule="auto"/>
        <w:rPr>
          <w:rFonts w:ascii="Arial" w:eastAsia="Calibri" w:hAnsi="Arial" w:cs="Arial"/>
          <w:szCs w:val="22"/>
        </w:rPr>
      </w:pPr>
      <w:r w:rsidRPr="00B954C9">
        <w:rPr>
          <w:rFonts w:ascii="Arial" w:eastAsia="Calibri" w:hAnsi="Arial" w:cs="Arial"/>
          <w:szCs w:val="22"/>
        </w:rPr>
        <w:t>Village land administration is a responsibility of the Village Assembly, which is made up of all adult members of the village. The Village Assembly executes most of its land administration functions through an elected Village Council headed by a chairperson with a Village Exec</w:t>
      </w:r>
      <w:r w:rsidR="008266E9">
        <w:rPr>
          <w:rFonts w:ascii="Arial" w:eastAsia="Calibri" w:hAnsi="Arial" w:cs="Arial"/>
          <w:szCs w:val="22"/>
        </w:rPr>
        <w:t xml:space="preserve">utive Officer as its secretary who </w:t>
      </w:r>
      <w:r w:rsidRPr="00B954C9">
        <w:rPr>
          <w:rFonts w:ascii="Arial" w:eastAsia="Calibri" w:hAnsi="Arial" w:cs="Arial"/>
          <w:szCs w:val="22"/>
        </w:rPr>
        <w:t>is responsible for issuing Customary Certificates of Rights of Occupancy and maintaining the village land registry once land allocation has been approved by the Village Assembly. However, the Commissioner for Lands has overriding powers on decisions made by the Village Assembly.</w:t>
      </w:r>
    </w:p>
    <w:p w14:paraId="31A879FF" w14:textId="77777777" w:rsidR="00C23EBA" w:rsidRPr="00B954C9" w:rsidRDefault="00C23EBA" w:rsidP="008C5EC3">
      <w:pPr>
        <w:pStyle w:val="Body"/>
        <w:spacing w:after="0" w:line="480" w:lineRule="auto"/>
        <w:rPr>
          <w:rFonts w:ascii="Arial" w:eastAsia="Calibri" w:hAnsi="Arial" w:cs="Arial"/>
          <w:szCs w:val="22"/>
        </w:rPr>
      </w:pPr>
    </w:p>
    <w:p w14:paraId="275CF944" w14:textId="77777777" w:rsidR="00C23EBA" w:rsidRDefault="00B954C9" w:rsidP="008266E9">
      <w:pPr>
        <w:pStyle w:val="Body"/>
        <w:spacing w:after="0" w:line="480" w:lineRule="auto"/>
        <w:rPr>
          <w:rFonts w:ascii="Arial" w:eastAsia="Calibri" w:hAnsi="Arial" w:cs="Arial"/>
          <w:szCs w:val="22"/>
          <w:lang w:val="en-GB"/>
        </w:rPr>
      </w:pPr>
      <w:r w:rsidRPr="00B954C9">
        <w:rPr>
          <w:rFonts w:ascii="Arial" w:eastAsia="Calibri" w:hAnsi="Arial" w:cs="Arial"/>
          <w:szCs w:val="22"/>
        </w:rPr>
        <w:t xml:space="preserve">Mainland Tanzania, previously known as Tanganyika, was colonized by the Germans from 1885 to 1918, and then was made a protectorate under British administration after the First World War until its independence in 1961. However, before and throughout the colonial era, the natives mainly held land as per local customs, but such rights to land were not legally acknowledged until 1928, when the state instituted the Deemed Right of Occupancy. </w:t>
      </w:r>
      <w:r w:rsidRPr="00B954C9">
        <w:rPr>
          <w:rFonts w:ascii="Arial" w:eastAsia="Calibri" w:hAnsi="Arial" w:cs="Arial"/>
          <w:szCs w:val="22"/>
          <w:lang w:val="en-GB"/>
        </w:rPr>
        <w:t>Since then, two types of rights of occupancy came into effect: the ‘Granted Right of Occupancy’ granted by the Governor with supportive documents and the ‘Deemed Right of Occupancy’ without any supportive documents for people or groups of people of African descent occupying land as per local customs</w:t>
      </w:r>
      <w:sdt>
        <w:sdtPr>
          <w:rPr>
            <w:rFonts w:ascii="Arial" w:eastAsia="Calibri" w:hAnsi="Arial" w:cs="Arial"/>
            <w:szCs w:val="22"/>
            <w:lang w:val="en-GB"/>
          </w:rPr>
          <w:id w:val="1535148411"/>
          <w:citation/>
        </w:sdtPr>
        <w:sdtEndPr/>
        <w:sdtContent>
          <w:r w:rsidRPr="00B954C9">
            <w:rPr>
              <w:rFonts w:ascii="Arial" w:eastAsia="Calibri" w:hAnsi="Arial" w:cs="Arial"/>
              <w:szCs w:val="22"/>
              <w:lang w:val="en-GB"/>
            </w:rPr>
            <w:fldChar w:fldCharType="begin"/>
          </w:r>
          <w:r w:rsidRPr="00B954C9">
            <w:rPr>
              <w:rFonts w:ascii="Arial" w:eastAsia="Calibri" w:hAnsi="Arial" w:cs="Arial"/>
              <w:szCs w:val="22"/>
            </w:rPr>
            <w:instrText xml:space="preserve"> CITATION Jam73 \l 1033 </w:instrText>
          </w:r>
          <w:r w:rsidRPr="00B954C9">
            <w:rPr>
              <w:rFonts w:ascii="Arial" w:eastAsia="Calibri" w:hAnsi="Arial" w:cs="Arial"/>
              <w:szCs w:val="22"/>
              <w:lang w:val="en-GB"/>
            </w:rPr>
            <w:fldChar w:fldCharType="separate"/>
          </w:r>
          <w:r w:rsidRPr="00B954C9">
            <w:rPr>
              <w:rFonts w:ascii="Arial" w:eastAsia="Calibri" w:hAnsi="Arial" w:cs="Arial"/>
              <w:szCs w:val="22"/>
            </w:rPr>
            <w:t xml:space="preserve"> (James &amp; Fimbo, 1973)</w:t>
          </w:r>
          <w:r w:rsidRPr="00B954C9">
            <w:rPr>
              <w:rFonts w:ascii="Arial" w:eastAsia="Calibri" w:hAnsi="Arial" w:cs="Arial"/>
              <w:szCs w:val="22"/>
            </w:rPr>
            <w:fldChar w:fldCharType="end"/>
          </w:r>
        </w:sdtContent>
      </w:sdt>
      <w:r w:rsidRPr="00B954C9">
        <w:rPr>
          <w:rFonts w:ascii="Arial" w:eastAsia="Calibri" w:hAnsi="Arial" w:cs="Arial"/>
          <w:szCs w:val="22"/>
          <w:lang w:val="en-GB"/>
        </w:rPr>
        <w:t xml:space="preserve">. The acknowledgment of the ‘Deemed Right of Occupancy’ effectively gave Tanganyika a dual land tenure system, which has remained operational to the present day. </w:t>
      </w:r>
    </w:p>
    <w:p w14:paraId="34D36013" w14:textId="77777777" w:rsidR="00B954C9" w:rsidRPr="00B954C9" w:rsidRDefault="00B954C9" w:rsidP="008C5EC3">
      <w:pPr>
        <w:pStyle w:val="Body"/>
        <w:spacing w:after="0" w:line="480" w:lineRule="auto"/>
        <w:rPr>
          <w:rFonts w:ascii="Arial" w:eastAsia="Calibri" w:hAnsi="Arial" w:cs="Arial"/>
          <w:szCs w:val="22"/>
          <w:lang w:val="en-GB"/>
        </w:rPr>
      </w:pPr>
    </w:p>
    <w:p w14:paraId="2C197F7D" w14:textId="77777777" w:rsidR="00B954C9" w:rsidRDefault="00B954C9" w:rsidP="008C5EC3">
      <w:pPr>
        <w:pStyle w:val="Body"/>
        <w:spacing w:after="0" w:line="480" w:lineRule="auto"/>
        <w:rPr>
          <w:rFonts w:ascii="Arial" w:eastAsia="Calibri" w:hAnsi="Arial" w:cs="Arial"/>
          <w:szCs w:val="22"/>
          <w:lang w:val="en-GB"/>
        </w:rPr>
      </w:pPr>
      <w:r w:rsidRPr="00B954C9">
        <w:rPr>
          <w:rFonts w:ascii="Arial" w:eastAsia="Calibri" w:hAnsi="Arial" w:cs="Arial"/>
          <w:szCs w:val="22"/>
          <w:lang w:val="en-GB"/>
        </w:rPr>
        <w:t>Tanzania adopted ‘Ujamaa Policy’ as a form of African Socialism in 1967. The policy required citizens to work together for the common good. In rural areas, this was achieved by having collective farms that were worked upon by all adult members of the village. However, the rural population by then mostly lived in scattered homesteads, and in such circumstances, having collective farms was impractical, so the government decided to resettle the rural population in Ujamaa Villages. The Villagisation program was voluntary between 1968 and 1972, but from 1973, the government wanted to speed up the process and made resettlement compulsory up to 1976</w:t>
      </w:r>
      <w:sdt>
        <w:sdtPr>
          <w:rPr>
            <w:rFonts w:ascii="Arial" w:eastAsia="Calibri" w:hAnsi="Arial" w:cs="Arial"/>
            <w:szCs w:val="22"/>
            <w:lang w:val="en-GB"/>
          </w:rPr>
          <w:id w:val="-1245174800"/>
          <w:citation/>
        </w:sdtPr>
        <w:sdtEndPr/>
        <w:sdtContent>
          <w:r w:rsidRPr="00B954C9">
            <w:rPr>
              <w:rFonts w:ascii="Arial" w:eastAsia="Calibri" w:hAnsi="Arial" w:cs="Arial"/>
              <w:szCs w:val="22"/>
              <w:lang w:val="en-GB"/>
            </w:rPr>
            <w:fldChar w:fldCharType="begin"/>
          </w:r>
          <w:r w:rsidRPr="00B954C9">
            <w:rPr>
              <w:rFonts w:ascii="Arial" w:eastAsia="Calibri" w:hAnsi="Arial" w:cs="Arial"/>
              <w:szCs w:val="22"/>
            </w:rPr>
            <w:instrText xml:space="preserve"> CITATION Mag11 \l 1033 </w:instrText>
          </w:r>
          <w:r w:rsidRPr="00B954C9">
            <w:rPr>
              <w:rFonts w:ascii="Arial" w:eastAsia="Calibri" w:hAnsi="Arial" w:cs="Arial"/>
              <w:szCs w:val="22"/>
              <w:lang w:val="en-GB"/>
            </w:rPr>
            <w:fldChar w:fldCharType="separate"/>
          </w:r>
          <w:r w:rsidRPr="00B954C9">
            <w:rPr>
              <w:rFonts w:ascii="Arial" w:eastAsia="Calibri" w:hAnsi="Arial" w:cs="Arial"/>
              <w:szCs w:val="22"/>
            </w:rPr>
            <w:t xml:space="preserve"> (Maghimbi, Lokina, &amp; Senga, 2011)</w:t>
          </w:r>
          <w:r w:rsidRPr="00B954C9">
            <w:rPr>
              <w:rFonts w:ascii="Arial" w:eastAsia="Calibri" w:hAnsi="Arial" w:cs="Arial"/>
              <w:szCs w:val="22"/>
            </w:rPr>
            <w:fldChar w:fldCharType="end"/>
          </w:r>
        </w:sdtContent>
      </w:sdt>
      <w:r w:rsidRPr="00B954C9">
        <w:rPr>
          <w:rFonts w:ascii="Arial" w:eastAsia="Calibri" w:hAnsi="Arial" w:cs="Arial"/>
          <w:szCs w:val="22"/>
          <w:lang w:val="en-GB"/>
        </w:rPr>
        <w:t>.</w:t>
      </w:r>
    </w:p>
    <w:p w14:paraId="693C95EE" w14:textId="77777777" w:rsidR="00C23EBA" w:rsidRPr="00B954C9" w:rsidRDefault="00C23EBA" w:rsidP="008C5EC3">
      <w:pPr>
        <w:pStyle w:val="Body"/>
        <w:spacing w:after="0" w:line="480" w:lineRule="auto"/>
        <w:rPr>
          <w:rFonts w:ascii="Arial" w:eastAsia="Calibri" w:hAnsi="Arial" w:cs="Arial"/>
          <w:szCs w:val="22"/>
          <w:lang w:val="en-GB"/>
        </w:rPr>
      </w:pPr>
    </w:p>
    <w:p w14:paraId="5450BC27" w14:textId="77777777" w:rsidR="00B954C9" w:rsidRDefault="00B954C9" w:rsidP="008C5EC3">
      <w:pPr>
        <w:pStyle w:val="Body"/>
        <w:spacing w:after="0" w:line="480" w:lineRule="auto"/>
        <w:rPr>
          <w:rFonts w:ascii="Arial" w:eastAsia="Calibri" w:hAnsi="Arial" w:cs="Arial"/>
          <w:szCs w:val="22"/>
          <w:lang w:val="en-GB"/>
        </w:rPr>
      </w:pPr>
      <w:r w:rsidRPr="00B954C9">
        <w:rPr>
          <w:rFonts w:ascii="Arial" w:eastAsia="Calibri" w:hAnsi="Arial" w:cs="Arial"/>
          <w:szCs w:val="22"/>
          <w:lang w:val="en-GB"/>
        </w:rPr>
        <w:t>By the mid-1980s, Tanzania was changing its course by adopting Structural Adjustment Programs to build a market economy, gradually distancing itself from Ujamaa policies. The collapse of Ujamaa meant more people tried to return to their ancestral lands, exacerbating the insecurity of tenure.</w:t>
      </w:r>
      <w:r w:rsidR="008266E9">
        <w:rPr>
          <w:rFonts w:ascii="Arial" w:eastAsia="Calibri" w:hAnsi="Arial" w:cs="Arial"/>
          <w:szCs w:val="22"/>
          <w:lang w:val="en-GB"/>
        </w:rPr>
        <w:t xml:space="preserve"> </w:t>
      </w:r>
      <w:r w:rsidRPr="00B954C9">
        <w:rPr>
          <w:rFonts w:ascii="Arial" w:eastAsia="Calibri" w:hAnsi="Arial" w:cs="Arial"/>
          <w:szCs w:val="22"/>
          <w:lang w:val="en-GB"/>
        </w:rPr>
        <w:t xml:space="preserve">In 1992, the Regulation of Land Tenure (Establish Villages) Act No. 22 was enacted. The Act sought to extinguish without compensation all pre-villagisation customary rights and restrict </w:t>
      </w:r>
      <w:r w:rsidRPr="00B954C9">
        <w:rPr>
          <w:rFonts w:ascii="Arial" w:eastAsia="Calibri" w:hAnsi="Arial" w:cs="Arial"/>
          <w:szCs w:val="22"/>
          <w:lang w:val="en-GB"/>
        </w:rPr>
        <w:lastRenderedPageBreak/>
        <w:t xml:space="preserve">access to courts for former owners </w:t>
      </w:r>
      <w:sdt>
        <w:sdtPr>
          <w:rPr>
            <w:rFonts w:ascii="Arial" w:eastAsia="Calibri" w:hAnsi="Arial" w:cs="Arial"/>
            <w:szCs w:val="22"/>
            <w:lang w:val="en-GB"/>
          </w:rPr>
          <w:id w:val="659584542"/>
          <w:citation/>
        </w:sdtPr>
        <w:sdtEndPr/>
        <w:sdtContent>
          <w:r w:rsidRPr="00B954C9">
            <w:rPr>
              <w:rFonts w:ascii="Arial" w:eastAsia="Calibri" w:hAnsi="Arial" w:cs="Arial"/>
              <w:szCs w:val="22"/>
              <w:lang w:val="en-GB"/>
            </w:rPr>
            <w:fldChar w:fldCharType="begin"/>
          </w:r>
          <w:r w:rsidRPr="00B954C9">
            <w:rPr>
              <w:rFonts w:ascii="Arial" w:eastAsia="Calibri" w:hAnsi="Arial" w:cs="Arial"/>
              <w:szCs w:val="22"/>
            </w:rPr>
            <w:instrText xml:space="preserve">CITATION Col95 \m Shi98 \t  \l 1033 </w:instrText>
          </w:r>
          <w:r w:rsidRPr="00B954C9">
            <w:rPr>
              <w:rFonts w:ascii="Arial" w:eastAsia="Calibri" w:hAnsi="Arial" w:cs="Arial"/>
              <w:szCs w:val="22"/>
              <w:lang w:val="en-GB"/>
            </w:rPr>
            <w:fldChar w:fldCharType="separate"/>
          </w:r>
          <w:r w:rsidRPr="00B954C9">
            <w:rPr>
              <w:rFonts w:ascii="Arial" w:eastAsia="Calibri" w:hAnsi="Arial" w:cs="Arial"/>
              <w:szCs w:val="22"/>
            </w:rPr>
            <w:t>(Coldham, 1995; Shivji, 1998)</w:t>
          </w:r>
          <w:r w:rsidRPr="00B954C9">
            <w:rPr>
              <w:rFonts w:ascii="Arial" w:eastAsia="Calibri" w:hAnsi="Arial" w:cs="Arial"/>
              <w:szCs w:val="22"/>
            </w:rPr>
            <w:fldChar w:fldCharType="end"/>
          </w:r>
        </w:sdtContent>
      </w:sdt>
      <w:r w:rsidRPr="00B954C9">
        <w:rPr>
          <w:rFonts w:ascii="Arial" w:eastAsia="Calibri" w:hAnsi="Arial" w:cs="Arial"/>
          <w:szCs w:val="22"/>
          <w:lang w:val="en-GB"/>
        </w:rPr>
        <w:t xml:space="preserve">. Granted Rights of Occupancy were not affected by the Regulation of Land Tenure Act </w:t>
      </w:r>
      <w:sdt>
        <w:sdtPr>
          <w:rPr>
            <w:rFonts w:ascii="Arial" w:eastAsia="Calibri" w:hAnsi="Arial" w:cs="Arial"/>
            <w:szCs w:val="22"/>
            <w:lang w:val="en-GB"/>
          </w:rPr>
          <w:id w:val="-911919777"/>
          <w:citation/>
        </w:sdtPr>
        <w:sdtEndPr/>
        <w:sdtContent>
          <w:r w:rsidRPr="00B954C9">
            <w:rPr>
              <w:rFonts w:ascii="Arial" w:eastAsia="Calibri" w:hAnsi="Arial" w:cs="Arial"/>
              <w:szCs w:val="22"/>
              <w:lang w:val="en-GB"/>
            </w:rPr>
            <w:fldChar w:fldCharType="begin"/>
          </w:r>
          <w:r w:rsidRPr="00B954C9">
            <w:rPr>
              <w:rFonts w:ascii="Arial" w:eastAsia="Calibri" w:hAnsi="Arial" w:cs="Arial"/>
              <w:szCs w:val="22"/>
            </w:rPr>
            <w:instrText xml:space="preserve"> CITATION Col95 \l 1033 </w:instrText>
          </w:r>
          <w:r w:rsidRPr="00B954C9">
            <w:rPr>
              <w:rFonts w:ascii="Arial" w:eastAsia="Calibri" w:hAnsi="Arial" w:cs="Arial"/>
              <w:szCs w:val="22"/>
              <w:lang w:val="en-GB"/>
            </w:rPr>
            <w:fldChar w:fldCharType="separate"/>
          </w:r>
          <w:r w:rsidRPr="00B954C9">
            <w:rPr>
              <w:rFonts w:ascii="Arial" w:eastAsia="Calibri" w:hAnsi="Arial" w:cs="Arial"/>
              <w:szCs w:val="22"/>
            </w:rPr>
            <w:t>(Coldham, 1995)</w:t>
          </w:r>
          <w:r w:rsidRPr="00B954C9">
            <w:rPr>
              <w:rFonts w:ascii="Arial" w:eastAsia="Calibri" w:hAnsi="Arial" w:cs="Arial"/>
              <w:szCs w:val="22"/>
            </w:rPr>
            <w:fldChar w:fldCharType="end"/>
          </w:r>
        </w:sdtContent>
      </w:sdt>
      <w:r w:rsidRPr="00B954C9">
        <w:rPr>
          <w:rFonts w:ascii="Arial" w:eastAsia="Calibri" w:hAnsi="Arial" w:cs="Arial"/>
          <w:szCs w:val="22"/>
          <w:lang w:val="en-GB"/>
        </w:rPr>
        <w:t xml:space="preserve">. The Act was challenged in court and declared unconstitutional by the High Court. The government appealed against the High Court ruling, but the Court of Appeal upheld the ruling because the extinction of customary rights was against the right to private property as enshrined in Article 24 of the Tanzania Constitution </w:t>
      </w:r>
      <w:sdt>
        <w:sdtPr>
          <w:rPr>
            <w:rFonts w:ascii="Arial" w:eastAsia="Calibri" w:hAnsi="Arial" w:cs="Arial"/>
            <w:szCs w:val="22"/>
            <w:lang w:val="en-GB"/>
          </w:rPr>
          <w:id w:val="1039867849"/>
          <w:citation/>
        </w:sdtPr>
        <w:sdtEndPr/>
        <w:sdtContent>
          <w:r w:rsidRPr="00B954C9">
            <w:rPr>
              <w:rFonts w:ascii="Arial" w:eastAsia="Calibri" w:hAnsi="Arial" w:cs="Arial"/>
              <w:szCs w:val="22"/>
              <w:lang w:val="en-GB"/>
            </w:rPr>
            <w:fldChar w:fldCharType="begin"/>
          </w:r>
          <w:r w:rsidRPr="00B954C9">
            <w:rPr>
              <w:rFonts w:ascii="Arial" w:eastAsia="Calibri" w:hAnsi="Arial" w:cs="Arial"/>
              <w:szCs w:val="22"/>
            </w:rPr>
            <w:instrText xml:space="preserve"> CITATION Col95 \l 1033 </w:instrText>
          </w:r>
          <w:r w:rsidRPr="00B954C9">
            <w:rPr>
              <w:rFonts w:ascii="Arial" w:eastAsia="Calibri" w:hAnsi="Arial" w:cs="Arial"/>
              <w:szCs w:val="22"/>
              <w:lang w:val="en-GB"/>
            </w:rPr>
            <w:fldChar w:fldCharType="separate"/>
          </w:r>
          <w:r w:rsidRPr="00B954C9">
            <w:rPr>
              <w:rFonts w:ascii="Arial" w:eastAsia="Calibri" w:hAnsi="Arial" w:cs="Arial"/>
              <w:szCs w:val="22"/>
            </w:rPr>
            <w:t>(Coldham, 1995)</w:t>
          </w:r>
          <w:r w:rsidRPr="00B954C9">
            <w:rPr>
              <w:rFonts w:ascii="Arial" w:eastAsia="Calibri" w:hAnsi="Arial" w:cs="Arial"/>
              <w:szCs w:val="22"/>
            </w:rPr>
            <w:fldChar w:fldCharType="end"/>
          </w:r>
        </w:sdtContent>
      </w:sdt>
      <w:r w:rsidRPr="00B954C9">
        <w:rPr>
          <w:rFonts w:ascii="Arial" w:eastAsia="Calibri" w:hAnsi="Arial" w:cs="Arial"/>
          <w:szCs w:val="22"/>
          <w:lang w:val="en-GB"/>
        </w:rPr>
        <w:t>.</w:t>
      </w:r>
    </w:p>
    <w:p w14:paraId="384F0533" w14:textId="77777777" w:rsidR="00C23EBA" w:rsidRPr="00B954C9" w:rsidRDefault="00C23EBA" w:rsidP="008C5EC3">
      <w:pPr>
        <w:pStyle w:val="Body"/>
        <w:spacing w:after="0" w:line="480" w:lineRule="auto"/>
        <w:rPr>
          <w:rFonts w:ascii="Arial" w:eastAsia="Calibri" w:hAnsi="Arial" w:cs="Arial"/>
          <w:szCs w:val="22"/>
          <w:lang w:val="en-GB"/>
        </w:rPr>
      </w:pPr>
    </w:p>
    <w:p w14:paraId="4A8757FC" w14:textId="77777777" w:rsidR="00B954C9" w:rsidRDefault="00B954C9" w:rsidP="008C5EC3">
      <w:pPr>
        <w:pStyle w:val="Body"/>
        <w:spacing w:after="0" w:line="480" w:lineRule="auto"/>
        <w:rPr>
          <w:rFonts w:ascii="Arial" w:eastAsia="Calibri" w:hAnsi="Arial" w:cs="Arial"/>
          <w:szCs w:val="22"/>
        </w:rPr>
      </w:pPr>
      <w:r w:rsidRPr="00B954C9">
        <w:rPr>
          <w:rFonts w:ascii="Arial" w:eastAsia="Calibri" w:hAnsi="Arial" w:cs="Arial"/>
          <w:szCs w:val="22"/>
        </w:rPr>
        <w:t>The competing interests between parties claiming interests in land increased as more people claimed their former pre-</w:t>
      </w:r>
      <w:proofErr w:type="spellStart"/>
      <w:r w:rsidRPr="00B954C9">
        <w:rPr>
          <w:rFonts w:ascii="Arial" w:eastAsia="Calibri" w:hAnsi="Arial" w:cs="Arial"/>
          <w:szCs w:val="22"/>
        </w:rPr>
        <w:t>villagisation</w:t>
      </w:r>
      <w:proofErr w:type="spellEnd"/>
      <w:r w:rsidRPr="00B954C9">
        <w:rPr>
          <w:rFonts w:ascii="Arial" w:eastAsia="Calibri" w:hAnsi="Arial" w:cs="Arial"/>
          <w:szCs w:val="22"/>
        </w:rPr>
        <w:t xml:space="preserve"> lands. Land conflicts became more frequent, and insecurity of tenure persisted. To address these issues, the government established a Presidential Land Commission (Shivji Commission) in 1992 to research and advise the government on the nation's land matters</w:t>
      </w:r>
      <w:sdt>
        <w:sdtPr>
          <w:rPr>
            <w:rFonts w:ascii="Arial" w:eastAsia="Calibri" w:hAnsi="Arial" w:cs="Arial"/>
            <w:szCs w:val="22"/>
          </w:rPr>
          <w:id w:val="92134275"/>
          <w:citation/>
        </w:sdtPr>
        <w:sdtEndPr/>
        <w:sdtContent>
          <w:r w:rsidRPr="00B954C9">
            <w:rPr>
              <w:rFonts w:ascii="Arial" w:eastAsia="Calibri" w:hAnsi="Arial" w:cs="Arial"/>
              <w:szCs w:val="22"/>
            </w:rPr>
            <w:fldChar w:fldCharType="begin"/>
          </w:r>
          <w:r w:rsidRPr="00B954C9">
            <w:rPr>
              <w:rFonts w:ascii="Arial" w:eastAsia="Calibri" w:hAnsi="Arial" w:cs="Arial"/>
              <w:szCs w:val="22"/>
            </w:rPr>
            <w:instrText xml:space="preserve"> CITATION Arc16 \l 1033 </w:instrText>
          </w:r>
          <w:r w:rsidRPr="00B954C9">
            <w:rPr>
              <w:rFonts w:ascii="Arial" w:eastAsia="Calibri" w:hAnsi="Arial" w:cs="Arial"/>
              <w:szCs w:val="22"/>
            </w:rPr>
            <w:fldChar w:fldCharType="separate"/>
          </w:r>
          <w:r w:rsidRPr="00B954C9">
            <w:rPr>
              <w:rFonts w:ascii="Arial" w:eastAsia="Calibri" w:hAnsi="Arial" w:cs="Arial"/>
              <w:szCs w:val="22"/>
            </w:rPr>
            <w:t xml:space="preserve"> (Archterberg-Boness, 2016)</w:t>
          </w:r>
          <w:r w:rsidRPr="00B954C9">
            <w:rPr>
              <w:rFonts w:ascii="Arial" w:eastAsia="Calibri" w:hAnsi="Arial" w:cs="Arial"/>
              <w:szCs w:val="22"/>
            </w:rPr>
            <w:fldChar w:fldCharType="end"/>
          </w:r>
        </w:sdtContent>
      </w:sdt>
      <w:r w:rsidRPr="00B954C9">
        <w:rPr>
          <w:rFonts w:ascii="Arial" w:eastAsia="Calibri" w:hAnsi="Arial" w:cs="Arial"/>
          <w:szCs w:val="22"/>
        </w:rPr>
        <w:t xml:space="preserve">. The result was a comprehensive report from the Land Commission in 1994 with multiple recommendations, but only some were adopted to formulate </w:t>
      </w:r>
      <w:r w:rsidR="00C23EBA">
        <w:rPr>
          <w:rFonts w:ascii="Arial" w:eastAsia="Calibri" w:hAnsi="Arial" w:cs="Arial"/>
          <w:szCs w:val="22"/>
        </w:rPr>
        <w:t>a National Land Policy in 1995.</w:t>
      </w:r>
    </w:p>
    <w:p w14:paraId="45472BF3" w14:textId="77777777" w:rsidR="00C23EBA" w:rsidRPr="00B954C9" w:rsidRDefault="00C23EBA" w:rsidP="008C5EC3">
      <w:pPr>
        <w:pStyle w:val="Body"/>
        <w:spacing w:after="0" w:line="480" w:lineRule="auto"/>
        <w:rPr>
          <w:rFonts w:ascii="Arial" w:eastAsia="Calibri" w:hAnsi="Arial" w:cs="Arial"/>
          <w:szCs w:val="22"/>
        </w:rPr>
      </w:pPr>
    </w:p>
    <w:p w14:paraId="566DD51B" w14:textId="77777777" w:rsidR="00B954C9" w:rsidRPr="00B954C9" w:rsidRDefault="00B954C9" w:rsidP="008C5EC3">
      <w:pPr>
        <w:pStyle w:val="Body"/>
        <w:spacing w:after="0" w:line="480" w:lineRule="auto"/>
        <w:rPr>
          <w:rFonts w:ascii="Arial" w:eastAsia="Calibri" w:hAnsi="Arial" w:cs="Arial"/>
          <w:szCs w:val="22"/>
          <w:lang w:val="en-GB"/>
        </w:rPr>
      </w:pPr>
      <w:r w:rsidRPr="00B954C9">
        <w:rPr>
          <w:rFonts w:ascii="Arial" w:eastAsia="Calibri" w:hAnsi="Arial" w:cs="Arial"/>
          <w:szCs w:val="22"/>
          <w:lang w:val="en-GB"/>
        </w:rPr>
        <w:t xml:space="preserve">The National Land Policy, first established in 1995 and revised in 1997 and 2023, is founded on four key principles: </w:t>
      </w:r>
    </w:p>
    <w:p w14:paraId="4E953FC1" w14:textId="77777777" w:rsidR="00B954C9" w:rsidRPr="00B954C9" w:rsidRDefault="00B954C9" w:rsidP="008C5EC3">
      <w:pPr>
        <w:pStyle w:val="Body"/>
        <w:spacing w:after="0" w:line="480" w:lineRule="auto"/>
        <w:rPr>
          <w:rFonts w:ascii="Arial" w:eastAsia="Calibri" w:hAnsi="Arial" w:cs="Arial"/>
          <w:szCs w:val="22"/>
          <w:lang w:val="en-GB"/>
        </w:rPr>
      </w:pPr>
      <w:r w:rsidRPr="00B954C9">
        <w:rPr>
          <w:rFonts w:ascii="Arial" w:eastAsia="Calibri" w:hAnsi="Arial" w:cs="Arial"/>
          <w:szCs w:val="22"/>
          <w:lang w:val="en-GB"/>
        </w:rPr>
        <w:t>1. All land is considered public and is held by the President as a trustee.</w:t>
      </w:r>
    </w:p>
    <w:p w14:paraId="4EBBABE0" w14:textId="77777777" w:rsidR="00B954C9" w:rsidRPr="00B954C9" w:rsidRDefault="00B954C9" w:rsidP="008C5EC3">
      <w:pPr>
        <w:pStyle w:val="Body"/>
        <w:spacing w:after="0" w:line="480" w:lineRule="auto"/>
        <w:rPr>
          <w:rFonts w:ascii="Arial" w:eastAsia="Calibri" w:hAnsi="Arial" w:cs="Arial"/>
          <w:szCs w:val="22"/>
          <w:lang w:val="en-GB"/>
        </w:rPr>
      </w:pPr>
      <w:r w:rsidRPr="00B954C9">
        <w:rPr>
          <w:rFonts w:ascii="Arial" w:eastAsia="Calibri" w:hAnsi="Arial" w:cs="Arial"/>
          <w:szCs w:val="22"/>
          <w:lang w:val="en-GB"/>
        </w:rPr>
        <w:t xml:space="preserve">2. Bare land is recognized as having value, in contrast to a previous policy stance that deemed it valueless. </w:t>
      </w:r>
    </w:p>
    <w:p w14:paraId="10BD8546" w14:textId="77777777" w:rsidR="00B954C9" w:rsidRPr="00B954C9" w:rsidRDefault="00B954C9" w:rsidP="008C5EC3">
      <w:pPr>
        <w:pStyle w:val="Body"/>
        <w:spacing w:after="0" w:line="480" w:lineRule="auto"/>
        <w:rPr>
          <w:rFonts w:ascii="Arial" w:eastAsia="Calibri" w:hAnsi="Arial" w:cs="Arial"/>
          <w:szCs w:val="22"/>
          <w:lang w:val="en-GB"/>
        </w:rPr>
      </w:pPr>
      <w:r w:rsidRPr="00B954C9">
        <w:rPr>
          <w:rFonts w:ascii="Arial" w:eastAsia="Calibri" w:hAnsi="Arial" w:cs="Arial"/>
          <w:szCs w:val="22"/>
          <w:lang w:val="en-GB"/>
        </w:rPr>
        <w:t>3. Citizens' land rights and interests cannot be taken without due legal process, which includes fair and prompt compensation for any land acquired.</w:t>
      </w:r>
    </w:p>
    <w:p w14:paraId="51AE7A30" w14:textId="77777777" w:rsidR="00C23EBA" w:rsidRPr="00B954C9" w:rsidRDefault="00B954C9" w:rsidP="008C5EC3">
      <w:pPr>
        <w:pStyle w:val="Body"/>
        <w:spacing w:after="0" w:line="480" w:lineRule="auto"/>
        <w:rPr>
          <w:rFonts w:ascii="Arial" w:eastAsia="Calibri" w:hAnsi="Arial" w:cs="Arial"/>
          <w:szCs w:val="22"/>
          <w:lang w:val="en-GB"/>
        </w:rPr>
      </w:pPr>
      <w:r w:rsidRPr="00B954C9">
        <w:rPr>
          <w:rFonts w:ascii="Arial" w:eastAsia="Calibri" w:hAnsi="Arial" w:cs="Arial"/>
          <w:szCs w:val="22"/>
          <w:lang w:val="en-GB"/>
        </w:rPr>
        <w:t>4. Strict enforcement of development conditions is required to discourage land hoarding, as stated in section 4.2.8 (</w:t>
      </w:r>
      <w:proofErr w:type="spellStart"/>
      <w:r w:rsidRPr="00B954C9">
        <w:rPr>
          <w:rFonts w:ascii="Arial" w:eastAsia="Calibri" w:hAnsi="Arial" w:cs="Arial"/>
          <w:szCs w:val="22"/>
          <w:lang w:val="en-GB"/>
        </w:rPr>
        <w:t>i</w:t>
      </w:r>
      <w:proofErr w:type="spellEnd"/>
      <w:r w:rsidRPr="00B954C9">
        <w:rPr>
          <w:rFonts w:ascii="Arial" w:eastAsia="Calibri" w:hAnsi="Arial" w:cs="Arial"/>
          <w:szCs w:val="22"/>
          <w:lang w:val="en-GB"/>
        </w:rPr>
        <w:t>) of the National Land Policy.</w:t>
      </w:r>
    </w:p>
    <w:p w14:paraId="2D926046" w14:textId="77777777" w:rsidR="00B954C9" w:rsidRDefault="00B954C9" w:rsidP="008C5EC3">
      <w:pPr>
        <w:pStyle w:val="Body"/>
        <w:spacing w:after="0" w:line="480" w:lineRule="auto"/>
        <w:rPr>
          <w:rFonts w:ascii="Arial" w:eastAsia="Calibri" w:hAnsi="Arial" w:cs="Arial"/>
          <w:szCs w:val="22"/>
          <w:lang w:val="en-GB"/>
        </w:rPr>
      </w:pPr>
      <w:r w:rsidRPr="00B954C9">
        <w:rPr>
          <w:rFonts w:ascii="Arial" w:eastAsia="Calibri" w:hAnsi="Arial" w:cs="Arial"/>
          <w:szCs w:val="22"/>
          <w:lang w:val="en-GB"/>
        </w:rPr>
        <w:t>The 1995 Land Policy served as the foundation for the enactment of the Land Act No. 4 and the Village Land Act No. 5, both passed in 1999. Together, these two Acts, commonly referred to as the Land Acts, are the primary legislation governing land administration in Tanzania.</w:t>
      </w:r>
    </w:p>
    <w:p w14:paraId="6384394A" w14:textId="77777777" w:rsidR="00C23EBA" w:rsidRPr="00B954C9" w:rsidRDefault="00C23EBA" w:rsidP="008C5EC3">
      <w:pPr>
        <w:pStyle w:val="Body"/>
        <w:spacing w:after="0" w:line="480" w:lineRule="auto"/>
        <w:rPr>
          <w:rFonts w:ascii="Arial" w:eastAsia="Calibri" w:hAnsi="Arial" w:cs="Arial"/>
          <w:szCs w:val="22"/>
          <w:lang w:val="en-GB"/>
        </w:rPr>
      </w:pPr>
    </w:p>
    <w:p w14:paraId="6296C03F" w14:textId="77777777" w:rsidR="00B954C9" w:rsidRDefault="00B954C9" w:rsidP="008C5EC3">
      <w:pPr>
        <w:pStyle w:val="Body"/>
        <w:spacing w:after="0" w:line="480" w:lineRule="auto"/>
        <w:rPr>
          <w:rFonts w:ascii="Arial" w:eastAsia="Calibri" w:hAnsi="Arial" w:cs="Arial"/>
          <w:szCs w:val="22"/>
          <w:lang w:val="en-GB"/>
        </w:rPr>
      </w:pPr>
      <w:r w:rsidRPr="00B954C9">
        <w:rPr>
          <w:rFonts w:ascii="Arial" w:eastAsia="Calibri" w:hAnsi="Arial" w:cs="Arial"/>
          <w:szCs w:val="22"/>
          <w:lang w:val="en-GB"/>
        </w:rPr>
        <w:t xml:space="preserve">The Land Act No. 4 of 1999 classifies land into three categories: general land, reserved land, and village land. As the custodian of land, the President has the power to re-categorise land, a process known as ‘land category transfer’. The transfer of land from one category to another is vital because investment is mainly undertaken on general land in Tanzania. However, investors may sometimes get access to reserve and village land under more stringent conditions. The Land Act provides conditions for access, retaining and losing a Right of Occupancy. For instance, the Land Act requires holders of Rights of Occupancy to pay land rent annually, develop the land within a prescribed term. A breach of the conditions is </w:t>
      </w:r>
      <w:r w:rsidRPr="00B954C9">
        <w:rPr>
          <w:rFonts w:ascii="Arial" w:eastAsia="Calibri" w:hAnsi="Arial" w:cs="Arial"/>
          <w:szCs w:val="22"/>
          <w:lang w:val="en-GB"/>
        </w:rPr>
        <w:lastRenderedPageBreak/>
        <w:t xml:space="preserve">tantamount to a breach of contract that is punishable by termination of the Right of Occupancy or a lesser penalty as provided in </w:t>
      </w:r>
      <w:r w:rsidR="009910AD">
        <w:rPr>
          <w:rFonts w:ascii="Arial" w:eastAsia="Calibri" w:hAnsi="Arial" w:cs="Arial"/>
          <w:szCs w:val="22"/>
          <w:lang w:val="en-GB"/>
        </w:rPr>
        <w:t xml:space="preserve">Land Act 1999, </w:t>
      </w:r>
      <w:r w:rsidRPr="00B954C9">
        <w:rPr>
          <w:rFonts w:ascii="Arial" w:eastAsia="Calibri" w:hAnsi="Arial" w:cs="Arial"/>
          <w:szCs w:val="22"/>
          <w:lang w:val="en-GB"/>
        </w:rPr>
        <w:t>Section 45.</w:t>
      </w:r>
    </w:p>
    <w:p w14:paraId="4C5A0E19" w14:textId="77777777" w:rsidR="00C23EBA" w:rsidRPr="00B954C9" w:rsidRDefault="00C23EBA" w:rsidP="008C5EC3">
      <w:pPr>
        <w:pStyle w:val="Body"/>
        <w:spacing w:after="0" w:line="480" w:lineRule="auto"/>
        <w:rPr>
          <w:rFonts w:ascii="Arial" w:eastAsia="Calibri" w:hAnsi="Arial" w:cs="Arial"/>
          <w:szCs w:val="22"/>
          <w:lang w:val="en-GB"/>
        </w:rPr>
      </w:pPr>
    </w:p>
    <w:p w14:paraId="35DBAD6C" w14:textId="77777777" w:rsidR="00C23EBA" w:rsidRDefault="00B954C9" w:rsidP="008C5EC3">
      <w:pPr>
        <w:pStyle w:val="Body"/>
        <w:spacing w:after="0" w:line="480" w:lineRule="auto"/>
        <w:rPr>
          <w:rFonts w:ascii="Arial" w:eastAsia="Calibri" w:hAnsi="Arial" w:cs="Arial"/>
          <w:szCs w:val="22"/>
          <w:lang w:val="en-GB"/>
        </w:rPr>
      </w:pPr>
      <w:r w:rsidRPr="00B954C9">
        <w:rPr>
          <w:rFonts w:ascii="Arial" w:eastAsia="Calibri" w:hAnsi="Arial" w:cs="Arial"/>
          <w:szCs w:val="22"/>
          <w:lang w:val="en-GB"/>
        </w:rPr>
        <w:t>Village land has to be converted general land to allow Rights of Occupancy to be granted to a non-village resident. Since enactment of the Land Use Planning Act in 2007, practice has been to identify village land to be leased to investors through the development of a participatory village land use plan. A survey and valuation are undertaken to register existing interests on the land earmarked for investment. The Tanzania Investment Centre (TIC) is a public institution responsible for granting land rights to foreign investors and monitoring. TIC is issued with a Granted Right of Occupancy by the Commissioner for Lands, and it, in turn, issues derivative rights to investors.</w:t>
      </w:r>
    </w:p>
    <w:p w14:paraId="4798E7FE" w14:textId="77777777" w:rsidR="00B954C9" w:rsidRPr="00B954C9" w:rsidRDefault="00B954C9" w:rsidP="008C5EC3">
      <w:pPr>
        <w:pStyle w:val="Body"/>
        <w:spacing w:after="0" w:line="480" w:lineRule="auto"/>
        <w:rPr>
          <w:rFonts w:ascii="Arial" w:eastAsia="Calibri" w:hAnsi="Arial" w:cs="Arial"/>
          <w:szCs w:val="22"/>
          <w:lang w:val="en-GB"/>
        </w:rPr>
      </w:pPr>
    </w:p>
    <w:p w14:paraId="5008DA5B" w14:textId="77777777" w:rsidR="00C23EBA" w:rsidRDefault="00B954C9" w:rsidP="008C5EC3">
      <w:pPr>
        <w:pStyle w:val="Body"/>
        <w:spacing w:after="0" w:line="480" w:lineRule="auto"/>
        <w:rPr>
          <w:rFonts w:ascii="Arial" w:eastAsia="Calibri" w:hAnsi="Arial" w:cs="Arial"/>
          <w:szCs w:val="22"/>
          <w:lang w:val="en-GB"/>
        </w:rPr>
      </w:pPr>
      <w:r w:rsidRPr="00B954C9">
        <w:rPr>
          <w:rFonts w:ascii="Arial" w:eastAsia="Calibri" w:hAnsi="Arial" w:cs="Arial"/>
          <w:szCs w:val="22"/>
          <w:lang w:val="en-GB"/>
        </w:rPr>
        <w:t>Once the transfer of village land to general land is effected, the Village Land Act No. 5 no longer governs the management of that land, and the Village Council relinquishes its authority over it. Instead, the Land Act No. 4 becomes applicable, and the Commissioner for Lands assumes responsibility for its administration. This process creates a pocket of general land within a village, overseen directly by the Commissioner for Lands through District Land Officers.</w:t>
      </w:r>
    </w:p>
    <w:p w14:paraId="7EADC227" w14:textId="77777777" w:rsidR="009910AD" w:rsidRDefault="009910AD" w:rsidP="008C5EC3">
      <w:pPr>
        <w:pStyle w:val="Body"/>
        <w:spacing w:after="0" w:line="480" w:lineRule="auto"/>
        <w:rPr>
          <w:rFonts w:ascii="Arial" w:eastAsia="Calibri" w:hAnsi="Arial" w:cs="Arial"/>
          <w:szCs w:val="22"/>
          <w:lang w:val="en-GB"/>
        </w:rPr>
      </w:pPr>
    </w:p>
    <w:p w14:paraId="6AFE3DFD" w14:textId="77777777" w:rsidR="00B954C9" w:rsidRDefault="009910AD" w:rsidP="008C5EC3">
      <w:pPr>
        <w:pStyle w:val="Body"/>
        <w:spacing w:after="0" w:line="480" w:lineRule="auto"/>
        <w:rPr>
          <w:rFonts w:ascii="Arial" w:eastAsia="Calibri" w:hAnsi="Arial" w:cs="Arial"/>
          <w:szCs w:val="22"/>
        </w:rPr>
      </w:pPr>
      <w:r w:rsidRPr="009910AD">
        <w:rPr>
          <w:rFonts w:ascii="Arial" w:eastAsia="Calibri" w:hAnsi="Arial" w:cs="Arial"/>
          <w:szCs w:val="22"/>
        </w:rPr>
        <w:t xml:space="preserve">The </w:t>
      </w:r>
      <w:r w:rsidRPr="009910AD">
        <w:rPr>
          <w:rFonts w:ascii="Arial" w:eastAsia="Calibri" w:hAnsi="Arial" w:cs="Arial"/>
          <w:bCs/>
          <w:szCs w:val="22"/>
        </w:rPr>
        <w:t>Land Acquisition Act of 1967</w:t>
      </w:r>
      <w:r w:rsidRPr="009910AD">
        <w:rPr>
          <w:rFonts w:ascii="Arial" w:eastAsia="Calibri" w:hAnsi="Arial" w:cs="Arial"/>
          <w:szCs w:val="22"/>
        </w:rPr>
        <w:t xml:space="preserve"> further empowers the state to acquire land in the name of public interest. Although the Act specifies procedures for notification and compensation, in practice it has often been applied in ways that displace local users without ensuring adequate redress. The </w:t>
      </w:r>
      <w:r w:rsidRPr="009910AD">
        <w:rPr>
          <w:rFonts w:ascii="Arial" w:eastAsia="Calibri" w:hAnsi="Arial" w:cs="Arial"/>
          <w:bCs/>
          <w:szCs w:val="22"/>
        </w:rPr>
        <w:t>Land Act of 1999</w:t>
      </w:r>
      <w:r w:rsidRPr="009910AD">
        <w:rPr>
          <w:rFonts w:ascii="Arial" w:eastAsia="Calibri" w:hAnsi="Arial" w:cs="Arial"/>
          <w:szCs w:val="22"/>
        </w:rPr>
        <w:t xml:space="preserve"> and the </w:t>
      </w:r>
      <w:r w:rsidRPr="009910AD">
        <w:rPr>
          <w:rFonts w:ascii="Arial" w:eastAsia="Calibri" w:hAnsi="Arial" w:cs="Arial"/>
          <w:bCs/>
          <w:szCs w:val="22"/>
        </w:rPr>
        <w:t>Village Land Act of 1999</w:t>
      </w:r>
      <w:r w:rsidRPr="009910AD">
        <w:rPr>
          <w:rFonts w:ascii="Arial" w:eastAsia="Calibri" w:hAnsi="Arial" w:cs="Arial"/>
          <w:szCs w:val="22"/>
        </w:rPr>
        <w:t xml:space="preserve"> were meant to decentralize aspects of </w:t>
      </w:r>
      <w:r>
        <w:rPr>
          <w:rFonts w:ascii="Arial" w:eastAsia="Calibri" w:hAnsi="Arial" w:cs="Arial"/>
          <w:szCs w:val="22"/>
        </w:rPr>
        <w:t>control by recogniz</w:t>
      </w:r>
      <w:r w:rsidRPr="009910AD">
        <w:rPr>
          <w:rFonts w:ascii="Arial" w:eastAsia="Calibri" w:hAnsi="Arial" w:cs="Arial"/>
          <w:szCs w:val="22"/>
        </w:rPr>
        <w:t>ing customary rights and granting Village Councils authority to manage vi</w:t>
      </w:r>
      <w:r w:rsidR="006F5F5F">
        <w:rPr>
          <w:rFonts w:ascii="Arial" w:eastAsia="Calibri" w:hAnsi="Arial" w:cs="Arial"/>
          <w:szCs w:val="22"/>
        </w:rPr>
        <w:t xml:space="preserve">llage land. Yet, once land is </w:t>
      </w:r>
      <w:r w:rsidRPr="009910AD">
        <w:rPr>
          <w:rFonts w:ascii="Arial" w:eastAsia="Calibri" w:hAnsi="Arial" w:cs="Arial"/>
          <w:szCs w:val="22"/>
        </w:rPr>
        <w:t xml:space="preserve">designated as </w:t>
      </w:r>
      <w:r w:rsidRPr="00FB7403">
        <w:rPr>
          <w:rFonts w:ascii="Arial" w:eastAsia="Calibri" w:hAnsi="Arial" w:cs="Arial"/>
          <w:bCs/>
          <w:szCs w:val="22"/>
        </w:rPr>
        <w:t>general land</w:t>
      </w:r>
      <w:r w:rsidRPr="009910AD">
        <w:rPr>
          <w:rFonts w:ascii="Arial" w:eastAsia="Calibri" w:hAnsi="Arial" w:cs="Arial"/>
          <w:szCs w:val="22"/>
        </w:rPr>
        <w:t>, oversight shifts to central government offices, reducing local influence in subsequent decisions.</w:t>
      </w:r>
    </w:p>
    <w:p w14:paraId="369CFB70" w14:textId="77777777" w:rsidR="00FB7403" w:rsidRPr="00B954C9" w:rsidRDefault="00FB7403" w:rsidP="008C5EC3">
      <w:pPr>
        <w:pStyle w:val="Body"/>
        <w:spacing w:after="0" w:line="480" w:lineRule="auto"/>
        <w:rPr>
          <w:rFonts w:ascii="Arial" w:eastAsia="Calibri" w:hAnsi="Arial" w:cs="Arial"/>
          <w:szCs w:val="22"/>
          <w:lang w:val="en-GB"/>
        </w:rPr>
      </w:pPr>
    </w:p>
    <w:p w14:paraId="3F66BA26" w14:textId="77777777" w:rsidR="00B954C9" w:rsidRDefault="00B954C9" w:rsidP="008C5EC3">
      <w:pPr>
        <w:pStyle w:val="Body"/>
        <w:spacing w:after="0" w:line="480" w:lineRule="auto"/>
        <w:rPr>
          <w:rFonts w:ascii="Arial" w:eastAsia="Calibri" w:hAnsi="Arial" w:cs="Arial"/>
          <w:szCs w:val="22"/>
          <w:lang w:val="en-GB"/>
        </w:rPr>
      </w:pPr>
      <w:r w:rsidRPr="00B954C9">
        <w:rPr>
          <w:rFonts w:ascii="Arial" w:eastAsia="Calibri" w:hAnsi="Arial" w:cs="Arial"/>
          <w:szCs w:val="22"/>
          <w:lang w:val="en-GB"/>
        </w:rPr>
        <w:t>According to the Law of Limitation Act 1971</w:t>
      </w:r>
      <w:r w:rsidR="00FB7403">
        <w:rPr>
          <w:rFonts w:ascii="Arial" w:eastAsia="Calibri" w:hAnsi="Arial" w:cs="Arial"/>
          <w:szCs w:val="22"/>
          <w:lang w:val="en-GB"/>
        </w:rPr>
        <w:t>, it is possible to apply</w:t>
      </w:r>
      <w:r w:rsidRPr="00B954C9">
        <w:rPr>
          <w:rFonts w:ascii="Arial" w:eastAsia="Calibri" w:hAnsi="Arial" w:cs="Arial"/>
          <w:szCs w:val="22"/>
          <w:lang w:val="en-GB"/>
        </w:rPr>
        <w:t xml:space="preserve"> for adverse possession and legal recognition for individuals who have illegally occupied land for a long time without objection from the true owners of the property. Adverse possessors can be recognised by filing a suit in the High Court. However, section 38 of the Law of Limitation Act prohibits adverse possession of government land. The section also removes term limits for land claim cases filed by the government.</w:t>
      </w:r>
    </w:p>
    <w:p w14:paraId="63002210" w14:textId="77777777" w:rsidR="00C23EBA" w:rsidRDefault="00C23EBA" w:rsidP="008C5EC3">
      <w:pPr>
        <w:pStyle w:val="Body"/>
        <w:spacing w:after="0" w:line="480" w:lineRule="auto"/>
        <w:rPr>
          <w:rFonts w:ascii="Arial" w:eastAsia="Calibri" w:hAnsi="Arial" w:cs="Arial"/>
          <w:szCs w:val="22"/>
          <w:lang w:val="en-GB"/>
        </w:rPr>
      </w:pPr>
    </w:p>
    <w:p w14:paraId="1727ACFC" w14:textId="77777777" w:rsidR="00F349C5" w:rsidRDefault="00F349C5" w:rsidP="008C5EC3">
      <w:pPr>
        <w:pStyle w:val="AbstHead"/>
        <w:numPr>
          <w:ilvl w:val="0"/>
          <w:numId w:val="34"/>
        </w:numPr>
        <w:spacing w:after="0" w:line="480" w:lineRule="auto"/>
        <w:jc w:val="both"/>
        <w:rPr>
          <w:rFonts w:ascii="Arial" w:hAnsi="Arial" w:cs="Arial"/>
        </w:rPr>
      </w:pPr>
      <w:r w:rsidRPr="00F349C5">
        <w:rPr>
          <w:rFonts w:ascii="Arial" w:hAnsi="Arial" w:cs="Arial"/>
        </w:rPr>
        <w:lastRenderedPageBreak/>
        <w:t>Methodology</w:t>
      </w:r>
    </w:p>
    <w:p w14:paraId="68240BF9" w14:textId="77777777" w:rsidR="00C23EBA" w:rsidRPr="00F349C5" w:rsidRDefault="00C23EBA" w:rsidP="008C5EC3">
      <w:pPr>
        <w:pStyle w:val="AbstHead"/>
        <w:spacing w:after="0" w:line="480" w:lineRule="auto"/>
        <w:ind w:left="720"/>
        <w:jc w:val="both"/>
        <w:rPr>
          <w:rFonts w:ascii="Arial" w:hAnsi="Arial" w:cs="Arial"/>
        </w:rPr>
      </w:pPr>
    </w:p>
    <w:p w14:paraId="49EC33C9" w14:textId="522749AD" w:rsidR="00790ADA" w:rsidRDefault="00CF056C" w:rsidP="008C5EC3">
      <w:pPr>
        <w:pStyle w:val="Body"/>
        <w:spacing w:after="0" w:line="480" w:lineRule="auto"/>
        <w:rPr>
          <w:rFonts w:ascii="Arial" w:hAnsi="Arial" w:cs="Arial"/>
        </w:rPr>
      </w:pPr>
      <w:r w:rsidRPr="00CF056C">
        <w:rPr>
          <w:rFonts w:ascii="Arial" w:hAnsi="Arial" w:cs="Arial"/>
        </w:rPr>
        <w:t>A qualitative single-case study design was adopted, appropriate for “how” and “why” questio</w:t>
      </w:r>
      <w:r>
        <w:rPr>
          <w:rFonts w:ascii="Arial" w:hAnsi="Arial" w:cs="Arial"/>
        </w:rPr>
        <w:t>ns</w:t>
      </w:r>
      <w:r w:rsidRPr="00CF056C">
        <w:rPr>
          <w:rFonts w:ascii="Arial" w:hAnsi="Arial" w:cs="Arial"/>
          <w:lang w:val="en-GB"/>
        </w:rPr>
        <w:t xml:space="preserve"> </w:t>
      </w:r>
      <w:sdt>
        <w:sdtPr>
          <w:rPr>
            <w:rFonts w:ascii="Arial" w:hAnsi="Arial" w:cs="Arial"/>
            <w:lang w:val="en-GB"/>
          </w:rPr>
          <w:id w:val="-1790976076"/>
          <w:citation/>
        </w:sdtPr>
        <w:sdtEndPr/>
        <w:sdtContent>
          <w:r w:rsidRPr="00CF056C">
            <w:rPr>
              <w:rFonts w:ascii="Arial" w:hAnsi="Arial" w:cs="Arial"/>
              <w:lang w:val="en-GB"/>
            </w:rPr>
            <w:fldChar w:fldCharType="begin"/>
          </w:r>
          <w:r>
            <w:rPr>
              <w:rFonts w:ascii="Arial" w:hAnsi="Arial" w:cs="Arial"/>
            </w:rPr>
            <w:instrText xml:space="preserve">CITATION Cre14 \t  \l 1033 </w:instrText>
          </w:r>
          <w:r w:rsidRPr="00CF056C">
            <w:rPr>
              <w:rFonts w:ascii="Arial" w:hAnsi="Arial" w:cs="Arial"/>
              <w:lang w:val="en-GB"/>
            </w:rPr>
            <w:fldChar w:fldCharType="separate"/>
          </w:r>
          <w:r w:rsidRPr="00CF056C">
            <w:rPr>
              <w:rFonts w:ascii="Arial" w:hAnsi="Arial" w:cs="Arial"/>
              <w:noProof/>
            </w:rPr>
            <w:t>(Creswell, 2014)</w:t>
          </w:r>
          <w:r w:rsidRPr="00CF056C">
            <w:rPr>
              <w:rFonts w:ascii="Arial" w:hAnsi="Arial" w:cs="Arial"/>
            </w:rPr>
            <w:fldChar w:fldCharType="end"/>
          </w:r>
        </w:sdtContent>
      </w:sdt>
      <w:r w:rsidRPr="00CF056C">
        <w:rPr>
          <w:rFonts w:ascii="Arial" w:hAnsi="Arial" w:cs="Arial"/>
        </w:rPr>
        <w:t>. Data were gathered through four semi-structured interviews (one investor representative, one senior Ministry of Lands official, two district technocrats), a focus group discussion with village council leaders, field observations, and documentary sources</w:t>
      </w:r>
      <w:r w:rsidR="00D71462">
        <w:rPr>
          <w:rFonts w:ascii="Arial" w:hAnsi="Arial" w:cs="Arial"/>
        </w:rPr>
        <w:t>,</w:t>
      </w:r>
      <w:r w:rsidRPr="00CF056C">
        <w:rPr>
          <w:rFonts w:ascii="Arial" w:hAnsi="Arial" w:cs="Arial"/>
        </w:rPr>
        <w:t xml:space="preserve"> including the KPL Resettlement Action Plan and statutory texts. Respondents were purposively selected for their direct knowledge or responsibilities related to the conflict. Interviews and the focus group were transcribed and thematically coded, blending deductive categories from the conceptual framework with inductive themes emerging from the field. Triangulation of these sources strengthened validity while ethical clearance and informed consent were observed.</w:t>
      </w:r>
      <w:r w:rsidR="00D71462">
        <w:rPr>
          <w:rFonts w:ascii="Arial" w:hAnsi="Arial" w:cs="Arial"/>
        </w:rPr>
        <w:t xml:space="preserve"> The study’s findings are based on a single case and a relatively small sample size, which may limit generalizability to other contexts. However, the case of KPL is analytically significant because of its scale, history, and the intensity of conflict generated.</w:t>
      </w:r>
    </w:p>
    <w:p w14:paraId="058B882E" w14:textId="77777777" w:rsidR="00CF056C" w:rsidRPr="00FB3A86" w:rsidRDefault="00CF056C" w:rsidP="008C5EC3">
      <w:pPr>
        <w:pStyle w:val="Body"/>
        <w:spacing w:after="0" w:line="480" w:lineRule="auto"/>
        <w:rPr>
          <w:rFonts w:ascii="Arial" w:hAnsi="Arial" w:cs="Arial"/>
        </w:rPr>
      </w:pPr>
    </w:p>
    <w:p w14:paraId="54F3FE3D" w14:textId="77777777" w:rsidR="00790ADA" w:rsidRDefault="00A62BB6" w:rsidP="008C5EC3">
      <w:pPr>
        <w:pStyle w:val="AbstHead"/>
        <w:numPr>
          <w:ilvl w:val="0"/>
          <w:numId w:val="34"/>
        </w:numPr>
        <w:spacing w:after="0" w:line="480" w:lineRule="auto"/>
        <w:jc w:val="both"/>
        <w:rPr>
          <w:rFonts w:ascii="Arial" w:hAnsi="Arial" w:cs="Arial"/>
        </w:rPr>
      </w:pPr>
      <w:r w:rsidRPr="00A62BB6">
        <w:rPr>
          <w:rFonts w:ascii="Arial" w:hAnsi="Arial" w:cs="Arial"/>
        </w:rPr>
        <w:t>Land Conflict at Kilombero Plantations Limited (KPL)</w:t>
      </w:r>
    </w:p>
    <w:p w14:paraId="2F6D4679" w14:textId="77777777" w:rsidR="00A36B07" w:rsidRPr="00A62BB6" w:rsidRDefault="00A36B07" w:rsidP="008C5EC3">
      <w:pPr>
        <w:pStyle w:val="AbstHead"/>
        <w:spacing w:after="0" w:line="480" w:lineRule="auto"/>
        <w:ind w:left="720"/>
        <w:jc w:val="both"/>
        <w:rPr>
          <w:rFonts w:ascii="Arial" w:hAnsi="Arial" w:cs="Arial"/>
        </w:rPr>
      </w:pPr>
    </w:p>
    <w:p w14:paraId="0E356168" w14:textId="77777777" w:rsidR="00A62BB6" w:rsidRPr="00A62BB6" w:rsidRDefault="00A62BB6" w:rsidP="008C5EC3">
      <w:pPr>
        <w:pStyle w:val="Body"/>
        <w:spacing w:line="480" w:lineRule="auto"/>
        <w:rPr>
          <w:rFonts w:ascii="Arial" w:hAnsi="Arial" w:cs="Arial"/>
          <w:lang w:val="en-GB"/>
        </w:rPr>
      </w:pPr>
      <w:r w:rsidRPr="00A62BB6">
        <w:rPr>
          <w:rFonts w:ascii="Arial" w:hAnsi="Arial" w:cs="Arial"/>
          <w:lang w:val="en-GB"/>
        </w:rPr>
        <w:t>The KPL conflict illustrates how features of Tanzania's land governance frameworks translate into land conflicts. Evidence from interviews, the FGD, and archival records highlights four interrelated dimensions of the conflict: the contested status of land allocation, compensation controversies, village council resistance, and the rejection of long-term occupation claims.</w:t>
      </w:r>
    </w:p>
    <w:p w14:paraId="30E69744" w14:textId="77777777" w:rsidR="00A62BB6" w:rsidRDefault="00A62BB6" w:rsidP="008C5EC3">
      <w:pPr>
        <w:pStyle w:val="Body"/>
        <w:numPr>
          <w:ilvl w:val="1"/>
          <w:numId w:val="34"/>
        </w:numPr>
        <w:spacing w:after="0" w:line="480" w:lineRule="auto"/>
        <w:rPr>
          <w:rFonts w:ascii="Arial" w:hAnsi="Arial" w:cs="Arial"/>
          <w:b/>
          <w:sz w:val="22"/>
          <w:szCs w:val="22"/>
          <w:lang w:val="en-GB"/>
        </w:rPr>
      </w:pPr>
      <w:r w:rsidRPr="00067DD1">
        <w:rPr>
          <w:rFonts w:ascii="Arial" w:hAnsi="Arial" w:cs="Arial"/>
          <w:b/>
          <w:sz w:val="22"/>
          <w:szCs w:val="22"/>
          <w:lang w:val="en-GB"/>
        </w:rPr>
        <w:t>Disputed Status of Land Allocation</w:t>
      </w:r>
    </w:p>
    <w:p w14:paraId="1945E64B" w14:textId="77777777" w:rsidR="00A36B07" w:rsidRPr="00067DD1" w:rsidRDefault="00A36B07" w:rsidP="008C5EC3">
      <w:pPr>
        <w:pStyle w:val="Body"/>
        <w:spacing w:after="0" w:line="480" w:lineRule="auto"/>
        <w:ind w:left="1080"/>
        <w:rPr>
          <w:rFonts w:ascii="Arial" w:hAnsi="Arial" w:cs="Arial"/>
          <w:b/>
          <w:sz w:val="22"/>
          <w:szCs w:val="22"/>
          <w:lang w:val="en-GB"/>
        </w:rPr>
      </w:pPr>
    </w:p>
    <w:p w14:paraId="29A095E0" w14:textId="77777777" w:rsidR="00633189" w:rsidRDefault="00064CD1" w:rsidP="008C5EC3">
      <w:pPr>
        <w:pStyle w:val="Body"/>
        <w:spacing w:after="0" w:line="480" w:lineRule="auto"/>
        <w:rPr>
          <w:rFonts w:ascii="Arial" w:hAnsi="Arial" w:cs="Arial"/>
          <w:lang w:val="en-GB"/>
        </w:rPr>
      </w:pPr>
      <w:r>
        <w:rPr>
          <w:rFonts w:ascii="Arial" w:hAnsi="Arial" w:cs="Arial"/>
          <w:lang w:val="en-GB"/>
        </w:rPr>
        <w:t xml:space="preserve">The </w:t>
      </w:r>
      <w:r w:rsidR="00A62BB6" w:rsidRPr="00A62BB6">
        <w:rPr>
          <w:rFonts w:ascii="Arial" w:hAnsi="Arial" w:cs="Arial"/>
          <w:lang w:val="en-GB"/>
        </w:rPr>
        <w:t xml:space="preserve">KPL farm borders </w:t>
      </w:r>
      <w:proofErr w:type="spellStart"/>
      <w:r w:rsidR="00A62BB6" w:rsidRPr="00A62BB6">
        <w:rPr>
          <w:rFonts w:ascii="Arial" w:hAnsi="Arial" w:cs="Arial"/>
          <w:lang w:val="en-GB"/>
        </w:rPr>
        <w:t>Mngeta</w:t>
      </w:r>
      <w:proofErr w:type="spellEnd"/>
      <w:r w:rsidR="00A62BB6" w:rsidRPr="00A62BB6">
        <w:rPr>
          <w:rFonts w:ascii="Arial" w:hAnsi="Arial" w:cs="Arial"/>
          <w:lang w:val="en-GB"/>
        </w:rPr>
        <w:t xml:space="preserve"> Village</w:t>
      </w:r>
      <w:r w:rsidR="00A05CFB">
        <w:rPr>
          <w:rFonts w:ascii="Arial" w:hAnsi="Arial" w:cs="Arial"/>
          <w:lang w:val="en-GB"/>
        </w:rPr>
        <w:t xml:space="preserve"> situated in </w:t>
      </w:r>
      <w:proofErr w:type="spellStart"/>
      <w:r w:rsidR="00A05CFB">
        <w:rPr>
          <w:rFonts w:ascii="Arial" w:hAnsi="Arial" w:cs="Arial"/>
          <w:lang w:val="en-GB"/>
        </w:rPr>
        <w:t>Kilombero</w:t>
      </w:r>
      <w:proofErr w:type="spellEnd"/>
      <w:r w:rsidR="00A05CFB">
        <w:rPr>
          <w:rFonts w:ascii="Arial" w:hAnsi="Arial" w:cs="Arial"/>
          <w:lang w:val="en-GB"/>
        </w:rPr>
        <w:t xml:space="preserve"> District</w:t>
      </w:r>
      <w:r>
        <w:rPr>
          <w:rFonts w:ascii="Arial" w:hAnsi="Arial" w:cs="Arial"/>
          <w:lang w:val="en-GB"/>
        </w:rPr>
        <w:t>, Morogoro Region, Tanzania</w:t>
      </w:r>
      <w:r w:rsidR="00A62BB6" w:rsidRPr="00A62BB6">
        <w:rPr>
          <w:rFonts w:ascii="Arial" w:hAnsi="Arial" w:cs="Arial"/>
          <w:lang w:val="en-GB"/>
        </w:rPr>
        <w:t>.</w:t>
      </w:r>
      <w:r w:rsidR="00D704FA" w:rsidRPr="00D704FA">
        <w:t xml:space="preserve"> </w:t>
      </w:r>
      <w:r w:rsidR="00D704FA">
        <w:rPr>
          <w:rFonts w:ascii="Arial" w:hAnsi="Arial" w:cs="Arial"/>
        </w:rPr>
        <w:t>According to an interview with t</w:t>
      </w:r>
      <w:r w:rsidR="00D704FA" w:rsidRPr="00D704FA">
        <w:rPr>
          <w:rFonts w:ascii="Arial" w:hAnsi="Arial" w:cs="Arial"/>
        </w:rPr>
        <w:t xml:space="preserve">he </w:t>
      </w:r>
      <w:r w:rsidR="00D704FA">
        <w:rPr>
          <w:rFonts w:ascii="Arial" w:hAnsi="Arial" w:cs="Arial"/>
        </w:rPr>
        <w:t xml:space="preserve">investor representative, the </w:t>
      </w:r>
      <w:r w:rsidR="00D704FA" w:rsidRPr="00D704FA">
        <w:rPr>
          <w:rFonts w:ascii="Arial" w:hAnsi="Arial" w:cs="Arial"/>
        </w:rPr>
        <w:t>land that formed the KPL es</w:t>
      </w:r>
      <w:r>
        <w:rPr>
          <w:rFonts w:ascii="Arial" w:hAnsi="Arial" w:cs="Arial"/>
        </w:rPr>
        <w:t>tate</w:t>
      </w:r>
      <w:r w:rsidR="00D704FA">
        <w:rPr>
          <w:rFonts w:ascii="Arial" w:hAnsi="Arial" w:cs="Arial"/>
        </w:rPr>
        <w:t xml:space="preserve"> was developed as a state farm </w:t>
      </w:r>
      <w:r w:rsidR="00E45EFF">
        <w:rPr>
          <w:rFonts w:ascii="Arial" w:hAnsi="Arial" w:cs="Arial"/>
        </w:rPr>
        <w:t xml:space="preserve">that was </w:t>
      </w:r>
      <w:r w:rsidR="00D704FA">
        <w:rPr>
          <w:rFonts w:ascii="Arial" w:hAnsi="Arial" w:cs="Arial"/>
        </w:rPr>
        <w:t xml:space="preserve">managed in partnership by </w:t>
      </w:r>
      <w:r w:rsidR="00E45EFF">
        <w:rPr>
          <w:rFonts w:ascii="Arial" w:hAnsi="Arial" w:cs="Arial"/>
        </w:rPr>
        <w:t xml:space="preserve">the </w:t>
      </w:r>
      <w:r w:rsidR="00D704FA">
        <w:rPr>
          <w:rFonts w:ascii="Arial" w:hAnsi="Arial" w:cs="Arial"/>
        </w:rPr>
        <w:t xml:space="preserve">Korea Tanzania Company </w:t>
      </w:r>
      <w:r w:rsidR="00D704FA" w:rsidRPr="00D704FA">
        <w:rPr>
          <w:rFonts w:ascii="Arial" w:hAnsi="Arial" w:cs="Arial"/>
        </w:rPr>
        <w:t>(KOTACO)</w:t>
      </w:r>
      <w:r w:rsidR="00D704FA">
        <w:rPr>
          <w:rFonts w:ascii="Arial" w:hAnsi="Arial" w:cs="Arial"/>
        </w:rPr>
        <w:t xml:space="preserve"> </w:t>
      </w:r>
      <w:r>
        <w:rPr>
          <w:rFonts w:ascii="Arial" w:hAnsi="Arial" w:cs="Arial"/>
        </w:rPr>
        <w:t>in</w:t>
      </w:r>
      <w:r w:rsidR="00D704FA">
        <w:rPr>
          <w:rFonts w:ascii="Arial" w:hAnsi="Arial" w:cs="Arial"/>
        </w:rPr>
        <w:t xml:space="preserve"> 1986</w:t>
      </w:r>
      <w:r>
        <w:rPr>
          <w:rFonts w:ascii="Arial" w:hAnsi="Arial" w:cs="Arial"/>
        </w:rPr>
        <w:t>. The company demarcated the land and installed farm infrastructure,</w:t>
      </w:r>
      <w:r w:rsidR="00A05CFB">
        <w:rPr>
          <w:rFonts w:ascii="Arial" w:hAnsi="Arial" w:cs="Arial"/>
        </w:rPr>
        <w:t xml:space="preserve"> but </w:t>
      </w:r>
      <w:r w:rsidR="006A7ED2">
        <w:rPr>
          <w:rFonts w:ascii="Arial" w:hAnsi="Arial" w:cs="Arial"/>
        </w:rPr>
        <w:t>during</w:t>
      </w:r>
      <w:r>
        <w:rPr>
          <w:rFonts w:ascii="Arial" w:hAnsi="Arial" w:cs="Arial"/>
        </w:rPr>
        <w:t xml:space="preserve"> its operation</w:t>
      </w:r>
      <w:r w:rsidR="00633189">
        <w:rPr>
          <w:rFonts w:ascii="Arial" w:hAnsi="Arial" w:cs="Arial"/>
        </w:rPr>
        <w:t xml:space="preserve">, </w:t>
      </w:r>
      <w:r w:rsidR="006A7ED2">
        <w:rPr>
          <w:rFonts w:ascii="Arial" w:hAnsi="Arial" w:cs="Arial"/>
        </w:rPr>
        <w:t>only about</w:t>
      </w:r>
      <w:r>
        <w:rPr>
          <w:rFonts w:ascii="Arial" w:hAnsi="Arial" w:cs="Arial"/>
        </w:rPr>
        <w:t xml:space="preserve"> half of the 5,818 hectares of the </w:t>
      </w:r>
      <w:r w:rsidR="00633189">
        <w:rPr>
          <w:rFonts w:ascii="Arial" w:hAnsi="Arial" w:cs="Arial"/>
        </w:rPr>
        <w:t>estate</w:t>
      </w:r>
      <w:r w:rsidR="006A7ED2">
        <w:rPr>
          <w:rFonts w:ascii="Arial" w:hAnsi="Arial" w:cs="Arial"/>
        </w:rPr>
        <w:t xml:space="preserve"> was cultivated</w:t>
      </w:r>
      <w:r>
        <w:rPr>
          <w:rFonts w:ascii="Arial" w:hAnsi="Arial" w:cs="Arial"/>
        </w:rPr>
        <w:t xml:space="preserve">. </w:t>
      </w:r>
      <w:r w:rsidR="00633189">
        <w:rPr>
          <w:rFonts w:ascii="Arial" w:hAnsi="Arial" w:cs="Arial"/>
        </w:rPr>
        <w:t>I</w:t>
      </w:r>
      <w:r>
        <w:rPr>
          <w:rFonts w:ascii="Arial" w:hAnsi="Arial" w:cs="Arial"/>
        </w:rPr>
        <w:t>n 1993</w:t>
      </w:r>
      <w:r w:rsidR="006A7ED2">
        <w:rPr>
          <w:rFonts w:ascii="Arial" w:hAnsi="Arial" w:cs="Arial"/>
        </w:rPr>
        <w:t>,</w:t>
      </w:r>
      <w:r>
        <w:rPr>
          <w:rFonts w:ascii="Arial" w:hAnsi="Arial" w:cs="Arial"/>
        </w:rPr>
        <w:t xml:space="preserve"> KOTACO collapsed</w:t>
      </w:r>
      <w:r w:rsidR="00633189">
        <w:rPr>
          <w:rFonts w:ascii="Arial" w:hAnsi="Arial" w:cs="Arial"/>
        </w:rPr>
        <w:t xml:space="preserve">, </w:t>
      </w:r>
      <w:r w:rsidR="006A7ED2">
        <w:rPr>
          <w:rFonts w:ascii="Arial" w:hAnsi="Arial" w:cs="Arial"/>
        </w:rPr>
        <w:t>and</w:t>
      </w:r>
      <w:r>
        <w:rPr>
          <w:rFonts w:ascii="Arial" w:hAnsi="Arial" w:cs="Arial"/>
        </w:rPr>
        <w:t xml:space="preserve"> a </w:t>
      </w:r>
      <w:r w:rsidR="00633189">
        <w:rPr>
          <w:rFonts w:ascii="Arial" w:hAnsi="Arial" w:cs="Arial"/>
        </w:rPr>
        <w:t>government</w:t>
      </w:r>
      <w:r w:rsidR="00E45EFF">
        <w:rPr>
          <w:rFonts w:ascii="Arial" w:hAnsi="Arial" w:cs="Arial"/>
        </w:rPr>
        <w:t xml:space="preserve"> agency</w:t>
      </w:r>
      <w:r w:rsidR="00633189">
        <w:rPr>
          <w:rFonts w:ascii="Arial" w:hAnsi="Arial" w:cs="Arial"/>
        </w:rPr>
        <w:t>,</w:t>
      </w:r>
      <w:r w:rsidR="00E45EFF">
        <w:rPr>
          <w:rFonts w:ascii="Arial" w:hAnsi="Arial" w:cs="Arial"/>
        </w:rPr>
        <w:t xml:space="preserve"> Rufiji Basin Development Authority </w:t>
      </w:r>
      <w:r w:rsidR="00D704FA" w:rsidRPr="00D704FA">
        <w:rPr>
          <w:rFonts w:ascii="Arial" w:hAnsi="Arial" w:cs="Arial"/>
        </w:rPr>
        <w:t>(RUBADA)</w:t>
      </w:r>
      <w:r w:rsidR="006A7ED2">
        <w:rPr>
          <w:rFonts w:ascii="Arial" w:hAnsi="Arial" w:cs="Arial"/>
        </w:rPr>
        <w:t>, took over</w:t>
      </w:r>
      <w:r w:rsidR="00A62BB6" w:rsidRPr="00A62BB6">
        <w:rPr>
          <w:rFonts w:ascii="Arial" w:hAnsi="Arial" w:cs="Arial"/>
          <w:lang w:val="en-GB"/>
        </w:rPr>
        <w:t xml:space="preserve">. </w:t>
      </w:r>
      <w:r w:rsidR="006A7ED2">
        <w:rPr>
          <w:rFonts w:ascii="Arial" w:hAnsi="Arial" w:cs="Arial"/>
          <w:lang w:val="en-GB"/>
        </w:rPr>
        <w:t>The agency</w:t>
      </w:r>
      <w:r w:rsidR="00633189">
        <w:rPr>
          <w:rFonts w:ascii="Arial" w:hAnsi="Arial" w:cs="Arial"/>
          <w:lang w:val="en-GB"/>
        </w:rPr>
        <w:t xml:space="preserve"> leased the land to Kilombero Holding Company (KIHOCO)</w:t>
      </w:r>
      <w:r w:rsidR="006A7ED2">
        <w:rPr>
          <w:rFonts w:ascii="Arial" w:hAnsi="Arial" w:cs="Arial"/>
          <w:lang w:val="en-GB"/>
        </w:rPr>
        <w:t xml:space="preserve">, which </w:t>
      </w:r>
      <w:r w:rsidR="00633189">
        <w:rPr>
          <w:rFonts w:ascii="Arial" w:hAnsi="Arial" w:cs="Arial"/>
          <w:lang w:val="en-GB"/>
        </w:rPr>
        <w:t xml:space="preserve">cultivated </w:t>
      </w:r>
      <w:r w:rsidR="006A7ED2">
        <w:rPr>
          <w:rFonts w:ascii="Arial" w:hAnsi="Arial" w:cs="Arial"/>
          <w:lang w:val="en-GB"/>
        </w:rPr>
        <w:t xml:space="preserve">around </w:t>
      </w:r>
      <w:r w:rsidR="00585291">
        <w:rPr>
          <w:rFonts w:ascii="Arial" w:hAnsi="Arial" w:cs="Arial"/>
          <w:lang w:val="en-GB"/>
        </w:rPr>
        <w:t xml:space="preserve">400 hectares and </w:t>
      </w:r>
      <w:r w:rsidR="006A7ED2">
        <w:rPr>
          <w:rFonts w:ascii="Arial" w:hAnsi="Arial" w:cs="Arial"/>
          <w:lang w:val="en-GB"/>
        </w:rPr>
        <w:t xml:space="preserve">consecutively </w:t>
      </w:r>
      <w:r w:rsidR="00585291">
        <w:rPr>
          <w:rFonts w:ascii="Arial" w:hAnsi="Arial" w:cs="Arial"/>
          <w:lang w:val="en-GB"/>
        </w:rPr>
        <w:t>failed to pay land rent</w:t>
      </w:r>
      <w:sdt>
        <w:sdtPr>
          <w:rPr>
            <w:rFonts w:ascii="Arial" w:hAnsi="Arial" w:cs="Arial"/>
            <w:lang w:val="en-GB"/>
          </w:rPr>
          <w:id w:val="94838451"/>
          <w:citation/>
        </w:sdtPr>
        <w:sdtEndPr/>
        <w:sdtContent>
          <w:r w:rsidR="00FB7403">
            <w:rPr>
              <w:rFonts w:ascii="Arial" w:hAnsi="Arial" w:cs="Arial"/>
              <w:lang w:val="en-GB"/>
            </w:rPr>
            <w:fldChar w:fldCharType="begin"/>
          </w:r>
          <w:r w:rsidR="00FB7403">
            <w:rPr>
              <w:rFonts w:ascii="Arial" w:hAnsi="Arial" w:cs="Arial"/>
            </w:rPr>
            <w:instrText xml:space="preserve"> CITATION The15 \l 1033 </w:instrText>
          </w:r>
          <w:r w:rsidR="00FB7403">
            <w:rPr>
              <w:rFonts w:ascii="Arial" w:hAnsi="Arial" w:cs="Arial"/>
              <w:lang w:val="en-GB"/>
            </w:rPr>
            <w:fldChar w:fldCharType="separate"/>
          </w:r>
          <w:r w:rsidR="00FB7403">
            <w:rPr>
              <w:rFonts w:ascii="Arial" w:hAnsi="Arial" w:cs="Arial"/>
              <w:noProof/>
            </w:rPr>
            <w:t xml:space="preserve"> </w:t>
          </w:r>
          <w:r w:rsidR="00FB7403" w:rsidRPr="00FB7403">
            <w:rPr>
              <w:rFonts w:ascii="Arial" w:hAnsi="Arial" w:cs="Arial"/>
              <w:noProof/>
            </w:rPr>
            <w:t>(The Oakland Institute; Greenpeace; Global Justice Now, 2015)</w:t>
          </w:r>
          <w:r w:rsidR="00FB7403">
            <w:rPr>
              <w:rFonts w:ascii="Arial" w:hAnsi="Arial" w:cs="Arial"/>
              <w:lang w:val="en-GB"/>
            </w:rPr>
            <w:fldChar w:fldCharType="end"/>
          </w:r>
        </w:sdtContent>
      </w:sdt>
      <w:r w:rsidR="00585291">
        <w:rPr>
          <w:rFonts w:ascii="Arial" w:hAnsi="Arial" w:cs="Arial"/>
          <w:lang w:val="en-GB"/>
        </w:rPr>
        <w:t>.</w:t>
      </w:r>
      <w:r w:rsidR="00772C6D" w:rsidRPr="00772C6D">
        <w:rPr>
          <w:rFonts w:ascii="Arial" w:hAnsi="Arial" w:cs="Arial"/>
          <w:lang w:val="en-GB"/>
        </w:rPr>
        <w:t xml:space="preserve"> </w:t>
      </w:r>
      <w:r w:rsidR="00772C6D" w:rsidRPr="00A62BB6">
        <w:rPr>
          <w:rFonts w:ascii="Arial" w:hAnsi="Arial" w:cs="Arial"/>
          <w:lang w:val="en-GB"/>
        </w:rPr>
        <w:t xml:space="preserve">In 2007, RUBADA </w:t>
      </w:r>
      <w:r w:rsidR="00FB7403">
        <w:rPr>
          <w:rFonts w:ascii="Arial" w:hAnsi="Arial" w:cs="Arial"/>
          <w:lang w:val="en-GB"/>
        </w:rPr>
        <w:t>repossessed</w:t>
      </w:r>
      <w:r w:rsidR="00772C6D" w:rsidRPr="00A62BB6">
        <w:rPr>
          <w:rFonts w:ascii="Arial" w:hAnsi="Arial" w:cs="Arial"/>
          <w:lang w:val="en-GB"/>
        </w:rPr>
        <w:t xml:space="preserve"> the land from KIHOCO</w:t>
      </w:r>
      <w:r w:rsidR="00772C6D">
        <w:rPr>
          <w:rFonts w:ascii="Arial" w:hAnsi="Arial" w:cs="Arial"/>
          <w:lang w:val="en-GB"/>
        </w:rPr>
        <w:t xml:space="preserve"> and sold it to</w:t>
      </w:r>
      <w:r w:rsidR="00772C6D" w:rsidRPr="00A62BB6">
        <w:rPr>
          <w:rFonts w:ascii="Arial" w:hAnsi="Arial" w:cs="Arial"/>
          <w:lang w:val="en-GB"/>
        </w:rPr>
        <w:t xml:space="preserve"> KPL</w:t>
      </w:r>
      <w:sdt>
        <w:sdtPr>
          <w:rPr>
            <w:rFonts w:ascii="Arial" w:hAnsi="Arial" w:cs="Arial"/>
            <w:lang w:val="en-GB"/>
          </w:rPr>
          <w:id w:val="-1685663720"/>
          <w:citation/>
        </w:sdtPr>
        <w:sdtEndPr/>
        <w:sdtContent>
          <w:r w:rsidR="00FB7403">
            <w:rPr>
              <w:rFonts w:ascii="Arial" w:hAnsi="Arial" w:cs="Arial"/>
              <w:lang w:val="en-GB"/>
            </w:rPr>
            <w:fldChar w:fldCharType="begin"/>
          </w:r>
          <w:r w:rsidR="00FB7403">
            <w:rPr>
              <w:rFonts w:ascii="Arial" w:hAnsi="Arial" w:cs="Arial"/>
            </w:rPr>
            <w:instrText xml:space="preserve"> CITATION The15 \l 1033 </w:instrText>
          </w:r>
          <w:r w:rsidR="00FB7403">
            <w:rPr>
              <w:rFonts w:ascii="Arial" w:hAnsi="Arial" w:cs="Arial"/>
              <w:lang w:val="en-GB"/>
            </w:rPr>
            <w:fldChar w:fldCharType="separate"/>
          </w:r>
          <w:r w:rsidR="00FB7403">
            <w:rPr>
              <w:rFonts w:ascii="Arial" w:hAnsi="Arial" w:cs="Arial"/>
              <w:noProof/>
            </w:rPr>
            <w:t xml:space="preserve"> </w:t>
          </w:r>
          <w:r w:rsidR="00FB7403" w:rsidRPr="00FB7403">
            <w:rPr>
              <w:rFonts w:ascii="Arial" w:hAnsi="Arial" w:cs="Arial"/>
              <w:noProof/>
            </w:rPr>
            <w:t>(The Oakland Institute; Greenpeace; Global Justice Now, 2015)</w:t>
          </w:r>
          <w:r w:rsidR="00FB7403">
            <w:rPr>
              <w:rFonts w:ascii="Arial" w:hAnsi="Arial" w:cs="Arial"/>
              <w:lang w:val="en-GB"/>
            </w:rPr>
            <w:fldChar w:fldCharType="end"/>
          </w:r>
        </w:sdtContent>
      </w:sdt>
      <w:r w:rsidR="00772C6D" w:rsidRPr="00A62BB6">
        <w:rPr>
          <w:rFonts w:ascii="Arial" w:hAnsi="Arial" w:cs="Arial"/>
          <w:lang w:val="en-GB"/>
        </w:rPr>
        <w:t>.</w:t>
      </w:r>
    </w:p>
    <w:p w14:paraId="10A288EC" w14:textId="77777777" w:rsidR="00772C6D" w:rsidRDefault="00772C6D" w:rsidP="008C5EC3">
      <w:pPr>
        <w:pStyle w:val="Body"/>
        <w:spacing w:after="0" w:line="480" w:lineRule="auto"/>
        <w:rPr>
          <w:rFonts w:ascii="Arial" w:hAnsi="Arial" w:cs="Arial"/>
          <w:lang w:val="en-GB"/>
        </w:rPr>
      </w:pPr>
    </w:p>
    <w:p w14:paraId="466B7158" w14:textId="77777777" w:rsidR="00A36B07" w:rsidRDefault="00585291" w:rsidP="008C5EC3">
      <w:pPr>
        <w:pStyle w:val="Body"/>
        <w:spacing w:after="0" w:line="480" w:lineRule="auto"/>
        <w:rPr>
          <w:rFonts w:ascii="Arial" w:hAnsi="Arial" w:cs="Arial"/>
        </w:rPr>
      </w:pPr>
      <w:r>
        <w:rPr>
          <w:rFonts w:ascii="Arial" w:hAnsi="Arial" w:cs="Arial"/>
          <w:lang w:val="en-GB"/>
        </w:rPr>
        <w:lastRenderedPageBreak/>
        <w:t xml:space="preserve">District officials claimed in the interviews that during the establishment of the </w:t>
      </w:r>
      <w:r w:rsidR="00772C6D">
        <w:rPr>
          <w:rFonts w:ascii="Arial" w:hAnsi="Arial" w:cs="Arial"/>
          <w:lang w:val="en-GB"/>
        </w:rPr>
        <w:t xml:space="preserve">KPL </w:t>
      </w:r>
      <w:r>
        <w:rPr>
          <w:rFonts w:ascii="Arial" w:hAnsi="Arial" w:cs="Arial"/>
          <w:lang w:val="en-GB"/>
        </w:rPr>
        <w:t>farm,</w:t>
      </w:r>
      <w:r w:rsidR="00A62BB6" w:rsidRPr="00A62BB6">
        <w:rPr>
          <w:rFonts w:ascii="Arial" w:hAnsi="Arial" w:cs="Arial"/>
          <w:lang w:val="en-GB"/>
        </w:rPr>
        <w:t xml:space="preserve"> the land was bare</w:t>
      </w:r>
      <w:r>
        <w:rPr>
          <w:rFonts w:ascii="Arial" w:hAnsi="Arial" w:cs="Arial"/>
          <w:lang w:val="en-GB"/>
        </w:rPr>
        <w:t>,</w:t>
      </w:r>
      <w:r w:rsidR="00A62BB6" w:rsidRPr="00A62BB6">
        <w:rPr>
          <w:rFonts w:ascii="Arial" w:hAnsi="Arial" w:cs="Arial"/>
          <w:lang w:val="en-GB"/>
        </w:rPr>
        <w:t xml:space="preserve"> so no compensation was </w:t>
      </w:r>
      <w:r w:rsidR="00772C6D">
        <w:rPr>
          <w:rFonts w:ascii="Arial" w:hAnsi="Arial" w:cs="Arial"/>
          <w:lang w:val="en-GB"/>
        </w:rPr>
        <w:t>necessary</w:t>
      </w:r>
      <w:r w:rsidR="00A62BB6" w:rsidRPr="00A62BB6">
        <w:rPr>
          <w:rFonts w:ascii="Arial" w:hAnsi="Arial" w:cs="Arial"/>
          <w:lang w:val="en-GB"/>
        </w:rPr>
        <w:t xml:space="preserve">. But Village Council members </w:t>
      </w:r>
      <w:r w:rsidR="00772C6D">
        <w:rPr>
          <w:rFonts w:ascii="Arial" w:hAnsi="Arial" w:cs="Arial"/>
          <w:lang w:val="en-GB"/>
        </w:rPr>
        <w:t xml:space="preserve">in the focus group discussion </w:t>
      </w:r>
      <w:r w:rsidR="00A62BB6" w:rsidRPr="00A62BB6">
        <w:rPr>
          <w:rFonts w:ascii="Arial" w:hAnsi="Arial" w:cs="Arial"/>
          <w:lang w:val="en-GB"/>
        </w:rPr>
        <w:t xml:space="preserve">objected, </w:t>
      </w:r>
      <w:r w:rsidR="00A36B07">
        <w:rPr>
          <w:rFonts w:ascii="Arial" w:hAnsi="Arial" w:cs="Arial"/>
          <w:lang w:val="en-GB"/>
        </w:rPr>
        <w:t>claiming</w:t>
      </w:r>
      <w:r w:rsidR="00A62BB6" w:rsidRPr="00A62BB6">
        <w:rPr>
          <w:rFonts w:ascii="Arial" w:hAnsi="Arial" w:cs="Arial"/>
          <w:lang w:val="en-GB"/>
        </w:rPr>
        <w:t xml:space="preserve"> households </w:t>
      </w:r>
      <w:r w:rsidR="00772C6D">
        <w:rPr>
          <w:rFonts w:ascii="Arial" w:hAnsi="Arial" w:cs="Arial"/>
          <w:lang w:val="en-GB"/>
        </w:rPr>
        <w:t xml:space="preserve">that </w:t>
      </w:r>
      <w:r w:rsidR="00A36B07">
        <w:rPr>
          <w:rFonts w:ascii="Arial" w:hAnsi="Arial" w:cs="Arial"/>
          <w:lang w:val="en-GB"/>
        </w:rPr>
        <w:t xml:space="preserve">had </w:t>
      </w:r>
      <w:r>
        <w:rPr>
          <w:rFonts w:ascii="Arial" w:hAnsi="Arial" w:cs="Arial"/>
          <w:lang w:val="en-GB"/>
        </w:rPr>
        <w:t>lived on the land</w:t>
      </w:r>
      <w:r w:rsidR="00A62BB6" w:rsidRPr="00A62BB6">
        <w:rPr>
          <w:rFonts w:ascii="Arial" w:hAnsi="Arial" w:cs="Arial"/>
          <w:lang w:val="en-GB"/>
        </w:rPr>
        <w:t xml:space="preserve"> </w:t>
      </w:r>
      <w:r>
        <w:rPr>
          <w:rFonts w:ascii="Arial" w:hAnsi="Arial" w:cs="Arial"/>
          <w:lang w:val="en-GB"/>
        </w:rPr>
        <w:t>had been displaced</w:t>
      </w:r>
      <w:r w:rsidR="00772C6D">
        <w:rPr>
          <w:rFonts w:ascii="Arial" w:hAnsi="Arial" w:cs="Arial"/>
          <w:lang w:val="en-GB"/>
        </w:rPr>
        <w:t xml:space="preserve"> through villagisation, creating</w:t>
      </w:r>
      <w:r w:rsidR="00A62BB6" w:rsidRPr="00A62BB6">
        <w:rPr>
          <w:rFonts w:ascii="Arial" w:hAnsi="Arial" w:cs="Arial"/>
          <w:lang w:val="en-GB"/>
        </w:rPr>
        <w:t xml:space="preserve"> </w:t>
      </w:r>
      <w:r>
        <w:rPr>
          <w:rFonts w:ascii="Arial" w:hAnsi="Arial" w:cs="Arial"/>
          <w:lang w:val="en-GB"/>
        </w:rPr>
        <w:t>a vacuum for KOTACO</w:t>
      </w:r>
      <w:r w:rsidR="00A62BB6" w:rsidRPr="00A62BB6">
        <w:rPr>
          <w:rFonts w:ascii="Arial" w:hAnsi="Arial" w:cs="Arial"/>
          <w:lang w:val="en-GB"/>
        </w:rPr>
        <w:t xml:space="preserve">. </w:t>
      </w:r>
      <w:r w:rsidR="00772C6D" w:rsidRPr="00772C6D">
        <w:rPr>
          <w:rFonts w:ascii="Arial" w:hAnsi="Arial" w:cs="Arial"/>
        </w:rPr>
        <w:t>Over time, returnees and migrants reoccupied portions of the farm, and by the time K</w:t>
      </w:r>
      <w:r w:rsidR="00772C6D">
        <w:rPr>
          <w:rFonts w:ascii="Arial" w:hAnsi="Arial" w:cs="Arial"/>
        </w:rPr>
        <w:t>PL</w:t>
      </w:r>
      <w:r w:rsidR="00772C6D" w:rsidRPr="00772C6D">
        <w:rPr>
          <w:rFonts w:ascii="Arial" w:hAnsi="Arial" w:cs="Arial"/>
        </w:rPr>
        <w:t xml:space="preserve"> assumed control, reports documented more than two thousand smallholder households living and farming on parts</w:t>
      </w:r>
      <w:sdt>
        <w:sdtPr>
          <w:rPr>
            <w:rFonts w:ascii="Arial" w:hAnsi="Arial" w:cs="Arial"/>
          </w:rPr>
          <w:id w:val="-1690446030"/>
          <w:citation/>
        </w:sdtPr>
        <w:sdtEndPr/>
        <w:sdtContent>
          <w:r w:rsidR="00772C6D">
            <w:rPr>
              <w:rFonts w:ascii="Arial" w:hAnsi="Arial" w:cs="Arial"/>
            </w:rPr>
            <w:fldChar w:fldCharType="begin"/>
          </w:r>
          <w:r w:rsidR="00772C6D">
            <w:rPr>
              <w:rFonts w:ascii="Arial" w:hAnsi="Arial" w:cs="Arial"/>
            </w:rPr>
            <w:instrText xml:space="preserve"> CITATION Bas10 \l 1033 </w:instrText>
          </w:r>
          <w:r w:rsidR="00772C6D">
            <w:rPr>
              <w:rFonts w:ascii="Arial" w:hAnsi="Arial" w:cs="Arial"/>
            </w:rPr>
            <w:fldChar w:fldCharType="separate"/>
          </w:r>
          <w:r w:rsidR="00772C6D">
            <w:rPr>
              <w:rFonts w:ascii="Arial" w:hAnsi="Arial" w:cs="Arial"/>
              <w:noProof/>
            </w:rPr>
            <w:t xml:space="preserve"> </w:t>
          </w:r>
          <w:r w:rsidR="00772C6D" w:rsidRPr="00772C6D">
            <w:rPr>
              <w:rFonts w:ascii="Arial" w:hAnsi="Arial" w:cs="Arial"/>
              <w:noProof/>
            </w:rPr>
            <w:t>(Hassani, 2010)</w:t>
          </w:r>
          <w:r w:rsidR="00772C6D">
            <w:rPr>
              <w:rFonts w:ascii="Arial" w:hAnsi="Arial" w:cs="Arial"/>
            </w:rPr>
            <w:fldChar w:fldCharType="end"/>
          </w:r>
        </w:sdtContent>
      </w:sdt>
      <w:r w:rsidR="00A62BB6" w:rsidRPr="00A62BB6">
        <w:rPr>
          <w:rFonts w:ascii="Arial" w:hAnsi="Arial" w:cs="Arial"/>
          <w:lang w:val="en-GB"/>
        </w:rPr>
        <w:t xml:space="preserve"> </w:t>
      </w:r>
      <w:r w:rsidR="00772C6D" w:rsidRPr="00772C6D">
        <w:rPr>
          <w:rFonts w:ascii="Arial" w:hAnsi="Arial" w:cs="Arial"/>
        </w:rPr>
        <w:t>Attempts to formalize investor control prompted evicti</w:t>
      </w:r>
      <w:r w:rsidR="00772C6D">
        <w:rPr>
          <w:rFonts w:ascii="Arial" w:hAnsi="Arial" w:cs="Arial"/>
        </w:rPr>
        <w:t>on plans, resettlement packages</w:t>
      </w:r>
      <w:r w:rsidR="00772C6D" w:rsidRPr="00772C6D">
        <w:rPr>
          <w:rFonts w:ascii="Arial" w:hAnsi="Arial" w:cs="Arial"/>
        </w:rPr>
        <w:t>, and subsequent disputes when resettlement lands overlapped protected areas or proved unsuitable.</w:t>
      </w:r>
    </w:p>
    <w:p w14:paraId="22E80BDF" w14:textId="77777777" w:rsidR="00FB7403" w:rsidRPr="00A62BB6" w:rsidRDefault="00FB7403" w:rsidP="008C5EC3">
      <w:pPr>
        <w:pStyle w:val="Body"/>
        <w:spacing w:after="0" w:line="480" w:lineRule="auto"/>
        <w:rPr>
          <w:rFonts w:ascii="Arial" w:hAnsi="Arial" w:cs="Arial"/>
          <w:lang w:val="en-GB"/>
        </w:rPr>
      </w:pPr>
    </w:p>
    <w:p w14:paraId="3B1C27C1" w14:textId="77777777" w:rsidR="00A62BB6" w:rsidRDefault="00A62BB6" w:rsidP="008C5EC3">
      <w:pPr>
        <w:pStyle w:val="Body"/>
        <w:numPr>
          <w:ilvl w:val="1"/>
          <w:numId w:val="34"/>
        </w:numPr>
        <w:spacing w:after="0" w:line="480" w:lineRule="auto"/>
        <w:rPr>
          <w:rFonts w:ascii="Arial" w:hAnsi="Arial" w:cs="Arial"/>
          <w:b/>
          <w:sz w:val="22"/>
          <w:szCs w:val="22"/>
          <w:lang w:val="en-GB"/>
        </w:rPr>
      </w:pPr>
      <w:r w:rsidRPr="00511B19">
        <w:rPr>
          <w:rFonts w:ascii="Arial" w:hAnsi="Arial" w:cs="Arial"/>
          <w:b/>
          <w:sz w:val="22"/>
          <w:szCs w:val="22"/>
          <w:lang w:val="en-GB"/>
        </w:rPr>
        <w:t>Compensation Controversies</w:t>
      </w:r>
    </w:p>
    <w:p w14:paraId="422DE45D" w14:textId="77777777" w:rsidR="006B5950" w:rsidRPr="00511B19" w:rsidRDefault="006B5950" w:rsidP="008C5EC3">
      <w:pPr>
        <w:pStyle w:val="Body"/>
        <w:spacing w:after="0" w:line="480" w:lineRule="auto"/>
        <w:ind w:left="1080"/>
        <w:rPr>
          <w:rFonts w:ascii="Arial" w:hAnsi="Arial" w:cs="Arial"/>
          <w:b/>
          <w:sz w:val="22"/>
          <w:szCs w:val="22"/>
          <w:lang w:val="en-GB"/>
        </w:rPr>
      </w:pPr>
    </w:p>
    <w:p w14:paraId="759EA809" w14:textId="77777777" w:rsidR="00A62BB6" w:rsidRDefault="00A62BB6" w:rsidP="008C5EC3">
      <w:pPr>
        <w:pStyle w:val="Body"/>
        <w:spacing w:after="0" w:line="480" w:lineRule="auto"/>
        <w:rPr>
          <w:rFonts w:ascii="Arial" w:hAnsi="Arial" w:cs="Arial"/>
          <w:lang w:val="en-GB"/>
        </w:rPr>
      </w:pPr>
      <w:r w:rsidRPr="00A62BB6">
        <w:rPr>
          <w:rFonts w:ascii="Arial" w:hAnsi="Arial" w:cs="Arial"/>
          <w:lang w:val="en-GB"/>
        </w:rPr>
        <w:t>A Resettlement Action Plan proposed ceding 283 hectares of densely settled land to smallholders, and evicting others on sparsely settled land with compensation</w:t>
      </w:r>
      <w:sdt>
        <w:sdtPr>
          <w:rPr>
            <w:rFonts w:ascii="Arial" w:hAnsi="Arial" w:cs="Arial"/>
            <w:lang w:val="en-GB"/>
          </w:rPr>
          <w:id w:val="1308205230"/>
          <w:citation/>
        </w:sdtPr>
        <w:sdtEndPr/>
        <w:sdtContent>
          <w:r w:rsidR="00DE1690">
            <w:rPr>
              <w:rFonts w:ascii="Arial" w:hAnsi="Arial" w:cs="Arial"/>
              <w:lang w:val="en-GB"/>
            </w:rPr>
            <w:fldChar w:fldCharType="begin"/>
          </w:r>
          <w:r w:rsidR="00DE1690">
            <w:rPr>
              <w:rFonts w:ascii="Arial" w:hAnsi="Arial" w:cs="Arial"/>
            </w:rPr>
            <w:instrText xml:space="preserve"> CITATION Bas10 \l 1033 </w:instrText>
          </w:r>
          <w:r w:rsidR="00DE1690">
            <w:rPr>
              <w:rFonts w:ascii="Arial" w:hAnsi="Arial" w:cs="Arial"/>
              <w:lang w:val="en-GB"/>
            </w:rPr>
            <w:fldChar w:fldCharType="separate"/>
          </w:r>
          <w:r w:rsidR="00DE1690">
            <w:rPr>
              <w:rFonts w:ascii="Arial" w:hAnsi="Arial" w:cs="Arial"/>
              <w:noProof/>
            </w:rPr>
            <w:t xml:space="preserve"> </w:t>
          </w:r>
          <w:r w:rsidR="00DE1690" w:rsidRPr="00DE1690">
            <w:rPr>
              <w:rFonts w:ascii="Arial" w:hAnsi="Arial" w:cs="Arial"/>
              <w:noProof/>
            </w:rPr>
            <w:t>(Hassani, 2010)</w:t>
          </w:r>
          <w:r w:rsidR="00DE1690">
            <w:rPr>
              <w:rFonts w:ascii="Arial" w:hAnsi="Arial" w:cs="Arial"/>
              <w:lang w:val="en-GB"/>
            </w:rPr>
            <w:fldChar w:fldCharType="end"/>
          </w:r>
        </w:sdtContent>
      </w:sdt>
      <w:r w:rsidRPr="00A62BB6">
        <w:rPr>
          <w:rFonts w:ascii="Arial" w:hAnsi="Arial" w:cs="Arial"/>
          <w:lang w:val="en-GB"/>
        </w:rPr>
        <w:t>. Evicted smallholders were offered to choose between cash compensation and in-kind compensation. However, the TZS 30,000 cash compensation per acre, paid by KPL was way under the market prices of TZS 200,000 to 300,000 per acre for similar land at the time. Moreover, the displaced people were only compensated for a maximum of three acres, regardless of the number of acres that they had held prior. For those who lost housing, compensation ignored former house size, and all were compensated with only two-room housing units, regardless of the number of rooms that were lost in the previous housing unit.</w:t>
      </w:r>
    </w:p>
    <w:p w14:paraId="62A162D2" w14:textId="77777777" w:rsidR="006B5950" w:rsidRPr="00A62BB6" w:rsidRDefault="006B5950" w:rsidP="008C5EC3">
      <w:pPr>
        <w:pStyle w:val="Body"/>
        <w:spacing w:after="0" w:line="480" w:lineRule="auto"/>
        <w:rPr>
          <w:rFonts w:ascii="Arial" w:hAnsi="Arial" w:cs="Arial"/>
          <w:lang w:val="en-GB"/>
        </w:rPr>
      </w:pPr>
    </w:p>
    <w:p w14:paraId="6458EE60" w14:textId="77777777" w:rsidR="00A62BB6" w:rsidRDefault="00A62BB6" w:rsidP="008C5EC3">
      <w:pPr>
        <w:pStyle w:val="Body"/>
        <w:spacing w:after="0" w:line="480" w:lineRule="auto"/>
        <w:rPr>
          <w:rFonts w:ascii="Arial" w:hAnsi="Arial" w:cs="Arial"/>
          <w:lang w:val="en-GB"/>
        </w:rPr>
      </w:pPr>
      <w:r w:rsidRPr="00A62BB6">
        <w:rPr>
          <w:rFonts w:ascii="Arial" w:hAnsi="Arial" w:cs="Arial"/>
          <w:lang w:val="en-GB"/>
        </w:rPr>
        <w:t xml:space="preserve">Similarly, smallholders who opted for in-kind compensation were compensated with three acres of land at </w:t>
      </w:r>
      <w:proofErr w:type="spellStart"/>
      <w:r w:rsidRPr="00A62BB6">
        <w:rPr>
          <w:rFonts w:ascii="Arial" w:hAnsi="Arial" w:cs="Arial"/>
          <w:lang w:val="en-GB"/>
        </w:rPr>
        <w:t>Fibwe-Njenani</w:t>
      </w:r>
      <w:proofErr w:type="spellEnd"/>
      <w:r w:rsidRPr="00A62BB6">
        <w:rPr>
          <w:rFonts w:ascii="Arial" w:hAnsi="Arial" w:cs="Arial"/>
          <w:lang w:val="en-GB"/>
        </w:rPr>
        <w:t xml:space="preserve"> regardless of the number of acres that the individuals lost. An FGD participant explained: </w:t>
      </w:r>
      <w:r w:rsidRPr="00A62BB6">
        <w:rPr>
          <w:rFonts w:ascii="Arial" w:hAnsi="Arial" w:cs="Arial"/>
          <w:i/>
          <w:iCs/>
          <w:lang w:val="en-GB"/>
        </w:rPr>
        <w:t>“They gave us three acres, but most had lost seven to ten acres.”</w:t>
      </w:r>
      <w:r w:rsidRPr="00A62BB6">
        <w:rPr>
          <w:rFonts w:ascii="Arial" w:hAnsi="Arial" w:cs="Arial"/>
          <w:lang w:val="en-GB"/>
        </w:rPr>
        <w:t xml:space="preserve"> This mismatch between the lost and compensated land was experienced as livelihood dispossession. Officials, however, maintained that the smallholders on the farm were technically “squatters” and thus entitled only to discretionary payments under Section 175(4i) of the Land Act</w:t>
      </w:r>
      <w:r w:rsidR="00D6026B">
        <w:rPr>
          <w:rFonts w:ascii="Arial" w:hAnsi="Arial" w:cs="Arial"/>
          <w:lang w:val="en-GB"/>
        </w:rPr>
        <w:t xml:space="preserve"> 1999</w:t>
      </w:r>
      <w:r w:rsidRPr="00A62BB6">
        <w:rPr>
          <w:rFonts w:ascii="Arial" w:hAnsi="Arial" w:cs="Arial"/>
          <w:lang w:val="en-GB"/>
        </w:rPr>
        <w:t>. This divergence in the interpretation of compensation versus compassionate payment generated lasting resentment.</w:t>
      </w:r>
    </w:p>
    <w:p w14:paraId="42BDBBC8" w14:textId="77777777" w:rsidR="006B5950" w:rsidRPr="00A62BB6" w:rsidRDefault="006B5950" w:rsidP="008C5EC3">
      <w:pPr>
        <w:pStyle w:val="Body"/>
        <w:spacing w:after="0" w:line="480" w:lineRule="auto"/>
        <w:rPr>
          <w:rFonts w:ascii="Arial" w:hAnsi="Arial" w:cs="Arial"/>
          <w:lang w:val="en-GB"/>
        </w:rPr>
      </w:pPr>
    </w:p>
    <w:p w14:paraId="03D9B882" w14:textId="77777777" w:rsidR="00A62BB6" w:rsidRDefault="00A62BB6" w:rsidP="008C5EC3">
      <w:pPr>
        <w:pStyle w:val="Body"/>
        <w:numPr>
          <w:ilvl w:val="1"/>
          <w:numId w:val="34"/>
        </w:numPr>
        <w:spacing w:after="0" w:line="480" w:lineRule="auto"/>
        <w:rPr>
          <w:rFonts w:ascii="Arial" w:hAnsi="Arial" w:cs="Arial"/>
          <w:b/>
          <w:sz w:val="22"/>
          <w:szCs w:val="22"/>
          <w:lang w:val="en-GB"/>
        </w:rPr>
      </w:pPr>
      <w:r w:rsidRPr="00511B19">
        <w:rPr>
          <w:rFonts w:ascii="Arial" w:hAnsi="Arial" w:cs="Arial"/>
          <w:b/>
          <w:sz w:val="22"/>
          <w:szCs w:val="22"/>
          <w:lang w:val="en-GB"/>
        </w:rPr>
        <w:t>Exclusion and Village Council Resistance</w:t>
      </w:r>
    </w:p>
    <w:p w14:paraId="52880654" w14:textId="77777777" w:rsidR="006B5950" w:rsidRPr="00511B19" w:rsidRDefault="006B5950" w:rsidP="008C5EC3">
      <w:pPr>
        <w:pStyle w:val="Body"/>
        <w:spacing w:after="0" w:line="480" w:lineRule="auto"/>
        <w:ind w:left="1080"/>
        <w:rPr>
          <w:rFonts w:ascii="Arial" w:hAnsi="Arial" w:cs="Arial"/>
          <w:b/>
          <w:sz w:val="22"/>
          <w:szCs w:val="22"/>
          <w:lang w:val="en-GB"/>
        </w:rPr>
      </w:pPr>
    </w:p>
    <w:p w14:paraId="476799B5" w14:textId="77777777" w:rsidR="00A62BB6" w:rsidRDefault="00A62BB6" w:rsidP="008C5EC3">
      <w:pPr>
        <w:pStyle w:val="Body"/>
        <w:spacing w:after="0" w:line="480" w:lineRule="auto"/>
        <w:rPr>
          <w:rFonts w:ascii="Arial" w:hAnsi="Arial" w:cs="Arial"/>
          <w:lang w:val="en-GB"/>
        </w:rPr>
      </w:pPr>
      <w:r w:rsidRPr="00A62BB6">
        <w:rPr>
          <w:rFonts w:ascii="Arial" w:hAnsi="Arial" w:cs="Arial"/>
          <w:lang w:val="en-GB"/>
        </w:rPr>
        <w:t xml:space="preserve">The </w:t>
      </w:r>
      <w:r w:rsidR="00D6026B" w:rsidRPr="00A62BB6">
        <w:rPr>
          <w:rFonts w:ascii="Arial" w:hAnsi="Arial" w:cs="Arial"/>
          <w:lang w:val="en-GB"/>
        </w:rPr>
        <w:t xml:space="preserve">Village Council allocated </w:t>
      </w:r>
      <w:r w:rsidRPr="00A62BB6">
        <w:rPr>
          <w:rFonts w:ascii="Arial" w:hAnsi="Arial" w:cs="Arial"/>
          <w:lang w:val="en-GB"/>
        </w:rPr>
        <w:t xml:space="preserve">smallholders who accepted in-kind compensation </w:t>
      </w:r>
      <w:r w:rsidR="00D6026B">
        <w:rPr>
          <w:rFonts w:ascii="Arial" w:hAnsi="Arial" w:cs="Arial"/>
          <w:lang w:val="en-GB"/>
        </w:rPr>
        <w:t>land</w:t>
      </w:r>
      <w:r w:rsidRPr="00A62BB6">
        <w:rPr>
          <w:rFonts w:ascii="Arial" w:hAnsi="Arial" w:cs="Arial"/>
          <w:lang w:val="en-GB"/>
        </w:rPr>
        <w:t xml:space="preserve"> at </w:t>
      </w:r>
      <w:proofErr w:type="spellStart"/>
      <w:r w:rsidRPr="00A62BB6">
        <w:rPr>
          <w:rFonts w:ascii="Arial" w:hAnsi="Arial" w:cs="Arial"/>
          <w:lang w:val="en-GB"/>
        </w:rPr>
        <w:t>Fibwe-Njenani</w:t>
      </w:r>
      <w:proofErr w:type="spellEnd"/>
      <w:r w:rsidR="00D6026B">
        <w:rPr>
          <w:rFonts w:ascii="Arial" w:hAnsi="Arial" w:cs="Arial"/>
          <w:lang w:val="en-GB"/>
        </w:rPr>
        <w:t xml:space="preserve"> only to discover it</w:t>
      </w:r>
      <w:r w:rsidRPr="00A62BB6">
        <w:rPr>
          <w:rFonts w:ascii="Arial" w:hAnsi="Arial" w:cs="Arial"/>
          <w:lang w:val="en-GB"/>
        </w:rPr>
        <w:t xml:space="preserve"> was in a Ramsar reserve, le</w:t>
      </w:r>
      <w:r w:rsidR="00D6026B">
        <w:rPr>
          <w:rFonts w:ascii="Arial" w:hAnsi="Arial" w:cs="Arial"/>
          <w:lang w:val="en-GB"/>
        </w:rPr>
        <w:t>ading to another round</w:t>
      </w:r>
      <w:r w:rsidRPr="00A62BB6">
        <w:rPr>
          <w:rFonts w:ascii="Arial" w:hAnsi="Arial" w:cs="Arial"/>
          <w:lang w:val="en-GB"/>
        </w:rPr>
        <w:t xml:space="preserve"> of evictions</w:t>
      </w:r>
      <w:r w:rsidR="00D6026B">
        <w:rPr>
          <w:rFonts w:ascii="Arial" w:hAnsi="Arial" w:cs="Arial"/>
          <w:lang w:val="en-GB"/>
        </w:rPr>
        <w:t>, this time</w:t>
      </w:r>
      <w:r w:rsidRPr="00A62BB6">
        <w:rPr>
          <w:rFonts w:ascii="Arial" w:hAnsi="Arial" w:cs="Arial"/>
          <w:lang w:val="en-GB"/>
        </w:rPr>
        <w:t xml:space="preserve"> by game scouts managing the reserve land. The Village Council found alternative land</w:t>
      </w:r>
      <w:r w:rsidR="00D6026B">
        <w:rPr>
          <w:rFonts w:ascii="Arial" w:hAnsi="Arial" w:cs="Arial"/>
          <w:lang w:val="en-GB"/>
        </w:rPr>
        <w:t xml:space="preserve"> for settlement at </w:t>
      </w:r>
      <w:proofErr w:type="spellStart"/>
      <w:r w:rsidR="00D6026B">
        <w:rPr>
          <w:rFonts w:ascii="Arial" w:hAnsi="Arial" w:cs="Arial"/>
          <w:lang w:val="en-GB"/>
        </w:rPr>
        <w:t>Kipelekesi</w:t>
      </w:r>
      <w:proofErr w:type="spellEnd"/>
      <w:r w:rsidRPr="00A62BB6">
        <w:rPr>
          <w:rFonts w:ascii="Arial" w:hAnsi="Arial" w:cs="Arial"/>
          <w:lang w:val="en-GB"/>
        </w:rPr>
        <w:t xml:space="preserve">. Some of the evictees refused relocation to </w:t>
      </w:r>
      <w:proofErr w:type="spellStart"/>
      <w:r w:rsidRPr="00A62BB6">
        <w:rPr>
          <w:rFonts w:ascii="Arial" w:hAnsi="Arial" w:cs="Arial"/>
          <w:lang w:val="en-GB"/>
        </w:rPr>
        <w:t>Kipelekesi</w:t>
      </w:r>
      <w:proofErr w:type="spellEnd"/>
      <w:r w:rsidR="00D6026B">
        <w:rPr>
          <w:rFonts w:ascii="Arial" w:hAnsi="Arial" w:cs="Arial"/>
          <w:lang w:val="en-GB"/>
        </w:rPr>
        <w:t xml:space="preserve"> </w:t>
      </w:r>
      <w:r w:rsidR="00D6026B">
        <w:rPr>
          <w:rFonts w:ascii="Arial" w:hAnsi="Arial" w:cs="Arial"/>
          <w:lang w:val="en-GB"/>
        </w:rPr>
        <w:lastRenderedPageBreak/>
        <w:t>because it was waterlogged</w:t>
      </w:r>
      <w:r w:rsidRPr="00A62BB6">
        <w:rPr>
          <w:rFonts w:ascii="Arial" w:hAnsi="Arial" w:cs="Arial"/>
          <w:lang w:val="en-GB"/>
        </w:rPr>
        <w:t xml:space="preserve">; instead, they negotiated seasonal rentals on the KPL farm. KPL agreed to rent marginal land that it could not irrigate, for which it required </w:t>
      </w:r>
      <w:r w:rsidR="00D6026B">
        <w:rPr>
          <w:rFonts w:ascii="Arial" w:hAnsi="Arial" w:cs="Arial"/>
          <w:lang w:val="en-GB"/>
        </w:rPr>
        <w:t>a</w:t>
      </w:r>
      <w:r w:rsidRPr="00A62BB6">
        <w:rPr>
          <w:rFonts w:ascii="Arial" w:hAnsi="Arial" w:cs="Arial"/>
          <w:lang w:val="en-GB"/>
        </w:rPr>
        <w:t xml:space="preserve"> pay</w:t>
      </w:r>
      <w:r w:rsidR="00D6026B">
        <w:rPr>
          <w:rFonts w:ascii="Arial" w:hAnsi="Arial" w:cs="Arial"/>
          <w:lang w:val="en-GB"/>
        </w:rPr>
        <w:t>ment of</w:t>
      </w:r>
      <w:r w:rsidRPr="00A62BB6">
        <w:rPr>
          <w:rFonts w:ascii="Arial" w:hAnsi="Arial" w:cs="Arial"/>
          <w:lang w:val="en-GB"/>
        </w:rPr>
        <w:t xml:space="preserve"> TZS 100,000 per acre yearly, or an</w:t>
      </w:r>
      <w:r w:rsidR="00D6026B">
        <w:rPr>
          <w:rFonts w:ascii="Arial" w:hAnsi="Arial" w:cs="Arial"/>
          <w:lang w:val="en-GB"/>
        </w:rPr>
        <w:t xml:space="preserve"> equivalent amount in crops, no </w:t>
      </w:r>
      <w:r w:rsidRPr="00A62BB6">
        <w:rPr>
          <w:rFonts w:ascii="Arial" w:hAnsi="Arial" w:cs="Arial"/>
          <w:lang w:val="en-GB"/>
        </w:rPr>
        <w:t>plant</w:t>
      </w:r>
      <w:r w:rsidR="00D6026B">
        <w:rPr>
          <w:rFonts w:ascii="Arial" w:hAnsi="Arial" w:cs="Arial"/>
          <w:lang w:val="en-GB"/>
        </w:rPr>
        <w:t>ing of</w:t>
      </w:r>
      <w:r w:rsidRPr="00A62BB6">
        <w:rPr>
          <w:rFonts w:ascii="Arial" w:hAnsi="Arial" w:cs="Arial"/>
          <w:lang w:val="en-GB"/>
        </w:rPr>
        <w:t xml:space="preserve"> perennial crops, and rotated the tenants to different plots each year to discourage attachment and ownership claims.</w:t>
      </w:r>
    </w:p>
    <w:p w14:paraId="6C80A2BF" w14:textId="77777777" w:rsidR="006B5950" w:rsidRPr="00A62BB6" w:rsidRDefault="006B5950" w:rsidP="008C5EC3">
      <w:pPr>
        <w:pStyle w:val="Body"/>
        <w:spacing w:after="0" w:line="480" w:lineRule="auto"/>
        <w:rPr>
          <w:rFonts w:ascii="Arial" w:hAnsi="Arial" w:cs="Arial"/>
          <w:lang w:val="en-GB"/>
        </w:rPr>
      </w:pPr>
    </w:p>
    <w:p w14:paraId="1DF06C1B" w14:textId="77777777" w:rsidR="00A62BB6" w:rsidRDefault="00A62BB6" w:rsidP="008C5EC3">
      <w:pPr>
        <w:pStyle w:val="Body"/>
        <w:spacing w:after="0" w:line="480" w:lineRule="auto"/>
        <w:rPr>
          <w:rFonts w:ascii="Arial" w:hAnsi="Arial" w:cs="Arial"/>
          <w:lang w:val="en-GB"/>
        </w:rPr>
      </w:pPr>
      <w:r w:rsidRPr="00A62BB6">
        <w:rPr>
          <w:rFonts w:ascii="Arial" w:hAnsi="Arial" w:cs="Arial"/>
          <w:lang w:val="en-GB"/>
        </w:rPr>
        <w:t xml:space="preserve">FGD respondents described this as exploitative: </w:t>
      </w:r>
      <w:r w:rsidRPr="00A62BB6">
        <w:rPr>
          <w:rFonts w:ascii="Arial" w:hAnsi="Arial" w:cs="Arial"/>
          <w:i/>
          <w:iCs/>
          <w:lang w:val="en-GB"/>
        </w:rPr>
        <w:t>“We became tenants on land we once owned. We pay rent, but we have no security.”</w:t>
      </w:r>
      <w:r w:rsidRPr="00A62BB6">
        <w:rPr>
          <w:rFonts w:ascii="Arial" w:hAnsi="Arial" w:cs="Arial"/>
          <w:lang w:val="en-GB"/>
        </w:rPr>
        <w:t xml:space="preserve"> These arrangements highlight both the asymmetrical power relations between investors and smallholders and the weakness of Village Councils, which lose all authority once land is converted to general land. Even when parts of the estate were ceded, they remained categorized as general land under the Commissioner for Lands, rather than reverting to village control.</w:t>
      </w:r>
    </w:p>
    <w:p w14:paraId="2B6FFEE2" w14:textId="77777777" w:rsidR="006B5950" w:rsidRPr="00A62BB6" w:rsidRDefault="006B5950" w:rsidP="008C5EC3">
      <w:pPr>
        <w:pStyle w:val="Body"/>
        <w:spacing w:after="0" w:line="480" w:lineRule="auto"/>
        <w:rPr>
          <w:rFonts w:ascii="Arial" w:hAnsi="Arial" w:cs="Arial"/>
          <w:lang w:val="en-GB"/>
        </w:rPr>
      </w:pPr>
    </w:p>
    <w:p w14:paraId="0291EAFD" w14:textId="77777777" w:rsidR="00A62BB6" w:rsidRDefault="00A62BB6" w:rsidP="008C5EC3">
      <w:pPr>
        <w:pStyle w:val="Body"/>
        <w:numPr>
          <w:ilvl w:val="1"/>
          <w:numId w:val="34"/>
        </w:numPr>
        <w:spacing w:after="0" w:line="480" w:lineRule="auto"/>
        <w:rPr>
          <w:rFonts w:ascii="Arial" w:hAnsi="Arial" w:cs="Arial"/>
          <w:b/>
          <w:sz w:val="22"/>
          <w:szCs w:val="22"/>
          <w:lang w:val="en-GB"/>
        </w:rPr>
      </w:pPr>
      <w:r w:rsidRPr="00511B19">
        <w:rPr>
          <w:rFonts w:ascii="Arial" w:hAnsi="Arial" w:cs="Arial"/>
          <w:b/>
          <w:sz w:val="22"/>
          <w:szCs w:val="22"/>
          <w:lang w:val="en-GB"/>
        </w:rPr>
        <w:t>Government Land and Adverse Possession</w:t>
      </w:r>
    </w:p>
    <w:p w14:paraId="32F098F1" w14:textId="77777777" w:rsidR="006B5950" w:rsidRPr="00511B19" w:rsidRDefault="006B5950" w:rsidP="008C5EC3">
      <w:pPr>
        <w:pStyle w:val="Body"/>
        <w:spacing w:after="0" w:line="480" w:lineRule="auto"/>
        <w:ind w:left="1080"/>
        <w:rPr>
          <w:rFonts w:ascii="Arial" w:hAnsi="Arial" w:cs="Arial"/>
          <w:b/>
          <w:sz w:val="22"/>
          <w:szCs w:val="22"/>
          <w:lang w:val="en-GB"/>
        </w:rPr>
      </w:pPr>
    </w:p>
    <w:p w14:paraId="532835C3" w14:textId="77777777" w:rsidR="00A62BB6" w:rsidRDefault="00A62BB6" w:rsidP="008C5EC3">
      <w:pPr>
        <w:pStyle w:val="Body"/>
        <w:spacing w:after="0" w:line="480" w:lineRule="auto"/>
        <w:rPr>
          <w:rFonts w:ascii="Arial" w:hAnsi="Arial" w:cs="Arial"/>
          <w:lang w:val="en-GB"/>
        </w:rPr>
      </w:pPr>
      <w:r w:rsidRPr="00A62BB6">
        <w:rPr>
          <w:rFonts w:ascii="Arial" w:hAnsi="Arial" w:cs="Arial"/>
          <w:lang w:val="en-GB"/>
        </w:rPr>
        <w:t>According to an interview with a district technocrat</w:t>
      </w:r>
      <w:r w:rsidR="006B5950">
        <w:rPr>
          <w:rFonts w:ascii="Arial" w:hAnsi="Arial" w:cs="Arial"/>
          <w:lang w:val="en-GB"/>
        </w:rPr>
        <w:t>,</w:t>
      </w:r>
      <w:r w:rsidRPr="00A62BB6">
        <w:rPr>
          <w:rFonts w:ascii="Arial" w:hAnsi="Arial" w:cs="Arial"/>
          <w:lang w:val="en-GB"/>
        </w:rPr>
        <w:t xml:space="preserve"> families that had cultivated the RUBADA estate for over a decade could not claim adverse possession. Section 38(a) </w:t>
      </w:r>
      <w:r w:rsidR="006B5950">
        <w:rPr>
          <w:rFonts w:ascii="Arial" w:hAnsi="Arial" w:cs="Arial"/>
          <w:lang w:val="en-GB"/>
        </w:rPr>
        <w:t xml:space="preserve">of the </w:t>
      </w:r>
      <w:r w:rsidRPr="00A62BB6">
        <w:rPr>
          <w:rFonts w:ascii="Arial" w:hAnsi="Arial" w:cs="Arial"/>
          <w:lang w:val="en-GB"/>
        </w:rPr>
        <w:t>Law of Limitation Act 1971 prohibits it on government land. RUBADA, being a government parastatal holding the land, meant the smallholders could not claim adverse possession of the land held by a government entity. So, no matter the length of the occupation and use of land, no legal rights could be accorded to the land occupiers. This stance killed locally recognized claims based on continuous use of the land and amplified feelings of exclusion and injustice.</w:t>
      </w:r>
    </w:p>
    <w:p w14:paraId="48A34D03" w14:textId="77777777" w:rsidR="006B5950" w:rsidRPr="00A62BB6" w:rsidRDefault="006B5950" w:rsidP="008C5EC3">
      <w:pPr>
        <w:pStyle w:val="Body"/>
        <w:spacing w:after="0" w:line="480" w:lineRule="auto"/>
        <w:rPr>
          <w:rFonts w:ascii="Arial" w:hAnsi="Arial" w:cs="Arial"/>
          <w:lang w:val="en-GB"/>
        </w:rPr>
      </w:pPr>
    </w:p>
    <w:p w14:paraId="3BCE3765" w14:textId="77777777" w:rsidR="00790ADA" w:rsidRPr="006B5950" w:rsidRDefault="007A2D90" w:rsidP="008C5EC3">
      <w:pPr>
        <w:pStyle w:val="Body"/>
        <w:numPr>
          <w:ilvl w:val="0"/>
          <w:numId w:val="34"/>
        </w:numPr>
        <w:spacing w:after="0" w:line="480" w:lineRule="auto"/>
        <w:rPr>
          <w:rFonts w:ascii="Arial" w:hAnsi="Arial" w:cs="Arial"/>
          <w:b/>
        </w:rPr>
      </w:pPr>
      <w:r w:rsidRPr="007A2D90">
        <w:rPr>
          <w:rFonts w:ascii="Arial" w:hAnsi="Arial" w:cs="Arial"/>
          <w:b/>
          <w:caps/>
          <w:sz w:val="22"/>
        </w:rPr>
        <w:t>Discussion and Findings</w:t>
      </w:r>
    </w:p>
    <w:p w14:paraId="712FE638" w14:textId="77777777" w:rsidR="006B5950" w:rsidRPr="007A2D90" w:rsidRDefault="006B5950" w:rsidP="008C5EC3">
      <w:pPr>
        <w:pStyle w:val="Body"/>
        <w:spacing w:after="0" w:line="480" w:lineRule="auto"/>
        <w:ind w:left="720"/>
        <w:rPr>
          <w:rFonts w:ascii="Arial" w:hAnsi="Arial" w:cs="Arial"/>
          <w:b/>
        </w:rPr>
      </w:pPr>
    </w:p>
    <w:p w14:paraId="559FEBF4" w14:textId="77777777" w:rsidR="007A2D90" w:rsidRDefault="007A2D90" w:rsidP="008C5EC3">
      <w:pPr>
        <w:pStyle w:val="Body"/>
        <w:spacing w:after="0" w:line="480" w:lineRule="auto"/>
        <w:rPr>
          <w:rFonts w:ascii="Arial" w:hAnsi="Arial" w:cs="Arial"/>
          <w:lang w:val="en-GB"/>
        </w:rPr>
      </w:pPr>
      <w:r w:rsidRPr="007A2D90">
        <w:rPr>
          <w:rFonts w:ascii="Arial" w:hAnsi="Arial" w:cs="Arial"/>
          <w:lang w:val="en-GB"/>
        </w:rPr>
        <w:t>This part interprets the KPL findings through the lens of conflict theory and property rights. The analysis shows that land conflicts between investors and smallholders in Tanzania are not simply disputes over resource scarcity, but are deeply rooted in overlapping tenure systems, institutional exclusions, and unresolved historical legacies.</w:t>
      </w:r>
    </w:p>
    <w:p w14:paraId="732BC1FC" w14:textId="77777777" w:rsidR="006B5950" w:rsidRPr="007A2D90" w:rsidRDefault="006B5950" w:rsidP="008C5EC3">
      <w:pPr>
        <w:pStyle w:val="Body"/>
        <w:spacing w:after="0" w:line="480" w:lineRule="auto"/>
        <w:rPr>
          <w:rFonts w:ascii="Arial" w:hAnsi="Arial" w:cs="Arial"/>
          <w:lang w:val="en-GB"/>
        </w:rPr>
      </w:pPr>
    </w:p>
    <w:p w14:paraId="70BDD249" w14:textId="77777777" w:rsidR="007A2D90" w:rsidRDefault="007A2D90" w:rsidP="008C5EC3">
      <w:pPr>
        <w:pStyle w:val="Body"/>
        <w:numPr>
          <w:ilvl w:val="1"/>
          <w:numId w:val="34"/>
        </w:numPr>
        <w:spacing w:after="0" w:line="480" w:lineRule="auto"/>
        <w:rPr>
          <w:rFonts w:ascii="Arial" w:hAnsi="Arial" w:cs="Arial"/>
          <w:b/>
          <w:sz w:val="22"/>
          <w:szCs w:val="22"/>
          <w:lang w:val="en-GB"/>
        </w:rPr>
      </w:pPr>
      <w:r w:rsidRPr="00511B19">
        <w:rPr>
          <w:rFonts w:ascii="Arial" w:hAnsi="Arial" w:cs="Arial"/>
          <w:b/>
          <w:sz w:val="22"/>
          <w:szCs w:val="22"/>
          <w:lang w:val="en-GB"/>
        </w:rPr>
        <w:t>The Legacy of Villagisation and Returnee Claims</w:t>
      </w:r>
    </w:p>
    <w:p w14:paraId="3D393088" w14:textId="77777777" w:rsidR="006B5950" w:rsidRPr="00511B19" w:rsidRDefault="006B5950" w:rsidP="008C5EC3">
      <w:pPr>
        <w:pStyle w:val="Body"/>
        <w:spacing w:after="0" w:line="480" w:lineRule="auto"/>
        <w:ind w:left="1080"/>
        <w:rPr>
          <w:rFonts w:ascii="Arial" w:hAnsi="Arial" w:cs="Arial"/>
          <w:b/>
          <w:sz w:val="22"/>
          <w:szCs w:val="22"/>
          <w:lang w:val="en-GB"/>
        </w:rPr>
      </w:pPr>
    </w:p>
    <w:p w14:paraId="5607AE8B" w14:textId="77777777" w:rsidR="007A2D90" w:rsidRDefault="007A2D90" w:rsidP="008C5EC3">
      <w:pPr>
        <w:pStyle w:val="Body"/>
        <w:spacing w:after="0" w:line="480" w:lineRule="auto"/>
        <w:rPr>
          <w:rFonts w:ascii="Arial" w:hAnsi="Arial" w:cs="Arial"/>
          <w:lang w:val="en-GB"/>
        </w:rPr>
      </w:pPr>
      <w:r w:rsidRPr="007A2D90">
        <w:rPr>
          <w:rFonts w:ascii="Arial" w:hAnsi="Arial" w:cs="Arial"/>
          <w:lang w:val="en-GB"/>
        </w:rPr>
        <w:t xml:space="preserve">The case revealed how villagisation policies of the 1970s continue to shape contemporary conflicts. Returnee families, displaced decades earlier, reclaimed land during the farm’s idle years. Although their claims carried strong moral legitimacy, </w:t>
      </w:r>
      <w:r w:rsidRPr="007A2D90">
        <w:rPr>
          <w:rFonts w:ascii="Arial" w:hAnsi="Arial" w:cs="Arial"/>
          <w:lang w:val="en-GB"/>
        </w:rPr>
        <w:lastRenderedPageBreak/>
        <w:t>Section 15 of the Village Land Act (1999) recognizes only post-villagisation rights. This legal stance effectively dismisses pre-villagisation claims, even when grounded in long-term occupation and community memory.</w:t>
      </w:r>
    </w:p>
    <w:p w14:paraId="7FBFDBDD" w14:textId="77777777" w:rsidR="006B5950" w:rsidRPr="007A2D90" w:rsidRDefault="006B5950" w:rsidP="008C5EC3">
      <w:pPr>
        <w:pStyle w:val="Body"/>
        <w:spacing w:after="0" w:line="480" w:lineRule="auto"/>
        <w:rPr>
          <w:rFonts w:ascii="Arial" w:hAnsi="Arial" w:cs="Arial"/>
          <w:lang w:val="en-GB"/>
        </w:rPr>
      </w:pPr>
    </w:p>
    <w:p w14:paraId="7E62B786" w14:textId="77777777" w:rsidR="007A2D90" w:rsidRDefault="007A2D90" w:rsidP="008C5EC3">
      <w:pPr>
        <w:pStyle w:val="Body"/>
        <w:spacing w:after="0" w:line="480" w:lineRule="auto"/>
        <w:rPr>
          <w:rFonts w:ascii="Arial" w:hAnsi="Arial" w:cs="Arial"/>
          <w:lang w:val="en-GB"/>
        </w:rPr>
      </w:pPr>
      <w:r w:rsidRPr="007A2D90">
        <w:rPr>
          <w:rFonts w:ascii="Arial" w:hAnsi="Arial" w:cs="Arial"/>
          <w:lang w:val="en-GB"/>
        </w:rPr>
        <w:t xml:space="preserve">According to property rights theory, rights must be recognized by both claimants and state authority to avoid conflict </w:t>
      </w:r>
      <w:sdt>
        <w:sdtPr>
          <w:rPr>
            <w:rFonts w:ascii="Arial" w:hAnsi="Arial" w:cs="Arial"/>
            <w:lang w:val="en-GB"/>
          </w:rPr>
          <w:id w:val="1853680625"/>
          <w:citation/>
        </w:sdtPr>
        <w:sdtEndPr/>
        <w:sdtContent>
          <w:r w:rsidRPr="007A2D90">
            <w:rPr>
              <w:rFonts w:ascii="Arial" w:hAnsi="Arial" w:cs="Arial"/>
              <w:lang w:val="en-GB"/>
            </w:rPr>
            <w:fldChar w:fldCharType="begin"/>
          </w:r>
          <w:r w:rsidRPr="007A2D90">
            <w:rPr>
              <w:rFonts w:ascii="Arial" w:hAnsi="Arial" w:cs="Arial"/>
            </w:rPr>
            <w:instrText xml:space="preserve"> CITATION Gar89 \l 1033 </w:instrText>
          </w:r>
          <w:r w:rsidRPr="007A2D90">
            <w:rPr>
              <w:rFonts w:ascii="Arial" w:hAnsi="Arial" w:cs="Arial"/>
              <w:lang w:val="en-GB"/>
            </w:rPr>
            <w:fldChar w:fldCharType="separate"/>
          </w:r>
          <w:r w:rsidRPr="007A2D90">
            <w:rPr>
              <w:rFonts w:ascii="Arial" w:hAnsi="Arial" w:cs="Arial"/>
            </w:rPr>
            <w:t>(Libecap, 1989)</w:t>
          </w:r>
          <w:r w:rsidRPr="007A2D90">
            <w:rPr>
              <w:rFonts w:ascii="Arial" w:hAnsi="Arial" w:cs="Arial"/>
            </w:rPr>
            <w:fldChar w:fldCharType="end"/>
          </w:r>
        </w:sdtContent>
      </w:sdt>
      <w:r w:rsidRPr="007A2D90">
        <w:rPr>
          <w:rFonts w:ascii="Arial" w:hAnsi="Arial" w:cs="Arial"/>
          <w:lang w:val="en-GB"/>
        </w:rPr>
        <w:t xml:space="preserve">. Here, the divergence between community-recognized customary rights and state-recognized statutory rights created what Mostert (1998) terms a </w:t>
      </w:r>
      <w:r w:rsidRPr="007A2D90">
        <w:rPr>
          <w:rFonts w:ascii="Arial" w:hAnsi="Arial" w:cs="Arial"/>
          <w:bCs/>
          <w:lang w:val="en-GB"/>
        </w:rPr>
        <w:t>factual disagreement.</w:t>
      </w:r>
      <w:r w:rsidRPr="007A2D90">
        <w:rPr>
          <w:rFonts w:ascii="Arial" w:hAnsi="Arial" w:cs="Arial"/>
          <w:lang w:val="en-GB"/>
        </w:rPr>
        <w:t xml:space="preserve"> Both parties drew legitimacy from different but valid tenure systems. Unresolved historical grievances, echoed in studies of other villagisation contexts</w:t>
      </w:r>
      <w:sdt>
        <w:sdtPr>
          <w:rPr>
            <w:rFonts w:ascii="Arial" w:hAnsi="Arial" w:cs="Arial"/>
            <w:lang w:val="en-GB"/>
          </w:rPr>
          <w:id w:val="1914438115"/>
          <w:citation/>
        </w:sdtPr>
        <w:sdtEndPr/>
        <w:sdtContent>
          <w:r w:rsidRPr="007A2D90">
            <w:rPr>
              <w:rFonts w:ascii="Arial" w:hAnsi="Arial" w:cs="Arial"/>
              <w:lang w:val="en-GB"/>
            </w:rPr>
            <w:fldChar w:fldCharType="begin"/>
          </w:r>
          <w:r w:rsidRPr="007A2D90">
            <w:rPr>
              <w:rFonts w:ascii="Arial" w:hAnsi="Arial" w:cs="Arial"/>
            </w:rPr>
            <w:instrText xml:space="preserve"> CITATION Arc16 \l 1033 </w:instrText>
          </w:r>
          <w:r w:rsidRPr="007A2D90">
            <w:rPr>
              <w:rFonts w:ascii="Arial" w:hAnsi="Arial" w:cs="Arial"/>
              <w:lang w:val="en-GB"/>
            </w:rPr>
            <w:fldChar w:fldCharType="separate"/>
          </w:r>
          <w:r w:rsidRPr="007A2D90">
            <w:rPr>
              <w:rFonts w:ascii="Arial" w:hAnsi="Arial" w:cs="Arial"/>
            </w:rPr>
            <w:t xml:space="preserve"> (Archterberg-Boness, 2016)</w:t>
          </w:r>
          <w:r w:rsidRPr="007A2D90">
            <w:rPr>
              <w:rFonts w:ascii="Arial" w:hAnsi="Arial" w:cs="Arial"/>
            </w:rPr>
            <w:fldChar w:fldCharType="end"/>
          </w:r>
        </w:sdtContent>
      </w:sdt>
      <w:r w:rsidRPr="007A2D90">
        <w:rPr>
          <w:rFonts w:ascii="Arial" w:hAnsi="Arial" w:cs="Arial"/>
          <w:lang w:val="en-GB"/>
        </w:rPr>
        <w:t>, continue to fuel conflict when ignored in law and policy.</w:t>
      </w:r>
    </w:p>
    <w:p w14:paraId="2C2794D4" w14:textId="77777777" w:rsidR="006B5950" w:rsidRPr="007A2D90" w:rsidRDefault="006B5950" w:rsidP="008C5EC3">
      <w:pPr>
        <w:pStyle w:val="Body"/>
        <w:spacing w:after="0" w:line="480" w:lineRule="auto"/>
        <w:rPr>
          <w:rFonts w:ascii="Arial" w:hAnsi="Arial" w:cs="Arial"/>
          <w:lang w:val="en-GB"/>
        </w:rPr>
      </w:pPr>
    </w:p>
    <w:p w14:paraId="05855A51" w14:textId="77777777" w:rsidR="007A2D90" w:rsidRDefault="007A2D90" w:rsidP="008C5EC3">
      <w:pPr>
        <w:pStyle w:val="Body"/>
        <w:numPr>
          <w:ilvl w:val="1"/>
          <w:numId w:val="34"/>
        </w:numPr>
        <w:spacing w:after="0" w:line="480" w:lineRule="auto"/>
        <w:rPr>
          <w:rFonts w:ascii="Arial" w:hAnsi="Arial" w:cs="Arial"/>
          <w:b/>
          <w:sz w:val="22"/>
          <w:szCs w:val="22"/>
          <w:lang w:val="en-GB"/>
        </w:rPr>
      </w:pPr>
      <w:r w:rsidRPr="00511B19">
        <w:rPr>
          <w:rFonts w:ascii="Arial" w:hAnsi="Arial" w:cs="Arial"/>
          <w:b/>
          <w:sz w:val="22"/>
          <w:szCs w:val="22"/>
          <w:lang w:val="en-GB"/>
        </w:rPr>
        <w:t>Structural Exclusion of Village Institutions</w:t>
      </w:r>
    </w:p>
    <w:p w14:paraId="67E68BF9" w14:textId="77777777" w:rsidR="006B5950" w:rsidRPr="00511B19" w:rsidRDefault="006B5950" w:rsidP="008C5EC3">
      <w:pPr>
        <w:pStyle w:val="Body"/>
        <w:spacing w:after="0" w:line="480" w:lineRule="auto"/>
        <w:ind w:left="1080"/>
        <w:rPr>
          <w:rFonts w:ascii="Arial" w:hAnsi="Arial" w:cs="Arial"/>
          <w:b/>
          <w:sz w:val="22"/>
          <w:szCs w:val="22"/>
          <w:lang w:val="en-GB"/>
        </w:rPr>
      </w:pPr>
    </w:p>
    <w:p w14:paraId="1294B24A" w14:textId="77777777" w:rsidR="007A2D90" w:rsidRPr="007A2D90" w:rsidRDefault="007A2D90" w:rsidP="008C5EC3">
      <w:pPr>
        <w:pStyle w:val="Body"/>
        <w:spacing w:after="0" w:line="480" w:lineRule="auto"/>
        <w:rPr>
          <w:rFonts w:ascii="Arial" w:hAnsi="Arial" w:cs="Arial"/>
          <w:lang w:val="en-GB"/>
        </w:rPr>
      </w:pPr>
      <w:r w:rsidRPr="007A2D90">
        <w:rPr>
          <w:rFonts w:ascii="Arial" w:hAnsi="Arial" w:cs="Arial"/>
          <w:lang w:val="en-GB"/>
        </w:rPr>
        <w:t xml:space="preserve">Once land was converted to general land, the </w:t>
      </w:r>
      <w:proofErr w:type="spellStart"/>
      <w:r w:rsidRPr="007A2D90">
        <w:rPr>
          <w:rFonts w:ascii="Arial" w:hAnsi="Arial" w:cs="Arial"/>
          <w:lang w:val="en-GB"/>
        </w:rPr>
        <w:t>Mngeta</w:t>
      </w:r>
      <w:proofErr w:type="spellEnd"/>
      <w:r w:rsidRPr="007A2D90">
        <w:rPr>
          <w:rFonts w:ascii="Arial" w:hAnsi="Arial" w:cs="Arial"/>
          <w:lang w:val="en-GB"/>
        </w:rPr>
        <w:t xml:space="preserve"> Village Council lost all authority over its administration. This exclusion created frustration and incentivized ultra vires allocations by the Village Council, both on the KPL farm and on nearby reserve land. These actions reflected community demand and resistance, but also highlighted institutional fragmentation.</w:t>
      </w:r>
    </w:p>
    <w:p w14:paraId="56A5E817" w14:textId="77777777" w:rsidR="00735904" w:rsidRDefault="007A2D90" w:rsidP="008C5EC3">
      <w:pPr>
        <w:pStyle w:val="Body"/>
        <w:spacing w:after="0" w:line="480" w:lineRule="auto"/>
        <w:rPr>
          <w:rFonts w:ascii="Arial" w:hAnsi="Arial" w:cs="Arial"/>
          <w:lang w:val="en-GB"/>
        </w:rPr>
      </w:pPr>
      <w:r w:rsidRPr="007A2D90">
        <w:rPr>
          <w:rFonts w:ascii="Arial" w:hAnsi="Arial" w:cs="Arial"/>
          <w:lang w:val="en-GB"/>
        </w:rPr>
        <w:t xml:space="preserve">This dynamic illustrates what Mostert </w:t>
      </w:r>
      <w:sdt>
        <w:sdtPr>
          <w:rPr>
            <w:rFonts w:ascii="Arial" w:hAnsi="Arial" w:cs="Arial"/>
            <w:lang w:val="en-GB"/>
          </w:rPr>
          <w:id w:val="-166636865"/>
          <w:citation/>
        </w:sdtPr>
        <w:sdtEndPr/>
        <w:sdtContent>
          <w:r w:rsidRPr="007A2D90">
            <w:rPr>
              <w:rFonts w:ascii="Arial" w:hAnsi="Arial" w:cs="Arial"/>
              <w:lang w:val="en-GB"/>
            </w:rPr>
            <w:fldChar w:fldCharType="begin"/>
          </w:r>
          <w:r w:rsidRPr="007A2D90">
            <w:rPr>
              <w:rFonts w:ascii="Arial" w:hAnsi="Arial" w:cs="Arial"/>
            </w:rPr>
            <w:instrText xml:space="preserve">CITATION Mos98 \n  \t  \l 1033 </w:instrText>
          </w:r>
          <w:r w:rsidRPr="007A2D90">
            <w:rPr>
              <w:rFonts w:ascii="Arial" w:hAnsi="Arial" w:cs="Arial"/>
              <w:lang w:val="en-GB"/>
            </w:rPr>
            <w:fldChar w:fldCharType="separate"/>
          </w:r>
          <w:r w:rsidRPr="007A2D90">
            <w:rPr>
              <w:rFonts w:ascii="Arial" w:hAnsi="Arial" w:cs="Arial"/>
            </w:rPr>
            <w:t>(1998)</w:t>
          </w:r>
          <w:r w:rsidRPr="007A2D90">
            <w:rPr>
              <w:rFonts w:ascii="Arial" w:hAnsi="Arial" w:cs="Arial"/>
            </w:rPr>
            <w:fldChar w:fldCharType="end"/>
          </w:r>
        </w:sdtContent>
      </w:sdt>
      <w:r w:rsidRPr="007A2D90">
        <w:rPr>
          <w:rFonts w:ascii="Arial" w:hAnsi="Arial" w:cs="Arial"/>
          <w:lang w:val="en-GB"/>
        </w:rPr>
        <w:t xml:space="preserve"> describes as a </w:t>
      </w:r>
      <w:r w:rsidRPr="007A2D90">
        <w:rPr>
          <w:rFonts w:ascii="Arial" w:hAnsi="Arial" w:cs="Arial"/>
          <w:bCs/>
          <w:lang w:val="en-GB"/>
        </w:rPr>
        <w:t>relational conflict</w:t>
      </w:r>
      <w:r w:rsidRPr="007A2D90">
        <w:rPr>
          <w:rFonts w:ascii="Arial" w:hAnsi="Arial" w:cs="Arial"/>
          <w:lang w:val="en-GB"/>
        </w:rPr>
        <w:t xml:space="preserve">, where power imbalances and institutional mistrust escalate disputes. By centralizing control in the Commissioner for Lands while </w:t>
      </w:r>
      <w:r w:rsidR="006B5950" w:rsidRPr="007A2D90">
        <w:rPr>
          <w:rFonts w:ascii="Arial" w:hAnsi="Arial" w:cs="Arial"/>
          <w:lang w:val="en-GB"/>
        </w:rPr>
        <w:t>side-lining</w:t>
      </w:r>
      <w:r w:rsidRPr="007A2D90">
        <w:rPr>
          <w:rFonts w:ascii="Arial" w:hAnsi="Arial" w:cs="Arial"/>
          <w:lang w:val="en-GB"/>
        </w:rPr>
        <w:t xml:space="preserve"> local governance structures, the land governance framework entrenches exclusion and undermines legitimacy. According to Libecap</w:t>
      </w:r>
      <w:sdt>
        <w:sdtPr>
          <w:rPr>
            <w:rFonts w:ascii="Arial" w:hAnsi="Arial" w:cs="Arial"/>
            <w:lang w:val="en-GB"/>
          </w:rPr>
          <w:id w:val="652959605"/>
          <w:citation/>
        </w:sdtPr>
        <w:sdtEndPr/>
        <w:sdtContent>
          <w:r w:rsidRPr="007A2D90">
            <w:rPr>
              <w:rFonts w:ascii="Arial" w:hAnsi="Arial" w:cs="Arial"/>
              <w:lang w:val="en-GB"/>
            </w:rPr>
            <w:fldChar w:fldCharType="begin"/>
          </w:r>
          <w:r w:rsidRPr="007A2D90">
            <w:rPr>
              <w:rFonts w:ascii="Arial" w:hAnsi="Arial" w:cs="Arial"/>
            </w:rPr>
            <w:instrText xml:space="preserve">CITATION Gar89 \n  \t  \l 1033 </w:instrText>
          </w:r>
          <w:r w:rsidRPr="007A2D90">
            <w:rPr>
              <w:rFonts w:ascii="Arial" w:hAnsi="Arial" w:cs="Arial"/>
              <w:lang w:val="en-GB"/>
            </w:rPr>
            <w:fldChar w:fldCharType="separate"/>
          </w:r>
          <w:r w:rsidRPr="007A2D90">
            <w:rPr>
              <w:rFonts w:ascii="Arial" w:hAnsi="Arial" w:cs="Arial"/>
            </w:rPr>
            <w:t xml:space="preserve"> (1989)</w:t>
          </w:r>
          <w:r w:rsidRPr="007A2D90">
            <w:rPr>
              <w:rFonts w:ascii="Arial" w:hAnsi="Arial" w:cs="Arial"/>
            </w:rPr>
            <w:fldChar w:fldCharType="end"/>
          </w:r>
        </w:sdtContent>
      </w:sdt>
      <w:r w:rsidRPr="007A2D90">
        <w:rPr>
          <w:rFonts w:ascii="Arial" w:hAnsi="Arial" w:cs="Arial"/>
          <w:lang w:val="en-GB"/>
        </w:rPr>
        <w:t xml:space="preserve">, such exclusion is a breeding ground for divisions that eventually may turn into conflict. </w:t>
      </w:r>
    </w:p>
    <w:p w14:paraId="6D888AC2" w14:textId="32988DBD" w:rsidR="007A2D90" w:rsidRDefault="00F2253D" w:rsidP="008C5EC3">
      <w:pPr>
        <w:pStyle w:val="Body"/>
        <w:spacing w:after="0" w:line="480" w:lineRule="auto"/>
        <w:rPr>
          <w:rFonts w:ascii="Arial" w:hAnsi="Arial" w:cs="Arial"/>
          <w:lang w:val="en-GB"/>
        </w:rPr>
      </w:pPr>
      <w:r>
        <w:rPr>
          <w:rFonts w:ascii="Arial" w:hAnsi="Arial" w:cs="Arial"/>
        </w:rPr>
        <w:t>I</w:t>
      </w:r>
      <w:r w:rsidR="00735904" w:rsidRPr="00735904">
        <w:rPr>
          <w:rFonts w:ascii="Arial" w:hAnsi="Arial" w:cs="Arial"/>
        </w:rPr>
        <w:t xml:space="preserve">n Sierra Leone </w:t>
      </w:r>
      <w:r>
        <w:rPr>
          <w:rFonts w:ascii="Arial" w:hAnsi="Arial" w:cs="Arial"/>
        </w:rPr>
        <w:t xml:space="preserve">it was found that land deals by investors </w:t>
      </w:r>
      <w:r w:rsidR="00735904" w:rsidRPr="00735904">
        <w:rPr>
          <w:rFonts w:ascii="Arial" w:hAnsi="Arial" w:cs="Arial"/>
        </w:rPr>
        <w:t>fostered hybrid institutions that mediated between customary and statutory systems</w:t>
      </w:r>
      <w:sdt>
        <w:sdtPr>
          <w:rPr>
            <w:rFonts w:ascii="Arial" w:hAnsi="Arial" w:cs="Arial"/>
          </w:rPr>
          <w:id w:val="-371075295"/>
          <w:citation/>
        </w:sdtPr>
        <w:sdtEndPr/>
        <w:sdtContent>
          <w:r>
            <w:rPr>
              <w:rFonts w:ascii="Arial" w:hAnsi="Arial" w:cs="Arial"/>
            </w:rPr>
            <w:fldChar w:fldCharType="begin"/>
          </w:r>
          <w:r>
            <w:rPr>
              <w:rFonts w:ascii="Arial" w:hAnsi="Arial" w:cs="Arial"/>
            </w:rPr>
            <w:instrText xml:space="preserve"> CITATION Bot16 \l 1033 </w:instrText>
          </w:r>
          <w:r>
            <w:rPr>
              <w:rFonts w:ascii="Arial" w:hAnsi="Arial" w:cs="Arial"/>
            </w:rPr>
            <w:fldChar w:fldCharType="separate"/>
          </w:r>
          <w:r>
            <w:rPr>
              <w:rFonts w:ascii="Arial" w:hAnsi="Arial" w:cs="Arial"/>
              <w:noProof/>
            </w:rPr>
            <w:t xml:space="preserve"> </w:t>
          </w:r>
          <w:r w:rsidRPr="00F2253D">
            <w:rPr>
              <w:rFonts w:ascii="Arial" w:hAnsi="Arial" w:cs="Arial"/>
              <w:noProof/>
            </w:rPr>
            <w:t>(Bottazzi, Goguen, &amp; Rist, 2016)</w:t>
          </w:r>
          <w:r>
            <w:rPr>
              <w:rFonts w:ascii="Arial" w:hAnsi="Arial" w:cs="Arial"/>
            </w:rPr>
            <w:fldChar w:fldCharType="end"/>
          </w:r>
        </w:sdtContent>
      </w:sdt>
      <w:r w:rsidR="009755A2">
        <w:rPr>
          <w:rFonts w:ascii="Arial" w:hAnsi="Arial" w:cs="Arial"/>
        </w:rPr>
        <w:t>. I</w:t>
      </w:r>
      <w:r w:rsidR="00735904" w:rsidRPr="00735904">
        <w:rPr>
          <w:rFonts w:ascii="Arial" w:hAnsi="Arial" w:cs="Arial"/>
        </w:rPr>
        <w:t>n Kilombero</w:t>
      </w:r>
      <w:r w:rsidR="009755A2">
        <w:rPr>
          <w:rFonts w:ascii="Arial" w:hAnsi="Arial" w:cs="Arial"/>
        </w:rPr>
        <w:t>,</w:t>
      </w:r>
      <w:r w:rsidR="00735904" w:rsidRPr="00735904">
        <w:rPr>
          <w:rFonts w:ascii="Arial" w:hAnsi="Arial" w:cs="Arial"/>
        </w:rPr>
        <w:t xml:space="preserve"> institutional change took the form of outright exclusion of village authorities once land was converted to general land. This contrast suggests that while </w:t>
      </w:r>
      <w:r>
        <w:rPr>
          <w:rFonts w:ascii="Arial" w:hAnsi="Arial" w:cs="Arial"/>
        </w:rPr>
        <w:t xml:space="preserve">inclusive </w:t>
      </w:r>
      <w:r w:rsidR="00735904" w:rsidRPr="00735904">
        <w:rPr>
          <w:rFonts w:ascii="Arial" w:hAnsi="Arial" w:cs="Arial"/>
        </w:rPr>
        <w:t>institutional innovation may emerge in some contexts, in Tanzania</w:t>
      </w:r>
      <w:r w:rsidR="009755A2">
        <w:rPr>
          <w:rFonts w:ascii="Arial" w:hAnsi="Arial" w:cs="Arial"/>
        </w:rPr>
        <w:t>,</w:t>
      </w:r>
      <w:r w:rsidR="00735904" w:rsidRPr="00735904">
        <w:rPr>
          <w:rFonts w:ascii="Arial" w:hAnsi="Arial" w:cs="Arial"/>
        </w:rPr>
        <w:t xml:space="preserve"> institutional restructuring under large-scale investment reinforces central control and sidelines local governance</w:t>
      </w:r>
      <w:r w:rsidR="009755A2">
        <w:rPr>
          <w:rFonts w:ascii="Arial" w:hAnsi="Arial" w:cs="Arial"/>
        </w:rPr>
        <w:t>, exacerbating relational conflict</w:t>
      </w:r>
      <w:r w:rsidR="00735904">
        <w:rPr>
          <w:rFonts w:ascii="Arial" w:hAnsi="Arial" w:cs="Arial"/>
        </w:rPr>
        <w:t xml:space="preserve">. </w:t>
      </w:r>
      <w:r w:rsidR="007A2D90" w:rsidRPr="007A2D90">
        <w:rPr>
          <w:rFonts w:ascii="Arial" w:hAnsi="Arial" w:cs="Arial"/>
          <w:lang w:val="en-GB"/>
        </w:rPr>
        <w:t>Comparable findings in other African tenure regimes suggest that power-sharing and institutional coordinatio</w:t>
      </w:r>
      <w:r w:rsidR="009755A2">
        <w:rPr>
          <w:rFonts w:ascii="Arial" w:hAnsi="Arial" w:cs="Arial"/>
          <w:lang w:val="en-GB"/>
        </w:rPr>
        <w:t>n are critical for reducing</w:t>
      </w:r>
      <w:r w:rsidR="007A2D90" w:rsidRPr="007A2D90">
        <w:rPr>
          <w:rFonts w:ascii="Arial" w:hAnsi="Arial" w:cs="Arial"/>
          <w:lang w:val="en-GB"/>
        </w:rPr>
        <w:t xml:space="preserve"> conflicts </w:t>
      </w:r>
      <w:sdt>
        <w:sdtPr>
          <w:rPr>
            <w:rFonts w:ascii="Arial" w:hAnsi="Arial" w:cs="Arial"/>
            <w:lang w:val="en-GB"/>
          </w:rPr>
          <w:id w:val="-222911010"/>
          <w:citation/>
        </w:sdtPr>
        <w:sdtEndPr/>
        <w:sdtContent>
          <w:r w:rsidR="007A2D90" w:rsidRPr="007A2D90">
            <w:rPr>
              <w:rFonts w:ascii="Arial" w:hAnsi="Arial" w:cs="Arial"/>
              <w:lang w:val="en-GB"/>
            </w:rPr>
            <w:fldChar w:fldCharType="begin"/>
          </w:r>
          <w:r w:rsidR="007A2D90" w:rsidRPr="007A2D90">
            <w:rPr>
              <w:rFonts w:ascii="Arial" w:hAnsi="Arial" w:cs="Arial"/>
            </w:rPr>
            <w:instrText xml:space="preserve">CITATION Wil13 \t  \l 1033 </w:instrText>
          </w:r>
          <w:r w:rsidR="00B341B3">
            <w:rPr>
              <w:rFonts w:ascii="Arial" w:hAnsi="Arial" w:cs="Arial"/>
            </w:rPr>
            <w:instrText xml:space="preserve"> \m Man19</w:instrText>
          </w:r>
          <w:r w:rsidR="007A2D90" w:rsidRPr="007A2D90">
            <w:rPr>
              <w:rFonts w:ascii="Arial" w:hAnsi="Arial" w:cs="Arial"/>
              <w:lang w:val="en-GB"/>
            </w:rPr>
            <w:fldChar w:fldCharType="separate"/>
          </w:r>
          <w:r w:rsidR="00B341B3" w:rsidRPr="00B341B3">
            <w:rPr>
              <w:rFonts w:ascii="Arial" w:hAnsi="Arial" w:cs="Arial"/>
              <w:noProof/>
            </w:rPr>
            <w:t>(Wily, 2013; Manda, Tallontire, &amp; Dougill, 2019)</w:t>
          </w:r>
          <w:r w:rsidR="007A2D90" w:rsidRPr="007A2D90">
            <w:rPr>
              <w:rFonts w:ascii="Arial" w:hAnsi="Arial" w:cs="Arial"/>
            </w:rPr>
            <w:fldChar w:fldCharType="end"/>
          </w:r>
        </w:sdtContent>
      </w:sdt>
      <w:r w:rsidR="007A2D90" w:rsidRPr="007A2D90">
        <w:rPr>
          <w:rFonts w:ascii="Arial" w:hAnsi="Arial" w:cs="Arial"/>
          <w:lang w:val="en-GB"/>
        </w:rPr>
        <w:t>.</w:t>
      </w:r>
    </w:p>
    <w:p w14:paraId="2A40386D" w14:textId="77777777" w:rsidR="006B5950" w:rsidRPr="007A2D90" w:rsidRDefault="006B5950" w:rsidP="008C5EC3">
      <w:pPr>
        <w:pStyle w:val="Body"/>
        <w:spacing w:after="0" w:line="480" w:lineRule="auto"/>
        <w:rPr>
          <w:rFonts w:ascii="Arial" w:hAnsi="Arial" w:cs="Arial"/>
          <w:lang w:val="en-GB"/>
        </w:rPr>
      </w:pPr>
    </w:p>
    <w:p w14:paraId="7CC1827D" w14:textId="77777777" w:rsidR="007A2D90" w:rsidRDefault="007A2D90" w:rsidP="008C5EC3">
      <w:pPr>
        <w:pStyle w:val="Body"/>
        <w:numPr>
          <w:ilvl w:val="1"/>
          <w:numId w:val="34"/>
        </w:numPr>
        <w:spacing w:after="0" w:line="480" w:lineRule="auto"/>
        <w:rPr>
          <w:rFonts w:ascii="Arial" w:hAnsi="Arial" w:cs="Arial"/>
          <w:b/>
          <w:sz w:val="22"/>
          <w:szCs w:val="22"/>
          <w:lang w:val="en-GB"/>
        </w:rPr>
      </w:pPr>
      <w:r w:rsidRPr="00511B19">
        <w:rPr>
          <w:rFonts w:ascii="Arial" w:hAnsi="Arial" w:cs="Arial"/>
          <w:b/>
          <w:sz w:val="22"/>
          <w:szCs w:val="22"/>
          <w:lang w:val="en-GB"/>
        </w:rPr>
        <w:t>Confusion of Compensation with Compassion Payment</w:t>
      </w:r>
    </w:p>
    <w:p w14:paraId="26B7EDE6" w14:textId="77777777" w:rsidR="006B5950" w:rsidRPr="00511B19" w:rsidRDefault="006B5950" w:rsidP="008C5EC3">
      <w:pPr>
        <w:pStyle w:val="Body"/>
        <w:spacing w:after="0" w:line="480" w:lineRule="auto"/>
        <w:ind w:left="1080"/>
        <w:rPr>
          <w:rFonts w:ascii="Arial" w:hAnsi="Arial" w:cs="Arial"/>
          <w:b/>
          <w:sz w:val="22"/>
          <w:szCs w:val="22"/>
          <w:lang w:val="en-GB"/>
        </w:rPr>
      </w:pPr>
    </w:p>
    <w:p w14:paraId="792E4706" w14:textId="77777777" w:rsidR="007A2D90" w:rsidRDefault="007A2D90" w:rsidP="008C5EC3">
      <w:pPr>
        <w:pStyle w:val="Body"/>
        <w:spacing w:after="0" w:line="480" w:lineRule="auto"/>
        <w:rPr>
          <w:rFonts w:ascii="Arial" w:hAnsi="Arial" w:cs="Arial"/>
          <w:lang w:val="en-GB"/>
        </w:rPr>
      </w:pPr>
      <w:r w:rsidRPr="007A2D90">
        <w:rPr>
          <w:rFonts w:ascii="Arial" w:hAnsi="Arial" w:cs="Arial"/>
          <w:lang w:val="en-GB"/>
        </w:rPr>
        <w:lastRenderedPageBreak/>
        <w:t xml:space="preserve">Disputes over compensation further demonstrate institutional weaknesses. Affected smallholders perceived the cash and in-kind packages as inadequate and inequitable. The government, however, insisted that these were not “compensation” but </w:t>
      </w:r>
      <w:r w:rsidRPr="007A2D90">
        <w:rPr>
          <w:rFonts w:ascii="Arial" w:hAnsi="Arial" w:cs="Arial"/>
          <w:bCs/>
          <w:lang w:val="en-GB"/>
        </w:rPr>
        <w:t>compassionate payments</w:t>
      </w:r>
      <w:r w:rsidRPr="007A2D90">
        <w:rPr>
          <w:rFonts w:ascii="Arial" w:hAnsi="Arial" w:cs="Arial"/>
          <w:lang w:val="en-GB"/>
        </w:rPr>
        <w:t xml:space="preserve"> made under Section 175(4i) of the Land Act to occupants without legal claims.</w:t>
      </w:r>
    </w:p>
    <w:p w14:paraId="7F67B367" w14:textId="77777777" w:rsidR="006B5950" w:rsidRPr="007A2D90" w:rsidRDefault="006B5950" w:rsidP="008C5EC3">
      <w:pPr>
        <w:pStyle w:val="Body"/>
        <w:spacing w:after="0" w:line="480" w:lineRule="auto"/>
        <w:rPr>
          <w:rFonts w:ascii="Arial" w:hAnsi="Arial" w:cs="Arial"/>
          <w:lang w:val="en-GB"/>
        </w:rPr>
      </w:pPr>
    </w:p>
    <w:p w14:paraId="485A6AEE" w14:textId="77777777" w:rsidR="007A2D90" w:rsidRDefault="007A2D90" w:rsidP="008C5EC3">
      <w:pPr>
        <w:pStyle w:val="Body"/>
        <w:spacing w:after="0" w:line="480" w:lineRule="auto"/>
        <w:rPr>
          <w:rFonts w:ascii="Arial" w:hAnsi="Arial" w:cs="Arial"/>
          <w:lang w:val="en-GB"/>
        </w:rPr>
      </w:pPr>
      <w:r w:rsidRPr="007A2D90">
        <w:rPr>
          <w:rFonts w:ascii="Arial" w:hAnsi="Arial" w:cs="Arial"/>
          <w:lang w:val="en-GB"/>
        </w:rPr>
        <w:t xml:space="preserve">The conflation of these two forms of payment produced a </w:t>
      </w:r>
      <w:r w:rsidRPr="007A2D90">
        <w:rPr>
          <w:rFonts w:ascii="Arial" w:hAnsi="Arial" w:cs="Arial"/>
          <w:bCs/>
          <w:lang w:val="en-GB"/>
        </w:rPr>
        <w:t>factual disagreement as expounded by Mostert</w:t>
      </w:r>
      <w:sdt>
        <w:sdtPr>
          <w:rPr>
            <w:rFonts w:ascii="Arial" w:hAnsi="Arial" w:cs="Arial"/>
            <w:bCs/>
            <w:lang w:val="en-GB"/>
          </w:rPr>
          <w:id w:val="-599796686"/>
          <w:citation/>
        </w:sdtPr>
        <w:sdtEndPr/>
        <w:sdtContent>
          <w:r w:rsidRPr="007A2D90">
            <w:rPr>
              <w:rFonts w:ascii="Arial" w:hAnsi="Arial" w:cs="Arial"/>
              <w:bCs/>
              <w:lang w:val="en-GB"/>
            </w:rPr>
            <w:fldChar w:fldCharType="begin"/>
          </w:r>
          <w:r w:rsidRPr="007A2D90">
            <w:rPr>
              <w:rFonts w:ascii="Arial" w:hAnsi="Arial" w:cs="Arial"/>
              <w:bCs/>
            </w:rPr>
            <w:instrText xml:space="preserve">CITATION Mos98 \n  \t  \l 1033 </w:instrText>
          </w:r>
          <w:r w:rsidRPr="007A2D90">
            <w:rPr>
              <w:rFonts w:ascii="Arial" w:hAnsi="Arial" w:cs="Arial"/>
              <w:bCs/>
              <w:lang w:val="en-GB"/>
            </w:rPr>
            <w:fldChar w:fldCharType="separate"/>
          </w:r>
          <w:r w:rsidRPr="007A2D90">
            <w:rPr>
              <w:rFonts w:ascii="Arial" w:hAnsi="Arial" w:cs="Arial"/>
              <w:bCs/>
            </w:rPr>
            <w:t xml:space="preserve"> </w:t>
          </w:r>
          <w:r w:rsidRPr="007A2D90">
            <w:rPr>
              <w:rFonts w:ascii="Arial" w:hAnsi="Arial" w:cs="Arial"/>
            </w:rPr>
            <w:t>(1998)</w:t>
          </w:r>
          <w:r w:rsidRPr="007A2D90">
            <w:rPr>
              <w:rFonts w:ascii="Arial" w:hAnsi="Arial" w:cs="Arial"/>
            </w:rPr>
            <w:fldChar w:fldCharType="end"/>
          </w:r>
        </w:sdtContent>
      </w:sdt>
      <w:r w:rsidRPr="007A2D90">
        <w:rPr>
          <w:rFonts w:ascii="Arial" w:hAnsi="Arial" w:cs="Arial"/>
          <w:lang w:val="en-GB"/>
        </w:rPr>
        <w:t xml:space="preserve">: smallholders viewed payments as unfair compensation, while authorities framed them as discretionary assistance. This semantic and </w:t>
      </w:r>
      <w:r w:rsidR="00751D9F" w:rsidRPr="007A2D90">
        <w:rPr>
          <w:rFonts w:ascii="Arial" w:hAnsi="Arial" w:cs="Arial"/>
          <w:lang w:val="en-GB"/>
        </w:rPr>
        <w:t>technical</w:t>
      </w:r>
      <w:r w:rsidRPr="007A2D90">
        <w:rPr>
          <w:rFonts w:ascii="Arial" w:hAnsi="Arial" w:cs="Arial"/>
          <w:lang w:val="en-GB"/>
        </w:rPr>
        <w:t xml:space="preserve"> ambiguity eroded trust in government and contributed to grievances. Clearer legal terminology and communication are necessary to prevent such disputes from recurring.</w:t>
      </w:r>
    </w:p>
    <w:p w14:paraId="4FC517AF" w14:textId="77777777" w:rsidR="006B5950" w:rsidRPr="007A2D90" w:rsidRDefault="006B5950" w:rsidP="008C5EC3">
      <w:pPr>
        <w:pStyle w:val="Body"/>
        <w:spacing w:after="0" w:line="480" w:lineRule="auto"/>
        <w:rPr>
          <w:rFonts w:ascii="Arial" w:hAnsi="Arial" w:cs="Arial"/>
          <w:lang w:val="en-GB"/>
        </w:rPr>
      </w:pPr>
    </w:p>
    <w:p w14:paraId="572A6BA4" w14:textId="77777777" w:rsidR="007A2D90" w:rsidRDefault="007A2D90" w:rsidP="008C5EC3">
      <w:pPr>
        <w:pStyle w:val="Body"/>
        <w:numPr>
          <w:ilvl w:val="1"/>
          <w:numId w:val="34"/>
        </w:numPr>
        <w:spacing w:after="0" w:line="480" w:lineRule="auto"/>
        <w:rPr>
          <w:rFonts w:ascii="Arial" w:hAnsi="Arial" w:cs="Arial"/>
          <w:b/>
          <w:sz w:val="22"/>
          <w:szCs w:val="22"/>
          <w:lang w:val="en-GB"/>
        </w:rPr>
      </w:pPr>
      <w:r w:rsidRPr="00511B19">
        <w:rPr>
          <w:rFonts w:ascii="Arial" w:hAnsi="Arial" w:cs="Arial"/>
          <w:b/>
          <w:sz w:val="22"/>
          <w:szCs w:val="22"/>
          <w:lang w:val="en-GB"/>
        </w:rPr>
        <w:t>Denial of Adverse Possession of Government Land</w:t>
      </w:r>
    </w:p>
    <w:p w14:paraId="11704EF8" w14:textId="77777777" w:rsidR="006B5950" w:rsidRPr="00511B19" w:rsidRDefault="006B5950" w:rsidP="008C5EC3">
      <w:pPr>
        <w:pStyle w:val="Body"/>
        <w:spacing w:after="0" w:line="480" w:lineRule="auto"/>
        <w:ind w:left="1080"/>
        <w:rPr>
          <w:rFonts w:ascii="Arial" w:hAnsi="Arial" w:cs="Arial"/>
          <w:b/>
          <w:sz w:val="22"/>
          <w:szCs w:val="22"/>
          <w:lang w:val="en-GB"/>
        </w:rPr>
      </w:pPr>
    </w:p>
    <w:p w14:paraId="1C923226" w14:textId="77777777" w:rsidR="007A2D90" w:rsidRDefault="007A2D90" w:rsidP="008C5EC3">
      <w:pPr>
        <w:pStyle w:val="Body"/>
        <w:spacing w:after="0" w:line="480" w:lineRule="auto"/>
        <w:rPr>
          <w:rFonts w:ascii="Arial" w:hAnsi="Arial" w:cs="Arial"/>
          <w:lang w:val="en-GB"/>
        </w:rPr>
      </w:pPr>
      <w:r w:rsidRPr="007A2D90">
        <w:rPr>
          <w:rFonts w:ascii="Arial" w:hAnsi="Arial" w:cs="Arial"/>
          <w:lang w:val="en-GB"/>
        </w:rPr>
        <w:t xml:space="preserve">Families that had cultivated the land for over a decade without objection were denied recognition of adverse possession because the land was classified as government-owned. This legal restriction invalidated local claims of legitimacy based on many years of productive use of the land without objection. A contradiction emerged between statutory law’s interpretations of legality and </w:t>
      </w:r>
      <w:r w:rsidR="00751D9F">
        <w:rPr>
          <w:rFonts w:ascii="Arial" w:hAnsi="Arial" w:cs="Arial"/>
          <w:lang w:val="en-GB"/>
        </w:rPr>
        <w:t>the custom's</w:t>
      </w:r>
      <w:r w:rsidRPr="007A2D90">
        <w:rPr>
          <w:rFonts w:ascii="Arial" w:hAnsi="Arial" w:cs="Arial"/>
          <w:lang w:val="en-GB"/>
        </w:rPr>
        <w:t xml:space="preserve"> view of legitimacy.</w:t>
      </w:r>
    </w:p>
    <w:p w14:paraId="2F9A9C2B" w14:textId="77777777" w:rsidR="00751D9F" w:rsidRPr="007A2D90" w:rsidRDefault="00751D9F" w:rsidP="008C5EC3">
      <w:pPr>
        <w:pStyle w:val="Body"/>
        <w:spacing w:after="0" w:line="480" w:lineRule="auto"/>
        <w:rPr>
          <w:rFonts w:ascii="Arial" w:hAnsi="Arial" w:cs="Arial"/>
          <w:lang w:val="en-GB"/>
        </w:rPr>
      </w:pPr>
    </w:p>
    <w:p w14:paraId="5965F895" w14:textId="77777777" w:rsidR="007A2D90" w:rsidRDefault="007A2D90" w:rsidP="008C5EC3">
      <w:pPr>
        <w:pStyle w:val="Body"/>
        <w:spacing w:after="0" w:line="480" w:lineRule="auto"/>
        <w:rPr>
          <w:rFonts w:ascii="Arial" w:hAnsi="Arial" w:cs="Arial"/>
          <w:lang w:val="en-GB"/>
        </w:rPr>
      </w:pPr>
      <w:r w:rsidRPr="007A2D90">
        <w:rPr>
          <w:rFonts w:ascii="Arial" w:hAnsi="Arial" w:cs="Arial"/>
          <w:lang w:val="en-GB"/>
        </w:rPr>
        <w:t xml:space="preserve">The Law of Limitation Act 1971 prohibition on adverse possession of government land entrenches elite control and delegitimises productive occupation. In terms of conflict theory, this again represents a </w:t>
      </w:r>
      <w:r w:rsidRPr="007A2D90">
        <w:rPr>
          <w:rFonts w:ascii="Arial" w:hAnsi="Arial" w:cs="Arial"/>
          <w:bCs/>
          <w:lang w:val="en-GB"/>
        </w:rPr>
        <w:t>factual disagreement according to Mostert</w:t>
      </w:r>
      <w:sdt>
        <w:sdtPr>
          <w:rPr>
            <w:rFonts w:ascii="Arial" w:hAnsi="Arial" w:cs="Arial"/>
            <w:bCs/>
            <w:lang w:val="en-GB"/>
          </w:rPr>
          <w:id w:val="2077780799"/>
          <w:citation/>
        </w:sdtPr>
        <w:sdtEndPr/>
        <w:sdtContent>
          <w:r w:rsidRPr="007A2D90">
            <w:rPr>
              <w:rFonts w:ascii="Arial" w:hAnsi="Arial" w:cs="Arial"/>
              <w:bCs/>
              <w:lang w:val="en-GB"/>
            </w:rPr>
            <w:fldChar w:fldCharType="begin"/>
          </w:r>
          <w:r w:rsidRPr="007A2D90">
            <w:rPr>
              <w:rFonts w:ascii="Arial" w:hAnsi="Arial" w:cs="Arial"/>
              <w:bCs/>
            </w:rPr>
            <w:instrText xml:space="preserve">CITATION Mos98 \n  \t  \l 1033 </w:instrText>
          </w:r>
          <w:r w:rsidRPr="007A2D90">
            <w:rPr>
              <w:rFonts w:ascii="Arial" w:hAnsi="Arial" w:cs="Arial"/>
              <w:bCs/>
              <w:lang w:val="en-GB"/>
            </w:rPr>
            <w:fldChar w:fldCharType="separate"/>
          </w:r>
          <w:r w:rsidRPr="007A2D90">
            <w:rPr>
              <w:rFonts w:ascii="Arial" w:hAnsi="Arial" w:cs="Arial"/>
              <w:bCs/>
            </w:rPr>
            <w:t xml:space="preserve"> </w:t>
          </w:r>
          <w:r w:rsidRPr="007A2D90">
            <w:rPr>
              <w:rFonts w:ascii="Arial" w:hAnsi="Arial" w:cs="Arial"/>
            </w:rPr>
            <w:t>(1998)</w:t>
          </w:r>
          <w:r w:rsidRPr="007A2D90">
            <w:rPr>
              <w:rFonts w:ascii="Arial" w:hAnsi="Arial" w:cs="Arial"/>
            </w:rPr>
            <w:fldChar w:fldCharType="end"/>
          </w:r>
        </w:sdtContent>
      </w:sdt>
      <w:r w:rsidRPr="007A2D90">
        <w:rPr>
          <w:rFonts w:ascii="Arial" w:hAnsi="Arial" w:cs="Arial"/>
          <w:bCs/>
          <w:lang w:val="en-GB"/>
        </w:rPr>
        <w:t>.</w:t>
      </w:r>
      <w:r w:rsidRPr="007A2D90">
        <w:rPr>
          <w:rFonts w:ascii="Arial" w:hAnsi="Arial" w:cs="Arial"/>
          <w:lang w:val="en-GB"/>
        </w:rPr>
        <w:t xml:space="preserve"> Smallholders viewed continuous cultivation as a legitimate basis for rights according to custom, while the state dismissed such claims under statutory law.</w:t>
      </w:r>
    </w:p>
    <w:p w14:paraId="37FE599A" w14:textId="77777777" w:rsidR="006B5950" w:rsidRPr="007A2D90" w:rsidRDefault="006B5950" w:rsidP="008C5EC3">
      <w:pPr>
        <w:pStyle w:val="Body"/>
        <w:spacing w:after="0" w:line="480" w:lineRule="auto"/>
        <w:rPr>
          <w:rFonts w:ascii="Arial" w:hAnsi="Arial" w:cs="Arial"/>
          <w:lang w:val="en-GB"/>
        </w:rPr>
      </w:pPr>
    </w:p>
    <w:p w14:paraId="33C02AE2" w14:textId="77777777" w:rsidR="007A2D90" w:rsidRDefault="007A2D90" w:rsidP="008C5EC3">
      <w:pPr>
        <w:pStyle w:val="Body"/>
        <w:numPr>
          <w:ilvl w:val="1"/>
          <w:numId w:val="34"/>
        </w:numPr>
        <w:spacing w:after="0" w:line="480" w:lineRule="auto"/>
        <w:rPr>
          <w:rFonts w:ascii="Arial" w:hAnsi="Arial" w:cs="Arial"/>
          <w:b/>
          <w:sz w:val="22"/>
          <w:szCs w:val="22"/>
          <w:lang w:val="en-GB"/>
        </w:rPr>
      </w:pPr>
      <w:r w:rsidRPr="00511B19">
        <w:rPr>
          <w:rFonts w:ascii="Arial" w:hAnsi="Arial" w:cs="Arial"/>
          <w:b/>
          <w:sz w:val="22"/>
          <w:szCs w:val="22"/>
          <w:lang w:val="en-GB"/>
        </w:rPr>
        <w:t>Development Control Limitations</w:t>
      </w:r>
    </w:p>
    <w:p w14:paraId="6E39F3F2" w14:textId="77777777" w:rsidR="006B5950" w:rsidRPr="00511B19" w:rsidRDefault="006B5950" w:rsidP="008C5EC3">
      <w:pPr>
        <w:pStyle w:val="Body"/>
        <w:spacing w:after="0" w:line="480" w:lineRule="auto"/>
        <w:ind w:left="1080"/>
        <w:rPr>
          <w:rFonts w:ascii="Arial" w:hAnsi="Arial" w:cs="Arial"/>
          <w:b/>
          <w:sz w:val="22"/>
          <w:szCs w:val="22"/>
          <w:lang w:val="en-GB"/>
        </w:rPr>
      </w:pPr>
    </w:p>
    <w:p w14:paraId="40506E92" w14:textId="77777777" w:rsidR="007A2D90" w:rsidRDefault="007A2D90" w:rsidP="008C5EC3">
      <w:pPr>
        <w:pStyle w:val="Body"/>
        <w:spacing w:after="0" w:line="480" w:lineRule="auto"/>
        <w:rPr>
          <w:rFonts w:ascii="Arial" w:hAnsi="Arial" w:cs="Arial"/>
          <w:lang w:val="en-GB"/>
        </w:rPr>
      </w:pPr>
      <w:r w:rsidRPr="007A2D90">
        <w:rPr>
          <w:rFonts w:ascii="Arial" w:hAnsi="Arial" w:cs="Arial"/>
          <w:lang w:val="en-GB"/>
        </w:rPr>
        <w:t>A Right of Occupancy for agricultural land use comes with land use conditions. The KPL case highlighted failures in monitoring land development. Large portions of the estate remained idle for years under KOTACO, RUBADA, and KIHOCO without sanction, reflecting weak enforcement of development conditions in Rights of Occupancy. With district officials overstretched and Village Councils excluded, prolonged underutilization created opportunities for encroachment and eventual conflict.</w:t>
      </w:r>
    </w:p>
    <w:p w14:paraId="68AEA0FE" w14:textId="77777777" w:rsidR="00751D9F" w:rsidRPr="007A2D90" w:rsidRDefault="00751D9F" w:rsidP="008C5EC3">
      <w:pPr>
        <w:pStyle w:val="Body"/>
        <w:spacing w:after="0" w:line="480" w:lineRule="auto"/>
        <w:rPr>
          <w:rFonts w:ascii="Arial" w:hAnsi="Arial" w:cs="Arial"/>
          <w:lang w:val="en-GB"/>
        </w:rPr>
      </w:pPr>
    </w:p>
    <w:p w14:paraId="0E6314D5" w14:textId="385029E5" w:rsidR="007A2D90" w:rsidRDefault="007A2D90" w:rsidP="008C5EC3">
      <w:pPr>
        <w:pStyle w:val="Body"/>
        <w:spacing w:after="0" w:line="480" w:lineRule="auto"/>
        <w:rPr>
          <w:rFonts w:ascii="Arial" w:hAnsi="Arial" w:cs="Arial"/>
          <w:lang w:val="en-GB"/>
        </w:rPr>
      </w:pPr>
      <w:r w:rsidRPr="007A2D90">
        <w:rPr>
          <w:rFonts w:ascii="Arial" w:hAnsi="Arial" w:cs="Arial"/>
          <w:lang w:val="en-GB"/>
        </w:rPr>
        <w:lastRenderedPageBreak/>
        <w:t xml:space="preserve">This reflects a </w:t>
      </w:r>
      <w:r w:rsidRPr="007A2D90">
        <w:rPr>
          <w:rFonts w:ascii="Arial" w:hAnsi="Arial" w:cs="Arial"/>
          <w:bCs/>
          <w:lang w:val="en-GB"/>
        </w:rPr>
        <w:t>structural weakness</w:t>
      </w:r>
      <w:r w:rsidRPr="007A2D90">
        <w:rPr>
          <w:rFonts w:ascii="Arial" w:hAnsi="Arial" w:cs="Arial"/>
          <w:lang w:val="en-GB"/>
        </w:rPr>
        <w:t xml:space="preserve"> rather than a dispute over values or facts. The absence of effective oversight undermines the purpose of land use conditions and signals to communities that land can remain idle while they face scarcity</w:t>
      </w:r>
      <w:sdt>
        <w:sdtPr>
          <w:rPr>
            <w:rFonts w:ascii="Arial" w:hAnsi="Arial" w:cs="Arial"/>
            <w:lang w:val="en-GB"/>
          </w:rPr>
          <w:id w:val="-955482747"/>
          <w:citation/>
        </w:sdtPr>
        <w:sdtEndPr/>
        <w:sdtContent>
          <w:r w:rsidRPr="007A2D90">
            <w:rPr>
              <w:rFonts w:ascii="Arial" w:hAnsi="Arial" w:cs="Arial"/>
              <w:lang w:val="en-GB"/>
            </w:rPr>
            <w:fldChar w:fldCharType="begin"/>
          </w:r>
          <w:r w:rsidRPr="007A2D90">
            <w:rPr>
              <w:rFonts w:ascii="Arial" w:hAnsi="Arial" w:cs="Arial"/>
            </w:rPr>
            <w:instrText xml:space="preserve"> CITATION The15 \l 1033 </w:instrText>
          </w:r>
          <w:r w:rsidRPr="007A2D90">
            <w:rPr>
              <w:rFonts w:ascii="Arial" w:hAnsi="Arial" w:cs="Arial"/>
              <w:lang w:val="en-GB"/>
            </w:rPr>
            <w:fldChar w:fldCharType="separate"/>
          </w:r>
          <w:r w:rsidRPr="007A2D90">
            <w:rPr>
              <w:rFonts w:ascii="Arial" w:hAnsi="Arial" w:cs="Arial"/>
            </w:rPr>
            <w:t xml:space="preserve"> (The Oakland Institute; Greenpeace; Global Justice Now, 2015)</w:t>
          </w:r>
          <w:r w:rsidRPr="007A2D90">
            <w:rPr>
              <w:rFonts w:ascii="Arial" w:hAnsi="Arial" w:cs="Arial"/>
            </w:rPr>
            <w:fldChar w:fldCharType="end"/>
          </w:r>
        </w:sdtContent>
      </w:sdt>
      <w:r w:rsidRPr="007A2D90">
        <w:rPr>
          <w:rFonts w:ascii="Arial" w:hAnsi="Arial" w:cs="Arial"/>
          <w:lang w:val="en-GB"/>
        </w:rPr>
        <w:t>. Strengthening monitoring mechanisms and involving local institutions could reduce such conflicts</w:t>
      </w:r>
      <w:sdt>
        <w:sdtPr>
          <w:rPr>
            <w:rFonts w:ascii="Arial" w:hAnsi="Arial" w:cs="Arial"/>
            <w:lang w:val="en-GB"/>
          </w:rPr>
          <w:id w:val="1762711824"/>
          <w:citation/>
        </w:sdtPr>
        <w:sdtEndPr/>
        <w:sdtContent>
          <w:r w:rsidRPr="007A2D90">
            <w:rPr>
              <w:rFonts w:ascii="Arial" w:hAnsi="Arial" w:cs="Arial"/>
              <w:lang w:val="en-GB"/>
            </w:rPr>
            <w:fldChar w:fldCharType="begin"/>
          </w:r>
          <w:r w:rsidRPr="007A2D90">
            <w:rPr>
              <w:rFonts w:ascii="Arial" w:hAnsi="Arial" w:cs="Arial"/>
            </w:rPr>
            <w:instrText xml:space="preserve"> CITATION Joh17 \l 1033 </w:instrText>
          </w:r>
          <w:r w:rsidR="00A172BD">
            <w:rPr>
              <w:rFonts w:ascii="Arial" w:hAnsi="Arial" w:cs="Arial"/>
            </w:rPr>
            <w:instrText xml:space="preserve"> \m Man19</w:instrText>
          </w:r>
          <w:r w:rsidRPr="007A2D90">
            <w:rPr>
              <w:rFonts w:ascii="Arial" w:hAnsi="Arial" w:cs="Arial"/>
              <w:lang w:val="en-GB"/>
            </w:rPr>
            <w:fldChar w:fldCharType="separate"/>
          </w:r>
          <w:r w:rsidR="00A172BD">
            <w:rPr>
              <w:rFonts w:ascii="Arial" w:hAnsi="Arial" w:cs="Arial"/>
              <w:noProof/>
            </w:rPr>
            <w:t xml:space="preserve"> </w:t>
          </w:r>
          <w:r w:rsidR="00A172BD" w:rsidRPr="00A172BD">
            <w:rPr>
              <w:rFonts w:ascii="Arial" w:hAnsi="Arial" w:cs="Arial"/>
              <w:noProof/>
            </w:rPr>
            <w:t>(John &amp; Kabote, 2017; Manda, Tallontire, &amp; Dougill, 2019)</w:t>
          </w:r>
          <w:r w:rsidRPr="007A2D90">
            <w:rPr>
              <w:rFonts w:ascii="Arial" w:hAnsi="Arial" w:cs="Arial"/>
            </w:rPr>
            <w:fldChar w:fldCharType="end"/>
          </w:r>
        </w:sdtContent>
      </w:sdt>
      <w:r w:rsidRPr="007A2D90">
        <w:rPr>
          <w:rFonts w:ascii="Arial" w:hAnsi="Arial" w:cs="Arial"/>
          <w:lang w:val="en-GB"/>
        </w:rPr>
        <w:t>.</w:t>
      </w:r>
    </w:p>
    <w:p w14:paraId="0A22D9B8" w14:textId="77777777" w:rsidR="00751D9F" w:rsidRPr="007A2D90" w:rsidRDefault="00751D9F" w:rsidP="008C5EC3">
      <w:pPr>
        <w:pStyle w:val="Body"/>
        <w:spacing w:after="0" w:line="480" w:lineRule="auto"/>
        <w:rPr>
          <w:rFonts w:ascii="Arial" w:hAnsi="Arial" w:cs="Arial"/>
          <w:lang w:val="en-GB"/>
        </w:rPr>
      </w:pPr>
    </w:p>
    <w:p w14:paraId="76070D01" w14:textId="77777777" w:rsidR="00790ADA" w:rsidRDefault="00751D9F" w:rsidP="008C5EC3">
      <w:pPr>
        <w:pStyle w:val="Body"/>
        <w:spacing w:after="0" w:line="480" w:lineRule="auto"/>
        <w:rPr>
          <w:rFonts w:ascii="Arial" w:hAnsi="Arial" w:cs="Arial"/>
          <w:lang w:val="en-GB"/>
        </w:rPr>
      </w:pPr>
      <w:r>
        <w:rPr>
          <w:rFonts w:ascii="Arial" w:hAnsi="Arial" w:cs="Arial"/>
          <w:lang w:val="en-GB"/>
        </w:rPr>
        <w:t>From</w:t>
      </w:r>
      <w:r w:rsidR="007A2D90" w:rsidRPr="007A2D90">
        <w:rPr>
          <w:rFonts w:ascii="Arial" w:hAnsi="Arial" w:cs="Arial"/>
          <w:lang w:val="en-GB"/>
        </w:rPr>
        <w:t xml:space="preserve"> a theoretical perspective, this demonstrates an aspect of conflict that may not have been discussed by Mostert </w:t>
      </w:r>
      <w:sdt>
        <w:sdtPr>
          <w:rPr>
            <w:rFonts w:ascii="Arial" w:hAnsi="Arial" w:cs="Arial"/>
            <w:lang w:val="en-GB"/>
          </w:rPr>
          <w:id w:val="-2097160756"/>
          <w:citation/>
        </w:sdtPr>
        <w:sdtEndPr/>
        <w:sdtContent>
          <w:r w:rsidR="007A2D90" w:rsidRPr="007A2D90">
            <w:rPr>
              <w:rFonts w:ascii="Arial" w:hAnsi="Arial" w:cs="Arial"/>
              <w:lang w:val="en-GB"/>
            </w:rPr>
            <w:fldChar w:fldCharType="begin"/>
          </w:r>
          <w:r w:rsidR="007A2D90" w:rsidRPr="007A2D90">
            <w:rPr>
              <w:rFonts w:ascii="Arial" w:hAnsi="Arial" w:cs="Arial"/>
            </w:rPr>
            <w:instrText xml:space="preserve">CITATION Mos98 \n  \t  \l 1033 </w:instrText>
          </w:r>
          <w:r w:rsidR="007A2D90" w:rsidRPr="007A2D90">
            <w:rPr>
              <w:rFonts w:ascii="Arial" w:hAnsi="Arial" w:cs="Arial"/>
              <w:lang w:val="en-GB"/>
            </w:rPr>
            <w:fldChar w:fldCharType="separate"/>
          </w:r>
          <w:r w:rsidR="007A2D90" w:rsidRPr="007A2D90">
            <w:rPr>
              <w:rFonts w:ascii="Arial" w:hAnsi="Arial" w:cs="Arial"/>
            </w:rPr>
            <w:t>(1998)</w:t>
          </w:r>
          <w:r w:rsidR="007A2D90" w:rsidRPr="007A2D90">
            <w:rPr>
              <w:rFonts w:ascii="Arial" w:hAnsi="Arial" w:cs="Arial"/>
            </w:rPr>
            <w:fldChar w:fldCharType="end"/>
          </w:r>
        </w:sdtContent>
      </w:sdt>
      <w:r w:rsidR="007A2D90" w:rsidRPr="007A2D90">
        <w:rPr>
          <w:rFonts w:ascii="Arial" w:hAnsi="Arial" w:cs="Arial"/>
          <w:lang w:val="en-GB"/>
        </w:rPr>
        <w:t xml:space="preserve">. All the types of conflicts that Mostert discussed were mainly caused by </w:t>
      </w:r>
      <w:r w:rsidR="001D0AD4">
        <w:rPr>
          <w:rFonts w:ascii="Arial" w:hAnsi="Arial" w:cs="Arial"/>
          <w:lang w:val="en-GB"/>
        </w:rPr>
        <w:t xml:space="preserve">active </w:t>
      </w:r>
      <w:r w:rsidR="007A2D90" w:rsidRPr="007A2D90">
        <w:rPr>
          <w:rFonts w:ascii="Arial" w:hAnsi="Arial" w:cs="Arial"/>
          <w:lang w:val="en-GB"/>
        </w:rPr>
        <w:t xml:space="preserve">actions of the conflicting </w:t>
      </w:r>
      <w:r w:rsidR="00511B19">
        <w:rPr>
          <w:rFonts w:ascii="Arial" w:hAnsi="Arial" w:cs="Arial"/>
          <w:lang w:val="en-GB"/>
        </w:rPr>
        <w:t>parties, so they were essentially</w:t>
      </w:r>
      <w:r w:rsidR="007A2D90" w:rsidRPr="007A2D90">
        <w:rPr>
          <w:rFonts w:ascii="Arial" w:hAnsi="Arial" w:cs="Arial"/>
          <w:lang w:val="en-GB"/>
        </w:rPr>
        <w:t xml:space="preserve"> conflicts of commission. In this case, the conflict mainly stems from parties that had responsibilities to develop and</w:t>
      </w:r>
      <w:r>
        <w:rPr>
          <w:rFonts w:ascii="Arial" w:hAnsi="Arial" w:cs="Arial"/>
          <w:lang w:val="en-GB"/>
        </w:rPr>
        <w:t xml:space="preserve"> enforce development, but neither</w:t>
      </w:r>
      <w:r w:rsidR="007A2D90" w:rsidRPr="007A2D90">
        <w:rPr>
          <w:rFonts w:ascii="Arial" w:hAnsi="Arial" w:cs="Arial"/>
          <w:lang w:val="en-GB"/>
        </w:rPr>
        <w:t xml:space="preserve"> fulfilled their obligations</w:t>
      </w:r>
      <w:r>
        <w:rPr>
          <w:rFonts w:ascii="Arial" w:hAnsi="Arial" w:cs="Arial"/>
          <w:lang w:val="en-GB"/>
        </w:rPr>
        <w:t>,</w:t>
      </w:r>
      <w:r w:rsidR="007A2D90" w:rsidRPr="007A2D90">
        <w:rPr>
          <w:rFonts w:ascii="Arial" w:hAnsi="Arial" w:cs="Arial"/>
          <w:lang w:val="en-GB"/>
        </w:rPr>
        <w:t xml:space="preserve"> leading to the </w:t>
      </w:r>
      <w:r>
        <w:rPr>
          <w:rFonts w:ascii="Arial" w:hAnsi="Arial" w:cs="Arial"/>
          <w:lang w:val="en-GB"/>
        </w:rPr>
        <w:t xml:space="preserve">gradual </w:t>
      </w:r>
      <w:r w:rsidR="007A2D90" w:rsidRPr="007A2D90">
        <w:rPr>
          <w:rFonts w:ascii="Arial" w:hAnsi="Arial" w:cs="Arial"/>
          <w:lang w:val="en-GB"/>
        </w:rPr>
        <w:t>encroachment</w:t>
      </w:r>
      <w:r>
        <w:rPr>
          <w:rFonts w:ascii="Arial" w:hAnsi="Arial" w:cs="Arial"/>
          <w:lang w:val="en-GB"/>
        </w:rPr>
        <w:t xml:space="preserve"> of the land</w:t>
      </w:r>
      <w:r w:rsidR="007A2D90" w:rsidRPr="007A2D90">
        <w:rPr>
          <w:rFonts w:ascii="Arial" w:hAnsi="Arial" w:cs="Arial"/>
          <w:lang w:val="en-GB"/>
        </w:rPr>
        <w:t xml:space="preserve"> and </w:t>
      </w:r>
      <w:r>
        <w:rPr>
          <w:rFonts w:ascii="Arial" w:hAnsi="Arial" w:cs="Arial"/>
          <w:lang w:val="en-GB"/>
        </w:rPr>
        <w:t xml:space="preserve">eventually </w:t>
      </w:r>
      <w:r w:rsidR="001D0AD4">
        <w:rPr>
          <w:rFonts w:ascii="Arial" w:hAnsi="Arial" w:cs="Arial"/>
          <w:lang w:val="en-GB"/>
        </w:rPr>
        <w:t>conflict. Encroachment of the land that led to the land conflict could not have been feasible if the land had been used as per development conditions, s</w:t>
      </w:r>
      <w:r w:rsidR="007A2D90" w:rsidRPr="007A2D90">
        <w:rPr>
          <w:rFonts w:ascii="Arial" w:hAnsi="Arial" w:cs="Arial"/>
          <w:lang w:val="en-GB"/>
        </w:rPr>
        <w:t xml:space="preserve">o in essence, it </w:t>
      </w:r>
      <w:r>
        <w:rPr>
          <w:rFonts w:ascii="Arial" w:hAnsi="Arial" w:cs="Arial"/>
          <w:lang w:val="en-GB"/>
        </w:rPr>
        <w:t xml:space="preserve">can be argued that </w:t>
      </w:r>
      <w:r w:rsidR="007A2D90" w:rsidRPr="007A2D90">
        <w:rPr>
          <w:rFonts w:ascii="Arial" w:hAnsi="Arial" w:cs="Arial"/>
          <w:lang w:val="en-GB"/>
        </w:rPr>
        <w:t xml:space="preserve">the conflict resulted mainly from </w:t>
      </w:r>
      <w:r>
        <w:rPr>
          <w:rFonts w:ascii="Arial" w:hAnsi="Arial" w:cs="Arial"/>
          <w:lang w:val="en-GB"/>
        </w:rPr>
        <w:t xml:space="preserve">the omission of undertaking </w:t>
      </w:r>
      <w:r w:rsidR="007A2D90" w:rsidRPr="007A2D90">
        <w:rPr>
          <w:rFonts w:ascii="Arial" w:hAnsi="Arial" w:cs="Arial"/>
          <w:lang w:val="en-GB"/>
        </w:rPr>
        <w:t>responsibilities.</w:t>
      </w:r>
    </w:p>
    <w:p w14:paraId="078AE32A" w14:textId="77777777" w:rsidR="00C64DE1" w:rsidRDefault="00C64DE1" w:rsidP="008C5EC3">
      <w:pPr>
        <w:pStyle w:val="Body"/>
        <w:spacing w:after="0" w:line="480" w:lineRule="auto"/>
        <w:rPr>
          <w:rFonts w:ascii="Arial" w:hAnsi="Arial" w:cs="Arial"/>
          <w:lang w:val="en-GB"/>
        </w:rPr>
      </w:pPr>
    </w:p>
    <w:p w14:paraId="76398936" w14:textId="77777777" w:rsidR="00C64DE1" w:rsidRDefault="00FB7403" w:rsidP="008C5EC3">
      <w:pPr>
        <w:pStyle w:val="Body"/>
        <w:numPr>
          <w:ilvl w:val="0"/>
          <w:numId w:val="34"/>
        </w:numPr>
        <w:spacing w:after="0" w:line="480" w:lineRule="auto"/>
        <w:rPr>
          <w:rFonts w:ascii="Arial" w:hAnsi="Arial" w:cs="Arial"/>
          <w:b/>
          <w:caps/>
          <w:sz w:val="22"/>
        </w:rPr>
      </w:pPr>
      <w:r>
        <w:rPr>
          <w:rFonts w:ascii="Arial" w:hAnsi="Arial" w:cs="Arial"/>
          <w:b/>
          <w:caps/>
          <w:sz w:val="22"/>
        </w:rPr>
        <w:t>IMPLICATIONS FOR LAND GOVERNANCE</w:t>
      </w:r>
    </w:p>
    <w:p w14:paraId="1851DD59" w14:textId="77777777" w:rsidR="00751D9F" w:rsidRPr="00C64DE1" w:rsidRDefault="00751D9F" w:rsidP="008C5EC3">
      <w:pPr>
        <w:pStyle w:val="Body"/>
        <w:spacing w:after="0" w:line="480" w:lineRule="auto"/>
        <w:ind w:left="720"/>
        <w:rPr>
          <w:rFonts w:ascii="Arial" w:hAnsi="Arial" w:cs="Arial"/>
          <w:b/>
          <w:caps/>
          <w:sz w:val="22"/>
        </w:rPr>
      </w:pPr>
    </w:p>
    <w:p w14:paraId="17A55535" w14:textId="77777777" w:rsidR="00C64DE1" w:rsidRDefault="00C64DE1" w:rsidP="008C5EC3">
      <w:pPr>
        <w:pStyle w:val="Body"/>
        <w:spacing w:after="0" w:line="480" w:lineRule="auto"/>
        <w:rPr>
          <w:rFonts w:ascii="Arial" w:hAnsi="Arial" w:cs="Arial"/>
          <w:lang w:val="en-GB"/>
        </w:rPr>
      </w:pPr>
      <w:r w:rsidRPr="00C64DE1">
        <w:rPr>
          <w:rFonts w:ascii="Arial" w:hAnsi="Arial" w:cs="Arial"/>
          <w:lang w:val="en-GB"/>
        </w:rPr>
        <w:t>The Kilombero Plantations Limited case reveals that investor–smallholder land conflicts in Tanzania are driven at least in part by structural features of the country’s land governance framework. Historical grievances rooted in villagisation policies continue to shape claims to land, particularly among families who returned to farms left idle after parastatal collapse. While these claims carry strong community legitimacy, the statutory framework dismisses them, creating a gap between community-recognized rights and those acknowledged by the state.</w:t>
      </w:r>
    </w:p>
    <w:p w14:paraId="3CC29CBC" w14:textId="77777777" w:rsidR="001D0AD4" w:rsidRDefault="001D0AD4" w:rsidP="008C5EC3">
      <w:pPr>
        <w:pStyle w:val="Body"/>
        <w:spacing w:after="0" w:line="480" w:lineRule="auto"/>
        <w:rPr>
          <w:rFonts w:ascii="Arial" w:hAnsi="Arial" w:cs="Arial"/>
          <w:lang w:val="en-GB"/>
        </w:rPr>
      </w:pPr>
    </w:p>
    <w:p w14:paraId="1103A0E8" w14:textId="77777777" w:rsidR="00C64DE1" w:rsidRDefault="00C64DE1" w:rsidP="008C5EC3">
      <w:pPr>
        <w:pStyle w:val="Body"/>
        <w:spacing w:after="0" w:line="480" w:lineRule="auto"/>
        <w:rPr>
          <w:rFonts w:ascii="Arial" w:hAnsi="Arial" w:cs="Arial"/>
          <w:lang w:val="en-GB"/>
        </w:rPr>
      </w:pPr>
      <w:r w:rsidRPr="00C64DE1">
        <w:rPr>
          <w:rFonts w:ascii="Arial" w:hAnsi="Arial" w:cs="Arial"/>
          <w:lang w:val="en-GB"/>
        </w:rPr>
        <w:t>Equally significant is the structural exclusion of village institutions once land is converted to general land. This shift strips Village Councils of decision-making power, undermining their authority and leaving them unable to effectively respond to community needs. The resulting vacuum fosters mistrust and resistance, reinforcing relational conflicts between communities, the state, and investors.</w:t>
      </w:r>
    </w:p>
    <w:p w14:paraId="53409821" w14:textId="77777777" w:rsidR="001D0AD4" w:rsidRPr="00C64DE1" w:rsidRDefault="001D0AD4" w:rsidP="008C5EC3">
      <w:pPr>
        <w:pStyle w:val="Body"/>
        <w:spacing w:after="0" w:line="480" w:lineRule="auto"/>
        <w:rPr>
          <w:rFonts w:ascii="Arial" w:hAnsi="Arial" w:cs="Arial"/>
          <w:lang w:val="en-GB"/>
        </w:rPr>
      </w:pPr>
    </w:p>
    <w:p w14:paraId="70191E80" w14:textId="77777777" w:rsidR="00C64DE1" w:rsidRDefault="00C64DE1" w:rsidP="008C5EC3">
      <w:pPr>
        <w:pStyle w:val="Body"/>
        <w:spacing w:after="0" w:line="480" w:lineRule="auto"/>
        <w:rPr>
          <w:rFonts w:ascii="Arial" w:hAnsi="Arial" w:cs="Arial"/>
          <w:lang w:val="en-GB"/>
        </w:rPr>
      </w:pPr>
      <w:r w:rsidRPr="00C64DE1">
        <w:rPr>
          <w:rFonts w:ascii="Arial" w:hAnsi="Arial" w:cs="Arial"/>
          <w:lang w:val="en-GB"/>
        </w:rPr>
        <w:t xml:space="preserve">Confusion surrounding compensation further illustrates the institutional weaknesses that fuel conflict. The conflation of statutory compensation and discretionary compassionate payments created divergent interpretations of entitlements. For smallholders, the payment they received for their property was experienced as unfair dispossession, while for state officials, </w:t>
      </w:r>
      <w:r w:rsidRPr="00C64DE1">
        <w:rPr>
          <w:rFonts w:ascii="Arial" w:hAnsi="Arial" w:cs="Arial"/>
          <w:lang w:val="en-GB"/>
        </w:rPr>
        <w:lastRenderedPageBreak/>
        <w:t>it was a matter of legal correctness. Such ambiguity not only eroded trust in government processes but also perpetuated feelings of injustice.</w:t>
      </w:r>
    </w:p>
    <w:p w14:paraId="0EB3FFA7" w14:textId="77777777" w:rsidR="001D0AD4" w:rsidRPr="00C64DE1" w:rsidRDefault="001D0AD4" w:rsidP="008C5EC3">
      <w:pPr>
        <w:pStyle w:val="Body"/>
        <w:spacing w:after="0" w:line="480" w:lineRule="auto"/>
        <w:rPr>
          <w:rFonts w:ascii="Arial" w:hAnsi="Arial" w:cs="Arial"/>
          <w:lang w:val="en-GB"/>
        </w:rPr>
      </w:pPr>
    </w:p>
    <w:p w14:paraId="2A63538E" w14:textId="77777777" w:rsidR="00C64DE1" w:rsidRDefault="00C64DE1" w:rsidP="008C5EC3">
      <w:pPr>
        <w:pStyle w:val="Body"/>
        <w:spacing w:after="0" w:line="480" w:lineRule="auto"/>
        <w:rPr>
          <w:rFonts w:ascii="Arial" w:hAnsi="Arial" w:cs="Arial"/>
          <w:lang w:val="en-GB"/>
        </w:rPr>
      </w:pPr>
      <w:r w:rsidRPr="00C64DE1">
        <w:rPr>
          <w:rFonts w:ascii="Arial" w:hAnsi="Arial" w:cs="Arial"/>
          <w:lang w:val="en-GB"/>
        </w:rPr>
        <w:t>The denial of long-term occupation through the prohibition of adverse possession similarly delegitimized locally grounded claims. Although continuous cultivation had established de facto rights for some households, the legal framework treated such occupation on government land as illegitimate. This disjuncture between statutory law and local perceptions of fairness intensified tensions and perpetuated insecurity.</w:t>
      </w:r>
    </w:p>
    <w:p w14:paraId="3F8936AB" w14:textId="77777777" w:rsidR="001D0AD4" w:rsidRPr="00C64DE1" w:rsidRDefault="001D0AD4" w:rsidP="008C5EC3">
      <w:pPr>
        <w:pStyle w:val="Body"/>
        <w:spacing w:after="0" w:line="480" w:lineRule="auto"/>
        <w:rPr>
          <w:rFonts w:ascii="Arial" w:hAnsi="Arial" w:cs="Arial"/>
          <w:lang w:val="en-GB"/>
        </w:rPr>
      </w:pPr>
    </w:p>
    <w:p w14:paraId="0E030DEC" w14:textId="77777777" w:rsidR="00C64DE1" w:rsidRDefault="00C64DE1" w:rsidP="008C5EC3">
      <w:pPr>
        <w:pStyle w:val="Body"/>
        <w:spacing w:after="0" w:line="480" w:lineRule="auto"/>
        <w:rPr>
          <w:rFonts w:ascii="Arial" w:hAnsi="Arial" w:cs="Arial"/>
          <w:lang w:val="en-GB"/>
        </w:rPr>
      </w:pPr>
      <w:r w:rsidRPr="00C64DE1">
        <w:rPr>
          <w:rFonts w:ascii="Arial" w:hAnsi="Arial" w:cs="Arial"/>
          <w:lang w:val="en-GB"/>
        </w:rPr>
        <w:t>Finally, weak enforcement of development conditions attached to the Rights of Occupancy further exacerbated conflicts. Years of underutilization by successive investors created space for smallholder reoccupation, yet oversight mechanisms failed to hold investors accountable. This undermined the credibility of land administration institutions and signalled to communities that the idle land could be reoccupied informally, only to get evicted later when formal institutions reasserted control.</w:t>
      </w:r>
    </w:p>
    <w:p w14:paraId="2639DB5F" w14:textId="77777777" w:rsidR="001D0AD4" w:rsidRPr="00C64DE1" w:rsidRDefault="001D0AD4" w:rsidP="008C5EC3">
      <w:pPr>
        <w:pStyle w:val="Body"/>
        <w:spacing w:after="0" w:line="480" w:lineRule="auto"/>
        <w:rPr>
          <w:rFonts w:ascii="Arial" w:hAnsi="Arial" w:cs="Arial"/>
          <w:lang w:val="en-GB"/>
        </w:rPr>
      </w:pPr>
    </w:p>
    <w:p w14:paraId="14A18DAD" w14:textId="77777777" w:rsidR="00C64DE1" w:rsidRPr="00C64DE1" w:rsidRDefault="00C64DE1" w:rsidP="008C5EC3">
      <w:pPr>
        <w:pStyle w:val="Body"/>
        <w:spacing w:after="0" w:line="480" w:lineRule="auto"/>
        <w:rPr>
          <w:rFonts w:ascii="Arial" w:hAnsi="Arial" w:cs="Arial"/>
          <w:lang w:val="en-GB"/>
        </w:rPr>
      </w:pPr>
      <w:r w:rsidRPr="00C64DE1">
        <w:rPr>
          <w:rFonts w:ascii="Arial" w:hAnsi="Arial" w:cs="Arial"/>
          <w:lang w:val="en-GB"/>
        </w:rPr>
        <w:t>Taken together, these findings demonstrate that structural exclusion, legal ambiguities, and weak institutional enforcement, rather than land scarcity alone, lie at the core of investor–smallholder land conflicts in Tanzania. The analysis underscores the need for reforms that acknowledge historical grievances, decentralize authority, clarify compensation regimes, and strengthen accountability in land governance.</w:t>
      </w:r>
    </w:p>
    <w:p w14:paraId="14C4E83D" w14:textId="77777777" w:rsidR="00790ADA" w:rsidRPr="00FB3A86" w:rsidRDefault="00790ADA" w:rsidP="008C5EC3">
      <w:pPr>
        <w:pStyle w:val="Body"/>
        <w:spacing w:after="0" w:line="480" w:lineRule="auto"/>
        <w:rPr>
          <w:rFonts w:ascii="Arial" w:hAnsi="Arial" w:cs="Arial"/>
        </w:rPr>
      </w:pPr>
    </w:p>
    <w:p w14:paraId="610E1D16" w14:textId="77777777" w:rsidR="00B01FCD" w:rsidRDefault="00000F8F" w:rsidP="008C5EC3">
      <w:pPr>
        <w:pStyle w:val="ConcHead"/>
        <w:numPr>
          <w:ilvl w:val="0"/>
          <w:numId w:val="34"/>
        </w:numPr>
        <w:spacing w:after="0" w:line="480" w:lineRule="auto"/>
        <w:jc w:val="both"/>
        <w:rPr>
          <w:rFonts w:ascii="Arial" w:hAnsi="Arial" w:cs="Arial"/>
        </w:rPr>
      </w:pPr>
      <w:r>
        <w:rPr>
          <w:rFonts w:ascii="Arial" w:hAnsi="Arial" w:cs="Arial"/>
        </w:rPr>
        <w:t xml:space="preserve"> </w:t>
      </w:r>
      <w:r w:rsidR="00B01FCD" w:rsidRPr="00FB3A86">
        <w:rPr>
          <w:rFonts w:ascii="Arial" w:hAnsi="Arial" w:cs="Arial"/>
        </w:rPr>
        <w:t>Conclusion</w:t>
      </w:r>
    </w:p>
    <w:p w14:paraId="757EC648" w14:textId="77777777" w:rsidR="00790ADA" w:rsidRPr="00FB3A86" w:rsidRDefault="00790ADA" w:rsidP="008C5EC3">
      <w:pPr>
        <w:pStyle w:val="ConcHead"/>
        <w:spacing w:after="0" w:line="480" w:lineRule="auto"/>
        <w:jc w:val="both"/>
        <w:rPr>
          <w:rFonts w:ascii="Arial" w:hAnsi="Arial" w:cs="Arial"/>
        </w:rPr>
      </w:pPr>
    </w:p>
    <w:p w14:paraId="1B89AA93" w14:textId="77777777" w:rsidR="004765CD" w:rsidRDefault="004765CD" w:rsidP="008C5EC3">
      <w:pPr>
        <w:pStyle w:val="Body"/>
        <w:spacing w:after="0" w:line="480" w:lineRule="auto"/>
        <w:rPr>
          <w:rFonts w:ascii="Arial" w:hAnsi="Arial" w:cs="Arial"/>
          <w:lang w:val="en-GB"/>
        </w:rPr>
      </w:pPr>
      <w:r w:rsidRPr="004765CD">
        <w:rPr>
          <w:rFonts w:ascii="Arial" w:hAnsi="Arial" w:cs="Arial"/>
          <w:lang w:val="en-GB"/>
        </w:rPr>
        <w:t>This study has demonstrated that investor–smallholder land conflicts in Tanzania are not merely the outcome of competing land uses, but are deeply rooted in structural arrangements that shape tenure security. Using the case of Kilombero Plantations Limited, the paper shows how historical legacies of villagisation, legal pluralism, and centralized authority converge to produce land conflicts and insecurity. The transfer of village land to general land strips communities of decision-making power, while the prohibition of adverse possession delegitimizes locally grounded claims. These institutional failures not only exacerbate conflict but also undermine the security of tenure through state-led investment promotion.</w:t>
      </w:r>
    </w:p>
    <w:p w14:paraId="0B618AF8" w14:textId="77777777" w:rsidR="001D0AD4" w:rsidRPr="004765CD" w:rsidRDefault="001D0AD4" w:rsidP="008C5EC3">
      <w:pPr>
        <w:pStyle w:val="Body"/>
        <w:spacing w:after="0" w:line="480" w:lineRule="auto"/>
        <w:rPr>
          <w:rFonts w:ascii="Arial" w:hAnsi="Arial" w:cs="Arial"/>
          <w:lang w:val="en-GB"/>
        </w:rPr>
      </w:pPr>
    </w:p>
    <w:p w14:paraId="381CFD19" w14:textId="77777777" w:rsidR="004765CD" w:rsidRPr="004765CD" w:rsidRDefault="004765CD" w:rsidP="008C5EC3">
      <w:pPr>
        <w:pStyle w:val="Body"/>
        <w:spacing w:after="0" w:line="480" w:lineRule="auto"/>
        <w:rPr>
          <w:rFonts w:ascii="Arial" w:hAnsi="Arial" w:cs="Arial"/>
          <w:lang w:val="en-GB"/>
        </w:rPr>
      </w:pPr>
      <w:r w:rsidRPr="004765CD">
        <w:rPr>
          <w:rFonts w:ascii="Arial" w:hAnsi="Arial" w:cs="Arial"/>
          <w:lang w:val="en-GB"/>
        </w:rPr>
        <w:t xml:space="preserve">The findings highlight the need for reforms that extend beyond improving compensation mechanisms. First, Tanzania requires a more inclusive land governance model that acknowledges both statutory and customary claims, especially in </w:t>
      </w:r>
      <w:r w:rsidRPr="004765CD">
        <w:rPr>
          <w:rFonts w:ascii="Arial" w:hAnsi="Arial" w:cs="Arial"/>
          <w:lang w:val="en-GB"/>
        </w:rPr>
        <w:lastRenderedPageBreak/>
        <w:t>situations where tenure overlaps. Second, decentralizing oversight to village institutions could improve monitoring of land use and reduce the ongoing neglect of farmland. Third, investment frameworks such as TIC should incorporate stronger accountability provisions to balance investor rights with community security. Overall, this paper contributes to discussions on land governance in Africa by demonstrating that systemic exclusion, rather than merely land scarcity, is central to recurring conflicts. Addressing these fundamental issues is crucial not only for social justice but also for the sustainable commercialization of agriculture in Tanzania and beyond.</w:t>
      </w:r>
    </w:p>
    <w:p w14:paraId="4B2679FA" w14:textId="77777777" w:rsidR="00790ADA" w:rsidRPr="00FB3A86" w:rsidRDefault="00790ADA" w:rsidP="008C5EC3">
      <w:pPr>
        <w:pStyle w:val="Body"/>
        <w:spacing w:after="0" w:line="480" w:lineRule="auto"/>
        <w:rPr>
          <w:rFonts w:ascii="Arial" w:hAnsi="Arial" w:cs="Arial"/>
        </w:rPr>
      </w:pPr>
    </w:p>
    <w:p w14:paraId="1E225A1E" w14:textId="77777777" w:rsidR="005A6704" w:rsidRDefault="005A6704" w:rsidP="008C5EC3">
      <w:pPr>
        <w:pStyle w:val="AcknHead"/>
        <w:spacing w:after="0" w:line="480" w:lineRule="auto"/>
        <w:jc w:val="both"/>
        <w:rPr>
          <w:rFonts w:ascii="Arial" w:hAnsi="Arial" w:cs="Arial"/>
        </w:rPr>
      </w:pPr>
      <w:r>
        <w:rPr>
          <w:rFonts w:ascii="Arial" w:hAnsi="Arial" w:cs="Arial"/>
        </w:rPr>
        <w:t>DISCLAIMER</w:t>
      </w:r>
      <w:r w:rsidR="00C53103">
        <w:rPr>
          <w:rFonts w:ascii="Arial" w:hAnsi="Arial" w:cs="Arial"/>
        </w:rPr>
        <w:t xml:space="preserve"> (ARTIFICIAL INTELLIGENCE)</w:t>
      </w:r>
    </w:p>
    <w:p w14:paraId="26E7F2C3" w14:textId="77777777" w:rsidR="005A6704" w:rsidRDefault="005A6704" w:rsidP="008C5EC3">
      <w:pPr>
        <w:spacing w:line="480" w:lineRule="auto"/>
      </w:pPr>
      <w:r>
        <w:t>Author(s)</w:t>
      </w:r>
      <w:r w:rsidR="00C53103">
        <w:t xml:space="preserve"> hereby declare that generative AI technologies such </w:t>
      </w:r>
      <w:r>
        <w:t xml:space="preserve">as </w:t>
      </w:r>
      <w:r w:rsidR="00C53103">
        <w:t>Grammarly (v1.2.196.1758) were used during the</w:t>
      </w:r>
      <w:r w:rsidRPr="005A6704">
        <w:t xml:space="preserve"> editing of this manuscript.</w:t>
      </w:r>
    </w:p>
    <w:p w14:paraId="2EFBED04" w14:textId="77777777" w:rsidR="005C784C" w:rsidRDefault="005C784C" w:rsidP="00441B6F">
      <w:pPr>
        <w:pStyle w:val="ReferHead"/>
        <w:spacing w:after="0"/>
        <w:jc w:val="both"/>
        <w:rPr>
          <w:rFonts w:ascii="Arial" w:hAnsi="Arial" w:cs="Arial"/>
          <w:b w:val="0"/>
          <w:caps w:val="0"/>
          <w:sz w:val="20"/>
        </w:rPr>
      </w:pPr>
    </w:p>
    <w:p w14:paraId="11C07F8F" w14:textId="77777777" w:rsidR="005C784C" w:rsidRDefault="00D24493" w:rsidP="00441B6F">
      <w:pPr>
        <w:pStyle w:val="ReferHead"/>
        <w:spacing w:after="0"/>
        <w:jc w:val="both"/>
        <w:rPr>
          <w:rFonts w:ascii="Arial" w:hAnsi="Arial" w:cs="Arial"/>
          <w:bCs/>
        </w:rPr>
      </w:pPr>
      <w:r>
        <w:rPr>
          <w:rFonts w:ascii="Arial" w:hAnsi="Arial" w:cs="Arial"/>
          <w:bCs/>
        </w:rPr>
        <w:t xml:space="preserve">Ethical approval </w:t>
      </w:r>
    </w:p>
    <w:p w14:paraId="20EA40E8" w14:textId="77777777" w:rsidR="005C784C" w:rsidRPr="002B685A" w:rsidRDefault="005C784C" w:rsidP="00441B6F">
      <w:pPr>
        <w:pStyle w:val="ReferHead"/>
        <w:spacing w:after="0"/>
        <w:jc w:val="both"/>
        <w:rPr>
          <w:rFonts w:ascii="Arial" w:hAnsi="Arial" w:cs="Arial"/>
          <w:bCs/>
        </w:rPr>
      </w:pPr>
    </w:p>
    <w:p w14:paraId="55C8C159" w14:textId="7F6625D9" w:rsidR="0041027F" w:rsidRDefault="005C784C" w:rsidP="00AF10C5">
      <w:pPr>
        <w:pStyle w:val="ReferHead"/>
        <w:spacing w:after="0"/>
        <w:jc w:val="both"/>
        <w:rPr>
          <w:rFonts w:ascii="Arial" w:hAnsi="Arial" w:cs="Arial"/>
          <w:b w:val="0"/>
          <w:caps w:val="0"/>
          <w:sz w:val="20"/>
        </w:rPr>
      </w:pPr>
      <w:r w:rsidRPr="002B685A">
        <w:rPr>
          <w:rFonts w:ascii="Arial" w:hAnsi="Arial" w:cs="Arial"/>
          <w:b w:val="0"/>
          <w:caps w:val="0"/>
          <w:sz w:val="20"/>
        </w:rPr>
        <w:t xml:space="preserve">This </w:t>
      </w:r>
      <w:r w:rsidR="00AF10C5">
        <w:rPr>
          <w:rFonts w:ascii="Arial" w:hAnsi="Arial" w:cs="Arial"/>
          <w:b w:val="0"/>
          <w:caps w:val="0"/>
          <w:sz w:val="20"/>
        </w:rPr>
        <w:t>study received the approval of Kilombero District Administration, the governing authority where the study was conducted.</w:t>
      </w:r>
    </w:p>
    <w:p w14:paraId="0CC6EF5F" w14:textId="46D9B49A" w:rsidR="009C6CF0" w:rsidRDefault="009C6CF0" w:rsidP="00AF10C5">
      <w:pPr>
        <w:pStyle w:val="ReferHead"/>
        <w:spacing w:after="0"/>
        <w:jc w:val="both"/>
        <w:rPr>
          <w:rFonts w:ascii="Arial" w:hAnsi="Arial" w:cs="Arial"/>
          <w:b w:val="0"/>
          <w:caps w:val="0"/>
          <w:sz w:val="20"/>
        </w:rPr>
      </w:pPr>
    </w:p>
    <w:p w14:paraId="28F24E6A" w14:textId="77777777" w:rsidR="009C6CF0" w:rsidRDefault="009C6CF0" w:rsidP="00AF10C5">
      <w:pPr>
        <w:pStyle w:val="ReferHead"/>
        <w:spacing w:after="0"/>
        <w:jc w:val="both"/>
        <w:rPr>
          <w:rFonts w:ascii="Arial" w:hAnsi="Arial" w:cs="Arial"/>
          <w:b w:val="0"/>
          <w:caps w:val="0"/>
          <w:sz w:val="20"/>
        </w:rPr>
      </w:pPr>
    </w:p>
    <w:p w14:paraId="50286B81" w14:textId="77777777" w:rsidR="009C6CF0" w:rsidRPr="009C6CF0" w:rsidRDefault="009C6CF0" w:rsidP="009C6CF0">
      <w:pPr>
        <w:spacing w:after="200" w:line="276" w:lineRule="auto"/>
        <w:rPr>
          <w:rFonts w:asciiTheme="minorHAnsi" w:eastAsiaTheme="minorHAnsi" w:hAnsiTheme="minorHAnsi" w:cstheme="minorBidi"/>
          <w:b/>
          <w:sz w:val="22"/>
          <w:szCs w:val="22"/>
        </w:rPr>
      </w:pPr>
      <w:bookmarkStart w:id="0" w:name="_Hlk207463152"/>
      <w:r w:rsidRPr="009C6CF0">
        <w:rPr>
          <w:rFonts w:asciiTheme="minorHAnsi" w:eastAsiaTheme="minorHAnsi" w:hAnsiTheme="minorHAnsi" w:cstheme="minorBidi"/>
          <w:b/>
          <w:sz w:val="22"/>
          <w:szCs w:val="22"/>
        </w:rPr>
        <w:t xml:space="preserve">Consent </w:t>
      </w:r>
    </w:p>
    <w:p w14:paraId="39B1120D" w14:textId="77777777" w:rsidR="009C6CF0" w:rsidRPr="009C6CF0" w:rsidRDefault="009C6CF0" w:rsidP="009C6CF0">
      <w:pPr>
        <w:spacing w:after="200" w:line="276" w:lineRule="auto"/>
        <w:rPr>
          <w:rFonts w:asciiTheme="minorHAnsi" w:eastAsiaTheme="minorHAnsi" w:hAnsiTheme="minorHAnsi" w:cstheme="minorBidi"/>
          <w:sz w:val="22"/>
          <w:szCs w:val="22"/>
        </w:rPr>
      </w:pPr>
      <w:r w:rsidRPr="009C6CF0">
        <w:rPr>
          <w:rFonts w:asciiTheme="minorHAnsi" w:eastAsiaTheme="minorHAnsi" w:hAnsiTheme="minorHAnsi" w:cstheme="minorBidi"/>
          <w:sz w:val="22"/>
          <w:szCs w:val="22"/>
        </w:rPr>
        <w:t>As per international standards or university standards, Participants’ written consent has been collected and preserved by the author(s).</w:t>
      </w:r>
    </w:p>
    <w:p w14:paraId="342324B0" w14:textId="77777777" w:rsidR="009C6CF0" w:rsidRDefault="009C6CF0" w:rsidP="00AF10C5">
      <w:pPr>
        <w:pStyle w:val="ReferHead"/>
        <w:spacing w:after="0"/>
        <w:jc w:val="both"/>
        <w:rPr>
          <w:rFonts w:ascii="Arial" w:hAnsi="Arial" w:cs="Arial"/>
          <w:b w:val="0"/>
          <w:caps w:val="0"/>
          <w:sz w:val="20"/>
          <w:u w:val="single"/>
        </w:rPr>
      </w:pPr>
      <w:bookmarkStart w:id="1" w:name="_GoBack"/>
      <w:bookmarkEnd w:id="0"/>
      <w:bookmarkEnd w:id="1"/>
    </w:p>
    <w:p w14:paraId="11AE4E99" w14:textId="77777777" w:rsidR="00790ADA" w:rsidRPr="00FB3A86" w:rsidRDefault="00790ADA" w:rsidP="00441B6F">
      <w:pPr>
        <w:pStyle w:val="ReferHead"/>
        <w:spacing w:after="0"/>
        <w:jc w:val="both"/>
        <w:rPr>
          <w:rFonts w:ascii="Arial" w:hAnsi="Arial" w:cs="Arial"/>
        </w:rPr>
      </w:pPr>
    </w:p>
    <w:sdt>
      <w:sdtPr>
        <w:rPr>
          <w:rFonts w:ascii="Helvetica" w:hAnsi="Helvetica"/>
          <w:b w:val="0"/>
          <w:kern w:val="0"/>
          <w:sz w:val="20"/>
        </w:rPr>
        <w:id w:val="1637988173"/>
        <w:docPartObj>
          <w:docPartGallery w:val="Bibliographies"/>
          <w:docPartUnique/>
        </w:docPartObj>
      </w:sdtPr>
      <w:sdtEndPr/>
      <w:sdtContent>
        <w:p w14:paraId="670A0032" w14:textId="77777777" w:rsidR="005A6704" w:rsidRDefault="00552CCA">
          <w:pPr>
            <w:pStyle w:val="Heading1"/>
            <w:rPr>
              <w:sz w:val="22"/>
              <w:szCs w:val="22"/>
            </w:rPr>
          </w:pPr>
          <w:r w:rsidRPr="00552CCA">
            <w:rPr>
              <w:sz w:val="22"/>
              <w:szCs w:val="22"/>
            </w:rPr>
            <w:t>REFERENCES</w:t>
          </w:r>
        </w:p>
        <w:p w14:paraId="05B67C59" w14:textId="77777777" w:rsidR="00552CCA" w:rsidRPr="00552CCA" w:rsidRDefault="00552CCA" w:rsidP="00552CCA"/>
        <w:sdt>
          <w:sdtPr>
            <w:id w:val="-573587230"/>
            <w:bibliography/>
          </w:sdtPr>
          <w:sdtEndPr/>
          <w:sdtContent>
            <w:p w14:paraId="29BDD9FC" w14:textId="77777777" w:rsidR="00A172BD" w:rsidRDefault="005A6704" w:rsidP="00A172BD">
              <w:pPr>
                <w:pStyle w:val="Bibliography"/>
                <w:ind w:left="720" w:hanging="720"/>
                <w:rPr>
                  <w:noProof/>
                  <w:sz w:val="24"/>
                  <w:szCs w:val="24"/>
                </w:rPr>
              </w:pPr>
              <w:r>
                <w:fldChar w:fldCharType="begin"/>
              </w:r>
              <w:r w:rsidRPr="008C5EC3">
                <w:instrText xml:space="preserve"> BIBLIOGRAPHY </w:instrText>
              </w:r>
              <w:r>
                <w:fldChar w:fldCharType="separate"/>
              </w:r>
              <w:r w:rsidR="00A172BD">
                <w:rPr>
                  <w:noProof/>
                </w:rPr>
                <w:t xml:space="preserve">Archterberg-Boness, A.-C. (2016). </w:t>
              </w:r>
              <w:r w:rsidR="00A172BD">
                <w:rPr>
                  <w:i/>
                  <w:iCs/>
                  <w:noProof/>
                </w:rPr>
                <w:t>Dynamics of Law, Culture and Society in the Organisation of Land and Water Distribution among Rural Farmers in Karatu District/Northern Tanzania.</w:t>
              </w:r>
              <w:r w:rsidR="00A172BD">
                <w:rPr>
                  <w:noProof/>
                </w:rPr>
                <w:t xml:space="preserve"> Köln: der Universität zu Köln.</w:t>
              </w:r>
            </w:p>
            <w:p w14:paraId="73607156" w14:textId="77777777" w:rsidR="00A172BD" w:rsidRDefault="00A172BD" w:rsidP="00A172BD">
              <w:pPr>
                <w:pStyle w:val="Bibliography"/>
                <w:ind w:left="720" w:hanging="720"/>
                <w:rPr>
                  <w:noProof/>
                </w:rPr>
              </w:pPr>
              <w:r>
                <w:rPr>
                  <w:noProof/>
                </w:rPr>
                <w:t xml:space="preserve">Bottazzi, P., Goguen, A., &amp; Rist, S. (2016). Conflicts of customary land tenure in rural Africa: is large-scale land acquisition a driver of ‘institutional innovation’? </w:t>
              </w:r>
              <w:r>
                <w:rPr>
                  <w:i/>
                  <w:iCs/>
                  <w:noProof/>
                </w:rPr>
                <w:t>The Journal of Peasant Studies</w:t>
              </w:r>
              <w:r>
                <w:rPr>
                  <w:noProof/>
                </w:rPr>
                <w:t>, 1-18. doi:10.1080/03066150.2015.1119119</w:t>
              </w:r>
            </w:p>
            <w:p w14:paraId="55E8D372" w14:textId="77777777" w:rsidR="00A172BD" w:rsidRDefault="00A172BD" w:rsidP="00A172BD">
              <w:pPr>
                <w:pStyle w:val="Bibliography"/>
                <w:ind w:left="720" w:hanging="720"/>
                <w:rPr>
                  <w:noProof/>
                </w:rPr>
              </w:pPr>
              <w:r>
                <w:rPr>
                  <w:noProof/>
                </w:rPr>
                <w:t xml:space="preserve">Boulding, K. (2015). Conflict and Defence a General Theory. In T. Woodhouse, H. Miall, &amp; O. Ramsbotham, </w:t>
              </w:r>
              <w:r>
                <w:rPr>
                  <w:i/>
                  <w:iCs/>
                  <w:noProof/>
                </w:rPr>
                <w:t>The Contemporary Conflict Resolution Reader.</w:t>
              </w:r>
              <w:r>
                <w:rPr>
                  <w:noProof/>
                </w:rPr>
                <w:t xml:space="preserve"> Cambrige: Cambrige Polity Press.</w:t>
              </w:r>
            </w:p>
            <w:p w14:paraId="6004A922" w14:textId="77777777" w:rsidR="00A172BD" w:rsidRDefault="00A172BD" w:rsidP="00A172BD">
              <w:pPr>
                <w:pStyle w:val="Bibliography"/>
                <w:ind w:left="720" w:hanging="720"/>
                <w:rPr>
                  <w:noProof/>
                </w:rPr>
              </w:pPr>
              <w:r>
                <w:rPr>
                  <w:noProof/>
                </w:rPr>
                <w:t xml:space="preserve">Brüntrup, M., Absmayr, T., Dylla, J., Eckhard, F., Remke, K., &amp; Sternisko, K. (2016). Large-scale agricultural investments and rural development in Tanzania: lessons learned, steering requirements and policy responses. </w:t>
              </w:r>
              <w:r>
                <w:rPr>
                  <w:i/>
                  <w:iCs/>
                  <w:noProof/>
                </w:rPr>
                <w:t>2016 World Bank Conference on Land and Poverty.</w:t>
              </w:r>
              <w:r>
                <w:rPr>
                  <w:noProof/>
                </w:rPr>
                <w:t xml:space="preserve"> Washington DC: World Bank.</w:t>
              </w:r>
            </w:p>
            <w:p w14:paraId="2DD96CB2" w14:textId="77777777" w:rsidR="00A172BD" w:rsidRDefault="00A172BD" w:rsidP="00A172BD">
              <w:pPr>
                <w:pStyle w:val="Bibliography"/>
                <w:ind w:left="720" w:hanging="720"/>
                <w:rPr>
                  <w:noProof/>
                </w:rPr>
              </w:pPr>
              <w:r>
                <w:rPr>
                  <w:noProof/>
                </w:rPr>
                <w:t xml:space="preserve">Coldham. (1995). Land Tenure Reform in Tanzania: Legal Problems and Perspectives. </w:t>
              </w:r>
              <w:r>
                <w:rPr>
                  <w:i/>
                  <w:iCs/>
                  <w:noProof/>
                </w:rPr>
                <w:t>Modem African Studies</w:t>
              </w:r>
              <w:r>
                <w:rPr>
                  <w:noProof/>
                </w:rPr>
                <w:t>, 227-242.</w:t>
              </w:r>
            </w:p>
            <w:p w14:paraId="092BBF5C" w14:textId="77777777" w:rsidR="00A172BD" w:rsidRDefault="00A172BD" w:rsidP="00A172BD">
              <w:pPr>
                <w:pStyle w:val="Bibliography"/>
                <w:ind w:left="720" w:hanging="720"/>
                <w:rPr>
                  <w:noProof/>
                </w:rPr>
              </w:pPr>
              <w:r>
                <w:rPr>
                  <w:noProof/>
                </w:rPr>
                <w:t xml:space="preserve">Cotula, L. (2012). The international political economy of the global land rush: A critical appraisal of trends, scale, geography and drivers. </w:t>
              </w:r>
              <w:r>
                <w:rPr>
                  <w:i/>
                  <w:iCs/>
                  <w:noProof/>
                </w:rPr>
                <w:t>Journal of Peasant Studies</w:t>
              </w:r>
              <w:r>
                <w:rPr>
                  <w:noProof/>
                </w:rPr>
                <w:t>, 649-680.</w:t>
              </w:r>
            </w:p>
            <w:p w14:paraId="6E58E5F7" w14:textId="77777777" w:rsidR="00A172BD" w:rsidRDefault="00A172BD" w:rsidP="00A172BD">
              <w:pPr>
                <w:pStyle w:val="Bibliography"/>
                <w:ind w:left="720" w:hanging="720"/>
                <w:rPr>
                  <w:noProof/>
                </w:rPr>
              </w:pPr>
              <w:r>
                <w:rPr>
                  <w:noProof/>
                </w:rPr>
                <w:t xml:space="preserve">Coulson, A. (2013). </w:t>
              </w:r>
              <w:r>
                <w:rPr>
                  <w:i/>
                  <w:iCs/>
                  <w:noProof/>
                </w:rPr>
                <w:t>Tanzania A Political Economy</w:t>
              </w:r>
              <w:r>
                <w:rPr>
                  <w:noProof/>
                </w:rPr>
                <w:t xml:space="preserve"> (2nd ed.). Oxford: Oxford University Press.</w:t>
              </w:r>
            </w:p>
            <w:p w14:paraId="637B21C0" w14:textId="77777777" w:rsidR="00A172BD" w:rsidRDefault="00A172BD" w:rsidP="00A172BD">
              <w:pPr>
                <w:pStyle w:val="Bibliography"/>
                <w:ind w:left="720" w:hanging="720"/>
                <w:rPr>
                  <w:noProof/>
                </w:rPr>
              </w:pPr>
              <w:r>
                <w:rPr>
                  <w:noProof/>
                </w:rPr>
                <w:t xml:space="preserve">Creswell, J. W. (2014). </w:t>
              </w:r>
              <w:r>
                <w:rPr>
                  <w:i/>
                  <w:iCs/>
                  <w:noProof/>
                </w:rPr>
                <w:t>Research Design Qualitative, Quantitative, and Mixed Method Approaches.</w:t>
              </w:r>
              <w:r>
                <w:rPr>
                  <w:noProof/>
                </w:rPr>
                <w:t xml:space="preserve"> Thousands Oaks, California: SAGE Publications, Inc.</w:t>
              </w:r>
            </w:p>
            <w:p w14:paraId="05CAA7AF" w14:textId="77777777" w:rsidR="00A172BD" w:rsidRDefault="00A172BD" w:rsidP="00A172BD">
              <w:pPr>
                <w:pStyle w:val="Bibliography"/>
                <w:ind w:left="720" w:hanging="720"/>
                <w:rPr>
                  <w:noProof/>
                </w:rPr>
              </w:pPr>
              <w:r>
                <w:rPr>
                  <w:noProof/>
                </w:rPr>
                <w:t xml:space="preserve">Duncan, J. (2014, November 12). </w:t>
              </w:r>
              <w:r>
                <w:rPr>
                  <w:i/>
                  <w:iCs/>
                  <w:noProof/>
                </w:rPr>
                <w:t>Women’s Land Rights Guide for Tanzania</w:t>
              </w:r>
              <w:r>
                <w:rPr>
                  <w:noProof/>
                </w:rPr>
                <w:t>. Retrieved July 12, 2022, from Landesa.org: https://cdn.landesa.org/wp-content/uploads/LandWise-Guide-Women%E2%80%99s-land-rights-guide-for-Tanzania.pdf</w:t>
              </w:r>
            </w:p>
            <w:p w14:paraId="4A8F8B63" w14:textId="77777777" w:rsidR="00A172BD" w:rsidRDefault="00A172BD" w:rsidP="00A172BD">
              <w:pPr>
                <w:pStyle w:val="Bibliography"/>
                <w:ind w:left="720" w:hanging="720"/>
                <w:rPr>
                  <w:noProof/>
                </w:rPr>
              </w:pPr>
              <w:r>
                <w:rPr>
                  <w:noProof/>
                </w:rPr>
                <w:t xml:space="preserve">Engström, L. (2018). </w:t>
              </w:r>
              <w:r>
                <w:rPr>
                  <w:i/>
                  <w:iCs/>
                  <w:noProof/>
                </w:rPr>
                <w:t>Development Delayed Exploring the Failure of Largescale Agricultural Investments in Tanzania to deliver Promised Outcomes.</w:t>
              </w:r>
              <w:r>
                <w:rPr>
                  <w:noProof/>
                </w:rPr>
                <w:t xml:space="preserve"> Uppsala: Swedish University of Agricultural Sciences.</w:t>
              </w:r>
            </w:p>
            <w:p w14:paraId="7FE3323F" w14:textId="77777777" w:rsidR="00A172BD" w:rsidRDefault="00A172BD" w:rsidP="00A172BD">
              <w:pPr>
                <w:pStyle w:val="Bibliography"/>
                <w:ind w:left="720" w:hanging="720"/>
                <w:rPr>
                  <w:noProof/>
                </w:rPr>
              </w:pPr>
              <w:r>
                <w:rPr>
                  <w:noProof/>
                </w:rPr>
                <w:lastRenderedPageBreak/>
                <w:t xml:space="preserve">Engström, L., Bélair, J., &amp; Blache, A. (2022). Formalising village land dispossession? An aggregate analysis of the combined effects of the land formalisation and land acquisition agendas in Tanzania. </w:t>
              </w:r>
              <w:r>
                <w:rPr>
                  <w:i/>
                  <w:iCs/>
                  <w:noProof/>
                </w:rPr>
                <w:t>Land Use Policy, 120</w:t>
              </w:r>
              <w:r>
                <w:rPr>
                  <w:noProof/>
                </w:rPr>
                <w:t>, 1-14. doi:10.1016/j.landusepol.2022.106255</w:t>
              </w:r>
            </w:p>
            <w:p w14:paraId="4A0BA08F" w14:textId="77777777" w:rsidR="00A172BD" w:rsidRDefault="00A172BD" w:rsidP="00A172BD">
              <w:pPr>
                <w:pStyle w:val="Bibliography"/>
                <w:ind w:left="720" w:hanging="720"/>
                <w:rPr>
                  <w:noProof/>
                </w:rPr>
              </w:pPr>
              <w:r>
                <w:rPr>
                  <w:noProof/>
                </w:rPr>
                <w:t xml:space="preserve">Greco, E. (2015). Landlords in the making: class dynamics of the land grab in Mbarali Tanzania. </w:t>
              </w:r>
              <w:r>
                <w:rPr>
                  <w:i/>
                  <w:iCs/>
                  <w:noProof/>
                </w:rPr>
                <w:t>Review of African Political Economy</w:t>
              </w:r>
              <w:r>
                <w:rPr>
                  <w:noProof/>
                </w:rPr>
                <w:t>.</w:t>
              </w:r>
            </w:p>
            <w:p w14:paraId="3B1B6996" w14:textId="77777777" w:rsidR="00A172BD" w:rsidRDefault="00A172BD" w:rsidP="00A172BD">
              <w:pPr>
                <w:pStyle w:val="Bibliography"/>
                <w:ind w:left="720" w:hanging="720"/>
                <w:rPr>
                  <w:noProof/>
                </w:rPr>
              </w:pPr>
              <w:r>
                <w:rPr>
                  <w:noProof/>
                </w:rPr>
                <w:t xml:space="preserve">Hassani, B. A. (2010). </w:t>
              </w:r>
              <w:r>
                <w:rPr>
                  <w:i/>
                  <w:iCs/>
                  <w:noProof/>
                </w:rPr>
                <w:t>Resettlement Action Plan: Redevelopment of Rice and Bean Cropping at Mngeta Farm Kilombero Valley, Kirombero District, Morogoro Region, Tanzania.</w:t>
              </w:r>
              <w:r>
                <w:rPr>
                  <w:noProof/>
                </w:rPr>
                <w:t xml:space="preserve"> Dar es salaam: TRES Consult Tz Ltd.</w:t>
              </w:r>
            </w:p>
            <w:p w14:paraId="25AE7EF4" w14:textId="77777777" w:rsidR="00A172BD" w:rsidRDefault="00A172BD" w:rsidP="00A172BD">
              <w:pPr>
                <w:pStyle w:val="Bibliography"/>
                <w:ind w:left="720" w:hanging="720"/>
                <w:rPr>
                  <w:noProof/>
                </w:rPr>
              </w:pPr>
              <w:r>
                <w:rPr>
                  <w:noProof/>
                </w:rPr>
                <w:t xml:space="preserve">Hassunga, J. (2019, April 28). </w:t>
              </w:r>
              <w:r>
                <w:rPr>
                  <w:i/>
                  <w:iCs/>
                  <w:noProof/>
                </w:rPr>
                <w:t>Hotuba ya Mhe Japhet Hassunga Bungeni 2019.</w:t>
              </w:r>
              <w:r>
                <w:rPr>
                  <w:noProof/>
                </w:rPr>
                <w:t xml:space="preserve"> Retrieved from kilimo.go.tz: https://www.kilimo.go.tz/index.php/en/resources/view/hotuba-ya-mhe.-japhet-hassunga-bungeni-2019</w:t>
              </w:r>
            </w:p>
            <w:p w14:paraId="324919DA" w14:textId="77777777" w:rsidR="00A172BD" w:rsidRDefault="00A172BD" w:rsidP="00A172BD">
              <w:pPr>
                <w:pStyle w:val="Bibliography"/>
                <w:ind w:left="720" w:hanging="720"/>
                <w:rPr>
                  <w:noProof/>
                </w:rPr>
              </w:pPr>
              <w:r>
                <w:rPr>
                  <w:noProof/>
                </w:rPr>
                <w:t xml:space="preserve">Haulle, E. (2015). Land Resource in Tanzania: Whose State, Whose Resource? </w:t>
              </w:r>
              <w:r>
                <w:rPr>
                  <w:i/>
                  <w:iCs/>
                  <w:noProof/>
                </w:rPr>
                <w:t>International Journal of Social Science Studies, 3</w:t>
              </w:r>
              <w:r>
                <w:rPr>
                  <w:noProof/>
                </w:rPr>
                <w:t>(6), 70-78. Retrieved September 25, 2020, from http://ijsss.redfame.com</w:t>
              </w:r>
            </w:p>
            <w:p w14:paraId="3971976A" w14:textId="77777777" w:rsidR="00A172BD" w:rsidRDefault="00A172BD" w:rsidP="00A172BD">
              <w:pPr>
                <w:pStyle w:val="Bibliography"/>
                <w:ind w:left="720" w:hanging="720"/>
                <w:rPr>
                  <w:noProof/>
                </w:rPr>
              </w:pPr>
              <w:r>
                <w:rPr>
                  <w:noProof/>
                </w:rPr>
                <w:t xml:space="preserve">James, R. W., &amp; Fimbo, G. M. (1973). </w:t>
              </w:r>
              <w:r>
                <w:rPr>
                  <w:i/>
                  <w:iCs/>
                  <w:noProof/>
                </w:rPr>
                <w:t>Customary Land Law of Tanzania. A Source Book.</w:t>
              </w:r>
              <w:r>
                <w:rPr>
                  <w:noProof/>
                </w:rPr>
                <w:t xml:space="preserve"> Nairobi: East Africa Literature Bureau.</w:t>
              </w:r>
            </w:p>
            <w:p w14:paraId="55CA8177" w14:textId="77777777" w:rsidR="00A172BD" w:rsidRDefault="00A172BD" w:rsidP="00A172BD">
              <w:pPr>
                <w:pStyle w:val="Bibliography"/>
                <w:ind w:left="720" w:hanging="720"/>
                <w:rPr>
                  <w:noProof/>
                </w:rPr>
              </w:pPr>
              <w:r>
                <w:rPr>
                  <w:noProof/>
                </w:rPr>
                <w:t xml:space="preserve">John, P., &amp; Kabote, S. J. (2017). Land Governance and Conflict Management in Tanzania: Institutional Capacity and Policy-Legal Framework Challenges. </w:t>
              </w:r>
              <w:r>
                <w:rPr>
                  <w:i/>
                  <w:iCs/>
                  <w:noProof/>
                </w:rPr>
                <w:t>American Journal of Rural Development, 5</w:t>
              </w:r>
              <w:r>
                <w:rPr>
                  <w:noProof/>
                </w:rPr>
                <w:t>(2), 46-54. doi:10.12691/ajrd-5-2-3</w:t>
              </w:r>
            </w:p>
            <w:p w14:paraId="54D5A8C4" w14:textId="77777777" w:rsidR="00A172BD" w:rsidRDefault="00A172BD" w:rsidP="00A172BD">
              <w:pPr>
                <w:pStyle w:val="Bibliography"/>
                <w:ind w:left="720" w:hanging="720"/>
                <w:rPr>
                  <w:noProof/>
                </w:rPr>
              </w:pPr>
              <w:r>
                <w:rPr>
                  <w:noProof/>
                </w:rPr>
                <w:t xml:space="preserve">Libecap, G. D. (1989). </w:t>
              </w:r>
              <w:r>
                <w:rPr>
                  <w:i/>
                  <w:iCs/>
                  <w:noProof/>
                </w:rPr>
                <w:t>Contracting for property rights.</w:t>
              </w:r>
              <w:r>
                <w:rPr>
                  <w:noProof/>
                </w:rPr>
                <w:t xml:space="preserve"> Cambrige: Cambrige University Press.</w:t>
              </w:r>
            </w:p>
            <w:p w14:paraId="23B84EAE" w14:textId="77777777" w:rsidR="00A172BD" w:rsidRDefault="00A172BD" w:rsidP="00A172BD">
              <w:pPr>
                <w:pStyle w:val="Bibliography"/>
                <w:ind w:left="720" w:hanging="720"/>
                <w:rPr>
                  <w:noProof/>
                </w:rPr>
              </w:pPr>
              <w:r>
                <w:rPr>
                  <w:noProof/>
                </w:rPr>
                <w:t xml:space="preserve">Maghimbi, S., Lokina, R. B., &amp; Senga, M. A. (2011). </w:t>
              </w:r>
              <w:r>
                <w:rPr>
                  <w:i/>
                  <w:iCs/>
                  <w:noProof/>
                </w:rPr>
                <w:t>The Agrarian Question in Tanzania? A state of the Art Paper.</w:t>
              </w:r>
              <w:r>
                <w:rPr>
                  <w:noProof/>
                </w:rPr>
                <w:t xml:space="preserve"> Dar es salaam: Nordiska Afrika Institutet and Tthe University of Dar es salaam.</w:t>
              </w:r>
            </w:p>
            <w:p w14:paraId="70AF3D21" w14:textId="77777777" w:rsidR="00A172BD" w:rsidRDefault="00A172BD" w:rsidP="00A172BD">
              <w:pPr>
                <w:pStyle w:val="Bibliography"/>
                <w:ind w:left="720" w:hanging="720"/>
                <w:rPr>
                  <w:noProof/>
                </w:rPr>
              </w:pPr>
              <w:r>
                <w:rPr>
                  <w:noProof/>
                </w:rPr>
                <w:t xml:space="preserve">Manda, S., Tallontire, A., &amp; Dougill, A. J. (2019). Large-scale land acquisitions and institutions: Patterns, influence and barriers in Zambia. </w:t>
              </w:r>
              <w:r>
                <w:rPr>
                  <w:i/>
                  <w:iCs/>
                  <w:noProof/>
                </w:rPr>
                <w:t>The Geographical Journal</w:t>
              </w:r>
              <w:r>
                <w:rPr>
                  <w:noProof/>
                </w:rPr>
                <w:t>, 1-15. doi:10.1111/geoj.12291</w:t>
              </w:r>
            </w:p>
            <w:p w14:paraId="0DC9059D" w14:textId="77777777" w:rsidR="00A172BD" w:rsidRDefault="00A172BD" w:rsidP="00A172BD">
              <w:pPr>
                <w:pStyle w:val="Bibliography"/>
                <w:ind w:left="720" w:hanging="720"/>
                <w:rPr>
                  <w:noProof/>
                </w:rPr>
              </w:pPr>
              <w:r>
                <w:rPr>
                  <w:noProof/>
                </w:rPr>
                <w:t xml:space="preserve">Mostert, E. (1998). A Framework for Conflict Resolution. </w:t>
              </w:r>
              <w:r>
                <w:rPr>
                  <w:i/>
                  <w:iCs/>
                  <w:noProof/>
                </w:rPr>
                <w:t>Water International</w:t>
              </w:r>
              <w:r>
                <w:rPr>
                  <w:noProof/>
                </w:rPr>
                <w:t>, 206-2015.</w:t>
              </w:r>
            </w:p>
            <w:p w14:paraId="73E91DCA" w14:textId="77777777" w:rsidR="00A172BD" w:rsidRDefault="00A172BD" w:rsidP="00A172BD">
              <w:pPr>
                <w:pStyle w:val="Bibliography"/>
                <w:ind w:left="720" w:hanging="720"/>
                <w:rPr>
                  <w:noProof/>
                </w:rPr>
              </w:pPr>
              <w:r>
                <w:rPr>
                  <w:noProof/>
                </w:rPr>
                <w:t xml:space="preserve">Sened, I. (1997). </w:t>
              </w:r>
              <w:r>
                <w:rPr>
                  <w:i/>
                  <w:iCs/>
                  <w:noProof/>
                </w:rPr>
                <w:t>The private institutions of property.</w:t>
              </w:r>
              <w:r>
                <w:rPr>
                  <w:noProof/>
                </w:rPr>
                <w:t xml:space="preserve"> Cambridge: Cambridge University Press.</w:t>
              </w:r>
            </w:p>
            <w:p w14:paraId="5128D2B5" w14:textId="77777777" w:rsidR="00A172BD" w:rsidRDefault="00A172BD" w:rsidP="00A172BD">
              <w:pPr>
                <w:pStyle w:val="Bibliography"/>
                <w:ind w:left="720" w:hanging="720"/>
                <w:rPr>
                  <w:noProof/>
                </w:rPr>
              </w:pPr>
              <w:r>
                <w:rPr>
                  <w:noProof/>
                </w:rPr>
                <w:t xml:space="preserve">Shivji, I. (1998). </w:t>
              </w:r>
              <w:r>
                <w:rPr>
                  <w:i/>
                  <w:iCs/>
                  <w:noProof/>
                </w:rPr>
                <w:t>Not Yet Democracy.</w:t>
              </w:r>
              <w:r>
                <w:rPr>
                  <w:noProof/>
                </w:rPr>
                <w:t xml:space="preserve"> London: IIED, HAKIARDHI, Falculty of Law UDSM.</w:t>
              </w:r>
            </w:p>
            <w:p w14:paraId="26283B34" w14:textId="77777777" w:rsidR="00A172BD" w:rsidRDefault="00A172BD" w:rsidP="00A172BD">
              <w:pPr>
                <w:pStyle w:val="Bibliography"/>
                <w:ind w:left="720" w:hanging="720"/>
                <w:rPr>
                  <w:noProof/>
                </w:rPr>
              </w:pPr>
              <w:r>
                <w:rPr>
                  <w:noProof/>
                </w:rPr>
                <w:t xml:space="preserve">Shivji, I. (2002). </w:t>
              </w:r>
              <w:r>
                <w:rPr>
                  <w:i/>
                  <w:iCs/>
                  <w:noProof/>
                </w:rPr>
                <w:t>Village Governance and Common Pool Resources in Tanzania.</w:t>
              </w:r>
              <w:r>
                <w:rPr>
                  <w:noProof/>
                </w:rPr>
                <w:t xml:space="preserve"> Dar es salaam: DFDI.</w:t>
              </w:r>
            </w:p>
            <w:p w14:paraId="7073FE5F" w14:textId="77777777" w:rsidR="00A172BD" w:rsidRDefault="00A172BD" w:rsidP="00A172BD">
              <w:pPr>
                <w:pStyle w:val="Bibliography"/>
                <w:ind w:left="720" w:hanging="720"/>
                <w:rPr>
                  <w:noProof/>
                </w:rPr>
              </w:pPr>
              <w:r>
                <w:rPr>
                  <w:noProof/>
                </w:rPr>
                <w:t xml:space="preserve">Snare, F. (1972). The Concept of Property. </w:t>
              </w:r>
              <w:r>
                <w:rPr>
                  <w:i/>
                  <w:iCs/>
                  <w:noProof/>
                </w:rPr>
                <w:t>American Philosophical Quarterly, 9</w:t>
              </w:r>
              <w:r>
                <w:rPr>
                  <w:noProof/>
                </w:rPr>
                <w:t>(2), 200-206.</w:t>
              </w:r>
            </w:p>
            <w:p w14:paraId="2CF28377" w14:textId="77777777" w:rsidR="00A172BD" w:rsidRDefault="00A172BD" w:rsidP="00A172BD">
              <w:pPr>
                <w:pStyle w:val="Bibliography"/>
                <w:ind w:left="720" w:hanging="720"/>
                <w:rPr>
                  <w:noProof/>
                </w:rPr>
              </w:pPr>
              <w:r>
                <w:rPr>
                  <w:noProof/>
                </w:rPr>
                <w:t xml:space="preserve">Snyder, K. A., Sulle, E., Masay, D. A., Petro, A., Qamara, P., &amp; Brockington, D. (2020). “Modern” farming and the transformation of livelihoods in rural Tanzania. </w:t>
              </w:r>
              <w:r>
                <w:rPr>
                  <w:i/>
                  <w:iCs/>
                  <w:noProof/>
                </w:rPr>
                <w:t>Agriculture and Human Values, 37</w:t>
              </w:r>
              <w:r>
                <w:rPr>
                  <w:noProof/>
                </w:rPr>
                <w:t>, 33-46. doi:10.1007/s10460-019-09967-6</w:t>
              </w:r>
            </w:p>
            <w:p w14:paraId="6EAA36EE" w14:textId="77777777" w:rsidR="00A172BD" w:rsidRDefault="00A172BD" w:rsidP="00A172BD">
              <w:pPr>
                <w:pStyle w:val="Bibliography"/>
                <w:ind w:left="720" w:hanging="720"/>
                <w:rPr>
                  <w:noProof/>
                </w:rPr>
              </w:pPr>
              <w:r>
                <w:rPr>
                  <w:noProof/>
                </w:rPr>
                <w:t xml:space="preserve">Sulle, E. (2020). Bureaucrats, investors and smallholders: contesting land rights and agro-commercialisation in the Southern agricultural growth corridor of Tanzania. </w:t>
              </w:r>
              <w:r>
                <w:rPr>
                  <w:i/>
                  <w:iCs/>
                  <w:noProof/>
                </w:rPr>
                <w:t>Eastern African Studies, 14</w:t>
              </w:r>
              <w:r>
                <w:rPr>
                  <w:noProof/>
                </w:rPr>
                <w:t>(2), 332-353. doi:10.1080/17531055.2020.1743093</w:t>
              </w:r>
            </w:p>
            <w:p w14:paraId="130A4C56" w14:textId="77777777" w:rsidR="00A172BD" w:rsidRDefault="00A172BD" w:rsidP="00A172BD">
              <w:pPr>
                <w:pStyle w:val="Bibliography"/>
                <w:ind w:left="720" w:hanging="720"/>
                <w:rPr>
                  <w:noProof/>
                </w:rPr>
              </w:pPr>
              <w:r>
                <w:rPr>
                  <w:noProof/>
                </w:rPr>
                <w:t xml:space="preserve">The Oakland Institute; Greenpeace; Global Justice Now. (2015). </w:t>
              </w:r>
              <w:r>
                <w:rPr>
                  <w:i/>
                  <w:iCs/>
                  <w:noProof/>
                </w:rPr>
                <w:t>Irresponsible Investment Agrica's Broken Development Model in Tanzania.</w:t>
              </w:r>
              <w:r>
                <w:rPr>
                  <w:noProof/>
                </w:rPr>
                <w:t xml:space="preserve"> Oakland, Johannesburg, London: The Oakland Institute; Greenpeace; Global Justice Now.</w:t>
              </w:r>
            </w:p>
            <w:p w14:paraId="0D1F4D19" w14:textId="77777777" w:rsidR="00A172BD" w:rsidRDefault="00A172BD" w:rsidP="00A172BD">
              <w:pPr>
                <w:pStyle w:val="Bibliography"/>
                <w:ind w:left="720" w:hanging="720"/>
                <w:rPr>
                  <w:noProof/>
                </w:rPr>
              </w:pPr>
              <w:r>
                <w:rPr>
                  <w:noProof/>
                </w:rPr>
                <w:t xml:space="preserve">Ueta, T. (2024, October). Institutional environments and conflict between foreign investors and local communities in large-scale agricultural land acquisitions. </w:t>
              </w:r>
              <w:r>
                <w:rPr>
                  <w:i/>
                  <w:iCs/>
                  <w:noProof/>
                </w:rPr>
                <w:t>International Business Review, 33</w:t>
              </w:r>
              <w:r>
                <w:rPr>
                  <w:noProof/>
                </w:rPr>
                <w:t>(5). doi:https://doi.org/10.1016/j.ibusrev.2024.102319</w:t>
              </w:r>
            </w:p>
            <w:p w14:paraId="04DD60FF" w14:textId="77777777" w:rsidR="00A172BD" w:rsidRDefault="00A172BD" w:rsidP="00A172BD">
              <w:pPr>
                <w:pStyle w:val="Bibliography"/>
                <w:ind w:left="720" w:hanging="720"/>
                <w:rPr>
                  <w:noProof/>
                </w:rPr>
              </w:pPr>
              <w:r>
                <w:rPr>
                  <w:noProof/>
                </w:rPr>
                <w:t xml:space="preserve">Wily, L. A. (2013). Enclosure revisited: Putting the global land rush in a historical perspective. In T. Allan, M. Keulertz, S. Sojamo, &amp; J. Warner, </w:t>
              </w:r>
              <w:r>
                <w:rPr>
                  <w:i/>
                  <w:iCs/>
                  <w:noProof/>
                </w:rPr>
                <w:t>Handbook on Land and Water Grabs in Africa</w:t>
              </w:r>
              <w:r>
                <w:rPr>
                  <w:noProof/>
                </w:rPr>
                <w:t xml:space="preserve"> (pp. 58-91). London &amp; New York: Routledge.</w:t>
              </w:r>
            </w:p>
            <w:p w14:paraId="3BDED0DB" w14:textId="77777777" w:rsidR="00A172BD" w:rsidRDefault="00A172BD" w:rsidP="00A172BD">
              <w:pPr>
                <w:pStyle w:val="Bibliography"/>
                <w:ind w:left="720" w:hanging="720"/>
                <w:rPr>
                  <w:noProof/>
                </w:rPr>
              </w:pPr>
              <w:r>
                <w:rPr>
                  <w:noProof/>
                </w:rPr>
                <w:t xml:space="preserve">Yin, R. K. (2003). </w:t>
              </w:r>
              <w:r>
                <w:rPr>
                  <w:i/>
                  <w:iCs/>
                  <w:noProof/>
                </w:rPr>
                <w:t>Case study research design and methods</w:t>
              </w:r>
              <w:r>
                <w:rPr>
                  <w:noProof/>
                </w:rPr>
                <w:t xml:space="preserve"> (Vol. 5). Thousands Oak, CA: Sage.</w:t>
              </w:r>
            </w:p>
            <w:p w14:paraId="028B76CF" w14:textId="77777777" w:rsidR="008B459E" w:rsidRPr="008C5EC3" w:rsidRDefault="005A6704" w:rsidP="00A172BD">
              <w:r>
                <w:rPr>
                  <w:b/>
                  <w:bCs/>
                  <w:noProof/>
                </w:rPr>
                <w:fldChar w:fldCharType="end"/>
              </w:r>
            </w:p>
          </w:sdtContent>
        </w:sdt>
      </w:sdtContent>
    </w:sdt>
    <w:sectPr w:rsidR="008B459E" w:rsidRPr="008C5EC3" w:rsidSect="00D8146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5D6C5" w14:textId="77777777" w:rsidR="00D81A76" w:rsidRDefault="00D81A76" w:rsidP="00C37E61">
      <w:r>
        <w:separator/>
      </w:r>
    </w:p>
  </w:endnote>
  <w:endnote w:type="continuationSeparator" w:id="0">
    <w:p w14:paraId="41CB4CA5" w14:textId="77777777" w:rsidR="00D81A76" w:rsidRDefault="00D81A7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EEC9E" w14:textId="77777777" w:rsidR="00F23182" w:rsidRDefault="00F231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8992D" w14:textId="77777777" w:rsidR="00585291" w:rsidRPr="00C37E61" w:rsidRDefault="0058529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C44D8" w14:textId="77777777" w:rsidR="00F23182" w:rsidRDefault="00F23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E06B6" w14:textId="77777777" w:rsidR="00D81A76" w:rsidRDefault="00D81A76" w:rsidP="00C37E61">
      <w:r>
        <w:separator/>
      </w:r>
    </w:p>
  </w:footnote>
  <w:footnote w:type="continuationSeparator" w:id="0">
    <w:p w14:paraId="0B3D3925" w14:textId="77777777" w:rsidR="00D81A76" w:rsidRDefault="00D81A7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6E53A" w14:textId="1056289C" w:rsidR="00F23182" w:rsidRDefault="00D81A76">
    <w:pPr>
      <w:pStyle w:val="Header"/>
    </w:pPr>
    <w:r>
      <w:rPr>
        <w:noProof/>
      </w:rPr>
      <w:pict w14:anchorId="3AB6C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70235"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021AD" w14:textId="643B8AD4" w:rsidR="00F23182" w:rsidRDefault="00D81A76">
    <w:pPr>
      <w:pStyle w:val="Header"/>
    </w:pPr>
    <w:r>
      <w:rPr>
        <w:noProof/>
      </w:rPr>
      <w:pict w14:anchorId="232BD9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70236"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CD7C0" w14:textId="7073C8E1" w:rsidR="00F23182" w:rsidRDefault="00D81A76">
    <w:pPr>
      <w:pStyle w:val="Header"/>
    </w:pPr>
    <w:r>
      <w:rPr>
        <w:noProof/>
      </w:rPr>
      <w:pict w14:anchorId="024371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70234"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D7301A"/>
    <w:multiLevelType w:val="hybridMultilevel"/>
    <w:tmpl w:val="6D6EAA36"/>
    <w:lvl w:ilvl="0" w:tplc="04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BAF5FE3"/>
    <w:multiLevelType w:val="multilevel"/>
    <w:tmpl w:val="C1068E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F802308"/>
    <w:multiLevelType w:val="hybridMultilevel"/>
    <w:tmpl w:val="3470FA0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5F9532C0"/>
    <w:multiLevelType w:val="hybridMultilevel"/>
    <w:tmpl w:val="D3AE464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5"/>
  </w:num>
  <w:num w:numId="9">
    <w:abstractNumId w:val="29"/>
  </w:num>
  <w:num w:numId="10">
    <w:abstractNumId w:val="2"/>
  </w:num>
  <w:num w:numId="11">
    <w:abstractNumId w:val="22"/>
  </w:num>
  <w:num w:numId="12">
    <w:abstractNumId w:val="4"/>
  </w:num>
  <w:num w:numId="13">
    <w:abstractNumId w:val="20"/>
  </w:num>
  <w:num w:numId="14">
    <w:abstractNumId w:val="10"/>
  </w:num>
  <w:num w:numId="15">
    <w:abstractNumId w:val="25"/>
  </w:num>
  <w:num w:numId="16">
    <w:abstractNumId w:val="6"/>
  </w:num>
  <w:num w:numId="17">
    <w:abstractNumId w:val="26"/>
  </w:num>
  <w:num w:numId="18">
    <w:abstractNumId w:val="17"/>
  </w:num>
  <w:num w:numId="19">
    <w:abstractNumId w:val="32"/>
  </w:num>
  <w:num w:numId="20">
    <w:abstractNumId w:val="14"/>
  </w:num>
  <w:num w:numId="21">
    <w:abstractNumId w:val="12"/>
  </w:num>
  <w:num w:numId="22">
    <w:abstractNumId w:val="16"/>
  </w:num>
  <w:num w:numId="23">
    <w:abstractNumId w:val="23"/>
  </w:num>
  <w:num w:numId="24">
    <w:abstractNumId w:val="30"/>
  </w:num>
  <w:num w:numId="25">
    <w:abstractNumId w:val="5"/>
  </w:num>
  <w:num w:numId="26">
    <w:abstractNumId w:val="19"/>
  </w:num>
  <w:num w:numId="27">
    <w:abstractNumId w:val="24"/>
  </w:num>
  <w:num w:numId="28">
    <w:abstractNumId w:val="31"/>
  </w:num>
  <w:num w:numId="29">
    <w:abstractNumId w:val="28"/>
  </w:num>
  <w:num w:numId="30">
    <w:abstractNumId w:val="13"/>
  </w:num>
  <w:num w:numId="31">
    <w:abstractNumId w:val="21"/>
  </w:num>
  <w:num w:numId="32">
    <w:abstractNumId w:val="3"/>
  </w:num>
  <w:num w:numId="33">
    <w:abstractNumId w:val="11"/>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52DE4"/>
    <w:rsid w:val="00064CD1"/>
    <w:rsid w:val="00067DD1"/>
    <w:rsid w:val="000A47FA"/>
    <w:rsid w:val="000A65D3"/>
    <w:rsid w:val="000A709B"/>
    <w:rsid w:val="000A728F"/>
    <w:rsid w:val="000B1E33"/>
    <w:rsid w:val="000D689F"/>
    <w:rsid w:val="000E172C"/>
    <w:rsid w:val="000E7B7B"/>
    <w:rsid w:val="000E7D62"/>
    <w:rsid w:val="00103357"/>
    <w:rsid w:val="00123C9F"/>
    <w:rsid w:val="00126190"/>
    <w:rsid w:val="00130F17"/>
    <w:rsid w:val="001320BF"/>
    <w:rsid w:val="00163BC4"/>
    <w:rsid w:val="00191062"/>
    <w:rsid w:val="00192B72"/>
    <w:rsid w:val="001A29D8"/>
    <w:rsid w:val="001A5CAA"/>
    <w:rsid w:val="001B0427"/>
    <w:rsid w:val="001D0AD4"/>
    <w:rsid w:val="001D0F92"/>
    <w:rsid w:val="001D3A51"/>
    <w:rsid w:val="001E10D2"/>
    <w:rsid w:val="001E25B4"/>
    <w:rsid w:val="001E44FE"/>
    <w:rsid w:val="00200595"/>
    <w:rsid w:val="00204835"/>
    <w:rsid w:val="00231920"/>
    <w:rsid w:val="0023195C"/>
    <w:rsid w:val="0024282C"/>
    <w:rsid w:val="002460DC"/>
    <w:rsid w:val="00250985"/>
    <w:rsid w:val="002556F6"/>
    <w:rsid w:val="00283105"/>
    <w:rsid w:val="00284AFE"/>
    <w:rsid w:val="00284C4C"/>
    <w:rsid w:val="00287E68"/>
    <w:rsid w:val="00296529"/>
    <w:rsid w:val="002B27FB"/>
    <w:rsid w:val="002B365D"/>
    <w:rsid w:val="002B3EC2"/>
    <w:rsid w:val="002B4EA9"/>
    <w:rsid w:val="002B685A"/>
    <w:rsid w:val="002C57D2"/>
    <w:rsid w:val="002E0D56"/>
    <w:rsid w:val="00315186"/>
    <w:rsid w:val="00315BF3"/>
    <w:rsid w:val="00316B18"/>
    <w:rsid w:val="0033343E"/>
    <w:rsid w:val="003512C2"/>
    <w:rsid w:val="00371FB6"/>
    <w:rsid w:val="003763C1"/>
    <w:rsid w:val="00376BBE"/>
    <w:rsid w:val="0039224F"/>
    <w:rsid w:val="0039737C"/>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5BFA"/>
    <w:rsid w:val="00471A80"/>
    <w:rsid w:val="004765CD"/>
    <w:rsid w:val="00482A97"/>
    <w:rsid w:val="004D07F6"/>
    <w:rsid w:val="004D305E"/>
    <w:rsid w:val="004D4277"/>
    <w:rsid w:val="00502516"/>
    <w:rsid w:val="00505F06"/>
    <w:rsid w:val="00506828"/>
    <w:rsid w:val="00511B19"/>
    <w:rsid w:val="00511E4E"/>
    <w:rsid w:val="0053056E"/>
    <w:rsid w:val="00552CCA"/>
    <w:rsid w:val="00554FDA"/>
    <w:rsid w:val="0056698C"/>
    <w:rsid w:val="00585291"/>
    <w:rsid w:val="00594AF4"/>
    <w:rsid w:val="005A6704"/>
    <w:rsid w:val="005C784C"/>
    <w:rsid w:val="005D17F6"/>
    <w:rsid w:val="005E5539"/>
    <w:rsid w:val="00602BF5"/>
    <w:rsid w:val="006157D4"/>
    <w:rsid w:val="00617FDD"/>
    <w:rsid w:val="00633189"/>
    <w:rsid w:val="00633614"/>
    <w:rsid w:val="00633F68"/>
    <w:rsid w:val="00636EB2"/>
    <w:rsid w:val="006375B8"/>
    <w:rsid w:val="0066510A"/>
    <w:rsid w:val="00665B47"/>
    <w:rsid w:val="00673F9F"/>
    <w:rsid w:val="00686953"/>
    <w:rsid w:val="00687DEA"/>
    <w:rsid w:val="00687E67"/>
    <w:rsid w:val="006967F7"/>
    <w:rsid w:val="006A250C"/>
    <w:rsid w:val="006A7ED2"/>
    <w:rsid w:val="006B21D3"/>
    <w:rsid w:val="006B57D0"/>
    <w:rsid w:val="006B5950"/>
    <w:rsid w:val="006D30FF"/>
    <w:rsid w:val="006D44BD"/>
    <w:rsid w:val="006D6940"/>
    <w:rsid w:val="006D76D1"/>
    <w:rsid w:val="006E3470"/>
    <w:rsid w:val="006F11EC"/>
    <w:rsid w:val="006F1647"/>
    <w:rsid w:val="006F5F5F"/>
    <w:rsid w:val="0070082C"/>
    <w:rsid w:val="0070568C"/>
    <w:rsid w:val="00735904"/>
    <w:rsid w:val="007369E6"/>
    <w:rsid w:val="00746E59"/>
    <w:rsid w:val="00751D9F"/>
    <w:rsid w:val="00754C9A"/>
    <w:rsid w:val="0075599A"/>
    <w:rsid w:val="00761D52"/>
    <w:rsid w:val="00764098"/>
    <w:rsid w:val="00772C6D"/>
    <w:rsid w:val="0077749E"/>
    <w:rsid w:val="0078104D"/>
    <w:rsid w:val="00790ADA"/>
    <w:rsid w:val="007A2D90"/>
    <w:rsid w:val="007D2288"/>
    <w:rsid w:val="007E088F"/>
    <w:rsid w:val="007F7B32"/>
    <w:rsid w:val="00804BC2"/>
    <w:rsid w:val="0081431A"/>
    <w:rsid w:val="00823362"/>
    <w:rsid w:val="008266E9"/>
    <w:rsid w:val="008300BE"/>
    <w:rsid w:val="0083216F"/>
    <w:rsid w:val="00857B83"/>
    <w:rsid w:val="00860000"/>
    <w:rsid w:val="00863BD3"/>
    <w:rsid w:val="008641ED"/>
    <w:rsid w:val="00866D66"/>
    <w:rsid w:val="008671C6"/>
    <w:rsid w:val="00875803"/>
    <w:rsid w:val="008815C9"/>
    <w:rsid w:val="00882C60"/>
    <w:rsid w:val="008B459E"/>
    <w:rsid w:val="008C5EC3"/>
    <w:rsid w:val="008E13AE"/>
    <w:rsid w:val="008E1506"/>
    <w:rsid w:val="008E710C"/>
    <w:rsid w:val="008F69D6"/>
    <w:rsid w:val="00902823"/>
    <w:rsid w:val="00915CA6"/>
    <w:rsid w:val="00927834"/>
    <w:rsid w:val="009468BE"/>
    <w:rsid w:val="009500A6"/>
    <w:rsid w:val="00957C18"/>
    <w:rsid w:val="009659BA"/>
    <w:rsid w:val="009755A2"/>
    <w:rsid w:val="00983040"/>
    <w:rsid w:val="009910AD"/>
    <w:rsid w:val="009A272E"/>
    <w:rsid w:val="009B3FB9"/>
    <w:rsid w:val="009B7D21"/>
    <w:rsid w:val="009C2465"/>
    <w:rsid w:val="009C6CF0"/>
    <w:rsid w:val="009D35A0"/>
    <w:rsid w:val="009D4060"/>
    <w:rsid w:val="009D7EB7"/>
    <w:rsid w:val="009E048A"/>
    <w:rsid w:val="009E08E9"/>
    <w:rsid w:val="009E3DB9"/>
    <w:rsid w:val="009E6E35"/>
    <w:rsid w:val="009F0EDA"/>
    <w:rsid w:val="00A03B96"/>
    <w:rsid w:val="00A05B19"/>
    <w:rsid w:val="00A05CFB"/>
    <w:rsid w:val="00A1134E"/>
    <w:rsid w:val="00A172BD"/>
    <w:rsid w:val="00A24E7E"/>
    <w:rsid w:val="00A258C3"/>
    <w:rsid w:val="00A347C0"/>
    <w:rsid w:val="00A36B07"/>
    <w:rsid w:val="00A51431"/>
    <w:rsid w:val="00A539AD"/>
    <w:rsid w:val="00A62BB6"/>
    <w:rsid w:val="00A640A7"/>
    <w:rsid w:val="00A71117"/>
    <w:rsid w:val="00A87FF3"/>
    <w:rsid w:val="00A94063"/>
    <w:rsid w:val="00AA45B6"/>
    <w:rsid w:val="00AA6219"/>
    <w:rsid w:val="00AA74E0"/>
    <w:rsid w:val="00AB703F"/>
    <w:rsid w:val="00AC698D"/>
    <w:rsid w:val="00AC6BB8"/>
    <w:rsid w:val="00AE008F"/>
    <w:rsid w:val="00AF10C5"/>
    <w:rsid w:val="00AF3EE7"/>
    <w:rsid w:val="00B01FCD"/>
    <w:rsid w:val="00B02BF0"/>
    <w:rsid w:val="00B159B9"/>
    <w:rsid w:val="00B1776C"/>
    <w:rsid w:val="00B341B3"/>
    <w:rsid w:val="00B52583"/>
    <w:rsid w:val="00B52896"/>
    <w:rsid w:val="00B95236"/>
    <w:rsid w:val="00B954C9"/>
    <w:rsid w:val="00B96BD9"/>
    <w:rsid w:val="00BA1B01"/>
    <w:rsid w:val="00BA2641"/>
    <w:rsid w:val="00BB37AA"/>
    <w:rsid w:val="00BC53A0"/>
    <w:rsid w:val="00BE62AD"/>
    <w:rsid w:val="00BF11B3"/>
    <w:rsid w:val="00BF121F"/>
    <w:rsid w:val="00BF1F80"/>
    <w:rsid w:val="00C042AB"/>
    <w:rsid w:val="00C166EF"/>
    <w:rsid w:val="00C17EB0"/>
    <w:rsid w:val="00C2057D"/>
    <w:rsid w:val="00C23457"/>
    <w:rsid w:val="00C23EBA"/>
    <w:rsid w:val="00C27F5F"/>
    <w:rsid w:val="00C30A0F"/>
    <w:rsid w:val="00C37E61"/>
    <w:rsid w:val="00C53103"/>
    <w:rsid w:val="00C64DE1"/>
    <w:rsid w:val="00C70F1B"/>
    <w:rsid w:val="00C71A47"/>
    <w:rsid w:val="00C7464C"/>
    <w:rsid w:val="00C85588"/>
    <w:rsid w:val="00CB2D02"/>
    <w:rsid w:val="00CC3949"/>
    <w:rsid w:val="00CD6755"/>
    <w:rsid w:val="00CD6856"/>
    <w:rsid w:val="00CE0089"/>
    <w:rsid w:val="00CE793C"/>
    <w:rsid w:val="00CF056C"/>
    <w:rsid w:val="00CF193C"/>
    <w:rsid w:val="00D173F1"/>
    <w:rsid w:val="00D24493"/>
    <w:rsid w:val="00D25E3E"/>
    <w:rsid w:val="00D6026B"/>
    <w:rsid w:val="00D704FA"/>
    <w:rsid w:val="00D71462"/>
    <w:rsid w:val="00D74CB0"/>
    <w:rsid w:val="00D8146A"/>
    <w:rsid w:val="00D81A76"/>
    <w:rsid w:val="00D8295D"/>
    <w:rsid w:val="00DC2A65"/>
    <w:rsid w:val="00DC6206"/>
    <w:rsid w:val="00DD02B0"/>
    <w:rsid w:val="00DD7D1D"/>
    <w:rsid w:val="00DE15F0"/>
    <w:rsid w:val="00DE1690"/>
    <w:rsid w:val="00DE5663"/>
    <w:rsid w:val="00DE78AA"/>
    <w:rsid w:val="00E053D0"/>
    <w:rsid w:val="00E15994"/>
    <w:rsid w:val="00E17361"/>
    <w:rsid w:val="00E3114E"/>
    <w:rsid w:val="00E31A70"/>
    <w:rsid w:val="00E35B02"/>
    <w:rsid w:val="00E45EFF"/>
    <w:rsid w:val="00E66496"/>
    <w:rsid w:val="00E66B35"/>
    <w:rsid w:val="00E66E10"/>
    <w:rsid w:val="00E769F6"/>
    <w:rsid w:val="00E77905"/>
    <w:rsid w:val="00E8407C"/>
    <w:rsid w:val="00E84F3C"/>
    <w:rsid w:val="00E87DEA"/>
    <w:rsid w:val="00EA012C"/>
    <w:rsid w:val="00EC6A55"/>
    <w:rsid w:val="00ED0288"/>
    <w:rsid w:val="00ED3E12"/>
    <w:rsid w:val="00EE52CB"/>
    <w:rsid w:val="00EF581D"/>
    <w:rsid w:val="00EF7FD8"/>
    <w:rsid w:val="00F008DF"/>
    <w:rsid w:val="00F06F59"/>
    <w:rsid w:val="00F17988"/>
    <w:rsid w:val="00F2059C"/>
    <w:rsid w:val="00F2253D"/>
    <w:rsid w:val="00F23182"/>
    <w:rsid w:val="00F349C5"/>
    <w:rsid w:val="00F36B48"/>
    <w:rsid w:val="00F469F0"/>
    <w:rsid w:val="00F53273"/>
    <w:rsid w:val="00F66029"/>
    <w:rsid w:val="00F755E4"/>
    <w:rsid w:val="00F77D02"/>
    <w:rsid w:val="00F82B40"/>
    <w:rsid w:val="00FB3A86"/>
    <w:rsid w:val="00FB7403"/>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D1DCF2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C042AB"/>
    <w:rPr>
      <w:rFonts w:ascii="Helvetica" w:hAnsi="Helvetica"/>
      <w:b/>
      <w:bCs/>
      <w:lang w:val="en-US" w:eastAsia="en-US"/>
    </w:rPr>
  </w:style>
  <w:style w:type="character" w:customStyle="1" w:styleId="CommentSubjectChar">
    <w:name w:val="Comment Subject Char"/>
    <w:basedOn w:val="CommentTextChar"/>
    <w:link w:val="CommentSubject"/>
    <w:semiHidden/>
    <w:rsid w:val="00C042AB"/>
    <w:rPr>
      <w:rFonts w:ascii="Helvetica" w:hAnsi="Helvetica"/>
      <w:b/>
      <w:bCs/>
      <w:lang w:val="nb-NO" w:eastAsia="nb-NO"/>
    </w:rPr>
  </w:style>
  <w:style w:type="paragraph" w:styleId="ListParagraph">
    <w:name w:val="List Paragraph"/>
    <w:basedOn w:val="Normal"/>
    <w:uiPriority w:val="34"/>
    <w:qFormat/>
    <w:rsid w:val="00F349C5"/>
    <w:pPr>
      <w:spacing w:after="160" w:line="259" w:lineRule="auto"/>
      <w:ind w:left="720"/>
      <w:contextualSpacing/>
    </w:pPr>
    <w:rPr>
      <w:rFonts w:asciiTheme="minorHAnsi" w:eastAsiaTheme="minorHAnsi" w:hAnsiTheme="minorHAnsi" w:cstheme="minorBidi"/>
      <w:sz w:val="22"/>
      <w:szCs w:val="22"/>
      <w:lang w:val="en-GB"/>
    </w:rPr>
  </w:style>
  <w:style w:type="character" w:customStyle="1" w:styleId="Heading1Char">
    <w:name w:val="Heading 1 Char"/>
    <w:basedOn w:val="DefaultParagraphFont"/>
    <w:link w:val="Heading1"/>
    <w:uiPriority w:val="9"/>
    <w:rsid w:val="005A6704"/>
    <w:rPr>
      <w:rFonts w:ascii="Arial" w:hAnsi="Arial"/>
      <w:b/>
      <w:kern w:val="28"/>
      <w:sz w:val="28"/>
    </w:rPr>
  </w:style>
  <w:style w:type="paragraph" w:styleId="Bibliography">
    <w:name w:val="Bibliography"/>
    <w:basedOn w:val="Normal"/>
    <w:next w:val="Normal"/>
    <w:uiPriority w:val="37"/>
    <w:unhideWhenUsed/>
    <w:rsid w:val="005A6704"/>
  </w:style>
  <w:style w:type="paragraph" w:styleId="NormalWeb">
    <w:name w:val="Normal (Web)"/>
    <w:basedOn w:val="Normal"/>
    <w:semiHidden/>
    <w:unhideWhenUsed/>
    <w:rsid w:val="00CF056C"/>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E77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9976675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6907942">
      <w:bodyDiv w:val="1"/>
      <w:marLeft w:val="0"/>
      <w:marRight w:val="0"/>
      <w:marTop w:val="0"/>
      <w:marBottom w:val="0"/>
      <w:divBdr>
        <w:top w:val="none" w:sz="0" w:space="0" w:color="auto"/>
        <w:left w:val="none" w:sz="0" w:space="0" w:color="auto"/>
        <w:bottom w:val="none" w:sz="0" w:space="0" w:color="auto"/>
        <w:right w:val="none" w:sz="0" w:space="0" w:color="auto"/>
      </w:divBdr>
    </w:div>
    <w:div w:id="385297102">
      <w:bodyDiv w:val="1"/>
      <w:marLeft w:val="0"/>
      <w:marRight w:val="0"/>
      <w:marTop w:val="0"/>
      <w:marBottom w:val="0"/>
      <w:divBdr>
        <w:top w:val="none" w:sz="0" w:space="0" w:color="auto"/>
        <w:left w:val="none" w:sz="0" w:space="0" w:color="auto"/>
        <w:bottom w:val="none" w:sz="0" w:space="0" w:color="auto"/>
        <w:right w:val="none" w:sz="0" w:space="0" w:color="auto"/>
      </w:divBdr>
    </w:div>
    <w:div w:id="411898054">
      <w:bodyDiv w:val="1"/>
      <w:marLeft w:val="0"/>
      <w:marRight w:val="0"/>
      <w:marTop w:val="0"/>
      <w:marBottom w:val="0"/>
      <w:divBdr>
        <w:top w:val="none" w:sz="0" w:space="0" w:color="auto"/>
        <w:left w:val="none" w:sz="0" w:space="0" w:color="auto"/>
        <w:bottom w:val="none" w:sz="0" w:space="0" w:color="auto"/>
        <w:right w:val="none" w:sz="0" w:space="0" w:color="auto"/>
      </w:divBdr>
    </w:div>
    <w:div w:id="459688436">
      <w:bodyDiv w:val="1"/>
      <w:marLeft w:val="0"/>
      <w:marRight w:val="0"/>
      <w:marTop w:val="0"/>
      <w:marBottom w:val="0"/>
      <w:divBdr>
        <w:top w:val="none" w:sz="0" w:space="0" w:color="auto"/>
        <w:left w:val="none" w:sz="0" w:space="0" w:color="auto"/>
        <w:bottom w:val="none" w:sz="0" w:space="0" w:color="auto"/>
        <w:right w:val="none" w:sz="0" w:space="0" w:color="auto"/>
      </w:divBdr>
    </w:div>
    <w:div w:id="583611765">
      <w:bodyDiv w:val="1"/>
      <w:marLeft w:val="0"/>
      <w:marRight w:val="0"/>
      <w:marTop w:val="0"/>
      <w:marBottom w:val="0"/>
      <w:divBdr>
        <w:top w:val="none" w:sz="0" w:space="0" w:color="auto"/>
        <w:left w:val="none" w:sz="0" w:space="0" w:color="auto"/>
        <w:bottom w:val="none" w:sz="0" w:space="0" w:color="auto"/>
        <w:right w:val="none" w:sz="0" w:space="0" w:color="auto"/>
      </w:divBdr>
    </w:div>
    <w:div w:id="61244124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39085420">
      <w:bodyDiv w:val="1"/>
      <w:marLeft w:val="0"/>
      <w:marRight w:val="0"/>
      <w:marTop w:val="0"/>
      <w:marBottom w:val="0"/>
      <w:divBdr>
        <w:top w:val="none" w:sz="0" w:space="0" w:color="auto"/>
        <w:left w:val="none" w:sz="0" w:space="0" w:color="auto"/>
        <w:bottom w:val="none" w:sz="0" w:space="0" w:color="auto"/>
        <w:right w:val="none" w:sz="0" w:space="0" w:color="auto"/>
      </w:divBdr>
    </w:div>
    <w:div w:id="97190392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550131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7237040">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3308601">
      <w:bodyDiv w:val="1"/>
      <w:marLeft w:val="0"/>
      <w:marRight w:val="0"/>
      <w:marTop w:val="0"/>
      <w:marBottom w:val="0"/>
      <w:divBdr>
        <w:top w:val="none" w:sz="0" w:space="0" w:color="auto"/>
        <w:left w:val="none" w:sz="0" w:space="0" w:color="auto"/>
        <w:bottom w:val="none" w:sz="0" w:space="0" w:color="auto"/>
        <w:right w:val="none" w:sz="0" w:space="0" w:color="auto"/>
      </w:divBdr>
    </w:div>
    <w:div w:id="1141311643">
      <w:bodyDiv w:val="1"/>
      <w:marLeft w:val="0"/>
      <w:marRight w:val="0"/>
      <w:marTop w:val="0"/>
      <w:marBottom w:val="0"/>
      <w:divBdr>
        <w:top w:val="none" w:sz="0" w:space="0" w:color="auto"/>
        <w:left w:val="none" w:sz="0" w:space="0" w:color="auto"/>
        <w:bottom w:val="none" w:sz="0" w:space="0" w:color="auto"/>
        <w:right w:val="none" w:sz="0" w:space="0" w:color="auto"/>
      </w:divBdr>
    </w:div>
    <w:div w:id="1151293878">
      <w:bodyDiv w:val="1"/>
      <w:marLeft w:val="0"/>
      <w:marRight w:val="0"/>
      <w:marTop w:val="0"/>
      <w:marBottom w:val="0"/>
      <w:divBdr>
        <w:top w:val="none" w:sz="0" w:space="0" w:color="auto"/>
        <w:left w:val="none" w:sz="0" w:space="0" w:color="auto"/>
        <w:bottom w:val="none" w:sz="0" w:space="0" w:color="auto"/>
        <w:right w:val="none" w:sz="0" w:space="0" w:color="auto"/>
      </w:divBdr>
    </w:div>
    <w:div w:id="1155758826">
      <w:bodyDiv w:val="1"/>
      <w:marLeft w:val="0"/>
      <w:marRight w:val="0"/>
      <w:marTop w:val="0"/>
      <w:marBottom w:val="0"/>
      <w:divBdr>
        <w:top w:val="none" w:sz="0" w:space="0" w:color="auto"/>
        <w:left w:val="none" w:sz="0" w:space="0" w:color="auto"/>
        <w:bottom w:val="none" w:sz="0" w:space="0" w:color="auto"/>
        <w:right w:val="none" w:sz="0" w:space="0" w:color="auto"/>
      </w:divBdr>
    </w:div>
    <w:div w:id="1202783555">
      <w:bodyDiv w:val="1"/>
      <w:marLeft w:val="0"/>
      <w:marRight w:val="0"/>
      <w:marTop w:val="0"/>
      <w:marBottom w:val="0"/>
      <w:divBdr>
        <w:top w:val="none" w:sz="0" w:space="0" w:color="auto"/>
        <w:left w:val="none" w:sz="0" w:space="0" w:color="auto"/>
        <w:bottom w:val="none" w:sz="0" w:space="0" w:color="auto"/>
        <w:right w:val="none" w:sz="0" w:space="0" w:color="auto"/>
      </w:divBdr>
    </w:div>
    <w:div w:id="1218585110">
      <w:bodyDiv w:val="1"/>
      <w:marLeft w:val="0"/>
      <w:marRight w:val="0"/>
      <w:marTop w:val="0"/>
      <w:marBottom w:val="0"/>
      <w:divBdr>
        <w:top w:val="none" w:sz="0" w:space="0" w:color="auto"/>
        <w:left w:val="none" w:sz="0" w:space="0" w:color="auto"/>
        <w:bottom w:val="none" w:sz="0" w:space="0" w:color="auto"/>
        <w:right w:val="none" w:sz="0" w:space="0" w:color="auto"/>
      </w:divBdr>
    </w:div>
    <w:div w:id="1453402445">
      <w:bodyDiv w:val="1"/>
      <w:marLeft w:val="0"/>
      <w:marRight w:val="0"/>
      <w:marTop w:val="0"/>
      <w:marBottom w:val="0"/>
      <w:divBdr>
        <w:top w:val="none" w:sz="0" w:space="0" w:color="auto"/>
        <w:left w:val="none" w:sz="0" w:space="0" w:color="auto"/>
        <w:bottom w:val="none" w:sz="0" w:space="0" w:color="auto"/>
        <w:right w:val="none" w:sz="0" w:space="0" w:color="auto"/>
      </w:divBdr>
    </w:div>
    <w:div w:id="1493986174">
      <w:bodyDiv w:val="1"/>
      <w:marLeft w:val="0"/>
      <w:marRight w:val="0"/>
      <w:marTop w:val="0"/>
      <w:marBottom w:val="0"/>
      <w:divBdr>
        <w:top w:val="none" w:sz="0" w:space="0" w:color="auto"/>
        <w:left w:val="none" w:sz="0" w:space="0" w:color="auto"/>
        <w:bottom w:val="none" w:sz="0" w:space="0" w:color="auto"/>
        <w:right w:val="none" w:sz="0" w:space="0" w:color="auto"/>
      </w:divBdr>
    </w:div>
    <w:div w:id="1590038263">
      <w:bodyDiv w:val="1"/>
      <w:marLeft w:val="0"/>
      <w:marRight w:val="0"/>
      <w:marTop w:val="0"/>
      <w:marBottom w:val="0"/>
      <w:divBdr>
        <w:top w:val="none" w:sz="0" w:space="0" w:color="auto"/>
        <w:left w:val="none" w:sz="0" w:space="0" w:color="auto"/>
        <w:bottom w:val="none" w:sz="0" w:space="0" w:color="auto"/>
        <w:right w:val="none" w:sz="0" w:space="0" w:color="auto"/>
      </w:divBdr>
    </w:div>
    <w:div w:id="1613128044">
      <w:bodyDiv w:val="1"/>
      <w:marLeft w:val="0"/>
      <w:marRight w:val="0"/>
      <w:marTop w:val="0"/>
      <w:marBottom w:val="0"/>
      <w:divBdr>
        <w:top w:val="none" w:sz="0" w:space="0" w:color="auto"/>
        <w:left w:val="none" w:sz="0" w:space="0" w:color="auto"/>
        <w:bottom w:val="none" w:sz="0" w:space="0" w:color="auto"/>
        <w:right w:val="none" w:sz="0" w:space="0" w:color="auto"/>
      </w:divBdr>
    </w:div>
    <w:div w:id="1634556172">
      <w:bodyDiv w:val="1"/>
      <w:marLeft w:val="0"/>
      <w:marRight w:val="0"/>
      <w:marTop w:val="0"/>
      <w:marBottom w:val="0"/>
      <w:divBdr>
        <w:top w:val="none" w:sz="0" w:space="0" w:color="auto"/>
        <w:left w:val="none" w:sz="0" w:space="0" w:color="auto"/>
        <w:bottom w:val="none" w:sz="0" w:space="0" w:color="auto"/>
        <w:right w:val="none" w:sz="0" w:space="0" w:color="auto"/>
      </w:divBdr>
    </w:div>
    <w:div w:id="1707023691">
      <w:bodyDiv w:val="1"/>
      <w:marLeft w:val="0"/>
      <w:marRight w:val="0"/>
      <w:marTop w:val="0"/>
      <w:marBottom w:val="0"/>
      <w:divBdr>
        <w:top w:val="none" w:sz="0" w:space="0" w:color="auto"/>
        <w:left w:val="none" w:sz="0" w:space="0" w:color="auto"/>
        <w:bottom w:val="none" w:sz="0" w:space="0" w:color="auto"/>
        <w:right w:val="none" w:sz="0" w:space="0" w:color="auto"/>
      </w:divBdr>
    </w:div>
    <w:div w:id="171095453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0267854">
      <w:bodyDiv w:val="1"/>
      <w:marLeft w:val="0"/>
      <w:marRight w:val="0"/>
      <w:marTop w:val="0"/>
      <w:marBottom w:val="0"/>
      <w:divBdr>
        <w:top w:val="none" w:sz="0" w:space="0" w:color="auto"/>
        <w:left w:val="none" w:sz="0" w:space="0" w:color="auto"/>
        <w:bottom w:val="none" w:sz="0" w:space="0" w:color="auto"/>
        <w:right w:val="none" w:sz="0" w:space="0" w:color="auto"/>
      </w:divBdr>
    </w:div>
    <w:div w:id="1868521695">
      <w:bodyDiv w:val="1"/>
      <w:marLeft w:val="0"/>
      <w:marRight w:val="0"/>
      <w:marTop w:val="0"/>
      <w:marBottom w:val="0"/>
      <w:divBdr>
        <w:top w:val="none" w:sz="0" w:space="0" w:color="auto"/>
        <w:left w:val="none" w:sz="0" w:space="0" w:color="auto"/>
        <w:bottom w:val="none" w:sz="0" w:space="0" w:color="auto"/>
        <w:right w:val="none" w:sz="0" w:space="0" w:color="auto"/>
      </w:divBdr>
    </w:div>
    <w:div w:id="189439166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2656081">
      <w:bodyDiv w:val="1"/>
      <w:marLeft w:val="0"/>
      <w:marRight w:val="0"/>
      <w:marTop w:val="0"/>
      <w:marBottom w:val="0"/>
      <w:divBdr>
        <w:top w:val="none" w:sz="0" w:space="0" w:color="auto"/>
        <w:left w:val="none" w:sz="0" w:space="0" w:color="auto"/>
        <w:bottom w:val="none" w:sz="0" w:space="0" w:color="auto"/>
        <w:right w:val="none" w:sz="0" w:space="0" w:color="auto"/>
      </w:divBdr>
    </w:div>
    <w:div w:id="2023194570">
      <w:bodyDiv w:val="1"/>
      <w:marLeft w:val="0"/>
      <w:marRight w:val="0"/>
      <w:marTop w:val="0"/>
      <w:marBottom w:val="0"/>
      <w:divBdr>
        <w:top w:val="none" w:sz="0" w:space="0" w:color="auto"/>
        <w:left w:val="none" w:sz="0" w:space="0" w:color="auto"/>
        <w:bottom w:val="none" w:sz="0" w:space="0" w:color="auto"/>
        <w:right w:val="none" w:sz="0" w:space="0" w:color="auto"/>
      </w:divBdr>
    </w:div>
    <w:div w:id="2023237740">
      <w:bodyDiv w:val="1"/>
      <w:marLeft w:val="0"/>
      <w:marRight w:val="0"/>
      <w:marTop w:val="0"/>
      <w:marBottom w:val="0"/>
      <w:divBdr>
        <w:top w:val="none" w:sz="0" w:space="0" w:color="auto"/>
        <w:left w:val="none" w:sz="0" w:space="0" w:color="auto"/>
        <w:bottom w:val="none" w:sz="0" w:space="0" w:color="auto"/>
        <w:right w:val="none" w:sz="0" w:space="0" w:color="auto"/>
      </w:divBdr>
    </w:div>
    <w:div w:id="210734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Has20</b:Tag>
    <b:SourceType>DocumentFromInternetSite</b:SourceType>
    <b:Guid>{D405D6E3-DCFD-4A80-91C0-FB99AC582E5F}</b:Guid>
    <b:Title>Hotuba ya Mhe Japhet Hassunga Bungeni 2019</b:Title>
    <b:Year>2019</b:Year>
    <b:Author>
      <b:Author>
        <b:NameList>
          <b:Person>
            <b:Last>Hassunga</b:Last>
            <b:First>Japhet</b:First>
          </b:Person>
        </b:NameList>
      </b:Author>
    </b:Author>
    <b:InternetSiteTitle>kilimo.go.tz</b:InternetSiteTitle>
    <b:Month>April</b:Month>
    <b:Day>28</b:Day>
    <b:URL>https://www.kilimo.go.tz/index.php/en/resources/view/hotuba-ya-mhe.-japhet-hassunga-bungeni-2019</b:URL>
    <b:RefOrder>1</b:RefOrder>
  </b:Source>
  <b:Source>
    <b:Tag>Eng22</b:Tag>
    <b:SourceType>JournalArticle</b:SourceType>
    <b:Guid>{32E64AD6-A629-45D0-9E87-D2EBF935E064}</b:Guid>
    <b:Author>
      <b:Author>
        <b:NameList>
          <b:Person>
            <b:Last>Engström</b:Last>
            <b:First>Linda</b:First>
          </b:Person>
          <b:Person>
            <b:Last>Bélair</b:Last>
            <b:First>Joanny</b:First>
          </b:Person>
          <b:Person>
            <b:Last>Blache</b:Last>
            <b:First>Adriana</b:First>
          </b:Person>
        </b:NameList>
      </b:Author>
    </b:Author>
    <b:Title>Formalising village land dispossession? An aggregate analysis of the combined effects of the land formalisation and land acquisition agendas in Tanzania</b:Title>
    <b:JournalName>Land Use Policy</b:JournalName>
    <b:Year>2022</b:Year>
    <b:Pages>1-14</b:Pages>
    <b:Volume>120</b:Volume>
    <b:DOI>10.1016/j.landusepol.2022.106255</b:DOI>
    <b:RefOrder>2</b:RefOrder>
  </b:Source>
  <b:Source>
    <b:Tag>Sul20</b:Tag>
    <b:SourceType>JournalArticle</b:SourceType>
    <b:Guid>{87A5E68C-A4D5-4266-A054-9A56900210E1}</b:Guid>
    <b:Author>
      <b:Author>
        <b:NameList>
          <b:Person>
            <b:Last>Sulle</b:Last>
            <b:First>Emmanuel</b:First>
          </b:Person>
        </b:NameList>
      </b:Author>
    </b:Author>
    <b:Title>Bureaucrats, investors and smallholders: contesting land rights and agro-commercialisation in the Southern agricultural growth corridor of Tanzania</b:Title>
    <b:JournalName>Eastern African Studies</b:JournalName>
    <b:Year>2020</b:Year>
    <b:Pages>332-353</b:Pages>
    <b:Volume>14</b:Volume>
    <b:Issue>2</b:Issue>
    <b:DOI>10.1080/17531055.2020.1743093</b:DOI>
    <b:RefOrder>3</b:RefOrder>
  </b:Source>
  <b:Source>
    <b:Tag>Sny20</b:Tag>
    <b:SourceType>JournalArticle</b:SourceType>
    <b:Guid>{AD1B31BE-A2CD-4D53-ABCB-718B7D3735CA}</b:Guid>
    <b:Author>
      <b:Author>
        <b:NameList>
          <b:Person>
            <b:Last>Snyder</b:Last>
            <b:First>Katherine</b:First>
            <b:Middle>A.</b:Middle>
          </b:Person>
          <b:Person>
            <b:Last>Sulle</b:Last>
            <b:First>Emanuel</b:First>
          </b:Person>
          <b:Person>
            <b:Last>Masay</b:Last>
            <b:First>Deodatus</b:First>
            <b:Middle>A.</b:Middle>
          </b:Person>
          <b:Person>
            <b:Last>Petro</b:Last>
            <b:First>Anselmi</b:First>
          </b:Person>
          <b:Person>
            <b:Last>Qamara</b:Last>
            <b:First>Paschal</b:First>
          </b:Person>
          <b:Person>
            <b:Last>Brockington</b:Last>
            <b:First>Dan</b:First>
          </b:Person>
        </b:NameList>
      </b:Author>
    </b:Author>
    <b:Title>“Modern” farming and the transformation of livelihoods in rural Tanzania</b:Title>
    <b:JournalName>Agriculture and Human Values</b:JournalName>
    <b:Year>2020</b:Year>
    <b:Pages>33-46</b:Pages>
    <b:Volume>37</b:Volume>
    <b:DOI>10.1007/s10460-019-09967-6</b:DOI>
    <b:RefOrder>4</b:RefOrder>
  </b:Source>
  <b:Source>
    <b:Tag>Joh17</b:Tag>
    <b:SourceType>JournalArticle</b:SourceType>
    <b:Guid>{F9B778EC-0DDA-4F6E-B4AB-8D21D25FF5C0}</b:Guid>
    <b:Title>Land Governance and Conflict Management in Tanzania: Institutional Capacity and Policy-Legal Framework Challenges</b:Title>
    <b:Year>2017</b:Year>
    <b:Author>
      <b:Author>
        <b:NameList>
          <b:Person>
            <b:Last>John</b:Last>
            <b:First>Pius</b:First>
          </b:Person>
          <b:Person>
            <b:Last>Kabote</b:Last>
            <b:First>Samwel</b:First>
            <b:Middle>J.</b:Middle>
          </b:Person>
        </b:NameList>
      </b:Author>
    </b:Author>
    <b:JournalName>American Journal of Rural Development</b:JournalName>
    <b:Pages>46-54</b:Pages>
    <b:Volume>5</b:Volume>
    <b:Issue>2</b:Issue>
    <b:DOI>10.12691/ajrd-5-2-3</b:DOI>
    <b:RefOrder>5</b:RefOrder>
  </b:Source>
  <b:Source>
    <b:Tag>Eng181</b:Tag>
    <b:SourceType>Report</b:SourceType>
    <b:Guid>{16E5E285-0759-4A22-9DCC-0A6EB5B2B7C6}</b:Guid>
    <b:Title>Development Delayed Exploring the Failure of Largescale Agricultural Investments in Tanzania to deliver Promised Outcomes</b:Title>
    <b:Year>2018</b:Year>
    <b:City>Uppsala</b:City>
    <b:Publisher>Swedish University of Agricultural Sciences</b:Publisher>
    <b:Author>
      <b:Author>
        <b:NameList>
          <b:Person>
            <b:Last>Engström</b:Last>
            <b:First>Linda</b:First>
          </b:Person>
        </b:NameList>
      </b:Author>
    </b:Author>
    <b:RefOrder>6</b:RefOrder>
  </b:Source>
  <b:Source>
    <b:Tag>Placeholder1</b:Tag>
    <b:SourceType>JournalArticle</b:SourceType>
    <b:Guid>{CC3C2B21-F493-4FEE-B607-4AC0828F5E37}</b:Guid>
    <b:Author>
      <b:Author>
        <b:NameList>
          <b:Person>
            <b:Last>Cotula</b:Last>
            <b:First>Lorenzo</b:First>
          </b:Person>
        </b:NameList>
      </b:Author>
    </b:Author>
    <b:Title>The international political economy of the global land rush: A critical appraisal of trends, scale, geography and drivers</b:Title>
    <b:JournalName>Journal of Peasant Studies</b:JournalName>
    <b:Year>2012</b:Year>
    <b:Pages>649-680</b:Pages>
    <b:RefOrder>7</b:RefOrder>
  </b:Source>
  <b:Source>
    <b:Tag>Gre15</b:Tag>
    <b:SourceType>JournalArticle</b:SourceType>
    <b:Guid>{CF95FEF9-A783-4820-B345-3114F6983E48}</b:Guid>
    <b:Title>Landlords in the making: class dynamics of the land grab in Mbarali Tanzania</b:Title>
    <b:Year>2015</b:Year>
    <b:Author>
      <b:Author>
        <b:NameList>
          <b:Person>
            <b:Last>Greco</b:Last>
            <b:First>Elisa</b:First>
          </b:Person>
        </b:NameList>
      </b:Author>
    </b:Author>
    <b:JournalName>Review of African Political Economy</b:JournalName>
    <b:RefOrder>8</b:RefOrder>
  </b:Source>
  <b:Source>
    <b:Tag>Brü16</b:Tag>
    <b:SourceType>ConferenceProceedings</b:SourceType>
    <b:Guid>{2388EAA9-9E1D-4070-97BE-2834C807DD83}</b:Guid>
    <b:Author>
      <b:Author>
        <b:NameList>
          <b:Person>
            <b:Last>Brüntrup</b:Last>
            <b:First>Michael</b:First>
          </b:Person>
          <b:Person>
            <b:Last>Absmayr</b:Last>
            <b:First>Thomas</b:First>
          </b:Person>
          <b:Person>
            <b:Last>Dylla</b:Last>
            <b:First>Jonas</b:First>
          </b:Person>
          <b:Person>
            <b:Last>Eckhard</b:Last>
            <b:First>Franziska</b:First>
          </b:Person>
          <b:Person>
            <b:Last>Remke</b:Last>
            <b:First>Kerstin</b:First>
          </b:Person>
          <b:Person>
            <b:Last>Sternisko</b:Last>
            <b:First>Konrad</b:First>
          </b:Person>
        </b:NameList>
      </b:Author>
    </b:Author>
    <b:Title>Large-scale agricultural investments and rural development in Tanzania: lessons learned, steering requirements and policy responses</b:Title>
    <b:Year>2016</b:Year>
    <b:City>Washington DC</b:City>
    <b:Publisher>World Bank</b:Publisher>
    <b:ConferenceName>2016 World Bank Conference on Land and Poverty</b:ConferenceName>
    <b:RefOrder>9</b:RefOrder>
  </b:Source>
  <b:Source>
    <b:Tag>The15</b:Tag>
    <b:SourceType>Report</b:SourceType>
    <b:Guid>{53273D6F-2518-41F9-848E-D61D356A3351}</b:Guid>
    <b:Author>
      <b:Author>
        <b:Corporate>The Oakland Institute; Greenpeace; Global Justice Now</b:Corporate>
      </b:Author>
    </b:Author>
    <b:Title>Irresponsible Investment Agrica's Broken Development Model in Tanzania</b:Title>
    <b:Year>2015</b:Year>
    <b:City>Oakland, Johannesburg, London</b:City>
    <b:Publisher>The Oakland Institute; Greenpeace; Global Justice Now</b:Publisher>
    <b:RefOrder>24</b:RefOrder>
  </b:Source>
  <b:Source>
    <b:Tag>Yin03</b:Tag>
    <b:SourceType>Book</b:SourceType>
    <b:Guid>{6DF29134-AD70-43C1-BA4E-71BD7A8C6A51}</b:Guid>
    <b:Author>
      <b:Author>
        <b:NameList>
          <b:Person>
            <b:Last>Yin</b:Last>
            <b:First>Robert</b:First>
            <b:Middle>K.</b:Middle>
          </b:Person>
        </b:NameList>
      </b:Author>
    </b:Author>
    <b:Title>Case study research design and methods</b:Title>
    <b:Year>2003</b:Year>
    <b:City>Thousands Oak</b:City>
    <b:Publisher>Sage</b:Publisher>
    <b:StateProvince>CA</b:StateProvince>
    <b:Volume>5</b:Volume>
    <b:RefOrder>27</b:RefOrder>
  </b:Source>
  <b:Source>
    <b:Tag>Bou15</b:Tag>
    <b:SourceType>BookSection</b:SourceType>
    <b:Guid>{11043F43-EE99-4050-9BAE-F76B9031D9E9}</b:Guid>
    <b:Author>
      <b:Author>
        <b:NameList>
          <b:Person>
            <b:Last>Boulding</b:Last>
            <b:First>Kenneth</b:First>
          </b:Person>
        </b:NameList>
      </b:Author>
      <b:BookAuthor>
        <b:NameList>
          <b:Person>
            <b:Last>Woodhouse</b:Last>
            <b:First>Tom</b:First>
          </b:Person>
          <b:Person>
            <b:Last>Miall</b:Last>
            <b:First>Hugh</b:First>
          </b:Person>
          <b:Person>
            <b:Last>Ramsbotham</b:Last>
            <b:First>Oliver</b:First>
          </b:Person>
        </b:NameList>
      </b:BookAuthor>
    </b:Author>
    <b:Title>Conflict and Defence a General Theory</b:Title>
    <b:BookTitle>The Contemporary Conflict Resolution Reader</b:BookTitle>
    <b:Year>2015</b:Year>
    <b:City>Cambrige</b:City>
    <b:Publisher>Cambrige Polity Press</b:Publisher>
    <b:RefOrder>13</b:RefOrder>
  </b:Source>
  <b:Source>
    <b:Tag>Mos98</b:Tag>
    <b:SourceType>JournalArticle</b:SourceType>
    <b:Guid>{C6258914-9068-439D-92A7-10562E6A5FE4}</b:Guid>
    <b:Title>A Framework for Conflict Resolution</b:Title>
    <b:Year>1998</b:Year>
    <b:Pages>206-2015</b:Pages>
    <b:Author>
      <b:Author>
        <b:NameList>
          <b:Person>
            <b:Last>Mostert</b:Last>
            <b:First>Erik</b:First>
          </b:Person>
        </b:NameList>
      </b:Author>
    </b:Author>
    <b:JournalName>Water International</b:JournalName>
    <b:RefOrder>14</b:RefOrder>
  </b:Source>
  <b:Source>
    <b:Tag>Gar89</b:Tag>
    <b:SourceType>Book</b:SourceType>
    <b:Guid>{9B2C742E-BDF6-4F29-93AF-B24AC5ECEA3E}</b:Guid>
    <b:Title>Contracting for property rights</b:Title>
    <b:Year>1989</b:Year>
    <b:Author>
      <b:Author>
        <b:NameList>
          <b:Person>
            <b:Last>Libecap</b:Last>
            <b:First>Gary</b:First>
            <b:Middle>D.</b:Middle>
          </b:Person>
        </b:NameList>
      </b:Author>
    </b:Author>
    <b:City>Cambrige</b:City>
    <b:Publisher>Cambrige University Press</b:Publisher>
    <b:RefOrder>15</b:RefOrder>
  </b:Source>
  <b:Source>
    <b:Tag>Sen97</b:Tag>
    <b:SourceType>Book</b:SourceType>
    <b:Guid>{64880560-018D-4057-9F19-7360555D0278}</b:Guid>
    <b:Author>
      <b:Author>
        <b:NameList>
          <b:Person>
            <b:Last>Sened</b:Last>
            <b:First>Itai</b:First>
          </b:Person>
        </b:NameList>
      </b:Author>
    </b:Author>
    <b:Title>The private institutions of property</b:Title>
    <b:Year>1997</b:Year>
    <b:City>Cambridge</b:City>
    <b:Publisher>Cambridge University Press</b:Publisher>
    <b:RefOrder>16</b:RefOrder>
  </b:Source>
  <b:Source>
    <b:Tag>Mag11</b:Tag>
    <b:SourceType>Report</b:SourceType>
    <b:Guid>{FC522EAC-307F-4754-AC81-393317DA522E}</b:Guid>
    <b:Author>
      <b:Author>
        <b:NameList>
          <b:Person>
            <b:Last>Maghimbi</b:Last>
            <b:First>Sam</b:First>
          </b:Person>
          <b:Person>
            <b:Last>Lokina</b:Last>
            <b:First>Razack</b:First>
            <b:Middle>B</b:Middle>
          </b:Person>
          <b:Person>
            <b:Last>Senga</b:Last>
            <b:First>Mathew</b:First>
            <b:Middle>A</b:Middle>
          </b:Person>
        </b:NameList>
      </b:Author>
    </b:Author>
    <b:Title>The Agrarian Question in Tanzania? A state of the Art Paper</b:Title>
    <b:Year>2011</b:Year>
    <b:Publisher>Nordiska Afrika Institutet and Tthe University of Dar es salaam</b:Publisher>
    <b:City>Dar es salaam</b:City>
    <b:RefOrder>19</b:RefOrder>
  </b:Source>
  <b:Source>
    <b:Tag>Jam73</b:Tag>
    <b:SourceType>Book</b:SourceType>
    <b:Guid>{83A88B9D-68B9-45A6-BAA6-6CD70CAB22AA}</b:Guid>
    <b:Author>
      <b:Author>
        <b:NameList>
          <b:Person>
            <b:Last>James</b:Last>
            <b:First>Rudolph</b:First>
            <b:Middle>William</b:Middle>
          </b:Person>
          <b:Person>
            <b:Last>Fimbo</b:Last>
            <b:First>Gamaliel</b:First>
            <b:Middle>Mgongo</b:Middle>
          </b:Person>
        </b:NameList>
      </b:Author>
    </b:Author>
    <b:Title>Customary Land Law of Tanzania. A Source Book</b:Title>
    <b:Year>1973</b:Year>
    <b:Publisher>East Africa Literature Bureau</b:Publisher>
    <b:City>Nairobi</b:City>
    <b:RefOrder>18</b:RefOrder>
  </b:Source>
  <b:Source>
    <b:Tag>Shi02</b:Tag>
    <b:SourceType>Report</b:SourceType>
    <b:Guid>{DCB6BE0E-2711-48D8-B150-45278CF29944}</b:Guid>
    <b:Author>
      <b:Author>
        <b:NameList>
          <b:Person>
            <b:Last>Shivji</b:Last>
            <b:First>Issa</b:First>
          </b:Person>
        </b:NameList>
      </b:Author>
    </b:Author>
    <b:Title>Village Governance and Common Pool Resources in Tanzania</b:Title>
    <b:Year>2002</b:Year>
    <b:Publisher>DFDI</b:Publisher>
    <b:City>Dar es salaam</b:City>
    <b:RefOrder>28</b:RefOrder>
  </b:Source>
  <b:Source>
    <b:Tag>Hau15</b:Tag>
    <b:SourceType>JournalArticle</b:SourceType>
    <b:Guid>{401861B2-6220-40FB-84B0-F253914ED4AF}</b:Guid>
    <b:Title>Land Resource in Tanzania: Whose State, Whose Resource?</b:Title>
    <b:Year>2015</b:Year>
    <b:URL>http://ijsss.redfame.com</b:URL>
    <b:Author>
      <b:Author>
        <b:NameList>
          <b:Person>
            <b:Last>Haulle</b:Last>
            <b:First>Evaristo</b:First>
          </b:Person>
        </b:NameList>
      </b:Author>
    </b:Author>
    <b:JournalName>International Journal of Social Science Studies</b:JournalName>
    <b:Pages>70-78</b:Pages>
    <b:Publisher>Redfame Publishing</b:Publisher>
    <b:Volume>3</b:Volume>
    <b:Issue>6</b:Issue>
    <b:StandardNumber>ISSN 2324-8033 E-ISSN 2324-8041</b:StandardNumber>
    <b:Medium>Journal Article</b:Medium>
    <b:YearAccessed>2020</b:YearAccessed>
    <b:MonthAccessed>September</b:MonthAccessed>
    <b:DayAccessed>25</b:DayAccessed>
    <b:RefOrder>29</b:RefOrder>
  </b:Source>
  <b:Source>
    <b:Tag>Dun22</b:Tag>
    <b:SourceType>InternetSite</b:SourceType>
    <b:Guid>{6BC03E78-BFAE-4F34-B621-2F8C60C5D2A5}</b:Guid>
    <b:Title>Women’s Land Rights Guide for Tanzania</b:Title>
    <b:Year>2014</b:Year>
    <b:Author>
      <b:Author>
        <b:NameList>
          <b:Person>
            <b:Last>Duncan</b:Last>
            <b:First>Jennifer</b:First>
          </b:Person>
        </b:NameList>
      </b:Author>
    </b:Author>
    <b:InternetSiteTitle>Landesa.org</b:InternetSiteTitle>
    <b:Month>November</b:Month>
    <b:Day>12</b:Day>
    <b:URL>https://cdn.landesa.org/wp-content/uploads/LandWise-Guide-Women%E2%80%99s-land-rights-guide-for-Tanzania.pdf</b:URL>
    <b:YearAccessed>2022</b:YearAccessed>
    <b:MonthAccessed>July</b:MonthAccessed>
    <b:DayAccessed>12</b:DayAccessed>
    <b:RefOrder>30</b:RefOrder>
  </b:Source>
  <b:Source>
    <b:Tag>Col95</b:Tag>
    <b:SourceType>JournalArticle</b:SourceType>
    <b:Guid>{71A0D1F4-6297-4ADA-86FF-9675DAC2AEE9}</b:Guid>
    <b:Title>Land Tenure Reform in Tanzania: Legal Problems and Perspectives</b:Title>
    <b:Year>1995</b:Year>
    <b:Author>
      <b:Author>
        <b:NameList>
          <b:Person>
            <b:Last>Coldham</b:Last>
          </b:Person>
        </b:NameList>
      </b:Author>
    </b:Author>
    <b:JournalName>Modem African Studies</b:JournalName>
    <b:Pages>227-242</b:Pages>
    <b:RefOrder>20</b:RefOrder>
  </b:Source>
  <b:Source>
    <b:Tag>Cou13</b:Tag>
    <b:SourceType>Book</b:SourceType>
    <b:Guid>{B7133F60-B42A-4128-B284-09697BA40DE6}</b:Guid>
    <b:Author>
      <b:Author>
        <b:NameList>
          <b:Person>
            <b:Last>Coulson</b:Last>
            <b:First>Andrew</b:First>
          </b:Person>
        </b:NameList>
      </b:Author>
    </b:Author>
    <b:Title>Tanzania A  Political Economy</b:Title>
    <b:Year>2013</b:Year>
    <b:City>Oxford</b:City>
    <b:Publisher>Oxford University Press</b:Publisher>
    <b:Edition>2nd</b:Edition>
    <b:RefOrder>31</b:RefOrder>
  </b:Source>
  <b:Source>
    <b:Tag>Shi98</b:Tag>
    <b:SourceType>Report</b:SourceType>
    <b:Guid>{C74D60AB-1C91-4E04-8A46-5A4E32FC1556}</b:Guid>
    <b:Author>
      <b:Author>
        <b:NameList>
          <b:Person>
            <b:Last>Shivji</b:Last>
            <b:First>Issa</b:First>
          </b:Person>
        </b:NameList>
      </b:Author>
    </b:Author>
    <b:Title>Not Yet Democracy</b:Title>
    <b:Year>1998</b:Year>
    <b:Publisher>IIED, HAKIARDHI, Falculty of Law UDSM</b:Publisher>
    <b:City>London</b:City>
    <b:RefOrder>21</b:RefOrder>
  </b:Source>
  <b:Source>
    <b:Tag>Arc16</b:Tag>
    <b:SourceType>Report</b:SourceType>
    <b:Guid>{9A62B545-BFC7-42CB-B959-41EBD54F0C34}</b:Guid>
    <b:Title>Dynamics of Law, Culture and Society in the Organisation of Land and Water Distribution among Rural Farmers in Karatu District/Northern Tanzania</b:Title>
    <b:Year>2016</b:Year>
    <b:City>Köln</b:City>
    <b:Publisher>der Universität zu Köln</b:Publisher>
    <b:Author>
      <b:Author>
        <b:NameList>
          <b:Person>
            <b:Last>Archterberg-Boness</b:Last>
            <b:First>Anne-Christina</b:First>
          </b:Person>
        </b:NameList>
      </b:Author>
    </b:Author>
    <b:RefOrder>22</b:RefOrder>
  </b:Source>
  <b:Source>
    <b:Tag>Cre14</b:Tag>
    <b:SourceType>Book</b:SourceType>
    <b:Guid>{F42F9A59-E35F-47DB-8429-02E91CA715DE}</b:Guid>
    <b:Author>
      <b:Author>
        <b:NameList>
          <b:Person>
            <b:Last>Creswell</b:Last>
            <b:First>John</b:First>
            <b:Middle>W.</b:Middle>
          </b:Person>
        </b:NameList>
      </b:Author>
    </b:Author>
    <b:Title>Research Design Qualitative, Quantitative, and Mixed Method Approaches</b:Title>
    <b:Year>2014</b:Year>
    <b:City>Thousands Oaks, California</b:City>
    <b:Publisher>SAGE Publications, Inc</b:Publisher>
    <b:RefOrder>23</b:RefOrder>
  </b:Source>
  <b:Source>
    <b:Tag>Bas10</b:Tag>
    <b:SourceType>Report</b:SourceType>
    <b:Guid>{4501007C-A377-4510-A5B0-B47AFF9FC6D5}</b:Guid>
    <b:Author>
      <b:Author>
        <b:NameList>
          <b:Person>
            <b:Last>Hassani</b:Last>
            <b:First>Bashiru</b:First>
            <b:Middle>Abdul</b:Middle>
          </b:Person>
        </b:NameList>
      </b:Author>
    </b:Author>
    <b:Title>Resettlement Action Plan: Redevelopment  of Rice and Bean Cropping at Mngeta Farm Kilombero Valley, Kirombero District, Morogoro Region, Tanzania</b:Title>
    <b:Year>2010</b:Year>
    <b:Publisher>TRES Consult Tz Ltd</b:Publisher>
    <b:City>Dar es salaam</b:City>
    <b:RefOrder>25</b:RefOrder>
  </b:Source>
  <b:Source>
    <b:Tag>Wil13</b:Tag>
    <b:SourceType>BookSection</b:SourceType>
    <b:Guid>{2CC56314-8515-48FB-8EC0-205E6186B335}</b:Guid>
    <b:Title>Enclosure revisited: Putting the global land rush in a historical perspective</b:Title>
    <b:Year>2013</b:Year>
    <b:Pages>58-91</b:Pages>
    <b:Author>
      <b:Author>
        <b:NameList>
          <b:Person>
            <b:Last>Wily</b:Last>
            <b:First>Liz</b:First>
            <b:Middle>Alden</b:Middle>
          </b:Person>
        </b:NameList>
      </b:Author>
      <b:BookAuthor>
        <b:NameList>
          <b:Person>
            <b:Last>Allan</b:Last>
            <b:First>Tony</b:First>
          </b:Person>
          <b:Person>
            <b:Last>Keulertz</b:Last>
            <b:First>Martin</b:First>
          </b:Person>
          <b:Person>
            <b:Last>Sojamo</b:Last>
            <b:First>Suvi</b:First>
          </b:Person>
          <b:Person>
            <b:Last>Warner</b:Last>
            <b:First>Joroen</b:First>
          </b:Person>
        </b:NameList>
      </b:BookAuthor>
    </b:Author>
    <b:BookTitle>Handbook on Land and Water Grabs in Africa</b:BookTitle>
    <b:City>London &amp; New York</b:City>
    <b:Publisher>Routledge</b:Publisher>
    <b:RefOrder>26</b:RefOrder>
  </b:Source>
  <b:Source>
    <b:Tag>Uet24</b:Tag>
    <b:SourceType>JournalArticle</b:SourceType>
    <b:Guid>{1D20D8D7-2F2C-48BB-9A16-F174C8C6B690}</b:Guid>
    <b:Author>
      <b:Author>
        <b:NameList>
          <b:Person>
            <b:Last>Ueta</b:Last>
            <b:First>Toshimitsu</b:First>
          </b:Person>
        </b:NameList>
      </b:Author>
    </b:Author>
    <b:Title>Institutional environments and conflict between foreign investors and local communities in large-scale agricultural land acquisitions</b:Title>
    <b:JournalName>International Business Review</b:JournalName>
    <b:Year>2024</b:Year>
    <b:Month>October</b:Month>
    <b:Volume>33</b:Volume>
    <b:Issue>5</b:Issue>
    <b:DOI>https://doi.org/10.1016/j.ibusrev.2024.102319</b:DOI>
    <b:RefOrder>11</b:RefOrder>
  </b:Source>
  <b:Source>
    <b:Tag>Sna72</b:Tag>
    <b:SourceType>JournalArticle</b:SourceType>
    <b:Guid>{638D64AA-F428-4D0E-91F6-E0C98023A5DD}</b:Guid>
    <b:Title>The Concept of Property</b:Title>
    <b:Year>1972</b:Year>
    <b:Author>
      <b:Author>
        <b:NameList>
          <b:Person>
            <b:Last>Snare</b:Last>
            <b:First>Frank</b:First>
          </b:Person>
        </b:NameList>
      </b:Author>
    </b:Author>
    <b:JournalName>American Philosophical Quarterly</b:JournalName>
    <b:Pages>200-206</b:Pages>
    <b:Volume>9</b:Volume>
    <b:Issue>2</b:Issue>
    <b:RefOrder>17</b:RefOrder>
  </b:Source>
  <b:Source>
    <b:Tag>Bot16</b:Tag>
    <b:SourceType>JournalArticle</b:SourceType>
    <b:Guid>{39004B46-C060-4F63-8F85-CADA7E74CB37}</b:Guid>
    <b:Author>
      <b:Author>
        <b:NameList>
          <b:Person>
            <b:Last>Bottazzi</b:Last>
            <b:First>Patrick</b:First>
          </b:Person>
          <b:Person>
            <b:Last>Goguen</b:Last>
            <b:First>Adam</b:First>
          </b:Person>
          <b:Person>
            <b:Last>Rist</b:Last>
            <b:First>Stephan</b:First>
          </b:Person>
        </b:NameList>
      </b:Author>
    </b:Author>
    <b:Title>Conflicts of customary land tenure in rural Africa: is large-scale land acquisition a driver of ‘institutional innovation’?</b:Title>
    <b:JournalName>The Journal of Peasant Studies</b:JournalName>
    <b:Year>2016</b:Year>
    <b:Pages>1-18</b:Pages>
    <b:DOI>10.1080/03066150.2015.1119119</b:DOI>
    <b:RefOrder>12</b:RefOrder>
  </b:Source>
  <b:Source>
    <b:Tag>Man19</b:Tag>
    <b:SourceType>JournalArticle</b:SourceType>
    <b:Guid>{AA5A881C-D776-403E-881C-2E5FE1C7D94E}</b:Guid>
    <b:Author>
      <b:Author>
        <b:NameList>
          <b:Person>
            <b:Last>Manda</b:Last>
            <b:First>Simon</b:First>
          </b:Person>
          <b:Person>
            <b:Last>Tallontire</b:Last>
            <b:First>Anne</b:First>
          </b:Person>
          <b:Person>
            <b:Last>Dougill</b:Last>
            <b:First>Andrew</b:First>
            <b:Middle>J.</b:Middle>
          </b:Person>
        </b:NameList>
      </b:Author>
    </b:Author>
    <b:Title>Large-scale land acquisitions and institutions: Patterns, influence and barriers in Zambia</b:Title>
    <b:JournalName>The Geographical Journal</b:JournalName>
    <b:Year>2019</b:Year>
    <b:Pages>1-15</b:Pages>
    <b:DOI>10.1111/geoj.12291</b:DOI>
    <b:RefOrder>10</b:RefOrder>
  </b:Source>
</b:Sources>
</file>

<file path=customXml/itemProps1.xml><?xml version="1.0" encoding="utf-8"?>
<ds:datastoreItem xmlns:ds="http://schemas.openxmlformats.org/officeDocument/2006/customXml" ds:itemID="{0D0D0D86-9432-4ABC-920C-337C16BE2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136</TotalTime>
  <Pages>15</Pages>
  <Words>6124</Words>
  <Characters>34909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40952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4</cp:revision>
  <cp:lastPrinted>1999-07-06T11:00:00Z</cp:lastPrinted>
  <dcterms:created xsi:type="dcterms:W3CDTF">2025-09-30T01:12:00Z</dcterms:created>
  <dcterms:modified xsi:type="dcterms:W3CDTF">2025-10-04T06:17:00Z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d1407d88-d31d-460a-b7cf-a7744261027a</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