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02509" w14:textId="4CE20BCA" w:rsidR="00491E8B" w:rsidRDefault="00526405" w:rsidP="00DF3B2F">
      <w:pPr>
        <w:spacing w:line="360" w:lineRule="auto"/>
        <w:jc w:val="right"/>
        <w:rPr>
          <w:rFonts w:ascii="Arial" w:eastAsia="Times New Roman" w:hAnsi="Arial" w:cs="Arial"/>
          <w:b/>
          <w:bCs/>
          <w:sz w:val="36"/>
          <w:szCs w:val="36"/>
          <w:lang w:eastAsia="pt-BR"/>
        </w:rPr>
      </w:pPr>
      <w:proofErr w:type="spellStart"/>
      <w:r w:rsidRPr="00526405">
        <w:rPr>
          <w:rFonts w:ascii="Arial" w:eastAsia="Times New Roman" w:hAnsi="Arial" w:cs="Arial"/>
          <w:b/>
          <w:bCs/>
          <w:sz w:val="36"/>
          <w:szCs w:val="36"/>
          <w:lang w:eastAsia="pt-BR"/>
        </w:rPr>
        <w:t>Integration</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of</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Pediatrics</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into</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Prenatal</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Care</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Impact</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on</w:t>
      </w:r>
      <w:proofErr w:type="spellEnd"/>
      <w:r w:rsidRPr="00526405">
        <w:rPr>
          <w:rFonts w:ascii="Arial" w:eastAsia="Times New Roman" w:hAnsi="Arial" w:cs="Arial"/>
          <w:b/>
          <w:bCs/>
          <w:sz w:val="36"/>
          <w:szCs w:val="36"/>
          <w:lang w:eastAsia="pt-BR"/>
        </w:rPr>
        <w:t xml:space="preserve"> Maternal </w:t>
      </w:r>
      <w:proofErr w:type="spellStart"/>
      <w:r w:rsidRPr="00526405">
        <w:rPr>
          <w:rFonts w:ascii="Arial" w:eastAsia="Times New Roman" w:hAnsi="Arial" w:cs="Arial"/>
          <w:b/>
          <w:bCs/>
          <w:sz w:val="36"/>
          <w:szCs w:val="36"/>
          <w:lang w:eastAsia="pt-BR"/>
        </w:rPr>
        <w:t>and</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Newborn</w:t>
      </w:r>
      <w:proofErr w:type="spellEnd"/>
      <w:r w:rsidRPr="00526405">
        <w:rPr>
          <w:rFonts w:ascii="Arial" w:eastAsia="Times New Roman" w:hAnsi="Arial" w:cs="Arial"/>
          <w:b/>
          <w:bCs/>
          <w:sz w:val="36"/>
          <w:szCs w:val="36"/>
          <w:lang w:eastAsia="pt-BR"/>
        </w:rPr>
        <w:t xml:space="preserve"> Health in </w:t>
      </w:r>
      <w:proofErr w:type="spellStart"/>
      <w:r w:rsidRPr="00526405">
        <w:rPr>
          <w:rFonts w:ascii="Arial" w:eastAsia="Times New Roman" w:hAnsi="Arial" w:cs="Arial"/>
          <w:b/>
          <w:bCs/>
          <w:sz w:val="36"/>
          <w:szCs w:val="36"/>
          <w:lang w:eastAsia="pt-BR"/>
        </w:rPr>
        <w:t>the</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First</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Month</w:t>
      </w:r>
      <w:proofErr w:type="spellEnd"/>
      <w:r w:rsidRPr="00526405">
        <w:rPr>
          <w:rFonts w:ascii="Arial" w:eastAsia="Times New Roman" w:hAnsi="Arial" w:cs="Arial"/>
          <w:b/>
          <w:bCs/>
          <w:sz w:val="36"/>
          <w:szCs w:val="36"/>
          <w:lang w:eastAsia="pt-BR"/>
        </w:rPr>
        <w:t xml:space="preserve"> </w:t>
      </w:r>
      <w:proofErr w:type="spellStart"/>
      <w:r w:rsidRPr="00526405">
        <w:rPr>
          <w:rFonts w:ascii="Arial" w:eastAsia="Times New Roman" w:hAnsi="Arial" w:cs="Arial"/>
          <w:b/>
          <w:bCs/>
          <w:sz w:val="36"/>
          <w:szCs w:val="36"/>
          <w:lang w:eastAsia="pt-BR"/>
        </w:rPr>
        <w:t>of</w:t>
      </w:r>
      <w:proofErr w:type="spellEnd"/>
      <w:r w:rsidRPr="00526405">
        <w:rPr>
          <w:rFonts w:ascii="Arial" w:eastAsia="Times New Roman" w:hAnsi="Arial" w:cs="Arial"/>
          <w:b/>
          <w:bCs/>
          <w:sz w:val="36"/>
          <w:szCs w:val="36"/>
          <w:lang w:eastAsia="pt-BR"/>
        </w:rPr>
        <w:t xml:space="preserve"> Life</w:t>
      </w:r>
    </w:p>
    <w:p w14:paraId="452E9019" w14:textId="77777777" w:rsidR="00C477C2" w:rsidRDefault="00C477C2" w:rsidP="00DF3B2F">
      <w:pPr>
        <w:spacing w:line="360" w:lineRule="auto"/>
        <w:jc w:val="right"/>
        <w:rPr>
          <w:rFonts w:ascii="Arial" w:eastAsia="Times New Roman" w:hAnsi="Arial" w:cs="Arial"/>
          <w:b/>
          <w:bCs/>
          <w:sz w:val="36"/>
          <w:szCs w:val="36"/>
          <w:lang w:eastAsia="pt-BR"/>
        </w:rPr>
      </w:pPr>
    </w:p>
    <w:p w14:paraId="47D1F3ED" w14:textId="52D6D355" w:rsidR="00DF3B2F" w:rsidRDefault="00DF3B2F" w:rsidP="00DF3B2F">
      <w:pPr>
        <w:spacing w:line="360" w:lineRule="auto"/>
        <w:jc w:val="both"/>
        <w:rPr>
          <w:rFonts w:ascii="Arial" w:hAnsi="Arial" w:cs="Arial"/>
          <w:b/>
          <w:bCs/>
          <w:sz w:val="20"/>
          <w:szCs w:val="20"/>
        </w:rPr>
      </w:pPr>
      <w:r w:rsidRPr="00AC378D">
        <w:rPr>
          <w:rFonts w:ascii="Arial" w:hAnsi="Arial" w:cs="Arial"/>
          <w:b/>
          <w:bCs/>
          <w:sz w:val="20"/>
          <w:szCs w:val="20"/>
        </w:rPr>
        <w:t>ABSTRACT</w:t>
      </w:r>
    </w:p>
    <w:p w14:paraId="6899F351"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Introduction:</w:t>
      </w:r>
      <w:r w:rsidRPr="00491E8B">
        <w:rPr>
          <w:rFonts w:ascii="Arial" w:hAnsi="Arial" w:cs="Arial"/>
          <w:sz w:val="20"/>
          <w:szCs w:val="20"/>
        </w:rPr>
        <w:t xml:space="preserve"> Prenatal pediatric consultation represents an innovative strategy to integrate maternal and child health care, allowing early parental preparation, strengthening the parent–pediatrician bond, and promoting key preventive practices such as breastfeeding, neonatal immunization, screening, and newborn safety.</w:t>
      </w:r>
    </w:p>
    <w:p w14:paraId="751853FF"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Aim:</w:t>
      </w:r>
      <w:r w:rsidRPr="00491E8B">
        <w:rPr>
          <w:rFonts w:ascii="Arial" w:hAnsi="Arial" w:cs="Arial"/>
          <w:sz w:val="20"/>
          <w:szCs w:val="20"/>
        </w:rPr>
        <w:t xml:space="preserve"> To systematically review the scientific literature to evaluate the impact of integrating pediatric consultation into prenatal care on maternal and child health outcomes during the first two years of life.</w:t>
      </w:r>
    </w:p>
    <w:p w14:paraId="415B5B37"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Methodology:</w:t>
      </w:r>
      <w:r w:rsidRPr="00491E8B">
        <w:rPr>
          <w:rFonts w:ascii="Arial" w:hAnsi="Arial" w:cs="Arial"/>
          <w:sz w:val="20"/>
          <w:szCs w:val="20"/>
        </w:rPr>
        <w:t xml:space="preserve"> This systematic review followed the PRISMA 2020 guidelines. Searches were conducted in PubMed/MEDLINE, LILACS, SciELO, and the Virtual Health Library (BVS) for studies published between 2015 and 2025. Additional documents from the Brazilian Society of Pediatrics (SBP) and the Brazilian Federation of Gynecology and Obstetrics Associations (FEBRASGO) were reviewed. Eligible studies included clinical trials, cohort, case-control, and observational studies assessing maternal and child outcomes associated with prenatal pediatric consultation.</w:t>
      </w:r>
    </w:p>
    <w:p w14:paraId="68C7374D"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Results:</w:t>
      </w:r>
      <w:r w:rsidRPr="00491E8B">
        <w:rPr>
          <w:rFonts w:ascii="Arial" w:hAnsi="Arial" w:cs="Arial"/>
          <w:sz w:val="20"/>
          <w:szCs w:val="20"/>
        </w:rPr>
        <w:t xml:space="preserve"> Ten studies met the inclusion criteria. Most were observational and evaluated indicators such as exclusive breastfeeding, parental preparedness, and neonatal outcomes. Prenatal pediatric consultation was associated with higher exclusive breastfeeding rates, reduced parental anxiety, improved maternal–child bonding, and lower incidences of neonatal hospitalization, low birth weight, and prematurity. National guidelines consistently supported this practice, though international literature remains heterogeneous regarding standardized protocols and causality.</w:t>
      </w:r>
    </w:p>
    <w:p w14:paraId="3DA17B82"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Conclusion:</w:t>
      </w:r>
      <w:r w:rsidRPr="00491E8B">
        <w:rPr>
          <w:rFonts w:ascii="Arial" w:hAnsi="Arial" w:cs="Arial"/>
          <w:sz w:val="20"/>
          <w:szCs w:val="20"/>
        </w:rPr>
        <w:t xml:space="preserve"> Integrating pediatric consultation into prenatal care positively influences maternal and neonatal outcomes and enhances parental readiness. Expanding this practice within public health systems, such as the Brazilian Unified Health System (SUS), may strengthen primary prevention and promote healthier early development. Further randomized and longitudinal studies are needed to consolidate causal evidence and guide public policy implementation.</w:t>
      </w:r>
    </w:p>
    <w:p w14:paraId="770C11B3" w14:textId="77777777" w:rsidR="00491E8B" w:rsidRPr="00491E8B" w:rsidRDefault="00491E8B" w:rsidP="00491E8B">
      <w:pPr>
        <w:spacing w:line="360" w:lineRule="auto"/>
        <w:jc w:val="both"/>
        <w:rPr>
          <w:rFonts w:ascii="Arial" w:hAnsi="Arial" w:cs="Arial"/>
          <w:sz w:val="20"/>
          <w:szCs w:val="20"/>
        </w:rPr>
      </w:pPr>
      <w:r w:rsidRPr="00491E8B">
        <w:rPr>
          <w:rFonts w:ascii="Arial" w:hAnsi="Arial" w:cs="Arial"/>
          <w:b/>
          <w:bCs/>
          <w:sz w:val="20"/>
          <w:szCs w:val="20"/>
        </w:rPr>
        <w:t>Keywords:</w:t>
      </w:r>
      <w:r w:rsidRPr="00491E8B">
        <w:rPr>
          <w:rFonts w:ascii="Arial" w:hAnsi="Arial" w:cs="Arial"/>
          <w:sz w:val="20"/>
          <w:szCs w:val="20"/>
        </w:rPr>
        <w:t xml:space="preserve"> prenatal consultation; pediatrics; maternal and child health; breastfeeding; child development; systematic review.</w:t>
      </w:r>
    </w:p>
    <w:p w14:paraId="16763B19" w14:textId="77777777" w:rsidR="00491E8B" w:rsidRPr="00491E8B" w:rsidRDefault="00491E8B" w:rsidP="00DF3B2F">
      <w:pPr>
        <w:spacing w:line="360" w:lineRule="auto"/>
        <w:jc w:val="both"/>
        <w:rPr>
          <w:rFonts w:ascii="Arial" w:hAnsi="Arial" w:cs="Arial"/>
          <w:sz w:val="20"/>
          <w:szCs w:val="20"/>
        </w:rPr>
      </w:pPr>
    </w:p>
    <w:p w14:paraId="7585E035" w14:textId="34BDA5BB" w:rsidR="00DF3B2F" w:rsidRDefault="00DF3B2F" w:rsidP="00DF3B2F">
      <w:pPr>
        <w:pStyle w:val="PargrafodaLista"/>
        <w:numPr>
          <w:ilvl w:val="0"/>
          <w:numId w:val="1"/>
        </w:numPr>
        <w:spacing w:line="360" w:lineRule="auto"/>
        <w:rPr>
          <w:rFonts w:ascii="Arial" w:hAnsi="Arial" w:cs="Arial"/>
          <w:b/>
          <w:bCs/>
        </w:rPr>
      </w:pPr>
      <w:r w:rsidRPr="008C3E1C">
        <w:rPr>
          <w:rFonts w:ascii="Arial" w:hAnsi="Arial" w:cs="Arial"/>
          <w:b/>
          <w:bCs/>
        </w:rPr>
        <w:lastRenderedPageBreak/>
        <w:t>INTRODUCTION</w:t>
      </w:r>
    </w:p>
    <w:p w14:paraId="309E812E"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The incorporation of pediatric care into prenatal follow-up represents an innovative and promising approach within the framework of integrated maternal and child healthcare. By establishing early contact between the family and the pediatrician during pregnancy, a window of opportunity is created for delivering essential guidance on various aspects that directly impact the health and well-being of the newborn. Topics such as exclusive breastfeeding, neonatal immunization schedules, mandatory screening procedures, and newborn safety can be addressed in a preventive and educational manner, significantly contributing to parental preparedness and strengthening the relationship between families and healthcare professionals (1).</w:t>
      </w:r>
    </w:p>
    <w:p w14:paraId="4CEDC787"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This early connection with the pediatrician not only expands access to qualified information but also fosters the development of a trust-based relationship between parents and the pediatric care provider. Initiating this bond during pregnancy may yield long-term positive outcomes by encouraging more conscious, evidence-based, and safe caregiving practices. Furthermore, it contributes to parental empowerment by enhancing emotional security and promoting informed decision-making throughout the neonatal period and the early years of the child’s life (1).</w:t>
      </w:r>
    </w:p>
    <w:p w14:paraId="4C344259"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In the Brazilian context, this proposal has gained institutional recognition. The Brazilian Society of Pediatrics (SBP) and the Brazilian Federation of Gynecology and Obstetrics Associations (FEBRASGO) have highlighted the strategic importance of integrating obstetric and pediatric specialties. Both institutions endorse prenatal pediatric consultation as a preventive and educational tool with high potential to improve early child health outcomes, particularly through early orientation and continuous follow-up of the child starting from the intrauterine period (2).</w:t>
      </w:r>
    </w:p>
    <w:p w14:paraId="228853C7" w14:textId="77777777" w:rsid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Despite this national endorsement, a gap remains in international guidelines. Major organizations such as the World Health Organization (WHO) and the American College of Obstetricians and Gynecologists (ACOG) have yet to issue specific recommendations or standardized protocols formally promoting the inclusion of pediatric care during the prenatal period. This lack of global consensus underscores the need to expand scientific and policy discussions on the topic, especially considering the potential public health benefits this practice could offer (3, 4, 5).</w:t>
      </w:r>
    </w:p>
    <w:p w14:paraId="5C91E259" w14:textId="71CEB87C"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Emerging scientific evidence suggests that prenatal pediatric consultation may be associated with several benefits for both mothers and newborns. Reported outcomes include reduced neonatal morbidity and mortality, increased parental preparedness for the postpartum period, improved emotional well-being for both mothers and fathers, and positive impacts on child development during the first two years of life. Additionally, this practice may contribute to higher rates of exclusive and prolonged breastfeeding and reduce avoidable neonatal and infant hospitalizations (4, 5, 6).</w:t>
      </w:r>
    </w:p>
    <w:p w14:paraId="5B0ACE4A"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 xml:space="preserve">However, despite these promising findings, the body of scientific research on this subject remains limited. Few systematic reviews have comprehensively explored the effects of integrating </w:t>
      </w:r>
      <w:r w:rsidRPr="00CF018E">
        <w:rPr>
          <w:rFonts w:ascii="Arial" w:hAnsi="Arial" w:cs="Arial"/>
          <w:sz w:val="20"/>
          <w:szCs w:val="20"/>
        </w:rPr>
        <w:lastRenderedPageBreak/>
        <w:t>pediatric consultations into prenatal care on maternal and child health outcomes, which limits the development of evidence-based clinical and policy guidelines.</w:t>
      </w:r>
    </w:p>
    <w:p w14:paraId="2976A896" w14:textId="77777777"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In this context, the present systematic review aims to critically analyze and synthesize the available scientific literature on the impact of prenatal pediatric consultation integrated into obstetric care on maternal and child health outcomes up to the child’s second year of life. Specifically, it seeks to determine whether this practice contributes to higher rates of exclusive and prolonged breastfeeding, better indicators of early child development, lower rates of neonatal and infant hospitalizations, and reduced neonatal morbidity and mortality.</w:t>
      </w:r>
    </w:p>
    <w:p w14:paraId="6A8BD890" w14:textId="32741EC3" w:rsidR="00CF018E" w:rsidRPr="00CF018E" w:rsidRDefault="00CF018E" w:rsidP="00CF018E">
      <w:pPr>
        <w:spacing w:line="360" w:lineRule="auto"/>
        <w:ind w:firstLine="360"/>
        <w:jc w:val="both"/>
        <w:rPr>
          <w:rFonts w:ascii="Arial" w:hAnsi="Arial" w:cs="Arial"/>
          <w:sz w:val="20"/>
          <w:szCs w:val="20"/>
        </w:rPr>
      </w:pPr>
      <w:r w:rsidRPr="00CF018E">
        <w:rPr>
          <w:rFonts w:ascii="Arial" w:hAnsi="Arial" w:cs="Arial"/>
          <w:sz w:val="20"/>
          <w:szCs w:val="20"/>
        </w:rPr>
        <w:t>By consolidating the current evidence, this review intends to offer scientific support for the inclusion of prenatal pediatric consultations into public health policies, particularly within the Brazilian Unified Health System (SUS). This integration is proposed as a cost-effective, multiprofessional strategy with strong potential to strengthen maternal and child healthcare through a more comprehensive, preventive, and humanized approach for families across the country.</w:t>
      </w:r>
    </w:p>
    <w:p w14:paraId="7DD06B0C" w14:textId="6394E609" w:rsidR="00DF3B2F" w:rsidRDefault="00DF3B2F" w:rsidP="00DF3B2F">
      <w:pPr>
        <w:pStyle w:val="PargrafodaLista"/>
        <w:numPr>
          <w:ilvl w:val="0"/>
          <w:numId w:val="1"/>
        </w:numPr>
        <w:spacing w:line="360" w:lineRule="auto"/>
        <w:rPr>
          <w:rFonts w:ascii="Arial" w:hAnsi="Arial" w:cs="Arial"/>
          <w:b/>
          <w:bCs/>
          <w:lang w:val="en-US"/>
        </w:rPr>
      </w:pPr>
      <w:r w:rsidRPr="008C3E1C">
        <w:rPr>
          <w:rFonts w:ascii="Arial" w:hAnsi="Arial" w:cs="Arial"/>
          <w:b/>
          <w:bCs/>
          <w:lang w:val="en-US"/>
        </w:rPr>
        <w:t>MATERIAL AND METHODS</w:t>
      </w:r>
    </w:p>
    <w:p w14:paraId="308ED442" w14:textId="77777777" w:rsidR="00DF3B2F" w:rsidRP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t xml:space="preserve">This systematic review was conducted in accordance with the PRISMA 2020 guidelines to ensure methodological transparency and reproducibility. The literature search was performed in the PubMed/MEDLINE, LILACS, </w:t>
      </w:r>
      <w:proofErr w:type="spellStart"/>
      <w:r w:rsidRPr="00DF3B2F">
        <w:rPr>
          <w:rFonts w:ascii="Arial" w:hAnsi="Arial" w:cs="Arial"/>
          <w:sz w:val="20"/>
          <w:szCs w:val="20"/>
          <w:lang w:val="en-US"/>
        </w:rPr>
        <w:t>SciELO</w:t>
      </w:r>
      <w:proofErr w:type="spellEnd"/>
      <w:r w:rsidRPr="00DF3B2F">
        <w:rPr>
          <w:rFonts w:ascii="Arial" w:hAnsi="Arial" w:cs="Arial"/>
          <w:sz w:val="20"/>
          <w:szCs w:val="20"/>
          <w:lang w:val="en-US"/>
        </w:rPr>
        <w:t>, and Virtual Health Library (BVS) databases, covering publications from January 2015 to January 2025. In addition, official documents and technical manuals from the Brazilian Society of Pediatrics (SBP) and the Brazilian Federation of Gynecology and Obstetrics Associations (FEBRASGO) were reviewed, as these represent national reference guidelines relevant to the topic.</w:t>
      </w:r>
    </w:p>
    <w:p w14:paraId="6157117F" w14:textId="77777777" w:rsid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t xml:space="preserve">The search strategy combined controlled descriptors from </w:t>
      </w:r>
      <w:proofErr w:type="spellStart"/>
      <w:r w:rsidRPr="00DF3B2F">
        <w:rPr>
          <w:rFonts w:ascii="Arial" w:hAnsi="Arial" w:cs="Arial"/>
          <w:sz w:val="20"/>
          <w:szCs w:val="20"/>
          <w:lang w:val="en-US"/>
        </w:rPr>
        <w:t>MeSH</w:t>
      </w:r>
      <w:proofErr w:type="spellEnd"/>
      <w:r w:rsidRPr="00DF3B2F">
        <w:rPr>
          <w:rFonts w:ascii="Arial" w:hAnsi="Arial" w:cs="Arial"/>
          <w:sz w:val="20"/>
          <w:szCs w:val="20"/>
          <w:lang w:val="en-US"/>
        </w:rPr>
        <w:t xml:space="preserve"> (Medical Subject Headings) and </w:t>
      </w:r>
      <w:proofErr w:type="spellStart"/>
      <w:r w:rsidRPr="00DF3B2F">
        <w:rPr>
          <w:rFonts w:ascii="Arial" w:hAnsi="Arial" w:cs="Arial"/>
          <w:sz w:val="20"/>
          <w:szCs w:val="20"/>
          <w:lang w:val="en-US"/>
        </w:rPr>
        <w:t>DeCS</w:t>
      </w:r>
      <w:proofErr w:type="spellEnd"/>
      <w:r w:rsidRPr="00DF3B2F">
        <w:rPr>
          <w:rFonts w:ascii="Arial" w:hAnsi="Arial" w:cs="Arial"/>
          <w:sz w:val="20"/>
          <w:szCs w:val="20"/>
          <w:lang w:val="en-US"/>
        </w:rPr>
        <w:t xml:space="preserve"> (Health Sciences Descriptors) using the Boolean operators AND </w:t>
      </w:r>
      <w:proofErr w:type="spellStart"/>
      <w:r w:rsidRPr="00DF3B2F">
        <w:rPr>
          <w:rFonts w:ascii="Arial" w:hAnsi="Arial" w:cs="Arial"/>
          <w:sz w:val="20"/>
          <w:szCs w:val="20"/>
          <w:lang w:val="en-US"/>
        </w:rPr>
        <w:t>and</w:t>
      </w:r>
      <w:proofErr w:type="spellEnd"/>
      <w:r w:rsidRPr="00DF3B2F">
        <w:rPr>
          <w:rFonts w:ascii="Arial" w:hAnsi="Arial" w:cs="Arial"/>
          <w:sz w:val="20"/>
          <w:szCs w:val="20"/>
          <w:lang w:val="en-US"/>
        </w:rPr>
        <w:t xml:space="preserve"> OR. Examples of search terms included: “Prenatal Care,” “Pediatricians,” “Interdisciplinary Communication,” “Infant, Newborn,” “Maternal Health,” “Infant Health,” “Breast Feeding,” and “Child Development,” along with their equivalents in Portuguese.</w:t>
      </w:r>
    </w:p>
    <w:p w14:paraId="5A97C400" w14:textId="77777777" w:rsid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t>Eligible studies included randomized clinical trials, cohort studies, case-control studies, and cross-sectional or prospective observational studies addressing prenatal pediatric consultation and its effects on maternal and child outcomes up to the second year of life. Articles published in Portuguese, English, or Spanish were accepted. Exclusion criteria comprised opinion pieces, editorials, isolated case reports, narrative reviews, and studies published before 2015.</w:t>
      </w:r>
    </w:p>
    <w:p w14:paraId="23E8E6CA" w14:textId="77777777" w:rsid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t>Screening was performed in three stages: title screening, abstract screening, and full-text review. Each stage was independently conducted by two reviewers, and disagreements were resolved by consensus or consultation with a third reviewer. The methodological quality of the included studies was assessed using the Newcastle–Ottawa Scale (NOS) for observational studies and the Cochrane Risk of Bias Tool for randomized clinical trials.</w:t>
      </w:r>
    </w:p>
    <w:p w14:paraId="0A55F504" w14:textId="42ADE2F7" w:rsidR="00DF3B2F" w:rsidRPr="00DF3B2F" w:rsidRDefault="00DF3B2F" w:rsidP="00DF3B2F">
      <w:pPr>
        <w:spacing w:line="360" w:lineRule="auto"/>
        <w:ind w:firstLine="360"/>
        <w:jc w:val="both"/>
        <w:rPr>
          <w:rFonts w:ascii="Arial" w:hAnsi="Arial" w:cs="Arial"/>
          <w:sz w:val="20"/>
          <w:szCs w:val="20"/>
          <w:lang w:val="en-US"/>
        </w:rPr>
      </w:pPr>
      <w:r w:rsidRPr="00DF3B2F">
        <w:rPr>
          <w:rFonts w:ascii="Arial" w:hAnsi="Arial" w:cs="Arial"/>
          <w:sz w:val="20"/>
          <w:szCs w:val="20"/>
          <w:lang w:val="en-US"/>
        </w:rPr>
        <w:lastRenderedPageBreak/>
        <w:t>Data extraction followed a standardized process using a spreadsheet to collect relevant variables such as publication year, country, study design, sample size, population characteristics, intervention type, comparison group, evaluated outcomes, and main findings. When sufficient homogeneity was identified across studies, a meta-analysis was planned using fixed- or random-effects models, depending on statistical heterogeneity measured by the I² test. In cases where quantitative synthesis was not feasible, a qualitative descriptive synthesis was performed, highlighting convergences and divergences across the included studies.</w:t>
      </w:r>
    </w:p>
    <w:p w14:paraId="18D71100" w14:textId="77777777" w:rsidR="00DF3B2F" w:rsidRDefault="00DF3B2F" w:rsidP="00DF3B2F">
      <w:pPr>
        <w:spacing w:line="360" w:lineRule="auto"/>
        <w:jc w:val="both"/>
        <w:rPr>
          <w:rFonts w:ascii="Arial" w:hAnsi="Arial" w:cs="Arial"/>
          <w:b/>
          <w:bCs/>
          <w:sz w:val="20"/>
          <w:szCs w:val="20"/>
          <w:lang w:val="en-US"/>
        </w:rPr>
      </w:pPr>
    </w:p>
    <w:p w14:paraId="4BA5B83D" w14:textId="77777777" w:rsidR="00DF3B2F" w:rsidRDefault="00DF3B2F" w:rsidP="00DF3B2F">
      <w:pPr>
        <w:spacing w:line="360" w:lineRule="auto"/>
        <w:jc w:val="both"/>
        <w:rPr>
          <w:rFonts w:ascii="Arial" w:hAnsi="Arial" w:cs="Arial"/>
          <w:b/>
          <w:bCs/>
          <w:sz w:val="20"/>
          <w:szCs w:val="20"/>
          <w:lang w:val="en-US"/>
        </w:rPr>
      </w:pPr>
    </w:p>
    <w:p w14:paraId="3B6BB2E8" w14:textId="77777777" w:rsidR="00DF3B2F" w:rsidRDefault="00DF3B2F" w:rsidP="00DF3B2F">
      <w:pPr>
        <w:spacing w:line="360" w:lineRule="auto"/>
        <w:jc w:val="both"/>
        <w:rPr>
          <w:rFonts w:ascii="Arial" w:hAnsi="Arial" w:cs="Arial"/>
          <w:b/>
          <w:bCs/>
          <w:sz w:val="20"/>
          <w:szCs w:val="20"/>
          <w:lang w:val="en-US"/>
        </w:rPr>
      </w:pPr>
    </w:p>
    <w:p w14:paraId="02EA9489" w14:textId="6302ADF7" w:rsidR="00DF3B2F" w:rsidRDefault="00DF3B2F" w:rsidP="00DF3B2F">
      <w:pPr>
        <w:spacing w:line="360" w:lineRule="auto"/>
        <w:jc w:val="both"/>
        <w:rPr>
          <w:rFonts w:ascii="Arial" w:hAnsi="Arial" w:cs="Arial"/>
          <w:b/>
          <w:bCs/>
          <w:sz w:val="20"/>
          <w:szCs w:val="20"/>
          <w:lang w:val="en-US"/>
        </w:rPr>
      </w:pPr>
    </w:p>
    <w:p w14:paraId="78D8D12A" w14:textId="30DD42CD" w:rsidR="00CF018E" w:rsidRDefault="00CF018E" w:rsidP="00DF3B2F">
      <w:pPr>
        <w:spacing w:line="360" w:lineRule="auto"/>
        <w:jc w:val="both"/>
        <w:rPr>
          <w:rFonts w:ascii="Arial" w:hAnsi="Arial" w:cs="Arial"/>
          <w:b/>
          <w:bCs/>
          <w:sz w:val="20"/>
          <w:szCs w:val="20"/>
          <w:lang w:val="en-US"/>
        </w:rPr>
      </w:pPr>
    </w:p>
    <w:p w14:paraId="335886C5" w14:textId="6636F44D" w:rsidR="00CF018E" w:rsidRDefault="00CF018E" w:rsidP="00DF3B2F">
      <w:pPr>
        <w:spacing w:line="360" w:lineRule="auto"/>
        <w:jc w:val="both"/>
        <w:rPr>
          <w:rFonts w:ascii="Arial" w:hAnsi="Arial" w:cs="Arial"/>
          <w:b/>
          <w:bCs/>
          <w:sz w:val="20"/>
          <w:szCs w:val="20"/>
          <w:lang w:val="en-US"/>
        </w:rPr>
      </w:pPr>
    </w:p>
    <w:p w14:paraId="65472BC6" w14:textId="76674A28" w:rsidR="00CF018E" w:rsidRDefault="00CF018E" w:rsidP="00DF3B2F">
      <w:pPr>
        <w:spacing w:line="360" w:lineRule="auto"/>
        <w:jc w:val="both"/>
        <w:rPr>
          <w:rFonts w:ascii="Arial" w:hAnsi="Arial" w:cs="Arial"/>
          <w:b/>
          <w:bCs/>
          <w:sz w:val="20"/>
          <w:szCs w:val="20"/>
          <w:lang w:val="en-US"/>
        </w:rPr>
      </w:pPr>
    </w:p>
    <w:p w14:paraId="7394CAB4" w14:textId="2E314411" w:rsidR="00CF018E" w:rsidRDefault="00CF018E" w:rsidP="00DF3B2F">
      <w:pPr>
        <w:spacing w:line="360" w:lineRule="auto"/>
        <w:jc w:val="both"/>
        <w:rPr>
          <w:rFonts w:ascii="Arial" w:hAnsi="Arial" w:cs="Arial"/>
          <w:b/>
          <w:bCs/>
          <w:sz w:val="20"/>
          <w:szCs w:val="20"/>
          <w:lang w:val="en-US"/>
        </w:rPr>
      </w:pPr>
    </w:p>
    <w:p w14:paraId="330D1093" w14:textId="1741AD6C" w:rsidR="00CF018E" w:rsidRDefault="00CF018E" w:rsidP="00DF3B2F">
      <w:pPr>
        <w:spacing w:line="360" w:lineRule="auto"/>
        <w:jc w:val="both"/>
        <w:rPr>
          <w:rFonts w:ascii="Arial" w:hAnsi="Arial" w:cs="Arial"/>
          <w:b/>
          <w:bCs/>
          <w:sz w:val="20"/>
          <w:szCs w:val="20"/>
          <w:lang w:val="en-US"/>
        </w:rPr>
      </w:pPr>
    </w:p>
    <w:p w14:paraId="4DA6CFCA" w14:textId="137E6422" w:rsidR="00CF018E" w:rsidRDefault="00CF018E" w:rsidP="00DF3B2F">
      <w:pPr>
        <w:spacing w:line="360" w:lineRule="auto"/>
        <w:jc w:val="both"/>
        <w:rPr>
          <w:rFonts w:ascii="Arial" w:hAnsi="Arial" w:cs="Arial"/>
          <w:b/>
          <w:bCs/>
          <w:sz w:val="20"/>
          <w:szCs w:val="20"/>
          <w:lang w:val="en-US"/>
        </w:rPr>
      </w:pPr>
    </w:p>
    <w:p w14:paraId="72D42778" w14:textId="4FFB0C7F" w:rsidR="00CF018E" w:rsidRDefault="00CF018E" w:rsidP="00DF3B2F">
      <w:pPr>
        <w:spacing w:line="360" w:lineRule="auto"/>
        <w:jc w:val="both"/>
        <w:rPr>
          <w:rFonts w:ascii="Arial" w:hAnsi="Arial" w:cs="Arial"/>
          <w:b/>
          <w:bCs/>
          <w:sz w:val="20"/>
          <w:szCs w:val="20"/>
          <w:lang w:val="en-US"/>
        </w:rPr>
      </w:pPr>
    </w:p>
    <w:p w14:paraId="6D1B3F2C" w14:textId="49536F6C" w:rsidR="00CF018E" w:rsidRDefault="00CF018E" w:rsidP="00DF3B2F">
      <w:pPr>
        <w:spacing w:line="360" w:lineRule="auto"/>
        <w:jc w:val="both"/>
        <w:rPr>
          <w:rFonts w:ascii="Arial" w:hAnsi="Arial" w:cs="Arial"/>
          <w:b/>
          <w:bCs/>
          <w:sz w:val="20"/>
          <w:szCs w:val="20"/>
          <w:lang w:val="en-US"/>
        </w:rPr>
      </w:pPr>
    </w:p>
    <w:p w14:paraId="20E66691" w14:textId="77777777" w:rsidR="00CF018E" w:rsidRDefault="00CF018E" w:rsidP="00DF3B2F">
      <w:pPr>
        <w:spacing w:line="360" w:lineRule="auto"/>
        <w:jc w:val="both"/>
        <w:rPr>
          <w:rFonts w:ascii="Arial" w:hAnsi="Arial" w:cs="Arial"/>
          <w:b/>
          <w:bCs/>
          <w:sz w:val="20"/>
          <w:szCs w:val="20"/>
          <w:lang w:val="en-US"/>
        </w:rPr>
      </w:pPr>
    </w:p>
    <w:p w14:paraId="49F28A58" w14:textId="77777777" w:rsidR="00DF3B2F" w:rsidRDefault="00DF3B2F" w:rsidP="00DF3B2F">
      <w:pPr>
        <w:spacing w:line="360" w:lineRule="auto"/>
        <w:jc w:val="both"/>
        <w:rPr>
          <w:rFonts w:ascii="Arial" w:hAnsi="Arial" w:cs="Arial"/>
          <w:b/>
          <w:bCs/>
          <w:sz w:val="20"/>
          <w:szCs w:val="20"/>
          <w:lang w:val="en-US"/>
        </w:rPr>
      </w:pPr>
    </w:p>
    <w:p w14:paraId="4F821756" w14:textId="77777777" w:rsidR="00EF0C92" w:rsidRDefault="00EF0C92" w:rsidP="00DF3B2F">
      <w:pPr>
        <w:spacing w:line="360" w:lineRule="auto"/>
        <w:jc w:val="both"/>
        <w:rPr>
          <w:rFonts w:ascii="Arial" w:hAnsi="Arial" w:cs="Arial"/>
          <w:b/>
          <w:bCs/>
          <w:sz w:val="20"/>
          <w:szCs w:val="20"/>
          <w:lang w:val="en-US"/>
        </w:rPr>
      </w:pPr>
    </w:p>
    <w:p w14:paraId="0B209CE9" w14:textId="35EA156F" w:rsidR="00DF3B2F" w:rsidRPr="00C777A8" w:rsidRDefault="002677E0" w:rsidP="00DF3B2F">
      <w:pPr>
        <w:spacing w:line="360" w:lineRule="auto"/>
        <w:jc w:val="both"/>
        <w:rPr>
          <w:rFonts w:ascii="Arial" w:hAnsi="Arial" w:cs="Arial"/>
          <w:b/>
          <w:bCs/>
          <w:sz w:val="20"/>
          <w:szCs w:val="20"/>
          <w:lang w:val="en-US"/>
        </w:rPr>
      </w:pPr>
      <w:r>
        <w:rPr>
          <w:rFonts w:ascii="Arial" w:hAnsi="Arial" w:cs="Arial"/>
          <w:b/>
          <w:bCs/>
          <w:sz w:val="20"/>
          <w:szCs w:val="20"/>
          <w:lang w:val="en-US"/>
        </w:rPr>
        <w:t>Fig 1-</w:t>
      </w:r>
      <w:r w:rsidR="00DF3B2F" w:rsidRPr="009B6582">
        <w:rPr>
          <w:rFonts w:ascii="Arial" w:hAnsi="Arial" w:cs="Arial"/>
          <w:b/>
          <w:bCs/>
          <w:sz w:val="20"/>
          <w:szCs w:val="20"/>
          <w:lang w:val="en-US"/>
        </w:rPr>
        <w:t>PRISMA flowchart</w:t>
      </w:r>
    </w:p>
    <w:p w14:paraId="4C67BEB6" w14:textId="77777777" w:rsidR="00DF3B2F" w:rsidRPr="00825BE9" w:rsidRDefault="00DF3B2F" w:rsidP="00DF3B2F">
      <w:pPr>
        <w:rPr>
          <w:rFonts w:ascii="Times New Roman" w:hAnsi="Times New Roman" w:cs="Times New Roman"/>
        </w:rPr>
      </w:pPr>
      <w:r w:rsidRPr="00825BE9">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32D6DEF5" wp14:editId="78342934">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5ECB0440" w14:textId="77777777" w:rsidR="00DF3B2F" w:rsidRDefault="00DF3B2F" w:rsidP="00DF3B2F">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6DEF5"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5ECB0440" w14:textId="77777777" w:rsidR="00DF3B2F" w:rsidRDefault="00DF3B2F" w:rsidP="00DF3B2F">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041DA5AF" wp14:editId="0069CC5F">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331EB34"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7D18D69F" w14:textId="5AC47229"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20</w:t>
                            </w:r>
                            <w:r w:rsidRPr="009B6582">
                              <w:rPr>
                                <w:rFonts w:ascii="Times New Roman" w:hAnsi="Times New Roman" w:cs="Times New Roman"/>
                                <w:sz w:val="24"/>
                                <w:szCs w:val="24"/>
                              </w:rPr>
                              <w:t>)</w:t>
                            </w:r>
                          </w:p>
                          <w:p w14:paraId="3CEE7C76" w14:textId="77777777" w:rsidR="00DF3B2F" w:rsidRDefault="00DF3B2F" w:rsidP="00DF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DA5AF"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1331EB34"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7D18D69F" w14:textId="5AC47229"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20</w:t>
                      </w:r>
                      <w:r w:rsidRPr="009B6582">
                        <w:rPr>
                          <w:rFonts w:ascii="Times New Roman" w:hAnsi="Times New Roman" w:cs="Times New Roman"/>
                          <w:sz w:val="24"/>
                          <w:szCs w:val="24"/>
                        </w:rPr>
                        <w:t>)</w:t>
                      </w:r>
                    </w:p>
                    <w:p w14:paraId="3CEE7C76" w14:textId="77777777" w:rsidR="00DF3B2F" w:rsidRDefault="00DF3B2F" w:rsidP="00DF3B2F"/>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5D208EA" wp14:editId="15ACDFE4">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F2079E3"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415D877" wp14:editId="751E0E44">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3BABCF6"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1D163A05" wp14:editId="78BC9A45">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8E6233C" w14:textId="3F77AD46" w:rsidR="00DF3B2F" w:rsidRDefault="00526405" w:rsidP="00DF3B2F">
                            <w:pPr>
                              <w:jc w:val="center"/>
                            </w:pPr>
                            <w:proofErr w:type="spellStart"/>
                            <w:r w:rsidRPr="00526405">
                              <w:rPr>
                                <w:rFonts w:ascii="Times New Roman" w:hAnsi="Times New Roman" w:cs="Times New Roman"/>
                                <w:sz w:val="24"/>
                                <w:szCs w:val="24"/>
                              </w:rPr>
                              <w:t>Eligible</w:t>
                            </w:r>
                            <w:proofErr w:type="spellEnd"/>
                            <w:r w:rsidRPr="00526405">
                              <w:rPr>
                                <w:rFonts w:ascii="Times New Roman" w:hAnsi="Times New Roman" w:cs="Times New Roman"/>
                                <w:sz w:val="24"/>
                                <w:szCs w:val="24"/>
                              </w:rPr>
                              <w:t xml:space="preserve"> </w:t>
                            </w:r>
                            <w:proofErr w:type="spellStart"/>
                            <w:r w:rsidRPr="00526405">
                              <w:rPr>
                                <w:rFonts w:ascii="Times New Roman" w:hAnsi="Times New Roman" w:cs="Times New Roman"/>
                                <w:sz w:val="24"/>
                                <w:szCs w:val="24"/>
                              </w:rPr>
                              <w:t>studies</w:t>
                            </w:r>
                            <w:proofErr w:type="spellEnd"/>
                            <w:r w:rsidRPr="00526405">
                              <w:rPr>
                                <w:rFonts w:ascii="Times New Roman" w:hAnsi="Times New Roman" w:cs="Times New Roman"/>
                                <w:sz w:val="24"/>
                                <w:szCs w:val="24"/>
                              </w:rPr>
                              <w:t xml:space="preserve"> for </w:t>
                            </w:r>
                            <w:proofErr w:type="spellStart"/>
                            <w:r w:rsidRPr="00526405">
                              <w:rPr>
                                <w:rFonts w:ascii="Times New Roman" w:hAnsi="Times New Roman" w:cs="Times New Roman"/>
                                <w:sz w:val="24"/>
                                <w:szCs w:val="24"/>
                              </w:rPr>
                              <w:t>the</w:t>
                            </w:r>
                            <w:proofErr w:type="spellEnd"/>
                            <w:r w:rsidRPr="00526405">
                              <w:rPr>
                                <w:rFonts w:ascii="Times New Roman" w:hAnsi="Times New Roman" w:cs="Times New Roman"/>
                                <w:sz w:val="24"/>
                                <w:szCs w:val="24"/>
                              </w:rPr>
                              <w:t xml:space="preserve"> review</w:t>
                            </w:r>
                            <w:r w:rsidRPr="00526405">
                              <w:rPr>
                                <w:rFonts w:ascii="Times New Roman" w:hAnsi="Times New Roman" w:cs="Times New Roman"/>
                                <w:sz w:val="24"/>
                                <w:szCs w:val="24"/>
                              </w:rPr>
                              <w:t xml:space="preserve"> </w:t>
                            </w:r>
                            <w:r w:rsidR="00DF3B2F" w:rsidRPr="009B6582">
                              <w:rPr>
                                <w:rFonts w:ascii="Times New Roman" w:hAnsi="Times New Roman" w:cs="Times New Roman"/>
                                <w:sz w:val="24"/>
                                <w:szCs w:val="24"/>
                              </w:rPr>
                              <w:t>(n=</w:t>
                            </w:r>
                            <w:r w:rsidR="00704A1C">
                              <w:rPr>
                                <w:rFonts w:ascii="Times New Roman" w:hAnsi="Times New Roman" w:cs="Times New Roman"/>
                                <w:sz w:val="24"/>
                                <w:szCs w:val="24"/>
                              </w:rPr>
                              <w:t>20</w:t>
                            </w:r>
                            <w:r w:rsidR="00DF3B2F"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63A05"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18E6233C" w14:textId="3F77AD46" w:rsidR="00DF3B2F" w:rsidRDefault="00526405" w:rsidP="00DF3B2F">
                      <w:pPr>
                        <w:jc w:val="center"/>
                      </w:pPr>
                      <w:proofErr w:type="spellStart"/>
                      <w:r w:rsidRPr="00526405">
                        <w:rPr>
                          <w:rFonts w:ascii="Times New Roman" w:hAnsi="Times New Roman" w:cs="Times New Roman"/>
                          <w:sz w:val="24"/>
                          <w:szCs w:val="24"/>
                        </w:rPr>
                        <w:t>Eligible</w:t>
                      </w:r>
                      <w:proofErr w:type="spellEnd"/>
                      <w:r w:rsidRPr="00526405">
                        <w:rPr>
                          <w:rFonts w:ascii="Times New Roman" w:hAnsi="Times New Roman" w:cs="Times New Roman"/>
                          <w:sz w:val="24"/>
                          <w:szCs w:val="24"/>
                        </w:rPr>
                        <w:t xml:space="preserve"> </w:t>
                      </w:r>
                      <w:proofErr w:type="spellStart"/>
                      <w:r w:rsidRPr="00526405">
                        <w:rPr>
                          <w:rFonts w:ascii="Times New Roman" w:hAnsi="Times New Roman" w:cs="Times New Roman"/>
                          <w:sz w:val="24"/>
                          <w:szCs w:val="24"/>
                        </w:rPr>
                        <w:t>studies</w:t>
                      </w:r>
                      <w:proofErr w:type="spellEnd"/>
                      <w:r w:rsidRPr="00526405">
                        <w:rPr>
                          <w:rFonts w:ascii="Times New Roman" w:hAnsi="Times New Roman" w:cs="Times New Roman"/>
                          <w:sz w:val="24"/>
                          <w:szCs w:val="24"/>
                        </w:rPr>
                        <w:t xml:space="preserve"> for </w:t>
                      </w:r>
                      <w:proofErr w:type="spellStart"/>
                      <w:r w:rsidRPr="00526405">
                        <w:rPr>
                          <w:rFonts w:ascii="Times New Roman" w:hAnsi="Times New Roman" w:cs="Times New Roman"/>
                          <w:sz w:val="24"/>
                          <w:szCs w:val="24"/>
                        </w:rPr>
                        <w:t>the</w:t>
                      </w:r>
                      <w:proofErr w:type="spellEnd"/>
                      <w:r w:rsidRPr="00526405">
                        <w:rPr>
                          <w:rFonts w:ascii="Times New Roman" w:hAnsi="Times New Roman" w:cs="Times New Roman"/>
                          <w:sz w:val="24"/>
                          <w:szCs w:val="24"/>
                        </w:rPr>
                        <w:t xml:space="preserve"> review</w:t>
                      </w:r>
                      <w:r w:rsidRPr="00526405">
                        <w:rPr>
                          <w:rFonts w:ascii="Times New Roman" w:hAnsi="Times New Roman" w:cs="Times New Roman"/>
                          <w:sz w:val="24"/>
                          <w:szCs w:val="24"/>
                        </w:rPr>
                        <w:t xml:space="preserve"> </w:t>
                      </w:r>
                      <w:r w:rsidR="00DF3B2F" w:rsidRPr="009B6582">
                        <w:rPr>
                          <w:rFonts w:ascii="Times New Roman" w:hAnsi="Times New Roman" w:cs="Times New Roman"/>
                          <w:sz w:val="24"/>
                          <w:szCs w:val="24"/>
                        </w:rPr>
                        <w:t>(n=</w:t>
                      </w:r>
                      <w:r w:rsidR="00704A1C">
                        <w:rPr>
                          <w:rFonts w:ascii="Times New Roman" w:hAnsi="Times New Roman" w:cs="Times New Roman"/>
                          <w:sz w:val="24"/>
                          <w:szCs w:val="24"/>
                        </w:rPr>
                        <w:t>20</w:t>
                      </w:r>
                      <w:r w:rsidR="00DF3B2F"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6773BB4" wp14:editId="573A654C">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A7B6581"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64CE6A7" wp14:editId="7F3990E5">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D37330C"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E78A7B0" wp14:editId="55C5E693">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D1E5782"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242B74DD" wp14:editId="322F057F">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3BA77886"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22C78D0A" w14:textId="16ECE8BA" w:rsidR="00DF3B2F" w:rsidRDefault="00DF3B2F" w:rsidP="00DF3B2F">
                            <w:pPr>
                              <w:jc w:val="center"/>
                            </w:pPr>
                            <w:r w:rsidRPr="009B6582">
                              <w:rPr>
                                <w:rFonts w:ascii="Times New Roman" w:hAnsi="Times New Roman" w:cs="Times New Roman"/>
                                <w:sz w:val="24"/>
                                <w:szCs w:val="24"/>
                              </w:rPr>
                              <w:t>(n=</w:t>
                            </w:r>
                            <w:r w:rsidR="00C777A8">
                              <w:rPr>
                                <w:rFonts w:ascii="Times New Roman" w:hAnsi="Times New Roman" w:cs="Times New Roman"/>
                                <w:sz w:val="24"/>
                                <w:szCs w:val="24"/>
                              </w:rPr>
                              <w:t>29</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B74DD"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3BA77886"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22C78D0A" w14:textId="16ECE8BA" w:rsidR="00DF3B2F" w:rsidRDefault="00DF3B2F" w:rsidP="00DF3B2F">
                      <w:pPr>
                        <w:jc w:val="center"/>
                      </w:pPr>
                      <w:r w:rsidRPr="009B6582">
                        <w:rPr>
                          <w:rFonts w:ascii="Times New Roman" w:hAnsi="Times New Roman" w:cs="Times New Roman"/>
                          <w:sz w:val="24"/>
                          <w:szCs w:val="24"/>
                        </w:rPr>
                        <w:t>(n=</w:t>
                      </w:r>
                      <w:r w:rsidR="00C777A8">
                        <w:rPr>
                          <w:rFonts w:ascii="Times New Roman" w:hAnsi="Times New Roman" w:cs="Times New Roman"/>
                          <w:sz w:val="24"/>
                          <w:szCs w:val="24"/>
                        </w:rPr>
                        <w:t>29</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0F2B05A" wp14:editId="09645706">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FDBA8E2"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96B2AFD" wp14:editId="4F5D1363">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1E569FB"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40BD90E3" wp14:editId="436C18BA">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2F658C9"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1FB905D7" w14:textId="01DFA6AF"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40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D90E3"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62F658C9"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1FB905D7" w14:textId="01DFA6AF"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40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4FD5D41" wp14:editId="26EF5D9B">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503E6FE"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61C188AB" w14:textId="041597A6"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48</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D5D41"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6503E6FE"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61C188AB" w14:textId="041597A6"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48</w:t>
                      </w:r>
                      <w:r w:rsidRPr="009B6582">
                        <w:rPr>
                          <w:rFonts w:ascii="Times New Roman" w:hAnsi="Times New Roman" w:cs="Times New Roman"/>
                          <w:sz w:val="24"/>
                          <w:szCs w:val="24"/>
                        </w:rPr>
                        <w:t>)</w:t>
                      </w:r>
                    </w:p>
                  </w:txbxContent>
                </v:textbox>
                <w10:wrap type="square"/>
              </v:shape>
            </w:pict>
          </mc:Fallback>
        </mc:AlternateContent>
      </w:r>
    </w:p>
    <w:p w14:paraId="430C2F8C" w14:textId="77777777" w:rsidR="00DF3B2F" w:rsidRPr="00825BE9" w:rsidRDefault="00DF3B2F" w:rsidP="00DF3B2F">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47E6D8BA" wp14:editId="7E15341A">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4DD5AE7B"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199378FB" w14:textId="1C45D6F0"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8</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6D8BA"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4DD5AE7B"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199378FB" w14:textId="1C45D6F0" w:rsidR="00DF3B2F" w:rsidRDefault="00DF3B2F" w:rsidP="00DF3B2F">
                      <w:pPr>
                        <w:jc w:val="center"/>
                      </w:pPr>
                      <w:r w:rsidRPr="009B6582">
                        <w:rPr>
                          <w:rFonts w:ascii="Times New Roman" w:hAnsi="Times New Roman" w:cs="Times New Roman"/>
                          <w:sz w:val="24"/>
                          <w:szCs w:val="24"/>
                        </w:rPr>
                        <w:t>(n=</w:t>
                      </w:r>
                      <w:r>
                        <w:rPr>
                          <w:rFonts w:ascii="Times New Roman" w:hAnsi="Times New Roman" w:cs="Times New Roman"/>
                          <w:sz w:val="24"/>
                          <w:szCs w:val="24"/>
                        </w:rPr>
                        <w:t>8</w:t>
                      </w:r>
                      <w:r w:rsidRPr="009B6582">
                        <w:rPr>
                          <w:rFonts w:ascii="Times New Roman" w:hAnsi="Times New Roman" w:cs="Times New Roman"/>
                          <w:sz w:val="24"/>
                          <w:szCs w:val="24"/>
                        </w:rPr>
                        <w:t>)</w:t>
                      </w:r>
                    </w:p>
                  </w:txbxContent>
                </v:textbox>
                <w10:wrap type="square"/>
              </v:shape>
            </w:pict>
          </mc:Fallback>
        </mc:AlternateContent>
      </w:r>
    </w:p>
    <w:p w14:paraId="4588E91F" w14:textId="77777777" w:rsidR="00DF3B2F" w:rsidRPr="00825BE9" w:rsidRDefault="00DF3B2F" w:rsidP="00DF3B2F">
      <w:pPr>
        <w:spacing w:line="480" w:lineRule="auto"/>
        <w:jc w:val="both"/>
        <w:rPr>
          <w:rFonts w:ascii="Times New Roman" w:hAnsi="Times New Roman" w:cs="Times New Roman"/>
          <w:sz w:val="24"/>
          <w:szCs w:val="24"/>
        </w:rPr>
      </w:pPr>
    </w:p>
    <w:p w14:paraId="30642D3E" w14:textId="77777777" w:rsidR="00DF3B2F" w:rsidRPr="00825BE9" w:rsidRDefault="00DF3B2F" w:rsidP="00DF3B2F">
      <w:pPr>
        <w:spacing w:line="480" w:lineRule="auto"/>
        <w:jc w:val="both"/>
        <w:rPr>
          <w:rFonts w:ascii="Times New Roman" w:hAnsi="Times New Roman" w:cs="Times New Roman"/>
          <w:sz w:val="24"/>
          <w:szCs w:val="24"/>
        </w:rPr>
      </w:pPr>
    </w:p>
    <w:p w14:paraId="0E287B58" w14:textId="77777777" w:rsidR="00DF3B2F" w:rsidRPr="00825BE9" w:rsidRDefault="00DF3B2F" w:rsidP="00DF3B2F">
      <w:pPr>
        <w:spacing w:line="480" w:lineRule="auto"/>
        <w:jc w:val="both"/>
        <w:rPr>
          <w:rFonts w:ascii="Times New Roman" w:hAnsi="Times New Roman" w:cs="Times New Roman"/>
          <w:sz w:val="24"/>
          <w:szCs w:val="24"/>
        </w:rPr>
      </w:pPr>
      <w:r w:rsidRPr="00825BE9">
        <w:rPr>
          <w:rFonts w:ascii="Times New Roman" w:hAnsi="Times New Roman" w:cs="Times New Roman"/>
          <w:noProof/>
        </w:rPr>
        <w:lastRenderedPageBreak/>
        <mc:AlternateContent>
          <mc:Choice Requires="wps">
            <w:drawing>
              <wp:anchor distT="45720" distB="45720" distL="114300" distR="114300" simplePos="0" relativeHeight="251675648" behindDoc="0" locked="0" layoutInCell="1" allowOverlap="1" wp14:anchorId="0E7CD62A" wp14:editId="6630C187">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72AB362C" w14:textId="77777777" w:rsidR="00DF3B2F" w:rsidRDefault="00DF3B2F" w:rsidP="00DF3B2F">
                            <w:pPr>
                              <w:jc w:val="center"/>
                            </w:pPr>
                            <w:r w:rsidRPr="006E5539">
                              <w:rPr>
                                <w:rFonts w:ascii="Times New Roman" w:hAnsi="Times New Roman" w:cs="Times New Roman"/>
                                <w:b/>
                                <w:bCs/>
                                <w:sz w:val="24"/>
                                <w:szCs w:val="24"/>
                              </w:rPr>
                              <w:t>Selection</w:t>
                            </w:r>
                          </w:p>
                          <w:p w14:paraId="2D4A3537" w14:textId="77777777" w:rsidR="00DF3B2F" w:rsidRDefault="00DF3B2F" w:rsidP="00DF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CD62A"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72AB362C" w14:textId="77777777" w:rsidR="00DF3B2F" w:rsidRDefault="00DF3B2F" w:rsidP="00DF3B2F">
                      <w:pPr>
                        <w:jc w:val="center"/>
                      </w:pPr>
                      <w:r w:rsidRPr="006E5539">
                        <w:rPr>
                          <w:rFonts w:ascii="Times New Roman" w:hAnsi="Times New Roman" w:cs="Times New Roman"/>
                          <w:b/>
                          <w:bCs/>
                          <w:sz w:val="24"/>
                          <w:szCs w:val="24"/>
                        </w:rPr>
                        <w:t>Selection</w:t>
                      </w:r>
                    </w:p>
                    <w:p w14:paraId="2D4A3537" w14:textId="77777777" w:rsidR="00DF3B2F" w:rsidRDefault="00DF3B2F" w:rsidP="00DF3B2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777D41B0" wp14:editId="1B4E017D">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735CE7B9"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4E328BAF" w14:textId="5E548B19" w:rsidR="00DF3B2F" w:rsidRDefault="00DF3B2F" w:rsidP="00DF3B2F">
                            <w:pPr>
                              <w:jc w:val="center"/>
                            </w:pPr>
                            <w:r w:rsidRPr="009B6582">
                              <w:rPr>
                                <w:rFonts w:ascii="Times New Roman" w:hAnsi="Times New Roman" w:cs="Times New Roman"/>
                                <w:sz w:val="24"/>
                                <w:szCs w:val="24"/>
                              </w:rPr>
                              <w:t>(n=</w:t>
                            </w:r>
                            <w:r w:rsidR="00C777A8">
                              <w:rPr>
                                <w:rFonts w:ascii="Times New Roman" w:hAnsi="Times New Roman" w:cs="Times New Roman"/>
                                <w:sz w:val="24"/>
                                <w:szCs w:val="24"/>
                              </w:rPr>
                              <w:t>11</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D41B0"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735CE7B9"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4E328BAF" w14:textId="5E548B19" w:rsidR="00DF3B2F" w:rsidRDefault="00DF3B2F" w:rsidP="00DF3B2F">
                      <w:pPr>
                        <w:jc w:val="center"/>
                      </w:pPr>
                      <w:r w:rsidRPr="009B6582">
                        <w:rPr>
                          <w:rFonts w:ascii="Times New Roman" w:hAnsi="Times New Roman" w:cs="Times New Roman"/>
                          <w:sz w:val="24"/>
                          <w:szCs w:val="24"/>
                        </w:rPr>
                        <w:t>(n=</w:t>
                      </w:r>
                      <w:r w:rsidR="00C777A8">
                        <w:rPr>
                          <w:rFonts w:ascii="Times New Roman" w:hAnsi="Times New Roman" w:cs="Times New Roman"/>
                          <w:sz w:val="24"/>
                          <w:szCs w:val="24"/>
                        </w:rPr>
                        <w:t>11</w:t>
                      </w:r>
                      <w:r w:rsidRPr="009B6582">
                        <w:rPr>
                          <w:rFonts w:ascii="Times New Roman" w:hAnsi="Times New Roman" w:cs="Times New Roman"/>
                          <w:sz w:val="24"/>
                          <w:szCs w:val="24"/>
                        </w:rPr>
                        <w:t>)</w:t>
                      </w:r>
                    </w:p>
                  </w:txbxContent>
                </v:textbox>
                <w10:wrap type="square"/>
              </v:shape>
            </w:pict>
          </mc:Fallback>
        </mc:AlternateContent>
      </w:r>
    </w:p>
    <w:p w14:paraId="42108DF3" w14:textId="77777777" w:rsidR="00DF3B2F" w:rsidRPr="00825BE9" w:rsidRDefault="00DF3B2F" w:rsidP="00DF3B2F">
      <w:pPr>
        <w:spacing w:line="36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1A9BD854" wp14:editId="67C6BFAB">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2F8E8845" w14:textId="77777777" w:rsidR="00DF3B2F" w:rsidRDefault="00DF3B2F" w:rsidP="00DF3B2F">
                            <w:r w:rsidRPr="006E5539">
                              <w:rPr>
                                <w:rFonts w:ascii="Times New Roman" w:hAnsi="Times New Roman" w:cs="Times New Roman"/>
                                <w:b/>
                                <w:bCs/>
                                <w:sz w:val="24"/>
                                <w:szCs w:val="24"/>
                              </w:rPr>
                              <w:t>Inclusion</w:t>
                            </w:r>
                          </w:p>
                          <w:p w14:paraId="0A0E80A2" w14:textId="77777777" w:rsidR="00DF3B2F" w:rsidRDefault="00DF3B2F" w:rsidP="00DF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BD854"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2F8E8845" w14:textId="77777777" w:rsidR="00DF3B2F" w:rsidRDefault="00DF3B2F" w:rsidP="00DF3B2F">
                      <w:r w:rsidRPr="006E5539">
                        <w:rPr>
                          <w:rFonts w:ascii="Times New Roman" w:hAnsi="Times New Roman" w:cs="Times New Roman"/>
                          <w:b/>
                          <w:bCs/>
                          <w:sz w:val="24"/>
                          <w:szCs w:val="24"/>
                        </w:rPr>
                        <w:t>Inclusion</w:t>
                      </w:r>
                    </w:p>
                    <w:p w14:paraId="0A0E80A2" w14:textId="77777777" w:rsidR="00DF3B2F" w:rsidRDefault="00DF3B2F" w:rsidP="00DF3B2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6672" behindDoc="0" locked="0" layoutInCell="1" allowOverlap="1" wp14:anchorId="4EB3E2F4" wp14:editId="661690B1">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0E27DE75" w14:textId="77777777" w:rsidR="00DF3B2F" w:rsidRDefault="00DF3B2F" w:rsidP="00DF3B2F">
                            <w:r w:rsidRPr="006E5539">
                              <w:rPr>
                                <w:rFonts w:ascii="Times New Roman" w:hAnsi="Times New Roman" w:cs="Times New Roman"/>
                                <w:b/>
                                <w:bCs/>
                                <w:sz w:val="24"/>
                                <w:szCs w:val="24"/>
                              </w:rPr>
                              <w:t>Eligibility</w:t>
                            </w:r>
                          </w:p>
                          <w:p w14:paraId="2A8DF670" w14:textId="77777777" w:rsidR="00DF3B2F" w:rsidRDefault="00DF3B2F" w:rsidP="00DF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3E2F4"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0E27DE75" w14:textId="77777777" w:rsidR="00DF3B2F" w:rsidRDefault="00DF3B2F" w:rsidP="00DF3B2F">
                      <w:r w:rsidRPr="006E5539">
                        <w:rPr>
                          <w:rFonts w:ascii="Times New Roman" w:hAnsi="Times New Roman" w:cs="Times New Roman"/>
                          <w:b/>
                          <w:bCs/>
                          <w:sz w:val="24"/>
                          <w:szCs w:val="24"/>
                        </w:rPr>
                        <w:t>Eligibility</w:t>
                      </w:r>
                    </w:p>
                    <w:p w14:paraId="2A8DF670" w14:textId="77777777" w:rsidR="00DF3B2F" w:rsidRDefault="00DF3B2F" w:rsidP="00DF3B2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1552" behindDoc="0" locked="0" layoutInCell="1" allowOverlap="1" wp14:anchorId="0AB9BF47" wp14:editId="12EBCCA1">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196D361A"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0DC144DC" w14:textId="08BDEA9A"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9</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9BF47"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196D361A" w14:textId="77777777" w:rsidR="00DF3B2F" w:rsidRPr="009B6582" w:rsidRDefault="00DF3B2F" w:rsidP="00DF3B2F">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0DC144DC" w14:textId="08BDEA9A" w:rsidR="00DF3B2F" w:rsidRDefault="00DF3B2F" w:rsidP="00DF3B2F">
                      <w:pPr>
                        <w:jc w:val="center"/>
                      </w:pPr>
                      <w:r w:rsidRPr="009B6582">
                        <w:rPr>
                          <w:rFonts w:ascii="Times New Roman" w:hAnsi="Times New Roman" w:cs="Times New Roman"/>
                          <w:sz w:val="24"/>
                          <w:szCs w:val="24"/>
                        </w:rPr>
                        <w:t>(n=</w:t>
                      </w:r>
                      <w:r w:rsidR="00704A1C">
                        <w:rPr>
                          <w:rFonts w:ascii="Times New Roman" w:hAnsi="Times New Roman" w:cs="Times New Roman"/>
                          <w:sz w:val="24"/>
                          <w:szCs w:val="24"/>
                        </w:rPr>
                        <w:t>9</w:t>
                      </w:r>
                      <w:r w:rsidRPr="009B6582">
                        <w:rPr>
                          <w:rFonts w:ascii="Times New Roman" w:hAnsi="Times New Roman" w:cs="Times New Roman"/>
                          <w:sz w:val="24"/>
                          <w:szCs w:val="24"/>
                        </w:rPr>
                        <w:t>)</w:t>
                      </w:r>
                    </w:p>
                  </w:txbxContent>
                </v:textbox>
                <w10:wrap type="square"/>
              </v:shape>
            </w:pict>
          </mc:Fallback>
        </mc:AlternateContent>
      </w:r>
    </w:p>
    <w:p w14:paraId="102278D9" w14:textId="77777777" w:rsidR="00DF3B2F" w:rsidRDefault="00DF3B2F" w:rsidP="00DF3B2F">
      <w:pPr>
        <w:spacing w:line="360" w:lineRule="auto"/>
        <w:rPr>
          <w:rFonts w:ascii="Arial" w:hAnsi="Arial" w:cs="Arial"/>
          <w:b/>
          <w:bCs/>
          <w:lang w:val="en-US"/>
        </w:rPr>
      </w:pPr>
    </w:p>
    <w:p w14:paraId="1582E0F2" w14:textId="77777777" w:rsidR="00DF3B2F" w:rsidRDefault="00DF3B2F" w:rsidP="00DF3B2F">
      <w:pPr>
        <w:spacing w:line="360" w:lineRule="auto"/>
        <w:rPr>
          <w:rFonts w:ascii="Arial" w:hAnsi="Arial" w:cs="Arial"/>
          <w:b/>
          <w:bCs/>
          <w:lang w:val="en-US"/>
        </w:rPr>
      </w:pPr>
    </w:p>
    <w:p w14:paraId="58FC5BA9" w14:textId="77777777" w:rsidR="00DF3B2F" w:rsidRDefault="00DF3B2F" w:rsidP="00DF3B2F">
      <w:pPr>
        <w:spacing w:line="360" w:lineRule="auto"/>
        <w:rPr>
          <w:rFonts w:ascii="Arial" w:hAnsi="Arial" w:cs="Arial"/>
          <w:b/>
          <w:bCs/>
          <w:lang w:val="en-US"/>
        </w:rPr>
      </w:pPr>
    </w:p>
    <w:p w14:paraId="645541A0" w14:textId="77777777" w:rsidR="00DF3B2F" w:rsidRDefault="00DF3B2F" w:rsidP="00DF3B2F">
      <w:pPr>
        <w:spacing w:line="360" w:lineRule="auto"/>
        <w:rPr>
          <w:rFonts w:ascii="Arial" w:hAnsi="Arial" w:cs="Arial"/>
          <w:b/>
          <w:bCs/>
          <w:lang w:val="en-US"/>
        </w:rPr>
      </w:pPr>
    </w:p>
    <w:p w14:paraId="35C39228" w14:textId="77777777" w:rsidR="00DF3B2F" w:rsidRDefault="00DF3B2F" w:rsidP="00DF3B2F">
      <w:pPr>
        <w:spacing w:line="360" w:lineRule="auto"/>
        <w:rPr>
          <w:rFonts w:ascii="Arial" w:hAnsi="Arial" w:cs="Arial"/>
          <w:b/>
          <w:bCs/>
          <w:lang w:val="en-US"/>
        </w:rPr>
      </w:pPr>
    </w:p>
    <w:p w14:paraId="2ACAEC1D" w14:textId="77777777" w:rsidR="00DF3B2F" w:rsidRDefault="00DF3B2F" w:rsidP="00DF3B2F">
      <w:pPr>
        <w:spacing w:line="360" w:lineRule="auto"/>
        <w:rPr>
          <w:rFonts w:ascii="Arial" w:hAnsi="Arial" w:cs="Arial"/>
          <w:b/>
          <w:bCs/>
          <w:lang w:val="en-US"/>
        </w:rPr>
      </w:pPr>
    </w:p>
    <w:p w14:paraId="45D0D75F" w14:textId="77777777" w:rsidR="00DF3B2F" w:rsidRDefault="00DF3B2F" w:rsidP="00DF3B2F">
      <w:pPr>
        <w:spacing w:line="360" w:lineRule="auto"/>
        <w:rPr>
          <w:rFonts w:ascii="Arial" w:hAnsi="Arial" w:cs="Arial"/>
          <w:b/>
          <w:bCs/>
          <w:lang w:val="en-US"/>
        </w:rPr>
      </w:pPr>
    </w:p>
    <w:p w14:paraId="77E3323F" w14:textId="77777777" w:rsidR="00DF3B2F" w:rsidRDefault="00DF3B2F" w:rsidP="00DF3B2F">
      <w:pPr>
        <w:spacing w:line="360" w:lineRule="auto"/>
        <w:rPr>
          <w:rFonts w:ascii="Arial" w:hAnsi="Arial" w:cs="Arial"/>
          <w:b/>
          <w:bCs/>
          <w:lang w:val="en-US"/>
        </w:rPr>
      </w:pPr>
    </w:p>
    <w:p w14:paraId="620B99D0" w14:textId="77777777" w:rsidR="00DF3B2F" w:rsidRDefault="00DF3B2F" w:rsidP="00DF3B2F">
      <w:pPr>
        <w:spacing w:line="360" w:lineRule="auto"/>
        <w:rPr>
          <w:rFonts w:ascii="Arial" w:hAnsi="Arial" w:cs="Arial"/>
          <w:b/>
          <w:bCs/>
          <w:lang w:val="en-US"/>
        </w:rPr>
      </w:pPr>
    </w:p>
    <w:p w14:paraId="7218B55F" w14:textId="77777777" w:rsidR="00DF3B2F" w:rsidRDefault="00DF3B2F" w:rsidP="00DF3B2F">
      <w:pPr>
        <w:spacing w:line="360" w:lineRule="auto"/>
        <w:rPr>
          <w:rFonts w:ascii="Arial" w:hAnsi="Arial" w:cs="Arial"/>
          <w:b/>
          <w:bCs/>
          <w:lang w:val="en-US"/>
        </w:rPr>
      </w:pPr>
    </w:p>
    <w:p w14:paraId="38F30489" w14:textId="29D81E84" w:rsidR="00DF3B2F" w:rsidRDefault="00DF3B2F" w:rsidP="00DF3B2F">
      <w:pPr>
        <w:spacing w:line="360" w:lineRule="auto"/>
        <w:rPr>
          <w:rFonts w:ascii="Arial" w:hAnsi="Arial" w:cs="Arial"/>
          <w:b/>
          <w:bCs/>
          <w:lang w:val="en-US"/>
        </w:rPr>
      </w:pPr>
    </w:p>
    <w:p w14:paraId="63176AB8" w14:textId="1465FA99" w:rsidR="00DF3B2F" w:rsidRDefault="00DF3B2F" w:rsidP="00DF3B2F">
      <w:pPr>
        <w:spacing w:line="360" w:lineRule="auto"/>
        <w:rPr>
          <w:rFonts w:ascii="Arial" w:hAnsi="Arial" w:cs="Arial"/>
          <w:b/>
          <w:bCs/>
          <w:lang w:val="en-US"/>
        </w:rPr>
      </w:pPr>
    </w:p>
    <w:p w14:paraId="274B8CAF" w14:textId="1860EBE5" w:rsidR="00DF3B2F" w:rsidRDefault="00DF3B2F" w:rsidP="00DF3B2F">
      <w:pPr>
        <w:spacing w:line="360" w:lineRule="auto"/>
        <w:rPr>
          <w:rFonts w:ascii="Arial" w:hAnsi="Arial" w:cs="Arial"/>
          <w:b/>
          <w:bCs/>
          <w:lang w:val="en-US"/>
        </w:rPr>
      </w:pPr>
    </w:p>
    <w:p w14:paraId="59466D42" w14:textId="41F98478" w:rsidR="00DF3B2F" w:rsidRDefault="00DF3B2F" w:rsidP="00DF3B2F">
      <w:pPr>
        <w:spacing w:line="360" w:lineRule="auto"/>
        <w:rPr>
          <w:rFonts w:ascii="Arial" w:hAnsi="Arial" w:cs="Arial"/>
          <w:b/>
          <w:bCs/>
          <w:lang w:val="en-US"/>
        </w:rPr>
      </w:pPr>
    </w:p>
    <w:p w14:paraId="1C5BC77D" w14:textId="0800BC5D" w:rsidR="00CF018E" w:rsidRDefault="00CF018E" w:rsidP="00DF3B2F">
      <w:pPr>
        <w:spacing w:line="360" w:lineRule="auto"/>
        <w:rPr>
          <w:rFonts w:ascii="Arial" w:hAnsi="Arial" w:cs="Arial"/>
          <w:b/>
          <w:bCs/>
          <w:lang w:val="en-US"/>
        </w:rPr>
      </w:pPr>
    </w:p>
    <w:p w14:paraId="1F46E6DF" w14:textId="7E13BD7E" w:rsidR="00CF018E" w:rsidRDefault="00CF018E" w:rsidP="00DF3B2F">
      <w:pPr>
        <w:spacing w:line="360" w:lineRule="auto"/>
        <w:rPr>
          <w:rFonts w:ascii="Arial" w:hAnsi="Arial" w:cs="Arial"/>
          <w:b/>
          <w:bCs/>
          <w:lang w:val="en-US"/>
        </w:rPr>
      </w:pPr>
    </w:p>
    <w:p w14:paraId="56598BB9" w14:textId="44522946" w:rsidR="00CF018E" w:rsidRDefault="00CF018E" w:rsidP="00DF3B2F">
      <w:pPr>
        <w:spacing w:line="360" w:lineRule="auto"/>
        <w:rPr>
          <w:rFonts w:ascii="Arial" w:hAnsi="Arial" w:cs="Arial"/>
          <w:b/>
          <w:bCs/>
          <w:lang w:val="en-US"/>
        </w:rPr>
      </w:pPr>
    </w:p>
    <w:p w14:paraId="1F063FF1" w14:textId="77777777" w:rsidR="00CF018E" w:rsidRPr="005A6CA1" w:rsidRDefault="00CF018E" w:rsidP="00DF3B2F">
      <w:pPr>
        <w:spacing w:line="360" w:lineRule="auto"/>
        <w:rPr>
          <w:rFonts w:ascii="Arial" w:hAnsi="Arial" w:cs="Arial"/>
          <w:b/>
          <w:bCs/>
          <w:lang w:val="en-US"/>
        </w:rPr>
      </w:pPr>
    </w:p>
    <w:p w14:paraId="5E01BB88" w14:textId="77777777" w:rsidR="00DF3B2F" w:rsidRPr="00D168CE" w:rsidRDefault="00DF3B2F" w:rsidP="00DF3B2F">
      <w:pPr>
        <w:pStyle w:val="PargrafodaLista"/>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3D36ECD1" w14:textId="7C914A6A" w:rsidR="00DF3B2F"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1. Breastfeeding and Prenatal Counseling</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076"/>
        <w:gridCol w:w="1915"/>
        <w:gridCol w:w="5513"/>
      </w:tblGrid>
      <w:tr w:rsidR="00252D98" w:rsidRPr="00252D98" w14:paraId="44E2E4B2" w14:textId="77777777" w:rsidTr="00252D98">
        <w:trPr>
          <w:tblHeader/>
          <w:tblCellSpacing w:w="15" w:type="dxa"/>
        </w:trPr>
        <w:tc>
          <w:tcPr>
            <w:tcW w:w="0" w:type="auto"/>
            <w:vAlign w:val="center"/>
            <w:hideMark/>
          </w:tcPr>
          <w:p w14:paraId="619A1892"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Study</w:t>
            </w:r>
          </w:p>
        </w:tc>
        <w:tc>
          <w:tcPr>
            <w:tcW w:w="0" w:type="auto"/>
            <w:vAlign w:val="center"/>
            <w:hideMark/>
          </w:tcPr>
          <w:p w14:paraId="6FAD84A2"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Outcome</w:t>
            </w:r>
          </w:p>
        </w:tc>
        <w:tc>
          <w:tcPr>
            <w:tcW w:w="0" w:type="auto"/>
            <w:vAlign w:val="center"/>
            <w:hideMark/>
          </w:tcPr>
          <w:p w14:paraId="6EC634C2"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Result</w:t>
            </w:r>
          </w:p>
        </w:tc>
      </w:tr>
      <w:tr w:rsidR="00252D98" w:rsidRPr="00252D98" w14:paraId="78221C65" w14:textId="77777777" w:rsidTr="00252D98">
        <w:trPr>
          <w:tblCellSpacing w:w="15" w:type="dxa"/>
        </w:trPr>
        <w:tc>
          <w:tcPr>
            <w:tcW w:w="0" w:type="auto"/>
            <w:vAlign w:val="center"/>
            <w:hideMark/>
          </w:tcPr>
          <w:p w14:paraId="4F6C61FF"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Almeida MRC</w:t>
            </w:r>
          </w:p>
        </w:tc>
        <w:tc>
          <w:tcPr>
            <w:tcW w:w="0" w:type="auto"/>
            <w:vAlign w:val="center"/>
            <w:hideMark/>
          </w:tcPr>
          <w:p w14:paraId="0BF84B9B"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Exclusive breastfeeding (EBF)</w:t>
            </w:r>
          </w:p>
        </w:tc>
        <w:tc>
          <w:tcPr>
            <w:tcW w:w="0" w:type="auto"/>
            <w:vAlign w:val="center"/>
            <w:hideMark/>
          </w:tcPr>
          <w:p w14:paraId="4F79363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Mothers with ≥6 prenatal visits showed higher EBF prevalence (55.2% vs. 44.8%; p = 0.019).</w:t>
            </w:r>
          </w:p>
        </w:tc>
      </w:tr>
      <w:tr w:rsidR="00252D98" w:rsidRPr="00252D98" w14:paraId="77A75F30" w14:textId="77777777" w:rsidTr="00252D98">
        <w:trPr>
          <w:tblCellSpacing w:w="15" w:type="dxa"/>
        </w:trPr>
        <w:tc>
          <w:tcPr>
            <w:tcW w:w="0" w:type="auto"/>
            <w:vAlign w:val="center"/>
            <w:hideMark/>
          </w:tcPr>
          <w:p w14:paraId="4FA839E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lastRenderedPageBreak/>
              <w:t>Machado RM</w:t>
            </w:r>
          </w:p>
        </w:tc>
        <w:tc>
          <w:tcPr>
            <w:tcW w:w="0" w:type="auto"/>
            <w:vAlign w:val="center"/>
            <w:hideMark/>
          </w:tcPr>
          <w:p w14:paraId="03C29D27"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Counseling on breastfeeding</w:t>
            </w:r>
          </w:p>
        </w:tc>
        <w:tc>
          <w:tcPr>
            <w:tcW w:w="0" w:type="auto"/>
            <w:vAlign w:val="center"/>
            <w:hideMark/>
          </w:tcPr>
          <w:p w14:paraId="5C139E29"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Prenatal care provides confidence and security for mothers, being essential to encourage EBF.</w:t>
            </w:r>
          </w:p>
        </w:tc>
      </w:tr>
      <w:tr w:rsidR="00252D98" w:rsidRPr="00252D98" w14:paraId="5489CEBF" w14:textId="77777777" w:rsidTr="00252D98">
        <w:trPr>
          <w:tblCellSpacing w:w="15" w:type="dxa"/>
        </w:trPr>
        <w:tc>
          <w:tcPr>
            <w:tcW w:w="0" w:type="auto"/>
            <w:vAlign w:val="center"/>
            <w:hideMark/>
          </w:tcPr>
          <w:p w14:paraId="6AFB9B89"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Unfried DR</w:t>
            </w:r>
          </w:p>
        </w:tc>
        <w:tc>
          <w:tcPr>
            <w:tcW w:w="0" w:type="auto"/>
            <w:vAlign w:val="center"/>
            <w:hideMark/>
          </w:tcPr>
          <w:p w14:paraId="518AD493"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Clarification on breastfeeding</w:t>
            </w:r>
          </w:p>
        </w:tc>
        <w:tc>
          <w:tcPr>
            <w:tcW w:w="0" w:type="auto"/>
            <w:vAlign w:val="center"/>
            <w:hideMark/>
          </w:tcPr>
          <w:p w14:paraId="5609E457"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 prenatal period was highlighted as the most opportune moment to clarify breastfeeding doubts, with family involvement.</w:t>
            </w:r>
          </w:p>
        </w:tc>
      </w:tr>
    </w:tbl>
    <w:p w14:paraId="6CE0C60E" w14:textId="700392B5" w:rsidR="00252D98" w:rsidRPr="00252D98" w:rsidRDefault="00252D98" w:rsidP="00DF3B2F">
      <w:pPr>
        <w:spacing w:before="100" w:beforeAutospacing="1" w:after="100" w:afterAutospacing="1" w:line="360" w:lineRule="auto"/>
        <w:jc w:val="both"/>
        <w:rPr>
          <w:rFonts w:ascii="Arial" w:eastAsia="Times New Roman" w:hAnsi="Arial" w:cs="Arial"/>
          <w:i/>
          <w:iCs/>
          <w:sz w:val="20"/>
          <w:szCs w:val="20"/>
          <w:lang w:eastAsia="pt-BR"/>
        </w:rPr>
      </w:pPr>
      <w:r w:rsidRPr="00252D98">
        <w:rPr>
          <w:rFonts w:ascii="Arial" w:eastAsia="Times New Roman" w:hAnsi="Arial" w:cs="Arial"/>
          <w:i/>
          <w:iCs/>
          <w:sz w:val="20"/>
          <w:szCs w:val="20"/>
          <w:lang w:eastAsia="pt-BR"/>
        </w:rPr>
        <w:t>Source: Authors (2025).</w:t>
      </w:r>
    </w:p>
    <w:p w14:paraId="54202948" w14:textId="30B4CBF2" w:rsidR="00252D98"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2. Parental Preparation and Psychological Climate</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516"/>
        <w:gridCol w:w="1845"/>
        <w:gridCol w:w="5143"/>
      </w:tblGrid>
      <w:tr w:rsidR="00252D98" w:rsidRPr="00252D98" w14:paraId="5921EB17" w14:textId="77777777" w:rsidTr="00252D98">
        <w:trPr>
          <w:tblHeader/>
          <w:tblCellSpacing w:w="15" w:type="dxa"/>
        </w:trPr>
        <w:tc>
          <w:tcPr>
            <w:tcW w:w="0" w:type="auto"/>
            <w:vAlign w:val="center"/>
            <w:hideMark/>
          </w:tcPr>
          <w:p w14:paraId="7CD3C61E"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Study</w:t>
            </w:r>
          </w:p>
        </w:tc>
        <w:tc>
          <w:tcPr>
            <w:tcW w:w="0" w:type="auto"/>
            <w:vAlign w:val="center"/>
            <w:hideMark/>
          </w:tcPr>
          <w:p w14:paraId="6364659B"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Outcome</w:t>
            </w:r>
          </w:p>
        </w:tc>
        <w:tc>
          <w:tcPr>
            <w:tcW w:w="0" w:type="auto"/>
            <w:vAlign w:val="center"/>
            <w:hideMark/>
          </w:tcPr>
          <w:p w14:paraId="1D9ADD21"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Result</w:t>
            </w:r>
          </w:p>
        </w:tc>
      </w:tr>
      <w:tr w:rsidR="00252D98" w:rsidRPr="00252D98" w14:paraId="14140340" w14:textId="77777777" w:rsidTr="00252D98">
        <w:trPr>
          <w:tblCellSpacing w:w="15" w:type="dxa"/>
        </w:trPr>
        <w:tc>
          <w:tcPr>
            <w:tcW w:w="0" w:type="auto"/>
            <w:vAlign w:val="center"/>
            <w:hideMark/>
          </w:tcPr>
          <w:p w14:paraId="0544C2B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Brazilian Society of Pediatrics</w:t>
            </w:r>
          </w:p>
        </w:tc>
        <w:tc>
          <w:tcPr>
            <w:tcW w:w="0" w:type="auto"/>
            <w:vAlign w:val="center"/>
            <w:hideMark/>
          </w:tcPr>
          <w:p w14:paraId="39EF063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Parental anxiety and bonding</w:t>
            </w:r>
          </w:p>
        </w:tc>
        <w:tc>
          <w:tcPr>
            <w:tcW w:w="0" w:type="auto"/>
            <w:vAlign w:val="center"/>
            <w:hideMark/>
          </w:tcPr>
          <w:p w14:paraId="21CEC2CD"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Prenatal pediatric consultation reduces fear, apprehension, and family anxiety by anticipating strategies and turning parents into effective caregivers.</w:t>
            </w:r>
          </w:p>
        </w:tc>
      </w:tr>
      <w:tr w:rsidR="00252D98" w:rsidRPr="00252D98" w14:paraId="25A0C05D" w14:textId="77777777" w:rsidTr="00252D98">
        <w:trPr>
          <w:tblCellSpacing w:w="15" w:type="dxa"/>
        </w:trPr>
        <w:tc>
          <w:tcPr>
            <w:tcW w:w="0" w:type="auto"/>
            <w:vAlign w:val="center"/>
            <w:hideMark/>
          </w:tcPr>
          <w:p w14:paraId="5ECD5A62"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Hodgson KA</w:t>
            </w:r>
          </w:p>
        </w:tc>
        <w:tc>
          <w:tcPr>
            <w:tcW w:w="0" w:type="auto"/>
            <w:vAlign w:val="center"/>
            <w:hideMark/>
          </w:tcPr>
          <w:p w14:paraId="07113AEB"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Parental satisfaction and mental health</w:t>
            </w:r>
          </w:p>
        </w:tc>
        <w:tc>
          <w:tcPr>
            <w:tcW w:w="0" w:type="auto"/>
            <w:vAlign w:val="center"/>
            <w:hideMark/>
          </w:tcPr>
          <w:p w14:paraId="3B0E10A1"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Family-centered interventions (prenatal and neonatal ICU) improve satisfaction, parental skills, and reduce stress, anxiety, and depression.</w:t>
            </w:r>
          </w:p>
        </w:tc>
      </w:tr>
    </w:tbl>
    <w:p w14:paraId="2300C441" w14:textId="30975388" w:rsidR="00252D98" w:rsidRPr="00252D98" w:rsidRDefault="00252D98" w:rsidP="00DF3B2F">
      <w:pPr>
        <w:spacing w:before="100" w:beforeAutospacing="1" w:after="100" w:afterAutospacing="1" w:line="360" w:lineRule="auto"/>
        <w:jc w:val="both"/>
        <w:rPr>
          <w:rFonts w:ascii="Arial" w:eastAsia="Times New Roman" w:hAnsi="Arial" w:cs="Arial"/>
          <w:i/>
          <w:iCs/>
          <w:sz w:val="20"/>
          <w:szCs w:val="20"/>
          <w:lang w:eastAsia="pt-BR"/>
        </w:rPr>
      </w:pPr>
      <w:r w:rsidRPr="00252D98">
        <w:rPr>
          <w:rFonts w:ascii="Arial" w:eastAsia="Times New Roman" w:hAnsi="Arial" w:cs="Arial"/>
          <w:i/>
          <w:iCs/>
          <w:sz w:val="20"/>
          <w:szCs w:val="20"/>
          <w:lang w:eastAsia="pt-BR"/>
        </w:rPr>
        <w:t>Source: Authors (2025).</w:t>
      </w:r>
    </w:p>
    <w:p w14:paraId="386C46BF" w14:textId="0E24CA6D" w:rsidR="00252D98"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3. Impact on Mortality and Neonatal Outcomes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810"/>
        <w:gridCol w:w="1712"/>
        <w:gridCol w:w="5982"/>
      </w:tblGrid>
      <w:tr w:rsidR="00252D98" w:rsidRPr="00252D98" w14:paraId="2332D786" w14:textId="77777777" w:rsidTr="00252D98">
        <w:trPr>
          <w:tblHeader/>
          <w:tblCellSpacing w:w="15" w:type="dxa"/>
        </w:trPr>
        <w:tc>
          <w:tcPr>
            <w:tcW w:w="0" w:type="auto"/>
            <w:vAlign w:val="center"/>
            <w:hideMark/>
          </w:tcPr>
          <w:p w14:paraId="744DF8C2"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Study</w:t>
            </w:r>
          </w:p>
        </w:tc>
        <w:tc>
          <w:tcPr>
            <w:tcW w:w="0" w:type="auto"/>
            <w:vAlign w:val="center"/>
            <w:hideMark/>
          </w:tcPr>
          <w:p w14:paraId="6E4D1B8A"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Outcome</w:t>
            </w:r>
          </w:p>
        </w:tc>
        <w:tc>
          <w:tcPr>
            <w:tcW w:w="0" w:type="auto"/>
            <w:vAlign w:val="center"/>
            <w:hideMark/>
          </w:tcPr>
          <w:p w14:paraId="1F268115"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Result</w:t>
            </w:r>
          </w:p>
        </w:tc>
      </w:tr>
      <w:tr w:rsidR="00252D98" w:rsidRPr="00252D98" w14:paraId="2919EE43" w14:textId="77777777" w:rsidTr="00252D98">
        <w:trPr>
          <w:tblCellSpacing w:w="15" w:type="dxa"/>
        </w:trPr>
        <w:tc>
          <w:tcPr>
            <w:tcW w:w="0" w:type="auto"/>
            <w:vAlign w:val="center"/>
            <w:hideMark/>
          </w:tcPr>
          <w:p w14:paraId="708301CC"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Albarqi MN</w:t>
            </w:r>
          </w:p>
        </w:tc>
        <w:tc>
          <w:tcPr>
            <w:tcW w:w="0" w:type="auto"/>
            <w:vAlign w:val="center"/>
            <w:hideMark/>
          </w:tcPr>
          <w:p w14:paraId="6CE8F24E"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Neonatal mortality and low birth weight</w:t>
            </w:r>
          </w:p>
        </w:tc>
        <w:tc>
          <w:tcPr>
            <w:tcW w:w="0" w:type="auto"/>
            <w:vAlign w:val="center"/>
            <w:hideMark/>
          </w:tcPr>
          <w:p w14:paraId="3FA49CA3"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Comprehensive prenatal care (nutrition and psychosocial support) reduced neonatal mortality by approximately 40% and improved outcomes such as low birth weight and prematurity.</w:t>
            </w:r>
          </w:p>
        </w:tc>
      </w:tr>
    </w:tbl>
    <w:p w14:paraId="6D03C95D"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i/>
          <w:iCs/>
          <w:sz w:val="20"/>
          <w:szCs w:val="20"/>
          <w:lang w:eastAsia="pt-BR"/>
        </w:rPr>
        <w:t>Source: Authors (2025).</w:t>
      </w:r>
    </w:p>
    <w:p w14:paraId="34767005" w14:textId="4EEBE49D" w:rsidR="00252D98"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4. Consensus and Divergences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662"/>
        <w:gridCol w:w="3375"/>
        <w:gridCol w:w="3467"/>
      </w:tblGrid>
      <w:tr w:rsidR="00252D98" w:rsidRPr="00252D98" w14:paraId="3711BFF3" w14:textId="77777777" w:rsidTr="00252D98">
        <w:trPr>
          <w:tblHeader/>
          <w:tblCellSpacing w:w="15" w:type="dxa"/>
        </w:trPr>
        <w:tc>
          <w:tcPr>
            <w:tcW w:w="0" w:type="auto"/>
            <w:vAlign w:val="center"/>
            <w:hideMark/>
          </w:tcPr>
          <w:p w14:paraId="12C9D79F"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Aspect analyzed</w:t>
            </w:r>
          </w:p>
        </w:tc>
        <w:tc>
          <w:tcPr>
            <w:tcW w:w="0" w:type="auto"/>
            <w:vAlign w:val="center"/>
            <w:hideMark/>
          </w:tcPr>
          <w:p w14:paraId="64619725"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Consensus</w:t>
            </w:r>
          </w:p>
        </w:tc>
        <w:tc>
          <w:tcPr>
            <w:tcW w:w="0" w:type="auto"/>
            <w:vAlign w:val="center"/>
            <w:hideMark/>
          </w:tcPr>
          <w:p w14:paraId="0EF062FA"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Divergence</w:t>
            </w:r>
          </w:p>
        </w:tc>
      </w:tr>
      <w:tr w:rsidR="00252D98" w:rsidRPr="00252D98" w14:paraId="0ADF5959" w14:textId="77777777" w:rsidTr="00252D98">
        <w:trPr>
          <w:tblCellSpacing w:w="15" w:type="dxa"/>
        </w:trPr>
        <w:tc>
          <w:tcPr>
            <w:tcW w:w="0" w:type="auto"/>
            <w:vAlign w:val="center"/>
            <w:hideMark/>
          </w:tcPr>
          <w:p w14:paraId="3EFDB0C8"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Breastfeeding</w:t>
            </w:r>
          </w:p>
        </w:tc>
        <w:tc>
          <w:tcPr>
            <w:tcW w:w="0" w:type="auto"/>
            <w:vAlign w:val="center"/>
            <w:hideMark/>
          </w:tcPr>
          <w:p w14:paraId="2573CAE4"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There is consensus that counseling during prenatal care, especially when involving pediatric consultation, increases exclusive and prolonged breastfeeding rates.</w:t>
            </w:r>
          </w:p>
        </w:tc>
        <w:tc>
          <w:tcPr>
            <w:tcW w:w="0" w:type="auto"/>
            <w:vAlign w:val="center"/>
            <w:hideMark/>
          </w:tcPr>
          <w:p w14:paraId="663B4552"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Divergence regarding the magnitude of impact: some studies report statistically significant increases, while others show only positive trends without significance.</w:t>
            </w:r>
          </w:p>
        </w:tc>
      </w:tr>
      <w:tr w:rsidR="00252D98" w:rsidRPr="00252D98" w14:paraId="7B3747F2" w14:textId="77777777" w:rsidTr="00252D98">
        <w:trPr>
          <w:tblCellSpacing w:w="15" w:type="dxa"/>
        </w:trPr>
        <w:tc>
          <w:tcPr>
            <w:tcW w:w="0" w:type="auto"/>
            <w:vAlign w:val="center"/>
            <w:hideMark/>
          </w:tcPr>
          <w:p w14:paraId="357356CB"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lastRenderedPageBreak/>
              <w:t>Parental preparation and bonding</w:t>
            </w:r>
          </w:p>
        </w:tc>
        <w:tc>
          <w:tcPr>
            <w:tcW w:w="0" w:type="auto"/>
            <w:vAlign w:val="center"/>
            <w:hideMark/>
          </w:tcPr>
          <w:p w14:paraId="24D56AB6"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All studies and guidelines agree that prenatal pediatric consultation reduces parental anxiety, strengthens bonding, and improves preparedness for newborn care.</w:t>
            </w:r>
          </w:p>
        </w:tc>
        <w:tc>
          <w:tcPr>
            <w:tcW w:w="0" w:type="auto"/>
            <w:vAlign w:val="center"/>
            <w:hideMark/>
          </w:tcPr>
          <w:p w14:paraId="2A6B8E1A"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Divergence in measurement: few studies use validated scales to quantify psychological impact, limiting comparability.</w:t>
            </w:r>
          </w:p>
        </w:tc>
      </w:tr>
      <w:tr w:rsidR="00252D98" w:rsidRPr="00252D98" w14:paraId="059B8E9E" w14:textId="77777777" w:rsidTr="00252D98">
        <w:trPr>
          <w:tblCellSpacing w:w="15" w:type="dxa"/>
        </w:trPr>
        <w:tc>
          <w:tcPr>
            <w:tcW w:w="0" w:type="auto"/>
            <w:vAlign w:val="center"/>
            <w:hideMark/>
          </w:tcPr>
          <w:p w14:paraId="12CFFA37"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Neonatal outcomes</w:t>
            </w:r>
          </w:p>
        </w:tc>
        <w:tc>
          <w:tcPr>
            <w:tcW w:w="0" w:type="auto"/>
            <w:vAlign w:val="center"/>
            <w:hideMark/>
          </w:tcPr>
          <w:p w14:paraId="4FBEC7A7"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There is consensus that high-quality prenatal care, including pediatric consultation, reduces complications such as low birth weight and prematurity.</w:t>
            </w:r>
          </w:p>
        </w:tc>
        <w:tc>
          <w:tcPr>
            <w:tcW w:w="0" w:type="auto"/>
            <w:vAlign w:val="center"/>
            <w:hideMark/>
          </w:tcPr>
          <w:p w14:paraId="64FE29EE"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Divergence regarding causality: not all studies isolate pediatric consultation as an independent factor, creating uncertainty about direct causation.</w:t>
            </w:r>
          </w:p>
        </w:tc>
      </w:tr>
      <w:tr w:rsidR="00252D98" w:rsidRPr="00252D98" w14:paraId="28963753" w14:textId="77777777" w:rsidTr="00252D98">
        <w:trPr>
          <w:tblCellSpacing w:w="15" w:type="dxa"/>
        </w:trPr>
        <w:tc>
          <w:tcPr>
            <w:tcW w:w="0" w:type="auto"/>
            <w:vAlign w:val="center"/>
            <w:hideMark/>
          </w:tcPr>
          <w:p w14:paraId="3BBB003E"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Scientific evidence</w:t>
            </w:r>
          </w:p>
        </w:tc>
        <w:tc>
          <w:tcPr>
            <w:tcW w:w="0" w:type="auto"/>
            <w:vAlign w:val="center"/>
            <w:hideMark/>
          </w:tcPr>
          <w:p w14:paraId="100510E2"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National recommendations (SBP, FEBRASGO) consistently support the practice.</w:t>
            </w:r>
          </w:p>
        </w:tc>
        <w:tc>
          <w:tcPr>
            <w:tcW w:w="0" w:type="auto"/>
            <w:vAlign w:val="center"/>
            <w:hideMark/>
          </w:tcPr>
          <w:p w14:paraId="2D657715"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International context shows divergence, as WHO and ACOG still lack specific guidelines on prenatal pediatric consultation, focusing instead on broader multiprofessional care.</w:t>
            </w:r>
          </w:p>
        </w:tc>
      </w:tr>
    </w:tbl>
    <w:p w14:paraId="00510B32"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i/>
          <w:iCs/>
          <w:sz w:val="20"/>
          <w:szCs w:val="20"/>
          <w:lang w:eastAsia="pt-BR"/>
        </w:rPr>
        <w:t>Source: Authors (2025).</w:t>
      </w:r>
    </w:p>
    <w:p w14:paraId="4AAE3792" w14:textId="12ACC33D" w:rsidR="00252D98"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Table 5. Contextual Overview of the Practice</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672"/>
        <w:gridCol w:w="3155"/>
        <w:gridCol w:w="3677"/>
      </w:tblGrid>
      <w:tr w:rsidR="00252D98" w:rsidRPr="00252D98" w14:paraId="7589F250" w14:textId="77777777" w:rsidTr="00252D98">
        <w:trPr>
          <w:tblHeader/>
          <w:tblCellSpacing w:w="15" w:type="dxa"/>
        </w:trPr>
        <w:tc>
          <w:tcPr>
            <w:tcW w:w="0" w:type="auto"/>
            <w:vAlign w:val="center"/>
            <w:hideMark/>
          </w:tcPr>
          <w:p w14:paraId="6DD27469"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Context</w:t>
            </w:r>
          </w:p>
        </w:tc>
        <w:tc>
          <w:tcPr>
            <w:tcW w:w="0" w:type="auto"/>
            <w:vAlign w:val="center"/>
            <w:hideMark/>
          </w:tcPr>
          <w:p w14:paraId="3DC8C48D"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Practice Characteristics</w:t>
            </w:r>
          </w:p>
        </w:tc>
        <w:tc>
          <w:tcPr>
            <w:tcW w:w="0" w:type="auto"/>
            <w:vAlign w:val="center"/>
            <w:hideMark/>
          </w:tcPr>
          <w:p w14:paraId="5A2917FC" w14:textId="77777777" w:rsidR="00252D98" w:rsidRPr="00252D98" w:rsidRDefault="00252D98" w:rsidP="00252D98">
            <w:pPr>
              <w:spacing w:before="100" w:beforeAutospacing="1" w:after="100" w:afterAutospacing="1" w:line="360" w:lineRule="auto"/>
              <w:jc w:val="both"/>
              <w:rPr>
                <w:rFonts w:ascii="Arial" w:eastAsia="Times New Roman" w:hAnsi="Arial" w:cs="Arial"/>
                <w:b/>
                <w:bCs/>
                <w:sz w:val="20"/>
                <w:szCs w:val="20"/>
                <w:lang w:eastAsia="pt-BR"/>
              </w:rPr>
            </w:pPr>
            <w:r w:rsidRPr="00252D98">
              <w:rPr>
                <w:rFonts w:ascii="Arial" w:eastAsia="Times New Roman" w:hAnsi="Arial" w:cs="Arial"/>
                <w:b/>
                <w:bCs/>
                <w:sz w:val="20"/>
                <w:szCs w:val="20"/>
                <w:lang w:eastAsia="pt-BR"/>
              </w:rPr>
              <w:t>Main Findings</w:t>
            </w:r>
          </w:p>
        </w:tc>
      </w:tr>
      <w:tr w:rsidR="00252D98" w:rsidRPr="00252D98" w14:paraId="742A3185" w14:textId="77777777" w:rsidTr="00252D98">
        <w:trPr>
          <w:tblCellSpacing w:w="15" w:type="dxa"/>
        </w:trPr>
        <w:tc>
          <w:tcPr>
            <w:tcW w:w="0" w:type="auto"/>
            <w:vAlign w:val="center"/>
            <w:hideMark/>
          </w:tcPr>
          <w:p w14:paraId="4821EA1D"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Developed countries (e.g., Canada, USA, United Kingdom)</w:t>
            </w:r>
          </w:p>
        </w:tc>
        <w:tc>
          <w:tcPr>
            <w:tcW w:w="0" w:type="auto"/>
            <w:vAlign w:val="center"/>
            <w:hideMark/>
          </w:tcPr>
          <w:p w14:paraId="581F2889"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Prenatal pediatric consultation is often integrated into structured prenatal programs, with formal protocols for parental education, breastfeeding support, and postpartum follow-up.</w:t>
            </w:r>
          </w:p>
        </w:tc>
        <w:tc>
          <w:tcPr>
            <w:tcW w:w="0" w:type="auto"/>
            <w:vAlign w:val="center"/>
            <w:hideMark/>
          </w:tcPr>
          <w:p w14:paraId="3E62ECFB"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Studies show significant increases in exclusive breastfeeding rates, higher parental satisfaction, and reduced parental stress. However, the direct impact on neonatal mortality indicators is minimal due to already low baseline rates.</w:t>
            </w:r>
          </w:p>
        </w:tc>
      </w:tr>
      <w:tr w:rsidR="00252D98" w:rsidRPr="00252D98" w14:paraId="3D0B6100" w14:textId="77777777" w:rsidTr="00252D98">
        <w:trPr>
          <w:tblCellSpacing w:w="15" w:type="dxa"/>
        </w:trPr>
        <w:tc>
          <w:tcPr>
            <w:tcW w:w="0" w:type="auto"/>
            <w:vAlign w:val="center"/>
            <w:hideMark/>
          </w:tcPr>
          <w:p w14:paraId="11BAC171"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Developing countries (e.g., Brazil, Mexico, African nations)</w:t>
            </w:r>
          </w:p>
        </w:tc>
        <w:tc>
          <w:tcPr>
            <w:tcW w:w="0" w:type="auto"/>
            <w:vAlign w:val="center"/>
            <w:hideMark/>
          </w:tcPr>
          <w:p w14:paraId="449BC4EC"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 practice remains incipient, often limited to private services or referral centers, focusing on general guidance, early bonding, and immediate risk prevention.</w:t>
            </w:r>
          </w:p>
        </w:tc>
        <w:tc>
          <w:tcPr>
            <w:tcW w:w="0" w:type="auto"/>
            <w:vAlign w:val="center"/>
            <w:hideMark/>
          </w:tcPr>
          <w:p w14:paraId="26DE6668"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Studies report stronger clinical benefits, including reduced low birth weight and neonatal hospitalizations, though implementation heterogeneity and lack of standardized protocols persist.</w:t>
            </w:r>
          </w:p>
        </w:tc>
      </w:tr>
      <w:tr w:rsidR="00252D98" w:rsidRPr="00252D98" w14:paraId="1DA2576C" w14:textId="77777777" w:rsidTr="00252D98">
        <w:trPr>
          <w:tblCellSpacing w:w="15" w:type="dxa"/>
        </w:trPr>
        <w:tc>
          <w:tcPr>
            <w:tcW w:w="0" w:type="auto"/>
            <w:vAlign w:val="center"/>
            <w:hideMark/>
          </w:tcPr>
          <w:p w14:paraId="7894FFD5"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b/>
                <w:bCs/>
                <w:sz w:val="20"/>
                <w:szCs w:val="20"/>
                <w:lang w:eastAsia="pt-BR"/>
              </w:rPr>
              <w:t>Common barriers in low-resource settings</w:t>
            </w:r>
          </w:p>
        </w:tc>
        <w:tc>
          <w:tcPr>
            <w:tcW w:w="0" w:type="auto"/>
            <w:vAlign w:val="center"/>
            <w:hideMark/>
          </w:tcPr>
          <w:p w14:paraId="07278F7C"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Scarcity of pediatricians, heavy workload for obstetricians, low prenatal coverage, and unequal access to information.</w:t>
            </w:r>
          </w:p>
        </w:tc>
        <w:tc>
          <w:tcPr>
            <w:tcW w:w="0" w:type="auto"/>
            <w:vAlign w:val="center"/>
            <w:hideMark/>
          </w:tcPr>
          <w:p w14:paraId="13B83A54" w14:textId="77777777" w:rsidR="00252D98" w:rsidRPr="00252D98" w:rsidRDefault="00252D98" w:rsidP="00252D98">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sz w:val="20"/>
                <w:szCs w:val="20"/>
                <w:lang w:eastAsia="pt-BR"/>
              </w:rPr>
              <w:t>These barriers reduce the frequency of prenatal pediatric consultations and limit their evaluation in robust studies.</w:t>
            </w:r>
          </w:p>
        </w:tc>
      </w:tr>
    </w:tbl>
    <w:p w14:paraId="08CAB981" w14:textId="603D4E95" w:rsidR="00252D98" w:rsidRPr="00D168CE" w:rsidRDefault="00252D98" w:rsidP="00DF3B2F">
      <w:pPr>
        <w:spacing w:before="100" w:beforeAutospacing="1" w:after="100" w:afterAutospacing="1" w:line="360" w:lineRule="auto"/>
        <w:jc w:val="both"/>
        <w:rPr>
          <w:rFonts w:ascii="Arial" w:eastAsia="Times New Roman" w:hAnsi="Arial" w:cs="Arial"/>
          <w:sz w:val="20"/>
          <w:szCs w:val="20"/>
          <w:lang w:eastAsia="pt-BR"/>
        </w:rPr>
      </w:pPr>
      <w:r w:rsidRPr="00252D98">
        <w:rPr>
          <w:rFonts w:ascii="Arial" w:eastAsia="Times New Roman" w:hAnsi="Arial" w:cs="Arial"/>
          <w:i/>
          <w:iCs/>
          <w:sz w:val="20"/>
          <w:szCs w:val="20"/>
          <w:lang w:eastAsia="pt-BR"/>
        </w:rPr>
        <w:lastRenderedPageBreak/>
        <w:t>Source: Authors (2025).</w:t>
      </w:r>
    </w:p>
    <w:p w14:paraId="7F27ECA2" w14:textId="60D4C3A1" w:rsidR="00DF3B2F" w:rsidRDefault="00DF3B2F" w:rsidP="00DF3B2F">
      <w:pPr>
        <w:pStyle w:val="PargrafodaLista"/>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t>DISCUSSION</w:t>
      </w:r>
    </w:p>
    <w:p w14:paraId="2DE2676B" w14:textId="77777777"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Comparison with Medical Society Recommendations</w:t>
      </w:r>
    </w:p>
    <w:p w14:paraId="44678C22" w14:textId="77777777" w:rsidR="00491E8B" w:rsidRPr="00491E8B" w:rsidRDefault="00491E8B" w:rsidP="00491E8B">
      <w:pPr>
        <w:spacing w:before="100" w:beforeAutospacing="1" w:after="100" w:afterAutospacing="1" w:line="360" w:lineRule="auto"/>
        <w:ind w:firstLine="708"/>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The findings of this review are consistent with the recommendations of the Brazilian Society of Pediatrics (SBP), which highlights prenatal pediatric consultation as a key preventive moment for health education, family bonding, and parental preparation for the newborn (11). The Brazilian Federation of Gynecology and Obstetrics Associations (FEBRASGO) also emphasizes the importance of integrated care, although it does not formally define the pediatrician’s participation during prenatal follow-up (2). In contrast, international guidelines such as those from the World Health Organization (WHO) and the American College of Obstetricians and Gynecologists (ACOG) focus on comprehensive prenatal care but still lack specific directives regarding pediatric consultation, revealing a normative gap at the global level (3).</w:t>
      </w:r>
    </w:p>
    <w:p w14:paraId="36E03775" w14:textId="77777777"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Explanatory Mechanisms for the Observed Effects</w:t>
      </w:r>
    </w:p>
    <w:p w14:paraId="1B78F722" w14:textId="0A2534C8" w:rsidR="00491E8B" w:rsidRPr="00491E8B" w:rsidRDefault="00491E8B" w:rsidP="00491E8B">
      <w:pPr>
        <w:spacing w:before="100" w:beforeAutospacing="1" w:after="100" w:afterAutospacing="1" w:line="360" w:lineRule="auto"/>
        <w:ind w:firstLine="708"/>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One possible explanation for the positive outcomes observed relates to the Developmental Origins of Health and Disease (DOHaD) model, which proposes that early interventions, including prenatal medical counseling, can modulate epigenetic mechanisms and promote healthier developmental trajectories (12). Furthermore, prenatal interventions that include nutritional support and mental health care have shown significant reductions in neonatal mortality and adverse outcomes such as low birth weight and prematurity (10,1</w:t>
      </w:r>
      <w:r w:rsidR="00C777A8">
        <w:rPr>
          <w:rFonts w:ascii="Arial" w:eastAsia="Times New Roman" w:hAnsi="Arial" w:cs="Arial"/>
          <w:sz w:val="20"/>
          <w:szCs w:val="20"/>
          <w:lang w:eastAsia="pt-BR"/>
        </w:rPr>
        <w:t>1-17</w:t>
      </w:r>
      <w:r w:rsidRPr="00491E8B">
        <w:rPr>
          <w:rFonts w:ascii="Arial" w:eastAsia="Times New Roman" w:hAnsi="Arial" w:cs="Arial"/>
          <w:sz w:val="20"/>
          <w:szCs w:val="20"/>
          <w:lang w:eastAsia="pt-BR"/>
        </w:rPr>
        <w:t>). Strengthening the parental bond during pregnancy may also mitigate maternal stress, an important determinant for preventing negative effects on fetal neurodevelopment and emotional regulation after birth (15</w:t>
      </w:r>
      <w:r w:rsidR="00C777A8">
        <w:rPr>
          <w:rFonts w:ascii="Arial" w:eastAsia="Times New Roman" w:hAnsi="Arial" w:cs="Arial"/>
          <w:sz w:val="20"/>
          <w:szCs w:val="20"/>
          <w:lang w:eastAsia="pt-BR"/>
        </w:rPr>
        <w:t>-18</w:t>
      </w:r>
      <w:r w:rsidRPr="00491E8B">
        <w:rPr>
          <w:rFonts w:ascii="Arial" w:eastAsia="Times New Roman" w:hAnsi="Arial" w:cs="Arial"/>
          <w:sz w:val="20"/>
          <w:szCs w:val="20"/>
          <w:lang w:eastAsia="pt-BR"/>
        </w:rPr>
        <w:t>).</w:t>
      </w:r>
    </w:p>
    <w:p w14:paraId="3DC40891" w14:textId="77777777"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Main Limitations of the Included Studies</w:t>
      </w:r>
    </w:p>
    <w:p w14:paraId="4AB117A8" w14:textId="1DF8815E" w:rsidR="00491E8B" w:rsidRPr="00491E8B" w:rsidRDefault="00491E8B" w:rsidP="00491E8B">
      <w:pPr>
        <w:spacing w:before="100" w:beforeAutospacing="1" w:after="100" w:afterAutospacing="1" w:line="360" w:lineRule="auto"/>
        <w:ind w:firstLine="708"/>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Although the reviewed studies converge on benefits such as improved breastfeeding rates and stronger parental bonding, they present important methodological limitations. Most of the evidence is derived from observational studies that do not isolate the direct effect of pediatric consultation. Few investigations used validated psychological scales to assess parental outcomes, and the methodological heterogeneity limited quantitative synthesis and generalization of results. Moreover, longitudinal data monitoring outcomes beyond the first months of life remain insufficient, restricting conclusions about long-term effects</w:t>
      </w:r>
      <w:r w:rsidR="00C777A8">
        <w:rPr>
          <w:rFonts w:ascii="Arial" w:eastAsia="Times New Roman" w:hAnsi="Arial" w:cs="Arial"/>
          <w:sz w:val="20"/>
          <w:szCs w:val="20"/>
          <w:lang w:eastAsia="pt-BR"/>
        </w:rPr>
        <w:t xml:space="preserve"> (1</w:t>
      </w:r>
      <w:r w:rsidR="00704A1C">
        <w:rPr>
          <w:rFonts w:ascii="Arial" w:eastAsia="Times New Roman" w:hAnsi="Arial" w:cs="Arial"/>
          <w:sz w:val="20"/>
          <w:szCs w:val="20"/>
          <w:lang w:eastAsia="pt-BR"/>
        </w:rPr>
        <w:t>9</w:t>
      </w:r>
      <w:r w:rsidR="00C777A8">
        <w:rPr>
          <w:rFonts w:ascii="Arial" w:eastAsia="Times New Roman" w:hAnsi="Arial" w:cs="Arial"/>
          <w:sz w:val="20"/>
          <w:szCs w:val="20"/>
          <w:lang w:eastAsia="pt-BR"/>
        </w:rPr>
        <w:t>)</w:t>
      </w:r>
      <w:r w:rsidRPr="00491E8B">
        <w:rPr>
          <w:rFonts w:ascii="Arial" w:eastAsia="Times New Roman" w:hAnsi="Arial" w:cs="Arial"/>
          <w:sz w:val="20"/>
          <w:szCs w:val="20"/>
          <w:lang w:eastAsia="pt-BR"/>
        </w:rPr>
        <w:t>.</w:t>
      </w:r>
    </w:p>
    <w:p w14:paraId="2B21A014" w14:textId="77777777"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Gaps and Needs for Strengthening the Evidence Base</w:t>
      </w:r>
    </w:p>
    <w:p w14:paraId="58F1651A" w14:textId="20AAD644" w:rsidR="00491E8B" w:rsidRPr="00491E8B" w:rsidRDefault="00491E8B" w:rsidP="00491E8B">
      <w:pPr>
        <w:spacing w:before="100" w:beforeAutospacing="1" w:after="100" w:afterAutospacing="1" w:line="360" w:lineRule="auto"/>
        <w:ind w:firstLine="708"/>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 xml:space="preserve">Future research should prioritize randomized clinical trials specifically designed to test the addition of prenatal pediatric consultation to conventional obstetric models. Longitudinal </w:t>
      </w:r>
      <w:r w:rsidRPr="00491E8B">
        <w:rPr>
          <w:rFonts w:ascii="Arial" w:eastAsia="Times New Roman" w:hAnsi="Arial" w:cs="Arial"/>
          <w:sz w:val="20"/>
          <w:szCs w:val="20"/>
          <w:lang w:eastAsia="pt-BR"/>
        </w:rPr>
        <w:lastRenderedPageBreak/>
        <w:t>studies following children through early childhood and school age are also necessary to evaluate lasting impacts on cognitive, behavioral, and psychosocial development. Qualitative studies exploring barriers and facilitators to the adoption of this practice, particularly within the Brazilian Unified Health System (SUS), are equally important for guiding implementation strategies and policymaking</w:t>
      </w:r>
      <w:r w:rsidR="00C777A8">
        <w:rPr>
          <w:rFonts w:ascii="Arial" w:eastAsia="Times New Roman" w:hAnsi="Arial" w:cs="Arial"/>
          <w:sz w:val="20"/>
          <w:szCs w:val="20"/>
          <w:lang w:eastAsia="pt-BR"/>
        </w:rPr>
        <w:t xml:space="preserve"> (18</w:t>
      </w:r>
      <w:r w:rsidR="00704A1C">
        <w:rPr>
          <w:rFonts w:ascii="Arial" w:eastAsia="Times New Roman" w:hAnsi="Arial" w:cs="Arial"/>
          <w:sz w:val="20"/>
          <w:szCs w:val="20"/>
          <w:lang w:eastAsia="pt-BR"/>
        </w:rPr>
        <w:t xml:space="preserve"> - 20</w:t>
      </w:r>
      <w:r w:rsidR="00C777A8">
        <w:rPr>
          <w:rFonts w:ascii="Arial" w:eastAsia="Times New Roman" w:hAnsi="Arial" w:cs="Arial"/>
          <w:sz w:val="20"/>
          <w:szCs w:val="20"/>
          <w:lang w:eastAsia="pt-BR"/>
        </w:rPr>
        <w:t>)</w:t>
      </w:r>
      <w:r w:rsidRPr="00491E8B">
        <w:rPr>
          <w:rFonts w:ascii="Arial" w:eastAsia="Times New Roman" w:hAnsi="Arial" w:cs="Arial"/>
          <w:sz w:val="20"/>
          <w:szCs w:val="20"/>
          <w:lang w:eastAsia="pt-BR"/>
        </w:rPr>
        <w:t>.</w:t>
      </w:r>
    </w:p>
    <w:p w14:paraId="574113EE" w14:textId="2E4235CB" w:rsidR="00491E8B" w:rsidRPr="00491E8B" w:rsidRDefault="00491E8B" w:rsidP="00491E8B">
      <w:pPr>
        <w:spacing w:before="100" w:beforeAutospacing="1" w:after="100" w:afterAutospacing="1" w:line="360" w:lineRule="auto"/>
        <w:jc w:val="both"/>
        <w:rPr>
          <w:rFonts w:ascii="Arial" w:eastAsia="Times New Roman" w:hAnsi="Arial" w:cs="Arial"/>
          <w:b/>
          <w:bCs/>
          <w:sz w:val="20"/>
          <w:szCs w:val="20"/>
          <w:lang w:eastAsia="pt-BR"/>
        </w:rPr>
      </w:pPr>
      <w:r w:rsidRPr="00491E8B">
        <w:rPr>
          <w:rFonts w:ascii="Arial" w:eastAsia="Times New Roman" w:hAnsi="Arial" w:cs="Arial"/>
          <w:b/>
          <w:bCs/>
          <w:sz w:val="20"/>
          <w:szCs w:val="20"/>
          <w:lang w:eastAsia="pt-BR"/>
        </w:rPr>
        <w:t>Implications for Public Policy and Clinical Practice</w:t>
      </w:r>
    </w:p>
    <w:p w14:paraId="5D61DE97" w14:textId="7C3DBFAC" w:rsidR="00491E8B" w:rsidRPr="00491E8B" w:rsidRDefault="00491E8B" w:rsidP="00491E8B">
      <w:pPr>
        <w:spacing w:before="100" w:beforeAutospacing="1" w:after="100" w:afterAutospacing="1" w:line="360" w:lineRule="auto"/>
        <w:ind w:firstLine="360"/>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The results of this review suggest that the formal inclusion of prenatal pediatric consultation, especially in public health systems such as the SUS, may strengthen primary prevention, improve indicators such as exclusive breastfeeding and parental bonding, and contribute to more favorable neonatal outcomes. These findings justify the expansion of this practice in national health guidelines, with investments in multiprofessional training, standardized protocols, and integrated programs involving pediatricians from the gestational period onward</w:t>
      </w:r>
      <w:r w:rsidR="00C777A8">
        <w:rPr>
          <w:rFonts w:ascii="Arial" w:eastAsia="Times New Roman" w:hAnsi="Arial" w:cs="Arial"/>
          <w:sz w:val="20"/>
          <w:szCs w:val="20"/>
          <w:lang w:eastAsia="pt-BR"/>
        </w:rPr>
        <w:t xml:space="preserve"> (</w:t>
      </w:r>
      <w:r w:rsidR="00704A1C">
        <w:rPr>
          <w:rFonts w:ascii="Arial" w:eastAsia="Times New Roman" w:hAnsi="Arial" w:cs="Arial"/>
          <w:sz w:val="20"/>
          <w:szCs w:val="20"/>
          <w:lang w:eastAsia="pt-BR"/>
        </w:rPr>
        <w:t>18, 19</w:t>
      </w:r>
      <w:r w:rsidR="00C777A8">
        <w:rPr>
          <w:rFonts w:ascii="Arial" w:eastAsia="Times New Roman" w:hAnsi="Arial" w:cs="Arial"/>
          <w:sz w:val="20"/>
          <w:szCs w:val="20"/>
          <w:lang w:eastAsia="pt-BR"/>
        </w:rPr>
        <w:t>)</w:t>
      </w:r>
      <w:r w:rsidRPr="00491E8B">
        <w:rPr>
          <w:rFonts w:ascii="Arial" w:eastAsia="Times New Roman" w:hAnsi="Arial" w:cs="Arial"/>
          <w:sz w:val="20"/>
          <w:szCs w:val="20"/>
          <w:lang w:eastAsia="pt-BR"/>
        </w:rPr>
        <w:t>.</w:t>
      </w:r>
    </w:p>
    <w:p w14:paraId="29C6E56D" w14:textId="204AC74D" w:rsidR="00DF3B2F" w:rsidRPr="00491E8B" w:rsidRDefault="00DF3B2F" w:rsidP="00DF3B2F">
      <w:pPr>
        <w:pStyle w:val="PargrafodaLista"/>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2480C62E" w14:textId="77777777" w:rsidR="00491E8B" w:rsidRPr="00491E8B" w:rsidRDefault="00491E8B" w:rsidP="00491E8B">
      <w:pPr>
        <w:spacing w:before="100" w:beforeAutospacing="1" w:after="100" w:afterAutospacing="1" w:line="360" w:lineRule="auto"/>
        <w:ind w:firstLine="360"/>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This systematic review found consistent evidence that prenatal pediatric consultation, when integrated into obstetric care, contributes to better maternal and child health outcomes during the first two years of life. The main benefits include higher rates of exclusive breastfeeding, stronger parental bonding, and reductions in neonatal hospitalizations and complications such as low birth weight.</w:t>
      </w:r>
    </w:p>
    <w:p w14:paraId="53D9F9C2" w14:textId="77777777" w:rsidR="00491E8B" w:rsidRPr="00491E8B" w:rsidRDefault="00491E8B" w:rsidP="00491E8B">
      <w:pPr>
        <w:spacing w:before="100" w:beforeAutospacing="1" w:after="100" w:afterAutospacing="1" w:line="360" w:lineRule="auto"/>
        <w:ind w:firstLine="360"/>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Although the included studies present methodological limitations and heterogeneity, the findings support the inclusion of pediatric participation in prenatal care as a preventive and educational strategy. This practice should be encouraged and formally incorporated into prenatal care protocols, with adaptations to different regional realities and reinforcement of multiprofessional collaboration.</w:t>
      </w:r>
    </w:p>
    <w:p w14:paraId="6FCC9ACE" w14:textId="3C6C3110" w:rsidR="00491E8B" w:rsidRPr="00491E8B" w:rsidRDefault="00491E8B" w:rsidP="00491E8B">
      <w:pPr>
        <w:spacing w:before="100" w:beforeAutospacing="1" w:after="100" w:afterAutospacing="1" w:line="360" w:lineRule="auto"/>
        <w:ind w:firstLine="360"/>
        <w:jc w:val="both"/>
        <w:rPr>
          <w:rFonts w:ascii="Arial" w:eastAsia="Times New Roman" w:hAnsi="Arial" w:cs="Arial"/>
          <w:sz w:val="20"/>
          <w:szCs w:val="20"/>
          <w:lang w:eastAsia="pt-BR"/>
        </w:rPr>
      </w:pPr>
      <w:r w:rsidRPr="00491E8B">
        <w:rPr>
          <w:rFonts w:ascii="Arial" w:eastAsia="Times New Roman" w:hAnsi="Arial" w:cs="Arial"/>
          <w:sz w:val="20"/>
          <w:szCs w:val="20"/>
          <w:lang w:eastAsia="pt-BR"/>
        </w:rPr>
        <w:t>Integrating pediatric consultation into the Brazilian Unified Health System (SUS) may represent a cost-effective strategy to strengthen primary prevention, reduce infant morbidity and mortality, and promote healthy development. To consolidate the evidence base, future research should include randomized clinical trials and longitudinal studies to assess the long-term effects of this intervention, as well as qualitative investigations exploring barriers and facilitators for its implementation in public health services.</w:t>
      </w:r>
    </w:p>
    <w:p w14:paraId="213C4604" w14:textId="77777777" w:rsidR="00DF3B2F" w:rsidRPr="008C3E1C" w:rsidRDefault="00DF3B2F" w:rsidP="00DF3B2F">
      <w:pPr>
        <w:spacing w:before="100" w:beforeAutospacing="1" w:after="100" w:afterAutospacing="1" w:line="360" w:lineRule="auto"/>
        <w:jc w:val="both"/>
        <w:rPr>
          <w:rFonts w:ascii="Arial" w:eastAsia="Times New Roman" w:hAnsi="Arial" w:cs="Arial"/>
          <w:sz w:val="20"/>
          <w:szCs w:val="20"/>
          <w:lang w:eastAsia="pt-BR"/>
        </w:rPr>
      </w:pPr>
      <w:r w:rsidRPr="008C3E1C">
        <w:rPr>
          <w:rFonts w:ascii="Arial" w:eastAsia="Times New Roman" w:hAnsi="Arial" w:cs="Arial"/>
          <w:b/>
          <w:bCs/>
          <w:lang w:eastAsia="pt-BR"/>
        </w:rPr>
        <w:t>COMPETING INTERESTS</w:t>
      </w:r>
    </w:p>
    <w:p w14:paraId="1B44E7C0" w14:textId="77777777" w:rsidR="0029077A" w:rsidRDefault="00DF3B2F" w:rsidP="00DF3B2F">
      <w:pPr>
        <w:spacing w:before="100" w:beforeAutospacing="1" w:after="100" w:afterAutospacing="1" w:line="360" w:lineRule="auto"/>
        <w:ind w:firstLine="360"/>
        <w:jc w:val="both"/>
        <w:rPr>
          <w:rFonts w:ascii="Arial" w:eastAsia="Times New Roman" w:hAnsi="Arial" w:cs="Arial"/>
          <w:sz w:val="20"/>
          <w:szCs w:val="20"/>
          <w:lang w:eastAsia="pt-BR"/>
        </w:rPr>
      </w:pPr>
      <w:r w:rsidRPr="008C3E1C">
        <w:rPr>
          <w:rFonts w:ascii="Arial" w:eastAsia="Times New Roman" w:hAnsi="Arial" w:cs="Arial"/>
          <w:sz w:val="20"/>
          <w:szCs w:val="20"/>
          <w:lang w:eastAsia="pt-BR"/>
        </w:rPr>
        <w:t>The authors declare that they have no financial or personal relationships with other people or organizations that could inappropriately influence their work.</w:t>
      </w:r>
    </w:p>
    <w:p w14:paraId="43814291" w14:textId="77777777" w:rsidR="0029077A" w:rsidRDefault="0029077A" w:rsidP="00DF3B2F">
      <w:pPr>
        <w:spacing w:before="100" w:beforeAutospacing="1" w:after="100" w:afterAutospacing="1" w:line="360" w:lineRule="auto"/>
        <w:ind w:firstLine="360"/>
        <w:jc w:val="both"/>
        <w:rPr>
          <w:rFonts w:ascii="Arial" w:eastAsia="Times New Roman" w:hAnsi="Arial" w:cs="Arial"/>
          <w:sz w:val="20"/>
          <w:szCs w:val="20"/>
          <w:lang w:eastAsia="pt-BR"/>
        </w:rPr>
      </w:pPr>
    </w:p>
    <w:p w14:paraId="4632605D" w14:textId="77777777" w:rsidR="0029077A" w:rsidRDefault="0029077A" w:rsidP="00DF3B2F">
      <w:pPr>
        <w:spacing w:before="100" w:beforeAutospacing="1" w:after="100" w:afterAutospacing="1" w:line="360" w:lineRule="auto"/>
        <w:ind w:firstLine="360"/>
        <w:jc w:val="both"/>
        <w:rPr>
          <w:rFonts w:ascii="Arial" w:eastAsia="Times New Roman" w:hAnsi="Arial" w:cs="Arial"/>
          <w:sz w:val="20"/>
          <w:szCs w:val="20"/>
          <w:lang w:eastAsia="pt-BR"/>
        </w:rPr>
      </w:pPr>
    </w:p>
    <w:p w14:paraId="5DEF1C1A" w14:textId="77777777" w:rsidR="0029077A" w:rsidRDefault="0029077A" w:rsidP="00DF3B2F">
      <w:pPr>
        <w:spacing w:before="100" w:beforeAutospacing="1" w:after="100" w:afterAutospacing="1" w:line="360" w:lineRule="auto"/>
        <w:ind w:firstLine="360"/>
        <w:jc w:val="both"/>
        <w:rPr>
          <w:rFonts w:ascii="Arial" w:eastAsia="Times New Roman" w:hAnsi="Arial" w:cs="Arial"/>
          <w:sz w:val="20"/>
          <w:szCs w:val="20"/>
          <w:lang w:eastAsia="pt-BR"/>
        </w:rPr>
      </w:pPr>
    </w:p>
    <w:p w14:paraId="39160A01" w14:textId="77777777" w:rsidR="0029077A" w:rsidRPr="000A6323" w:rsidRDefault="0029077A" w:rsidP="0029077A">
      <w:pPr>
        <w:rPr>
          <w:highlight w:val="yellow"/>
        </w:rPr>
      </w:pPr>
      <w:bookmarkStart w:id="0" w:name="_Hlk190852809"/>
      <w:r w:rsidRPr="000A6323">
        <w:rPr>
          <w:highlight w:val="yellow"/>
        </w:rPr>
        <w:t>Disclaimer (Artificial intelligence)</w:t>
      </w:r>
    </w:p>
    <w:p w14:paraId="1D8AAC2C" w14:textId="77777777" w:rsidR="0029077A" w:rsidRPr="000A6323" w:rsidRDefault="0029077A" w:rsidP="0029077A">
      <w:pPr>
        <w:rPr>
          <w:highlight w:val="yellow"/>
        </w:rPr>
      </w:pPr>
      <w:r w:rsidRPr="000A6323">
        <w:rPr>
          <w:highlight w:val="yellow"/>
        </w:rPr>
        <w:t xml:space="preserve">Option 1: </w:t>
      </w:r>
    </w:p>
    <w:p w14:paraId="6BFBC55C" w14:textId="77777777" w:rsidR="0029077A" w:rsidRPr="000A6323" w:rsidRDefault="0029077A" w:rsidP="0029077A">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34CF4F29" w14:textId="77777777" w:rsidR="0029077A" w:rsidRPr="000A6323" w:rsidRDefault="0029077A" w:rsidP="0029077A">
      <w:pPr>
        <w:rPr>
          <w:highlight w:val="yellow"/>
        </w:rPr>
      </w:pPr>
      <w:r w:rsidRPr="000A6323">
        <w:rPr>
          <w:highlight w:val="yellow"/>
        </w:rPr>
        <w:t xml:space="preserve">Option 2: </w:t>
      </w:r>
    </w:p>
    <w:p w14:paraId="101CB1BD" w14:textId="77777777" w:rsidR="0029077A" w:rsidRPr="000A6323" w:rsidRDefault="0029077A" w:rsidP="0029077A">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DB4AF8" w14:textId="77777777" w:rsidR="0029077A" w:rsidRPr="000A6323" w:rsidRDefault="0029077A" w:rsidP="0029077A">
      <w:pPr>
        <w:rPr>
          <w:highlight w:val="yellow"/>
        </w:rPr>
      </w:pPr>
      <w:r w:rsidRPr="000A6323">
        <w:rPr>
          <w:highlight w:val="yellow"/>
        </w:rPr>
        <w:t>Details of the AI usage are given below:</w:t>
      </w:r>
    </w:p>
    <w:p w14:paraId="72D7E57B" w14:textId="77777777" w:rsidR="0029077A" w:rsidRPr="000A6323" w:rsidRDefault="0029077A" w:rsidP="0029077A">
      <w:pPr>
        <w:rPr>
          <w:highlight w:val="yellow"/>
        </w:rPr>
      </w:pPr>
      <w:r w:rsidRPr="000A6323">
        <w:rPr>
          <w:highlight w:val="yellow"/>
        </w:rPr>
        <w:t>1.</w:t>
      </w:r>
    </w:p>
    <w:p w14:paraId="5F8B9445" w14:textId="77777777" w:rsidR="0029077A" w:rsidRPr="000A6323" w:rsidRDefault="0029077A" w:rsidP="0029077A">
      <w:pPr>
        <w:rPr>
          <w:highlight w:val="yellow"/>
        </w:rPr>
      </w:pPr>
      <w:r w:rsidRPr="000A6323">
        <w:rPr>
          <w:highlight w:val="yellow"/>
        </w:rPr>
        <w:t>2.</w:t>
      </w:r>
    </w:p>
    <w:p w14:paraId="08C40D30" w14:textId="77777777" w:rsidR="0029077A" w:rsidRPr="00D047BB" w:rsidRDefault="0029077A" w:rsidP="0029077A">
      <w:r w:rsidRPr="000A6323">
        <w:rPr>
          <w:highlight w:val="yellow"/>
        </w:rPr>
        <w:t>3.</w:t>
      </w:r>
    </w:p>
    <w:bookmarkEnd w:id="0"/>
    <w:p w14:paraId="643A900D" w14:textId="77777777" w:rsidR="0029077A" w:rsidRPr="00D047BB" w:rsidRDefault="0029077A" w:rsidP="0029077A"/>
    <w:p w14:paraId="2056DD40" w14:textId="15A7B59E" w:rsidR="00DF3B2F" w:rsidRPr="008C3E1C" w:rsidRDefault="00DF3B2F" w:rsidP="00DF3B2F">
      <w:pPr>
        <w:spacing w:before="100" w:beforeAutospacing="1" w:after="100" w:afterAutospacing="1" w:line="360" w:lineRule="auto"/>
        <w:ind w:firstLine="360"/>
        <w:jc w:val="both"/>
        <w:rPr>
          <w:rFonts w:ascii="Arial" w:eastAsia="Times New Roman" w:hAnsi="Arial" w:cs="Arial"/>
          <w:sz w:val="20"/>
          <w:szCs w:val="20"/>
          <w:lang w:eastAsia="pt-BR"/>
        </w:rPr>
      </w:pPr>
      <w:r w:rsidRPr="008C3E1C">
        <w:rPr>
          <w:rFonts w:ascii="Arial" w:eastAsia="Times New Roman" w:hAnsi="Arial" w:cs="Arial"/>
          <w:sz w:val="20"/>
          <w:szCs w:val="20"/>
          <w:lang w:eastAsia="pt-BR"/>
        </w:rPr>
        <w:t xml:space="preserve"> </w:t>
      </w:r>
    </w:p>
    <w:p w14:paraId="3F7292E7" w14:textId="77777777" w:rsidR="00DF3B2F" w:rsidRPr="008C3E1C" w:rsidRDefault="00DF3B2F" w:rsidP="00DF3B2F">
      <w:pPr>
        <w:spacing w:before="100" w:beforeAutospacing="1" w:after="100" w:afterAutospacing="1" w:line="360" w:lineRule="auto"/>
        <w:jc w:val="both"/>
        <w:rPr>
          <w:rFonts w:ascii="Arial" w:eastAsia="Times New Roman" w:hAnsi="Arial" w:cs="Arial"/>
          <w:b/>
          <w:lang w:val="en-US" w:eastAsia="pt-BR"/>
        </w:rPr>
      </w:pPr>
      <w:r w:rsidRPr="008C3E1C">
        <w:rPr>
          <w:rFonts w:ascii="Arial" w:eastAsia="Times New Roman" w:hAnsi="Arial" w:cs="Arial"/>
          <w:b/>
          <w:lang w:val="en-US" w:eastAsia="pt-BR"/>
        </w:rPr>
        <w:t>REFERENCES</w:t>
      </w:r>
    </w:p>
    <w:p w14:paraId="3EAEAE75" w14:textId="3B5F47EF"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 Ickovics, J. R., et al. (2019). Transforming prenatal care: Multidisciplinary team science improves a broad range of maternal–child outcomes. </w:t>
      </w:r>
      <w:r w:rsidRPr="00704A1C">
        <w:rPr>
          <w:rFonts w:ascii="Arial" w:hAnsi="Arial" w:cs="Arial"/>
          <w:i/>
          <w:iCs/>
          <w:sz w:val="20"/>
          <w:szCs w:val="20"/>
        </w:rPr>
        <w:t>American Psychologist</w:t>
      </w:r>
      <w:r w:rsidRPr="00704A1C">
        <w:rPr>
          <w:rFonts w:ascii="Arial" w:hAnsi="Arial" w:cs="Arial"/>
          <w:sz w:val="20"/>
          <w:szCs w:val="20"/>
        </w:rPr>
        <w:t>.</w:t>
      </w:r>
    </w:p>
    <w:p w14:paraId="4E6798A4" w14:textId="23948912"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 Finlayson, T. L., et al. (2017). Prenatal maternal factors, intergenerational transmission of disease, and child oral health outcomes. </w:t>
      </w:r>
      <w:r w:rsidRPr="00704A1C">
        <w:rPr>
          <w:rFonts w:ascii="Arial" w:hAnsi="Arial" w:cs="Arial"/>
          <w:i/>
          <w:iCs/>
          <w:sz w:val="20"/>
          <w:szCs w:val="20"/>
        </w:rPr>
        <w:t>Dental Clinics of North America</w:t>
      </w:r>
      <w:r w:rsidRPr="00704A1C">
        <w:rPr>
          <w:rFonts w:ascii="Arial" w:hAnsi="Arial" w:cs="Arial"/>
          <w:sz w:val="20"/>
          <w:szCs w:val="20"/>
        </w:rPr>
        <w:t>.</w:t>
      </w:r>
    </w:p>
    <w:p w14:paraId="7757B91F" w14:textId="5FA8A414"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Prihatini, F. (2024). Innovations in maternity nursing care integrating digital technology: Opportunities in limited-resource regions. </w:t>
      </w:r>
      <w:r w:rsidRPr="00704A1C">
        <w:rPr>
          <w:rFonts w:ascii="Arial" w:hAnsi="Arial" w:cs="Arial"/>
          <w:i/>
          <w:iCs/>
          <w:sz w:val="20"/>
          <w:szCs w:val="20"/>
        </w:rPr>
        <w:t>Global International Journal of Innovative Research</w:t>
      </w:r>
      <w:r w:rsidRPr="00704A1C">
        <w:rPr>
          <w:rFonts w:ascii="Arial" w:hAnsi="Arial" w:cs="Arial"/>
          <w:sz w:val="20"/>
          <w:szCs w:val="20"/>
        </w:rPr>
        <w:t>.</w:t>
      </w:r>
    </w:p>
    <w:p w14:paraId="7B65C987" w14:textId="3203DA5A"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Roethling, H., et al. (2018). Maternal child health frontiers: Expanding prenatal care with a lifecourse approach. </w:t>
      </w:r>
      <w:r w:rsidRPr="00704A1C">
        <w:rPr>
          <w:rFonts w:ascii="Arial" w:hAnsi="Arial" w:cs="Arial"/>
          <w:i/>
          <w:iCs/>
          <w:sz w:val="20"/>
          <w:szCs w:val="20"/>
        </w:rPr>
        <w:t>Maternal and Child Health Perspectives</w:t>
      </w:r>
      <w:r w:rsidRPr="00704A1C">
        <w:rPr>
          <w:rFonts w:ascii="Arial" w:hAnsi="Arial" w:cs="Arial"/>
          <w:sz w:val="20"/>
          <w:szCs w:val="20"/>
        </w:rPr>
        <w:t>.</w:t>
      </w:r>
    </w:p>
    <w:p w14:paraId="0AF13635" w14:textId="1C59F5BA"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Avalos, L. A., et al. (2023). Association between maternal prenatal cannabis use and missed child preventive care visits. </w:t>
      </w:r>
      <w:r w:rsidRPr="00704A1C">
        <w:rPr>
          <w:rFonts w:ascii="Arial" w:hAnsi="Arial" w:cs="Arial"/>
          <w:i/>
          <w:iCs/>
          <w:sz w:val="20"/>
          <w:szCs w:val="20"/>
        </w:rPr>
        <w:t>Preventive Medicine</w:t>
      </w:r>
      <w:r w:rsidRPr="00704A1C">
        <w:rPr>
          <w:rFonts w:ascii="Arial" w:hAnsi="Arial" w:cs="Arial"/>
          <w:sz w:val="20"/>
          <w:szCs w:val="20"/>
        </w:rPr>
        <w:t>.</w:t>
      </w:r>
    </w:p>
    <w:p w14:paraId="62B953F6" w14:textId="497DDAA8"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Ayoola-Adeoye, A., et al. (2025). The impact of maternal health and prenatal care on childhood disabilities: A systematic review. </w:t>
      </w:r>
      <w:r w:rsidRPr="00704A1C">
        <w:rPr>
          <w:rFonts w:ascii="Arial" w:hAnsi="Arial" w:cs="Arial"/>
          <w:i/>
          <w:iCs/>
          <w:sz w:val="20"/>
          <w:szCs w:val="20"/>
        </w:rPr>
        <w:t>International Medical Science Research Journal</w:t>
      </w:r>
      <w:r w:rsidRPr="00704A1C">
        <w:rPr>
          <w:rFonts w:ascii="Arial" w:hAnsi="Arial" w:cs="Arial"/>
          <w:sz w:val="20"/>
          <w:szCs w:val="20"/>
        </w:rPr>
        <w:t>.</w:t>
      </w:r>
    </w:p>
    <w:p w14:paraId="7AD6F3DB" w14:textId="2EE7BFDD"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Diniz, C. M. A., et al. (2023). Educational activity about low-risk prenatal care in the Brazilian Unified Health System. </w:t>
      </w:r>
      <w:r w:rsidRPr="00704A1C">
        <w:rPr>
          <w:rFonts w:ascii="Arial" w:hAnsi="Arial" w:cs="Arial"/>
          <w:i/>
          <w:iCs/>
          <w:sz w:val="20"/>
          <w:szCs w:val="20"/>
        </w:rPr>
        <w:t>Revista Brasileira de Educação Médica</w:t>
      </w:r>
      <w:r w:rsidRPr="00704A1C">
        <w:rPr>
          <w:rFonts w:ascii="Arial" w:hAnsi="Arial" w:cs="Arial"/>
          <w:sz w:val="20"/>
          <w:szCs w:val="20"/>
        </w:rPr>
        <w:t>.</w:t>
      </w:r>
    </w:p>
    <w:p w14:paraId="2356238D" w14:textId="4E3C1758"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lastRenderedPageBreak/>
        <w:t xml:space="preserve">Silva, J. M. M., et al. (2022). Implementation of health promotion in prenatal care at a public health service in Brazil. </w:t>
      </w:r>
      <w:r w:rsidRPr="00704A1C">
        <w:rPr>
          <w:rFonts w:ascii="Arial" w:hAnsi="Arial" w:cs="Arial"/>
          <w:i/>
          <w:iCs/>
          <w:sz w:val="20"/>
          <w:szCs w:val="20"/>
        </w:rPr>
        <w:t>Obstetrics &amp; Gynecology International Journal</w:t>
      </w:r>
      <w:r w:rsidRPr="00704A1C">
        <w:rPr>
          <w:rFonts w:ascii="Arial" w:hAnsi="Arial" w:cs="Arial"/>
          <w:sz w:val="20"/>
          <w:szCs w:val="20"/>
        </w:rPr>
        <w:t>.</w:t>
      </w:r>
    </w:p>
    <w:p w14:paraId="3A9EAFF7" w14:textId="4E4D614D"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O’Connor, T. G., et al. (2022). Maternal prenatal infection and anxiety predict neurodevelopmental outcomes. </w:t>
      </w:r>
      <w:r w:rsidRPr="00704A1C">
        <w:rPr>
          <w:rFonts w:ascii="Arial" w:hAnsi="Arial" w:cs="Arial"/>
          <w:i/>
          <w:iCs/>
          <w:sz w:val="20"/>
          <w:szCs w:val="20"/>
        </w:rPr>
        <w:t>Journal of Psychopathology and Clinical Science</w:t>
      </w:r>
      <w:r w:rsidRPr="00704A1C">
        <w:rPr>
          <w:rFonts w:ascii="Arial" w:hAnsi="Arial" w:cs="Arial"/>
          <w:sz w:val="20"/>
          <w:szCs w:val="20"/>
        </w:rPr>
        <w:t>.</w:t>
      </w:r>
    </w:p>
    <w:p w14:paraId="74D1651A" w14:textId="50B0788E"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McCord, M., et al. (2024). A two-generation early childhood advanced primary care model: 3–2–1 IMPACT. </w:t>
      </w:r>
      <w:r w:rsidRPr="00704A1C">
        <w:rPr>
          <w:rFonts w:ascii="Arial" w:hAnsi="Arial" w:cs="Arial"/>
          <w:i/>
          <w:iCs/>
          <w:sz w:val="20"/>
          <w:szCs w:val="20"/>
        </w:rPr>
        <w:t>Journal of Pediatrics and Child Health</w:t>
      </w:r>
      <w:r w:rsidRPr="00704A1C">
        <w:rPr>
          <w:rFonts w:ascii="Arial" w:hAnsi="Arial" w:cs="Arial"/>
          <w:sz w:val="20"/>
          <w:szCs w:val="20"/>
        </w:rPr>
        <w:t>.</w:t>
      </w:r>
    </w:p>
    <w:p w14:paraId="20209680" w14:textId="113C6937"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Anderson, C., et al. (2022). Lessons learned from the implementation of an integrated prenatal opioid use disorder program. </w:t>
      </w:r>
      <w:r w:rsidRPr="00704A1C">
        <w:rPr>
          <w:rFonts w:ascii="Arial" w:hAnsi="Arial" w:cs="Arial"/>
          <w:i/>
          <w:iCs/>
          <w:sz w:val="20"/>
          <w:szCs w:val="20"/>
        </w:rPr>
        <w:t>Nursing for Women's Health</w:t>
      </w:r>
      <w:r w:rsidRPr="00704A1C">
        <w:rPr>
          <w:rFonts w:ascii="Arial" w:hAnsi="Arial" w:cs="Arial"/>
          <w:sz w:val="20"/>
          <w:szCs w:val="20"/>
        </w:rPr>
        <w:t>.</w:t>
      </w:r>
    </w:p>
    <w:p w14:paraId="1D3A7050" w14:textId="52A0AA73"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O’Connor, T. G., &amp; Sefair, A. V. (2021). Prenatal stress and child health: Immune models and mechanisms. </w:t>
      </w:r>
      <w:r w:rsidRPr="00704A1C">
        <w:rPr>
          <w:rFonts w:ascii="Arial" w:hAnsi="Arial" w:cs="Arial"/>
          <w:i/>
          <w:iCs/>
          <w:sz w:val="20"/>
          <w:szCs w:val="20"/>
        </w:rPr>
        <w:t>Journal of Behavioral Medicine</w:t>
      </w:r>
      <w:r w:rsidRPr="00704A1C">
        <w:rPr>
          <w:rFonts w:ascii="Arial" w:hAnsi="Arial" w:cs="Arial"/>
          <w:sz w:val="20"/>
          <w:szCs w:val="20"/>
        </w:rPr>
        <w:t>.</w:t>
      </w:r>
    </w:p>
    <w:p w14:paraId="65F36F4C" w14:textId="31E35665"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McGill, M. G., et al. (2021). Maternal prenatal anxiety and the fetal origins of epigenetic aging. </w:t>
      </w:r>
      <w:r w:rsidRPr="00704A1C">
        <w:rPr>
          <w:rFonts w:ascii="Arial" w:hAnsi="Arial" w:cs="Arial"/>
          <w:i/>
          <w:iCs/>
          <w:sz w:val="20"/>
          <w:szCs w:val="20"/>
        </w:rPr>
        <w:t>Biological Psychiatry</w:t>
      </w:r>
      <w:r w:rsidRPr="00704A1C">
        <w:rPr>
          <w:rFonts w:ascii="Arial" w:hAnsi="Arial" w:cs="Arial"/>
          <w:sz w:val="20"/>
          <w:szCs w:val="20"/>
        </w:rPr>
        <w:t>.</w:t>
      </w:r>
    </w:p>
    <w:p w14:paraId="4701A654" w14:textId="0FC0CF06"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Fujiwara, M. (2024). A review of integrated clinical practices in maternal and child health services. </w:t>
      </w:r>
      <w:r w:rsidRPr="00704A1C">
        <w:rPr>
          <w:rFonts w:ascii="Arial" w:hAnsi="Arial" w:cs="Arial"/>
          <w:i/>
          <w:iCs/>
          <w:sz w:val="20"/>
          <w:szCs w:val="20"/>
        </w:rPr>
        <w:t>ASEAN Journal of Psychiatry</w:t>
      </w:r>
      <w:r w:rsidRPr="00704A1C">
        <w:rPr>
          <w:rFonts w:ascii="Arial" w:hAnsi="Arial" w:cs="Arial"/>
          <w:sz w:val="20"/>
          <w:szCs w:val="20"/>
        </w:rPr>
        <w:t>.</w:t>
      </w:r>
    </w:p>
    <w:p w14:paraId="2556B7B0" w14:textId="3972AA1E"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Kimmel, M. C., et al. (2017). Integrating maternal mental health care in the pediatric medical home. </w:t>
      </w:r>
      <w:r w:rsidRPr="00704A1C">
        <w:rPr>
          <w:rFonts w:ascii="Arial" w:hAnsi="Arial" w:cs="Arial"/>
          <w:i/>
          <w:iCs/>
          <w:sz w:val="20"/>
          <w:szCs w:val="20"/>
        </w:rPr>
        <w:t>Clinical Pediatrics</w:t>
      </w:r>
      <w:r w:rsidRPr="00704A1C">
        <w:rPr>
          <w:rFonts w:ascii="Arial" w:hAnsi="Arial" w:cs="Arial"/>
          <w:sz w:val="20"/>
          <w:szCs w:val="20"/>
        </w:rPr>
        <w:t>.</w:t>
      </w:r>
    </w:p>
    <w:p w14:paraId="0AD1A63E" w14:textId="1D263174"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Wu, K. K., et al. (2021). Virtual visits in prenatal care: An integrative review. </w:t>
      </w:r>
      <w:r w:rsidRPr="00704A1C">
        <w:rPr>
          <w:rFonts w:ascii="Arial" w:hAnsi="Arial" w:cs="Arial"/>
          <w:i/>
          <w:iCs/>
          <w:sz w:val="20"/>
          <w:szCs w:val="20"/>
        </w:rPr>
        <w:t>Journal of Midwifery &amp; Women’s Health</w:t>
      </w:r>
      <w:r w:rsidRPr="00704A1C">
        <w:rPr>
          <w:rFonts w:ascii="Arial" w:hAnsi="Arial" w:cs="Arial"/>
          <w:sz w:val="20"/>
          <w:szCs w:val="20"/>
        </w:rPr>
        <w:t>.</w:t>
      </w:r>
    </w:p>
    <w:p w14:paraId="27E3610E" w14:textId="30B3D543"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Grande, L. A., et al. (2021). Maternal caregiving ameliorates the consequences of prenatal maternal psychological distress. </w:t>
      </w:r>
      <w:r w:rsidRPr="00704A1C">
        <w:rPr>
          <w:rFonts w:ascii="Arial" w:hAnsi="Arial" w:cs="Arial"/>
          <w:i/>
          <w:iCs/>
          <w:sz w:val="20"/>
          <w:szCs w:val="20"/>
        </w:rPr>
        <w:t>Development and Psychopathology</w:t>
      </w:r>
      <w:r w:rsidRPr="00704A1C">
        <w:rPr>
          <w:rFonts w:ascii="Arial" w:hAnsi="Arial" w:cs="Arial"/>
          <w:sz w:val="20"/>
          <w:szCs w:val="20"/>
        </w:rPr>
        <w:t>.</w:t>
      </w:r>
    </w:p>
    <w:p w14:paraId="590F2954" w14:textId="0EF37496"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Monk, C., et al. (2022). The transition to parenthood in obstetrics: Enhancing prenatal care for two-generation impact. </w:t>
      </w:r>
      <w:r w:rsidRPr="00704A1C">
        <w:rPr>
          <w:rFonts w:ascii="Arial" w:hAnsi="Arial" w:cs="Arial"/>
          <w:i/>
          <w:iCs/>
          <w:sz w:val="20"/>
          <w:szCs w:val="20"/>
        </w:rPr>
        <w:t>AJOG Global Reports</w:t>
      </w:r>
      <w:r w:rsidRPr="00704A1C">
        <w:rPr>
          <w:rFonts w:ascii="Arial" w:hAnsi="Arial" w:cs="Arial"/>
          <w:sz w:val="20"/>
          <w:szCs w:val="20"/>
        </w:rPr>
        <w:t>.</w:t>
      </w:r>
    </w:p>
    <w:p w14:paraId="35B17427" w14:textId="2D3BCE86" w:rsidR="00704A1C"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Hardie, I., et al. (2023). Prenatal maternal infections and early childhood development outcomes. </w:t>
      </w:r>
      <w:r w:rsidRPr="00704A1C">
        <w:rPr>
          <w:rFonts w:ascii="Arial" w:hAnsi="Arial" w:cs="Arial"/>
          <w:i/>
          <w:iCs/>
          <w:sz w:val="20"/>
          <w:szCs w:val="20"/>
        </w:rPr>
        <w:t>International Journal of Population Data Science</w:t>
      </w:r>
      <w:r w:rsidRPr="00704A1C">
        <w:rPr>
          <w:rFonts w:ascii="Arial" w:hAnsi="Arial" w:cs="Arial"/>
          <w:sz w:val="20"/>
          <w:szCs w:val="20"/>
        </w:rPr>
        <w:t>.</w:t>
      </w:r>
    </w:p>
    <w:p w14:paraId="59E61FDF" w14:textId="02EF560A" w:rsidR="00607423" w:rsidRPr="00704A1C" w:rsidRDefault="00704A1C" w:rsidP="00704A1C">
      <w:pPr>
        <w:numPr>
          <w:ilvl w:val="0"/>
          <w:numId w:val="3"/>
        </w:numPr>
        <w:rPr>
          <w:rFonts w:ascii="Arial" w:hAnsi="Arial" w:cs="Arial"/>
          <w:sz w:val="20"/>
          <w:szCs w:val="20"/>
        </w:rPr>
      </w:pPr>
      <w:r w:rsidRPr="00704A1C">
        <w:rPr>
          <w:rFonts w:ascii="Arial" w:hAnsi="Arial" w:cs="Arial"/>
          <w:sz w:val="20"/>
          <w:szCs w:val="20"/>
        </w:rPr>
        <w:t xml:space="preserve">Henry, R. D., et al. (2024). Prenatal maternal emotion dysregulation as a predictor of newborn outcomes. </w:t>
      </w:r>
      <w:r w:rsidRPr="00704A1C">
        <w:rPr>
          <w:rFonts w:ascii="Arial" w:hAnsi="Arial" w:cs="Arial"/>
          <w:i/>
          <w:iCs/>
          <w:sz w:val="20"/>
          <w:szCs w:val="20"/>
        </w:rPr>
        <w:t>BMC Pregnancy and Childbirth, 24</w:t>
      </w:r>
      <w:r w:rsidRPr="00704A1C">
        <w:rPr>
          <w:rFonts w:ascii="Arial" w:hAnsi="Arial" w:cs="Arial"/>
          <w:sz w:val="20"/>
          <w:szCs w:val="20"/>
        </w:rPr>
        <w:t>, 568.</w:t>
      </w:r>
    </w:p>
    <w:sectPr w:rsidR="00607423" w:rsidRPr="00704A1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FF240" w14:textId="77777777" w:rsidR="008A3608" w:rsidRDefault="008A3608" w:rsidP="00C477C2">
      <w:pPr>
        <w:spacing w:after="0" w:line="240" w:lineRule="auto"/>
      </w:pPr>
      <w:r>
        <w:separator/>
      </w:r>
    </w:p>
  </w:endnote>
  <w:endnote w:type="continuationSeparator" w:id="0">
    <w:p w14:paraId="37C61D0F" w14:textId="77777777" w:rsidR="008A3608" w:rsidRDefault="008A3608" w:rsidP="00C4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EC7E5" w14:textId="77777777" w:rsidR="00C477C2" w:rsidRDefault="00C477C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FF8C" w14:textId="77777777" w:rsidR="00C477C2" w:rsidRDefault="00C477C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78F5F" w14:textId="77777777" w:rsidR="00C477C2" w:rsidRDefault="00C477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A02CA" w14:textId="77777777" w:rsidR="008A3608" w:rsidRDefault="008A3608" w:rsidP="00C477C2">
      <w:pPr>
        <w:spacing w:after="0" w:line="240" w:lineRule="auto"/>
      </w:pPr>
      <w:r>
        <w:separator/>
      </w:r>
    </w:p>
  </w:footnote>
  <w:footnote w:type="continuationSeparator" w:id="0">
    <w:p w14:paraId="116B79DC" w14:textId="77777777" w:rsidR="008A3608" w:rsidRDefault="008A3608" w:rsidP="00C4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C43E3" w14:textId="178A20D9" w:rsidR="00C477C2" w:rsidRDefault="008A3608">
    <w:pPr>
      <w:pStyle w:val="Cabealho"/>
    </w:pPr>
    <w:r>
      <w:rPr>
        <w:noProof/>
      </w:rPr>
      <w:pict w14:anchorId="65F8D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92547"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B607F" w14:textId="6C065894" w:rsidR="00C477C2" w:rsidRDefault="008A3608">
    <w:pPr>
      <w:pStyle w:val="Cabealho"/>
    </w:pPr>
    <w:r>
      <w:rPr>
        <w:noProof/>
      </w:rPr>
      <w:pict w14:anchorId="00B99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92548"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A9C56" w14:textId="0CD4FB7A" w:rsidR="00C477C2" w:rsidRDefault="008A3608">
    <w:pPr>
      <w:pStyle w:val="Cabealho"/>
    </w:pPr>
    <w:r>
      <w:rPr>
        <w:noProof/>
      </w:rPr>
      <w:pict w14:anchorId="60D95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92546"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7D865FE"/>
    <w:multiLevelType w:val="multilevel"/>
    <w:tmpl w:val="F61C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23"/>
    <w:rsid w:val="00252D98"/>
    <w:rsid w:val="002677E0"/>
    <w:rsid w:val="0029077A"/>
    <w:rsid w:val="00491E8B"/>
    <w:rsid w:val="00526405"/>
    <w:rsid w:val="00607423"/>
    <w:rsid w:val="00641A2C"/>
    <w:rsid w:val="00704A1C"/>
    <w:rsid w:val="008A3608"/>
    <w:rsid w:val="00BD2825"/>
    <w:rsid w:val="00C477C2"/>
    <w:rsid w:val="00C777A8"/>
    <w:rsid w:val="00CF018E"/>
    <w:rsid w:val="00D551E2"/>
    <w:rsid w:val="00DF3B2F"/>
    <w:rsid w:val="00EF0C92"/>
    <w:rsid w:val="00F74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A531F"/>
  <w15:chartTrackingRefBased/>
  <w15:docId w15:val="{58C82D6E-8E48-4F94-8FF1-278D306E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D98"/>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3B2F"/>
    <w:pPr>
      <w:ind w:left="720"/>
      <w:contextualSpacing/>
    </w:pPr>
  </w:style>
  <w:style w:type="character" w:styleId="Hyperlink">
    <w:name w:val="Hyperlink"/>
    <w:basedOn w:val="Fontepargpadro"/>
    <w:uiPriority w:val="99"/>
    <w:unhideWhenUsed/>
    <w:rsid w:val="00641A2C"/>
    <w:rPr>
      <w:color w:val="0563C1" w:themeColor="hyperlink"/>
      <w:u w:val="single"/>
    </w:rPr>
  </w:style>
  <w:style w:type="character" w:styleId="MenoPendente">
    <w:name w:val="Unresolved Mention"/>
    <w:basedOn w:val="Fontepargpadro"/>
    <w:uiPriority w:val="99"/>
    <w:semiHidden/>
    <w:unhideWhenUsed/>
    <w:rsid w:val="00641A2C"/>
    <w:rPr>
      <w:color w:val="605E5C"/>
      <w:shd w:val="clear" w:color="auto" w:fill="E1DFDD"/>
    </w:rPr>
  </w:style>
  <w:style w:type="paragraph" w:styleId="Cabealho">
    <w:name w:val="header"/>
    <w:basedOn w:val="Normal"/>
    <w:link w:val="CabealhoChar"/>
    <w:uiPriority w:val="99"/>
    <w:unhideWhenUsed/>
    <w:rsid w:val="00C477C2"/>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C477C2"/>
  </w:style>
  <w:style w:type="paragraph" w:styleId="Rodap">
    <w:name w:val="footer"/>
    <w:basedOn w:val="Normal"/>
    <w:link w:val="RodapChar"/>
    <w:uiPriority w:val="99"/>
    <w:unhideWhenUsed/>
    <w:rsid w:val="00C477C2"/>
    <w:pPr>
      <w:tabs>
        <w:tab w:val="center" w:pos="4680"/>
        <w:tab w:val="right" w:pos="9360"/>
      </w:tabs>
      <w:spacing w:after="0" w:line="240" w:lineRule="auto"/>
    </w:pPr>
  </w:style>
  <w:style w:type="character" w:customStyle="1" w:styleId="RodapChar">
    <w:name w:val="Rodapé Char"/>
    <w:basedOn w:val="Fontepargpadro"/>
    <w:link w:val="Rodap"/>
    <w:uiPriority w:val="99"/>
    <w:rsid w:val="00C4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1021">
      <w:bodyDiv w:val="1"/>
      <w:marLeft w:val="0"/>
      <w:marRight w:val="0"/>
      <w:marTop w:val="0"/>
      <w:marBottom w:val="0"/>
      <w:divBdr>
        <w:top w:val="none" w:sz="0" w:space="0" w:color="auto"/>
        <w:left w:val="none" w:sz="0" w:space="0" w:color="auto"/>
        <w:bottom w:val="none" w:sz="0" w:space="0" w:color="auto"/>
        <w:right w:val="none" w:sz="0" w:space="0" w:color="auto"/>
      </w:divBdr>
    </w:div>
    <w:div w:id="215630341">
      <w:bodyDiv w:val="1"/>
      <w:marLeft w:val="0"/>
      <w:marRight w:val="0"/>
      <w:marTop w:val="0"/>
      <w:marBottom w:val="0"/>
      <w:divBdr>
        <w:top w:val="none" w:sz="0" w:space="0" w:color="auto"/>
        <w:left w:val="none" w:sz="0" w:space="0" w:color="auto"/>
        <w:bottom w:val="none" w:sz="0" w:space="0" w:color="auto"/>
        <w:right w:val="none" w:sz="0" w:space="0" w:color="auto"/>
      </w:divBdr>
    </w:div>
    <w:div w:id="282617018">
      <w:bodyDiv w:val="1"/>
      <w:marLeft w:val="0"/>
      <w:marRight w:val="0"/>
      <w:marTop w:val="0"/>
      <w:marBottom w:val="0"/>
      <w:divBdr>
        <w:top w:val="none" w:sz="0" w:space="0" w:color="auto"/>
        <w:left w:val="none" w:sz="0" w:space="0" w:color="auto"/>
        <w:bottom w:val="none" w:sz="0" w:space="0" w:color="auto"/>
        <w:right w:val="none" w:sz="0" w:space="0" w:color="auto"/>
      </w:divBdr>
    </w:div>
    <w:div w:id="363286378">
      <w:bodyDiv w:val="1"/>
      <w:marLeft w:val="0"/>
      <w:marRight w:val="0"/>
      <w:marTop w:val="0"/>
      <w:marBottom w:val="0"/>
      <w:divBdr>
        <w:top w:val="none" w:sz="0" w:space="0" w:color="auto"/>
        <w:left w:val="none" w:sz="0" w:space="0" w:color="auto"/>
        <w:bottom w:val="none" w:sz="0" w:space="0" w:color="auto"/>
        <w:right w:val="none" w:sz="0" w:space="0" w:color="auto"/>
      </w:divBdr>
    </w:div>
    <w:div w:id="591008684">
      <w:bodyDiv w:val="1"/>
      <w:marLeft w:val="0"/>
      <w:marRight w:val="0"/>
      <w:marTop w:val="0"/>
      <w:marBottom w:val="0"/>
      <w:divBdr>
        <w:top w:val="none" w:sz="0" w:space="0" w:color="auto"/>
        <w:left w:val="none" w:sz="0" w:space="0" w:color="auto"/>
        <w:bottom w:val="none" w:sz="0" w:space="0" w:color="auto"/>
        <w:right w:val="none" w:sz="0" w:space="0" w:color="auto"/>
      </w:divBdr>
    </w:div>
    <w:div w:id="816412498">
      <w:bodyDiv w:val="1"/>
      <w:marLeft w:val="0"/>
      <w:marRight w:val="0"/>
      <w:marTop w:val="0"/>
      <w:marBottom w:val="0"/>
      <w:divBdr>
        <w:top w:val="none" w:sz="0" w:space="0" w:color="auto"/>
        <w:left w:val="none" w:sz="0" w:space="0" w:color="auto"/>
        <w:bottom w:val="none" w:sz="0" w:space="0" w:color="auto"/>
        <w:right w:val="none" w:sz="0" w:space="0" w:color="auto"/>
      </w:divBdr>
    </w:div>
    <w:div w:id="857230495">
      <w:bodyDiv w:val="1"/>
      <w:marLeft w:val="0"/>
      <w:marRight w:val="0"/>
      <w:marTop w:val="0"/>
      <w:marBottom w:val="0"/>
      <w:divBdr>
        <w:top w:val="none" w:sz="0" w:space="0" w:color="auto"/>
        <w:left w:val="none" w:sz="0" w:space="0" w:color="auto"/>
        <w:bottom w:val="none" w:sz="0" w:space="0" w:color="auto"/>
        <w:right w:val="none" w:sz="0" w:space="0" w:color="auto"/>
      </w:divBdr>
    </w:div>
    <w:div w:id="959070995">
      <w:bodyDiv w:val="1"/>
      <w:marLeft w:val="0"/>
      <w:marRight w:val="0"/>
      <w:marTop w:val="0"/>
      <w:marBottom w:val="0"/>
      <w:divBdr>
        <w:top w:val="none" w:sz="0" w:space="0" w:color="auto"/>
        <w:left w:val="none" w:sz="0" w:space="0" w:color="auto"/>
        <w:bottom w:val="none" w:sz="0" w:space="0" w:color="auto"/>
        <w:right w:val="none" w:sz="0" w:space="0" w:color="auto"/>
      </w:divBdr>
    </w:div>
    <w:div w:id="1080952463">
      <w:bodyDiv w:val="1"/>
      <w:marLeft w:val="0"/>
      <w:marRight w:val="0"/>
      <w:marTop w:val="0"/>
      <w:marBottom w:val="0"/>
      <w:divBdr>
        <w:top w:val="none" w:sz="0" w:space="0" w:color="auto"/>
        <w:left w:val="none" w:sz="0" w:space="0" w:color="auto"/>
        <w:bottom w:val="none" w:sz="0" w:space="0" w:color="auto"/>
        <w:right w:val="none" w:sz="0" w:space="0" w:color="auto"/>
      </w:divBdr>
    </w:div>
    <w:div w:id="1346908543">
      <w:bodyDiv w:val="1"/>
      <w:marLeft w:val="0"/>
      <w:marRight w:val="0"/>
      <w:marTop w:val="0"/>
      <w:marBottom w:val="0"/>
      <w:divBdr>
        <w:top w:val="none" w:sz="0" w:space="0" w:color="auto"/>
        <w:left w:val="none" w:sz="0" w:space="0" w:color="auto"/>
        <w:bottom w:val="none" w:sz="0" w:space="0" w:color="auto"/>
        <w:right w:val="none" w:sz="0" w:space="0" w:color="auto"/>
      </w:divBdr>
    </w:div>
    <w:div w:id="15167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3465</Words>
  <Characters>18717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Roger Queiroz</cp:lastModifiedBy>
  <cp:revision>14</cp:revision>
  <dcterms:created xsi:type="dcterms:W3CDTF">2025-10-12T15:50:00Z</dcterms:created>
  <dcterms:modified xsi:type="dcterms:W3CDTF">2025-10-28T21:33:00Z</dcterms:modified>
</cp:coreProperties>
</file>