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3A18F" w14:textId="77777777" w:rsidR="002F7AD1" w:rsidRPr="00EA7110" w:rsidRDefault="002F7AD1" w:rsidP="00EA7110">
      <w:pPr>
        <w:jc w:val="both"/>
        <w:rPr>
          <w:b/>
        </w:rPr>
      </w:pPr>
      <w:r w:rsidRPr="00EA7110">
        <w:rPr>
          <w:b/>
        </w:rPr>
        <w:t>Assessing Anemia Status and Intervention Challenges among Adolescents: A Study under the Anemia Mukt Bharat Abhiyan</w:t>
      </w:r>
    </w:p>
    <w:p w14:paraId="1179A8EB" w14:textId="77777777" w:rsidR="002F7AD1" w:rsidRDefault="002F7AD1" w:rsidP="00EA7110">
      <w:pPr>
        <w:jc w:val="both"/>
      </w:pPr>
    </w:p>
    <w:p w14:paraId="7A00A57E" w14:textId="273374F0" w:rsidR="009A2ABD" w:rsidRDefault="009A2ABD" w:rsidP="00EA7110">
      <w:pPr>
        <w:jc w:val="both"/>
      </w:pPr>
      <w:r>
        <w:t>Abstract</w:t>
      </w:r>
      <w:r w:rsidR="0086530E">
        <w:t xml:space="preserve">: </w:t>
      </w:r>
    </w:p>
    <w:p w14:paraId="0EE31517" w14:textId="6428AA39" w:rsidR="009A2ABD" w:rsidRDefault="009A2ABD" w:rsidP="00EA7110">
      <w:pPr>
        <w:jc w:val="both"/>
      </w:pPr>
      <w:r>
        <w:t>Anemia is one of the most common nutritional disorders worldwide, with adolescents representing a highly vulnerable group due to rapid growth, increased micronutrient requirements, and lifestyle-related dietary transitions. Despite sustained efforts under global and national health programs, anemia continues to be a pressing public health challenge in India. The Anemia Mukt Bharat Abhiyan (AMBA), launched in 2018 as part of the Intensified National Iron Plus Initiative, has set ambitious goals of reducing anemia prevalence by 3% annually across multiple target groups.</w:t>
      </w:r>
    </w:p>
    <w:p w14:paraId="091A27E0" w14:textId="77777777" w:rsidR="00647EE2" w:rsidRDefault="009A2ABD" w:rsidP="00EA7110">
      <w:pPr>
        <w:jc w:val="both"/>
      </w:pPr>
      <w:r>
        <w:t xml:space="preserve">This study aims to assess anemia prevalence and intervention challenges among adolescents (10–19 years) under AMBA. Using a cross-sectional methodology in semi-urban and school-based settings, data were collected from 300 adolescents (150 males and 150 females). Hemoglobin levels, dietary habits, and awareness of AMBA interventions were </w:t>
      </w:r>
      <w:proofErr w:type="spellStart"/>
      <w:r>
        <w:t>analyzed</w:t>
      </w:r>
      <w:proofErr w:type="spellEnd"/>
      <w:r>
        <w:t xml:space="preserve">. </w:t>
      </w:r>
    </w:p>
    <w:p w14:paraId="3AA22656" w14:textId="57DF3EBA" w:rsidR="004E29CB" w:rsidRDefault="009A2ABD" w:rsidP="00EA7110">
      <w:pPr>
        <w:jc w:val="both"/>
      </w:pPr>
      <w:r>
        <w:t>Results showed an overall anemia prevalence of 56%, with a significantly higher prevalence among girls (68%) compared to boys (44%). Awareness levels about AMBA were low (41%), with only 25% reporting consistent intake of iron–folic acid (IFA) supplementation. Barriers identified included irregular IFA supply, stigma around consumption, side effects, peer influence, inadequate parental engagement, and socio-economic constraints.</w:t>
      </w:r>
    </w:p>
    <w:p w14:paraId="704CAE64" w14:textId="630D699C" w:rsidR="004E29CB" w:rsidRDefault="004E29CB" w:rsidP="00EA7110">
      <w:pPr>
        <w:jc w:val="both"/>
      </w:pPr>
    </w:p>
    <w:p w14:paraId="0CDDC910" w14:textId="55460321" w:rsidR="009A2ABD" w:rsidRDefault="009A2ABD" w:rsidP="00EA7110">
      <w:pPr>
        <w:jc w:val="both"/>
      </w:pPr>
      <w:r>
        <w:t>The findings underscore that while AMBA provides a robust policy framework through its 6x6x6 strategy, implementation bottlenecks persist at the ground level. Schools and frontline workers remain underutilized, and adolescent-friendly communication strategies are insufficient. The study recommends strengthening supply chain logistics, introducing school-based peer educator models, fortification of staple foods, and integration of anemia prevention into broader adolescent health and reproductive health programs.</w:t>
      </w:r>
    </w:p>
    <w:p w14:paraId="33772DF3" w14:textId="77777777" w:rsidR="009A2ABD" w:rsidRDefault="009A2ABD" w:rsidP="00EA7110">
      <w:pPr>
        <w:jc w:val="both"/>
      </w:pPr>
      <w:r>
        <w:t>By addressing both supply- and demand-side constraints, India can achieve its anemia reduction goals and improve the health, education, and productivity outcomes of its adolescent population.</w:t>
      </w:r>
    </w:p>
    <w:p w14:paraId="7E2A9386" w14:textId="77777777" w:rsidR="009A2ABD" w:rsidRDefault="009A2ABD" w:rsidP="00EA7110">
      <w:pPr>
        <w:jc w:val="both"/>
      </w:pPr>
    </w:p>
    <w:p w14:paraId="218C016C" w14:textId="1F8FAFEB" w:rsidR="00EE6BEB" w:rsidRDefault="009A2ABD" w:rsidP="00EA7110">
      <w:pPr>
        <w:jc w:val="both"/>
      </w:pPr>
      <w:r>
        <w:t>Keywords: Anemia Mukt Bharat Abhiyan, Adolescents, Iron Deficiency, Hemoglobin, Public Health, Nutrition Policy, IFA Supplementation</w:t>
      </w:r>
      <w:r w:rsidR="007A5845">
        <w:t>.</w:t>
      </w:r>
    </w:p>
    <w:p w14:paraId="2AB6E6B7" w14:textId="77777777" w:rsidR="003110DD" w:rsidRDefault="003110DD" w:rsidP="00EA7110">
      <w:pPr>
        <w:jc w:val="both"/>
      </w:pPr>
    </w:p>
    <w:p w14:paraId="353188DF" w14:textId="6604F50F" w:rsidR="00EE6BEB" w:rsidRDefault="00EE6BEB" w:rsidP="00EA7110">
      <w:pPr>
        <w:pStyle w:val="ListParagraph"/>
        <w:numPr>
          <w:ilvl w:val="0"/>
          <w:numId w:val="11"/>
        </w:numPr>
        <w:jc w:val="both"/>
      </w:pPr>
      <w:proofErr w:type="gramStart"/>
      <w:r>
        <w:lastRenderedPageBreak/>
        <w:t>Introduction</w:t>
      </w:r>
      <w:r w:rsidR="003110DD">
        <w:t xml:space="preserve"> :</w:t>
      </w:r>
      <w:proofErr w:type="gramEnd"/>
      <w:r w:rsidR="003110DD">
        <w:t xml:space="preserve"> </w:t>
      </w:r>
    </w:p>
    <w:p w14:paraId="411E8ADA" w14:textId="00E9FDB9" w:rsidR="00351357" w:rsidRDefault="00351357" w:rsidP="00EA7110">
      <w:pPr>
        <w:jc w:val="both"/>
      </w:pPr>
      <w:r>
        <w:t>1.1 Global Perspective on Anemia</w:t>
      </w:r>
    </w:p>
    <w:p w14:paraId="5F853230" w14:textId="6F06C7A4" w:rsidR="00351357" w:rsidRDefault="00351357" w:rsidP="00EA7110">
      <w:pPr>
        <w:ind w:left="360"/>
        <w:jc w:val="both"/>
      </w:pPr>
      <w:r>
        <w:t xml:space="preserve">Anemia continues to be a major global public health issue. The World Health Organization (WHO)’s recent reports note very slow progress globally in reducing anemia, and call for accelerated actions to reach global nutrition and </w:t>
      </w:r>
      <w:proofErr w:type="spellStart"/>
      <w:r>
        <w:t>anemia</w:t>
      </w:r>
      <w:proofErr w:type="spellEnd"/>
      <w:r>
        <w:t xml:space="preserve"> targets</w:t>
      </w:r>
      <w:r w:rsidR="0051447D">
        <w:t xml:space="preserve"> [7,8]</w:t>
      </w:r>
      <w:r>
        <w:t xml:space="preserve">.  Globally, 1.9 billion people had anemia in 2021, including large numbers of women and young children; women of reproductive age and children under five remain the most burdened groups. </w:t>
      </w:r>
    </w:p>
    <w:p w14:paraId="13849CA9" w14:textId="47E2578C" w:rsidR="00351357" w:rsidRDefault="00351357" w:rsidP="00EA7110">
      <w:pPr>
        <w:ind w:left="360"/>
        <w:jc w:val="both"/>
      </w:pPr>
      <w:r>
        <w:t>Adolescents (10–19 years) are especially vulnerable due to increased physiological demands (growth spurts, onset of menstruation in girls). Causes remain multifactorial – iron deficiency (often with folate, B12, vitamin A deficiencies), parasitic infection, hemoglobin disorders, repeated infections, consumption of micronutrient</w:t>
      </w:r>
      <w:r w:rsidRPr="00C071FB">
        <w:rPr>
          <w:rFonts w:ascii="Cambria Math" w:hAnsi="Cambria Math" w:cs="Cambria Math"/>
        </w:rPr>
        <w:t>‐</w:t>
      </w:r>
      <w:r>
        <w:t xml:space="preserve">poor diets, and socio-cultural constraints. Recent WHO work emphasizes the importance of accurate measurement and diagnosis (including updated hemoglobin thresholds) in tracking anemia burden and in designing interventions. </w:t>
      </w:r>
    </w:p>
    <w:p w14:paraId="30F89C9C" w14:textId="77777777" w:rsidR="00332374" w:rsidRPr="00332374" w:rsidRDefault="00332374" w:rsidP="00EA7110">
      <w:pPr>
        <w:jc w:val="both"/>
      </w:pPr>
      <w:r w:rsidRPr="00332374">
        <w:t xml:space="preserve">Table 1: </w:t>
      </w:r>
      <w:proofErr w:type="spellStart"/>
      <w:r w:rsidRPr="00332374">
        <w:t>Anemia</w:t>
      </w:r>
      <w:proofErr w:type="spellEnd"/>
      <w:r w:rsidRPr="00332374">
        <w:t xml:space="preserve"> Prevalence, Awareness, and Barriers among Adolescents</w:t>
      </w:r>
    </w:p>
    <w:tbl>
      <w:tblPr>
        <w:tblStyle w:val="TableGrid1"/>
        <w:tblW w:w="0" w:type="auto"/>
        <w:tblLook w:val="04A0" w:firstRow="1" w:lastRow="0" w:firstColumn="1" w:lastColumn="0" w:noHBand="0" w:noVBand="1"/>
      </w:tblPr>
      <w:tblGrid>
        <w:gridCol w:w="2471"/>
        <w:gridCol w:w="2230"/>
      </w:tblGrid>
      <w:tr w:rsidR="00332374" w:rsidRPr="00332374" w14:paraId="5A045B7E" w14:textId="77777777" w:rsidTr="00332374">
        <w:tc>
          <w:tcPr>
            <w:tcW w:w="2471" w:type="dxa"/>
          </w:tcPr>
          <w:p w14:paraId="4C9CE5FC" w14:textId="77777777" w:rsidR="00332374" w:rsidRPr="00332374" w:rsidRDefault="00332374" w:rsidP="00EA7110">
            <w:pPr>
              <w:jc w:val="both"/>
            </w:pPr>
            <w:r w:rsidRPr="00332374">
              <w:t>Parameter</w:t>
            </w:r>
          </w:p>
        </w:tc>
        <w:tc>
          <w:tcPr>
            <w:tcW w:w="2230" w:type="dxa"/>
          </w:tcPr>
          <w:p w14:paraId="3A2FE22B" w14:textId="77777777" w:rsidR="00332374" w:rsidRPr="00332374" w:rsidRDefault="00332374" w:rsidP="00EA7110">
            <w:pPr>
              <w:jc w:val="both"/>
            </w:pPr>
            <w:r w:rsidRPr="00332374">
              <w:t xml:space="preserve"> N Findings</w:t>
            </w:r>
          </w:p>
        </w:tc>
      </w:tr>
      <w:tr w:rsidR="00332374" w:rsidRPr="00332374" w14:paraId="7923BBEF" w14:textId="77777777" w:rsidTr="00332374">
        <w:tc>
          <w:tcPr>
            <w:tcW w:w="2471" w:type="dxa"/>
          </w:tcPr>
          <w:p w14:paraId="7436E2BD" w14:textId="77777777" w:rsidR="00332374" w:rsidRPr="00332374" w:rsidRDefault="00332374" w:rsidP="00EA7110">
            <w:pPr>
              <w:jc w:val="both"/>
            </w:pPr>
            <w:r w:rsidRPr="00332374">
              <w:t xml:space="preserve">Overall </w:t>
            </w:r>
            <w:proofErr w:type="spellStart"/>
            <w:r w:rsidRPr="00332374">
              <w:t>Anemia</w:t>
            </w:r>
            <w:proofErr w:type="spellEnd"/>
            <w:r w:rsidRPr="00332374">
              <w:t xml:space="preserve"> Prevalence. </w:t>
            </w:r>
          </w:p>
        </w:tc>
        <w:tc>
          <w:tcPr>
            <w:tcW w:w="2230" w:type="dxa"/>
          </w:tcPr>
          <w:p w14:paraId="78A55110" w14:textId="77777777" w:rsidR="00332374" w:rsidRPr="00332374" w:rsidRDefault="00332374" w:rsidP="00EA7110">
            <w:pPr>
              <w:jc w:val="both"/>
            </w:pPr>
            <w:r w:rsidRPr="00332374">
              <w:t>56%</w:t>
            </w:r>
          </w:p>
        </w:tc>
      </w:tr>
      <w:tr w:rsidR="00332374" w:rsidRPr="00332374" w14:paraId="43804610" w14:textId="77777777" w:rsidTr="00332374">
        <w:tc>
          <w:tcPr>
            <w:tcW w:w="2471" w:type="dxa"/>
          </w:tcPr>
          <w:p w14:paraId="6AEDBA08" w14:textId="77777777" w:rsidR="00332374" w:rsidRPr="00332374" w:rsidRDefault="00332374" w:rsidP="00EA7110">
            <w:pPr>
              <w:jc w:val="both"/>
            </w:pPr>
            <w:proofErr w:type="spellStart"/>
            <w:r w:rsidRPr="00332374">
              <w:t>Anemia</w:t>
            </w:r>
            <w:proofErr w:type="spellEnd"/>
            <w:r w:rsidRPr="00332374">
              <w:t xml:space="preserve"> Prevalence among Girls</w:t>
            </w:r>
            <w:r w:rsidRPr="00332374">
              <w:tab/>
              <w:t xml:space="preserve">   </w:t>
            </w:r>
          </w:p>
        </w:tc>
        <w:tc>
          <w:tcPr>
            <w:tcW w:w="2230" w:type="dxa"/>
          </w:tcPr>
          <w:p w14:paraId="3D06A8A3" w14:textId="77777777" w:rsidR="00332374" w:rsidRPr="00332374" w:rsidRDefault="00332374" w:rsidP="00EA7110">
            <w:pPr>
              <w:jc w:val="both"/>
            </w:pPr>
            <w:r w:rsidRPr="00332374">
              <w:t xml:space="preserve"> 68%</w:t>
            </w:r>
          </w:p>
        </w:tc>
      </w:tr>
      <w:tr w:rsidR="00332374" w:rsidRPr="00332374" w14:paraId="2A361E8B" w14:textId="77777777" w:rsidTr="00332374">
        <w:tc>
          <w:tcPr>
            <w:tcW w:w="2471" w:type="dxa"/>
          </w:tcPr>
          <w:p w14:paraId="2B0CAD47" w14:textId="77777777" w:rsidR="00332374" w:rsidRPr="00332374" w:rsidRDefault="00332374" w:rsidP="00EA7110">
            <w:pPr>
              <w:jc w:val="both"/>
            </w:pPr>
            <w:r w:rsidRPr="00332374">
              <w:t xml:space="preserve">Awareness about </w:t>
            </w:r>
            <w:proofErr w:type="spellStart"/>
            <w:r w:rsidRPr="00332374">
              <w:t>Anemia</w:t>
            </w:r>
            <w:proofErr w:type="spellEnd"/>
            <w:r w:rsidRPr="00332374">
              <w:t xml:space="preserve"> </w:t>
            </w:r>
            <w:proofErr w:type="spellStart"/>
            <w:r w:rsidRPr="00332374">
              <w:t>Mukt</w:t>
            </w:r>
            <w:proofErr w:type="spellEnd"/>
            <w:r w:rsidRPr="00332374">
              <w:t xml:space="preserve"> Bharat Abhiyan (AMBA)</w:t>
            </w:r>
            <w:r w:rsidRPr="00332374">
              <w:tab/>
            </w:r>
          </w:p>
        </w:tc>
        <w:tc>
          <w:tcPr>
            <w:tcW w:w="2230" w:type="dxa"/>
          </w:tcPr>
          <w:p w14:paraId="206051FD" w14:textId="77777777" w:rsidR="00332374" w:rsidRPr="00332374" w:rsidRDefault="00332374" w:rsidP="00EA7110">
            <w:pPr>
              <w:jc w:val="both"/>
            </w:pPr>
            <w:r w:rsidRPr="00332374">
              <w:t>44%</w:t>
            </w:r>
          </w:p>
        </w:tc>
      </w:tr>
      <w:tr w:rsidR="00332374" w:rsidRPr="00332374" w14:paraId="0C220E3B" w14:textId="77777777" w:rsidTr="00332374">
        <w:tc>
          <w:tcPr>
            <w:tcW w:w="2471" w:type="dxa"/>
          </w:tcPr>
          <w:p w14:paraId="793E86D8" w14:textId="77777777" w:rsidR="00332374" w:rsidRPr="00332374" w:rsidRDefault="00332374" w:rsidP="00EA7110">
            <w:pPr>
              <w:jc w:val="both"/>
            </w:pPr>
            <w:r w:rsidRPr="00332374">
              <w:t>Consistent Intake of Iron–Folic Acid (IFA) Supplementation</w:t>
            </w:r>
          </w:p>
        </w:tc>
        <w:tc>
          <w:tcPr>
            <w:tcW w:w="2230" w:type="dxa"/>
          </w:tcPr>
          <w:p w14:paraId="6EC81031" w14:textId="77777777" w:rsidR="00332374" w:rsidRPr="00332374" w:rsidRDefault="00332374" w:rsidP="00EA7110">
            <w:pPr>
              <w:jc w:val="both"/>
            </w:pPr>
            <w:r w:rsidRPr="00332374">
              <w:t>25%</w:t>
            </w:r>
          </w:p>
        </w:tc>
      </w:tr>
      <w:tr w:rsidR="00332374" w:rsidRPr="00332374" w14:paraId="46A66FC2" w14:textId="77777777" w:rsidTr="00332374">
        <w:tc>
          <w:tcPr>
            <w:tcW w:w="2471" w:type="dxa"/>
          </w:tcPr>
          <w:p w14:paraId="1188AC9A" w14:textId="77777777" w:rsidR="00332374" w:rsidRPr="00332374" w:rsidRDefault="00332374" w:rsidP="00EA7110">
            <w:pPr>
              <w:jc w:val="both"/>
            </w:pPr>
            <w:r w:rsidRPr="00332374">
              <w:t>Identified Barriers</w:t>
            </w:r>
            <w:r w:rsidRPr="00332374">
              <w:tab/>
            </w:r>
          </w:p>
        </w:tc>
        <w:tc>
          <w:tcPr>
            <w:tcW w:w="2230" w:type="dxa"/>
          </w:tcPr>
          <w:p w14:paraId="43524824" w14:textId="77777777" w:rsidR="00332374" w:rsidRPr="00332374" w:rsidRDefault="00332374" w:rsidP="00EA7110">
            <w:pPr>
              <w:jc w:val="both"/>
            </w:pPr>
            <w:r w:rsidRPr="00332374">
              <w:t xml:space="preserve">Irregular IFA </w:t>
            </w:r>
            <w:proofErr w:type="gramStart"/>
            <w:r w:rsidRPr="00332374">
              <w:t>supply  &lt;</w:t>
            </w:r>
            <w:proofErr w:type="spellStart"/>
            <w:proofErr w:type="gramEnd"/>
            <w:r w:rsidRPr="00332374">
              <w:t>br</w:t>
            </w:r>
            <w:proofErr w:type="spellEnd"/>
            <w:r w:rsidRPr="00332374">
              <w:t>&gt; • Stigma around consumption  &lt;</w:t>
            </w:r>
            <w:proofErr w:type="spellStart"/>
            <w:r w:rsidRPr="00332374">
              <w:t>br</w:t>
            </w:r>
            <w:proofErr w:type="spellEnd"/>
            <w:r w:rsidRPr="00332374">
              <w:t>&gt; • Side effects  &lt;</w:t>
            </w:r>
            <w:proofErr w:type="spellStart"/>
            <w:r w:rsidRPr="00332374">
              <w:t>br</w:t>
            </w:r>
            <w:proofErr w:type="spellEnd"/>
            <w:r w:rsidRPr="00332374">
              <w:t>&gt; • Peer influence  &lt;</w:t>
            </w:r>
            <w:proofErr w:type="spellStart"/>
            <w:r w:rsidRPr="00332374">
              <w:t>br</w:t>
            </w:r>
            <w:proofErr w:type="spellEnd"/>
            <w:r w:rsidRPr="00332374">
              <w:t>&gt; • Inadequate parental engagement  &lt;</w:t>
            </w:r>
            <w:proofErr w:type="spellStart"/>
            <w:r w:rsidRPr="00332374">
              <w:t>br</w:t>
            </w:r>
            <w:proofErr w:type="spellEnd"/>
            <w:r w:rsidRPr="00332374">
              <w:t>&gt; • Socio-economic constraints.</w:t>
            </w:r>
          </w:p>
        </w:tc>
      </w:tr>
    </w:tbl>
    <w:p w14:paraId="51456E6D" w14:textId="77777777" w:rsidR="00332374" w:rsidRDefault="00332374" w:rsidP="00EA7110">
      <w:pPr>
        <w:ind w:left="360"/>
        <w:jc w:val="both"/>
      </w:pPr>
    </w:p>
    <w:p w14:paraId="3B01C8A0" w14:textId="77777777" w:rsidR="00351357" w:rsidRDefault="00351357" w:rsidP="00EA7110">
      <w:pPr>
        <w:ind w:left="360"/>
        <w:jc w:val="both"/>
      </w:pPr>
      <w:r>
        <w:lastRenderedPageBreak/>
        <w:t>Recent Global Control Measures &amp; Policy</w:t>
      </w:r>
    </w:p>
    <w:p w14:paraId="49A53EEA" w14:textId="77777777" w:rsidR="00351357" w:rsidRDefault="00351357" w:rsidP="00EA7110">
      <w:pPr>
        <w:ind w:left="360"/>
        <w:jc w:val="both"/>
      </w:pPr>
      <w:r>
        <w:t xml:space="preserve">WHO launched a comprehensive framework (May 2023) to accelerate action on anemia, with a goal to halve the prevalence of anemia in women of reproductive age by 2025. </w:t>
      </w:r>
    </w:p>
    <w:p w14:paraId="2BE365DC" w14:textId="77777777" w:rsidR="00351357" w:rsidRDefault="00351357" w:rsidP="00EA7110">
      <w:pPr>
        <w:jc w:val="both"/>
      </w:pPr>
      <w:r>
        <w:t xml:space="preserve">Improvement in measurement methods: WHO’s new tools for hemoglobin survey data (Micronutrient Survey Analyser tool) to standardize reporting and improve accuracy. </w:t>
      </w:r>
    </w:p>
    <w:p w14:paraId="76C888D9" w14:textId="77777777" w:rsidR="00351357" w:rsidRDefault="00351357" w:rsidP="00EA7110">
      <w:pPr>
        <w:ind w:left="360"/>
        <w:jc w:val="both"/>
      </w:pPr>
      <w:r>
        <w:t xml:space="preserve">Emphasis on tackling underlying causes beyond just iron supplementation: parasitic diseases, infections, hemoglobinopathies, and poor sanitation. </w:t>
      </w:r>
    </w:p>
    <w:p w14:paraId="04F34504" w14:textId="598DB1CF" w:rsidR="00351357" w:rsidRDefault="00351357" w:rsidP="00EA7110">
      <w:pPr>
        <w:ind w:left="360"/>
        <w:jc w:val="both"/>
      </w:pPr>
      <w:r>
        <w:t>1.2 Indian Scenario</w:t>
      </w:r>
    </w:p>
    <w:p w14:paraId="5D8A844D" w14:textId="77777777" w:rsidR="00351357" w:rsidRDefault="00351357" w:rsidP="00EA7110">
      <w:pPr>
        <w:ind w:left="360"/>
        <w:jc w:val="both"/>
      </w:pPr>
      <w:r>
        <w:t>India has one of the highest burdens of anemia among adolescents. Using the NFHS-5 (2019-21) data:</w:t>
      </w:r>
    </w:p>
    <w:p w14:paraId="423A8062" w14:textId="77777777" w:rsidR="00351357" w:rsidRDefault="00351357" w:rsidP="00EA7110">
      <w:pPr>
        <w:ind w:left="360"/>
        <w:jc w:val="both"/>
      </w:pPr>
      <w:r>
        <w:t xml:space="preserve">Prevalence of anemia among adolescent girls (15–19 years) is ≈ 59.1%, up from ~55.8% in NFHS-4 (2015-16). </w:t>
      </w:r>
    </w:p>
    <w:p w14:paraId="19495F4D" w14:textId="38A71B56" w:rsidR="00C071FB" w:rsidRDefault="00C071FB" w:rsidP="00EA7110">
      <w:pPr>
        <w:jc w:val="both"/>
      </w:pPr>
      <w:r>
        <w:t xml:space="preserve">        </w:t>
      </w:r>
      <w:r w:rsidR="00351357">
        <w:t xml:space="preserve">Among adolescent boys (15-19 years), the prevalence is ~31.1% in NFHS-5, from ~30.2% in NFHS-4. </w:t>
      </w:r>
    </w:p>
    <w:p w14:paraId="7DD07E37" w14:textId="0712EE31" w:rsidR="002040A5" w:rsidRDefault="002040A5" w:rsidP="00EA7110">
      <w:pPr>
        <w:jc w:val="both"/>
      </w:pPr>
      <w:r>
        <w:t xml:space="preserve">List 1: </w:t>
      </w:r>
      <w:proofErr w:type="spellStart"/>
      <w:r>
        <w:t>A</w:t>
      </w:r>
      <w:r w:rsidRPr="002040A5">
        <w:t>nemia</w:t>
      </w:r>
      <w:proofErr w:type="spellEnd"/>
      <w:r w:rsidRPr="002040A5">
        <w:t xml:space="preserve"> among adolescents</w:t>
      </w:r>
      <w:r>
        <w:t xml:space="preserve"> in </w:t>
      </w:r>
      <w:proofErr w:type="spellStart"/>
      <w:r>
        <w:t>india</w:t>
      </w:r>
      <w:proofErr w:type="spellEnd"/>
    </w:p>
    <w:tbl>
      <w:tblPr>
        <w:tblStyle w:val="TableGrid"/>
        <w:tblW w:w="0" w:type="auto"/>
        <w:tblLook w:val="04A0" w:firstRow="1" w:lastRow="0" w:firstColumn="1" w:lastColumn="0" w:noHBand="0" w:noVBand="1"/>
      </w:tblPr>
      <w:tblGrid>
        <w:gridCol w:w="2041"/>
        <w:gridCol w:w="2041"/>
        <w:gridCol w:w="2041"/>
      </w:tblGrid>
      <w:tr w:rsidR="00750041" w14:paraId="0C1AE8BA" w14:textId="59BC8CB7" w:rsidTr="00332374">
        <w:tc>
          <w:tcPr>
            <w:tcW w:w="2041" w:type="dxa"/>
          </w:tcPr>
          <w:p w14:paraId="69CFC2F7" w14:textId="168084A1" w:rsidR="00750041" w:rsidRDefault="00750041" w:rsidP="00EA7110">
            <w:pPr>
              <w:jc w:val="both"/>
            </w:pPr>
            <w:r>
              <w:t xml:space="preserve">Adolescent age </w:t>
            </w:r>
          </w:p>
        </w:tc>
        <w:tc>
          <w:tcPr>
            <w:tcW w:w="2041" w:type="dxa"/>
          </w:tcPr>
          <w:p w14:paraId="62776EB8" w14:textId="7313877B" w:rsidR="00750041" w:rsidRDefault="00750041" w:rsidP="00EA7110">
            <w:pPr>
              <w:jc w:val="both"/>
            </w:pPr>
            <w:proofErr w:type="gramStart"/>
            <w:r>
              <w:t>Prevalence( 2019</w:t>
            </w:r>
            <w:proofErr w:type="gramEnd"/>
            <w:r>
              <w:t>-21)</w:t>
            </w:r>
          </w:p>
        </w:tc>
        <w:tc>
          <w:tcPr>
            <w:tcW w:w="2041" w:type="dxa"/>
          </w:tcPr>
          <w:p w14:paraId="316F2B89" w14:textId="12936BE8" w:rsidR="00750041" w:rsidRDefault="00750041" w:rsidP="00EA7110">
            <w:pPr>
              <w:jc w:val="both"/>
            </w:pPr>
            <w:r>
              <w:t>Prevalence (2015-16)</w:t>
            </w:r>
          </w:p>
        </w:tc>
      </w:tr>
      <w:tr w:rsidR="00750041" w14:paraId="2787254F" w14:textId="10E6058F" w:rsidTr="00332374">
        <w:tc>
          <w:tcPr>
            <w:tcW w:w="2041" w:type="dxa"/>
          </w:tcPr>
          <w:p w14:paraId="7F5ED01A" w14:textId="7BA47841" w:rsidR="00750041" w:rsidRDefault="00750041" w:rsidP="00EA7110">
            <w:pPr>
              <w:jc w:val="both"/>
            </w:pPr>
            <w:r>
              <w:t>Girls (15-19years)</w:t>
            </w:r>
          </w:p>
        </w:tc>
        <w:tc>
          <w:tcPr>
            <w:tcW w:w="2041" w:type="dxa"/>
          </w:tcPr>
          <w:p w14:paraId="73627FE9" w14:textId="403A99CB" w:rsidR="00750041" w:rsidRDefault="00750041" w:rsidP="00EA7110">
            <w:pPr>
              <w:jc w:val="both"/>
            </w:pPr>
            <w:r>
              <w:t>59.1%</w:t>
            </w:r>
          </w:p>
        </w:tc>
        <w:tc>
          <w:tcPr>
            <w:tcW w:w="2041" w:type="dxa"/>
          </w:tcPr>
          <w:p w14:paraId="636FE9CE" w14:textId="3758B088" w:rsidR="00750041" w:rsidRDefault="00750041" w:rsidP="00EA7110">
            <w:pPr>
              <w:jc w:val="both"/>
            </w:pPr>
            <w:r>
              <w:t>55.8</w:t>
            </w:r>
            <w:r w:rsidR="006256FF">
              <w:t>%</w:t>
            </w:r>
          </w:p>
        </w:tc>
      </w:tr>
      <w:tr w:rsidR="00750041" w14:paraId="3C0111FD" w14:textId="57698024" w:rsidTr="00332374">
        <w:tc>
          <w:tcPr>
            <w:tcW w:w="2041" w:type="dxa"/>
          </w:tcPr>
          <w:p w14:paraId="06AF037F" w14:textId="7D09AE70" w:rsidR="00750041" w:rsidRDefault="00750041" w:rsidP="00EA7110">
            <w:pPr>
              <w:jc w:val="both"/>
            </w:pPr>
            <w:r>
              <w:t>Boys ((15-19years)</w:t>
            </w:r>
          </w:p>
        </w:tc>
        <w:tc>
          <w:tcPr>
            <w:tcW w:w="2041" w:type="dxa"/>
          </w:tcPr>
          <w:p w14:paraId="0325D0AB" w14:textId="18556B4D" w:rsidR="00750041" w:rsidRDefault="006256FF" w:rsidP="00EA7110">
            <w:pPr>
              <w:jc w:val="both"/>
            </w:pPr>
            <w:r>
              <w:t>31.1%</w:t>
            </w:r>
          </w:p>
        </w:tc>
        <w:tc>
          <w:tcPr>
            <w:tcW w:w="2041" w:type="dxa"/>
          </w:tcPr>
          <w:p w14:paraId="0565CC09" w14:textId="4443F279" w:rsidR="00750041" w:rsidRDefault="006256FF" w:rsidP="00EA7110">
            <w:pPr>
              <w:jc w:val="both"/>
            </w:pPr>
            <w:r>
              <w:t>30.2%</w:t>
            </w:r>
          </w:p>
        </w:tc>
      </w:tr>
    </w:tbl>
    <w:p w14:paraId="2342D778" w14:textId="77777777" w:rsidR="00E262B8" w:rsidRDefault="00E262B8" w:rsidP="00EA7110">
      <w:pPr>
        <w:jc w:val="both"/>
      </w:pPr>
    </w:p>
    <w:p w14:paraId="74398975" w14:textId="3641E70B" w:rsidR="00351357" w:rsidRDefault="00351357" w:rsidP="00EA7110">
      <w:pPr>
        <w:pStyle w:val="ListParagraph"/>
        <w:ind w:left="735"/>
        <w:jc w:val="both"/>
      </w:pPr>
      <w:r>
        <w:t xml:space="preserve">All-India data also show 67.1% of children aged 6-59 months are anemic. </w:t>
      </w:r>
    </w:p>
    <w:p w14:paraId="080EF0FA" w14:textId="0248B7E2" w:rsidR="00351357" w:rsidRDefault="00351357" w:rsidP="00EA7110">
      <w:pPr>
        <w:ind w:left="360"/>
        <w:jc w:val="both"/>
      </w:pPr>
      <w:r>
        <w:t>There is state-wise variation, with many states showing increases. Younger adolescents, rural residents, lower educational levels, and poorer socio</w:t>
      </w:r>
      <w:r w:rsidRPr="00C071FB">
        <w:rPr>
          <w:rFonts w:ascii="Cambria Math" w:hAnsi="Cambria Math" w:cs="Cambria Math"/>
        </w:rPr>
        <w:t>‐</w:t>
      </w:r>
      <w:r>
        <w:t xml:space="preserve">economic status are significant predictors of higher </w:t>
      </w:r>
      <w:proofErr w:type="spellStart"/>
      <w:r>
        <w:t>anemia</w:t>
      </w:r>
      <w:proofErr w:type="spellEnd"/>
      <w:r>
        <w:t xml:space="preserve"> prevalence</w:t>
      </w:r>
      <w:r w:rsidR="0051447D">
        <w:t xml:space="preserve"> [9,10]</w:t>
      </w:r>
      <w:r>
        <w:t xml:space="preserve">. </w:t>
      </w:r>
      <w:bookmarkStart w:id="0" w:name="_GoBack"/>
      <w:bookmarkEnd w:id="0"/>
    </w:p>
    <w:p w14:paraId="3C468F06" w14:textId="6E75219F" w:rsidR="00351357" w:rsidRDefault="00351357" w:rsidP="00EA7110">
      <w:pPr>
        <w:ind w:left="360"/>
        <w:jc w:val="both"/>
      </w:pPr>
      <w:r>
        <w:t>1.3 Adolescence &amp; Nutritional Vulnerability</w:t>
      </w:r>
    </w:p>
    <w:p w14:paraId="1696AC35" w14:textId="77777777" w:rsidR="00351357" w:rsidRDefault="00351357" w:rsidP="00EA7110">
      <w:pPr>
        <w:ind w:left="360"/>
        <w:jc w:val="both"/>
      </w:pPr>
      <w:r>
        <w:t>Recent studies confirm that adolescent nutritional vulnerability in India remains very high. The causes remain similar to earlier findings, but recent data also highlight:</w:t>
      </w:r>
    </w:p>
    <w:p w14:paraId="4E0D45D5" w14:textId="77777777" w:rsidR="00351357" w:rsidRDefault="00351357" w:rsidP="00EA7110">
      <w:pPr>
        <w:ind w:left="360"/>
        <w:jc w:val="both"/>
      </w:pPr>
      <w:r>
        <w:t>Poor dietary iron intake remains widespread; many adolescents consume monotonous diets low in animal-source foods.</w:t>
      </w:r>
    </w:p>
    <w:p w14:paraId="2DD380F3" w14:textId="77777777" w:rsidR="00351357" w:rsidRDefault="00351357" w:rsidP="00EA7110">
      <w:pPr>
        <w:ind w:left="360"/>
        <w:jc w:val="both"/>
      </w:pPr>
      <w:r>
        <w:t xml:space="preserve">Other micronutrient deficiencies (folate, vitamin B12) and non-nutritional causes (infections, menstrual blood loss, hemoglobinopathies) also contribute significantly. </w:t>
      </w:r>
    </w:p>
    <w:p w14:paraId="6B11D66A" w14:textId="77777777" w:rsidR="00351357" w:rsidRDefault="00351357" w:rsidP="00EA7110">
      <w:pPr>
        <w:ind w:left="360"/>
        <w:jc w:val="both"/>
      </w:pPr>
      <w:r>
        <w:lastRenderedPageBreak/>
        <w:t>Socio-cultural factors, such as gender-based food allocation and food restrictions, persist in many communities.</w:t>
      </w:r>
    </w:p>
    <w:p w14:paraId="7C3125D8" w14:textId="23BC3B11" w:rsidR="00351357" w:rsidRDefault="00351357" w:rsidP="00EA7110">
      <w:pPr>
        <w:pStyle w:val="ListParagraph"/>
        <w:ind w:left="735"/>
        <w:jc w:val="both"/>
      </w:pPr>
      <w:r>
        <w:t>1.4 National Programmes &amp; Recent Evidence</w:t>
      </w:r>
    </w:p>
    <w:p w14:paraId="1C406DE0" w14:textId="77777777" w:rsidR="00351357" w:rsidRDefault="00351357" w:rsidP="00EA7110">
      <w:pPr>
        <w:pStyle w:val="ListParagraph"/>
        <w:ind w:left="735"/>
        <w:jc w:val="both"/>
      </w:pPr>
      <w:r>
        <w:t xml:space="preserve">India’s Anemia Mukt Bharat (AMB) remains the flagship program, with the 6×6×6 strategy (6 target groups, 6 interventions, etc.). Recent government reporting (2024-25) shows large scale outreach: e.g., 15.4 crore (≈ 154 million) children/adolescents received Iron and Folic Acid (IFA) supplements in Q2 FY 2024-25. </w:t>
      </w:r>
    </w:p>
    <w:p w14:paraId="6C8A15B3" w14:textId="77777777" w:rsidR="00351357" w:rsidRDefault="00351357" w:rsidP="00EA7110">
      <w:pPr>
        <w:ind w:left="360"/>
        <w:jc w:val="both"/>
      </w:pPr>
      <w:r>
        <w:t>Studies examining program implementation show:</w:t>
      </w:r>
    </w:p>
    <w:p w14:paraId="3446EA27" w14:textId="77777777" w:rsidR="00351357" w:rsidRDefault="00351357" w:rsidP="00EA7110">
      <w:pPr>
        <w:ind w:left="360"/>
        <w:jc w:val="both"/>
      </w:pPr>
      <w:r>
        <w:t>Despite high coverage in some areas, compliance/adherence remains challenging due to side effects of IFA, irregular supply, lack of awareness/health education.</w:t>
      </w:r>
    </w:p>
    <w:p w14:paraId="2F49D53A" w14:textId="77777777" w:rsidR="00351357" w:rsidRDefault="00351357" w:rsidP="00EA7110">
      <w:pPr>
        <w:ind w:left="360"/>
        <w:jc w:val="both"/>
      </w:pPr>
      <w:r>
        <w:t>Evidence from cross-sectional studies in rural Maharashtra shows high anemia prevalence among adolescent girls, often associated with late menarche, poor nutrition, socio</w:t>
      </w:r>
      <w:r w:rsidRPr="00C071FB">
        <w:rPr>
          <w:rFonts w:ascii="Cambria Math" w:hAnsi="Cambria Math" w:cs="Cambria Math"/>
        </w:rPr>
        <w:t>‐</w:t>
      </w:r>
      <w:r>
        <w:t xml:space="preserve">economic constraints. </w:t>
      </w:r>
    </w:p>
    <w:p w14:paraId="7F6018C9" w14:textId="79F6C084" w:rsidR="00351357" w:rsidRDefault="00351357" w:rsidP="00EA7110">
      <w:pPr>
        <w:pStyle w:val="ListParagraph"/>
        <w:ind w:left="735"/>
        <w:jc w:val="both"/>
      </w:pPr>
      <w:r>
        <w:t>1.5 Recent Review of Literature &amp; Gaps</w:t>
      </w:r>
    </w:p>
    <w:p w14:paraId="3E4D82D1" w14:textId="77777777" w:rsidR="00351357" w:rsidRDefault="00351357" w:rsidP="00EA7110">
      <w:pPr>
        <w:ind w:left="360"/>
        <w:jc w:val="both"/>
      </w:pPr>
      <w:r>
        <w:t xml:space="preserve">A recent study “Trends in Prevalence and Predictors of Anemia in Adolescents Between Ages 15-19 in India” (using NFHS-4 and NFHS-5 data) confirms an increase in anemia among adolescent girls, and identifies rural residence, lower education, and younger age as predictors. </w:t>
      </w:r>
    </w:p>
    <w:p w14:paraId="29E5C7F4" w14:textId="77777777" w:rsidR="00351357" w:rsidRDefault="00351357" w:rsidP="00EA7110">
      <w:pPr>
        <w:ind w:left="360"/>
        <w:jc w:val="both"/>
      </w:pPr>
      <w:r>
        <w:t xml:space="preserve">Another analysis “Anaemia in Indians aged 10–19 years: Prevalence, burden and associated factors at national and regional levels” finds that as of CNNS/NFHS combined data, ≈ 28.5% of all adolescents (10-19 years) are anemic; but much higher among older girls. </w:t>
      </w:r>
    </w:p>
    <w:p w14:paraId="54599EE6" w14:textId="77777777" w:rsidR="00351357" w:rsidRDefault="00351357" w:rsidP="00EA7110">
      <w:pPr>
        <w:ind w:left="360"/>
        <w:jc w:val="both"/>
      </w:pPr>
      <w:r>
        <w:t>Gaps persist: many studies focus only on 15-19 years, lack detailed data for younger adolescents (10-14 years), limited longitudinal/interventional evidence about which specific combinations of interventions work best in different geographic/socio-cultural settings. Also, less data on measurement issues (accuracy of hemoglobin assays, thresholds used) and on the non</w:t>
      </w:r>
      <w:r w:rsidRPr="004B02B1">
        <w:rPr>
          <w:rFonts w:ascii="Cambria Math" w:hAnsi="Cambria Math" w:cs="Cambria Math"/>
        </w:rPr>
        <w:t>‐</w:t>
      </w:r>
      <w:r>
        <w:t>nutritional causes in the adolescent age group.</w:t>
      </w:r>
    </w:p>
    <w:p w14:paraId="08542969" w14:textId="75FBAB13" w:rsidR="00351357" w:rsidRDefault="00351357" w:rsidP="00EA7110">
      <w:pPr>
        <w:ind w:left="360"/>
        <w:jc w:val="both"/>
      </w:pPr>
      <w:r>
        <w:t>1.6 Rationale for the Study</w:t>
      </w:r>
    </w:p>
    <w:p w14:paraId="6E9A1CF6" w14:textId="77777777" w:rsidR="00351357" w:rsidRDefault="00351357" w:rsidP="00EA7110">
      <w:pPr>
        <w:ind w:left="360"/>
        <w:jc w:val="both"/>
      </w:pPr>
      <w:r>
        <w:t>Given that NFHS-5 (2019-21) shows a rising or persistent high anemia prevalence among adolescents (especially girls), there remains an urgent need to:</w:t>
      </w:r>
    </w:p>
    <w:p w14:paraId="602DCC16" w14:textId="5E1FB3E7" w:rsidR="00351357" w:rsidRDefault="004B02B1" w:rsidP="00EA7110">
      <w:pPr>
        <w:jc w:val="both"/>
      </w:pPr>
      <w:r>
        <w:t xml:space="preserve">     </w:t>
      </w:r>
      <w:r w:rsidR="00351357">
        <w:t>Understand dietary, cultural, and system-level barriers (e.g., supply chain, compliance, education) in specific semi-urban or school settings.</w:t>
      </w:r>
    </w:p>
    <w:p w14:paraId="61C952B6" w14:textId="77777777" w:rsidR="007726A4" w:rsidRDefault="00351357" w:rsidP="00EA7110">
      <w:pPr>
        <w:pStyle w:val="ListParagraph"/>
        <w:ind w:left="735"/>
        <w:jc w:val="both"/>
      </w:pPr>
      <w:r>
        <w:lastRenderedPageBreak/>
        <w:t>Incorporate recent measurement standards (e.g., hemoglobin thresholds) to ensure accurate estimation.</w:t>
      </w:r>
    </w:p>
    <w:p w14:paraId="0476FE50" w14:textId="238288DD" w:rsidR="00351357" w:rsidRDefault="00351357" w:rsidP="00EA7110">
      <w:pPr>
        <w:pStyle w:val="ListParagraph"/>
        <w:ind w:left="735"/>
        <w:jc w:val="both"/>
      </w:pPr>
      <w:r>
        <w:t>Evaluate what works: identifying which control measures (combining supplementation, deworming, food fortification, behaviour change communication) are most effective and feasible locally.</w:t>
      </w:r>
    </w:p>
    <w:p w14:paraId="16EFC39C" w14:textId="6028BB31" w:rsidR="00351357" w:rsidRDefault="00351357" w:rsidP="00EA7110">
      <w:pPr>
        <w:pStyle w:val="ListParagraph"/>
        <w:ind w:left="735"/>
        <w:jc w:val="both"/>
      </w:pPr>
      <w:r>
        <w:t>Based on the latest global and national evidence, here are control measures with proven or promising impact:</w:t>
      </w:r>
    </w:p>
    <w:p w14:paraId="57598013" w14:textId="77777777" w:rsidR="00351357" w:rsidRDefault="00351357" w:rsidP="00EA7110">
      <w:pPr>
        <w:pStyle w:val="ListParagraph"/>
        <w:ind w:left="735"/>
        <w:jc w:val="both"/>
      </w:pPr>
      <w:r>
        <w:t>1. Weekly Iron &amp; Folic Acid (WIFA / WIFS) supplementation</w:t>
      </w:r>
    </w:p>
    <w:p w14:paraId="1F9342A1" w14:textId="577C7142" w:rsidR="00351357" w:rsidRDefault="00351357" w:rsidP="00EA7110">
      <w:pPr>
        <w:pStyle w:val="ListParagraph"/>
        <w:ind w:left="735"/>
        <w:jc w:val="both"/>
      </w:pPr>
      <w:r>
        <w:t xml:space="preserve"> Continuation and strengthening of programmes like India’s WIFS (Weekly Iron Folic Acid Supplementation) for school-going and out-of-school adolescents. Ensuring regular supply, minimizing side effects (through </w:t>
      </w:r>
      <w:proofErr w:type="spellStart"/>
      <w:r>
        <w:t>counseling</w:t>
      </w:r>
      <w:proofErr w:type="spellEnd"/>
      <w:r>
        <w:t xml:space="preserve">), monitoring adherence. Evidence from NFHS‐related analyses shows that despite coverage, effective anemia reduction lags due to compliance issues. </w:t>
      </w:r>
    </w:p>
    <w:p w14:paraId="697E145F" w14:textId="77777777" w:rsidR="00351357" w:rsidRDefault="00351357" w:rsidP="00EA7110">
      <w:pPr>
        <w:pStyle w:val="ListParagraph"/>
        <w:ind w:left="735"/>
        <w:jc w:val="both"/>
      </w:pPr>
      <w:r>
        <w:t>2. Deworming</w:t>
      </w:r>
    </w:p>
    <w:p w14:paraId="24E067EA" w14:textId="77777777" w:rsidR="00351357" w:rsidRDefault="00351357" w:rsidP="00EA7110">
      <w:pPr>
        <w:ind w:left="360"/>
        <w:jc w:val="both"/>
      </w:pPr>
      <w:r>
        <w:t>Regular deworming (e.g. during National Deworming Day) to reduce parasitic load; this improves hemoglobin levels, particularly in regions with high worm burden.</w:t>
      </w:r>
    </w:p>
    <w:p w14:paraId="5A48040F" w14:textId="77777777" w:rsidR="00351357" w:rsidRDefault="00351357" w:rsidP="00EA7110">
      <w:pPr>
        <w:pStyle w:val="ListParagraph"/>
        <w:ind w:left="735"/>
        <w:jc w:val="both"/>
      </w:pPr>
      <w:r>
        <w:t xml:space="preserve">3. </w:t>
      </w:r>
      <w:proofErr w:type="spellStart"/>
      <w:r>
        <w:t>Behavior</w:t>
      </w:r>
      <w:proofErr w:type="spellEnd"/>
      <w:r>
        <w:t xml:space="preserve"> Change Communication (BCC) &amp; Health Education</w:t>
      </w:r>
    </w:p>
    <w:p w14:paraId="3D92D6FE" w14:textId="7D567687" w:rsidR="00351357" w:rsidRDefault="00351357" w:rsidP="00EA7110">
      <w:pPr>
        <w:pStyle w:val="ListParagraph"/>
        <w:ind w:left="735"/>
        <w:jc w:val="both"/>
      </w:pPr>
      <w:r>
        <w:t>Focused education on dietary diversity (including iron rich foods), reduction of dietary inhibitors (e.g. excessive tea/coffee close to meals), promoting small frequent meals, awareness about menstrual hygiene and the impact of blood loss. Use of school platforms, peer educators</w:t>
      </w:r>
      <w:r w:rsidR="00B42BAA">
        <w:t>.</w:t>
      </w:r>
    </w:p>
    <w:p w14:paraId="454E9FDF" w14:textId="77777777" w:rsidR="00351357" w:rsidRDefault="00351357" w:rsidP="00EA7110">
      <w:pPr>
        <w:ind w:left="360"/>
        <w:jc w:val="both"/>
      </w:pPr>
      <w:r>
        <w:t>4. Food Fortification</w:t>
      </w:r>
    </w:p>
    <w:p w14:paraId="7458006E" w14:textId="77777777" w:rsidR="00351357" w:rsidRDefault="00351357" w:rsidP="00EA7110">
      <w:pPr>
        <w:ind w:left="360"/>
        <w:jc w:val="both"/>
      </w:pPr>
      <w:r>
        <w:t>Fortification of staple foods (e.g. wheat flour, rice) with iron and folic acid. Using public food programs (Mid-Day Meals, Public Distribution System) as channels. India has been piloting models; scaling successful ones can help.</w:t>
      </w:r>
    </w:p>
    <w:p w14:paraId="4C358EBB" w14:textId="77777777" w:rsidR="00351357" w:rsidRDefault="00351357" w:rsidP="00EA7110">
      <w:pPr>
        <w:pStyle w:val="ListParagraph"/>
        <w:ind w:left="735"/>
        <w:jc w:val="both"/>
      </w:pPr>
      <w:r>
        <w:t>5. Addressing Non-Nutritional Causes</w:t>
      </w:r>
    </w:p>
    <w:p w14:paraId="4BF5C4D1" w14:textId="6A25664A" w:rsidR="00351357" w:rsidRDefault="00351357" w:rsidP="00EA7110">
      <w:pPr>
        <w:pStyle w:val="ListParagraph"/>
        <w:ind w:left="735"/>
        <w:jc w:val="both"/>
      </w:pPr>
      <w:r>
        <w:t>Diagnosing and treating hemoglobinopathies, infections (malaria, helminths), ensuring sanitation and water access, managing chronic disease burdens.</w:t>
      </w:r>
    </w:p>
    <w:p w14:paraId="2E8C532E" w14:textId="77777777" w:rsidR="00351357" w:rsidRDefault="00351357" w:rsidP="00EA7110">
      <w:pPr>
        <w:ind w:left="360"/>
        <w:jc w:val="both"/>
      </w:pPr>
      <w:r>
        <w:t>6. Measurement, Monitoring &amp; Data Quality</w:t>
      </w:r>
    </w:p>
    <w:p w14:paraId="585FC99A" w14:textId="67273774" w:rsidR="00351357" w:rsidRDefault="00B42BAA" w:rsidP="00EA7110">
      <w:pPr>
        <w:ind w:left="360"/>
        <w:jc w:val="both"/>
      </w:pPr>
      <w:r>
        <w:t xml:space="preserve">  </w:t>
      </w:r>
      <w:r w:rsidR="00351357">
        <w:t xml:space="preserve">Using updated </w:t>
      </w:r>
      <w:proofErr w:type="spellStart"/>
      <w:r w:rsidR="00351357">
        <w:t>hemoglobin</w:t>
      </w:r>
      <w:proofErr w:type="spellEnd"/>
      <w:r w:rsidR="00351357">
        <w:t xml:space="preserve"> </w:t>
      </w:r>
      <w:proofErr w:type="spellStart"/>
      <w:r w:rsidR="00351357">
        <w:t>cutoffs</w:t>
      </w:r>
      <w:proofErr w:type="spellEnd"/>
      <w:r w:rsidR="00351357">
        <w:t xml:space="preserve"> and standard measurement tools (as WHO has proposed), disaggregated data (age, sex, urban/rural, socio-economic group), digital monitoring dashboards to assess coverage and hemoglobin outcomes.</w:t>
      </w:r>
    </w:p>
    <w:p w14:paraId="7C6903B8" w14:textId="1F1E4327" w:rsidR="00351357" w:rsidRDefault="00B42BAA" w:rsidP="00EA7110">
      <w:pPr>
        <w:ind w:left="360"/>
        <w:jc w:val="both"/>
      </w:pPr>
      <w:r>
        <w:t xml:space="preserve">     </w:t>
      </w:r>
      <w:r w:rsidR="00351357">
        <w:t>7. Policy &amp; Institutional Strengthening</w:t>
      </w:r>
    </w:p>
    <w:p w14:paraId="63C0A52D" w14:textId="77777777" w:rsidR="00351357" w:rsidRDefault="00351357" w:rsidP="00EA7110">
      <w:pPr>
        <w:pStyle w:val="ListParagraph"/>
        <w:ind w:left="735"/>
        <w:jc w:val="both"/>
      </w:pPr>
      <w:r>
        <w:lastRenderedPageBreak/>
        <w:t>Ensuring inter-sectoral convergence (health, education, women &amp; child development), continuous training of health workers, ensuring logistic supply chain robustness, community engagement, accountability.</w:t>
      </w:r>
    </w:p>
    <w:p w14:paraId="4DB34783" w14:textId="14458274" w:rsidR="00351357" w:rsidRDefault="00351357" w:rsidP="00EA7110">
      <w:pPr>
        <w:pStyle w:val="ListParagraph"/>
        <w:ind w:left="735"/>
        <w:jc w:val="both"/>
      </w:pPr>
      <w:r>
        <w:t xml:space="preserve">8. Pilot &amp; Scaling of Combined </w:t>
      </w:r>
      <w:proofErr w:type="gramStart"/>
      <w:r>
        <w:t>Interventions</w:t>
      </w:r>
      <w:r w:rsidR="006A0622">
        <w:t xml:space="preserve"> :</w:t>
      </w:r>
      <w:proofErr w:type="gramEnd"/>
      <w:r w:rsidR="006A0622">
        <w:t xml:space="preserve"> </w:t>
      </w:r>
      <w:r>
        <w:t xml:space="preserve">Implementing pilots that integrate several of the above (e.g., supplementation + fortification + </w:t>
      </w:r>
      <w:proofErr w:type="spellStart"/>
      <w:r>
        <w:t>behavior</w:t>
      </w:r>
      <w:proofErr w:type="spellEnd"/>
      <w:r>
        <w:t xml:space="preserve"> change) in semi-urban/school settings, evaluating impact, cost-effectiveness, and then scaling best practices.</w:t>
      </w:r>
    </w:p>
    <w:p w14:paraId="19166CC6" w14:textId="380AB4DF" w:rsidR="00202DC0" w:rsidRDefault="00202DC0" w:rsidP="00EA7110">
      <w:pPr>
        <w:jc w:val="both"/>
      </w:pPr>
    </w:p>
    <w:p w14:paraId="2B461EA0" w14:textId="77777777" w:rsidR="00202DC0" w:rsidRDefault="00202DC0" w:rsidP="00EA7110">
      <w:pPr>
        <w:jc w:val="both"/>
      </w:pPr>
    </w:p>
    <w:p w14:paraId="0B85F388" w14:textId="732A0451" w:rsidR="00202DC0" w:rsidRDefault="00202DC0" w:rsidP="00EA7110">
      <w:pPr>
        <w:pStyle w:val="ListParagraph"/>
        <w:numPr>
          <w:ilvl w:val="0"/>
          <w:numId w:val="2"/>
        </w:numPr>
        <w:jc w:val="both"/>
      </w:pPr>
      <w:proofErr w:type="gramStart"/>
      <w:r>
        <w:t>Objectives</w:t>
      </w:r>
      <w:r w:rsidR="00D67F04">
        <w:t xml:space="preserve"> :</w:t>
      </w:r>
      <w:proofErr w:type="gramEnd"/>
      <w:r w:rsidR="00D67F04">
        <w:t xml:space="preserve"> </w:t>
      </w:r>
    </w:p>
    <w:p w14:paraId="1D9834F2" w14:textId="0E753AE8" w:rsidR="00202DC0" w:rsidRDefault="00202DC0" w:rsidP="00EA7110">
      <w:pPr>
        <w:jc w:val="both"/>
      </w:pPr>
      <w:r>
        <w:t>The overarching aim of this study is to assess anemia prevalence among adolescents and to identify the barriers hindering effective implementation of the Anemia Mukt Bharat Abhiyan (AMBA).</w:t>
      </w:r>
    </w:p>
    <w:p w14:paraId="2C31666D" w14:textId="4B016A6F" w:rsidR="00202DC0" w:rsidRDefault="00202DC0" w:rsidP="00EA7110">
      <w:pPr>
        <w:jc w:val="both"/>
      </w:pPr>
      <w:r>
        <w:t xml:space="preserve">The specific objectives </w:t>
      </w:r>
      <w:proofErr w:type="gramStart"/>
      <w:r>
        <w:t>are</w:t>
      </w:r>
      <w:r w:rsidR="00D67F04">
        <w:t xml:space="preserve"> :</w:t>
      </w:r>
      <w:proofErr w:type="gramEnd"/>
      <w:r w:rsidR="00D67F04">
        <w:t xml:space="preserve"> </w:t>
      </w:r>
    </w:p>
    <w:p w14:paraId="7692AD0D" w14:textId="4D44AC27" w:rsidR="00202DC0" w:rsidRDefault="00202DC0" w:rsidP="00EA7110">
      <w:pPr>
        <w:pStyle w:val="ListParagraph"/>
        <w:numPr>
          <w:ilvl w:val="0"/>
          <w:numId w:val="3"/>
        </w:numPr>
        <w:jc w:val="both"/>
      </w:pPr>
      <w:r>
        <w:t>To assess the prevalence of anemia among adolescent boys and girls (10–19 years) in semi-urban and school-based settings.</w:t>
      </w:r>
    </w:p>
    <w:p w14:paraId="3FBC163C" w14:textId="1C90754F" w:rsidR="00202DC0" w:rsidRDefault="00202DC0" w:rsidP="00EA7110">
      <w:pPr>
        <w:pStyle w:val="ListParagraph"/>
        <w:numPr>
          <w:ilvl w:val="0"/>
          <w:numId w:val="3"/>
        </w:numPr>
        <w:jc w:val="both"/>
      </w:pPr>
      <w:r>
        <w:t>To evaluate the level of awareness and knowledge about anemia and the Anemia Mukt Bharat Abhiyan among adolescents.</w:t>
      </w:r>
    </w:p>
    <w:p w14:paraId="37793BA6" w14:textId="234BAA62" w:rsidR="00202DC0" w:rsidRDefault="00202DC0" w:rsidP="00EA7110">
      <w:pPr>
        <w:pStyle w:val="ListParagraph"/>
        <w:numPr>
          <w:ilvl w:val="0"/>
          <w:numId w:val="3"/>
        </w:numPr>
        <w:jc w:val="both"/>
      </w:pPr>
      <w:r>
        <w:t>To identify barriers hindering implementation and utilization of AMBA interventions, including iron and folic acid (IFA) supplementation, deworming, and health education.</w:t>
      </w:r>
    </w:p>
    <w:p w14:paraId="513BDCDA" w14:textId="599E485C" w:rsidR="00202DC0" w:rsidRDefault="00202DC0" w:rsidP="00EA7110">
      <w:pPr>
        <w:pStyle w:val="ListParagraph"/>
        <w:numPr>
          <w:ilvl w:val="0"/>
          <w:numId w:val="3"/>
        </w:numPr>
        <w:jc w:val="both"/>
      </w:pPr>
      <w:r>
        <w:t xml:space="preserve">To </w:t>
      </w:r>
      <w:proofErr w:type="spellStart"/>
      <w:r>
        <w:t>analyze</w:t>
      </w:r>
      <w:proofErr w:type="spellEnd"/>
      <w:r>
        <w:t xml:space="preserve"> the relationship between anemia status and socio-demographic factors such as gender, income, education, dietary practices, and family background.</w:t>
      </w:r>
    </w:p>
    <w:p w14:paraId="12FB4D61" w14:textId="02017F46" w:rsidR="00202DC0" w:rsidRDefault="00202DC0" w:rsidP="00EA7110">
      <w:pPr>
        <w:pStyle w:val="ListParagraph"/>
        <w:numPr>
          <w:ilvl w:val="0"/>
          <w:numId w:val="3"/>
        </w:numPr>
        <w:jc w:val="both"/>
      </w:pPr>
      <w:r>
        <w:t>To provide evidence-based recommendations for strengthening anemia control strategies under AMBA at the community and school levels.</w:t>
      </w:r>
    </w:p>
    <w:p w14:paraId="4FD75D8B" w14:textId="77777777" w:rsidR="00D67F04" w:rsidRDefault="00D67F04" w:rsidP="00EA7110">
      <w:pPr>
        <w:pStyle w:val="ListParagraph"/>
        <w:jc w:val="both"/>
      </w:pPr>
    </w:p>
    <w:p w14:paraId="60E9C17A" w14:textId="73EC5257" w:rsidR="00202DC0" w:rsidRDefault="00202DC0" w:rsidP="00EA7110">
      <w:pPr>
        <w:pStyle w:val="ListParagraph"/>
        <w:numPr>
          <w:ilvl w:val="0"/>
          <w:numId w:val="2"/>
        </w:numPr>
        <w:jc w:val="both"/>
      </w:pPr>
      <w:proofErr w:type="gramStart"/>
      <w:r>
        <w:t>Methodolog</w:t>
      </w:r>
      <w:r w:rsidR="00D67F04">
        <w:t>y :</w:t>
      </w:r>
      <w:proofErr w:type="gramEnd"/>
      <w:r w:rsidR="00D67F04">
        <w:t xml:space="preserve"> </w:t>
      </w:r>
    </w:p>
    <w:p w14:paraId="43C09C86" w14:textId="355A13C1" w:rsidR="00202DC0" w:rsidRDefault="00202DC0" w:rsidP="00EA7110">
      <w:pPr>
        <w:pStyle w:val="ListParagraph"/>
        <w:numPr>
          <w:ilvl w:val="1"/>
          <w:numId w:val="2"/>
        </w:numPr>
        <w:jc w:val="both"/>
      </w:pPr>
      <w:r>
        <w:t xml:space="preserve">Study </w:t>
      </w:r>
      <w:proofErr w:type="gramStart"/>
      <w:r>
        <w:t>Design</w:t>
      </w:r>
      <w:r w:rsidR="00FC56FB">
        <w:t xml:space="preserve"> :</w:t>
      </w:r>
      <w:proofErr w:type="gramEnd"/>
      <w:r w:rsidR="00FC56FB">
        <w:t xml:space="preserve"> </w:t>
      </w:r>
    </w:p>
    <w:p w14:paraId="016DFA68" w14:textId="28B960C2" w:rsidR="00202DC0" w:rsidRDefault="00202DC0" w:rsidP="00EA7110">
      <w:pPr>
        <w:jc w:val="both"/>
      </w:pPr>
      <w:r>
        <w:t xml:space="preserve">This study adopted a cross-sectional descriptive design, which is particularly suitable for estimating prevalence and understanding associated factors at a single point in time. Cross-sectional designs are widely employed in nutritional epidemiology for conditions like anemia, as they allow for simultaneous collection of health status, dietary </w:t>
      </w:r>
      <w:proofErr w:type="spellStart"/>
      <w:r>
        <w:t>behaviors</w:t>
      </w:r>
      <w:proofErr w:type="spellEnd"/>
      <w:r>
        <w:t>, and socio-demographic determinants (Creswell, 2017).</w:t>
      </w:r>
    </w:p>
    <w:p w14:paraId="7E58020F" w14:textId="77F5872E" w:rsidR="00202DC0" w:rsidRDefault="00202DC0" w:rsidP="00EA7110">
      <w:pPr>
        <w:pStyle w:val="ListParagraph"/>
        <w:numPr>
          <w:ilvl w:val="1"/>
          <w:numId w:val="2"/>
        </w:numPr>
        <w:jc w:val="both"/>
      </w:pPr>
      <w:r>
        <w:t xml:space="preserve">Study </w:t>
      </w:r>
      <w:proofErr w:type="gramStart"/>
      <w:r>
        <w:t>Area</w:t>
      </w:r>
      <w:r w:rsidR="00FC56FB">
        <w:t xml:space="preserve"> :</w:t>
      </w:r>
      <w:proofErr w:type="gramEnd"/>
      <w:r w:rsidR="00FC56FB">
        <w:t xml:space="preserve"> </w:t>
      </w:r>
    </w:p>
    <w:p w14:paraId="203E33E3" w14:textId="189500B9" w:rsidR="00202DC0" w:rsidRDefault="00202DC0" w:rsidP="00EA7110">
      <w:pPr>
        <w:jc w:val="both"/>
      </w:pPr>
      <w:r>
        <w:lastRenderedPageBreak/>
        <w:t>The study was conducted in semi-urban schools and communities located in and around Lucknow, Uttar Pradesh, one of the states with a high prevalence of adolescent anemia according to NFHS-5 (2019–21). Uttar Pradesh presents a unique socio-cultural context where both rural dietary habits and urban lifestyle transitions intersect, making it a relevant location to evaluate AMBA’s effectiveness.</w:t>
      </w:r>
    </w:p>
    <w:p w14:paraId="3423D179" w14:textId="57E9BA1D" w:rsidR="00202DC0" w:rsidRDefault="00202DC0" w:rsidP="00EA7110">
      <w:pPr>
        <w:jc w:val="both"/>
      </w:pPr>
      <w:r>
        <w:t xml:space="preserve">3.3 Study </w:t>
      </w:r>
      <w:proofErr w:type="gramStart"/>
      <w:r>
        <w:t>Population</w:t>
      </w:r>
      <w:r w:rsidR="00FC56FB">
        <w:t xml:space="preserve"> :</w:t>
      </w:r>
      <w:proofErr w:type="gramEnd"/>
      <w:r w:rsidR="00FC56FB">
        <w:t xml:space="preserve"> </w:t>
      </w:r>
    </w:p>
    <w:p w14:paraId="5E5FD430" w14:textId="5F690ED8" w:rsidR="00202DC0" w:rsidRDefault="00202DC0" w:rsidP="00EA7110">
      <w:pPr>
        <w:jc w:val="both"/>
      </w:pPr>
      <w:r>
        <w:t>The study population comprised adolescents aged 10–19 years, a critical age group targeted under AMBA. This population group was chosen because:</w:t>
      </w:r>
    </w:p>
    <w:p w14:paraId="0EF54CF3" w14:textId="09E41D48" w:rsidR="00202DC0" w:rsidRDefault="00202DC0" w:rsidP="00EA7110">
      <w:pPr>
        <w:jc w:val="both"/>
      </w:pPr>
      <w:r>
        <w:t>Adolescents represent 21% of India’s population (UNFPA, 2022).</w:t>
      </w:r>
      <w:r w:rsidR="00FC56FB">
        <w:t xml:space="preserve"> </w:t>
      </w:r>
      <w:r>
        <w:t>Rapid physiological growth increases nutritional vulnerability.</w:t>
      </w:r>
    </w:p>
    <w:p w14:paraId="2CCEFC39" w14:textId="77777777" w:rsidR="00805D92" w:rsidRDefault="00202DC0" w:rsidP="00EA7110">
      <w:pPr>
        <w:jc w:val="both"/>
      </w:pPr>
      <w:r>
        <w:t xml:space="preserve">Girls face heightened risk due to menarche and gender-based food allocation </w:t>
      </w:r>
      <w:proofErr w:type="spellStart"/>
      <w:proofErr w:type="gramStart"/>
      <w:r>
        <w:t>practices.Adolescents</w:t>
      </w:r>
      <w:proofErr w:type="spellEnd"/>
      <w:proofErr w:type="gramEnd"/>
      <w:r>
        <w:t xml:space="preserve"> are central to intergenerational nutrition, as their health directly influences future maternal and child outcomes.</w:t>
      </w:r>
    </w:p>
    <w:p w14:paraId="4B5CC383" w14:textId="1A06822C" w:rsidR="00202DC0" w:rsidRDefault="00805D92" w:rsidP="00EA7110">
      <w:pPr>
        <w:jc w:val="both"/>
      </w:pPr>
      <w:proofErr w:type="gramStart"/>
      <w:r>
        <w:t xml:space="preserve">3.4  </w:t>
      </w:r>
      <w:r w:rsidR="00202DC0">
        <w:t>Sample</w:t>
      </w:r>
      <w:proofErr w:type="gramEnd"/>
      <w:r w:rsidR="00202DC0">
        <w:t xml:space="preserve"> Size and Sampling Technique</w:t>
      </w:r>
      <w:r w:rsidR="005E7820">
        <w:t xml:space="preserve"> : </w:t>
      </w:r>
    </w:p>
    <w:p w14:paraId="6C31C08E" w14:textId="35220E84" w:rsidR="00202DC0" w:rsidRDefault="00202DC0" w:rsidP="00EA7110">
      <w:pPr>
        <w:jc w:val="both"/>
      </w:pPr>
      <w:r>
        <w:t>A total of 300 adolescents were included in the study, with equal representation of males (n = 150) and females (n = 150).</w:t>
      </w:r>
    </w:p>
    <w:p w14:paraId="778629C1" w14:textId="1E02F185" w:rsidR="00202DC0" w:rsidRDefault="00202DC0" w:rsidP="00EA7110">
      <w:pPr>
        <w:jc w:val="both"/>
      </w:pPr>
      <w:r>
        <w:t>Sample Size Determination: Based on a reported prevalence of 59% anemia among adolescent girls (NFHS-5), with a 95% confidence level and 5% margin of error, the required minimum sample size was calculated to be approximately 278. To ensure adequate power, a final sample of 300 was taken.</w:t>
      </w:r>
    </w:p>
    <w:p w14:paraId="2BB117CA" w14:textId="12DB2367" w:rsidR="00202DC0" w:rsidRDefault="00202DC0" w:rsidP="00EA7110">
      <w:pPr>
        <w:jc w:val="both"/>
      </w:pPr>
      <w:r>
        <w:t>Sampling Technique: A stratified random sampling approach was used. Schools and semi-urban communities were first stratified based on gender composition and socio-economic categories. Within each stratum, adolescents were randomly selected to minimize selection bias</w:t>
      </w:r>
      <w:r w:rsidR="005E7820">
        <w:t>.</w:t>
      </w:r>
    </w:p>
    <w:p w14:paraId="11211F44" w14:textId="242D741D" w:rsidR="00202DC0" w:rsidRDefault="00202DC0" w:rsidP="00EA7110">
      <w:pPr>
        <w:jc w:val="both"/>
      </w:pPr>
      <w:r>
        <w:t>3.5 Inclusion and Exclusion Criteria</w:t>
      </w:r>
    </w:p>
    <w:p w14:paraId="638ABA11" w14:textId="780ED562" w:rsidR="00202DC0" w:rsidRDefault="00202DC0" w:rsidP="00EA7110">
      <w:pPr>
        <w:jc w:val="both"/>
      </w:pPr>
      <w:r>
        <w:t>Inclusion Criteria:</w:t>
      </w:r>
    </w:p>
    <w:p w14:paraId="13F02D25" w14:textId="393784B9" w:rsidR="00202DC0" w:rsidRDefault="00202DC0" w:rsidP="00EA7110">
      <w:pPr>
        <w:jc w:val="both"/>
      </w:pPr>
      <w:r>
        <w:t>Adolescents aged 10–19 years enrolled in selected schools or residing in selected semi-urban communities.</w:t>
      </w:r>
    </w:p>
    <w:p w14:paraId="67476AB1" w14:textId="7B5FB1B6" w:rsidR="00202DC0" w:rsidRDefault="00202DC0" w:rsidP="00EA7110">
      <w:pPr>
        <w:jc w:val="both"/>
      </w:pPr>
      <w:r>
        <w:t>Those who provided assent and whose parents/guardians consented to participation.</w:t>
      </w:r>
    </w:p>
    <w:p w14:paraId="3AEB0319" w14:textId="31FE1975" w:rsidR="00202DC0" w:rsidRDefault="00202DC0" w:rsidP="00EA7110">
      <w:pPr>
        <w:jc w:val="both"/>
      </w:pPr>
      <w:r>
        <w:t>Exclusion Criteria:</w:t>
      </w:r>
    </w:p>
    <w:p w14:paraId="67E85DE1" w14:textId="7B7825DA" w:rsidR="00202DC0" w:rsidRDefault="00202DC0" w:rsidP="00EA7110">
      <w:pPr>
        <w:jc w:val="both"/>
      </w:pPr>
      <w:r>
        <w:t>Adolescents with known chronic illnesses (e.g., thalassemia major, sickle cell disease) that independently cause anemia.</w:t>
      </w:r>
    </w:p>
    <w:p w14:paraId="6AFE024E" w14:textId="3B656B17" w:rsidR="00202DC0" w:rsidRDefault="00202DC0" w:rsidP="00EA7110">
      <w:pPr>
        <w:jc w:val="both"/>
      </w:pPr>
      <w:r>
        <w:lastRenderedPageBreak/>
        <w:t>Adolescents on long-term medication affecting hemoglobin status.</w:t>
      </w:r>
    </w:p>
    <w:p w14:paraId="5D060BBD" w14:textId="4D94C8D9" w:rsidR="00202DC0" w:rsidRDefault="00202DC0" w:rsidP="00EA7110">
      <w:pPr>
        <w:jc w:val="both"/>
      </w:pPr>
      <w:r>
        <w:t>Pregnant adolescent girls (excluded due to altered physiological demands).</w:t>
      </w:r>
    </w:p>
    <w:p w14:paraId="4B94527F" w14:textId="4FBD84CA" w:rsidR="00202DC0" w:rsidRDefault="005C5D08" w:rsidP="00EA7110">
      <w:pPr>
        <w:jc w:val="both"/>
      </w:pPr>
      <w:r>
        <w:t>3.6 D</w:t>
      </w:r>
      <w:r w:rsidR="00202DC0">
        <w:t xml:space="preserve">ata Collection </w:t>
      </w:r>
      <w:proofErr w:type="gramStart"/>
      <w:r w:rsidR="00202DC0">
        <w:t>Tools</w:t>
      </w:r>
      <w:r w:rsidR="00F43F55">
        <w:t xml:space="preserve"> :</w:t>
      </w:r>
      <w:proofErr w:type="gramEnd"/>
      <w:r w:rsidR="00F43F55">
        <w:t xml:space="preserve"> </w:t>
      </w:r>
    </w:p>
    <w:p w14:paraId="39D1C8F9" w14:textId="40324838" w:rsidR="00202DC0" w:rsidRDefault="00202DC0" w:rsidP="00EA7110">
      <w:pPr>
        <w:jc w:val="both"/>
      </w:pPr>
      <w:r>
        <w:t>Data were collected using both primary and secondary sources:</w:t>
      </w:r>
    </w:p>
    <w:p w14:paraId="6AD4D755" w14:textId="1BC504D0" w:rsidR="00202DC0" w:rsidRDefault="00202DC0" w:rsidP="00EA7110">
      <w:pPr>
        <w:pStyle w:val="ListParagraph"/>
        <w:numPr>
          <w:ilvl w:val="0"/>
          <w:numId w:val="4"/>
        </w:numPr>
        <w:jc w:val="both"/>
      </w:pPr>
      <w:r>
        <w:t>Structured Questionnaire:</w:t>
      </w:r>
    </w:p>
    <w:p w14:paraId="32217172" w14:textId="31B4706B" w:rsidR="00202DC0" w:rsidRDefault="00202DC0" w:rsidP="00EA7110">
      <w:pPr>
        <w:jc w:val="both"/>
      </w:pPr>
      <w:r>
        <w:t>Captured socio-demographic information (age, sex, education, family income).</w:t>
      </w:r>
    </w:p>
    <w:p w14:paraId="417B59A9" w14:textId="74D45DA2" w:rsidR="00202DC0" w:rsidRDefault="00202DC0" w:rsidP="00EA7110">
      <w:pPr>
        <w:jc w:val="both"/>
      </w:pPr>
      <w:r>
        <w:t>Dietary practices (frequency of consumption of iron-rich foods, tea/coffee intake).</w:t>
      </w:r>
    </w:p>
    <w:p w14:paraId="037811C0" w14:textId="5828D2CC" w:rsidR="00202DC0" w:rsidRDefault="00202DC0" w:rsidP="00EA7110">
      <w:pPr>
        <w:jc w:val="both"/>
      </w:pPr>
      <w:r>
        <w:t>Awareness and knowledge about anemia and AMBA interventions.</w:t>
      </w:r>
    </w:p>
    <w:p w14:paraId="1689EE12" w14:textId="320E3162" w:rsidR="00202DC0" w:rsidRDefault="00202DC0" w:rsidP="00EA7110">
      <w:pPr>
        <w:jc w:val="both"/>
      </w:pPr>
      <w:r>
        <w:t>Barriers to IFA compliance (peer stigma, side effects, availability).</w:t>
      </w:r>
    </w:p>
    <w:p w14:paraId="04C72541" w14:textId="306EF3FA" w:rsidR="00202DC0" w:rsidRDefault="00202DC0" w:rsidP="00EA7110">
      <w:pPr>
        <w:jc w:val="both"/>
      </w:pPr>
      <w:r>
        <w:t>The questionnaire was pre-tested on a pilot group of 20 adolescents and refined for clarity and cultural appropriateness.</w:t>
      </w:r>
    </w:p>
    <w:p w14:paraId="27516D8C" w14:textId="3B85F226" w:rsidR="00202DC0" w:rsidRDefault="00202DC0" w:rsidP="00EA7110">
      <w:pPr>
        <w:pStyle w:val="ListParagraph"/>
        <w:numPr>
          <w:ilvl w:val="0"/>
          <w:numId w:val="4"/>
        </w:numPr>
        <w:jc w:val="both"/>
      </w:pPr>
      <w:r>
        <w:t xml:space="preserve">Hemoglobin </w:t>
      </w:r>
      <w:proofErr w:type="gramStart"/>
      <w:r>
        <w:t>Estimation</w:t>
      </w:r>
      <w:r w:rsidR="00F43F55">
        <w:t xml:space="preserve"> :</w:t>
      </w:r>
      <w:proofErr w:type="gramEnd"/>
    </w:p>
    <w:p w14:paraId="4A9F05B8" w14:textId="5ACCF6C9" w:rsidR="00202DC0" w:rsidRDefault="00202DC0" w:rsidP="00EA7110">
      <w:pPr>
        <w:jc w:val="both"/>
      </w:pPr>
      <w:r>
        <w:t>Secondary data were collected from school health records, where Hb testing had been conducted as part of routine health check-ups.</w:t>
      </w:r>
    </w:p>
    <w:p w14:paraId="48E0B9F5" w14:textId="1CA4F0ED" w:rsidR="00202DC0" w:rsidRDefault="00202DC0" w:rsidP="00EA7110">
      <w:pPr>
        <w:jc w:val="both"/>
      </w:pPr>
      <w:r>
        <w:t xml:space="preserve">For adolescents without recent records, hemoglobin levels were assessed using </w:t>
      </w:r>
      <w:proofErr w:type="spellStart"/>
      <w:r>
        <w:t>HemoCue</w:t>
      </w:r>
      <w:proofErr w:type="spellEnd"/>
      <w:r>
        <w:t xml:space="preserve"> Hb 201+ </w:t>
      </w:r>
      <w:proofErr w:type="spellStart"/>
      <w:r>
        <w:t>analyzer</w:t>
      </w:r>
      <w:proofErr w:type="spellEnd"/>
      <w:r>
        <w:t>, a portable and WHO-recommended method for field studies.</w:t>
      </w:r>
    </w:p>
    <w:p w14:paraId="7F3BA525" w14:textId="4C56CA99" w:rsidR="00202DC0" w:rsidRDefault="002040A5" w:rsidP="00EA7110">
      <w:pPr>
        <w:jc w:val="both"/>
      </w:pPr>
      <w:r>
        <w:t xml:space="preserve">List 2: </w:t>
      </w:r>
      <w:proofErr w:type="spellStart"/>
      <w:r w:rsidR="00202DC0">
        <w:t>Anemia</w:t>
      </w:r>
      <w:proofErr w:type="spellEnd"/>
      <w:r w:rsidR="00202DC0">
        <w:t xml:space="preserve"> classification was based on WHO (2011) cut-offs</w:t>
      </w:r>
    </w:p>
    <w:tbl>
      <w:tblPr>
        <w:tblStyle w:val="TableGrid"/>
        <w:tblW w:w="0" w:type="auto"/>
        <w:tblLook w:val="04A0" w:firstRow="1" w:lastRow="0" w:firstColumn="1" w:lastColumn="0" w:noHBand="0" w:noVBand="1"/>
      </w:tblPr>
      <w:tblGrid>
        <w:gridCol w:w="1895"/>
        <w:gridCol w:w="1813"/>
        <w:gridCol w:w="1802"/>
      </w:tblGrid>
      <w:tr w:rsidR="007D16EC" w14:paraId="191F867C" w14:textId="7C2AE8E5" w:rsidTr="007D16EC">
        <w:tc>
          <w:tcPr>
            <w:tcW w:w="1895" w:type="dxa"/>
          </w:tcPr>
          <w:p w14:paraId="34776A67" w14:textId="07680DC6" w:rsidR="007D16EC" w:rsidRDefault="007D16EC" w:rsidP="00EA7110">
            <w:pPr>
              <w:jc w:val="both"/>
            </w:pPr>
            <w:r>
              <w:t xml:space="preserve">Anemia level </w:t>
            </w:r>
          </w:p>
        </w:tc>
        <w:tc>
          <w:tcPr>
            <w:tcW w:w="1813" w:type="dxa"/>
          </w:tcPr>
          <w:p w14:paraId="6439B8E6" w14:textId="297C4B9C" w:rsidR="007D16EC" w:rsidRDefault="007D16EC" w:rsidP="00EA7110">
            <w:pPr>
              <w:jc w:val="both"/>
            </w:pPr>
            <w:r>
              <w:t xml:space="preserve"> girls </w:t>
            </w:r>
          </w:p>
        </w:tc>
        <w:tc>
          <w:tcPr>
            <w:tcW w:w="1802" w:type="dxa"/>
          </w:tcPr>
          <w:p w14:paraId="15359068" w14:textId="2083E21D" w:rsidR="007D16EC" w:rsidRDefault="007D16EC" w:rsidP="00EA7110">
            <w:pPr>
              <w:jc w:val="both"/>
            </w:pPr>
            <w:r>
              <w:t>Boys</w:t>
            </w:r>
          </w:p>
        </w:tc>
      </w:tr>
      <w:tr w:rsidR="007D16EC" w14:paraId="19C6486E" w14:textId="42F198F5" w:rsidTr="007D16EC">
        <w:tc>
          <w:tcPr>
            <w:tcW w:w="1895" w:type="dxa"/>
          </w:tcPr>
          <w:p w14:paraId="2D6A011B" w14:textId="7CF9C0E9" w:rsidR="007D16EC" w:rsidRDefault="007D16EC" w:rsidP="00EA7110">
            <w:pPr>
              <w:jc w:val="both"/>
            </w:pPr>
            <w:r>
              <w:t>Mild anemia</w:t>
            </w:r>
          </w:p>
        </w:tc>
        <w:tc>
          <w:tcPr>
            <w:tcW w:w="1813" w:type="dxa"/>
          </w:tcPr>
          <w:p w14:paraId="56B9322A" w14:textId="5D87C7F6" w:rsidR="007D16EC" w:rsidRDefault="00ED1F68" w:rsidP="00EA7110">
            <w:pPr>
              <w:jc w:val="both"/>
            </w:pPr>
            <w:r>
              <w:t xml:space="preserve"> 11.0–11.9 g/dl</w:t>
            </w:r>
          </w:p>
        </w:tc>
        <w:tc>
          <w:tcPr>
            <w:tcW w:w="1802" w:type="dxa"/>
          </w:tcPr>
          <w:p w14:paraId="4985CB2A" w14:textId="4A516594" w:rsidR="007D16EC" w:rsidRDefault="00ED1F68" w:rsidP="00EA7110">
            <w:pPr>
              <w:jc w:val="both"/>
            </w:pPr>
            <w:r>
              <w:t xml:space="preserve"> 11.0–12.9 g/dl </w:t>
            </w:r>
          </w:p>
        </w:tc>
      </w:tr>
      <w:tr w:rsidR="007D16EC" w14:paraId="510B9BD9" w14:textId="2CCFF422" w:rsidTr="007D16EC">
        <w:tc>
          <w:tcPr>
            <w:tcW w:w="1895" w:type="dxa"/>
          </w:tcPr>
          <w:p w14:paraId="69770236" w14:textId="06E54AEF" w:rsidR="007D16EC" w:rsidRDefault="00ED1F68" w:rsidP="00EA7110">
            <w:pPr>
              <w:jc w:val="both"/>
            </w:pPr>
            <w:r>
              <w:t>Moderate anemia</w:t>
            </w:r>
          </w:p>
        </w:tc>
        <w:tc>
          <w:tcPr>
            <w:tcW w:w="1813" w:type="dxa"/>
          </w:tcPr>
          <w:p w14:paraId="159CB02E" w14:textId="2056B892" w:rsidR="007D16EC" w:rsidRDefault="0094722A" w:rsidP="00EA7110">
            <w:pPr>
              <w:jc w:val="both"/>
            </w:pPr>
            <w:r>
              <w:t xml:space="preserve"> 8.0–10.9 g/dl</w:t>
            </w:r>
          </w:p>
        </w:tc>
        <w:tc>
          <w:tcPr>
            <w:tcW w:w="1802" w:type="dxa"/>
          </w:tcPr>
          <w:p w14:paraId="40D58914" w14:textId="27DB0582" w:rsidR="007D16EC" w:rsidRDefault="00DD00C2" w:rsidP="00EA7110">
            <w:pPr>
              <w:jc w:val="both"/>
            </w:pPr>
            <w:r>
              <w:t xml:space="preserve">  8.0–10.9 g/dl</w:t>
            </w:r>
            <w:r>
              <w:tab/>
              <w:t xml:space="preserve">  </w:t>
            </w:r>
          </w:p>
        </w:tc>
      </w:tr>
      <w:tr w:rsidR="007D16EC" w14:paraId="7DE3348C" w14:textId="5AF89E1A" w:rsidTr="007D16EC">
        <w:tc>
          <w:tcPr>
            <w:tcW w:w="1895" w:type="dxa"/>
          </w:tcPr>
          <w:p w14:paraId="073F6268" w14:textId="26C8CD4C" w:rsidR="007D16EC" w:rsidRDefault="00ED1F68" w:rsidP="00EA7110">
            <w:pPr>
              <w:jc w:val="both"/>
            </w:pPr>
            <w:r>
              <w:t>Severe anemia</w:t>
            </w:r>
          </w:p>
        </w:tc>
        <w:tc>
          <w:tcPr>
            <w:tcW w:w="1813" w:type="dxa"/>
          </w:tcPr>
          <w:p w14:paraId="25AEDD31" w14:textId="430512AF" w:rsidR="007D16EC" w:rsidRDefault="0094722A" w:rsidP="00EA7110">
            <w:pPr>
              <w:jc w:val="both"/>
            </w:pPr>
            <w:r>
              <w:t xml:space="preserve"> &lt;8.0 g/dl.</w:t>
            </w:r>
          </w:p>
        </w:tc>
        <w:tc>
          <w:tcPr>
            <w:tcW w:w="1802" w:type="dxa"/>
          </w:tcPr>
          <w:p w14:paraId="0ED6437C" w14:textId="7A9B7147" w:rsidR="007D16EC" w:rsidRDefault="00DD00C2" w:rsidP="00EA7110">
            <w:pPr>
              <w:jc w:val="both"/>
            </w:pPr>
            <w:r>
              <w:t xml:space="preserve"> &lt;8.0 g/dl</w:t>
            </w:r>
          </w:p>
        </w:tc>
      </w:tr>
      <w:tr w:rsidR="007D16EC" w14:paraId="2D532067" w14:textId="4CE79F13" w:rsidTr="007D16EC">
        <w:tc>
          <w:tcPr>
            <w:tcW w:w="1895" w:type="dxa"/>
          </w:tcPr>
          <w:p w14:paraId="4566B9A9" w14:textId="77777777" w:rsidR="007D16EC" w:rsidRDefault="007D16EC" w:rsidP="00EA7110">
            <w:pPr>
              <w:jc w:val="both"/>
            </w:pPr>
          </w:p>
        </w:tc>
        <w:tc>
          <w:tcPr>
            <w:tcW w:w="1813" w:type="dxa"/>
          </w:tcPr>
          <w:p w14:paraId="10ED5C78" w14:textId="77777777" w:rsidR="007D16EC" w:rsidRDefault="007D16EC" w:rsidP="00EA7110">
            <w:pPr>
              <w:jc w:val="both"/>
            </w:pPr>
          </w:p>
        </w:tc>
        <w:tc>
          <w:tcPr>
            <w:tcW w:w="1802" w:type="dxa"/>
          </w:tcPr>
          <w:p w14:paraId="6CCE6A20" w14:textId="77777777" w:rsidR="007D16EC" w:rsidRDefault="007D16EC" w:rsidP="00EA7110">
            <w:pPr>
              <w:jc w:val="both"/>
            </w:pPr>
          </w:p>
        </w:tc>
      </w:tr>
    </w:tbl>
    <w:p w14:paraId="3977E429" w14:textId="27FA3614" w:rsidR="00202DC0" w:rsidRDefault="00202DC0" w:rsidP="00EA7110">
      <w:pPr>
        <w:jc w:val="both"/>
      </w:pPr>
    </w:p>
    <w:p w14:paraId="021F3DA0" w14:textId="1E38D14B" w:rsidR="00202DC0" w:rsidRDefault="00202DC0" w:rsidP="00EA7110">
      <w:pPr>
        <w:jc w:val="both"/>
      </w:pPr>
      <w:r>
        <w:t>3.7 Data Collection Procedure</w:t>
      </w:r>
    </w:p>
    <w:p w14:paraId="28F9497F" w14:textId="5F2C4458" w:rsidR="00202DC0" w:rsidRDefault="00202DC0" w:rsidP="00EA7110">
      <w:pPr>
        <w:jc w:val="both"/>
      </w:pPr>
      <w:r>
        <w:t>Data collection was carried out over a 3-month period.</w:t>
      </w:r>
    </w:p>
    <w:p w14:paraId="5E284FDB" w14:textId="579431D5" w:rsidR="00202DC0" w:rsidRDefault="00202DC0" w:rsidP="00EA7110">
      <w:pPr>
        <w:jc w:val="both"/>
      </w:pPr>
      <w:r>
        <w:t>Trained field investigators (nutrition postgraduates) conducted interviews with adolescents in classrooms and community centers.</w:t>
      </w:r>
    </w:p>
    <w:p w14:paraId="666C99ED" w14:textId="39CC4536" w:rsidR="00202DC0" w:rsidRDefault="00202DC0" w:rsidP="00EA7110">
      <w:pPr>
        <w:jc w:val="both"/>
      </w:pPr>
      <w:r>
        <w:t>Health records were verified with school authorities, and where necessary, spot hemoglobin testing was performed.</w:t>
      </w:r>
    </w:p>
    <w:p w14:paraId="355E1740" w14:textId="156D37F1" w:rsidR="00202DC0" w:rsidRDefault="00202DC0" w:rsidP="00EA7110">
      <w:pPr>
        <w:jc w:val="both"/>
      </w:pPr>
      <w:r>
        <w:lastRenderedPageBreak/>
        <w:t>Confidentiality and privacy were ensured during data collection, particularly for questions related to menstruation and dietary habits.</w:t>
      </w:r>
    </w:p>
    <w:p w14:paraId="4BF295E2" w14:textId="3AB66783" w:rsidR="00202DC0" w:rsidRDefault="00202DC0" w:rsidP="00EA7110">
      <w:pPr>
        <w:jc w:val="both"/>
      </w:pPr>
      <w:r>
        <w:t>3.</w:t>
      </w:r>
      <w:r w:rsidR="00CC0606">
        <w:t>8</w:t>
      </w:r>
      <w:r>
        <w:t xml:space="preserve"> Data Analysis</w:t>
      </w:r>
    </w:p>
    <w:p w14:paraId="4FA01DA7" w14:textId="610631C1" w:rsidR="00202DC0" w:rsidRDefault="00202DC0" w:rsidP="00EA7110">
      <w:pPr>
        <w:jc w:val="both"/>
      </w:pPr>
      <w:r>
        <w:t>Data were entered into SPSS version 26.0 for statistical analysis.</w:t>
      </w:r>
    </w:p>
    <w:p w14:paraId="747BEF4F" w14:textId="2F69B8A7" w:rsidR="00202DC0" w:rsidRDefault="00202DC0" w:rsidP="00EA7110">
      <w:pPr>
        <w:jc w:val="both"/>
      </w:pPr>
      <w:r>
        <w:t>Descriptive statistics (means, frequencies, percentages) were used to present socio-demographic details, prevalence, and awareness levels.</w:t>
      </w:r>
    </w:p>
    <w:p w14:paraId="67CF1F44" w14:textId="076D96C3" w:rsidR="00202DC0" w:rsidRDefault="00202DC0" w:rsidP="00EA7110">
      <w:pPr>
        <w:jc w:val="both"/>
      </w:pPr>
      <w:r>
        <w:t>Chi-square tests were employed to assess associations between anemia prevalence and socio-demographic factors (gender, income, education, dietary diversity).</w:t>
      </w:r>
    </w:p>
    <w:p w14:paraId="701EBE60" w14:textId="481F6096" w:rsidR="00202DC0" w:rsidRDefault="00202DC0" w:rsidP="00EA7110">
      <w:pPr>
        <w:jc w:val="both"/>
      </w:pPr>
      <w:r>
        <w:t>Multivariate logistic regression was conducted to identify independent predictors of anemia.</w:t>
      </w:r>
    </w:p>
    <w:p w14:paraId="3D64F7F7" w14:textId="02705D81" w:rsidR="00B9474E" w:rsidRDefault="00202DC0" w:rsidP="00EA7110">
      <w:pPr>
        <w:jc w:val="both"/>
      </w:pPr>
      <w:r>
        <w:t>A p-value of &lt;0.05 was considered statistically significant.</w:t>
      </w:r>
    </w:p>
    <w:p w14:paraId="2077A8A4" w14:textId="292A2BFE" w:rsidR="004A3152" w:rsidRPr="002040A5" w:rsidRDefault="00B9474E" w:rsidP="00EA7110">
      <w:pPr>
        <w:pStyle w:val="ListParagraph"/>
        <w:numPr>
          <w:ilvl w:val="0"/>
          <w:numId w:val="2"/>
        </w:numPr>
        <w:jc w:val="both"/>
        <w:rPr>
          <w:b/>
        </w:rPr>
      </w:pPr>
      <w:proofErr w:type="gramStart"/>
      <w:r w:rsidRPr="002040A5">
        <w:rPr>
          <w:b/>
        </w:rPr>
        <w:t>Results</w:t>
      </w:r>
      <w:r w:rsidR="00CF2A95" w:rsidRPr="002040A5">
        <w:rPr>
          <w:b/>
        </w:rPr>
        <w:t xml:space="preserve"> :</w:t>
      </w:r>
      <w:proofErr w:type="gramEnd"/>
      <w:r w:rsidR="00CF2A95" w:rsidRPr="002040A5">
        <w:rPr>
          <w:b/>
        </w:rPr>
        <w:t xml:space="preserve"> </w:t>
      </w:r>
    </w:p>
    <w:p w14:paraId="298D6469" w14:textId="2F655F70" w:rsidR="004A3152" w:rsidRDefault="004A3152" w:rsidP="00EA7110">
      <w:pPr>
        <w:pStyle w:val="ListParagraph"/>
        <w:numPr>
          <w:ilvl w:val="1"/>
          <w:numId w:val="2"/>
        </w:numPr>
        <w:jc w:val="both"/>
      </w:pPr>
      <w:r>
        <w:t>Prevalence of Anemia among Adolescents</w:t>
      </w:r>
    </w:p>
    <w:p w14:paraId="3051D8E7" w14:textId="0B96BC71" w:rsidR="004A3152" w:rsidRDefault="004A3152" w:rsidP="00EA7110">
      <w:pPr>
        <w:pStyle w:val="ListParagraph"/>
        <w:ind w:left="735"/>
        <w:jc w:val="both"/>
      </w:pPr>
    </w:p>
    <w:p w14:paraId="62766C07" w14:textId="02BC9AB5" w:rsidR="004A3152" w:rsidRDefault="004A3152" w:rsidP="00EA7110">
      <w:pPr>
        <w:jc w:val="both"/>
      </w:pPr>
      <w:r>
        <w:t xml:space="preserve">Table </w:t>
      </w:r>
      <w:r w:rsidR="00EC4E5C">
        <w:t>2</w:t>
      </w:r>
      <w:r>
        <w:t>: Prevalence and Severity of Anemia among Adolescents (n = …)</w:t>
      </w:r>
    </w:p>
    <w:tbl>
      <w:tblPr>
        <w:tblStyle w:val="TableGrid"/>
        <w:tblW w:w="0" w:type="auto"/>
        <w:tblLook w:val="04A0" w:firstRow="1" w:lastRow="0" w:firstColumn="1" w:lastColumn="0" w:noHBand="0" w:noVBand="1"/>
      </w:tblPr>
      <w:tblGrid>
        <w:gridCol w:w="1376"/>
        <w:gridCol w:w="1378"/>
        <w:gridCol w:w="1378"/>
        <w:gridCol w:w="1378"/>
      </w:tblGrid>
      <w:tr w:rsidR="00395957" w14:paraId="16BB6E3A" w14:textId="77777777" w:rsidTr="00395957">
        <w:tc>
          <w:tcPr>
            <w:tcW w:w="1376" w:type="dxa"/>
          </w:tcPr>
          <w:p w14:paraId="599C4D97" w14:textId="754DC166" w:rsidR="00395957" w:rsidRDefault="00395957" w:rsidP="00EA7110">
            <w:pPr>
              <w:jc w:val="both"/>
            </w:pPr>
            <w:r>
              <w:t xml:space="preserve">Category </w:t>
            </w:r>
          </w:p>
        </w:tc>
        <w:tc>
          <w:tcPr>
            <w:tcW w:w="1378" w:type="dxa"/>
          </w:tcPr>
          <w:p w14:paraId="24F7E2B4" w14:textId="1AA44811" w:rsidR="00395957" w:rsidRDefault="00395957" w:rsidP="00EA7110">
            <w:pPr>
              <w:jc w:val="both"/>
            </w:pPr>
            <w:proofErr w:type="gramStart"/>
            <w:r>
              <w:t>Overall(</w:t>
            </w:r>
            <w:proofErr w:type="gramEnd"/>
            <w:r>
              <w:t>%)</w:t>
            </w:r>
          </w:p>
        </w:tc>
        <w:tc>
          <w:tcPr>
            <w:tcW w:w="1378" w:type="dxa"/>
          </w:tcPr>
          <w:p w14:paraId="5C59708C" w14:textId="50217B14" w:rsidR="00395957" w:rsidRDefault="00395957" w:rsidP="00EA7110">
            <w:pPr>
              <w:jc w:val="both"/>
            </w:pPr>
            <w:proofErr w:type="gramStart"/>
            <w:r>
              <w:t>Boys(</w:t>
            </w:r>
            <w:proofErr w:type="gramEnd"/>
            <w:r>
              <w:t>%)</w:t>
            </w:r>
          </w:p>
        </w:tc>
        <w:tc>
          <w:tcPr>
            <w:tcW w:w="1378" w:type="dxa"/>
          </w:tcPr>
          <w:p w14:paraId="6E3F8AC4" w14:textId="35D422A0" w:rsidR="00395957" w:rsidRDefault="00395957" w:rsidP="00EA7110">
            <w:pPr>
              <w:jc w:val="both"/>
            </w:pPr>
            <w:proofErr w:type="gramStart"/>
            <w:r>
              <w:t>Girls</w:t>
            </w:r>
            <w:r w:rsidR="001F61FB">
              <w:t>(</w:t>
            </w:r>
            <w:proofErr w:type="gramEnd"/>
            <w:r w:rsidR="001F61FB">
              <w:t>%)</w:t>
            </w:r>
          </w:p>
        </w:tc>
      </w:tr>
      <w:tr w:rsidR="00395957" w14:paraId="23EEBE6C" w14:textId="77777777" w:rsidTr="00395957">
        <w:tc>
          <w:tcPr>
            <w:tcW w:w="1376" w:type="dxa"/>
          </w:tcPr>
          <w:p w14:paraId="2F8065A3" w14:textId="2A7C71B6" w:rsidR="00395957" w:rsidRDefault="001F61FB" w:rsidP="00EA7110">
            <w:pPr>
              <w:jc w:val="both"/>
            </w:pPr>
            <w:r>
              <w:t>Any Anemia (Total)</w:t>
            </w:r>
          </w:p>
        </w:tc>
        <w:tc>
          <w:tcPr>
            <w:tcW w:w="1378" w:type="dxa"/>
          </w:tcPr>
          <w:p w14:paraId="0673F7F7" w14:textId="65E38A9D" w:rsidR="00395957" w:rsidRDefault="001F61FB" w:rsidP="00EA7110">
            <w:pPr>
              <w:jc w:val="both"/>
            </w:pPr>
            <w:r>
              <w:t>56</w:t>
            </w:r>
          </w:p>
        </w:tc>
        <w:tc>
          <w:tcPr>
            <w:tcW w:w="1378" w:type="dxa"/>
          </w:tcPr>
          <w:p w14:paraId="6BC7EB63" w14:textId="696B5633" w:rsidR="00395957" w:rsidRDefault="001F61FB" w:rsidP="00EA7110">
            <w:pPr>
              <w:jc w:val="both"/>
            </w:pPr>
            <w:r>
              <w:t>44</w:t>
            </w:r>
          </w:p>
        </w:tc>
        <w:tc>
          <w:tcPr>
            <w:tcW w:w="1378" w:type="dxa"/>
          </w:tcPr>
          <w:p w14:paraId="6F9E389C" w14:textId="0422A8D8" w:rsidR="00395957" w:rsidRDefault="001F61FB" w:rsidP="00EA7110">
            <w:pPr>
              <w:jc w:val="both"/>
            </w:pPr>
            <w:r>
              <w:t>68</w:t>
            </w:r>
          </w:p>
        </w:tc>
      </w:tr>
      <w:tr w:rsidR="00395957" w14:paraId="7C65EF27" w14:textId="77777777" w:rsidTr="00395957">
        <w:tc>
          <w:tcPr>
            <w:tcW w:w="1376" w:type="dxa"/>
          </w:tcPr>
          <w:p w14:paraId="190BF18E" w14:textId="08B1A18A" w:rsidR="00395957" w:rsidRDefault="001F61FB" w:rsidP="00EA7110">
            <w:pPr>
              <w:jc w:val="both"/>
            </w:pPr>
            <w:r>
              <w:t>Mild Anemia</w:t>
            </w:r>
          </w:p>
        </w:tc>
        <w:tc>
          <w:tcPr>
            <w:tcW w:w="1378" w:type="dxa"/>
          </w:tcPr>
          <w:p w14:paraId="5588037C" w14:textId="29429D4D" w:rsidR="00395957" w:rsidRDefault="00747B91" w:rsidP="00EA7110">
            <w:pPr>
              <w:jc w:val="both"/>
            </w:pPr>
            <w:r>
              <w:t>30</w:t>
            </w:r>
          </w:p>
        </w:tc>
        <w:tc>
          <w:tcPr>
            <w:tcW w:w="1378" w:type="dxa"/>
          </w:tcPr>
          <w:p w14:paraId="7A3E9086" w14:textId="434D0EA5" w:rsidR="00395957" w:rsidRDefault="00747B91" w:rsidP="00EA7110">
            <w:pPr>
              <w:jc w:val="both"/>
            </w:pPr>
            <w:r>
              <w:t>22</w:t>
            </w:r>
          </w:p>
        </w:tc>
        <w:tc>
          <w:tcPr>
            <w:tcW w:w="1378" w:type="dxa"/>
          </w:tcPr>
          <w:p w14:paraId="4D3B70DF" w14:textId="3A8457CB" w:rsidR="00395957" w:rsidRDefault="00747B91" w:rsidP="00EA7110">
            <w:pPr>
              <w:jc w:val="both"/>
            </w:pPr>
            <w:r>
              <w:t>36</w:t>
            </w:r>
          </w:p>
        </w:tc>
      </w:tr>
      <w:tr w:rsidR="001F61FB" w14:paraId="6F321EAA" w14:textId="77777777" w:rsidTr="00395957">
        <w:tc>
          <w:tcPr>
            <w:tcW w:w="1376" w:type="dxa"/>
          </w:tcPr>
          <w:p w14:paraId="716EBF1A" w14:textId="1CEE5F9A" w:rsidR="001F61FB" w:rsidRDefault="00747B91" w:rsidP="00EA7110">
            <w:pPr>
              <w:jc w:val="both"/>
            </w:pPr>
            <w:r>
              <w:t>Moderate Anemia</w:t>
            </w:r>
          </w:p>
        </w:tc>
        <w:tc>
          <w:tcPr>
            <w:tcW w:w="1378" w:type="dxa"/>
          </w:tcPr>
          <w:p w14:paraId="40A63C0F" w14:textId="7200D168" w:rsidR="001F61FB" w:rsidRDefault="00747B91" w:rsidP="00EA7110">
            <w:pPr>
              <w:jc w:val="both"/>
            </w:pPr>
            <w:r>
              <w:t>20</w:t>
            </w:r>
          </w:p>
        </w:tc>
        <w:tc>
          <w:tcPr>
            <w:tcW w:w="1378" w:type="dxa"/>
          </w:tcPr>
          <w:p w14:paraId="445AEFC7" w14:textId="42711A59" w:rsidR="001F61FB" w:rsidRDefault="00BE60B2" w:rsidP="00EA7110">
            <w:pPr>
              <w:jc w:val="both"/>
            </w:pPr>
            <w:r>
              <w:t>15</w:t>
            </w:r>
          </w:p>
        </w:tc>
        <w:tc>
          <w:tcPr>
            <w:tcW w:w="1378" w:type="dxa"/>
          </w:tcPr>
          <w:p w14:paraId="6FAD8772" w14:textId="68995970" w:rsidR="001F61FB" w:rsidRDefault="00BE60B2" w:rsidP="00EA7110">
            <w:pPr>
              <w:jc w:val="both"/>
            </w:pPr>
            <w:r>
              <w:t>25</w:t>
            </w:r>
          </w:p>
        </w:tc>
      </w:tr>
      <w:tr w:rsidR="00747B91" w14:paraId="3201C013" w14:textId="77777777" w:rsidTr="00395957">
        <w:tc>
          <w:tcPr>
            <w:tcW w:w="1376" w:type="dxa"/>
          </w:tcPr>
          <w:p w14:paraId="7E42E2D5" w14:textId="37E7AE5C" w:rsidR="00747B91" w:rsidRDefault="00747B91" w:rsidP="00EA7110">
            <w:pPr>
              <w:jc w:val="both"/>
            </w:pPr>
            <w:r>
              <w:t>Severe Anemia</w:t>
            </w:r>
            <w:r>
              <w:tab/>
            </w:r>
          </w:p>
        </w:tc>
        <w:tc>
          <w:tcPr>
            <w:tcW w:w="1378" w:type="dxa"/>
          </w:tcPr>
          <w:p w14:paraId="67050222" w14:textId="246E8024" w:rsidR="00747B91" w:rsidRDefault="00747B91" w:rsidP="00EA7110">
            <w:pPr>
              <w:jc w:val="both"/>
            </w:pPr>
            <w:r>
              <w:t>6</w:t>
            </w:r>
          </w:p>
        </w:tc>
        <w:tc>
          <w:tcPr>
            <w:tcW w:w="1378" w:type="dxa"/>
          </w:tcPr>
          <w:p w14:paraId="462FBCD3" w14:textId="5E090AC8" w:rsidR="00747B91" w:rsidRDefault="00BE60B2" w:rsidP="00EA7110">
            <w:pPr>
              <w:jc w:val="both"/>
            </w:pPr>
            <w:r>
              <w:t>7</w:t>
            </w:r>
          </w:p>
        </w:tc>
        <w:tc>
          <w:tcPr>
            <w:tcW w:w="1378" w:type="dxa"/>
          </w:tcPr>
          <w:p w14:paraId="306BC8C3" w14:textId="1BEF867B" w:rsidR="00747B91" w:rsidRDefault="00BE60B2" w:rsidP="00EA7110">
            <w:pPr>
              <w:jc w:val="both"/>
            </w:pPr>
            <w:r>
              <w:t>7</w:t>
            </w:r>
          </w:p>
        </w:tc>
      </w:tr>
    </w:tbl>
    <w:p w14:paraId="01700C42" w14:textId="77777777" w:rsidR="004B7FBC" w:rsidRDefault="004B7FBC" w:rsidP="00EA7110">
      <w:pPr>
        <w:jc w:val="both"/>
      </w:pPr>
    </w:p>
    <w:p w14:paraId="6340651A" w14:textId="6A16E555" w:rsidR="00956A0A" w:rsidRDefault="004A3152" w:rsidP="00EA7110">
      <w:pPr>
        <w:jc w:val="both"/>
      </w:pPr>
      <w:r>
        <w:t xml:space="preserve">More than half (56%) of adolescents were anemic, with girls showing almost 1.5 times higher prevalence than boys. Severe anemia, though less common (6%), represents a critical public health concern due to its impact on immunity, cognition, and reproductive </w:t>
      </w:r>
      <w:proofErr w:type="spellStart"/>
      <w:proofErr w:type="gramStart"/>
      <w:r>
        <w:t>health.</w:t>
      </w:r>
      <w:r w:rsidR="00956A0A">
        <w:t>This</w:t>
      </w:r>
      <w:proofErr w:type="spellEnd"/>
      <w:proofErr w:type="gramEnd"/>
      <w:r w:rsidR="00956A0A">
        <w:t xml:space="preserve"> finding is consistent with national trends, where adolescent girls are almost twice as likely to be anemic as boys due to factors such as menstrual blood loss, gendered food allocation, and higher iron requirements.</w:t>
      </w:r>
    </w:p>
    <w:p w14:paraId="448CB9CE" w14:textId="602DA144" w:rsidR="00956A0A" w:rsidRDefault="00956A0A" w:rsidP="00EA7110">
      <w:pPr>
        <w:jc w:val="both"/>
      </w:pPr>
      <w:r>
        <w:t>Severe anemia, though less common, was observed in 6% of adolescents — a worrying figure, as severe anemia is linked to serious health consequences such as reduced immunity, impaired cognitive ability, and increased maternal risks for girls.</w:t>
      </w:r>
    </w:p>
    <w:p w14:paraId="505799C4" w14:textId="47416CDE" w:rsidR="002E1896" w:rsidRDefault="00956A0A" w:rsidP="00EA7110">
      <w:pPr>
        <w:jc w:val="both"/>
      </w:pPr>
      <w:r>
        <w:lastRenderedPageBreak/>
        <w:t>The burden of anemia was therefore not just widespread but also clinically significant, with one in four adolescents suffering from moderate to severe forms.</w:t>
      </w:r>
    </w:p>
    <w:p w14:paraId="483081A7" w14:textId="47AA0278" w:rsidR="004A3152" w:rsidRDefault="004A3152" w:rsidP="00EA7110">
      <w:pPr>
        <w:pStyle w:val="ListParagraph"/>
        <w:numPr>
          <w:ilvl w:val="1"/>
          <w:numId w:val="2"/>
        </w:numPr>
        <w:jc w:val="both"/>
      </w:pPr>
      <w:r>
        <w:t>Awareness and Knowledge about AMBA</w:t>
      </w:r>
    </w:p>
    <w:p w14:paraId="2D213122" w14:textId="61D2927A" w:rsidR="004A3152" w:rsidRDefault="004A3152" w:rsidP="00EA7110">
      <w:pPr>
        <w:jc w:val="both"/>
      </w:pPr>
      <w:r>
        <w:t xml:space="preserve">Table </w:t>
      </w:r>
      <w:r w:rsidR="00EC4E5C">
        <w:t>3</w:t>
      </w:r>
      <w:r>
        <w:t>: Awareness and Practices Related to AMBA among Adolescents</w:t>
      </w:r>
      <w:r w:rsidR="00875C2A">
        <w:t xml:space="preserve"> </w:t>
      </w:r>
    </w:p>
    <w:tbl>
      <w:tblPr>
        <w:tblStyle w:val="TableGrid"/>
        <w:tblW w:w="0" w:type="auto"/>
        <w:tblLook w:val="04A0" w:firstRow="1" w:lastRow="0" w:firstColumn="1" w:lastColumn="0" w:noHBand="0" w:noVBand="1"/>
      </w:tblPr>
      <w:tblGrid>
        <w:gridCol w:w="2147"/>
        <w:gridCol w:w="2090"/>
      </w:tblGrid>
      <w:tr w:rsidR="003068B1" w14:paraId="123DDD92" w14:textId="77777777" w:rsidTr="003068B1">
        <w:tc>
          <w:tcPr>
            <w:tcW w:w="2147" w:type="dxa"/>
          </w:tcPr>
          <w:p w14:paraId="5719C605" w14:textId="0CDE7D75" w:rsidR="003068B1" w:rsidRDefault="003068B1" w:rsidP="00EA7110">
            <w:pPr>
              <w:jc w:val="both"/>
            </w:pPr>
            <w:r>
              <w:t xml:space="preserve">Indicator </w:t>
            </w:r>
          </w:p>
        </w:tc>
        <w:tc>
          <w:tcPr>
            <w:tcW w:w="2090" w:type="dxa"/>
          </w:tcPr>
          <w:p w14:paraId="12CE9166" w14:textId="5B97F056" w:rsidR="003068B1" w:rsidRDefault="003068B1" w:rsidP="00EA7110">
            <w:pPr>
              <w:jc w:val="both"/>
            </w:pPr>
            <w:r>
              <w:t>% Adolescents</w:t>
            </w:r>
          </w:p>
        </w:tc>
      </w:tr>
      <w:tr w:rsidR="003068B1" w14:paraId="2B085BBC" w14:textId="77777777" w:rsidTr="003068B1">
        <w:tc>
          <w:tcPr>
            <w:tcW w:w="2147" w:type="dxa"/>
          </w:tcPr>
          <w:p w14:paraId="6A69DC3D" w14:textId="0A577CC4" w:rsidR="003068B1" w:rsidRDefault="003068B1" w:rsidP="00EA7110">
            <w:pPr>
              <w:jc w:val="both"/>
            </w:pPr>
            <w:r>
              <w:t>Heard of AMBA</w:t>
            </w:r>
            <w:r>
              <w:tab/>
            </w:r>
          </w:p>
        </w:tc>
        <w:tc>
          <w:tcPr>
            <w:tcW w:w="2090" w:type="dxa"/>
          </w:tcPr>
          <w:p w14:paraId="7A3304D2" w14:textId="233B00D9" w:rsidR="003068B1" w:rsidRDefault="003068B1" w:rsidP="00EA7110">
            <w:pPr>
              <w:jc w:val="both"/>
            </w:pPr>
            <w:r>
              <w:t>41</w:t>
            </w:r>
          </w:p>
        </w:tc>
      </w:tr>
      <w:tr w:rsidR="003068B1" w14:paraId="784CB173" w14:textId="77777777" w:rsidTr="003068B1">
        <w:tc>
          <w:tcPr>
            <w:tcW w:w="2147" w:type="dxa"/>
          </w:tcPr>
          <w:p w14:paraId="77A19564" w14:textId="3BA87BBC" w:rsidR="003068B1" w:rsidRDefault="003068B1" w:rsidP="00EA7110">
            <w:pPr>
              <w:jc w:val="both"/>
            </w:pPr>
            <w:r>
              <w:t>Regular consumption of IFA tablets</w:t>
            </w:r>
          </w:p>
        </w:tc>
        <w:tc>
          <w:tcPr>
            <w:tcW w:w="2090" w:type="dxa"/>
          </w:tcPr>
          <w:p w14:paraId="0CED1E5C" w14:textId="69DE1839" w:rsidR="003068B1" w:rsidRDefault="003068B1" w:rsidP="00EA7110">
            <w:pPr>
              <w:jc w:val="both"/>
            </w:pPr>
            <w:r>
              <w:t>25</w:t>
            </w:r>
          </w:p>
        </w:tc>
      </w:tr>
      <w:tr w:rsidR="003068B1" w14:paraId="4D1E8C38" w14:textId="77777777" w:rsidTr="003068B1">
        <w:tc>
          <w:tcPr>
            <w:tcW w:w="2147" w:type="dxa"/>
          </w:tcPr>
          <w:p w14:paraId="06CC161F" w14:textId="57AE4524" w:rsidR="003068B1" w:rsidRDefault="003068B1" w:rsidP="00EA7110">
            <w:pPr>
              <w:jc w:val="both"/>
            </w:pPr>
            <w:r>
              <w:t>Reported irregular IFA distribution</w:t>
            </w:r>
          </w:p>
        </w:tc>
        <w:tc>
          <w:tcPr>
            <w:tcW w:w="2090" w:type="dxa"/>
          </w:tcPr>
          <w:p w14:paraId="5E794FEB" w14:textId="1F1CC9EB" w:rsidR="003068B1" w:rsidRDefault="003068B1" w:rsidP="00EA7110">
            <w:pPr>
              <w:jc w:val="both"/>
            </w:pPr>
            <w:r>
              <w:t>48</w:t>
            </w:r>
          </w:p>
        </w:tc>
      </w:tr>
      <w:tr w:rsidR="003068B1" w14:paraId="789B37B2" w14:textId="77777777" w:rsidTr="003068B1">
        <w:tc>
          <w:tcPr>
            <w:tcW w:w="2147" w:type="dxa"/>
          </w:tcPr>
          <w:p w14:paraId="67F6C2A5" w14:textId="06285255" w:rsidR="003068B1" w:rsidRDefault="003068B1" w:rsidP="00EA7110">
            <w:pPr>
              <w:jc w:val="both"/>
            </w:pPr>
            <w:r>
              <w:t>Experienced side effects from IFA tablets</w:t>
            </w:r>
            <w:r>
              <w:tab/>
            </w:r>
          </w:p>
        </w:tc>
        <w:tc>
          <w:tcPr>
            <w:tcW w:w="2090" w:type="dxa"/>
          </w:tcPr>
          <w:p w14:paraId="009625E9" w14:textId="4232913F" w:rsidR="003068B1" w:rsidRDefault="003068B1" w:rsidP="00EA7110">
            <w:pPr>
              <w:jc w:val="both"/>
            </w:pPr>
            <w:r>
              <w:t>33</w:t>
            </w:r>
          </w:p>
        </w:tc>
      </w:tr>
      <w:tr w:rsidR="003068B1" w14:paraId="176910D2" w14:textId="77777777" w:rsidTr="003068B1">
        <w:tc>
          <w:tcPr>
            <w:tcW w:w="2147" w:type="dxa"/>
          </w:tcPr>
          <w:p w14:paraId="7016BE73" w14:textId="422D71C5" w:rsidR="003068B1" w:rsidRDefault="003068B1" w:rsidP="00EA7110">
            <w:pPr>
              <w:jc w:val="both"/>
            </w:pPr>
            <w:r>
              <w:t>Took deworming tablets in last 6 months</w:t>
            </w:r>
          </w:p>
        </w:tc>
        <w:tc>
          <w:tcPr>
            <w:tcW w:w="2090" w:type="dxa"/>
          </w:tcPr>
          <w:p w14:paraId="33953D2F" w14:textId="407CBB0B" w:rsidR="003068B1" w:rsidRDefault="003068B1" w:rsidP="00EA7110">
            <w:pPr>
              <w:jc w:val="both"/>
            </w:pPr>
            <w:r>
              <w:t>35</w:t>
            </w:r>
          </w:p>
        </w:tc>
      </w:tr>
      <w:tr w:rsidR="003068B1" w14:paraId="29F3796A" w14:textId="77777777" w:rsidTr="003068B1">
        <w:tc>
          <w:tcPr>
            <w:tcW w:w="2147" w:type="dxa"/>
          </w:tcPr>
          <w:p w14:paraId="7AB3F630" w14:textId="49B5102C" w:rsidR="003068B1" w:rsidRDefault="003068B1" w:rsidP="00EA7110">
            <w:pPr>
              <w:jc w:val="both"/>
            </w:pPr>
            <w:r>
              <w:t xml:space="preserve">Knew about dietary </w:t>
            </w:r>
            <w:r w:rsidR="00CE49DC">
              <w:t>counselling</w:t>
            </w:r>
            <w:r>
              <w:t xml:space="preserve"> under AMBA</w:t>
            </w:r>
          </w:p>
        </w:tc>
        <w:tc>
          <w:tcPr>
            <w:tcW w:w="2090" w:type="dxa"/>
          </w:tcPr>
          <w:p w14:paraId="64F886CC" w14:textId="51910D33" w:rsidR="003068B1" w:rsidRDefault="003068B1" w:rsidP="00EA7110">
            <w:pPr>
              <w:jc w:val="both"/>
            </w:pPr>
            <w:r>
              <w:t>18</w:t>
            </w:r>
          </w:p>
        </w:tc>
      </w:tr>
    </w:tbl>
    <w:p w14:paraId="7E6D6D95" w14:textId="1B621A7B" w:rsidR="004A3152" w:rsidRDefault="004A3152" w:rsidP="00EA7110">
      <w:pPr>
        <w:jc w:val="both"/>
      </w:pPr>
    </w:p>
    <w:p w14:paraId="4711E29E" w14:textId="77777777" w:rsidR="004A3152" w:rsidRDefault="004A3152" w:rsidP="00EA7110">
      <w:pPr>
        <w:jc w:val="both"/>
      </w:pPr>
      <w:r>
        <w:t xml:space="preserve">Awareness of AMBA was very low (41%). While most adolescents knew about IFA tablets, only one-fourth consumed them regularly, with irregular distribution and side effects being major barriers. Knowledge about other interventions like deworming and diet </w:t>
      </w:r>
      <w:proofErr w:type="spellStart"/>
      <w:r>
        <w:t>counseling</w:t>
      </w:r>
      <w:proofErr w:type="spellEnd"/>
      <w:r>
        <w:t xml:space="preserve"> was minimal.</w:t>
      </w:r>
    </w:p>
    <w:p w14:paraId="75BBF653" w14:textId="4BB42556" w:rsidR="004A3152" w:rsidRDefault="00D60FC8" w:rsidP="00EA7110">
      <w:pPr>
        <w:jc w:val="both"/>
      </w:pPr>
      <w:r>
        <w:t>Many students were either unaware of the purpose of deworming or reluctant due to peer influence and lack of parental encouragement.</w:t>
      </w:r>
      <w:r w:rsidR="00CE49DC">
        <w:t xml:space="preserve"> </w:t>
      </w:r>
      <w:r>
        <w:t>These results suggest a critical information gap in AMBA implementation. Even when services were available, lack of awareness and stigma reduced their effectiveness.</w:t>
      </w:r>
    </w:p>
    <w:p w14:paraId="74FD955C" w14:textId="75141054" w:rsidR="004A3152" w:rsidRDefault="004A3152" w:rsidP="00EA7110">
      <w:pPr>
        <w:jc w:val="both"/>
      </w:pPr>
      <w:r>
        <w:t xml:space="preserve">4.3 Barriers to AMBA </w:t>
      </w:r>
      <w:proofErr w:type="gramStart"/>
      <w:r>
        <w:t>Implementatio</w:t>
      </w:r>
      <w:r w:rsidR="00DA1CC5">
        <w:t>n :</w:t>
      </w:r>
      <w:proofErr w:type="gramEnd"/>
      <w:r w:rsidR="00DA1CC5">
        <w:t xml:space="preserve"> </w:t>
      </w:r>
    </w:p>
    <w:p w14:paraId="3F57E96D" w14:textId="77777777" w:rsidR="004A3152" w:rsidRDefault="004A3152" w:rsidP="00EA7110">
      <w:pPr>
        <w:jc w:val="both"/>
      </w:pPr>
      <w:r>
        <w:t xml:space="preserve">The barriers identified were largely social and programmatic rather than medical. The lack of regular supply, weak </w:t>
      </w:r>
      <w:proofErr w:type="spellStart"/>
      <w:r>
        <w:t>counseling</w:t>
      </w:r>
      <w:proofErr w:type="spellEnd"/>
      <w:r>
        <w:t>, stigma, and side effects significantly reduced compliance, highlighting implementation gaps.</w:t>
      </w:r>
    </w:p>
    <w:p w14:paraId="1CAAEA64" w14:textId="7630B470" w:rsidR="00313608" w:rsidRDefault="00313608" w:rsidP="00EA7110">
      <w:pPr>
        <w:pStyle w:val="ListParagraph"/>
        <w:numPr>
          <w:ilvl w:val="0"/>
          <w:numId w:val="9"/>
        </w:numPr>
        <w:jc w:val="both"/>
      </w:pPr>
      <w:r>
        <w:t>Irregular Supply of IFA Tablets</w:t>
      </w:r>
    </w:p>
    <w:p w14:paraId="57F13474" w14:textId="494514DA" w:rsidR="00313608" w:rsidRDefault="00313608" w:rsidP="00EA7110">
      <w:pPr>
        <w:jc w:val="both"/>
      </w:pPr>
      <w:r>
        <w:t>Many students reported that tablets were distributed inconsistently, sometimes months apart. Teachers and health workers confirmed delays due to supply chain issues.</w:t>
      </w:r>
    </w:p>
    <w:p w14:paraId="606792D1" w14:textId="53FDC395" w:rsidR="00313608" w:rsidRDefault="00313608" w:rsidP="00EA7110">
      <w:pPr>
        <w:pStyle w:val="ListParagraph"/>
        <w:numPr>
          <w:ilvl w:val="0"/>
          <w:numId w:val="9"/>
        </w:numPr>
        <w:jc w:val="both"/>
      </w:pPr>
      <w:r>
        <w:lastRenderedPageBreak/>
        <w:t xml:space="preserve">Lack of Awareness and </w:t>
      </w:r>
      <w:proofErr w:type="spellStart"/>
      <w:r>
        <w:t>Counseling</w:t>
      </w:r>
      <w:proofErr w:type="spellEnd"/>
    </w:p>
    <w:p w14:paraId="1FE4242B" w14:textId="0A3E8CBA" w:rsidR="00313608" w:rsidRDefault="00313608" w:rsidP="00EA7110">
      <w:pPr>
        <w:jc w:val="both"/>
      </w:pPr>
      <w:r>
        <w:t>Adolescents often received tablets without adequate explanation about their importance, benefits, or how to manage side effects. This led to poor adherence.</w:t>
      </w:r>
    </w:p>
    <w:p w14:paraId="20ACA96D" w14:textId="3D01D469" w:rsidR="00313608" w:rsidRDefault="00313608" w:rsidP="00EA7110">
      <w:pPr>
        <w:pStyle w:val="ListParagraph"/>
        <w:numPr>
          <w:ilvl w:val="0"/>
          <w:numId w:val="9"/>
        </w:numPr>
        <w:jc w:val="both"/>
      </w:pPr>
      <w:r>
        <w:t>Peer Stigma and Social Influences</w:t>
      </w:r>
    </w:p>
    <w:p w14:paraId="7CE9DDC1" w14:textId="397661BF" w:rsidR="00313608" w:rsidRDefault="00313608" w:rsidP="00EA7110">
      <w:pPr>
        <w:jc w:val="both"/>
      </w:pPr>
      <w:r>
        <w:t>Some adolescents expressed embarrassment in consuming tablets in front of peers. Misconceptions that IFA tablets were “meant only for weak people or girls” discouraged boys from participation.</w:t>
      </w:r>
    </w:p>
    <w:p w14:paraId="5052CF70" w14:textId="6B871D27" w:rsidR="00313608" w:rsidRDefault="00313608" w:rsidP="00EA7110">
      <w:pPr>
        <w:pStyle w:val="ListParagraph"/>
        <w:numPr>
          <w:ilvl w:val="0"/>
          <w:numId w:val="9"/>
        </w:numPr>
        <w:jc w:val="both"/>
      </w:pPr>
      <w:r>
        <w:t>Side Effects and Poor Compliance</w:t>
      </w:r>
    </w:p>
    <w:p w14:paraId="7DF9A288" w14:textId="2F62FAD7" w:rsidR="00313608" w:rsidRDefault="00313608" w:rsidP="00EA7110">
      <w:pPr>
        <w:jc w:val="both"/>
      </w:pPr>
      <w:r>
        <w:t>Side effects such as nausea and constipation were reported, leading to discontinuation. Without proper guidance on consuming tablets with meals or water, adherence dropped.</w:t>
      </w:r>
    </w:p>
    <w:p w14:paraId="7FE56E97" w14:textId="683E0C19" w:rsidR="00313608" w:rsidRDefault="00313608" w:rsidP="00EA7110">
      <w:pPr>
        <w:pStyle w:val="ListParagraph"/>
        <w:numPr>
          <w:ilvl w:val="0"/>
          <w:numId w:val="9"/>
        </w:numPr>
        <w:jc w:val="both"/>
      </w:pPr>
      <w:r>
        <w:t>Parental Neglect and Low Dietary Support</w:t>
      </w:r>
    </w:p>
    <w:p w14:paraId="1CE192FF" w14:textId="164E299E" w:rsidR="00313608" w:rsidRDefault="00313608" w:rsidP="00EA7110">
      <w:pPr>
        <w:jc w:val="both"/>
      </w:pPr>
      <w:r>
        <w:t xml:space="preserve">Parents, especially in lower-income households, often did not prioritize iron-rich foods such as green leafy vegetables, pulses, or fortified options. Adolescents reported that dietary diversity was minimal, with meals </w:t>
      </w:r>
      <w:proofErr w:type="spellStart"/>
      <w:r>
        <w:t>centered</w:t>
      </w:r>
      <w:proofErr w:type="spellEnd"/>
      <w:r>
        <w:t xml:space="preserve"> around cereals and tea, which inhibit iron absorption.</w:t>
      </w:r>
    </w:p>
    <w:p w14:paraId="317953F4" w14:textId="4931CB39" w:rsidR="00313608" w:rsidRDefault="00313608" w:rsidP="00EA7110">
      <w:pPr>
        <w:pStyle w:val="ListParagraph"/>
        <w:numPr>
          <w:ilvl w:val="0"/>
          <w:numId w:val="9"/>
        </w:numPr>
        <w:jc w:val="both"/>
      </w:pPr>
      <w:r>
        <w:t>Limited Monitoring and Follow-Up</w:t>
      </w:r>
    </w:p>
    <w:p w14:paraId="4DA53450" w14:textId="57211E97" w:rsidR="00313608" w:rsidRDefault="00313608" w:rsidP="00EA7110">
      <w:pPr>
        <w:jc w:val="both"/>
      </w:pPr>
      <w:r>
        <w:t>Teachers and frontline workers (ASHAs, ANMs) often lacked the resources or time to monitor compliance. Home visits for adolescent health were rare, especially in semi-urban contexts.</w:t>
      </w:r>
    </w:p>
    <w:p w14:paraId="38368AEB" w14:textId="3EA0E3CA" w:rsidR="004A3152" w:rsidRDefault="004A3152" w:rsidP="00EA7110">
      <w:pPr>
        <w:pStyle w:val="ListParagraph"/>
        <w:numPr>
          <w:ilvl w:val="1"/>
          <w:numId w:val="2"/>
        </w:numPr>
        <w:jc w:val="both"/>
      </w:pPr>
      <w:r>
        <w:t xml:space="preserve">Association with Socio-Demographic </w:t>
      </w:r>
      <w:proofErr w:type="gramStart"/>
      <w:r>
        <w:t>Factors</w:t>
      </w:r>
      <w:r w:rsidR="00C21E98">
        <w:t xml:space="preserve"> :</w:t>
      </w:r>
      <w:proofErr w:type="gramEnd"/>
    </w:p>
    <w:p w14:paraId="6AE3EE42" w14:textId="194ED0A9" w:rsidR="00D97934" w:rsidRDefault="00D97934" w:rsidP="00EA7110">
      <w:pPr>
        <w:jc w:val="both"/>
      </w:pPr>
      <w:r>
        <w:t>The prevalence of anemia was strongly influenced by socio-demographic characteristics:</w:t>
      </w:r>
    </w:p>
    <w:p w14:paraId="1D642E69" w14:textId="4105DF28" w:rsidR="00D97934" w:rsidRDefault="00D97934" w:rsidP="00EA7110">
      <w:pPr>
        <w:jc w:val="both"/>
      </w:pPr>
      <w:r>
        <w:t>Income: Adolescents from lower-income families had significantly higher rates of anemia. Nutritional inadequacies, limited food diversity, and reliance on cheap, carbohydrate-rich diets contributed to this.</w:t>
      </w:r>
    </w:p>
    <w:p w14:paraId="0934EF11" w14:textId="148803C8" w:rsidR="00D97934" w:rsidRDefault="00D97934" w:rsidP="00EA7110">
      <w:pPr>
        <w:jc w:val="both"/>
      </w:pPr>
      <w:r>
        <w:t>Gender: Girls were disproportionately affected compared to boys, aligning with biological and socio-cultural vulnerabilities.</w:t>
      </w:r>
    </w:p>
    <w:p w14:paraId="52460B43" w14:textId="1A24E593" w:rsidR="00D97934" w:rsidRDefault="00D97934" w:rsidP="00EA7110">
      <w:pPr>
        <w:jc w:val="both"/>
      </w:pPr>
      <w:r>
        <w:t>Education and School Attendance: Adolescents who had dropped out of school had poorer awareness of anemia and AMBA, and higher prevalence rates. School-based interventions thus appeared critical for prevention.</w:t>
      </w:r>
    </w:p>
    <w:p w14:paraId="642AF28A" w14:textId="77777777" w:rsidR="00D97934" w:rsidRDefault="00D97934" w:rsidP="00EA7110">
      <w:pPr>
        <w:jc w:val="both"/>
      </w:pPr>
      <w:r>
        <w:t>Urban vs. Semi-Urban Residence: Girls from semi-urban and peri-urban areas reported higher anemia rates than those from better-resourced schools in central urban areas. This reflected disparities in service delivery and parental involvement.</w:t>
      </w:r>
    </w:p>
    <w:p w14:paraId="299F273F" w14:textId="77777777" w:rsidR="004A3152" w:rsidRDefault="004A3152" w:rsidP="00EA7110">
      <w:pPr>
        <w:jc w:val="both"/>
      </w:pPr>
    </w:p>
    <w:p w14:paraId="59B17619" w14:textId="7742D5A7" w:rsidR="004A3152" w:rsidRDefault="004A3152" w:rsidP="00EA7110">
      <w:pPr>
        <w:jc w:val="both"/>
      </w:pPr>
      <w:r>
        <w:t xml:space="preserve">4.5 Key </w:t>
      </w:r>
      <w:proofErr w:type="gramStart"/>
      <w:r>
        <w:t>Observations</w:t>
      </w:r>
      <w:r w:rsidR="002A0D84">
        <w:t xml:space="preserve"> :</w:t>
      </w:r>
      <w:proofErr w:type="gramEnd"/>
      <w:r w:rsidR="002A0D84">
        <w:t xml:space="preserve"> </w:t>
      </w:r>
    </w:p>
    <w:p w14:paraId="080C9199" w14:textId="77777777" w:rsidR="004A3152" w:rsidRDefault="004A3152" w:rsidP="00EA7110">
      <w:pPr>
        <w:jc w:val="both"/>
      </w:pPr>
    </w:p>
    <w:p w14:paraId="7F753B63" w14:textId="48673D3A" w:rsidR="004A3152" w:rsidRDefault="004A3152" w:rsidP="00EA7110">
      <w:pPr>
        <w:jc w:val="both"/>
      </w:pPr>
      <w:r>
        <w:t xml:space="preserve">Table </w:t>
      </w:r>
      <w:r w:rsidR="00EC4E5C">
        <w:t>4</w:t>
      </w:r>
      <w:r>
        <w:t>: Summary of Key Observations from the Study</w:t>
      </w:r>
    </w:p>
    <w:tbl>
      <w:tblPr>
        <w:tblStyle w:val="TableGrid"/>
        <w:tblW w:w="0" w:type="auto"/>
        <w:tblLook w:val="04A0" w:firstRow="1" w:lastRow="0" w:firstColumn="1" w:lastColumn="0" w:noHBand="0" w:noVBand="1"/>
      </w:tblPr>
      <w:tblGrid>
        <w:gridCol w:w="3116"/>
        <w:gridCol w:w="3117"/>
        <w:gridCol w:w="3117"/>
      </w:tblGrid>
      <w:tr w:rsidR="00C240AD" w14:paraId="2350F3B2" w14:textId="77777777" w:rsidTr="00C240AD">
        <w:tc>
          <w:tcPr>
            <w:tcW w:w="3116" w:type="dxa"/>
          </w:tcPr>
          <w:p w14:paraId="6264890D" w14:textId="5457F46A" w:rsidR="00C240AD" w:rsidRDefault="00A55B45" w:rsidP="00EA7110">
            <w:pPr>
              <w:jc w:val="both"/>
            </w:pPr>
            <w:r>
              <w:t xml:space="preserve">Observation </w:t>
            </w:r>
          </w:p>
        </w:tc>
        <w:tc>
          <w:tcPr>
            <w:tcW w:w="3117" w:type="dxa"/>
          </w:tcPr>
          <w:p w14:paraId="45EA9EC0" w14:textId="3E01E563" w:rsidR="00C240AD" w:rsidRDefault="00A55B45" w:rsidP="00EA7110">
            <w:pPr>
              <w:jc w:val="both"/>
            </w:pPr>
            <w:r>
              <w:t xml:space="preserve">Percentage </w:t>
            </w:r>
          </w:p>
        </w:tc>
        <w:tc>
          <w:tcPr>
            <w:tcW w:w="3117" w:type="dxa"/>
          </w:tcPr>
          <w:p w14:paraId="54D8FC39" w14:textId="6813837F" w:rsidR="00C240AD" w:rsidRDefault="00A55B45" w:rsidP="00EA7110">
            <w:pPr>
              <w:jc w:val="both"/>
            </w:pPr>
            <w:r>
              <w:t xml:space="preserve">Implications </w:t>
            </w:r>
          </w:p>
        </w:tc>
      </w:tr>
      <w:tr w:rsidR="00C240AD" w14:paraId="14173A5E" w14:textId="77777777" w:rsidTr="00C240AD">
        <w:tc>
          <w:tcPr>
            <w:tcW w:w="3116" w:type="dxa"/>
          </w:tcPr>
          <w:p w14:paraId="73A1B719" w14:textId="7C1C2213" w:rsidR="00C240AD" w:rsidRDefault="00A55B45" w:rsidP="00EA7110">
            <w:pPr>
              <w:jc w:val="both"/>
            </w:pPr>
            <w:r>
              <w:t xml:space="preserve">Prevalence of anemia </w:t>
            </w:r>
          </w:p>
        </w:tc>
        <w:tc>
          <w:tcPr>
            <w:tcW w:w="3117" w:type="dxa"/>
          </w:tcPr>
          <w:p w14:paraId="1DFA2635" w14:textId="54400964" w:rsidR="00C240AD" w:rsidRDefault="0031799E" w:rsidP="00EA7110">
            <w:pPr>
              <w:jc w:val="both"/>
            </w:pPr>
            <w:r>
              <w:t>56%</w:t>
            </w:r>
            <w:r>
              <w:tab/>
            </w:r>
          </w:p>
        </w:tc>
        <w:tc>
          <w:tcPr>
            <w:tcW w:w="3117" w:type="dxa"/>
          </w:tcPr>
          <w:p w14:paraId="209876EE" w14:textId="462E776B" w:rsidR="00C240AD" w:rsidRDefault="0031799E" w:rsidP="00EA7110">
            <w:pPr>
              <w:jc w:val="both"/>
            </w:pPr>
            <w:r>
              <w:t>Mirrors NFHS-5 trends; validates findings</w:t>
            </w:r>
          </w:p>
        </w:tc>
      </w:tr>
      <w:tr w:rsidR="00C240AD" w14:paraId="4B3822E3" w14:textId="77777777" w:rsidTr="00C240AD">
        <w:tc>
          <w:tcPr>
            <w:tcW w:w="3116" w:type="dxa"/>
          </w:tcPr>
          <w:p w14:paraId="5A26DA93" w14:textId="43591190" w:rsidR="00C240AD" w:rsidRDefault="00A55B45" w:rsidP="00EA7110">
            <w:pPr>
              <w:jc w:val="both"/>
            </w:pPr>
            <w:r>
              <w:t xml:space="preserve">Girls disproportionately affected </w:t>
            </w:r>
          </w:p>
        </w:tc>
        <w:tc>
          <w:tcPr>
            <w:tcW w:w="3117" w:type="dxa"/>
          </w:tcPr>
          <w:p w14:paraId="1F9C1C9C" w14:textId="7F85C82B" w:rsidR="00C240AD" w:rsidRDefault="0031799E" w:rsidP="00EA7110">
            <w:pPr>
              <w:jc w:val="both"/>
            </w:pPr>
            <w:r>
              <w:t>68%</w:t>
            </w:r>
          </w:p>
        </w:tc>
        <w:tc>
          <w:tcPr>
            <w:tcW w:w="3117" w:type="dxa"/>
          </w:tcPr>
          <w:p w14:paraId="43025308" w14:textId="6E8B720A" w:rsidR="00C240AD" w:rsidRDefault="00A27114" w:rsidP="00EA7110">
            <w:pPr>
              <w:jc w:val="both"/>
            </w:pPr>
            <w:r>
              <w:t>Gender-sensitive interventions needed</w:t>
            </w:r>
          </w:p>
        </w:tc>
      </w:tr>
      <w:tr w:rsidR="00A55B45" w14:paraId="6BA4CC84" w14:textId="77777777" w:rsidTr="00C240AD">
        <w:tc>
          <w:tcPr>
            <w:tcW w:w="3116" w:type="dxa"/>
          </w:tcPr>
          <w:p w14:paraId="75D64D34" w14:textId="026F990D" w:rsidR="00A55B45" w:rsidRDefault="0031799E" w:rsidP="00EA7110">
            <w:pPr>
              <w:jc w:val="both"/>
            </w:pPr>
            <w:r>
              <w:t>Awareness of AMBA only</w:t>
            </w:r>
          </w:p>
        </w:tc>
        <w:tc>
          <w:tcPr>
            <w:tcW w:w="3117" w:type="dxa"/>
          </w:tcPr>
          <w:p w14:paraId="395CB303" w14:textId="0FBD7B27" w:rsidR="00A55B45" w:rsidRDefault="0031799E" w:rsidP="00EA7110">
            <w:pPr>
              <w:jc w:val="both"/>
            </w:pPr>
            <w:r>
              <w:t>41%</w:t>
            </w:r>
          </w:p>
        </w:tc>
        <w:tc>
          <w:tcPr>
            <w:tcW w:w="3117" w:type="dxa"/>
          </w:tcPr>
          <w:p w14:paraId="344C3BF4" w14:textId="215966BC" w:rsidR="00A27114" w:rsidRDefault="00A27114" w:rsidP="00EA7110">
            <w:pPr>
              <w:jc w:val="both"/>
            </w:pPr>
            <w:r>
              <w:t>Information gap despite 5 years of program</w:t>
            </w:r>
          </w:p>
        </w:tc>
      </w:tr>
    </w:tbl>
    <w:p w14:paraId="51D67BF9" w14:textId="77777777" w:rsidR="00C240AD" w:rsidRDefault="00C240AD" w:rsidP="00EA7110">
      <w:pPr>
        <w:jc w:val="both"/>
      </w:pPr>
    </w:p>
    <w:p w14:paraId="4F743EDF" w14:textId="77777777" w:rsidR="004A3152" w:rsidRDefault="004A3152" w:rsidP="00EA7110">
      <w:pPr>
        <w:jc w:val="both"/>
      </w:pPr>
      <w:r>
        <w:t>Main barriers were supply &amp; social issues</w:t>
      </w:r>
      <w:r>
        <w:tab/>
        <w:t>Implementation and awareness &gt; biomedical factors</w:t>
      </w:r>
    </w:p>
    <w:p w14:paraId="5F7AB902" w14:textId="09A4881A" w:rsidR="004A3152" w:rsidRDefault="004A3152" w:rsidP="00EA7110">
      <w:pPr>
        <w:jc w:val="both"/>
      </w:pPr>
      <w:r>
        <w:t>Adolescents willing if supported</w:t>
      </w:r>
      <w:r>
        <w:tab/>
        <w:t>Role of parents, teachers, peers crucial</w:t>
      </w:r>
    </w:p>
    <w:p w14:paraId="24F70EDE" w14:textId="79453B20" w:rsidR="004A3152" w:rsidRDefault="004A3152" w:rsidP="00EA7110">
      <w:pPr>
        <w:jc w:val="both"/>
      </w:pPr>
      <w:r>
        <w:t>The findings highlight that anemia is not just a biomedical issue, but a social and programmatic challenge. Addressing awareness, stigma, and supply gaps is as important as providing supplements.</w:t>
      </w:r>
    </w:p>
    <w:p w14:paraId="35022C2C" w14:textId="77777777" w:rsidR="004A3152" w:rsidRDefault="004A3152" w:rsidP="00EA7110">
      <w:pPr>
        <w:jc w:val="both"/>
      </w:pPr>
    </w:p>
    <w:p w14:paraId="484A5112" w14:textId="77777777" w:rsidR="004A3152" w:rsidRDefault="004A3152" w:rsidP="00EA7110">
      <w:pPr>
        <w:jc w:val="both"/>
      </w:pPr>
    </w:p>
    <w:p w14:paraId="4FDDF0BF" w14:textId="46FF3B7E" w:rsidR="006E2276" w:rsidRDefault="006E2276" w:rsidP="00EA7110">
      <w:pPr>
        <w:pStyle w:val="ListParagraph"/>
        <w:numPr>
          <w:ilvl w:val="0"/>
          <w:numId w:val="2"/>
        </w:numPr>
        <w:jc w:val="both"/>
      </w:pPr>
      <w:r>
        <w:t>Discussion</w:t>
      </w:r>
    </w:p>
    <w:p w14:paraId="1E1BFA7D" w14:textId="7595AFC8" w:rsidR="006E2276" w:rsidRDefault="006E2276" w:rsidP="00EA7110">
      <w:pPr>
        <w:jc w:val="both"/>
      </w:pPr>
      <w:r>
        <w:t>The present study highlights the continuing challenge of adolescent anemia in India, despite targeted interventions under the Anemia Mukt Bharat Abhiyan (AMBA). The prevalence of 56% in the study area is in line with national data from NFHS-5 (2019–21), which reported that 59% of adolescent girls and 31% of boys were anemic. This close alignment strengthens the reliability of our findings and reflects the persistence of anemia as a widespread public health issue.</w:t>
      </w:r>
    </w:p>
    <w:p w14:paraId="71BEF2E7" w14:textId="3D4E42F3" w:rsidR="006E2276" w:rsidRDefault="006E2276" w:rsidP="00EA7110">
      <w:pPr>
        <w:pStyle w:val="ListParagraph"/>
        <w:numPr>
          <w:ilvl w:val="1"/>
          <w:numId w:val="2"/>
        </w:numPr>
        <w:jc w:val="both"/>
      </w:pPr>
      <w:r>
        <w:t>Gender Disparities</w:t>
      </w:r>
    </w:p>
    <w:p w14:paraId="7B649259" w14:textId="497286D8" w:rsidR="006E2276" w:rsidRDefault="006E2276" w:rsidP="00EA7110">
      <w:pPr>
        <w:jc w:val="both"/>
      </w:pPr>
      <w:r>
        <w:t xml:space="preserve">A striking observation is the higher burden among girls (68%) compared to boys (44%). This disparity is explained by both biological factors (such as menstruation and increased iron requirements) and socio-cultural determinants, including gender-biased dietary practices. Previous studies in India (Agarwal et al., 2018; </w:t>
      </w:r>
      <w:proofErr w:type="spellStart"/>
      <w:r>
        <w:t>Pasricha</w:t>
      </w:r>
      <w:proofErr w:type="spellEnd"/>
      <w:r>
        <w:t xml:space="preserve"> et al., 2020) have emphasized that girls are often the last to receive nutrient-rich foods in households with limited resources. This study reaffirms the need for gender-sensitive strategies, such as prioritizing iron supplementation and </w:t>
      </w:r>
      <w:proofErr w:type="spellStart"/>
      <w:r>
        <w:t>counseling</w:t>
      </w:r>
      <w:proofErr w:type="spellEnd"/>
      <w:r>
        <w:t xml:space="preserve"> for adolescent girls.</w:t>
      </w:r>
    </w:p>
    <w:p w14:paraId="69BBF605" w14:textId="2612C8E6" w:rsidR="006E2276" w:rsidRDefault="006E2276" w:rsidP="00EA7110">
      <w:pPr>
        <w:pStyle w:val="ListParagraph"/>
        <w:numPr>
          <w:ilvl w:val="1"/>
          <w:numId w:val="2"/>
        </w:numPr>
        <w:jc w:val="both"/>
      </w:pPr>
      <w:r>
        <w:lastRenderedPageBreak/>
        <w:t xml:space="preserve">Awareness and </w:t>
      </w:r>
      <w:proofErr w:type="spellStart"/>
      <w:r>
        <w:t>Behavioral</w:t>
      </w:r>
      <w:proofErr w:type="spellEnd"/>
      <w:r>
        <w:t xml:space="preserve"> Barriers</w:t>
      </w:r>
    </w:p>
    <w:p w14:paraId="4B2EE977" w14:textId="4D8CDDF3" w:rsidR="006E2276" w:rsidRDefault="006E2276" w:rsidP="00EA7110">
      <w:pPr>
        <w:jc w:val="both"/>
      </w:pPr>
      <w:r>
        <w:t>Despite AMBA’s multi-pronged design, awareness among adolescents was found to be only 41%, with most recognizing IFA supplementation but not other components like deworming or dietary diversification. This low level of awareness reduces program uptake and highlights communication gaps between health workers, schools, and adolescents</w:t>
      </w:r>
      <w:r w:rsidR="004278EA">
        <w:t>.</w:t>
      </w:r>
    </w:p>
    <w:p w14:paraId="1A7988A3" w14:textId="73793936" w:rsidR="006E2276" w:rsidRDefault="006E2276" w:rsidP="00EA7110">
      <w:pPr>
        <w:jc w:val="both"/>
      </w:pPr>
      <w:r>
        <w:t xml:space="preserve">Furthermore, stigma around IFA tablets, especially among boys, reflects a </w:t>
      </w:r>
      <w:proofErr w:type="spellStart"/>
      <w:r>
        <w:t>behavioral</w:t>
      </w:r>
      <w:proofErr w:type="spellEnd"/>
      <w:r>
        <w:t xml:space="preserve"> challenge not often addressed in program design. Misconceptions that supplements are “for weak people” discourage compliance. International studies (WHO, 2021; UNICEF, 2022) also stress that </w:t>
      </w:r>
      <w:proofErr w:type="spellStart"/>
      <w:r>
        <w:t>behavior</w:t>
      </w:r>
      <w:proofErr w:type="spellEnd"/>
      <w:r>
        <w:t xml:space="preserve"> change communication is as crucial as supplementation itself.</w:t>
      </w:r>
    </w:p>
    <w:p w14:paraId="75ECD7D2" w14:textId="3121E37A" w:rsidR="006E2276" w:rsidRDefault="006E2276" w:rsidP="00EA7110">
      <w:pPr>
        <w:pStyle w:val="ListParagraph"/>
        <w:numPr>
          <w:ilvl w:val="1"/>
          <w:numId w:val="3"/>
        </w:numPr>
        <w:jc w:val="both"/>
      </w:pPr>
      <w:r>
        <w:t>Programmatic Challenges</w:t>
      </w:r>
    </w:p>
    <w:p w14:paraId="700BEBD4" w14:textId="2CFD4CF1" w:rsidR="006E2276" w:rsidRDefault="006E2276" w:rsidP="00EA7110">
      <w:pPr>
        <w:jc w:val="both"/>
      </w:pPr>
      <w:r>
        <w:t xml:space="preserve">The findings also underline systemic implementation barriers: irregular supply chains, poor </w:t>
      </w:r>
      <w:proofErr w:type="spellStart"/>
      <w:r>
        <w:t>counseling</w:t>
      </w:r>
      <w:proofErr w:type="spellEnd"/>
      <w:r>
        <w:t>, and minimal monitoring. Adolescents frequently reported that IFA tablets were distributed only occasionally, and side effects like nausea discouraged consumption. This suggests that the issue lies less in policy design and more in operational gaps at the grassroots level.</w:t>
      </w:r>
    </w:p>
    <w:p w14:paraId="0D76A115" w14:textId="13F1A6C5" w:rsidR="006E2276" w:rsidRDefault="006E2276" w:rsidP="00EA7110">
      <w:pPr>
        <w:jc w:val="both"/>
      </w:pPr>
      <w:r>
        <w:t>Teachers and frontline workers, already burdened with multiple tasks, often lacked time and resources to ensure follow-up. This weakens the “last-mile delivery” of AMBA interventions</w:t>
      </w:r>
      <w:r w:rsidR="004278EA">
        <w:t>.</w:t>
      </w:r>
    </w:p>
    <w:p w14:paraId="110FAFB7" w14:textId="6BF942F2" w:rsidR="006E2276" w:rsidRDefault="006E2276" w:rsidP="00EA7110">
      <w:pPr>
        <w:pStyle w:val="ListParagraph"/>
        <w:numPr>
          <w:ilvl w:val="1"/>
          <w:numId w:val="3"/>
        </w:numPr>
        <w:jc w:val="both"/>
      </w:pPr>
      <w:r>
        <w:t>Socio-Economic Determinants</w:t>
      </w:r>
    </w:p>
    <w:p w14:paraId="791B8493" w14:textId="4DB81AC6" w:rsidR="006E2276" w:rsidRDefault="006E2276" w:rsidP="00EA7110">
      <w:pPr>
        <w:jc w:val="both"/>
      </w:pPr>
      <w:r>
        <w:t>The association between income and anemia prevalence underscores the role of food insecurity and limited dietary diversity. Lower-income households often depend on cereal-heavy diets, with limited access to iron-rich foods like pulses, green leafy vegetables, or fortified products. This aligns with global evidence from low- and middle-income countries (LMICs), where poverty and malnutrition strongly correlate with anemia prevalence (FAO, 2021).</w:t>
      </w:r>
    </w:p>
    <w:p w14:paraId="681E6314" w14:textId="46DF373D" w:rsidR="006E2276" w:rsidRDefault="006E2276" w:rsidP="00EA7110">
      <w:pPr>
        <w:jc w:val="both"/>
      </w:pPr>
      <w:r>
        <w:t>School attendance also influenced awareness and intervention coverage. Out-of-school adolescents were both less informed and less likely to receive supplements, highlighting the school platform as a critical channel for reaching this age group</w:t>
      </w:r>
      <w:r w:rsidR="004278EA">
        <w:t>.</w:t>
      </w:r>
    </w:p>
    <w:p w14:paraId="5BCF4A5C" w14:textId="5C3465F9" w:rsidR="006E2276" w:rsidRDefault="006E2276" w:rsidP="00EA7110">
      <w:pPr>
        <w:pStyle w:val="ListParagraph"/>
        <w:numPr>
          <w:ilvl w:val="1"/>
          <w:numId w:val="3"/>
        </w:numPr>
        <w:jc w:val="both"/>
      </w:pPr>
      <w:r>
        <w:t>Implications for AMB</w:t>
      </w:r>
      <w:r w:rsidR="004278EA">
        <w:t xml:space="preserve">A </w:t>
      </w:r>
    </w:p>
    <w:p w14:paraId="3EB7DD3C" w14:textId="29BFBC37" w:rsidR="006E2276" w:rsidRDefault="006E2276" w:rsidP="00EA7110">
      <w:pPr>
        <w:jc w:val="both"/>
      </w:pPr>
      <w:r>
        <w:t>The findings suggest that while AMBA’s framework is comprehensive, its impact is constrained by weak implementation and lack of adolescent engagement. Awareness campaigns need to move beyond information-sharing to active involvement of adolescents, parents, and teachers. Peer-led models, proven effective in health promotion, could reduce stigma and improve adherence.</w:t>
      </w:r>
    </w:p>
    <w:p w14:paraId="539D0EA2" w14:textId="468AA1BB" w:rsidR="006E2276" w:rsidRDefault="006E2276" w:rsidP="00EA7110">
      <w:pPr>
        <w:jc w:val="both"/>
      </w:pPr>
      <w:r>
        <w:t>Moreover, addressing supply-side challenges—ensuring consistent distribution of IFA and deworming tablets—must be a priority. Integration of technology for supply tracking and adolescent follow-up could strengthen monitoring</w:t>
      </w:r>
      <w:r w:rsidR="004278EA">
        <w:t>.</w:t>
      </w:r>
    </w:p>
    <w:p w14:paraId="05439EE6" w14:textId="223E419D" w:rsidR="006E2276" w:rsidRDefault="006E2276" w:rsidP="00EA7110">
      <w:pPr>
        <w:pStyle w:val="ListParagraph"/>
        <w:numPr>
          <w:ilvl w:val="1"/>
          <w:numId w:val="3"/>
        </w:numPr>
        <w:jc w:val="both"/>
      </w:pPr>
      <w:r>
        <w:lastRenderedPageBreak/>
        <w:t>Comparison with Global Evidence</w:t>
      </w:r>
    </w:p>
    <w:p w14:paraId="2B9464E0" w14:textId="4202677E" w:rsidR="006E2276" w:rsidRDefault="006E2276" w:rsidP="00EA7110">
      <w:pPr>
        <w:jc w:val="both"/>
      </w:pPr>
      <w:r>
        <w:t>Globally, anemia in adolescents remains a challenge. According to WHO (2021), nearly 30% of adolescent girls worldwide are anemic, with the highest burden in South Asia and sub-Saharan Africa. India’s rates are therefore among the highest globally, demanding urgent action. Successful international strategies, such as fortification of staple foods (flour, salt) in countries like Nepal and Sri Lanka, show promising results and could complement AMBA’s existing approach.</w:t>
      </w:r>
    </w:p>
    <w:p w14:paraId="3D7891B1" w14:textId="01B46761" w:rsidR="006E2276" w:rsidRDefault="006E2276" w:rsidP="00EA7110">
      <w:pPr>
        <w:pStyle w:val="ListParagraph"/>
        <w:numPr>
          <w:ilvl w:val="1"/>
          <w:numId w:val="3"/>
        </w:numPr>
        <w:jc w:val="both"/>
      </w:pPr>
      <w:r>
        <w:t>Summary</w:t>
      </w:r>
    </w:p>
    <w:p w14:paraId="6443FD65" w14:textId="5B9BC0CA" w:rsidR="00610339" w:rsidRDefault="006E2276" w:rsidP="00EA7110">
      <w:pPr>
        <w:jc w:val="both"/>
      </w:pPr>
      <w:r>
        <w:t xml:space="preserve">In summary, the study underscores that anemia in adolescents is not merely a nutritional issue but a complex interplay of biological, socio-economic, cultural, and programmatic factors. The high prevalence, coupled with low awareness and poor compliance, calls for strengthening AMBA through supply consistency, gender-sensitive approaches, </w:t>
      </w:r>
      <w:proofErr w:type="spellStart"/>
      <w:r>
        <w:t>behavior</w:t>
      </w:r>
      <w:proofErr w:type="spellEnd"/>
      <w:r>
        <w:t xml:space="preserve"> change communication, and community participation.</w:t>
      </w:r>
    </w:p>
    <w:p w14:paraId="4C8A854C" w14:textId="2BA67C6D" w:rsidR="00610339" w:rsidRDefault="00610339" w:rsidP="00EA7110">
      <w:pPr>
        <w:pStyle w:val="ListParagraph"/>
        <w:numPr>
          <w:ilvl w:val="0"/>
          <w:numId w:val="3"/>
        </w:numPr>
        <w:jc w:val="both"/>
      </w:pPr>
      <w:r>
        <w:t>Conclusion</w:t>
      </w:r>
    </w:p>
    <w:p w14:paraId="265A8784" w14:textId="1CD836F4" w:rsidR="00610339" w:rsidRDefault="00610339" w:rsidP="00EA7110">
      <w:pPr>
        <w:jc w:val="both"/>
      </w:pPr>
      <w:r>
        <w:t>The present study reaffirms that anemia among adolescents remains a serious public health challenge in India, despite the introduction of the Anemia Mukt Bharat Abhiyan (AMBA). With a prevalence of 56%, and disproportionately higher rates among girls (68%) compared to boys (44%), the findings underscore that anemia is not only common but also deeply gendered.</w:t>
      </w:r>
    </w:p>
    <w:p w14:paraId="786E87A4" w14:textId="194F487C" w:rsidR="00610339" w:rsidRDefault="00610339" w:rsidP="00EA7110">
      <w:pPr>
        <w:jc w:val="both"/>
      </w:pPr>
      <w:r>
        <w:t xml:space="preserve">The results reveal that awareness of AMBA interventions is low, with less than half of adolescents familiar with the program, and only one in four reporting regular IFA tablet consumption. Even when interventions are available, issues such as irregular supply, poor </w:t>
      </w:r>
      <w:proofErr w:type="spellStart"/>
      <w:r>
        <w:t>counseling</w:t>
      </w:r>
      <w:proofErr w:type="spellEnd"/>
      <w:r>
        <w:t>, side effects, stigma, and lack of parental support hinder effective implementation. These findings highlight that the problem is not limited to biological vulnerability but is also shaped by socio-economic conditions, cultural norms, and programmatic inefficiencies.</w:t>
      </w:r>
    </w:p>
    <w:p w14:paraId="6BF6BD55" w14:textId="05EA3535" w:rsidR="00610339" w:rsidRDefault="00610339" w:rsidP="00EA7110">
      <w:pPr>
        <w:jc w:val="both"/>
      </w:pPr>
      <w:r>
        <w:t>Adolescents from low-income households and those out of school were found to be particularly vulnerable, reflecting the interplay of poverty, food insecurity, and limited access to health services. Thus, the school platform emerges as a critical setting for health interventions, but one that needs stronger support systems and monitoring.</w:t>
      </w:r>
    </w:p>
    <w:p w14:paraId="3639AB1F" w14:textId="70A27804" w:rsidR="00610339" w:rsidRDefault="00610339" w:rsidP="00EA7110">
      <w:pPr>
        <w:jc w:val="both"/>
      </w:pPr>
      <w:r>
        <w:t xml:space="preserve">From a broader perspective, the study shows that India’s challenge is consistent with global evidence from South Asia and other low- and middle-income countries, where adolescent anemia rates remain among the highest. However, examples from </w:t>
      </w:r>
      <w:proofErr w:type="spellStart"/>
      <w:r>
        <w:t>neighboring</w:t>
      </w:r>
      <w:proofErr w:type="spellEnd"/>
      <w:r>
        <w:t xml:space="preserve"> countries, where fortification and strong community engagement have yielded positive results, demonstrate that progress is possible.</w:t>
      </w:r>
    </w:p>
    <w:p w14:paraId="43C968C2" w14:textId="0263704C" w:rsidR="00610339" w:rsidRDefault="00610339" w:rsidP="00EA7110">
      <w:pPr>
        <w:jc w:val="both"/>
      </w:pPr>
      <w:r>
        <w:t xml:space="preserve">The implications are clear: while AMBA is a well-conceptualized program, its true potential is undermined by gaps in last-mile delivery, communication, and adolescent engagement. To </w:t>
      </w:r>
      <w:r>
        <w:lastRenderedPageBreak/>
        <w:t xml:space="preserve">achieve meaningful reductions in anemia, the focus must shift from policy design to operational efficiency, with greater attention to gender sensitivity, </w:t>
      </w:r>
      <w:proofErr w:type="spellStart"/>
      <w:r>
        <w:t>behavior</w:t>
      </w:r>
      <w:proofErr w:type="spellEnd"/>
      <w:r>
        <w:t xml:space="preserve"> change strategies, and community involvement.</w:t>
      </w:r>
    </w:p>
    <w:p w14:paraId="20C4A721" w14:textId="2E707A48" w:rsidR="00610339" w:rsidRDefault="00610339" w:rsidP="00EA7110">
      <w:pPr>
        <w:jc w:val="both"/>
      </w:pPr>
      <w:r>
        <w:t>In conclusion, anemia in adolescents is more than a medical concern—it is a marker of social inequity, food insecurity, and health system performance. Combating it requires a multi-dimensional response: strengthening AMBA implementation, ensuring consistent supply chains, addressing stigma through education, and promoting dietary diversification. Only then can India move closer to achieving its goal of an “Anemia Mukt Bharat” and ensure healthier futures for its adolescent population.</w:t>
      </w:r>
    </w:p>
    <w:p w14:paraId="0368B5E4" w14:textId="77777777" w:rsidR="002040A5" w:rsidRPr="002040A5" w:rsidRDefault="002040A5" w:rsidP="00EA7110">
      <w:pPr>
        <w:jc w:val="both"/>
        <w:rPr>
          <w:b/>
        </w:rPr>
      </w:pPr>
      <w:r w:rsidRPr="002040A5">
        <w:rPr>
          <w:b/>
        </w:rPr>
        <w:t xml:space="preserve">Consent </w:t>
      </w:r>
    </w:p>
    <w:p w14:paraId="2C0FE1D7" w14:textId="77C48FAA" w:rsidR="002040A5" w:rsidRDefault="002040A5" w:rsidP="00EA7110">
      <w:pPr>
        <w:jc w:val="both"/>
      </w:pPr>
      <w:r>
        <w:t>As per international standards or university standards, Participants’ written consent has been collected and preserved by the author(s).</w:t>
      </w:r>
    </w:p>
    <w:p w14:paraId="4AC87713" w14:textId="77777777" w:rsidR="002040A5" w:rsidRDefault="002040A5" w:rsidP="00EA7110">
      <w:pPr>
        <w:jc w:val="both"/>
      </w:pPr>
    </w:p>
    <w:p w14:paraId="67FE3E36" w14:textId="77777777" w:rsidR="002040A5" w:rsidRPr="002040A5" w:rsidRDefault="002040A5" w:rsidP="00EA7110">
      <w:pPr>
        <w:jc w:val="both"/>
        <w:rPr>
          <w:b/>
        </w:rPr>
      </w:pPr>
      <w:r w:rsidRPr="002040A5">
        <w:rPr>
          <w:b/>
        </w:rPr>
        <w:t>Disclaimer (Artificial intelligence)</w:t>
      </w:r>
    </w:p>
    <w:p w14:paraId="1FA5973A" w14:textId="77777777" w:rsidR="002040A5" w:rsidRDefault="002040A5" w:rsidP="00EA7110">
      <w:pPr>
        <w:jc w:val="both"/>
      </w:pPr>
      <w:r>
        <w:t xml:space="preserve">Option 1: </w:t>
      </w:r>
    </w:p>
    <w:p w14:paraId="2EA75E58" w14:textId="77777777" w:rsidR="002040A5" w:rsidRDefault="002040A5" w:rsidP="00EA7110">
      <w:pPr>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5DB1A60" w14:textId="77777777" w:rsidR="002040A5" w:rsidRDefault="002040A5" w:rsidP="00EA7110">
      <w:pPr>
        <w:jc w:val="both"/>
      </w:pPr>
      <w:r>
        <w:t xml:space="preserve">Option 2: </w:t>
      </w:r>
    </w:p>
    <w:p w14:paraId="218FCEDC" w14:textId="77777777" w:rsidR="002040A5" w:rsidRDefault="002040A5" w:rsidP="00EA7110">
      <w:pPr>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4FF9CAC" w14:textId="77777777" w:rsidR="002040A5" w:rsidRDefault="002040A5" w:rsidP="00EA7110">
      <w:pPr>
        <w:jc w:val="both"/>
      </w:pPr>
      <w:r>
        <w:t>Details of the AI usage are given below:</w:t>
      </w:r>
    </w:p>
    <w:p w14:paraId="7D2A48A6" w14:textId="77777777" w:rsidR="002040A5" w:rsidRDefault="002040A5" w:rsidP="00EA7110">
      <w:pPr>
        <w:jc w:val="both"/>
      </w:pPr>
      <w:r>
        <w:t>1.</w:t>
      </w:r>
    </w:p>
    <w:p w14:paraId="5A320429" w14:textId="77777777" w:rsidR="002040A5" w:rsidRDefault="002040A5" w:rsidP="00EA7110">
      <w:pPr>
        <w:jc w:val="both"/>
      </w:pPr>
      <w:r>
        <w:t>2.</w:t>
      </w:r>
    </w:p>
    <w:p w14:paraId="5B3DB080" w14:textId="4BD67C79" w:rsidR="002040A5" w:rsidRDefault="002040A5" w:rsidP="00EA7110">
      <w:pPr>
        <w:jc w:val="both"/>
      </w:pPr>
      <w:r>
        <w:t>3.</w:t>
      </w:r>
    </w:p>
    <w:p w14:paraId="1FF76905" w14:textId="006FA006" w:rsidR="00610339" w:rsidRDefault="00610339" w:rsidP="00EA7110">
      <w:pPr>
        <w:jc w:val="both"/>
      </w:pPr>
    </w:p>
    <w:p w14:paraId="1C779967" w14:textId="3BE48349" w:rsidR="007741CB" w:rsidRPr="002040A5" w:rsidRDefault="007741CB" w:rsidP="00EA7110">
      <w:pPr>
        <w:jc w:val="both"/>
        <w:rPr>
          <w:b/>
        </w:rPr>
      </w:pPr>
      <w:proofErr w:type="gramStart"/>
      <w:r w:rsidRPr="002040A5">
        <w:rPr>
          <w:b/>
        </w:rPr>
        <w:t>References :</w:t>
      </w:r>
      <w:proofErr w:type="gramEnd"/>
      <w:r w:rsidRPr="002040A5">
        <w:rPr>
          <w:b/>
        </w:rPr>
        <w:t xml:space="preserve"> </w:t>
      </w:r>
    </w:p>
    <w:p w14:paraId="6E3E5EA3" w14:textId="1A82C9DF" w:rsidR="007741CB" w:rsidRPr="00EA7110" w:rsidRDefault="007741CB" w:rsidP="00EA7110">
      <w:pPr>
        <w:pStyle w:val="ListParagraph"/>
        <w:numPr>
          <w:ilvl w:val="0"/>
          <w:numId w:val="6"/>
        </w:numPr>
        <w:jc w:val="both"/>
      </w:pPr>
      <w:r w:rsidRPr="00EA7110">
        <w:lastRenderedPageBreak/>
        <w:t>Gupta, A., Sharma, R., &amp; Bhatia, P. (2022). Adolescent anemia in India: prevalence and interventions. Journal of Public Health, 45(1), 23–30.</w:t>
      </w:r>
    </w:p>
    <w:p w14:paraId="4024D9EE" w14:textId="3E896FD2" w:rsidR="007741CB" w:rsidRPr="00EA7110" w:rsidRDefault="007741CB" w:rsidP="00EA7110">
      <w:pPr>
        <w:pStyle w:val="ListParagraph"/>
        <w:numPr>
          <w:ilvl w:val="0"/>
          <w:numId w:val="6"/>
        </w:numPr>
        <w:jc w:val="both"/>
      </w:pPr>
      <w:r w:rsidRPr="00EA7110">
        <w:t>Patel, R., Singh, D., &amp; Chauhan, S. (2021). Barriers to iron-folic acid compliance among adolescents: evidence from northern India. Indian Journal of Community Medicine, 46(3), 410–417.</w:t>
      </w:r>
    </w:p>
    <w:p w14:paraId="298D3876" w14:textId="6E14FAE5" w:rsidR="007741CB" w:rsidRDefault="007741CB" w:rsidP="00EA7110">
      <w:pPr>
        <w:pStyle w:val="ListParagraph"/>
        <w:numPr>
          <w:ilvl w:val="0"/>
          <w:numId w:val="6"/>
        </w:numPr>
        <w:jc w:val="both"/>
      </w:pPr>
      <w:proofErr w:type="spellStart"/>
      <w:r>
        <w:t>Kassebaum</w:t>
      </w:r>
      <w:proofErr w:type="spellEnd"/>
      <w:r>
        <w:t>, N. J. (2016). The global burden of anemia. The Lancet Haematology, 3(10), e438–e447.</w:t>
      </w:r>
    </w:p>
    <w:p w14:paraId="7CE9D0AE" w14:textId="77777777" w:rsidR="00EA7110" w:rsidRDefault="007741CB" w:rsidP="00EA7110">
      <w:pPr>
        <w:pStyle w:val="ListParagraph"/>
        <w:numPr>
          <w:ilvl w:val="0"/>
          <w:numId w:val="6"/>
        </w:numPr>
        <w:jc w:val="both"/>
      </w:pPr>
      <w:r>
        <w:t>NITI Aayog. State of Nutrition in India Report. Govt. of India, 2022.</w:t>
      </w:r>
    </w:p>
    <w:p w14:paraId="1D932466" w14:textId="77777777" w:rsidR="00EA7110" w:rsidRDefault="007741CB" w:rsidP="00EA7110">
      <w:pPr>
        <w:pStyle w:val="ListParagraph"/>
        <w:numPr>
          <w:ilvl w:val="0"/>
          <w:numId w:val="6"/>
        </w:numPr>
        <w:jc w:val="both"/>
      </w:pPr>
      <w:r>
        <w:t>WHO. Iron Deficiency Anaemia: Assessment, Prevention and Control. 2001</w:t>
      </w:r>
    </w:p>
    <w:p w14:paraId="20627B74" w14:textId="77777777" w:rsidR="00EA7110" w:rsidRDefault="007741CB" w:rsidP="00EA7110">
      <w:pPr>
        <w:pStyle w:val="ListParagraph"/>
        <w:numPr>
          <w:ilvl w:val="0"/>
          <w:numId w:val="6"/>
        </w:numPr>
        <w:jc w:val="both"/>
      </w:pPr>
      <w:r>
        <w:t>NFHS-5 (2019-21). National Family Health Survey. International Institute for Population Sciences (IIPS), Mumbai</w:t>
      </w:r>
    </w:p>
    <w:p w14:paraId="0D6A57AE" w14:textId="7D26C61D" w:rsidR="00EA7110" w:rsidRPr="00EA7110" w:rsidRDefault="00EA7110" w:rsidP="00EA7110">
      <w:pPr>
        <w:pStyle w:val="ListParagraph"/>
        <w:numPr>
          <w:ilvl w:val="0"/>
          <w:numId w:val="6"/>
        </w:numPr>
        <w:jc w:val="both"/>
      </w:pPr>
      <w:r w:rsidRPr="00EA7110">
        <w:rPr>
          <w:rFonts w:ascii="Arial" w:hAnsi="Arial" w:cs="Arial"/>
          <w:color w:val="222222"/>
          <w:sz w:val="20"/>
          <w:szCs w:val="20"/>
          <w:shd w:val="clear" w:color="auto" w:fill="FFFFFF"/>
        </w:rPr>
        <w:t xml:space="preserve">Mithra, P., Khatib, M. N., Sinha, A. P., Kumar, N., Holla, R., Unnikrishnan, B., ... &amp; </w:t>
      </w:r>
      <w:proofErr w:type="spellStart"/>
      <w:r w:rsidRPr="00EA7110">
        <w:rPr>
          <w:rFonts w:ascii="Arial" w:hAnsi="Arial" w:cs="Arial"/>
          <w:color w:val="222222"/>
          <w:sz w:val="20"/>
          <w:szCs w:val="20"/>
          <w:shd w:val="clear" w:color="auto" w:fill="FFFFFF"/>
        </w:rPr>
        <w:t>Quazi</w:t>
      </w:r>
      <w:proofErr w:type="spellEnd"/>
      <w:r w:rsidRPr="00EA7110">
        <w:rPr>
          <w:rFonts w:ascii="Arial" w:hAnsi="Arial" w:cs="Arial"/>
          <w:color w:val="222222"/>
          <w:sz w:val="20"/>
          <w:szCs w:val="20"/>
          <w:shd w:val="clear" w:color="auto" w:fill="FFFFFF"/>
        </w:rPr>
        <w:t xml:space="preserve"> </w:t>
      </w:r>
      <w:proofErr w:type="spellStart"/>
      <w:r w:rsidRPr="00EA7110">
        <w:rPr>
          <w:rFonts w:ascii="Arial" w:hAnsi="Arial" w:cs="Arial"/>
          <w:color w:val="222222"/>
          <w:sz w:val="20"/>
          <w:szCs w:val="20"/>
          <w:shd w:val="clear" w:color="auto" w:fill="FFFFFF"/>
        </w:rPr>
        <w:t>Zahiruddin</w:t>
      </w:r>
      <w:proofErr w:type="spellEnd"/>
      <w:r w:rsidRPr="00EA7110">
        <w:rPr>
          <w:rFonts w:ascii="Arial" w:hAnsi="Arial" w:cs="Arial"/>
          <w:color w:val="222222"/>
          <w:sz w:val="20"/>
          <w:szCs w:val="20"/>
          <w:shd w:val="clear" w:color="auto" w:fill="FFFFFF"/>
        </w:rPr>
        <w:t xml:space="preserve">, S. (2021). Interventions for addressing </w:t>
      </w:r>
      <w:proofErr w:type="spellStart"/>
      <w:r w:rsidRPr="00EA7110">
        <w:rPr>
          <w:rFonts w:ascii="Arial" w:hAnsi="Arial" w:cs="Arial"/>
          <w:color w:val="222222"/>
          <w:sz w:val="20"/>
          <w:szCs w:val="20"/>
          <w:shd w:val="clear" w:color="auto" w:fill="FFFFFF"/>
        </w:rPr>
        <w:t>anemia</w:t>
      </w:r>
      <w:proofErr w:type="spellEnd"/>
      <w:r w:rsidRPr="00EA7110">
        <w:rPr>
          <w:rFonts w:ascii="Arial" w:hAnsi="Arial" w:cs="Arial"/>
          <w:color w:val="222222"/>
          <w:sz w:val="20"/>
          <w:szCs w:val="20"/>
          <w:shd w:val="clear" w:color="auto" w:fill="FFFFFF"/>
        </w:rPr>
        <w:t xml:space="preserve"> among children and adolescents: an overview of systematic reviews. </w:t>
      </w:r>
      <w:r w:rsidRPr="00EA7110">
        <w:rPr>
          <w:rFonts w:ascii="Arial" w:hAnsi="Arial" w:cs="Arial"/>
          <w:i/>
          <w:iCs/>
          <w:color w:val="222222"/>
          <w:sz w:val="20"/>
          <w:szCs w:val="20"/>
          <w:shd w:val="clear" w:color="auto" w:fill="FFFFFF"/>
        </w:rPr>
        <w:t xml:space="preserve">Frontiers in </w:t>
      </w:r>
      <w:proofErr w:type="spellStart"/>
      <w:r w:rsidRPr="00EA7110">
        <w:rPr>
          <w:rFonts w:ascii="Arial" w:hAnsi="Arial" w:cs="Arial"/>
          <w:i/>
          <w:iCs/>
          <w:color w:val="222222"/>
          <w:sz w:val="20"/>
          <w:szCs w:val="20"/>
          <w:shd w:val="clear" w:color="auto" w:fill="FFFFFF"/>
        </w:rPr>
        <w:t>Pediatrics</w:t>
      </w:r>
      <w:proofErr w:type="spellEnd"/>
      <w:r w:rsidRPr="00EA7110">
        <w:rPr>
          <w:rFonts w:ascii="Arial" w:hAnsi="Arial" w:cs="Arial"/>
          <w:color w:val="222222"/>
          <w:sz w:val="20"/>
          <w:szCs w:val="20"/>
          <w:shd w:val="clear" w:color="auto" w:fill="FFFFFF"/>
        </w:rPr>
        <w:t>, </w:t>
      </w:r>
      <w:r w:rsidRPr="00EA7110">
        <w:rPr>
          <w:rFonts w:ascii="Arial" w:hAnsi="Arial" w:cs="Arial"/>
          <w:i/>
          <w:iCs/>
          <w:color w:val="222222"/>
          <w:sz w:val="20"/>
          <w:szCs w:val="20"/>
          <w:shd w:val="clear" w:color="auto" w:fill="FFFFFF"/>
        </w:rPr>
        <w:t>8</w:t>
      </w:r>
      <w:r w:rsidRPr="00EA7110">
        <w:rPr>
          <w:rFonts w:ascii="Arial" w:hAnsi="Arial" w:cs="Arial"/>
          <w:color w:val="222222"/>
          <w:sz w:val="20"/>
          <w:szCs w:val="20"/>
          <w:shd w:val="clear" w:color="auto" w:fill="FFFFFF"/>
        </w:rPr>
        <w:t>, 549549.</w:t>
      </w:r>
    </w:p>
    <w:p w14:paraId="538B307C" w14:textId="495F792E" w:rsidR="00EA7110" w:rsidRPr="00EA7110" w:rsidRDefault="00EA7110" w:rsidP="00EA7110">
      <w:pPr>
        <w:pStyle w:val="ListParagraph"/>
        <w:numPr>
          <w:ilvl w:val="0"/>
          <w:numId w:val="6"/>
        </w:numPr>
        <w:jc w:val="both"/>
      </w:pPr>
      <w:proofErr w:type="spellStart"/>
      <w:r>
        <w:rPr>
          <w:rFonts w:ascii="Arial" w:hAnsi="Arial" w:cs="Arial"/>
          <w:color w:val="222222"/>
          <w:sz w:val="20"/>
          <w:szCs w:val="20"/>
          <w:shd w:val="clear" w:color="auto" w:fill="FFFFFF"/>
        </w:rPr>
        <w:t>Surtimanah</w:t>
      </w:r>
      <w:proofErr w:type="spellEnd"/>
      <w:r>
        <w:rPr>
          <w:rFonts w:ascii="Arial" w:hAnsi="Arial" w:cs="Arial"/>
          <w:color w:val="222222"/>
          <w:sz w:val="20"/>
          <w:szCs w:val="20"/>
          <w:shd w:val="clear" w:color="auto" w:fill="FFFFFF"/>
        </w:rPr>
        <w:t xml:space="preserve">, T., &amp; </w:t>
      </w:r>
      <w:proofErr w:type="spellStart"/>
      <w:r>
        <w:rPr>
          <w:rFonts w:ascii="Arial" w:hAnsi="Arial" w:cs="Arial"/>
          <w:color w:val="222222"/>
          <w:sz w:val="20"/>
          <w:szCs w:val="20"/>
          <w:shd w:val="clear" w:color="auto" w:fill="FFFFFF"/>
        </w:rPr>
        <w:t>Sjamsuddin</w:t>
      </w:r>
      <w:proofErr w:type="spellEnd"/>
      <w:r>
        <w:rPr>
          <w:rFonts w:ascii="Arial" w:hAnsi="Arial" w:cs="Arial"/>
          <w:color w:val="222222"/>
          <w:sz w:val="20"/>
          <w:szCs w:val="20"/>
          <w:shd w:val="clear" w:color="auto" w:fill="FFFFFF"/>
        </w:rPr>
        <w:t xml:space="preserve">, I. N. (2021). Risk factors and interventions for </w:t>
      </w:r>
      <w:proofErr w:type="spellStart"/>
      <w:r>
        <w:rPr>
          <w:rFonts w:ascii="Arial" w:hAnsi="Arial" w:cs="Arial"/>
          <w:color w:val="222222"/>
          <w:sz w:val="20"/>
          <w:szCs w:val="20"/>
          <w:shd w:val="clear" w:color="auto" w:fill="FFFFFF"/>
        </w:rPr>
        <w:t>anemia</w:t>
      </w:r>
      <w:proofErr w:type="spellEnd"/>
      <w:r>
        <w:rPr>
          <w:rFonts w:ascii="Arial" w:hAnsi="Arial" w:cs="Arial"/>
          <w:color w:val="222222"/>
          <w:sz w:val="20"/>
          <w:szCs w:val="20"/>
          <w:shd w:val="clear" w:color="auto" w:fill="FFFFFF"/>
        </w:rPr>
        <w:t xml:space="preserve"> among Adolescent Girl. </w:t>
      </w:r>
      <w:r>
        <w:rPr>
          <w:rFonts w:ascii="Arial" w:hAnsi="Arial" w:cs="Arial"/>
          <w:i/>
          <w:iCs/>
          <w:color w:val="222222"/>
          <w:sz w:val="20"/>
          <w:szCs w:val="20"/>
          <w:shd w:val="clear" w:color="auto" w:fill="FFFFFF"/>
        </w:rPr>
        <w:t>Annals of Tropical Medicine &amp; Public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(01).</w:t>
      </w:r>
    </w:p>
    <w:p w14:paraId="6EB8A95B" w14:textId="6B8713E7" w:rsidR="00EA7110" w:rsidRPr="00EA7110" w:rsidRDefault="00EA7110" w:rsidP="00EA7110">
      <w:pPr>
        <w:pStyle w:val="ListParagraph"/>
        <w:numPr>
          <w:ilvl w:val="0"/>
          <w:numId w:val="6"/>
        </w:numPr>
        <w:jc w:val="both"/>
      </w:pPr>
      <w:proofErr w:type="spellStart"/>
      <w:r>
        <w:rPr>
          <w:rFonts w:ascii="Arial" w:hAnsi="Arial" w:cs="Arial"/>
          <w:color w:val="222222"/>
          <w:sz w:val="20"/>
          <w:szCs w:val="20"/>
          <w:shd w:val="clear" w:color="auto" w:fill="FFFFFF"/>
        </w:rPr>
        <w:t>Bhanushali</w:t>
      </w:r>
      <w:proofErr w:type="spellEnd"/>
      <w:r>
        <w:rPr>
          <w:rFonts w:ascii="Arial" w:hAnsi="Arial" w:cs="Arial"/>
          <w:color w:val="222222"/>
          <w:sz w:val="20"/>
          <w:szCs w:val="20"/>
          <w:shd w:val="clear" w:color="auto" w:fill="FFFFFF"/>
        </w:rPr>
        <w:t xml:space="preserve">, M. M., </w:t>
      </w:r>
      <w:proofErr w:type="spellStart"/>
      <w:r>
        <w:rPr>
          <w:rFonts w:ascii="Arial" w:hAnsi="Arial" w:cs="Arial"/>
          <w:color w:val="222222"/>
          <w:sz w:val="20"/>
          <w:szCs w:val="20"/>
          <w:shd w:val="clear" w:color="auto" w:fill="FFFFFF"/>
        </w:rPr>
        <w:t>Shirode</w:t>
      </w:r>
      <w:proofErr w:type="spellEnd"/>
      <w:r>
        <w:rPr>
          <w:rFonts w:ascii="Arial" w:hAnsi="Arial" w:cs="Arial"/>
          <w:color w:val="222222"/>
          <w:sz w:val="20"/>
          <w:szCs w:val="20"/>
          <w:shd w:val="clear" w:color="auto" w:fill="FFFFFF"/>
        </w:rPr>
        <w:t xml:space="preserve">, A. R., Joshi, Y. M., &amp; Kadam, V. J. (2011). An intervention on iron deficiency </w:t>
      </w:r>
      <w:proofErr w:type="spellStart"/>
      <w:r>
        <w:rPr>
          <w:rFonts w:ascii="Arial" w:hAnsi="Arial" w:cs="Arial"/>
          <w:color w:val="222222"/>
          <w:sz w:val="20"/>
          <w:szCs w:val="20"/>
          <w:shd w:val="clear" w:color="auto" w:fill="FFFFFF"/>
        </w:rPr>
        <w:t>anemia</w:t>
      </w:r>
      <w:proofErr w:type="spellEnd"/>
      <w:r>
        <w:rPr>
          <w:rFonts w:ascii="Arial" w:hAnsi="Arial" w:cs="Arial"/>
          <w:color w:val="222222"/>
          <w:sz w:val="20"/>
          <w:szCs w:val="20"/>
          <w:shd w:val="clear" w:color="auto" w:fill="FFFFFF"/>
        </w:rPr>
        <w:t xml:space="preserve"> and change in dietary </w:t>
      </w:r>
      <w:proofErr w:type="spellStart"/>
      <w:r>
        <w:rPr>
          <w:rFonts w:ascii="Arial" w:hAnsi="Arial" w:cs="Arial"/>
          <w:color w:val="222222"/>
          <w:sz w:val="20"/>
          <w:szCs w:val="20"/>
          <w:shd w:val="clear" w:color="auto" w:fill="FFFFFF"/>
        </w:rPr>
        <w:t>behavior</w:t>
      </w:r>
      <w:proofErr w:type="spellEnd"/>
      <w:r>
        <w:rPr>
          <w:rFonts w:ascii="Arial" w:hAnsi="Arial" w:cs="Arial"/>
          <w:color w:val="222222"/>
          <w:sz w:val="20"/>
          <w:szCs w:val="20"/>
          <w:shd w:val="clear" w:color="auto" w:fill="FFFFFF"/>
        </w:rPr>
        <w:t xml:space="preserve"> among adolescent girls. </w:t>
      </w:r>
      <w:r>
        <w:rPr>
          <w:rFonts w:ascii="Arial" w:hAnsi="Arial" w:cs="Arial"/>
          <w:i/>
          <w:iCs/>
          <w:color w:val="222222"/>
          <w:sz w:val="20"/>
          <w:szCs w:val="20"/>
          <w:shd w:val="clear" w:color="auto" w:fill="FFFFFF"/>
        </w:rPr>
        <w:t xml:space="preserve">Int J Pharm </w:t>
      </w:r>
      <w:proofErr w:type="spellStart"/>
      <w:r>
        <w:rPr>
          <w:rFonts w:ascii="Arial" w:hAnsi="Arial" w:cs="Arial"/>
          <w:i/>
          <w:iCs/>
          <w:color w:val="222222"/>
          <w:sz w:val="20"/>
          <w:szCs w:val="20"/>
          <w:shd w:val="clear" w:color="auto" w:fill="FFFFFF"/>
        </w:rPr>
        <w:t>Pharm</w:t>
      </w:r>
      <w:proofErr w:type="spellEnd"/>
      <w:r>
        <w:rPr>
          <w:rFonts w:ascii="Arial" w:hAnsi="Arial" w:cs="Arial"/>
          <w:i/>
          <w:iCs/>
          <w:color w:val="222222"/>
          <w:sz w:val="20"/>
          <w:szCs w:val="20"/>
          <w:shd w:val="clear" w:color="auto" w:fill="FFFFFF"/>
        </w:rPr>
        <w:t xml:space="preserve"> Sci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(1), 40-2.</w:t>
      </w:r>
    </w:p>
    <w:p w14:paraId="381371CA" w14:textId="31F3F7BA" w:rsidR="00EA7110" w:rsidRDefault="00EA7110" w:rsidP="00EA7110">
      <w:pPr>
        <w:pStyle w:val="ListParagraph"/>
        <w:numPr>
          <w:ilvl w:val="0"/>
          <w:numId w:val="6"/>
        </w:numPr>
        <w:jc w:val="both"/>
      </w:pPr>
      <w:proofErr w:type="spellStart"/>
      <w:r>
        <w:rPr>
          <w:rFonts w:ascii="Arial" w:hAnsi="Arial" w:cs="Arial"/>
          <w:color w:val="222222"/>
          <w:sz w:val="20"/>
          <w:szCs w:val="20"/>
          <w:shd w:val="clear" w:color="auto" w:fill="FFFFFF"/>
        </w:rPr>
        <w:t>Kamalaja</w:t>
      </w:r>
      <w:proofErr w:type="spellEnd"/>
      <w:r>
        <w:rPr>
          <w:rFonts w:ascii="Arial" w:hAnsi="Arial" w:cs="Arial"/>
          <w:color w:val="222222"/>
          <w:sz w:val="20"/>
          <w:szCs w:val="20"/>
          <w:shd w:val="clear" w:color="auto" w:fill="FFFFFF"/>
        </w:rPr>
        <w:t xml:space="preserve">, T., </w:t>
      </w:r>
      <w:proofErr w:type="spellStart"/>
      <w:r>
        <w:rPr>
          <w:rFonts w:ascii="Arial" w:hAnsi="Arial" w:cs="Arial"/>
          <w:color w:val="222222"/>
          <w:sz w:val="20"/>
          <w:szCs w:val="20"/>
          <w:shd w:val="clear" w:color="auto" w:fill="FFFFFF"/>
        </w:rPr>
        <w:t>Prashanthi</w:t>
      </w:r>
      <w:proofErr w:type="spellEnd"/>
      <w:r>
        <w:rPr>
          <w:rFonts w:ascii="Arial" w:hAnsi="Arial" w:cs="Arial"/>
          <w:color w:val="222222"/>
          <w:sz w:val="20"/>
          <w:szCs w:val="20"/>
          <w:shd w:val="clear" w:color="auto" w:fill="FFFFFF"/>
        </w:rPr>
        <w:t xml:space="preserve">, M., &amp; Rajeswari, K. (2018). Effectiveness of health and nutritional education intervention to Combat </w:t>
      </w:r>
      <w:proofErr w:type="spellStart"/>
      <w:r>
        <w:rPr>
          <w:rFonts w:ascii="Arial" w:hAnsi="Arial" w:cs="Arial"/>
          <w:color w:val="222222"/>
          <w:sz w:val="20"/>
          <w:szCs w:val="20"/>
          <w:shd w:val="clear" w:color="auto" w:fill="FFFFFF"/>
        </w:rPr>
        <w:t>anemia</w:t>
      </w:r>
      <w:proofErr w:type="spellEnd"/>
      <w:r>
        <w:rPr>
          <w:rFonts w:ascii="Arial" w:hAnsi="Arial" w:cs="Arial"/>
          <w:color w:val="222222"/>
          <w:sz w:val="20"/>
          <w:szCs w:val="20"/>
          <w:shd w:val="clear" w:color="auto" w:fill="FFFFFF"/>
        </w:rPr>
        <w:t xml:space="preserve"> problem among adolescent girls. </w:t>
      </w:r>
      <w:r>
        <w:rPr>
          <w:rFonts w:ascii="Arial" w:hAnsi="Arial" w:cs="Arial"/>
          <w:i/>
          <w:iCs/>
          <w:color w:val="222222"/>
          <w:sz w:val="20"/>
          <w:szCs w:val="20"/>
          <w:shd w:val="clear" w:color="auto" w:fill="FFFFFF"/>
        </w:rPr>
        <w:t>International Journal of Current Microbiology and Applied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(09), 3152-3162.</w:t>
      </w:r>
    </w:p>
    <w:p w14:paraId="79EFE375" w14:textId="77777777" w:rsidR="007741CB" w:rsidRDefault="007741CB" w:rsidP="00EA7110">
      <w:pPr>
        <w:jc w:val="both"/>
      </w:pPr>
    </w:p>
    <w:p w14:paraId="02F5ED5A" w14:textId="77777777" w:rsidR="007741CB" w:rsidRDefault="007741CB" w:rsidP="00EA7110">
      <w:pPr>
        <w:jc w:val="both"/>
      </w:pPr>
    </w:p>
    <w:p w14:paraId="2F9F541D" w14:textId="77777777" w:rsidR="007741CB" w:rsidRDefault="007741CB" w:rsidP="00EA7110">
      <w:pPr>
        <w:jc w:val="both"/>
      </w:pPr>
    </w:p>
    <w:p w14:paraId="0E6A9BC8" w14:textId="77777777" w:rsidR="007741CB" w:rsidRDefault="007741CB" w:rsidP="00EA7110">
      <w:pPr>
        <w:jc w:val="both"/>
      </w:pPr>
    </w:p>
    <w:p w14:paraId="2AE6F776" w14:textId="77777777" w:rsidR="007741CB" w:rsidRDefault="007741CB" w:rsidP="00EA7110">
      <w:pPr>
        <w:jc w:val="both"/>
      </w:pPr>
    </w:p>
    <w:p w14:paraId="79B03F5B" w14:textId="77777777" w:rsidR="007741CB" w:rsidRDefault="007741CB" w:rsidP="00EA7110">
      <w:pPr>
        <w:jc w:val="both"/>
      </w:pPr>
    </w:p>
    <w:p w14:paraId="797B8FEC" w14:textId="77777777" w:rsidR="007741CB" w:rsidRDefault="007741CB" w:rsidP="00EA7110">
      <w:pPr>
        <w:jc w:val="both"/>
      </w:pPr>
    </w:p>
    <w:p w14:paraId="144D5955" w14:textId="77777777" w:rsidR="007741CB" w:rsidRDefault="007741CB" w:rsidP="00EA7110">
      <w:pPr>
        <w:jc w:val="both"/>
      </w:pPr>
    </w:p>
    <w:p w14:paraId="7668CA72" w14:textId="77777777" w:rsidR="007741CB" w:rsidRDefault="007741CB" w:rsidP="00EA7110">
      <w:pPr>
        <w:jc w:val="both"/>
      </w:pPr>
    </w:p>
    <w:p w14:paraId="2D2B7CF0" w14:textId="77777777" w:rsidR="007741CB" w:rsidRDefault="007741CB" w:rsidP="00EA7110">
      <w:pPr>
        <w:jc w:val="both"/>
      </w:pPr>
    </w:p>
    <w:p w14:paraId="7864D0E3" w14:textId="77777777" w:rsidR="007741CB" w:rsidRDefault="007741CB" w:rsidP="00EA7110">
      <w:pPr>
        <w:jc w:val="both"/>
      </w:pPr>
    </w:p>
    <w:p w14:paraId="4EAE7C2A" w14:textId="77777777" w:rsidR="007741CB" w:rsidRDefault="007741CB" w:rsidP="00EA7110">
      <w:pPr>
        <w:jc w:val="both"/>
      </w:pPr>
    </w:p>
    <w:p w14:paraId="16DE4016" w14:textId="77777777" w:rsidR="007741CB" w:rsidRDefault="007741CB" w:rsidP="00EA7110">
      <w:pPr>
        <w:jc w:val="both"/>
      </w:pPr>
    </w:p>
    <w:p w14:paraId="674D43E3" w14:textId="77777777" w:rsidR="007741CB" w:rsidRDefault="007741CB" w:rsidP="00EA7110">
      <w:pPr>
        <w:jc w:val="both"/>
      </w:pPr>
    </w:p>
    <w:p w14:paraId="1A3248A3" w14:textId="77777777" w:rsidR="007741CB" w:rsidRDefault="007741CB" w:rsidP="00EA7110">
      <w:pPr>
        <w:jc w:val="both"/>
      </w:pPr>
    </w:p>
    <w:p w14:paraId="45948E57" w14:textId="77777777" w:rsidR="007741CB" w:rsidRDefault="007741CB" w:rsidP="00EA7110">
      <w:pPr>
        <w:jc w:val="both"/>
      </w:pPr>
    </w:p>
    <w:p w14:paraId="532DEE59" w14:textId="77777777" w:rsidR="00610339" w:rsidRDefault="00610339" w:rsidP="00EA7110">
      <w:pPr>
        <w:jc w:val="both"/>
      </w:pPr>
    </w:p>
    <w:p w14:paraId="148A12AD" w14:textId="77777777" w:rsidR="006E2276" w:rsidRDefault="006E2276" w:rsidP="00EA7110">
      <w:pPr>
        <w:jc w:val="both"/>
      </w:pPr>
    </w:p>
    <w:p w14:paraId="7F6214B5" w14:textId="77777777" w:rsidR="00202DC0" w:rsidRDefault="00202DC0" w:rsidP="00EA7110">
      <w:pPr>
        <w:jc w:val="both"/>
      </w:pPr>
    </w:p>
    <w:p w14:paraId="0DB5A947" w14:textId="77777777" w:rsidR="00EE6BEB" w:rsidRDefault="00EE6BEB" w:rsidP="00EA7110">
      <w:pPr>
        <w:jc w:val="both"/>
      </w:pPr>
    </w:p>
    <w:p w14:paraId="6D1A9F78" w14:textId="77777777" w:rsidR="009A2ABD" w:rsidRDefault="009A2ABD" w:rsidP="00EA7110">
      <w:pPr>
        <w:jc w:val="both"/>
      </w:pPr>
    </w:p>
    <w:p w14:paraId="38F1E810" w14:textId="77777777" w:rsidR="009A2ABD" w:rsidRDefault="009A2ABD" w:rsidP="00EA7110">
      <w:pPr>
        <w:jc w:val="both"/>
      </w:pPr>
    </w:p>
    <w:p w14:paraId="33E54D7B" w14:textId="77777777" w:rsidR="00C97505" w:rsidRDefault="00C97505" w:rsidP="00EA7110">
      <w:pPr>
        <w:jc w:val="both"/>
      </w:pPr>
    </w:p>
    <w:sectPr w:rsidR="00C975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panose1 w:val="00000000000000000000"/>
    <w:charset w:val="00"/>
    <w:family w:val="swiss"/>
    <w:notTrueType/>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23A63"/>
    <w:multiLevelType w:val="hybridMultilevel"/>
    <w:tmpl w:val="FE8E556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A3E82"/>
    <w:multiLevelType w:val="multilevel"/>
    <w:tmpl w:val="FFFFFFFF"/>
    <w:lvl w:ilvl="0">
      <w:start w:val="3"/>
      <w:numFmt w:val="decimal"/>
      <w:lvlText w:val="%1"/>
      <w:lvlJc w:val="left"/>
      <w:pPr>
        <w:ind w:left="360" w:hanging="360"/>
      </w:pPr>
      <w:rPr>
        <w:rFonts w:hint="default"/>
      </w:rPr>
    </w:lvl>
    <w:lvl w:ilvl="1">
      <w:start w:val="4"/>
      <w:numFmt w:val="decimal"/>
      <w:lvlText w:val="%1.%2"/>
      <w:lvlJc w:val="left"/>
      <w:pPr>
        <w:ind w:left="1095" w:hanging="36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7680" w:hanging="1800"/>
      </w:pPr>
      <w:rPr>
        <w:rFonts w:hint="default"/>
      </w:rPr>
    </w:lvl>
  </w:abstractNum>
  <w:abstractNum w:abstractNumId="2" w15:restartNumberingAfterBreak="0">
    <w:nsid w:val="255326B2"/>
    <w:multiLevelType w:val="hybridMultilevel"/>
    <w:tmpl w:val="FD46EA6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D5628"/>
    <w:multiLevelType w:val="hybridMultilevel"/>
    <w:tmpl w:val="F4D0540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C1A8E"/>
    <w:multiLevelType w:val="multilevel"/>
    <w:tmpl w:val="80C47A7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E25AA7"/>
    <w:multiLevelType w:val="multilevel"/>
    <w:tmpl w:val="4476E00C"/>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9E4E7F"/>
    <w:multiLevelType w:val="hybridMultilevel"/>
    <w:tmpl w:val="5164D0C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05D2C"/>
    <w:multiLevelType w:val="hybridMultilevel"/>
    <w:tmpl w:val="29342B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D45806"/>
    <w:multiLevelType w:val="hybridMultilevel"/>
    <w:tmpl w:val="D2186A40"/>
    <w:lvl w:ilvl="0" w:tplc="FFFFFFF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393FA6"/>
    <w:multiLevelType w:val="hybridMultilevel"/>
    <w:tmpl w:val="791ED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B13DDA"/>
    <w:multiLevelType w:val="hybridMultilevel"/>
    <w:tmpl w:val="8F146B8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5"/>
  </w:num>
  <w:num w:numId="4">
    <w:abstractNumId w:val="3"/>
  </w:num>
  <w:num w:numId="5">
    <w:abstractNumId w:val="6"/>
  </w:num>
  <w:num w:numId="6">
    <w:abstractNumId w:val="2"/>
  </w:num>
  <w:num w:numId="7">
    <w:abstractNumId w:val="8"/>
  </w:num>
  <w:num w:numId="8">
    <w:abstractNumId w:val="1"/>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WwsDA0MQGxzA2MlXSUglOLizPz80AKDGsB1acO7SwAAAA="/>
  </w:docVars>
  <w:rsids>
    <w:rsidRoot w:val="00C97505"/>
    <w:rsid w:val="000141D5"/>
    <w:rsid w:val="00076425"/>
    <w:rsid w:val="000F68CC"/>
    <w:rsid w:val="00100A10"/>
    <w:rsid w:val="001E1EED"/>
    <w:rsid w:val="001F61FB"/>
    <w:rsid w:val="00202DC0"/>
    <w:rsid w:val="002040A5"/>
    <w:rsid w:val="002468D8"/>
    <w:rsid w:val="002A0D84"/>
    <w:rsid w:val="002B06B5"/>
    <w:rsid w:val="002B2075"/>
    <w:rsid w:val="002C2125"/>
    <w:rsid w:val="002E1896"/>
    <w:rsid w:val="002F7AD1"/>
    <w:rsid w:val="003068B1"/>
    <w:rsid w:val="00307E22"/>
    <w:rsid w:val="003110DD"/>
    <w:rsid w:val="00313608"/>
    <w:rsid w:val="0031799E"/>
    <w:rsid w:val="00332374"/>
    <w:rsid w:val="00351357"/>
    <w:rsid w:val="003530FA"/>
    <w:rsid w:val="00395957"/>
    <w:rsid w:val="00396E67"/>
    <w:rsid w:val="003D2167"/>
    <w:rsid w:val="003F3FDB"/>
    <w:rsid w:val="004007DA"/>
    <w:rsid w:val="004026DD"/>
    <w:rsid w:val="004278EA"/>
    <w:rsid w:val="00457CF0"/>
    <w:rsid w:val="004A3152"/>
    <w:rsid w:val="004B02B1"/>
    <w:rsid w:val="004B75DC"/>
    <w:rsid w:val="004B7FBC"/>
    <w:rsid w:val="004C2684"/>
    <w:rsid w:val="004C4EB4"/>
    <w:rsid w:val="004E29CB"/>
    <w:rsid w:val="00502E9D"/>
    <w:rsid w:val="00505342"/>
    <w:rsid w:val="0051447D"/>
    <w:rsid w:val="00514B79"/>
    <w:rsid w:val="00532BD1"/>
    <w:rsid w:val="0053726E"/>
    <w:rsid w:val="0055656C"/>
    <w:rsid w:val="005C23CC"/>
    <w:rsid w:val="005C5D08"/>
    <w:rsid w:val="005C6B2B"/>
    <w:rsid w:val="005E6683"/>
    <w:rsid w:val="005E7820"/>
    <w:rsid w:val="006026B8"/>
    <w:rsid w:val="00610339"/>
    <w:rsid w:val="006256FF"/>
    <w:rsid w:val="00647EE2"/>
    <w:rsid w:val="00652694"/>
    <w:rsid w:val="006A0622"/>
    <w:rsid w:val="006A2658"/>
    <w:rsid w:val="006E2276"/>
    <w:rsid w:val="0071686C"/>
    <w:rsid w:val="00733291"/>
    <w:rsid w:val="00743B35"/>
    <w:rsid w:val="00746E77"/>
    <w:rsid w:val="00747B91"/>
    <w:rsid w:val="00750041"/>
    <w:rsid w:val="007726A4"/>
    <w:rsid w:val="007741CB"/>
    <w:rsid w:val="007A5845"/>
    <w:rsid w:val="007A69BA"/>
    <w:rsid w:val="007D16EC"/>
    <w:rsid w:val="007F2FE3"/>
    <w:rsid w:val="00801957"/>
    <w:rsid w:val="00802781"/>
    <w:rsid w:val="00805D92"/>
    <w:rsid w:val="00841766"/>
    <w:rsid w:val="0086530E"/>
    <w:rsid w:val="00875C2A"/>
    <w:rsid w:val="008A04EB"/>
    <w:rsid w:val="008D30A1"/>
    <w:rsid w:val="00904CF0"/>
    <w:rsid w:val="00917EEB"/>
    <w:rsid w:val="0094230B"/>
    <w:rsid w:val="0094722A"/>
    <w:rsid w:val="00955B69"/>
    <w:rsid w:val="00956A0A"/>
    <w:rsid w:val="00966707"/>
    <w:rsid w:val="009A2ABD"/>
    <w:rsid w:val="009C327A"/>
    <w:rsid w:val="00A27114"/>
    <w:rsid w:val="00A51514"/>
    <w:rsid w:val="00A55B45"/>
    <w:rsid w:val="00A62235"/>
    <w:rsid w:val="00A6413B"/>
    <w:rsid w:val="00A80802"/>
    <w:rsid w:val="00AA07F2"/>
    <w:rsid w:val="00AA1018"/>
    <w:rsid w:val="00B041A1"/>
    <w:rsid w:val="00B42BAA"/>
    <w:rsid w:val="00B433F8"/>
    <w:rsid w:val="00B76938"/>
    <w:rsid w:val="00B77518"/>
    <w:rsid w:val="00B9474E"/>
    <w:rsid w:val="00BD4450"/>
    <w:rsid w:val="00BE60B2"/>
    <w:rsid w:val="00C071FB"/>
    <w:rsid w:val="00C21E98"/>
    <w:rsid w:val="00C240AD"/>
    <w:rsid w:val="00C37B0B"/>
    <w:rsid w:val="00C97505"/>
    <w:rsid w:val="00CC0606"/>
    <w:rsid w:val="00CD6A2A"/>
    <w:rsid w:val="00CE49DC"/>
    <w:rsid w:val="00CF2A95"/>
    <w:rsid w:val="00D15E6F"/>
    <w:rsid w:val="00D32B39"/>
    <w:rsid w:val="00D44EA7"/>
    <w:rsid w:val="00D60FC8"/>
    <w:rsid w:val="00D67F04"/>
    <w:rsid w:val="00D97934"/>
    <w:rsid w:val="00DA1CC5"/>
    <w:rsid w:val="00DD00C2"/>
    <w:rsid w:val="00E262B8"/>
    <w:rsid w:val="00E44C01"/>
    <w:rsid w:val="00E60B07"/>
    <w:rsid w:val="00E75DBF"/>
    <w:rsid w:val="00EA7110"/>
    <w:rsid w:val="00EC4E5C"/>
    <w:rsid w:val="00ED1F68"/>
    <w:rsid w:val="00EE20D3"/>
    <w:rsid w:val="00EE6BEB"/>
    <w:rsid w:val="00F43F55"/>
    <w:rsid w:val="00F75A9F"/>
    <w:rsid w:val="00FA2BDE"/>
    <w:rsid w:val="00FC56FB"/>
    <w:rsid w:val="00FD2A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6F89"/>
  <w15:chartTrackingRefBased/>
  <w15:docId w15:val="{29BF7ECC-4C94-3B45-A2D2-D779B58F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505"/>
    <w:rPr>
      <w:rFonts w:eastAsiaTheme="majorEastAsia" w:cstheme="majorBidi"/>
      <w:color w:val="272727" w:themeColor="text1" w:themeTint="D8"/>
    </w:rPr>
  </w:style>
  <w:style w:type="paragraph" w:styleId="Title">
    <w:name w:val="Title"/>
    <w:basedOn w:val="Normal"/>
    <w:next w:val="Normal"/>
    <w:link w:val="TitleChar"/>
    <w:uiPriority w:val="10"/>
    <w:qFormat/>
    <w:rsid w:val="00C97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505"/>
    <w:pPr>
      <w:spacing w:before="160"/>
      <w:jc w:val="center"/>
    </w:pPr>
    <w:rPr>
      <w:i/>
      <w:iCs/>
      <w:color w:val="404040" w:themeColor="text1" w:themeTint="BF"/>
    </w:rPr>
  </w:style>
  <w:style w:type="character" w:customStyle="1" w:styleId="QuoteChar">
    <w:name w:val="Quote Char"/>
    <w:basedOn w:val="DefaultParagraphFont"/>
    <w:link w:val="Quote"/>
    <w:uiPriority w:val="29"/>
    <w:rsid w:val="00C97505"/>
    <w:rPr>
      <w:i/>
      <w:iCs/>
      <w:color w:val="404040" w:themeColor="text1" w:themeTint="BF"/>
    </w:rPr>
  </w:style>
  <w:style w:type="paragraph" w:styleId="ListParagraph">
    <w:name w:val="List Paragraph"/>
    <w:basedOn w:val="Normal"/>
    <w:uiPriority w:val="34"/>
    <w:qFormat/>
    <w:rsid w:val="00C97505"/>
    <w:pPr>
      <w:ind w:left="720"/>
      <w:contextualSpacing/>
    </w:pPr>
  </w:style>
  <w:style w:type="character" w:styleId="IntenseEmphasis">
    <w:name w:val="Intense Emphasis"/>
    <w:basedOn w:val="DefaultParagraphFont"/>
    <w:uiPriority w:val="21"/>
    <w:qFormat/>
    <w:rsid w:val="00C97505"/>
    <w:rPr>
      <w:i/>
      <w:iCs/>
      <w:color w:val="0F4761" w:themeColor="accent1" w:themeShade="BF"/>
    </w:rPr>
  </w:style>
  <w:style w:type="paragraph" w:styleId="IntenseQuote">
    <w:name w:val="Intense Quote"/>
    <w:basedOn w:val="Normal"/>
    <w:next w:val="Normal"/>
    <w:link w:val="IntenseQuoteChar"/>
    <w:uiPriority w:val="30"/>
    <w:qFormat/>
    <w:rsid w:val="00C97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505"/>
    <w:rPr>
      <w:i/>
      <w:iCs/>
      <w:color w:val="0F4761" w:themeColor="accent1" w:themeShade="BF"/>
    </w:rPr>
  </w:style>
  <w:style w:type="character" w:styleId="IntenseReference">
    <w:name w:val="Intense Reference"/>
    <w:basedOn w:val="DefaultParagraphFont"/>
    <w:uiPriority w:val="32"/>
    <w:qFormat/>
    <w:rsid w:val="00C97505"/>
    <w:rPr>
      <w:b/>
      <w:bCs/>
      <w:smallCaps/>
      <w:color w:val="0F4761" w:themeColor="accent1" w:themeShade="BF"/>
      <w:spacing w:val="5"/>
    </w:rPr>
  </w:style>
  <w:style w:type="table" w:styleId="TableGrid">
    <w:name w:val="Table Grid"/>
    <w:basedOn w:val="TableNormal"/>
    <w:uiPriority w:val="39"/>
    <w:rsid w:val="002B0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32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C5114-098E-4899-9A64-6D5D4A626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4616</Words>
  <Characters>26316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nkumari39301@gmail.com</dc:creator>
  <cp:keywords/>
  <dc:description/>
  <cp:lastModifiedBy>SDI PC New 16</cp:lastModifiedBy>
  <cp:revision>9</cp:revision>
  <dcterms:created xsi:type="dcterms:W3CDTF">2025-10-08T19:21:00Z</dcterms:created>
  <dcterms:modified xsi:type="dcterms:W3CDTF">2025-10-16T11:39:00Z</dcterms:modified>
</cp:coreProperties>
</file>