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C4B3" w14:textId="1D41A4D5" w:rsidR="00754C9A" w:rsidRPr="00B47051" w:rsidRDefault="004344DD" w:rsidP="00441B6F">
      <w:pPr>
        <w:pStyle w:val="Title"/>
        <w:spacing w:after="0"/>
        <w:jc w:val="both"/>
        <w:rPr>
          <w:rFonts w:ascii="Arial" w:hAnsi="Arial" w:cs="Arial"/>
        </w:rPr>
      </w:pPr>
      <w:r w:rsidRPr="004344DD">
        <w:rPr>
          <w:rFonts w:ascii="Arial" w:hAnsi="Arial" w:cs="Arial"/>
        </w:rPr>
        <w:t>Original Research Article</w:t>
      </w:r>
    </w:p>
    <w:p w14:paraId="7045D9F8" w14:textId="5D384AFA" w:rsidR="00163BC4" w:rsidRPr="00B47051" w:rsidRDefault="008E1862" w:rsidP="00441B6F">
      <w:pPr>
        <w:pStyle w:val="Author"/>
        <w:spacing w:line="240" w:lineRule="auto"/>
        <w:rPr>
          <w:rFonts w:ascii="Arial" w:hAnsi="Arial" w:cs="Arial"/>
          <w:bCs/>
          <w:iCs/>
          <w:kern w:val="28"/>
          <w:sz w:val="36"/>
        </w:rPr>
      </w:pPr>
      <w:r w:rsidRPr="00B47051">
        <w:rPr>
          <w:rFonts w:ascii="Arial" w:hAnsi="Arial" w:cs="Arial"/>
          <w:bCs/>
          <w:iCs/>
          <w:kern w:val="28"/>
          <w:sz w:val="36"/>
        </w:rPr>
        <w:t xml:space="preserve">Impact of </w:t>
      </w:r>
      <w:r w:rsidR="00612215" w:rsidRPr="00612215">
        <w:rPr>
          <w:rFonts w:ascii="Arial" w:hAnsi="Arial" w:cs="Arial"/>
          <w:bCs/>
          <w:iCs/>
          <w:kern w:val="28"/>
          <w:sz w:val="36"/>
          <w:highlight w:val="yellow"/>
        </w:rPr>
        <w:t>Infusion</w:t>
      </w:r>
      <w:r w:rsidRPr="00B47051">
        <w:rPr>
          <w:rFonts w:ascii="Arial" w:hAnsi="Arial" w:cs="Arial"/>
          <w:bCs/>
          <w:iCs/>
          <w:kern w:val="28"/>
          <w:sz w:val="36"/>
        </w:rPr>
        <w:t xml:space="preserve"> Time on the Physical Characteristics, Antioxidant Properties, And In-Vitro Antidiabetic Activity of Roselle Tisane </w:t>
      </w:r>
      <w:r w:rsidR="00612215" w:rsidRPr="00612215">
        <w:rPr>
          <w:rFonts w:ascii="Arial" w:hAnsi="Arial" w:cs="Arial"/>
          <w:bCs/>
          <w:iCs/>
          <w:kern w:val="28"/>
          <w:sz w:val="36"/>
          <w:highlight w:val="yellow"/>
        </w:rPr>
        <w:t>Herbal Drink</w:t>
      </w:r>
      <w:r w:rsidR="00612215">
        <w:rPr>
          <w:rFonts w:ascii="Arial" w:hAnsi="Arial" w:cs="Arial"/>
          <w:bCs/>
          <w:iCs/>
          <w:kern w:val="28"/>
          <w:sz w:val="36"/>
        </w:rPr>
        <w:t xml:space="preserve"> </w:t>
      </w:r>
      <w:r w:rsidRPr="00B47051">
        <w:rPr>
          <w:rFonts w:ascii="Arial" w:hAnsi="Arial" w:cs="Arial"/>
          <w:bCs/>
          <w:iCs/>
          <w:kern w:val="28"/>
          <w:sz w:val="36"/>
        </w:rPr>
        <w:t>Blends</w:t>
      </w:r>
      <w:r w:rsidR="00231920" w:rsidRPr="00B47051">
        <w:rPr>
          <w:rFonts w:ascii="Arial" w:hAnsi="Arial" w:cs="Arial"/>
          <w:bCs/>
          <w:iCs/>
          <w:kern w:val="28"/>
          <w:sz w:val="36"/>
        </w:rPr>
        <w:t xml:space="preserve"> </w:t>
      </w:r>
    </w:p>
    <w:p w14:paraId="42C80238" w14:textId="77777777" w:rsidR="00A258C3" w:rsidRPr="00B47051" w:rsidRDefault="00A258C3" w:rsidP="00441B6F">
      <w:pPr>
        <w:pStyle w:val="Author"/>
        <w:spacing w:line="240" w:lineRule="auto"/>
        <w:jc w:val="both"/>
        <w:rPr>
          <w:rFonts w:ascii="Arial" w:hAnsi="Arial" w:cs="Arial"/>
          <w:sz w:val="36"/>
        </w:rPr>
      </w:pPr>
    </w:p>
    <w:p w14:paraId="531F06BB" w14:textId="77777777" w:rsidR="00E7125E" w:rsidRDefault="00E7125E" w:rsidP="00D35128">
      <w:pPr>
        <w:pStyle w:val="NoSpacing"/>
        <w:jc w:val="right"/>
        <w:rPr>
          <w:rFonts w:ascii="Arial" w:hAnsi="Arial" w:cs="Arial"/>
          <w:lang w:val="en-MY"/>
        </w:rPr>
      </w:pPr>
    </w:p>
    <w:p w14:paraId="2ED283C6" w14:textId="227F719A" w:rsidR="00E7125E" w:rsidRPr="00B47051" w:rsidRDefault="00E7125E" w:rsidP="00D35128">
      <w:pPr>
        <w:pStyle w:val="NoSpacing"/>
        <w:jc w:val="right"/>
        <w:rPr>
          <w:rFonts w:ascii="Arial" w:hAnsi="Arial" w:cs="Arial"/>
          <w:lang w:val="en-MY"/>
        </w:rPr>
      </w:pPr>
      <w:r>
        <w:rPr>
          <w:rFonts w:ascii="Arial" w:hAnsi="Arial" w:cs="Arial"/>
          <w:lang w:val="en-MY"/>
        </w:rPr>
        <w:t xml:space="preserve"> </w:t>
      </w:r>
    </w:p>
    <w:p w14:paraId="343A8281" w14:textId="77777777" w:rsidR="00790ADA" w:rsidRPr="00B47051" w:rsidRDefault="00790ADA" w:rsidP="00441B6F">
      <w:pPr>
        <w:pStyle w:val="Affiliation"/>
        <w:spacing w:after="0" w:line="240" w:lineRule="auto"/>
        <w:jc w:val="both"/>
        <w:rPr>
          <w:rFonts w:ascii="Arial" w:hAnsi="Arial" w:cs="Arial"/>
        </w:rPr>
      </w:pPr>
    </w:p>
    <w:p w14:paraId="43AD6B1A" w14:textId="77777777" w:rsidR="002C57D2" w:rsidRPr="00B47051" w:rsidRDefault="002C57D2" w:rsidP="00441B6F">
      <w:pPr>
        <w:pStyle w:val="Affiliation"/>
        <w:spacing w:after="0" w:line="240" w:lineRule="auto"/>
        <w:jc w:val="both"/>
        <w:rPr>
          <w:rFonts w:ascii="Arial" w:hAnsi="Arial" w:cs="Arial"/>
        </w:rPr>
      </w:pPr>
    </w:p>
    <w:p w14:paraId="6EF28EEC" w14:textId="07D97CB6" w:rsidR="00B01FCD" w:rsidRPr="00B47051" w:rsidRDefault="00143308" w:rsidP="00441B6F">
      <w:pPr>
        <w:pStyle w:val="Copyright"/>
        <w:spacing w:after="0" w:line="240" w:lineRule="auto"/>
        <w:jc w:val="both"/>
        <w:rPr>
          <w:rFonts w:ascii="Arial" w:hAnsi="Arial" w:cs="Arial"/>
        </w:rPr>
        <w:sectPr w:rsidR="00B01FCD" w:rsidRPr="00B47051" w:rsidSect="008818B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47051">
        <w:rPr>
          <w:rFonts w:ascii="Arial" w:hAnsi="Arial" w:cs="Arial"/>
          <w:noProof/>
        </w:rPr>
        <mc:AlternateContent>
          <mc:Choice Requires="wps">
            <w:drawing>
              <wp:inline distT="0" distB="0" distL="0" distR="0" wp14:anchorId="39ED5E67" wp14:editId="54EF9FFC">
                <wp:extent cx="5303520" cy="635"/>
                <wp:effectExtent l="13335" t="13335" r="17145" b="15240"/>
                <wp:docPr id="15725861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9936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B47051">
        <w:rPr>
          <w:rFonts w:ascii="Arial" w:hAnsi="Arial" w:cs="Arial"/>
        </w:rPr>
        <w:t>.</w:t>
      </w:r>
    </w:p>
    <w:p w14:paraId="6A61E2B3" w14:textId="067A9C7C" w:rsidR="00B01FCD" w:rsidRPr="00B47051" w:rsidRDefault="00B01FCD" w:rsidP="00441B6F">
      <w:pPr>
        <w:pStyle w:val="AbstHead"/>
        <w:spacing w:after="0"/>
        <w:jc w:val="both"/>
        <w:rPr>
          <w:rFonts w:ascii="Arial" w:hAnsi="Arial" w:cs="Arial"/>
        </w:rPr>
      </w:pPr>
      <w:r w:rsidRPr="00B47051">
        <w:rPr>
          <w:rFonts w:ascii="Arial" w:hAnsi="Arial" w:cs="Arial"/>
        </w:rPr>
        <w:t>ABSTRACT</w:t>
      </w:r>
    </w:p>
    <w:p w14:paraId="4842EDAE" w14:textId="77777777" w:rsidR="00790ADA" w:rsidRPr="00B4705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47051" w14:paraId="7EF431D7" w14:textId="77777777" w:rsidTr="001E44FE">
        <w:tc>
          <w:tcPr>
            <w:tcW w:w="9576" w:type="dxa"/>
            <w:shd w:val="clear" w:color="auto" w:fill="F2F2F2"/>
          </w:tcPr>
          <w:p w14:paraId="239594C1" w14:textId="77777777" w:rsidR="009F04F2" w:rsidRPr="00B47051" w:rsidRDefault="009F04F2" w:rsidP="007666C8">
            <w:pPr>
              <w:pStyle w:val="NoSpacing"/>
              <w:jc w:val="both"/>
              <w:rPr>
                <w:rFonts w:eastAsia="Calibri"/>
                <w:b/>
                <w:bCs/>
                <w:lang w:val="en-MY"/>
              </w:rPr>
            </w:pPr>
            <w:r w:rsidRPr="00B47051">
              <w:rPr>
                <w:rFonts w:eastAsia="Calibri"/>
                <w:b/>
                <w:bCs/>
                <w:lang w:val="en-MY"/>
              </w:rPr>
              <w:t>Background:</w:t>
            </w:r>
          </w:p>
          <w:p w14:paraId="3C787E30" w14:textId="77777777" w:rsidR="009F04F2" w:rsidRPr="00B47051" w:rsidRDefault="009F04F2" w:rsidP="007666C8">
            <w:pPr>
              <w:pStyle w:val="NoSpacing"/>
              <w:jc w:val="both"/>
              <w:rPr>
                <w:rFonts w:eastAsia="Calibri"/>
                <w:lang w:val="en-MY"/>
              </w:rPr>
            </w:pPr>
            <w:r w:rsidRPr="00B47051">
              <w:rPr>
                <w:rFonts w:eastAsia="Calibri"/>
                <w:lang w:val="en-MY"/>
              </w:rPr>
              <w:t xml:space="preserve">Tisane or herbal tea prepared from </w:t>
            </w:r>
            <w:r w:rsidRPr="00B47051">
              <w:rPr>
                <w:rFonts w:eastAsia="Calibri"/>
                <w:i/>
                <w:iCs/>
                <w:lang w:val="en-MY"/>
              </w:rPr>
              <w:t>Hibiscus sabdariffa</w:t>
            </w:r>
            <w:r w:rsidRPr="00B47051">
              <w:rPr>
                <w:rFonts w:eastAsia="Calibri"/>
                <w:lang w:val="en-MY"/>
              </w:rPr>
              <w:t xml:space="preserve"> L. (roselle), either alone or blended with other herbs, is widely recognised for its health-promoting properties, including antidiabetic potential. Infusion time plays a crucial role in the extraction of colour pigments, bioactive compounds, and functional properties that determine both sensory quality and health benefits.</w:t>
            </w:r>
          </w:p>
          <w:p w14:paraId="5E2F109E" w14:textId="77777777" w:rsidR="009F04F2" w:rsidRPr="00B47051" w:rsidRDefault="009F04F2" w:rsidP="007666C8">
            <w:pPr>
              <w:pStyle w:val="NoSpacing"/>
              <w:jc w:val="both"/>
              <w:rPr>
                <w:rFonts w:eastAsia="Calibri"/>
                <w:b/>
                <w:bCs/>
                <w:lang w:val="en-MY"/>
              </w:rPr>
            </w:pPr>
            <w:r w:rsidRPr="00B47051">
              <w:rPr>
                <w:rFonts w:eastAsia="Calibri"/>
                <w:b/>
                <w:bCs/>
                <w:lang w:val="en-MY"/>
              </w:rPr>
              <w:t>Aim:</w:t>
            </w:r>
          </w:p>
          <w:p w14:paraId="4E9D5D88" w14:textId="77777777" w:rsidR="009F04F2" w:rsidRPr="00B47051" w:rsidRDefault="009F04F2" w:rsidP="007666C8">
            <w:pPr>
              <w:pStyle w:val="NoSpacing"/>
              <w:jc w:val="both"/>
              <w:rPr>
                <w:rFonts w:eastAsia="Calibri"/>
                <w:lang w:val="en-MY"/>
              </w:rPr>
            </w:pPr>
            <w:r w:rsidRPr="00B47051">
              <w:rPr>
                <w:rFonts w:eastAsia="Calibri"/>
                <w:lang w:val="en-MY"/>
              </w:rPr>
              <w:t xml:space="preserve">This study investigated the influence of infusion time on the physicochemical characteristics, antioxidant capacity, and in vitro antidiabetic potential of a tisane blend comprising roselle and </w:t>
            </w:r>
            <w:r w:rsidRPr="00B47051">
              <w:rPr>
                <w:rFonts w:eastAsia="Calibri"/>
                <w:i/>
                <w:iCs/>
                <w:lang w:val="en-MY"/>
              </w:rPr>
              <w:t xml:space="preserve">Garcinia </w:t>
            </w:r>
            <w:proofErr w:type="spellStart"/>
            <w:r w:rsidRPr="00B47051">
              <w:rPr>
                <w:rFonts w:eastAsia="Calibri"/>
                <w:i/>
                <w:iCs/>
                <w:lang w:val="en-MY"/>
              </w:rPr>
              <w:t>atroviridis</w:t>
            </w:r>
            <w:proofErr w:type="spellEnd"/>
            <w:r w:rsidRPr="00B47051">
              <w:rPr>
                <w:rFonts w:eastAsia="Calibri"/>
                <w:lang w:val="en-MY"/>
              </w:rPr>
              <w:t xml:space="preserve"> (garcinia).</w:t>
            </w:r>
          </w:p>
          <w:p w14:paraId="2F63D396" w14:textId="77777777" w:rsidR="009F04F2" w:rsidRPr="00B47051" w:rsidRDefault="009F04F2" w:rsidP="007666C8">
            <w:pPr>
              <w:pStyle w:val="NoSpacing"/>
              <w:jc w:val="both"/>
              <w:rPr>
                <w:rFonts w:eastAsia="Calibri"/>
                <w:b/>
                <w:bCs/>
                <w:lang w:val="en-MY"/>
              </w:rPr>
            </w:pPr>
            <w:r w:rsidRPr="00B47051">
              <w:rPr>
                <w:rFonts w:eastAsia="Calibri"/>
                <w:b/>
                <w:bCs/>
                <w:lang w:val="en-MY"/>
              </w:rPr>
              <w:t>Materials and Methods:</w:t>
            </w:r>
          </w:p>
          <w:p w14:paraId="23B8E8D3" w14:textId="77777777" w:rsidR="009F04F2" w:rsidRPr="00B47051" w:rsidRDefault="009F04F2" w:rsidP="007666C8">
            <w:pPr>
              <w:pStyle w:val="NoSpacing"/>
              <w:jc w:val="both"/>
              <w:rPr>
                <w:rFonts w:eastAsia="Calibri"/>
                <w:lang w:val="en-MY"/>
              </w:rPr>
            </w:pPr>
            <w:r w:rsidRPr="00B47051">
              <w:rPr>
                <w:rFonts w:eastAsia="Calibri"/>
                <w:lang w:val="en-MY"/>
              </w:rPr>
              <w:t>Tisane samples were infused for 5–30 minutes and evaluated for colour parameters (L*, a*, b*, C, h°), pH, total anthocyanin content, total phenolic content (TPC), total flavonoid content (TFC), antioxidant activities (FRAP, TEAC, DPPH), and α-amylase and α-glucosidase inhibitory activities.</w:t>
            </w:r>
          </w:p>
          <w:p w14:paraId="3B1A789E" w14:textId="77777777" w:rsidR="009F04F2" w:rsidRPr="00B47051" w:rsidRDefault="009F04F2" w:rsidP="007666C8">
            <w:pPr>
              <w:pStyle w:val="NoSpacing"/>
              <w:jc w:val="both"/>
              <w:rPr>
                <w:rFonts w:eastAsia="Calibri"/>
                <w:b/>
                <w:bCs/>
                <w:lang w:val="en-MY"/>
              </w:rPr>
            </w:pPr>
            <w:r w:rsidRPr="00B47051">
              <w:rPr>
                <w:rFonts w:eastAsia="Calibri"/>
                <w:b/>
                <w:bCs/>
                <w:lang w:val="en-MY"/>
              </w:rPr>
              <w:t>Results:</w:t>
            </w:r>
          </w:p>
          <w:p w14:paraId="01922A2E" w14:textId="08FC7FEB" w:rsidR="009F04F2" w:rsidRPr="00B47051" w:rsidRDefault="009F04F2" w:rsidP="007666C8">
            <w:pPr>
              <w:pStyle w:val="NoSpacing"/>
              <w:jc w:val="both"/>
              <w:rPr>
                <w:rFonts w:eastAsia="Calibri"/>
                <w:lang w:val="en-MY"/>
              </w:rPr>
            </w:pPr>
            <w:r w:rsidRPr="00B47051">
              <w:rPr>
                <w:rFonts w:eastAsia="Calibri"/>
                <w:lang w:val="en-MY"/>
              </w:rPr>
              <w:t>Infusion time did not significantly (</w:t>
            </w:r>
            <w:r w:rsidR="007666C8" w:rsidRPr="00B47051">
              <w:rPr>
                <w:rFonts w:eastAsia="Calibri"/>
                <w:i/>
                <w:iCs/>
                <w:lang w:val="en-MY"/>
              </w:rPr>
              <w:t>P</w:t>
            </w:r>
            <w:r w:rsidRPr="00B47051">
              <w:rPr>
                <w:rFonts w:eastAsia="Calibri"/>
                <w:lang w:val="en-MY"/>
              </w:rPr>
              <w:t xml:space="preserve"> &gt; 0.05) affect lightness (L*) or pH (2.21–2.23) but enhanced colour intensity and total anthocyanin content (15.33 to 18.69 mg/100 mL). Antioxidant activity increased with infusion time: TPC rose from 20.49 to 35.19 mg GAE/100 mL, FRAP from 109.18 to 136.55 mg TE/100 mL, TEAC from 61.14 to 84.58 mg TE/100 mL, and DPPH inhibition from 56.39% to 65.22%. The 20-minute tisane exhibited stronger enzyme inhibition (IC</w:t>
            </w:r>
            <w:r w:rsidRPr="00B47051">
              <w:rPr>
                <w:rFonts w:ascii="Cambria Math" w:eastAsia="Calibri" w:hAnsi="Cambria Math" w:cs="Cambria Math"/>
                <w:lang w:val="en-MY"/>
              </w:rPr>
              <w:t>₅₀</w:t>
            </w:r>
            <w:r w:rsidRPr="00B47051">
              <w:rPr>
                <w:rFonts w:eastAsia="Calibri"/>
                <w:lang w:val="en-MY"/>
              </w:rPr>
              <w:t xml:space="preserve"> α-amylase: 7.431 mg/mL; α-glucosidase: 23.612 mg/mL) than the 5-minute infusion but was less potent than acarbose.</w:t>
            </w:r>
          </w:p>
          <w:p w14:paraId="564A80CE" w14:textId="77777777" w:rsidR="009F04F2" w:rsidRPr="00B47051" w:rsidRDefault="009F04F2" w:rsidP="007666C8">
            <w:pPr>
              <w:pStyle w:val="NoSpacing"/>
              <w:jc w:val="both"/>
              <w:rPr>
                <w:rFonts w:eastAsia="Calibri"/>
                <w:b/>
                <w:bCs/>
                <w:lang w:val="en-MY"/>
              </w:rPr>
            </w:pPr>
            <w:r w:rsidRPr="00B47051">
              <w:rPr>
                <w:rFonts w:eastAsia="Calibri"/>
                <w:b/>
                <w:bCs/>
                <w:lang w:val="en-MY"/>
              </w:rPr>
              <w:t>Conclusion:</w:t>
            </w:r>
          </w:p>
          <w:p w14:paraId="06081402" w14:textId="033C48DD" w:rsidR="00505F06" w:rsidRPr="00B47051" w:rsidRDefault="009F04F2" w:rsidP="007666C8">
            <w:pPr>
              <w:pStyle w:val="NoSpacing"/>
              <w:jc w:val="both"/>
              <w:rPr>
                <w:rFonts w:eastAsia="Calibri"/>
                <w:lang w:val="en-MY"/>
              </w:rPr>
            </w:pPr>
            <w:r w:rsidRPr="00B47051">
              <w:rPr>
                <w:rFonts w:eastAsia="Calibri"/>
                <w:lang w:val="en-MY"/>
              </w:rPr>
              <w:t>A 20-minute infusion optimised colour, bioactive compound extraction, antioxidant capacity, and antidiabetic potential, suggesting it as the ideal brewing duration to maximise the functional and sensory qualities of roselle–garcinia tisane.</w:t>
            </w:r>
          </w:p>
        </w:tc>
      </w:tr>
    </w:tbl>
    <w:p w14:paraId="7929103F" w14:textId="77777777" w:rsidR="00636EB2" w:rsidRPr="00B47051" w:rsidRDefault="00636EB2" w:rsidP="00441B6F">
      <w:pPr>
        <w:pStyle w:val="Body"/>
        <w:spacing w:after="0"/>
        <w:rPr>
          <w:rFonts w:ascii="Arial" w:hAnsi="Arial" w:cs="Arial"/>
          <w:i/>
        </w:rPr>
      </w:pPr>
    </w:p>
    <w:p w14:paraId="37612691" w14:textId="34DD67FC" w:rsidR="00A24E7E" w:rsidRPr="00B47051" w:rsidRDefault="00A24E7E" w:rsidP="00441B6F">
      <w:pPr>
        <w:pStyle w:val="Body"/>
        <w:spacing w:after="0"/>
        <w:rPr>
          <w:rFonts w:ascii="Arial" w:hAnsi="Arial" w:cs="Arial"/>
          <w:i/>
        </w:rPr>
      </w:pPr>
      <w:r w:rsidRPr="00B47051">
        <w:rPr>
          <w:rFonts w:ascii="Arial" w:hAnsi="Arial" w:cs="Arial"/>
          <w:i/>
        </w:rPr>
        <w:t xml:space="preserve">Keywords: </w:t>
      </w:r>
      <w:r w:rsidR="00DC1186" w:rsidRPr="00B47051">
        <w:rPr>
          <w:rFonts w:ascii="Arial" w:hAnsi="Arial" w:cs="Arial"/>
          <w:i/>
        </w:rPr>
        <w:t xml:space="preserve">Hibiscus sabdariffa, Garcinia </w:t>
      </w:r>
      <w:proofErr w:type="spellStart"/>
      <w:r w:rsidR="00DC1186" w:rsidRPr="00B47051">
        <w:rPr>
          <w:rFonts w:ascii="Arial" w:hAnsi="Arial" w:cs="Arial"/>
          <w:i/>
        </w:rPr>
        <w:t>atroviridis</w:t>
      </w:r>
      <w:proofErr w:type="spellEnd"/>
      <w:r w:rsidR="00DC1186" w:rsidRPr="00B47051">
        <w:rPr>
          <w:rFonts w:ascii="Arial" w:hAnsi="Arial" w:cs="Arial"/>
          <w:i/>
        </w:rPr>
        <w:t>, infusion time, antioxidant properties, in-vitro antidiabetic</w:t>
      </w:r>
    </w:p>
    <w:p w14:paraId="25114EE3" w14:textId="77777777" w:rsidR="00790ADA" w:rsidRPr="00B47051" w:rsidRDefault="00790ADA" w:rsidP="00441B6F">
      <w:pPr>
        <w:pStyle w:val="Body"/>
        <w:spacing w:after="0"/>
        <w:rPr>
          <w:rFonts w:ascii="Arial" w:hAnsi="Arial" w:cs="Arial"/>
          <w:i/>
        </w:rPr>
      </w:pPr>
    </w:p>
    <w:p w14:paraId="2E751273" w14:textId="14DAB56A" w:rsidR="007F7B32" w:rsidRPr="00B47051" w:rsidRDefault="00902823" w:rsidP="00441B6F">
      <w:pPr>
        <w:pStyle w:val="AbstHead"/>
        <w:spacing w:after="0"/>
        <w:jc w:val="both"/>
        <w:rPr>
          <w:rFonts w:ascii="Arial" w:hAnsi="Arial" w:cs="Arial"/>
        </w:rPr>
      </w:pPr>
      <w:r w:rsidRPr="00B47051">
        <w:rPr>
          <w:rFonts w:ascii="Arial" w:hAnsi="Arial" w:cs="Arial"/>
        </w:rPr>
        <w:lastRenderedPageBreak/>
        <w:t xml:space="preserve">1. </w:t>
      </w:r>
      <w:r w:rsidR="00B01FCD" w:rsidRPr="00B47051">
        <w:rPr>
          <w:rFonts w:ascii="Arial" w:hAnsi="Arial" w:cs="Arial"/>
        </w:rPr>
        <w:t>INTRODUCTION</w:t>
      </w:r>
      <w:r w:rsidR="007F7B32" w:rsidRPr="00B47051">
        <w:rPr>
          <w:rFonts w:ascii="Arial" w:hAnsi="Arial" w:cs="Arial"/>
        </w:rPr>
        <w:t xml:space="preserve"> </w:t>
      </w:r>
    </w:p>
    <w:p w14:paraId="5C51A4C9" w14:textId="77777777" w:rsidR="00790ADA" w:rsidRPr="00B47051" w:rsidRDefault="00790ADA" w:rsidP="00441B6F">
      <w:pPr>
        <w:pStyle w:val="AbstHead"/>
        <w:spacing w:after="0"/>
        <w:jc w:val="both"/>
        <w:rPr>
          <w:rFonts w:ascii="Arial" w:hAnsi="Arial" w:cs="Arial"/>
        </w:rPr>
      </w:pPr>
    </w:p>
    <w:p w14:paraId="158E9F64" w14:textId="5577E152" w:rsidR="009F04F2" w:rsidRPr="00B47051" w:rsidRDefault="009F04F2" w:rsidP="009F04F2">
      <w:pPr>
        <w:pStyle w:val="Body"/>
        <w:rPr>
          <w:rFonts w:ascii="Arial" w:hAnsi="Arial" w:cs="Arial"/>
        </w:rPr>
      </w:pPr>
      <w:r w:rsidRPr="00B47051">
        <w:rPr>
          <w:rFonts w:ascii="Arial" w:hAnsi="Arial" w:cs="Arial"/>
        </w:rPr>
        <w:t xml:space="preserve">Tisanes, or herbal infusions, are gaining increasing popularity as functional beverages due to their rich phytochemical profiles and associated health benefits. Among the wide range of botanicals used in tisane preparation, </w:t>
      </w:r>
      <w:r w:rsidRPr="00B47051">
        <w:rPr>
          <w:rFonts w:ascii="Arial" w:hAnsi="Arial" w:cs="Arial"/>
          <w:i/>
          <w:iCs/>
        </w:rPr>
        <w:t>Hibiscus sabdariffa</w:t>
      </w:r>
      <w:r w:rsidRPr="00B47051">
        <w:rPr>
          <w:rFonts w:ascii="Arial" w:hAnsi="Arial" w:cs="Arial"/>
        </w:rPr>
        <w:t xml:space="preserve"> L., commonly known as roselle, has received considerable attention for its vibrant colour, tart flavour, and well-documented bioactivities, particularly antioxidant and antidiabetic properties (Da-Costa-Rocha et al., 2014). Extensive research has shown that aqueous extracts of roselle are rich in phenolic compounds, such as flavonoids, phenolic acids, and organic acids, which are associated with antioxidant activity (Tun </w:t>
      </w:r>
      <w:proofErr w:type="spellStart"/>
      <w:r w:rsidRPr="00B47051">
        <w:rPr>
          <w:rFonts w:ascii="Arial" w:hAnsi="Arial" w:cs="Arial"/>
        </w:rPr>
        <w:t>Norbrillinda</w:t>
      </w:r>
      <w:proofErr w:type="spellEnd"/>
      <w:r w:rsidRPr="00B47051">
        <w:rPr>
          <w:rFonts w:ascii="Arial" w:hAnsi="Arial" w:cs="Arial"/>
        </w:rPr>
        <w:t xml:space="preserve"> et al., 2025; El</w:t>
      </w:r>
      <w:r w:rsidRPr="00B47051">
        <w:rPr>
          <w:rFonts w:ascii="Cambria Math" w:hAnsi="Cambria Math" w:cs="Cambria Math"/>
        </w:rPr>
        <w:t>‑</w:t>
      </w:r>
      <w:r w:rsidRPr="00B47051">
        <w:rPr>
          <w:rFonts w:ascii="Arial" w:hAnsi="Arial" w:cs="Arial"/>
        </w:rPr>
        <w:t xml:space="preserve">Naeem et al., 2022; </w:t>
      </w:r>
      <w:proofErr w:type="spellStart"/>
      <w:r w:rsidRPr="00B47051">
        <w:rPr>
          <w:rFonts w:ascii="Arial" w:hAnsi="Arial" w:cs="Arial"/>
        </w:rPr>
        <w:t>Owoade</w:t>
      </w:r>
      <w:proofErr w:type="spellEnd"/>
      <w:r w:rsidRPr="00B47051">
        <w:rPr>
          <w:rFonts w:ascii="Arial" w:hAnsi="Arial" w:cs="Arial"/>
        </w:rPr>
        <w:t xml:space="preserve"> et al., 2015; Lin et al., 2015; Sindi et al., 2014; López-Alarcón </w:t>
      </w:r>
      <w:r w:rsidR="00D809FB" w:rsidRPr="00B47051">
        <w:rPr>
          <w:rFonts w:ascii="Arial" w:hAnsi="Arial" w:cs="Arial"/>
        </w:rPr>
        <w:t>&amp;</w:t>
      </w:r>
      <w:r w:rsidRPr="00B47051">
        <w:rPr>
          <w:rFonts w:ascii="Arial" w:hAnsi="Arial" w:cs="Arial"/>
        </w:rPr>
        <w:t xml:space="preserve"> </w:t>
      </w:r>
      <w:proofErr w:type="spellStart"/>
      <w:r w:rsidRPr="00B47051">
        <w:rPr>
          <w:rFonts w:ascii="Arial" w:hAnsi="Arial" w:cs="Arial"/>
        </w:rPr>
        <w:t>Denicola</w:t>
      </w:r>
      <w:proofErr w:type="spellEnd"/>
      <w:r w:rsidRPr="00B47051">
        <w:rPr>
          <w:rFonts w:ascii="Arial" w:hAnsi="Arial" w:cs="Arial"/>
        </w:rPr>
        <w:t>, 2013). These constituents underpin its documented antioxidant and antidiabetic activities through mechanisms such as inhibition of α</w:t>
      </w:r>
      <w:r w:rsidRPr="00B47051">
        <w:rPr>
          <w:rFonts w:ascii="Cambria Math" w:hAnsi="Cambria Math" w:cs="Cambria Math"/>
        </w:rPr>
        <w:t>‑</w:t>
      </w:r>
      <w:r w:rsidRPr="00B47051">
        <w:rPr>
          <w:rFonts w:ascii="Arial" w:hAnsi="Arial" w:cs="Arial"/>
        </w:rPr>
        <w:t xml:space="preserve">glucosidase and enhancement of glucose uptake (Jamini </w:t>
      </w:r>
      <w:r w:rsidR="00D809FB" w:rsidRPr="00B47051">
        <w:rPr>
          <w:rFonts w:ascii="Arial" w:hAnsi="Arial" w:cs="Arial"/>
        </w:rPr>
        <w:t xml:space="preserve">&amp; </w:t>
      </w:r>
      <w:r w:rsidRPr="00B47051">
        <w:rPr>
          <w:rFonts w:ascii="Arial" w:hAnsi="Arial" w:cs="Arial"/>
        </w:rPr>
        <w:t>Islam, 2021).</w:t>
      </w:r>
    </w:p>
    <w:p w14:paraId="6B0209F4" w14:textId="77777777" w:rsidR="009F04F2" w:rsidRPr="00B47051" w:rsidRDefault="009F04F2" w:rsidP="009F04F2">
      <w:pPr>
        <w:pStyle w:val="Body"/>
        <w:rPr>
          <w:rFonts w:ascii="Arial" w:hAnsi="Arial" w:cs="Arial"/>
        </w:rPr>
      </w:pPr>
      <w:r w:rsidRPr="00B47051">
        <w:rPr>
          <w:rFonts w:ascii="Arial" w:hAnsi="Arial" w:cs="Arial"/>
        </w:rPr>
        <w:t>The bioactive compound extraction efficiency in tisane preparation can be significantly influenced by brewing conditions, especially temperature, water-to-solid ratio, and brewing time (Vuong, et al., 2022). While various studies have assessed the effect of temperature and solvent composition, brewing time remains a key but underexplored parameter that may critically impact the release of phytochemicals into the infusion. Prolonged brewing may enhance the extractability of certain antioxidants but could also promote the degradation of heat sensitive compounds and alter the taste profile (Vuong et al., 2021), thereby affecting the sensory attributes. Optimized extraction methods, including ultrasound-assisted cold brew and microwave-assisted extraction, have been shown to maximize phenolic recovery while minimizing degradation (Larasati et al., 2023).</w:t>
      </w:r>
    </w:p>
    <w:p w14:paraId="4844B89F" w14:textId="77777777" w:rsidR="009F04F2" w:rsidRPr="00B47051" w:rsidRDefault="009F04F2" w:rsidP="009F04F2">
      <w:pPr>
        <w:pStyle w:val="Body"/>
        <w:rPr>
          <w:rFonts w:ascii="Arial" w:hAnsi="Arial" w:cs="Arial"/>
        </w:rPr>
      </w:pPr>
      <w:r w:rsidRPr="00B47051">
        <w:rPr>
          <w:rFonts w:ascii="Arial" w:hAnsi="Arial" w:cs="Arial"/>
        </w:rPr>
        <w:t>In addition to antioxidant properties, roselle tisanes have shown promising antidiabetic activity, primarily through mechanisms such as α-amylase and α-glucosidase inhibition (</w:t>
      </w:r>
      <w:proofErr w:type="spellStart"/>
      <w:r w:rsidRPr="00B47051">
        <w:rPr>
          <w:rFonts w:ascii="Arial" w:hAnsi="Arial" w:cs="Arial"/>
        </w:rPr>
        <w:t>Topcu</w:t>
      </w:r>
      <w:proofErr w:type="spellEnd"/>
      <w:r w:rsidRPr="00B47051">
        <w:rPr>
          <w:rFonts w:ascii="Arial" w:hAnsi="Arial" w:cs="Arial"/>
        </w:rPr>
        <w:t xml:space="preserve"> et al., 2025; </w:t>
      </w:r>
      <w:proofErr w:type="spellStart"/>
      <w:r w:rsidRPr="00B47051">
        <w:rPr>
          <w:rFonts w:ascii="Arial" w:hAnsi="Arial" w:cs="Arial"/>
        </w:rPr>
        <w:t>Ademiluyi</w:t>
      </w:r>
      <w:proofErr w:type="spellEnd"/>
      <w:r w:rsidRPr="00B47051">
        <w:rPr>
          <w:rFonts w:ascii="Arial" w:hAnsi="Arial" w:cs="Arial"/>
        </w:rPr>
        <w:t>, et al., 2013). However, how brewing duration influences these bioactivities in combination with antioxidant properties is not well established. This gap is particularly relevant as consumers commonly vary brewing durations based on personal preference, which could unintentionally affect the health promoting potential of the tisane.</w:t>
      </w:r>
    </w:p>
    <w:p w14:paraId="324A3D3A" w14:textId="0F6B83A8" w:rsidR="00790ADA" w:rsidRPr="00B47051" w:rsidRDefault="009F04F2" w:rsidP="009F04F2">
      <w:pPr>
        <w:pStyle w:val="Body"/>
        <w:spacing w:after="0"/>
        <w:rPr>
          <w:rFonts w:ascii="Arial" w:hAnsi="Arial" w:cs="Arial"/>
        </w:rPr>
      </w:pPr>
      <w:r w:rsidRPr="00B47051">
        <w:rPr>
          <w:rFonts w:ascii="Arial" w:hAnsi="Arial" w:cs="Arial"/>
        </w:rPr>
        <w:t xml:space="preserve">Therefore, this study aims to investigate the impact of different brewing times on the colour, pH, antioxidant activity, and in-vitro antidiabetic potential of roselle-garcinia tisane blends. By understanding the optimal brewing time that maximizes bioactivity while maintaining desirable sensory attributes, this research may support </w:t>
      </w:r>
      <w:proofErr w:type="gramStart"/>
      <w:r w:rsidRPr="00B47051">
        <w:rPr>
          <w:rFonts w:ascii="Arial" w:hAnsi="Arial" w:cs="Arial"/>
        </w:rPr>
        <w:t>evidence based</w:t>
      </w:r>
      <w:proofErr w:type="gramEnd"/>
      <w:r w:rsidRPr="00B47051">
        <w:rPr>
          <w:rFonts w:ascii="Arial" w:hAnsi="Arial" w:cs="Arial"/>
        </w:rPr>
        <w:t xml:space="preserve"> recommendations for tisane preparation in both domestic and commercial settings.</w:t>
      </w:r>
    </w:p>
    <w:p w14:paraId="5AED58D1" w14:textId="77777777" w:rsidR="009F04F2" w:rsidRPr="00B47051" w:rsidRDefault="009F04F2" w:rsidP="009F04F2">
      <w:pPr>
        <w:pStyle w:val="Body"/>
        <w:spacing w:after="0"/>
        <w:rPr>
          <w:rFonts w:ascii="Arial" w:hAnsi="Arial" w:cs="Arial"/>
        </w:rPr>
      </w:pPr>
    </w:p>
    <w:p w14:paraId="651BAAB1" w14:textId="7D92BB28" w:rsidR="007F7B32" w:rsidRPr="00B47051" w:rsidRDefault="00902823" w:rsidP="00441B6F">
      <w:pPr>
        <w:pStyle w:val="AbstHead"/>
        <w:spacing w:after="0"/>
        <w:jc w:val="both"/>
        <w:rPr>
          <w:rFonts w:ascii="Arial" w:hAnsi="Arial" w:cs="Arial"/>
        </w:rPr>
      </w:pPr>
      <w:r w:rsidRPr="00B47051">
        <w:rPr>
          <w:rFonts w:ascii="Arial" w:hAnsi="Arial" w:cs="Arial"/>
        </w:rPr>
        <w:t>2. material and method</w:t>
      </w:r>
      <w:r w:rsidR="00000F8F" w:rsidRPr="00B47051">
        <w:rPr>
          <w:rFonts w:ascii="Arial" w:hAnsi="Arial" w:cs="Arial"/>
        </w:rPr>
        <w:t xml:space="preserve">s </w:t>
      </w:r>
    </w:p>
    <w:p w14:paraId="71703339" w14:textId="77777777" w:rsidR="00790ADA" w:rsidRPr="00B47051" w:rsidRDefault="00790ADA" w:rsidP="00441B6F">
      <w:pPr>
        <w:pStyle w:val="AbstHead"/>
        <w:spacing w:after="0"/>
        <w:jc w:val="both"/>
        <w:rPr>
          <w:rFonts w:ascii="Arial" w:hAnsi="Arial" w:cs="Arial"/>
        </w:rPr>
      </w:pPr>
    </w:p>
    <w:p w14:paraId="3514A464" w14:textId="77777777" w:rsidR="00E64EF9" w:rsidRPr="00B47051" w:rsidRDefault="009F04F2" w:rsidP="009F04F2">
      <w:pPr>
        <w:pStyle w:val="Body"/>
        <w:rPr>
          <w:rFonts w:ascii="Arial" w:hAnsi="Arial" w:cs="Arial"/>
          <w:b/>
          <w:bCs/>
          <w:sz w:val="22"/>
          <w:szCs w:val="22"/>
        </w:rPr>
      </w:pPr>
      <w:r w:rsidRPr="00B47051">
        <w:rPr>
          <w:rFonts w:ascii="Arial" w:hAnsi="Arial" w:cs="Arial"/>
          <w:b/>
          <w:bCs/>
          <w:sz w:val="22"/>
          <w:szCs w:val="22"/>
        </w:rPr>
        <w:t xml:space="preserve">2.1 </w:t>
      </w:r>
      <w:r w:rsidR="00E64EF9" w:rsidRPr="00B47051">
        <w:rPr>
          <w:rFonts w:ascii="Arial" w:hAnsi="Arial" w:cs="Arial"/>
          <w:b/>
          <w:bCs/>
          <w:sz w:val="22"/>
          <w:szCs w:val="22"/>
        </w:rPr>
        <w:t>Preparation of Samples</w:t>
      </w:r>
    </w:p>
    <w:p w14:paraId="16431BD8" w14:textId="47023BF2" w:rsidR="009F04F2" w:rsidRPr="00B47051" w:rsidRDefault="00E64EF9" w:rsidP="009F04F2">
      <w:pPr>
        <w:pStyle w:val="Body"/>
        <w:rPr>
          <w:rFonts w:ascii="Arial" w:hAnsi="Arial" w:cs="Arial"/>
          <w:b/>
          <w:bCs/>
          <w:u w:val="single"/>
        </w:rPr>
      </w:pPr>
      <w:r w:rsidRPr="00B47051">
        <w:rPr>
          <w:rFonts w:ascii="Arial" w:hAnsi="Arial" w:cs="Arial"/>
          <w:b/>
          <w:bCs/>
          <w:u w:val="single"/>
        </w:rPr>
        <w:t xml:space="preserve">2.1.1 </w:t>
      </w:r>
      <w:r w:rsidR="009F04F2" w:rsidRPr="00B47051">
        <w:rPr>
          <w:rFonts w:ascii="Arial" w:hAnsi="Arial" w:cs="Arial"/>
          <w:b/>
          <w:bCs/>
          <w:u w:val="single"/>
        </w:rPr>
        <w:t xml:space="preserve">Preparation of </w:t>
      </w:r>
      <w:r w:rsidRPr="00B47051">
        <w:rPr>
          <w:rFonts w:ascii="Arial" w:hAnsi="Arial" w:cs="Arial"/>
          <w:b/>
          <w:bCs/>
          <w:u w:val="single"/>
        </w:rPr>
        <w:t xml:space="preserve">Dried Roselle </w:t>
      </w:r>
      <w:r w:rsidR="009F04F2" w:rsidRPr="00B47051">
        <w:rPr>
          <w:rFonts w:ascii="Arial" w:hAnsi="Arial" w:cs="Arial"/>
          <w:b/>
          <w:bCs/>
          <w:u w:val="single"/>
        </w:rPr>
        <w:t xml:space="preserve">and </w:t>
      </w:r>
      <w:r w:rsidR="009F04F2" w:rsidRPr="00B47051">
        <w:rPr>
          <w:rFonts w:ascii="Arial" w:hAnsi="Arial" w:cs="Arial"/>
          <w:b/>
          <w:bCs/>
          <w:i/>
          <w:iCs/>
          <w:u w:val="single"/>
        </w:rPr>
        <w:t xml:space="preserve">Garcinia </w:t>
      </w:r>
      <w:proofErr w:type="spellStart"/>
      <w:r w:rsidR="009F04F2" w:rsidRPr="00B47051">
        <w:rPr>
          <w:rFonts w:ascii="Arial" w:hAnsi="Arial" w:cs="Arial"/>
          <w:b/>
          <w:bCs/>
          <w:i/>
          <w:iCs/>
          <w:u w:val="single"/>
        </w:rPr>
        <w:t>atroviridis</w:t>
      </w:r>
      <w:proofErr w:type="spellEnd"/>
      <w:r w:rsidR="009F04F2" w:rsidRPr="00B47051">
        <w:rPr>
          <w:rFonts w:ascii="Arial" w:hAnsi="Arial" w:cs="Arial"/>
          <w:b/>
          <w:bCs/>
          <w:u w:val="single"/>
        </w:rPr>
        <w:t xml:space="preserve">  </w:t>
      </w:r>
    </w:p>
    <w:p w14:paraId="278FF94C" w14:textId="7F6CF9F7" w:rsidR="009F04F2" w:rsidRPr="00B47051" w:rsidRDefault="009F04F2" w:rsidP="009F04F2">
      <w:pPr>
        <w:pStyle w:val="Body"/>
        <w:rPr>
          <w:rFonts w:ascii="Arial" w:hAnsi="Arial" w:cs="Arial"/>
        </w:rPr>
      </w:pPr>
      <w:r w:rsidRPr="00B47051">
        <w:rPr>
          <w:rFonts w:ascii="Arial" w:hAnsi="Arial" w:cs="Arial"/>
        </w:rPr>
        <w:t xml:space="preserve">Dried roselle and </w:t>
      </w:r>
      <w:r w:rsidRPr="00B47051">
        <w:rPr>
          <w:rFonts w:ascii="Arial" w:hAnsi="Arial" w:cs="Arial"/>
          <w:i/>
          <w:iCs/>
        </w:rPr>
        <w:t xml:space="preserve">Garcinia </w:t>
      </w:r>
      <w:proofErr w:type="spellStart"/>
      <w:r w:rsidRPr="00B47051">
        <w:rPr>
          <w:rFonts w:ascii="Arial" w:hAnsi="Arial" w:cs="Arial"/>
          <w:i/>
          <w:iCs/>
        </w:rPr>
        <w:t>atroviridis</w:t>
      </w:r>
      <w:proofErr w:type="spellEnd"/>
      <w:r w:rsidRPr="00B47051">
        <w:rPr>
          <w:rFonts w:ascii="Arial" w:hAnsi="Arial" w:cs="Arial"/>
        </w:rPr>
        <w:t xml:space="preserve"> (garcinia) were prepared according to Tun </w:t>
      </w:r>
      <w:proofErr w:type="spellStart"/>
      <w:r w:rsidRPr="00B47051">
        <w:rPr>
          <w:rFonts w:ascii="Arial" w:hAnsi="Arial" w:cs="Arial"/>
        </w:rPr>
        <w:t>Norbrillinda</w:t>
      </w:r>
      <w:proofErr w:type="spellEnd"/>
      <w:r w:rsidRPr="00B47051">
        <w:rPr>
          <w:rFonts w:ascii="Arial" w:hAnsi="Arial" w:cs="Arial"/>
        </w:rPr>
        <w:t xml:space="preserve"> et al. (2025).  Ripe and mature roselle and garcinia were deseeded, washed and cleaned by removing dirt, spoilt parts, and drained. Samples were dried in hot air circulating dryer (</w:t>
      </w:r>
      <w:proofErr w:type="spellStart"/>
      <w:r w:rsidRPr="00B47051">
        <w:rPr>
          <w:rFonts w:ascii="Arial" w:hAnsi="Arial" w:cs="Arial"/>
        </w:rPr>
        <w:t>Memmert</w:t>
      </w:r>
      <w:proofErr w:type="spellEnd"/>
      <w:r w:rsidRPr="00B47051">
        <w:rPr>
          <w:rFonts w:ascii="Arial" w:hAnsi="Arial" w:cs="Arial"/>
        </w:rPr>
        <w:t xml:space="preserve">, Germany) at 60 ˚C for approximately 10 to 12 hours, until the moisture content was tested &lt; 10 % (Moisture Analyzer, SARTORIUS MA 35, Metler Toledo, USA). The dried samples were coarsely ground using pulveriser (FRITSCH Universal Cutting Mill </w:t>
      </w:r>
      <w:proofErr w:type="spellStart"/>
      <w:r w:rsidRPr="00B47051">
        <w:rPr>
          <w:rFonts w:ascii="Arial" w:hAnsi="Arial" w:cs="Arial"/>
        </w:rPr>
        <w:t>Pulverisette</w:t>
      </w:r>
      <w:proofErr w:type="spellEnd"/>
      <w:r w:rsidRPr="00B47051">
        <w:rPr>
          <w:rFonts w:ascii="Arial" w:hAnsi="Arial" w:cs="Arial"/>
        </w:rPr>
        <w:t xml:space="preserve"> 25, Germany) and packed in an oriented polypropylene/aluminium/polyethylene (OPP/Al/PE) packaging and stored at room temperature prior to analysis.</w:t>
      </w:r>
    </w:p>
    <w:p w14:paraId="2CD14359" w14:textId="3ED090A9" w:rsidR="009F04F2" w:rsidRPr="00B47051" w:rsidRDefault="00E64EF9" w:rsidP="009F04F2">
      <w:pPr>
        <w:pStyle w:val="Body"/>
        <w:rPr>
          <w:rFonts w:ascii="Arial" w:hAnsi="Arial" w:cs="Arial"/>
          <w:b/>
          <w:bCs/>
          <w:u w:val="single"/>
        </w:rPr>
      </w:pPr>
      <w:r w:rsidRPr="00B47051">
        <w:rPr>
          <w:rFonts w:ascii="Arial" w:hAnsi="Arial" w:cs="Arial"/>
          <w:b/>
          <w:bCs/>
          <w:u w:val="single"/>
        </w:rPr>
        <w:lastRenderedPageBreak/>
        <w:t xml:space="preserve">2.1.2 </w:t>
      </w:r>
      <w:r w:rsidR="009F04F2" w:rsidRPr="00B47051">
        <w:rPr>
          <w:rFonts w:ascii="Arial" w:hAnsi="Arial" w:cs="Arial"/>
          <w:b/>
          <w:bCs/>
          <w:u w:val="single"/>
        </w:rPr>
        <w:t xml:space="preserve">Preparation </w:t>
      </w:r>
      <w:r w:rsidRPr="00B47051">
        <w:rPr>
          <w:rFonts w:ascii="Arial" w:hAnsi="Arial" w:cs="Arial"/>
          <w:b/>
          <w:bCs/>
          <w:u w:val="single"/>
        </w:rPr>
        <w:t>of Tisane</w:t>
      </w:r>
    </w:p>
    <w:p w14:paraId="73118239" w14:textId="31723F2D" w:rsidR="009F04F2" w:rsidRPr="00B47051" w:rsidRDefault="009F04F2" w:rsidP="009F04F2">
      <w:pPr>
        <w:pStyle w:val="Body"/>
        <w:rPr>
          <w:rFonts w:ascii="Arial" w:hAnsi="Arial" w:cs="Arial"/>
        </w:rPr>
      </w:pPr>
      <w:r w:rsidRPr="00B47051">
        <w:rPr>
          <w:rFonts w:ascii="Arial" w:hAnsi="Arial" w:cs="Arial"/>
        </w:rPr>
        <w:t>Samples of dried roselle calyces combined with garcinia were prepared and weighted 5</w:t>
      </w:r>
      <w:r w:rsidR="00D809FB" w:rsidRPr="00B47051">
        <w:rPr>
          <w:rFonts w:ascii="Arial" w:hAnsi="Arial" w:cs="Arial"/>
        </w:rPr>
        <w:t xml:space="preserve"> </w:t>
      </w:r>
      <w:r w:rsidRPr="00B47051">
        <w:rPr>
          <w:rFonts w:ascii="Arial" w:hAnsi="Arial" w:cs="Arial"/>
        </w:rPr>
        <w:t>g in a sachet according to the optimum formulation previously obtained. The tisanes were prepared by adding one sachet to 200 ml of boiling distilled water (100 ˚C), allowing them to stand for 5, 10, 15, 20 and 30 min at room temperature and then discarded the sachet. The obtained tisanes were cooled to room temperature for further analyses (</w:t>
      </w:r>
      <w:proofErr w:type="spellStart"/>
      <w:r w:rsidRPr="00B47051">
        <w:rPr>
          <w:rFonts w:ascii="Arial" w:hAnsi="Arial" w:cs="Arial"/>
        </w:rPr>
        <w:t>Paschoalinotto</w:t>
      </w:r>
      <w:proofErr w:type="spellEnd"/>
      <w:r w:rsidRPr="00B47051">
        <w:rPr>
          <w:rFonts w:ascii="Arial" w:hAnsi="Arial" w:cs="Arial"/>
        </w:rPr>
        <w:t xml:space="preserve"> et al., 2021).</w:t>
      </w:r>
    </w:p>
    <w:p w14:paraId="670FDDA3" w14:textId="7E89D0F5" w:rsidR="009F04F2" w:rsidRPr="00B47051" w:rsidRDefault="00E64EF9" w:rsidP="009F04F2">
      <w:pPr>
        <w:pStyle w:val="Body"/>
        <w:rPr>
          <w:rFonts w:ascii="Arial" w:hAnsi="Arial" w:cs="Arial"/>
          <w:b/>
          <w:bCs/>
          <w:sz w:val="22"/>
          <w:szCs w:val="22"/>
        </w:rPr>
      </w:pPr>
      <w:r w:rsidRPr="00B47051">
        <w:rPr>
          <w:rFonts w:ascii="Arial" w:hAnsi="Arial" w:cs="Arial"/>
          <w:b/>
          <w:bCs/>
          <w:sz w:val="22"/>
          <w:szCs w:val="22"/>
        </w:rPr>
        <w:t xml:space="preserve">2.2 </w:t>
      </w:r>
      <w:r w:rsidR="009F04F2" w:rsidRPr="00B47051">
        <w:rPr>
          <w:rFonts w:ascii="Arial" w:hAnsi="Arial" w:cs="Arial"/>
          <w:b/>
          <w:bCs/>
          <w:sz w:val="22"/>
          <w:szCs w:val="22"/>
        </w:rPr>
        <w:t xml:space="preserve">pH and </w:t>
      </w:r>
      <w:r w:rsidRPr="00B47051">
        <w:rPr>
          <w:rFonts w:ascii="Arial" w:hAnsi="Arial" w:cs="Arial"/>
          <w:b/>
          <w:bCs/>
          <w:sz w:val="22"/>
          <w:szCs w:val="22"/>
        </w:rPr>
        <w:t>Colour Measurement</w:t>
      </w:r>
    </w:p>
    <w:p w14:paraId="66B69214" w14:textId="77777777" w:rsidR="009F04F2" w:rsidRPr="00B47051" w:rsidRDefault="009F04F2" w:rsidP="009F04F2">
      <w:pPr>
        <w:pStyle w:val="Body"/>
        <w:rPr>
          <w:rFonts w:ascii="Arial" w:hAnsi="Arial" w:cs="Arial"/>
        </w:rPr>
      </w:pPr>
      <w:r w:rsidRPr="00B47051">
        <w:rPr>
          <w:rFonts w:ascii="Arial" w:hAnsi="Arial" w:cs="Arial"/>
        </w:rPr>
        <w:t>The tisanes were measured for its pH to determine the effect of brewing time on its acidity level. The pH meter (FE20, Mettler Toledo, Switzerland) was calibrated using pH standards (pH 4 and 7), before the pH value of samples was measured. The electrode was rinsed with deionized water between the measurements. The room temperature of 24 ± 1 ˚C was constant throughout the whole experiment. All measurements were done in triplicate.</w:t>
      </w:r>
    </w:p>
    <w:p w14:paraId="050EEE46" w14:textId="77777777" w:rsidR="009F04F2" w:rsidRPr="00B47051" w:rsidRDefault="009F04F2" w:rsidP="009F04F2">
      <w:pPr>
        <w:pStyle w:val="Body"/>
        <w:rPr>
          <w:rFonts w:ascii="Arial" w:hAnsi="Arial" w:cs="Arial"/>
        </w:rPr>
      </w:pPr>
      <w:r w:rsidRPr="00B47051">
        <w:rPr>
          <w:rFonts w:ascii="Arial" w:hAnsi="Arial" w:cs="Arial"/>
        </w:rPr>
        <w:t>The colour measurement was conducted using chroma meter (CR-300, Minolta, Japan). Calibration was performed every time the sample being measured by using a white colour tile (L* = 96.91, a* = +0.14, b* = +1.98) provided by the manufacturer. The L* represent the lightness of the colour (L* = 0 yields black, and L* = 100 indicates white), +a* for redness and -a* for greenness, and +b* for yellowness and -b* for blueness. Chroma (C) indicating colour intensity were calculated by the formula as shown in Eq. 1:</w:t>
      </w:r>
    </w:p>
    <w:p w14:paraId="73506DC7" w14:textId="67A8109B" w:rsidR="009F04F2" w:rsidRPr="00B47051" w:rsidRDefault="009F04F2" w:rsidP="009F04F2">
      <w:pPr>
        <w:pStyle w:val="Body"/>
        <w:rPr>
          <w:rFonts w:ascii="Arial" w:hAnsi="Arial" w:cs="Arial"/>
        </w:rPr>
      </w:pPr>
      <w:r w:rsidRPr="00B47051">
        <w:rPr>
          <w:rFonts w:ascii="Arial" w:hAnsi="Arial" w:cs="Arial"/>
        </w:rPr>
        <w:t xml:space="preserve"> </w:t>
      </w:r>
      <w:r w:rsidR="00417913" w:rsidRPr="00B47051">
        <w:rPr>
          <w:rFonts w:cstheme="minorHAnsi"/>
          <w:lang w:eastAsia="en-GB"/>
        </w:rPr>
        <w:t xml:space="preserve">C = </w:t>
      </w:r>
      <m:oMath>
        <m:rad>
          <m:radPr>
            <m:degHide m:val="1"/>
            <m:ctrlPr>
              <w:rPr>
                <w:rFonts w:ascii="Cambria Math" w:hAnsi="Cambria Math" w:cstheme="minorHAnsi"/>
                <w:lang w:eastAsia="en-GB"/>
              </w:rPr>
            </m:ctrlPr>
          </m:radPr>
          <m:deg/>
          <m:e>
            <m:sSup>
              <m:sSupPr>
                <m:ctrlPr>
                  <w:rPr>
                    <w:rFonts w:ascii="Cambria Math" w:hAnsi="Cambria Math" w:cstheme="minorHAnsi"/>
                    <w:lang w:eastAsia="en-GB"/>
                  </w:rPr>
                </m:ctrlPr>
              </m:sSupPr>
              <m:e>
                <m:r>
                  <w:rPr>
                    <w:rFonts w:ascii="Cambria Math" w:hAnsi="Cambria Math" w:cstheme="minorHAnsi"/>
                    <w:lang w:eastAsia="en-GB"/>
                  </w:rPr>
                  <m:t>a</m:t>
                </m:r>
              </m:e>
              <m:sup>
                <m:r>
                  <m:rPr>
                    <m:sty m:val="p"/>
                  </m:rPr>
                  <w:rPr>
                    <w:rFonts w:ascii="Cambria Math" w:hAnsi="Cambria Math" w:cstheme="minorHAnsi"/>
                    <w:lang w:eastAsia="en-GB"/>
                  </w:rPr>
                  <m:t>*2</m:t>
                </m:r>
              </m:sup>
            </m:sSup>
            <m:r>
              <m:rPr>
                <m:sty m:val="p"/>
              </m:rPr>
              <w:rPr>
                <w:rFonts w:ascii="Cambria Math" w:hAnsi="Cambria Math" w:cstheme="minorHAnsi"/>
                <w:lang w:eastAsia="en-GB"/>
              </w:rPr>
              <m:t>+</m:t>
            </m:r>
            <m:sSup>
              <m:sSupPr>
                <m:ctrlPr>
                  <w:rPr>
                    <w:rFonts w:ascii="Cambria Math" w:hAnsi="Cambria Math" w:cstheme="minorHAnsi"/>
                    <w:lang w:eastAsia="en-GB"/>
                  </w:rPr>
                </m:ctrlPr>
              </m:sSupPr>
              <m:e>
                <m:r>
                  <w:rPr>
                    <w:rFonts w:ascii="Cambria Math" w:hAnsi="Cambria Math" w:cstheme="minorHAnsi"/>
                    <w:lang w:eastAsia="en-GB"/>
                  </w:rPr>
                  <m:t>b</m:t>
                </m:r>
              </m:e>
              <m:sup>
                <m:r>
                  <m:rPr>
                    <m:sty m:val="p"/>
                  </m:rPr>
                  <w:rPr>
                    <w:rFonts w:ascii="Cambria Math" w:hAnsi="Cambria Math" w:cstheme="minorHAnsi"/>
                    <w:lang w:eastAsia="en-GB"/>
                  </w:rPr>
                  <m:t>*2</m:t>
                </m:r>
              </m:sup>
            </m:sSup>
          </m:e>
        </m:rad>
      </m:oMath>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(1)</w:t>
      </w:r>
    </w:p>
    <w:p w14:paraId="1358EECD" w14:textId="77777777" w:rsidR="009F04F2" w:rsidRPr="00B47051" w:rsidRDefault="009F04F2" w:rsidP="009F04F2">
      <w:pPr>
        <w:pStyle w:val="Body"/>
        <w:rPr>
          <w:rFonts w:ascii="Arial" w:hAnsi="Arial" w:cs="Arial"/>
        </w:rPr>
      </w:pPr>
      <w:r w:rsidRPr="00B47051">
        <w:rPr>
          <w:rFonts w:ascii="Arial" w:hAnsi="Arial" w:cs="Arial"/>
        </w:rPr>
        <w:t>While, hue angle (h˚) which indicate the colour hue may vary from 0˚ (pure red colour), 90˚ (pure yellow colour), 180˚ (pure green colour) to 270˚ (pure blue colour). The h˚ value was calculated using equation in Eq. 2:</w:t>
      </w:r>
    </w:p>
    <w:p w14:paraId="553146A8" w14:textId="67F0F1B2" w:rsidR="009F04F2" w:rsidRPr="00B47051" w:rsidRDefault="00417913" w:rsidP="009F04F2">
      <w:pPr>
        <w:pStyle w:val="Body"/>
        <w:rPr>
          <w:rFonts w:ascii="Arial" w:hAnsi="Arial" w:cs="Arial"/>
        </w:rPr>
      </w:pPr>
      <w:r w:rsidRPr="00B47051">
        <w:rPr>
          <w:rFonts w:cstheme="minorHAnsi"/>
        </w:rPr>
        <w:t xml:space="preserve">h° = </w:t>
      </w:r>
      <m:oMath>
        <m:func>
          <m:funcPr>
            <m:ctrlPr>
              <w:rPr>
                <w:rFonts w:ascii="Cambria Math" w:hAnsi="Cambria Math" w:cstheme="minorHAnsi"/>
              </w:rPr>
            </m:ctrlPr>
          </m:funcPr>
          <m:fName>
            <m:sSup>
              <m:sSupPr>
                <m:ctrlPr>
                  <w:rPr>
                    <w:rFonts w:ascii="Cambria Math" w:hAnsi="Cambria Math" w:cstheme="minorHAnsi"/>
                  </w:rPr>
                </m:ctrlPr>
              </m:sSupPr>
              <m:e>
                <m:r>
                  <m:rPr>
                    <m:sty m:val="p"/>
                  </m:rPr>
                  <w:rPr>
                    <w:rFonts w:ascii="Cambria Math" w:hAnsi="Cambria Math" w:cstheme="minorHAnsi"/>
                  </w:rPr>
                  <m:t>tan</m:t>
                </m:r>
              </m:e>
              <m:sup>
                <m:r>
                  <m:rPr>
                    <m:sty m:val="p"/>
                  </m:rPr>
                  <w:rPr>
                    <w:rFonts w:ascii="Cambria Math" w:hAnsi="Cambria Math" w:cstheme="minorHAnsi"/>
                  </w:rPr>
                  <m:t>-1</m:t>
                </m:r>
              </m:sup>
            </m:sSup>
          </m:fName>
          <m:e>
            <m:r>
              <m:rPr>
                <m:sty m:val="p"/>
              </m:rPr>
              <w:rPr>
                <w:rFonts w:ascii="Cambria Math" w:hAnsi="Cambria Math" w:cstheme="minorHAnsi"/>
              </w:rPr>
              <m:t>(</m:t>
            </m:r>
            <m:f>
              <m:fPr>
                <m:ctrlPr>
                  <w:rPr>
                    <w:rFonts w:ascii="Cambria Math" w:hAnsi="Cambria Math" w:cstheme="minorHAnsi"/>
                  </w:rPr>
                </m:ctrlPr>
              </m:fPr>
              <m:num>
                <m:r>
                  <w:rPr>
                    <w:rFonts w:ascii="Cambria Math" w:hAnsi="Cambria Math" w:cstheme="minorHAnsi"/>
                  </w:rPr>
                  <m:t>b</m:t>
                </m:r>
                <m:r>
                  <m:rPr>
                    <m:sty m:val="p"/>
                  </m:rPr>
                  <w:rPr>
                    <w:rFonts w:ascii="Cambria Math" w:hAnsi="Cambria Math" w:cstheme="minorHAnsi"/>
                  </w:rPr>
                  <m:t>*</m:t>
                </m:r>
              </m:num>
              <m:den>
                <m:r>
                  <w:rPr>
                    <w:rFonts w:ascii="Cambria Math" w:hAnsi="Cambria Math" w:cstheme="minorHAnsi"/>
                  </w:rPr>
                  <m:t>a</m:t>
                </m:r>
                <m:r>
                  <m:rPr>
                    <m:sty m:val="p"/>
                  </m:rPr>
                  <w:rPr>
                    <w:rFonts w:ascii="Cambria Math" w:hAnsi="Cambria Math" w:cstheme="minorHAnsi"/>
                  </w:rPr>
                  <m:t>*</m:t>
                </m:r>
              </m:den>
            </m:f>
            <m:r>
              <m:rPr>
                <m:sty m:val="p"/>
              </m:rPr>
              <w:rPr>
                <w:rFonts w:ascii="Cambria Math" w:hAnsi="Cambria Math" w:cstheme="minorHAnsi"/>
              </w:rPr>
              <m:t>)</m:t>
            </m:r>
          </m:e>
        </m:func>
      </m:oMath>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Pr="00B47051">
        <w:rPr>
          <w:rFonts w:ascii="Arial" w:hAnsi="Arial" w:cs="Arial"/>
        </w:rPr>
        <w:tab/>
      </w:r>
      <w:r w:rsidR="009F04F2" w:rsidRPr="00B47051">
        <w:rPr>
          <w:rFonts w:ascii="Arial" w:hAnsi="Arial" w:cs="Arial"/>
        </w:rPr>
        <w:t>(2)</w:t>
      </w:r>
    </w:p>
    <w:p w14:paraId="6DB9CA77" w14:textId="2565AD23" w:rsidR="00E64EF9" w:rsidRPr="00B47051" w:rsidRDefault="00E64EF9" w:rsidP="009F04F2">
      <w:pPr>
        <w:pStyle w:val="Body"/>
        <w:rPr>
          <w:rFonts w:ascii="Arial" w:hAnsi="Arial" w:cs="Arial"/>
          <w:b/>
          <w:bCs/>
          <w:sz w:val="22"/>
          <w:szCs w:val="22"/>
        </w:rPr>
      </w:pPr>
      <w:r w:rsidRPr="00B47051">
        <w:rPr>
          <w:rFonts w:ascii="Arial" w:hAnsi="Arial" w:cs="Arial"/>
          <w:b/>
          <w:bCs/>
          <w:sz w:val="22"/>
          <w:szCs w:val="22"/>
        </w:rPr>
        <w:t xml:space="preserve">2.3 </w:t>
      </w:r>
      <w:r w:rsidR="00417913" w:rsidRPr="00B47051">
        <w:rPr>
          <w:rFonts w:ascii="Arial" w:hAnsi="Arial" w:cs="Arial"/>
          <w:b/>
          <w:bCs/>
          <w:sz w:val="22"/>
          <w:szCs w:val="22"/>
        </w:rPr>
        <w:t>Determination of Antioxidant Properties</w:t>
      </w:r>
    </w:p>
    <w:p w14:paraId="1D6847DB" w14:textId="2E46D082" w:rsidR="009F04F2" w:rsidRPr="00B47051" w:rsidRDefault="00E64EF9" w:rsidP="009F04F2">
      <w:pPr>
        <w:pStyle w:val="Body"/>
        <w:rPr>
          <w:rFonts w:ascii="Arial" w:hAnsi="Arial" w:cs="Arial"/>
          <w:b/>
          <w:bCs/>
          <w:u w:val="single"/>
        </w:rPr>
      </w:pPr>
      <w:r w:rsidRPr="00B47051">
        <w:rPr>
          <w:rFonts w:ascii="Arial" w:hAnsi="Arial" w:cs="Arial"/>
          <w:b/>
          <w:bCs/>
          <w:u w:val="single"/>
        </w:rPr>
        <w:t xml:space="preserve">2.3.1 </w:t>
      </w:r>
      <w:r w:rsidR="009F04F2" w:rsidRPr="00B47051">
        <w:rPr>
          <w:rFonts w:ascii="Arial" w:hAnsi="Arial" w:cs="Arial"/>
          <w:b/>
          <w:bCs/>
          <w:u w:val="single"/>
        </w:rPr>
        <w:t xml:space="preserve">Total </w:t>
      </w:r>
      <w:r w:rsidRPr="00B47051">
        <w:rPr>
          <w:rFonts w:ascii="Arial" w:hAnsi="Arial" w:cs="Arial"/>
          <w:b/>
          <w:bCs/>
          <w:u w:val="single"/>
        </w:rPr>
        <w:t xml:space="preserve">Anthocyanins Content Analysis </w:t>
      </w:r>
    </w:p>
    <w:p w14:paraId="44995DF9" w14:textId="5CC35888" w:rsidR="009F04F2" w:rsidRPr="00B47051" w:rsidRDefault="009F04F2" w:rsidP="009F04F2">
      <w:pPr>
        <w:pStyle w:val="Body"/>
        <w:rPr>
          <w:rFonts w:ascii="Arial" w:hAnsi="Arial" w:cs="Arial"/>
        </w:rPr>
      </w:pPr>
      <w:r w:rsidRPr="00B47051">
        <w:rPr>
          <w:rFonts w:ascii="Arial" w:hAnsi="Arial" w:cs="Arial"/>
        </w:rPr>
        <w:t xml:space="preserve">The total anthocyanin content </w:t>
      </w:r>
      <w:r w:rsidR="00836060">
        <w:rPr>
          <w:rFonts w:ascii="Arial" w:hAnsi="Arial" w:cs="Arial"/>
        </w:rPr>
        <w:t xml:space="preserve">(TAC) </w:t>
      </w:r>
      <w:r w:rsidRPr="00B47051">
        <w:rPr>
          <w:rFonts w:ascii="Arial" w:hAnsi="Arial" w:cs="Arial"/>
        </w:rPr>
        <w:t>of the tisane was measured immediately after preparation of tisane. Absorbance was recorded at the maximum wavelength (</w:t>
      </w:r>
      <w:proofErr w:type="spellStart"/>
      <w:r w:rsidRPr="00B47051">
        <w:rPr>
          <w:rFonts w:ascii="Arial" w:hAnsi="Arial" w:cs="Arial"/>
        </w:rPr>
        <w:t>λ</w:t>
      </w:r>
      <w:r w:rsidRPr="00B47051">
        <w:rPr>
          <w:rFonts w:ascii="Arial" w:hAnsi="Arial" w:cs="Arial"/>
          <w:vertAlign w:val="subscript"/>
        </w:rPr>
        <w:t>max</w:t>
      </w:r>
      <w:proofErr w:type="spellEnd"/>
      <w:r w:rsidRPr="00B47051">
        <w:rPr>
          <w:rFonts w:ascii="Arial" w:hAnsi="Arial" w:cs="Arial"/>
        </w:rPr>
        <w:t xml:space="preserve"> = 499 nm) using a Lambda 25 UV/VIS spectrophotometer (Perkin Elmer, Shelton, USA), following the method described by </w:t>
      </w:r>
      <w:proofErr w:type="spellStart"/>
      <w:r w:rsidRPr="00B47051">
        <w:rPr>
          <w:rFonts w:ascii="Arial" w:hAnsi="Arial" w:cs="Arial"/>
        </w:rPr>
        <w:t>Cinquanta</w:t>
      </w:r>
      <w:proofErr w:type="spellEnd"/>
      <w:r w:rsidRPr="00B47051">
        <w:rPr>
          <w:rFonts w:ascii="Arial" w:hAnsi="Arial" w:cs="Arial"/>
        </w:rPr>
        <w:t xml:space="preserve"> et al. (2002). The pigment content was calculated as delphinidin-3-sambubioside equivalent using the following formula:</w:t>
      </w:r>
    </w:p>
    <w:p w14:paraId="652AF89A" w14:textId="77777777" w:rsidR="009F04F2" w:rsidRPr="00B47051" w:rsidRDefault="009F04F2" w:rsidP="009F04F2">
      <w:pPr>
        <w:pStyle w:val="Body"/>
        <w:rPr>
          <w:rFonts w:ascii="Arial" w:hAnsi="Arial" w:cs="Arial"/>
        </w:rPr>
      </w:pPr>
      <w:r w:rsidRPr="00B47051">
        <w:rPr>
          <w:rFonts w:ascii="Arial" w:hAnsi="Arial" w:cs="Arial"/>
        </w:rPr>
        <w:t>TAC (mg/100 ml) = A/</w:t>
      </w:r>
      <w:proofErr w:type="spellStart"/>
      <w:r w:rsidRPr="00B47051">
        <w:rPr>
          <w:rFonts w:ascii="Arial" w:hAnsi="Arial" w:cs="Arial"/>
        </w:rPr>
        <w:t>eL</w:t>
      </w:r>
      <w:proofErr w:type="spellEnd"/>
      <w:r w:rsidRPr="00B47051">
        <w:rPr>
          <w:rFonts w:ascii="Arial" w:hAnsi="Arial" w:cs="Arial"/>
        </w:rPr>
        <w:t xml:space="preserve"> x MW x D x 10</w:t>
      </w:r>
      <w:r w:rsidRPr="00847063">
        <w:rPr>
          <w:rFonts w:ascii="Arial" w:hAnsi="Arial" w:cs="Arial"/>
          <w:vertAlign w:val="superscript"/>
        </w:rPr>
        <w:t>3</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(3)</w:t>
      </w:r>
    </w:p>
    <w:p w14:paraId="7F2EBFAD" w14:textId="77777777" w:rsidR="009F04F2" w:rsidRPr="00B47051" w:rsidRDefault="009F04F2" w:rsidP="009F04F2">
      <w:pPr>
        <w:pStyle w:val="Body"/>
        <w:rPr>
          <w:rFonts w:ascii="Arial" w:hAnsi="Arial" w:cs="Arial"/>
        </w:rPr>
      </w:pPr>
      <w:r w:rsidRPr="00B47051">
        <w:rPr>
          <w:rFonts w:ascii="Arial" w:hAnsi="Arial" w:cs="Arial"/>
        </w:rPr>
        <w:t xml:space="preserve">Where, A = absorbance, e = molar absorbance for delphinidin-3-sambubioside (26600), L = cell path length (1 cm), MW = molecular weight of delphinidin-3- </w:t>
      </w:r>
      <w:proofErr w:type="spellStart"/>
      <w:r w:rsidRPr="00B47051">
        <w:rPr>
          <w:rFonts w:ascii="Arial" w:hAnsi="Arial" w:cs="Arial"/>
        </w:rPr>
        <w:t>sambubioside</w:t>
      </w:r>
      <w:proofErr w:type="spellEnd"/>
      <w:r w:rsidRPr="00B47051">
        <w:rPr>
          <w:rFonts w:ascii="Arial" w:hAnsi="Arial" w:cs="Arial"/>
        </w:rPr>
        <w:t xml:space="preserve"> (597.5 Da), D = dilution factor and 10</w:t>
      </w:r>
      <w:r w:rsidRPr="00847063">
        <w:rPr>
          <w:rFonts w:ascii="Arial" w:hAnsi="Arial" w:cs="Arial"/>
          <w:vertAlign w:val="superscript"/>
        </w:rPr>
        <w:t>3</w:t>
      </w:r>
      <w:r w:rsidRPr="00B47051">
        <w:rPr>
          <w:rFonts w:ascii="Arial" w:hAnsi="Arial" w:cs="Arial"/>
        </w:rPr>
        <w:t xml:space="preserve"> = Factor for conversion from g to mg.</w:t>
      </w:r>
    </w:p>
    <w:p w14:paraId="1D93C5DB" w14:textId="5D480578" w:rsidR="009F04F2" w:rsidRPr="00B47051" w:rsidRDefault="00417913" w:rsidP="009F04F2">
      <w:pPr>
        <w:pStyle w:val="Body"/>
        <w:rPr>
          <w:rFonts w:ascii="Arial" w:hAnsi="Arial" w:cs="Arial"/>
          <w:b/>
          <w:bCs/>
          <w:u w:val="single"/>
        </w:rPr>
      </w:pPr>
      <w:r w:rsidRPr="00B47051">
        <w:rPr>
          <w:rFonts w:ascii="Arial" w:hAnsi="Arial" w:cs="Arial"/>
          <w:b/>
          <w:bCs/>
          <w:u w:val="single"/>
        </w:rPr>
        <w:t>2.3.</w:t>
      </w:r>
      <w:r w:rsidR="005B0AB7" w:rsidRPr="00B47051">
        <w:rPr>
          <w:rFonts w:ascii="Arial" w:hAnsi="Arial" w:cs="Arial"/>
          <w:b/>
          <w:bCs/>
          <w:u w:val="single"/>
        </w:rPr>
        <w:t xml:space="preserve">2 </w:t>
      </w:r>
      <w:r w:rsidR="009F04F2" w:rsidRPr="00B47051">
        <w:rPr>
          <w:rFonts w:ascii="Arial" w:hAnsi="Arial" w:cs="Arial"/>
          <w:b/>
          <w:bCs/>
          <w:u w:val="single"/>
        </w:rPr>
        <w:t xml:space="preserve">Total </w:t>
      </w:r>
      <w:r w:rsidRPr="00B47051">
        <w:rPr>
          <w:rFonts w:ascii="Arial" w:hAnsi="Arial" w:cs="Arial"/>
          <w:b/>
          <w:bCs/>
          <w:u w:val="single"/>
        </w:rPr>
        <w:t>Phenolic Content Analysis</w:t>
      </w:r>
    </w:p>
    <w:p w14:paraId="491A28D7" w14:textId="77777777" w:rsidR="009F04F2" w:rsidRPr="00B47051" w:rsidRDefault="009F04F2" w:rsidP="009F04F2">
      <w:pPr>
        <w:pStyle w:val="Body"/>
        <w:rPr>
          <w:rFonts w:ascii="Arial" w:hAnsi="Arial" w:cs="Arial"/>
          <w:b/>
          <w:bCs/>
        </w:rPr>
      </w:pPr>
      <w:r w:rsidRPr="00B47051">
        <w:rPr>
          <w:rFonts w:ascii="Arial" w:hAnsi="Arial" w:cs="Arial"/>
        </w:rPr>
        <w:t>Total phenolic content was determined using the Folin–</w:t>
      </w:r>
      <w:proofErr w:type="spellStart"/>
      <w:r w:rsidRPr="00B47051">
        <w:rPr>
          <w:rFonts w:ascii="Arial" w:hAnsi="Arial" w:cs="Arial"/>
        </w:rPr>
        <w:t>Ciocalteu</w:t>
      </w:r>
      <w:proofErr w:type="spellEnd"/>
      <w:r w:rsidRPr="00B47051">
        <w:rPr>
          <w:rFonts w:ascii="Arial" w:hAnsi="Arial" w:cs="Arial"/>
        </w:rPr>
        <w:t xml:space="preserve"> method as described by Lim et al. (2006). A 0.3 ml aliquot of tisane was added to a test tube, followed by 1.5 ml of 10% (v/v) Folin–</w:t>
      </w:r>
      <w:proofErr w:type="spellStart"/>
      <w:r w:rsidRPr="00B47051">
        <w:rPr>
          <w:rFonts w:ascii="Arial" w:hAnsi="Arial" w:cs="Arial"/>
        </w:rPr>
        <w:t>Ciocalteu</w:t>
      </w:r>
      <w:proofErr w:type="spellEnd"/>
      <w:r w:rsidRPr="00B47051">
        <w:rPr>
          <w:rFonts w:ascii="Arial" w:hAnsi="Arial" w:cs="Arial"/>
        </w:rPr>
        <w:t xml:space="preserve"> reagent and 1.2 ml of 75% (w/v) sodium carbonate. The test tube was </w:t>
      </w:r>
      <w:r w:rsidRPr="00B47051">
        <w:rPr>
          <w:rFonts w:ascii="Arial" w:hAnsi="Arial" w:cs="Arial"/>
        </w:rPr>
        <w:lastRenderedPageBreak/>
        <w:t>covered with aluminium foil and vortexed using a SA-8 vortex mixer (Stuart, United Kingdom). The mixture was incubated in the dark for 30 minutes. Absorbance was measured at 765 nm using a UV spectrophotometer (U-2800, Hitachi, Japan). Samples were diluted as needed to maintain absorbance values below 1. Results were expressed as mg gallic acid equivalents per 100 ml (mg GAE/100 ml), based on a standard calibration curve prepared using gallic acid concentrations of 10, 25, 50, 75, and 100 mg/L.</w:t>
      </w:r>
    </w:p>
    <w:p w14:paraId="3A55517F" w14:textId="138B1876" w:rsidR="009F04F2" w:rsidRPr="00B47051" w:rsidRDefault="00417913" w:rsidP="009F04F2">
      <w:pPr>
        <w:pStyle w:val="Body"/>
        <w:rPr>
          <w:rFonts w:ascii="Arial" w:hAnsi="Arial" w:cs="Arial"/>
          <w:b/>
          <w:bCs/>
          <w:u w:val="single"/>
        </w:rPr>
      </w:pPr>
      <w:r w:rsidRPr="00B47051">
        <w:rPr>
          <w:rFonts w:ascii="Arial" w:hAnsi="Arial" w:cs="Arial"/>
          <w:b/>
          <w:bCs/>
          <w:u w:val="single"/>
        </w:rPr>
        <w:t>2.3.</w:t>
      </w:r>
      <w:r w:rsidR="005B0AB7" w:rsidRPr="00B47051">
        <w:rPr>
          <w:rFonts w:ascii="Arial" w:hAnsi="Arial" w:cs="Arial"/>
          <w:b/>
          <w:bCs/>
          <w:u w:val="single"/>
        </w:rPr>
        <w:t>3</w:t>
      </w:r>
      <w:r w:rsidRPr="00B47051">
        <w:rPr>
          <w:rFonts w:ascii="Arial" w:hAnsi="Arial" w:cs="Arial"/>
          <w:b/>
          <w:bCs/>
          <w:u w:val="single"/>
        </w:rPr>
        <w:t xml:space="preserve"> </w:t>
      </w:r>
      <w:r w:rsidR="009F04F2" w:rsidRPr="00B47051">
        <w:rPr>
          <w:rFonts w:ascii="Arial" w:hAnsi="Arial" w:cs="Arial"/>
          <w:b/>
          <w:bCs/>
          <w:u w:val="single"/>
        </w:rPr>
        <w:t xml:space="preserve">Total </w:t>
      </w:r>
      <w:r w:rsidRPr="00B47051">
        <w:rPr>
          <w:rFonts w:ascii="Arial" w:hAnsi="Arial" w:cs="Arial"/>
          <w:b/>
          <w:bCs/>
          <w:u w:val="single"/>
        </w:rPr>
        <w:t>Flavonoid Content Analysis</w:t>
      </w:r>
    </w:p>
    <w:p w14:paraId="762454AB" w14:textId="77777777" w:rsidR="009F04F2" w:rsidRPr="00B47051" w:rsidRDefault="009F04F2" w:rsidP="009F04F2">
      <w:pPr>
        <w:pStyle w:val="Body"/>
        <w:rPr>
          <w:rFonts w:ascii="Arial" w:hAnsi="Arial" w:cs="Arial"/>
        </w:rPr>
      </w:pPr>
      <w:r w:rsidRPr="00B47051">
        <w:rPr>
          <w:rFonts w:ascii="Arial" w:hAnsi="Arial" w:cs="Arial"/>
        </w:rPr>
        <w:t xml:space="preserve">Total flavonoid content was estimated using the aluminium chloride </w:t>
      </w:r>
      <w:proofErr w:type="spellStart"/>
      <w:r w:rsidRPr="00B47051">
        <w:rPr>
          <w:rFonts w:ascii="Arial" w:hAnsi="Arial" w:cs="Arial"/>
        </w:rPr>
        <w:t>colourimetric</w:t>
      </w:r>
      <w:proofErr w:type="spellEnd"/>
      <w:r w:rsidRPr="00B47051">
        <w:rPr>
          <w:rFonts w:ascii="Arial" w:hAnsi="Arial" w:cs="Arial"/>
        </w:rPr>
        <w:t xml:space="preserve"> method, as described by Ali et al. (2018). Quercetin standards were prepared by serial dilutions ranging from 1.56 to 200 </w:t>
      </w:r>
      <w:proofErr w:type="spellStart"/>
      <w:r w:rsidRPr="00B47051">
        <w:rPr>
          <w:rFonts w:ascii="Arial" w:hAnsi="Arial" w:cs="Arial"/>
        </w:rPr>
        <w:t>μg</w:t>
      </w:r>
      <w:proofErr w:type="spellEnd"/>
      <w:r w:rsidRPr="00B47051">
        <w:rPr>
          <w:rFonts w:ascii="Arial" w:hAnsi="Arial" w:cs="Arial"/>
        </w:rPr>
        <w:t>/ml. In a 96-well plate, 100 </w:t>
      </w:r>
      <w:proofErr w:type="spellStart"/>
      <w:r w:rsidRPr="00B47051">
        <w:rPr>
          <w:rFonts w:ascii="Arial" w:hAnsi="Arial" w:cs="Arial"/>
        </w:rPr>
        <w:t>μl</w:t>
      </w:r>
      <w:proofErr w:type="spellEnd"/>
      <w:r w:rsidRPr="00B47051">
        <w:rPr>
          <w:rFonts w:ascii="Arial" w:hAnsi="Arial" w:cs="Arial"/>
        </w:rPr>
        <w:t xml:space="preserve"> of each sample or standard solution was mixed with 100 </w:t>
      </w:r>
      <w:proofErr w:type="spellStart"/>
      <w:r w:rsidRPr="00B47051">
        <w:rPr>
          <w:rFonts w:ascii="Arial" w:hAnsi="Arial" w:cs="Arial"/>
        </w:rPr>
        <w:t>μl</w:t>
      </w:r>
      <w:proofErr w:type="spellEnd"/>
      <w:r w:rsidRPr="00B47051">
        <w:rPr>
          <w:rFonts w:ascii="Arial" w:hAnsi="Arial" w:cs="Arial"/>
        </w:rPr>
        <w:t xml:space="preserve"> of 2% aluminium chloride (</w:t>
      </w:r>
      <w:proofErr w:type="spellStart"/>
      <w:r w:rsidRPr="00B47051">
        <w:rPr>
          <w:rFonts w:ascii="Arial" w:hAnsi="Arial" w:cs="Arial"/>
        </w:rPr>
        <w:t>AlCl</w:t>
      </w:r>
      <w:proofErr w:type="spellEnd"/>
      <w:r w:rsidRPr="00B47051">
        <w:rPr>
          <w:rFonts w:ascii="Cambria Math" w:hAnsi="Cambria Math" w:cs="Cambria Math"/>
        </w:rPr>
        <w:t>₃</w:t>
      </w:r>
      <w:r w:rsidRPr="00B47051">
        <w:rPr>
          <w:rFonts w:ascii="Arial" w:hAnsi="Arial" w:cs="Arial"/>
        </w:rPr>
        <w:t>) in ethanol. After incubation at room temperature for 1 hour, absorbance was measured at 420 nm. The formation of a yellow colour indicated the presence of flavonoids. Total flavonoid content was calculated from the quercetin standard calibration curve and expressed as mg quercetin equivalent (QE) per 100 ml of tisane. All measurements were performed in triplicate.</w:t>
      </w:r>
    </w:p>
    <w:p w14:paraId="72129100" w14:textId="751371C3" w:rsidR="009F04F2" w:rsidRPr="00B47051" w:rsidRDefault="00417913" w:rsidP="009F04F2">
      <w:pPr>
        <w:pStyle w:val="Body"/>
        <w:rPr>
          <w:rFonts w:ascii="Arial" w:hAnsi="Arial" w:cs="Arial"/>
          <w:b/>
          <w:bCs/>
          <w:u w:val="single"/>
        </w:rPr>
      </w:pPr>
      <w:r w:rsidRPr="00B47051">
        <w:rPr>
          <w:rFonts w:ascii="Arial" w:hAnsi="Arial" w:cs="Arial"/>
          <w:b/>
          <w:bCs/>
          <w:u w:val="single"/>
        </w:rPr>
        <w:t>2.3</w:t>
      </w:r>
      <w:r w:rsidR="005B0AB7" w:rsidRPr="00B47051">
        <w:rPr>
          <w:rFonts w:ascii="Arial" w:hAnsi="Arial" w:cs="Arial"/>
          <w:b/>
          <w:bCs/>
          <w:u w:val="single"/>
        </w:rPr>
        <w:t>4</w:t>
      </w:r>
      <w:r w:rsidRPr="00B47051">
        <w:rPr>
          <w:rFonts w:ascii="Arial" w:hAnsi="Arial" w:cs="Arial"/>
          <w:b/>
          <w:bCs/>
          <w:u w:val="single"/>
        </w:rPr>
        <w:t xml:space="preserve"> </w:t>
      </w:r>
      <w:r w:rsidR="009F04F2" w:rsidRPr="00B47051">
        <w:rPr>
          <w:rFonts w:ascii="Arial" w:hAnsi="Arial" w:cs="Arial"/>
          <w:b/>
          <w:bCs/>
          <w:u w:val="single"/>
        </w:rPr>
        <w:t xml:space="preserve">Ferric </w:t>
      </w:r>
      <w:r w:rsidRPr="00B47051">
        <w:rPr>
          <w:rFonts w:ascii="Arial" w:hAnsi="Arial" w:cs="Arial"/>
          <w:b/>
          <w:bCs/>
          <w:u w:val="single"/>
        </w:rPr>
        <w:t>Reducing Antioxidant Power Assay</w:t>
      </w:r>
    </w:p>
    <w:p w14:paraId="4D51A5B6" w14:textId="77777777" w:rsidR="009F04F2" w:rsidRPr="00B47051" w:rsidRDefault="009F04F2" w:rsidP="009F04F2">
      <w:pPr>
        <w:pStyle w:val="Body"/>
        <w:rPr>
          <w:rFonts w:ascii="Arial" w:hAnsi="Arial" w:cs="Arial"/>
        </w:rPr>
      </w:pPr>
      <w:r w:rsidRPr="00B47051">
        <w:rPr>
          <w:rFonts w:ascii="Arial" w:hAnsi="Arial" w:cs="Arial"/>
        </w:rPr>
        <w:t>Ferric reducing antioxidant power (FRAP) was determined following the method of Lim et al. (2006) with slight modifications. A total of 1 ml of tisane was mixed with 2.5 ml of 0.2 M phosphate buffer (pH 6.6), 2.5 ml of 1% potassium ferricyanide, and 2.5 ml of 10% trichloroacetic acid. The mixture was incubated in a water bath at 50 °C for 20 minutes. After incubation, 2.5 ml of the reaction mixture was combined with 2.5 ml of distilled water and 0.5 ml of 1% ferric chloride (</w:t>
      </w:r>
      <w:proofErr w:type="spellStart"/>
      <w:r w:rsidRPr="00B47051">
        <w:rPr>
          <w:rFonts w:ascii="Arial" w:hAnsi="Arial" w:cs="Arial"/>
        </w:rPr>
        <w:t>FeCl</w:t>
      </w:r>
      <w:proofErr w:type="spellEnd"/>
      <w:r w:rsidRPr="00B47051">
        <w:rPr>
          <w:rFonts w:ascii="Cambria Math" w:hAnsi="Cambria Math" w:cs="Cambria Math"/>
        </w:rPr>
        <w:t>₃</w:t>
      </w:r>
      <w:r w:rsidRPr="00B47051">
        <w:rPr>
          <w:rFonts w:ascii="Arial" w:hAnsi="Arial" w:cs="Arial"/>
        </w:rPr>
        <w:t>), then kept at room temperature in the dark for 30 minutes. Absorbance was measured at 700 nm using a UV spectrophotometer (U-2800, Hitachi, Japan), and results were expressed as mg Fe²</w:t>
      </w:r>
      <w:r w:rsidRPr="00B47051">
        <w:rPr>
          <w:rFonts w:ascii="Cambria Math" w:hAnsi="Cambria Math" w:cs="Cambria Math"/>
        </w:rPr>
        <w:t>⁺</w:t>
      </w:r>
      <w:r w:rsidRPr="00B47051">
        <w:rPr>
          <w:rFonts w:ascii="Arial" w:hAnsi="Arial" w:cs="Arial"/>
        </w:rPr>
        <w:t>/100 ml.</w:t>
      </w:r>
    </w:p>
    <w:p w14:paraId="02227183" w14:textId="170BCE4E" w:rsidR="009F04F2" w:rsidRPr="00B47051" w:rsidRDefault="00417913" w:rsidP="009F04F2">
      <w:pPr>
        <w:pStyle w:val="Body"/>
        <w:rPr>
          <w:rFonts w:ascii="Arial" w:hAnsi="Arial" w:cs="Arial"/>
          <w:b/>
          <w:bCs/>
          <w:u w:val="single"/>
        </w:rPr>
      </w:pPr>
      <w:r w:rsidRPr="00B47051">
        <w:rPr>
          <w:rFonts w:ascii="Arial" w:hAnsi="Arial" w:cs="Arial"/>
          <w:b/>
          <w:bCs/>
          <w:u w:val="single"/>
        </w:rPr>
        <w:t>2.3.</w:t>
      </w:r>
      <w:r w:rsidR="005B0AB7" w:rsidRPr="00B47051">
        <w:rPr>
          <w:rFonts w:ascii="Arial" w:hAnsi="Arial" w:cs="Arial"/>
          <w:b/>
          <w:bCs/>
          <w:u w:val="single"/>
        </w:rPr>
        <w:t>5</w:t>
      </w:r>
      <w:r w:rsidRPr="00B47051">
        <w:rPr>
          <w:rFonts w:ascii="Arial" w:hAnsi="Arial" w:cs="Arial"/>
          <w:b/>
          <w:bCs/>
          <w:u w:val="single"/>
        </w:rPr>
        <w:t xml:space="preserve"> </w:t>
      </w:r>
      <w:r w:rsidR="009F04F2" w:rsidRPr="00B47051">
        <w:rPr>
          <w:rFonts w:ascii="Arial" w:hAnsi="Arial" w:cs="Arial"/>
          <w:b/>
          <w:bCs/>
          <w:u w:val="single"/>
        </w:rPr>
        <w:t xml:space="preserve">Free </w:t>
      </w:r>
      <w:r w:rsidRPr="00B47051">
        <w:rPr>
          <w:rFonts w:ascii="Arial" w:hAnsi="Arial" w:cs="Arial"/>
          <w:b/>
          <w:bCs/>
          <w:u w:val="single"/>
        </w:rPr>
        <w:t xml:space="preserve">Radical Scavenging Activity- </w:t>
      </w:r>
      <w:r w:rsidR="009F04F2" w:rsidRPr="00B47051">
        <w:rPr>
          <w:rFonts w:ascii="Arial" w:hAnsi="Arial" w:cs="Arial"/>
          <w:b/>
          <w:bCs/>
          <w:u w:val="single"/>
        </w:rPr>
        <w:t xml:space="preserve">DDPH </w:t>
      </w:r>
      <w:r w:rsidRPr="00B47051">
        <w:rPr>
          <w:rFonts w:ascii="Arial" w:hAnsi="Arial" w:cs="Arial"/>
          <w:b/>
          <w:bCs/>
          <w:u w:val="single"/>
        </w:rPr>
        <w:t xml:space="preserve">Test for </w:t>
      </w:r>
      <w:r w:rsidR="009F04F2" w:rsidRPr="00B47051">
        <w:rPr>
          <w:rFonts w:ascii="Arial" w:hAnsi="Arial" w:cs="Arial"/>
          <w:b/>
          <w:bCs/>
          <w:u w:val="single"/>
        </w:rPr>
        <w:t>IC</w:t>
      </w:r>
      <w:r w:rsidR="009F04F2" w:rsidRPr="00B47051">
        <w:rPr>
          <w:rFonts w:ascii="Arial" w:hAnsi="Arial" w:cs="Arial"/>
          <w:b/>
          <w:bCs/>
          <w:u w:val="single"/>
          <w:vertAlign w:val="subscript"/>
        </w:rPr>
        <w:t>50</w:t>
      </w:r>
      <w:r w:rsidR="009F04F2" w:rsidRPr="00B47051">
        <w:rPr>
          <w:rFonts w:ascii="Arial" w:hAnsi="Arial" w:cs="Arial"/>
          <w:b/>
          <w:bCs/>
          <w:u w:val="single"/>
        </w:rPr>
        <w:t xml:space="preserve"> </w:t>
      </w:r>
    </w:p>
    <w:p w14:paraId="7E69533A" w14:textId="6686DFB6" w:rsidR="009F04F2" w:rsidRPr="00B47051" w:rsidRDefault="009F04F2" w:rsidP="009F04F2">
      <w:pPr>
        <w:pStyle w:val="Body"/>
        <w:rPr>
          <w:rFonts w:ascii="Arial" w:hAnsi="Arial" w:cs="Arial"/>
        </w:rPr>
      </w:pPr>
      <w:r w:rsidRPr="00B47051">
        <w:rPr>
          <w:rFonts w:ascii="Arial" w:hAnsi="Arial" w:cs="Arial"/>
        </w:rPr>
        <w:t xml:space="preserve">Free radical scavenging activity was assessed using a spectrophotometric assay based on the method of Lu </w:t>
      </w:r>
      <w:r w:rsidR="00D809FB" w:rsidRPr="00B47051">
        <w:rPr>
          <w:rFonts w:ascii="Arial" w:hAnsi="Arial" w:cs="Arial"/>
        </w:rPr>
        <w:t>&amp;</w:t>
      </w:r>
      <w:r w:rsidRPr="00B47051">
        <w:rPr>
          <w:rFonts w:ascii="Arial" w:hAnsi="Arial" w:cs="Arial"/>
        </w:rPr>
        <w:t xml:space="preserve"> Foo (2000), with slight modifications. A 0.007% methanolic DPPH solution was used as the reagent. Briefly, 100 </w:t>
      </w:r>
      <w:proofErr w:type="spellStart"/>
      <w:r w:rsidRPr="00B47051">
        <w:rPr>
          <w:rFonts w:ascii="Arial" w:hAnsi="Arial" w:cs="Arial"/>
        </w:rPr>
        <w:t>μl</w:t>
      </w:r>
      <w:proofErr w:type="spellEnd"/>
      <w:r w:rsidRPr="00B47051">
        <w:rPr>
          <w:rFonts w:ascii="Arial" w:hAnsi="Arial" w:cs="Arial"/>
        </w:rPr>
        <w:t xml:space="preserve"> of extract (at concentrations ranging from 0.0781 to 5.0 mg/mL) was added to 200 </w:t>
      </w:r>
      <w:proofErr w:type="spellStart"/>
      <w:r w:rsidRPr="00B47051">
        <w:rPr>
          <w:rFonts w:ascii="Arial" w:hAnsi="Arial" w:cs="Arial"/>
        </w:rPr>
        <w:t>μl</w:t>
      </w:r>
      <w:proofErr w:type="spellEnd"/>
      <w:r w:rsidRPr="00B47051">
        <w:rPr>
          <w:rFonts w:ascii="Arial" w:hAnsi="Arial" w:cs="Arial"/>
        </w:rPr>
        <w:t xml:space="preserve"> of the DPPH solution in a 96-well plate. Trolox and ascorbic acid (Vitamin C) served as positive controls. After incubation in the dark at room temperature for 40 minutes, absorbance was measured at 517 nm using a microplate reader (BIOTEK GEN5 EON, Winooski, Vermont, USA). The percentage inhibition of DPPH radicals was calculated as follows:</w:t>
      </w:r>
    </w:p>
    <w:p w14:paraId="193249F3" w14:textId="77777777" w:rsidR="009F04F2" w:rsidRPr="00B47051" w:rsidRDefault="009F04F2" w:rsidP="009F04F2">
      <w:pPr>
        <w:pStyle w:val="Body"/>
        <w:rPr>
          <w:rFonts w:ascii="Arial" w:hAnsi="Arial" w:cs="Arial"/>
        </w:rPr>
      </w:pPr>
      <w:r w:rsidRPr="00B47051">
        <w:rPr>
          <w:rFonts w:ascii="Arial" w:hAnsi="Arial" w:cs="Arial"/>
        </w:rPr>
        <w:t>Inhibition (%) = (</w:t>
      </w:r>
      <w:proofErr w:type="spellStart"/>
      <w:r w:rsidRPr="00B47051">
        <w:rPr>
          <w:rFonts w:ascii="Arial" w:hAnsi="Arial" w:cs="Arial"/>
        </w:rPr>
        <w:t>A</w:t>
      </w:r>
      <w:r w:rsidRPr="00B47051">
        <w:rPr>
          <w:rFonts w:ascii="Arial" w:hAnsi="Arial" w:cs="Arial"/>
          <w:vertAlign w:val="subscript"/>
        </w:rPr>
        <w:t>blank</w:t>
      </w:r>
      <w:proofErr w:type="spellEnd"/>
      <w:r w:rsidRPr="00B47051">
        <w:rPr>
          <w:rFonts w:ascii="Arial" w:hAnsi="Arial" w:cs="Arial"/>
        </w:rPr>
        <w:t xml:space="preserve"> – </w:t>
      </w:r>
      <w:proofErr w:type="spellStart"/>
      <w:r w:rsidRPr="00B47051">
        <w:rPr>
          <w:rFonts w:ascii="Arial" w:hAnsi="Arial" w:cs="Arial"/>
        </w:rPr>
        <w:t>A</w:t>
      </w:r>
      <w:r w:rsidRPr="00B47051">
        <w:rPr>
          <w:rFonts w:ascii="Arial" w:hAnsi="Arial" w:cs="Arial"/>
          <w:vertAlign w:val="subscript"/>
        </w:rPr>
        <w:t>sample</w:t>
      </w:r>
      <w:proofErr w:type="spellEnd"/>
      <w:r w:rsidRPr="00B47051">
        <w:rPr>
          <w:rFonts w:ascii="Arial" w:hAnsi="Arial" w:cs="Arial"/>
        </w:rPr>
        <w:t xml:space="preserve">/ </w:t>
      </w:r>
      <w:proofErr w:type="spellStart"/>
      <w:r w:rsidRPr="00B47051">
        <w:rPr>
          <w:rFonts w:ascii="Arial" w:hAnsi="Arial" w:cs="Arial"/>
        </w:rPr>
        <w:t>A</w:t>
      </w:r>
      <w:r w:rsidRPr="00B47051">
        <w:rPr>
          <w:rFonts w:ascii="Arial" w:hAnsi="Arial" w:cs="Arial"/>
          <w:vertAlign w:val="subscript"/>
        </w:rPr>
        <w:t>blank</w:t>
      </w:r>
      <w:proofErr w:type="spellEnd"/>
      <w:r w:rsidRPr="00B47051">
        <w:rPr>
          <w:rFonts w:ascii="Arial" w:hAnsi="Arial" w:cs="Arial"/>
        </w:rPr>
        <w:t>) x 100</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(4)</w:t>
      </w:r>
    </w:p>
    <w:p w14:paraId="29C308D7" w14:textId="77777777" w:rsidR="009F04F2" w:rsidRPr="00B47051" w:rsidRDefault="009F04F2" w:rsidP="009F04F2">
      <w:pPr>
        <w:pStyle w:val="Body"/>
        <w:rPr>
          <w:rFonts w:ascii="Arial" w:hAnsi="Arial" w:cs="Arial"/>
        </w:rPr>
      </w:pPr>
      <w:proofErr w:type="spellStart"/>
      <w:r w:rsidRPr="00B47051">
        <w:rPr>
          <w:rFonts w:ascii="Arial" w:hAnsi="Arial" w:cs="Arial"/>
        </w:rPr>
        <w:t>A</w:t>
      </w:r>
      <w:r w:rsidRPr="00B47051">
        <w:rPr>
          <w:rFonts w:ascii="Arial" w:hAnsi="Arial" w:cs="Arial"/>
          <w:vertAlign w:val="subscript"/>
        </w:rPr>
        <w:t>blank</w:t>
      </w:r>
      <w:proofErr w:type="spellEnd"/>
      <w:r w:rsidRPr="00B47051">
        <w:rPr>
          <w:rFonts w:ascii="Arial" w:hAnsi="Arial" w:cs="Arial"/>
        </w:rPr>
        <w:t xml:space="preserve"> represents the absorbance of the control (containing all reagents except the test sample), while </w:t>
      </w:r>
      <w:proofErr w:type="spellStart"/>
      <w:r w:rsidRPr="00B47051">
        <w:rPr>
          <w:rFonts w:ascii="Arial" w:hAnsi="Arial" w:cs="Arial"/>
        </w:rPr>
        <w:t>A</w:t>
      </w:r>
      <w:r w:rsidRPr="00B47051">
        <w:rPr>
          <w:rFonts w:ascii="Arial" w:hAnsi="Arial" w:cs="Arial"/>
          <w:vertAlign w:val="subscript"/>
        </w:rPr>
        <w:t>sample</w:t>
      </w:r>
      <w:proofErr w:type="spellEnd"/>
      <w:r w:rsidRPr="00B47051">
        <w:rPr>
          <w:rFonts w:ascii="Arial" w:hAnsi="Arial" w:cs="Arial"/>
        </w:rPr>
        <w:t xml:space="preserve"> refers to the absorbance in the presence of the test compound. The percentage of inhibition was plotted against sample concentration, and the IC</w:t>
      </w:r>
      <w:r w:rsidRPr="00B47051">
        <w:rPr>
          <w:rFonts w:ascii="Cambria Math" w:hAnsi="Cambria Math" w:cs="Cambria Math"/>
        </w:rPr>
        <w:t>₅₀</w:t>
      </w:r>
      <w:r w:rsidRPr="00B47051">
        <w:rPr>
          <w:rFonts w:ascii="Arial" w:hAnsi="Arial" w:cs="Arial"/>
        </w:rPr>
        <w:t xml:space="preserve"> value was determined graphically from the resulting curve.</w:t>
      </w:r>
    </w:p>
    <w:p w14:paraId="67A517D4" w14:textId="1B2E172F" w:rsidR="00417913" w:rsidRPr="00B47051" w:rsidRDefault="00417913" w:rsidP="009F04F2">
      <w:pPr>
        <w:pStyle w:val="Body"/>
        <w:rPr>
          <w:rFonts w:ascii="Arial" w:hAnsi="Arial" w:cs="Arial"/>
          <w:b/>
          <w:bCs/>
          <w:sz w:val="22"/>
          <w:szCs w:val="22"/>
        </w:rPr>
      </w:pPr>
      <w:r w:rsidRPr="00B47051">
        <w:rPr>
          <w:rFonts w:ascii="Arial" w:hAnsi="Arial" w:cs="Arial"/>
          <w:b/>
          <w:bCs/>
          <w:sz w:val="22"/>
          <w:szCs w:val="22"/>
        </w:rPr>
        <w:t>2.4 Antidiabetic In-Vitro Analyses</w:t>
      </w:r>
    </w:p>
    <w:p w14:paraId="6A16EAF9" w14:textId="530B5ADE" w:rsidR="009F04F2" w:rsidRPr="00B47051" w:rsidRDefault="00417913" w:rsidP="009F04F2">
      <w:pPr>
        <w:pStyle w:val="Body"/>
        <w:rPr>
          <w:rFonts w:ascii="Arial" w:hAnsi="Arial" w:cs="Arial"/>
          <w:b/>
          <w:bCs/>
          <w:u w:val="single"/>
        </w:rPr>
      </w:pPr>
      <w:r w:rsidRPr="00B47051">
        <w:rPr>
          <w:rFonts w:ascii="Arial" w:hAnsi="Arial" w:cs="Arial"/>
          <w:b/>
          <w:bCs/>
          <w:u w:val="single"/>
        </w:rPr>
        <w:t xml:space="preserve">2.4.1 </w:t>
      </w:r>
      <w:r w:rsidR="009F04F2" w:rsidRPr="00B47051">
        <w:rPr>
          <w:rFonts w:ascii="Arial" w:hAnsi="Arial" w:cs="Arial"/>
          <w:b/>
          <w:bCs/>
          <w:u w:val="single"/>
        </w:rPr>
        <w:t xml:space="preserve">Determination </w:t>
      </w:r>
      <w:r w:rsidRPr="00B47051">
        <w:rPr>
          <w:rFonts w:ascii="Arial" w:hAnsi="Arial" w:cs="Arial"/>
          <w:b/>
          <w:bCs/>
          <w:u w:val="single"/>
        </w:rPr>
        <w:t xml:space="preserve">of </w:t>
      </w:r>
      <w:r w:rsidR="005B0AB7" w:rsidRPr="00B47051">
        <w:rPr>
          <w:rFonts w:ascii="Arial" w:hAnsi="Arial" w:cs="Arial"/>
          <w:b/>
          <w:bCs/>
          <w:u w:val="single"/>
        </w:rPr>
        <w:t>α</w:t>
      </w:r>
      <w:r w:rsidRPr="00B47051">
        <w:rPr>
          <w:rFonts w:ascii="Arial" w:hAnsi="Arial" w:cs="Arial"/>
          <w:b/>
          <w:bCs/>
          <w:u w:val="single"/>
        </w:rPr>
        <w:t xml:space="preserve">-Amylase Enzyme Inhibition Activity </w:t>
      </w:r>
    </w:p>
    <w:p w14:paraId="0C413837" w14:textId="77777777" w:rsidR="009F04F2" w:rsidRPr="00B47051" w:rsidRDefault="009F04F2" w:rsidP="009F04F2">
      <w:pPr>
        <w:pStyle w:val="Body"/>
        <w:rPr>
          <w:rFonts w:ascii="Arial" w:hAnsi="Arial" w:cs="Arial"/>
        </w:rPr>
      </w:pPr>
      <w:r w:rsidRPr="00B47051">
        <w:rPr>
          <w:rFonts w:ascii="Arial" w:hAnsi="Arial" w:cs="Arial"/>
        </w:rPr>
        <w:t xml:space="preserve">Determination of α-amylase enzyme inhibition activity using the starch-iodine colour test was conducted according to the method by Ee Shian et al. (2015). The total volume of solution for </w:t>
      </w:r>
      <w:r w:rsidRPr="00B47051">
        <w:rPr>
          <w:rFonts w:ascii="Arial" w:hAnsi="Arial" w:cs="Arial"/>
        </w:rPr>
        <w:lastRenderedPageBreak/>
        <w:t>each extract comprised 60 µL of sodium phosphate buffer (0.1 M, pH 6.9 with 0.006 M sodium chloride), 20 µL of α-amylase (1 U/ml), and 50 µL of extract. The mixture was incubated for 15 minutes at 37°C. Subsequently, 50 µL of soluble starch solution (0.2%) was added to the sample and incubated again for 30 minutes at 37°C. Then, the enzyme activity was stopped by adding 20 µL of hydrochloric acid (1 M) to the sample before placing it in a hot water bath. After cooling the sample to room temperature, 50 µL of iodine reagent solution (5 mM iodine and 5 mM potassium iodide) was added to the sample. 150 µL of each sample was transferred to a microplate, and the absorbance was read at 620 nm using a spectrophotometer. The percentage of α-amylase enzyme inhibition was calculated using the following equations:</w:t>
      </w:r>
    </w:p>
    <w:p w14:paraId="1924352A" w14:textId="0FB391AB" w:rsidR="009F04F2" w:rsidRPr="00B47051" w:rsidRDefault="009F04F2" w:rsidP="009F04F2">
      <w:pPr>
        <w:pStyle w:val="Body"/>
        <w:rPr>
          <w:rFonts w:ascii="Arial" w:hAnsi="Arial" w:cs="Arial"/>
        </w:rPr>
      </w:pPr>
      <w:r w:rsidRPr="00B47051">
        <w:rPr>
          <w:rFonts w:ascii="Arial" w:hAnsi="Arial" w:cs="Arial"/>
        </w:rPr>
        <w:t xml:space="preserve">Relative α-amylase enzyme activity (%) = (enzyme activity of sample) / (enzyme activity of negative control) x 100% </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(5)</w:t>
      </w:r>
    </w:p>
    <w:p w14:paraId="47C1D06A" w14:textId="2942F050" w:rsidR="009F04F2" w:rsidRPr="00B47051" w:rsidRDefault="009F04F2" w:rsidP="009F04F2">
      <w:pPr>
        <w:pStyle w:val="Body"/>
        <w:rPr>
          <w:rFonts w:ascii="Arial" w:hAnsi="Arial" w:cs="Arial"/>
        </w:rPr>
      </w:pPr>
      <w:r w:rsidRPr="00B47051">
        <w:rPr>
          <w:rFonts w:ascii="Arial" w:hAnsi="Arial" w:cs="Arial"/>
        </w:rPr>
        <w:t>Inhibition of α-amylase enzyme activity (%) = 100% – % relative α-amylase enzyme activity</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(6)</w:t>
      </w:r>
    </w:p>
    <w:p w14:paraId="578D743A" w14:textId="183D239B" w:rsidR="009F04F2" w:rsidRPr="00B47051" w:rsidRDefault="009F04F2" w:rsidP="009F04F2">
      <w:pPr>
        <w:pStyle w:val="Body"/>
        <w:rPr>
          <w:rFonts w:ascii="Arial" w:hAnsi="Arial" w:cs="Arial"/>
        </w:rPr>
      </w:pPr>
      <w:r w:rsidRPr="00B47051">
        <w:rPr>
          <w:rFonts w:ascii="Arial" w:hAnsi="Arial" w:cs="Arial"/>
        </w:rPr>
        <w:t>The IC</w:t>
      </w:r>
      <w:r w:rsidRPr="00B47051">
        <w:rPr>
          <w:rFonts w:ascii="Arial" w:hAnsi="Arial" w:cs="Arial"/>
          <w:vertAlign w:val="subscript"/>
        </w:rPr>
        <w:t>50</w:t>
      </w:r>
      <w:r w:rsidRPr="00B47051">
        <w:rPr>
          <w:rFonts w:ascii="Arial" w:hAnsi="Arial" w:cs="Arial"/>
        </w:rPr>
        <w:t xml:space="preserve"> values were determined from the plot of </w:t>
      </w:r>
      <w:r w:rsidR="000F58AF" w:rsidRPr="00B47051">
        <w:rPr>
          <w:rFonts w:ascii="Arial" w:hAnsi="Arial" w:cs="Arial"/>
        </w:rPr>
        <w:t>α</w:t>
      </w:r>
      <w:r w:rsidRPr="00B47051">
        <w:rPr>
          <w:rFonts w:ascii="Arial" w:hAnsi="Arial" w:cs="Arial"/>
        </w:rPr>
        <w:t>-amylase inhibition against concentration.</w:t>
      </w:r>
    </w:p>
    <w:p w14:paraId="5C867A13" w14:textId="18E4DD56" w:rsidR="009F04F2" w:rsidRPr="00B47051" w:rsidRDefault="005B0AB7" w:rsidP="009F04F2">
      <w:pPr>
        <w:pStyle w:val="Body"/>
        <w:rPr>
          <w:rFonts w:ascii="Arial" w:hAnsi="Arial" w:cs="Arial"/>
          <w:b/>
          <w:bCs/>
          <w:u w:val="single"/>
        </w:rPr>
      </w:pPr>
      <w:r w:rsidRPr="00B47051">
        <w:rPr>
          <w:rFonts w:ascii="Arial" w:hAnsi="Arial" w:cs="Arial"/>
          <w:b/>
          <w:bCs/>
          <w:u w:val="single"/>
        </w:rPr>
        <w:t xml:space="preserve">2.4.2 </w:t>
      </w:r>
      <w:r w:rsidR="009F04F2" w:rsidRPr="00B47051">
        <w:rPr>
          <w:rFonts w:ascii="Arial" w:hAnsi="Arial" w:cs="Arial"/>
          <w:b/>
          <w:bCs/>
          <w:u w:val="single"/>
        </w:rPr>
        <w:t>Determination of α-</w:t>
      </w:r>
      <w:r w:rsidRPr="00B47051">
        <w:rPr>
          <w:rFonts w:ascii="Arial" w:hAnsi="Arial" w:cs="Arial"/>
          <w:b/>
          <w:bCs/>
          <w:u w:val="single"/>
        </w:rPr>
        <w:t xml:space="preserve">Glucosidase Enzyme Inhibition Activity </w:t>
      </w:r>
    </w:p>
    <w:p w14:paraId="2E061560" w14:textId="77777777" w:rsidR="009F04F2" w:rsidRPr="00B47051" w:rsidRDefault="009F04F2" w:rsidP="009F04F2">
      <w:pPr>
        <w:pStyle w:val="Body"/>
        <w:rPr>
          <w:rFonts w:ascii="Arial" w:hAnsi="Arial" w:cs="Arial"/>
        </w:rPr>
      </w:pPr>
      <w:r w:rsidRPr="00B47051">
        <w:rPr>
          <w:rFonts w:ascii="Arial" w:hAnsi="Arial" w:cs="Arial"/>
        </w:rPr>
        <w:t>The IC</w:t>
      </w:r>
      <w:r w:rsidRPr="00B47051">
        <w:rPr>
          <w:rFonts w:ascii="Arial" w:hAnsi="Arial" w:cs="Arial"/>
          <w:vertAlign w:val="subscript"/>
        </w:rPr>
        <w:t>50</w:t>
      </w:r>
      <w:r w:rsidRPr="00B47051">
        <w:rPr>
          <w:rFonts w:ascii="Arial" w:hAnsi="Arial" w:cs="Arial"/>
        </w:rPr>
        <w:t xml:space="preserve"> value is the concentration of the sample required to cause 50% inhibition of α-amylase enzyme. Determination of α-glucosidase enzyme inhibition using the substrate p-nitrophenyl-α-D-glucopyranoside (</w:t>
      </w:r>
      <w:proofErr w:type="spellStart"/>
      <w:r w:rsidRPr="00B47051">
        <w:rPr>
          <w:rFonts w:ascii="Arial" w:hAnsi="Arial" w:cs="Arial"/>
        </w:rPr>
        <w:t>pNPG</w:t>
      </w:r>
      <w:proofErr w:type="spellEnd"/>
      <w:r w:rsidRPr="00B47051">
        <w:rPr>
          <w:rFonts w:ascii="Arial" w:hAnsi="Arial" w:cs="Arial"/>
        </w:rPr>
        <w:t xml:space="preserve">) was conducted using the methods of Collins et al. (1997) and </w:t>
      </w:r>
      <w:proofErr w:type="spellStart"/>
      <w:r w:rsidRPr="00B47051">
        <w:rPr>
          <w:rFonts w:ascii="Arial" w:hAnsi="Arial" w:cs="Arial"/>
        </w:rPr>
        <w:t>Deutschländer</w:t>
      </w:r>
      <w:proofErr w:type="spellEnd"/>
      <w:r w:rsidRPr="00B47051">
        <w:rPr>
          <w:rFonts w:ascii="Arial" w:hAnsi="Arial" w:cs="Arial"/>
        </w:rPr>
        <w:t xml:space="preserve"> et al. (2009). A mixture of 130 µL phosphate buffer (50 mM, pH 6.5), 10 µL extract, and 10 µL α-glucosidase enzyme (1.5 U/ml) was prepared. This mixture was incubated for 30 minutes at 37°C. One unit of the enzyme is defined as the amount of enzyme that releases 1 µmol of p-nitrophenol from </w:t>
      </w:r>
      <w:proofErr w:type="spellStart"/>
      <w:r w:rsidRPr="00B47051">
        <w:rPr>
          <w:rFonts w:ascii="Arial" w:hAnsi="Arial" w:cs="Arial"/>
        </w:rPr>
        <w:t>pNPG</w:t>
      </w:r>
      <w:proofErr w:type="spellEnd"/>
      <w:r w:rsidRPr="00B47051">
        <w:rPr>
          <w:rFonts w:ascii="Arial" w:hAnsi="Arial" w:cs="Arial"/>
        </w:rPr>
        <w:t xml:space="preserve"> per minute under the specified test conditions. The α-glucosidase enzyme activity was initiated by adding 50 µL p-nitrophenyl-α-D-glucopyranoside (1 mM in phosphate buffer) to each sample, followed by incubation for 30 minutes at 37°C. The enzyme reaction was stopped by adding 50 µL sodium carbonate (0.1 M, pH 10). Enzyme activity was determined by measuring the absorbance of p-nitrophenol released from </w:t>
      </w:r>
      <w:proofErr w:type="spellStart"/>
      <w:r w:rsidRPr="00B47051">
        <w:rPr>
          <w:rFonts w:ascii="Arial" w:hAnsi="Arial" w:cs="Arial"/>
        </w:rPr>
        <w:t>pNPG</w:t>
      </w:r>
      <w:proofErr w:type="spellEnd"/>
      <w:r w:rsidRPr="00B47051">
        <w:rPr>
          <w:rFonts w:ascii="Arial" w:hAnsi="Arial" w:cs="Arial"/>
        </w:rPr>
        <w:t xml:space="preserve"> at 405 nm using a spectrophotometer. The percentage of α-glucosidase enzyme inhibition was calculated using the following equation:</w:t>
      </w:r>
    </w:p>
    <w:p w14:paraId="4AE05FC8" w14:textId="77777777" w:rsidR="009F04F2" w:rsidRPr="00B47051" w:rsidRDefault="009F04F2" w:rsidP="009F04F2">
      <w:pPr>
        <w:pStyle w:val="Body"/>
        <w:rPr>
          <w:rFonts w:ascii="Arial" w:hAnsi="Arial" w:cs="Arial"/>
        </w:rPr>
      </w:pPr>
      <w:r w:rsidRPr="00B47051">
        <w:rPr>
          <w:rFonts w:ascii="Arial" w:hAnsi="Arial" w:cs="Arial"/>
        </w:rPr>
        <w:t>% α-glucosidase enzyme inhibition = (absorbance of negative control – absorbance of sample) / (absorbance of negative control) x 100%</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(7)</w:t>
      </w:r>
    </w:p>
    <w:p w14:paraId="256163BC" w14:textId="77777777" w:rsidR="009F04F2" w:rsidRPr="00B47051" w:rsidRDefault="009F04F2" w:rsidP="009F04F2">
      <w:pPr>
        <w:pStyle w:val="Body"/>
        <w:rPr>
          <w:rFonts w:ascii="Arial" w:hAnsi="Arial" w:cs="Arial"/>
        </w:rPr>
      </w:pPr>
      <w:r w:rsidRPr="00B47051">
        <w:rPr>
          <w:rFonts w:ascii="Arial" w:hAnsi="Arial" w:cs="Arial"/>
        </w:rPr>
        <w:t>The IC</w:t>
      </w:r>
      <w:r w:rsidRPr="00B47051">
        <w:rPr>
          <w:rFonts w:ascii="Arial" w:hAnsi="Arial" w:cs="Arial"/>
          <w:vertAlign w:val="subscript"/>
        </w:rPr>
        <w:t>50</w:t>
      </w:r>
      <w:r w:rsidRPr="00B47051">
        <w:rPr>
          <w:rFonts w:ascii="Arial" w:hAnsi="Arial" w:cs="Arial"/>
        </w:rPr>
        <w:t xml:space="preserve"> values were determined from the plot of α-glucosidase inhibition against concentration.</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p>
    <w:p w14:paraId="28F88117" w14:textId="64187C2B" w:rsidR="009F04F2" w:rsidRPr="00B47051" w:rsidRDefault="005B0AB7" w:rsidP="009F04F2">
      <w:pPr>
        <w:pStyle w:val="Body"/>
        <w:rPr>
          <w:rFonts w:ascii="Arial" w:hAnsi="Arial" w:cs="Arial"/>
          <w:b/>
          <w:bCs/>
          <w:sz w:val="22"/>
          <w:szCs w:val="22"/>
        </w:rPr>
      </w:pPr>
      <w:r w:rsidRPr="00B47051">
        <w:rPr>
          <w:rFonts w:ascii="Arial" w:hAnsi="Arial" w:cs="Arial"/>
          <w:b/>
          <w:bCs/>
          <w:sz w:val="22"/>
          <w:szCs w:val="22"/>
        </w:rPr>
        <w:t xml:space="preserve">2.5 </w:t>
      </w:r>
      <w:r w:rsidR="009F04F2" w:rsidRPr="00B47051">
        <w:rPr>
          <w:rFonts w:ascii="Arial" w:hAnsi="Arial" w:cs="Arial"/>
          <w:b/>
          <w:bCs/>
          <w:sz w:val="22"/>
          <w:szCs w:val="22"/>
        </w:rPr>
        <w:t xml:space="preserve">Statistical </w:t>
      </w:r>
      <w:r w:rsidRPr="00B47051">
        <w:rPr>
          <w:rFonts w:ascii="Arial" w:hAnsi="Arial" w:cs="Arial"/>
          <w:b/>
          <w:bCs/>
          <w:sz w:val="22"/>
          <w:szCs w:val="22"/>
        </w:rPr>
        <w:t>A</w:t>
      </w:r>
      <w:r w:rsidR="009F04F2" w:rsidRPr="00B47051">
        <w:rPr>
          <w:rFonts w:ascii="Arial" w:hAnsi="Arial" w:cs="Arial"/>
          <w:b/>
          <w:bCs/>
          <w:sz w:val="22"/>
          <w:szCs w:val="22"/>
        </w:rPr>
        <w:t>nalysis</w:t>
      </w:r>
    </w:p>
    <w:p w14:paraId="7869F343" w14:textId="6CA2AF02" w:rsidR="00B95236" w:rsidRPr="00B47051" w:rsidRDefault="009F04F2" w:rsidP="009F04F2">
      <w:pPr>
        <w:pStyle w:val="Body"/>
        <w:spacing w:after="0"/>
        <w:rPr>
          <w:rFonts w:ascii="Arial" w:hAnsi="Arial" w:cs="Arial"/>
        </w:rPr>
      </w:pPr>
      <w:r w:rsidRPr="00B47051">
        <w:rPr>
          <w:rFonts w:ascii="Arial" w:hAnsi="Arial" w:cs="Arial"/>
        </w:rPr>
        <w:t xml:space="preserve">All measurements were carried out in triplicate for each sample and data were expressed as </w:t>
      </w:r>
      <w:proofErr w:type="spellStart"/>
      <w:r w:rsidRPr="00B47051">
        <w:rPr>
          <w:rFonts w:ascii="Arial" w:hAnsi="Arial" w:cs="Arial"/>
        </w:rPr>
        <w:t>mean±standard</w:t>
      </w:r>
      <w:proofErr w:type="spellEnd"/>
      <w:r w:rsidRPr="00B47051">
        <w:rPr>
          <w:rFonts w:ascii="Arial" w:hAnsi="Arial" w:cs="Arial"/>
        </w:rPr>
        <w:t xml:space="preserve"> deviation. All statistical analyses were carried out using MINITAB version 19 Sub100 for the analysis of variance (ANOVA) with Tukey’s test at a significance level of </w:t>
      </w:r>
      <w:r w:rsidR="005B0AB7" w:rsidRPr="00B47051">
        <w:rPr>
          <w:rFonts w:ascii="Arial" w:hAnsi="Arial" w:cs="Arial"/>
          <w:i/>
          <w:iCs/>
        </w:rPr>
        <w:t>P</w:t>
      </w:r>
      <w:r w:rsidRPr="00B47051">
        <w:rPr>
          <w:rFonts w:ascii="Arial" w:hAnsi="Arial" w:cs="Arial"/>
        </w:rPr>
        <w:t xml:space="preserve"> ≤ 0.05.</w:t>
      </w:r>
    </w:p>
    <w:p w14:paraId="13A63E5D" w14:textId="77777777" w:rsidR="00790ADA" w:rsidRPr="00B47051" w:rsidRDefault="00790ADA" w:rsidP="00441B6F">
      <w:pPr>
        <w:pStyle w:val="Body"/>
        <w:spacing w:after="0"/>
        <w:rPr>
          <w:rFonts w:ascii="Arial" w:hAnsi="Arial" w:cs="Arial"/>
        </w:rPr>
      </w:pPr>
    </w:p>
    <w:p w14:paraId="5132CF16" w14:textId="77777777" w:rsidR="00790ADA" w:rsidRPr="00B47051" w:rsidRDefault="00790ADA" w:rsidP="00441B6F">
      <w:pPr>
        <w:pStyle w:val="Body"/>
        <w:spacing w:after="0"/>
        <w:rPr>
          <w:rFonts w:ascii="Arial" w:hAnsi="Arial" w:cs="Arial"/>
        </w:rPr>
      </w:pPr>
    </w:p>
    <w:p w14:paraId="253F70BC" w14:textId="77777777" w:rsidR="00902823" w:rsidRPr="00B47051" w:rsidRDefault="00000F8F" w:rsidP="00441B6F">
      <w:pPr>
        <w:pStyle w:val="Head1"/>
        <w:spacing w:after="0"/>
        <w:jc w:val="both"/>
        <w:rPr>
          <w:rFonts w:ascii="Arial" w:hAnsi="Arial" w:cs="Arial"/>
        </w:rPr>
      </w:pPr>
      <w:r w:rsidRPr="00B47051">
        <w:rPr>
          <w:rFonts w:ascii="Arial" w:hAnsi="Arial" w:cs="Arial"/>
        </w:rPr>
        <w:t>3</w:t>
      </w:r>
      <w:r w:rsidR="00902823" w:rsidRPr="00B47051">
        <w:rPr>
          <w:rFonts w:ascii="Arial" w:hAnsi="Arial" w:cs="Arial"/>
        </w:rPr>
        <w:t xml:space="preserve">. </w:t>
      </w:r>
      <w:r w:rsidRPr="00B47051">
        <w:rPr>
          <w:rFonts w:ascii="Arial" w:hAnsi="Arial" w:cs="Arial"/>
        </w:rPr>
        <w:t>results and discussion</w:t>
      </w:r>
    </w:p>
    <w:p w14:paraId="0DD4ABCD" w14:textId="77777777" w:rsidR="00790ADA" w:rsidRPr="00B47051" w:rsidRDefault="00790ADA" w:rsidP="00441B6F">
      <w:pPr>
        <w:pStyle w:val="Head1"/>
        <w:spacing w:after="0"/>
        <w:jc w:val="both"/>
        <w:rPr>
          <w:rFonts w:ascii="Arial" w:hAnsi="Arial" w:cs="Arial"/>
        </w:rPr>
      </w:pPr>
    </w:p>
    <w:p w14:paraId="3E9C5514" w14:textId="5289432D" w:rsidR="00B95070" w:rsidRPr="00B47051" w:rsidRDefault="00B95070" w:rsidP="00B95070">
      <w:pPr>
        <w:pStyle w:val="Body"/>
        <w:rPr>
          <w:rFonts w:ascii="Arial" w:hAnsi="Arial" w:cs="Arial"/>
          <w:b/>
          <w:bCs/>
          <w:sz w:val="22"/>
          <w:szCs w:val="22"/>
        </w:rPr>
      </w:pPr>
      <w:r w:rsidRPr="00B47051">
        <w:rPr>
          <w:rFonts w:ascii="Arial" w:hAnsi="Arial" w:cs="Arial"/>
          <w:b/>
          <w:bCs/>
          <w:sz w:val="22"/>
          <w:szCs w:val="22"/>
        </w:rPr>
        <w:t>3.1 Effect on pH and Colour</w:t>
      </w:r>
    </w:p>
    <w:p w14:paraId="0E78B709" w14:textId="3EEC7B7E" w:rsidR="00B95070" w:rsidRPr="00B47051" w:rsidRDefault="00B95070" w:rsidP="00B95070">
      <w:pPr>
        <w:pStyle w:val="Body"/>
        <w:rPr>
          <w:rFonts w:ascii="Arial" w:hAnsi="Arial" w:cs="Arial"/>
        </w:rPr>
      </w:pPr>
      <w:r w:rsidRPr="00B47051">
        <w:rPr>
          <w:rFonts w:ascii="Arial" w:hAnsi="Arial" w:cs="Arial"/>
        </w:rPr>
        <w:lastRenderedPageBreak/>
        <w:t>Table 1 presents the colour (L*, a*, b*, chroma C, hue angle h°) and pH values of the infusions at different infusion times (5 - 30 minutes). Lightness (L*) remained essentially unchanged (</w:t>
      </w:r>
      <w:r w:rsidR="00EC2A19">
        <w:rPr>
          <w:rFonts w:ascii="Arial" w:hAnsi="Arial" w:cs="Arial"/>
          <w:i/>
          <w:iCs/>
        </w:rPr>
        <w:t>P</w:t>
      </w:r>
      <w:r w:rsidRPr="00B47051">
        <w:rPr>
          <w:rFonts w:ascii="Arial" w:hAnsi="Arial" w:cs="Arial"/>
        </w:rPr>
        <w:t xml:space="preserve"> &gt; 0.05) across all infusion times (26.32–26.67), indicating that overall brightness was not affected by the duration of infusion under the conditions used. In contrast, redness (a*), yellowness (b*), chroma (C) and hue angle (h°) showed significant decreases at infusion times ≥20 min (</w:t>
      </w:r>
      <w:r w:rsidR="00EC2A19">
        <w:rPr>
          <w:rFonts w:ascii="Arial" w:hAnsi="Arial" w:cs="Arial"/>
          <w:i/>
          <w:iCs/>
        </w:rPr>
        <w:t>P</w:t>
      </w:r>
      <w:r w:rsidRPr="00B47051">
        <w:rPr>
          <w:rFonts w:ascii="Arial" w:hAnsi="Arial" w:cs="Arial"/>
        </w:rPr>
        <w:t xml:space="preserve"> ≤ 0.05). The pH values were consistently acidic (2.21–2.23) and did not differ significantly between treatments (</w:t>
      </w:r>
      <w:proofErr w:type="gramStart"/>
      <w:r w:rsidR="00EC2A19">
        <w:rPr>
          <w:rFonts w:ascii="Arial" w:hAnsi="Arial" w:cs="Arial"/>
          <w:i/>
          <w:iCs/>
        </w:rPr>
        <w:t xml:space="preserve">P </w:t>
      </w:r>
      <w:r w:rsidRPr="00B47051">
        <w:rPr>
          <w:rFonts w:ascii="Arial" w:hAnsi="Arial" w:cs="Arial"/>
        </w:rPr>
        <w:t xml:space="preserve"> &gt;</w:t>
      </w:r>
      <w:proofErr w:type="gramEnd"/>
      <w:r w:rsidRPr="00B47051">
        <w:rPr>
          <w:rFonts w:ascii="Arial" w:hAnsi="Arial" w:cs="Arial"/>
        </w:rPr>
        <w:t xml:space="preserve"> 0.05).</w:t>
      </w:r>
    </w:p>
    <w:p w14:paraId="481294C8" w14:textId="77777777" w:rsidR="00B95070" w:rsidRPr="00B47051" w:rsidRDefault="00B95070" w:rsidP="00B95070">
      <w:pPr>
        <w:pStyle w:val="Body"/>
        <w:rPr>
          <w:rFonts w:ascii="Arial" w:hAnsi="Arial" w:cs="Arial"/>
        </w:rPr>
      </w:pPr>
      <w:r w:rsidRPr="00B47051">
        <w:rPr>
          <w:rFonts w:ascii="Arial" w:hAnsi="Arial" w:cs="Arial"/>
        </w:rPr>
        <w:t>The observed pattern showed a relatively stable L* but decreasing a*, b* and C with prolonged infusion. The results could be explained by progressive extraction of coloured compounds into the aqueous phase during the early part of infusion, and thermal or oxidative degradation of heat sensitive pigments (e.g. anthocyanins, flavonoids) when exposure time to hot water is extended. Several studies on roselle and other pigment rich infusions have reported similar behaviour, where the extraction and total phenolics may increase with longer brew time up to a point, after which pigment degradation and reduced chromaticity occur (Nguyen et al., 2020; Winiarska-</w:t>
      </w:r>
      <w:proofErr w:type="spellStart"/>
      <w:r w:rsidRPr="00B47051">
        <w:rPr>
          <w:rFonts w:ascii="Arial" w:hAnsi="Arial" w:cs="Arial"/>
        </w:rPr>
        <w:t>Mieczan</w:t>
      </w:r>
      <w:proofErr w:type="spellEnd"/>
      <w:r w:rsidRPr="00B47051">
        <w:rPr>
          <w:rFonts w:ascii="Arial" w:hAnsi="Arial" w:cs="Arial"/>
        </w:rPr>
        <w:t xml:space="preserve"> et al., 2024). Nguyen et al. (2020) found that for roselle, TPC increased with brewing time up to 30 min but antioxidant activity and anthocyanin content declined when brewing extended further. Likewise, Winiarska-</w:t>
      </w:r>
      <w:proofErr w:type="spellStart"/>
      <w:r w:rsidRPr="00B47051">
        <w:rPr>
          <w:rFonts w:ascii="Arial" w:hAnsi="Arial" w:cs="Arial"/>
        </w:rPr>
        <w:t>Mieczan</w:t>
      </w:r>
      <w:proofErr w:type="spellEnd"/>
      <w:r w:rsidRPr="00B47051">
        <w:rPr>
          <w:rFonts w:ascii="Arial" w:hAnsi="Arial" w:cs="Arial"/>
        </w:rPr>
        <w:t xml:space="preserve"> et al. (2024) reported that longer brewing can increase extraction of polyphenols initially, but excessive steeping time reduces colour intensity for some teas including hibiscus.</w:t>
      </w:r>
    </w:p>
    <w:p w14:paraId="0BE2A58F" w14:textId="77777777" w:rsidR="00B95070" w:rsidRPr="00B47051" w:rsidRDefault="00B95070" w:rsidP="00B95070">
      <w:pPr>
        <w:pStyle w:val="Body"/>
        <w:rPr>
          <w:rFonts w:ascii="Arial" w:hAnsi="Arial" w:cs="Arial"/>
        </w:rPr>
      </w:pPr>
      <w:r w:rsidRPr="00B47051">
        <w:rPr>
          <w:rFonts w:ascii="Arial" w:hAnsi="Arial" w:cs="Arial"/>
        </w:rPr>
        <w:t>Thermal instability of anthocyanins is well established, where the anthocyanin molecules are susceptible to hydrolysis and oxidative breakdown at elevated temperatures and prolonged heating, especially in the presence of oxygen or reactive compounds (</w:t>
      </w:r>
      <w:proofErr w:type="spellStart"/>
      <w:r w:rsidRPr="00B47051">
        <w:rPr>
          <w:rFonts w:ascii="Arial" w:hAnsi="Arial" w:cs="Arial"/>
        </w:rPr>
        <w:t>Enaru</w:t>
      </w:r>
      <w:proofErr w:type="spellEnd"/>
      <w:r w:rsidRPr="00B47051">
        <w:rPr>
          <w:rFonts w:ascii="Arial" w:hAnsi="Arial" w:cs="Arial"/>
        </w:rPr>
        <w:t xml:space="preserve"> et al., 2021; Tena et al., 2020). The significant drop in a* (redness) and b* (yellowness) in 20 - 30 min infusions likely reflect partial degradation or structural transformation of chromophores, reducing colour saturation (lower C) and shifting hue angle toward less vivid tones (lower h°). Oancea et al. (2021) and Chua et al. (2024) further note that pH strongly affects anthocyanin stability, where the flavylium cation forms (responsible for red colour) are most stable at low pH, while increases in temperature or prolonged exposure promote formation of colourless or brown degradation products. However, results in this study showed that the infusion pH remained very low (2.21–2.23), a range that favours flavylium stability; this suggests that the colour loss is more attributable to time degradation rather than pH-driven structural dissociation.</w:t>
      </w:r>
    </w:p>
    <w:p w14:paraId="10F61DD1" w14:textId="77777777" w:rsidR="00B95070" w:rsidRPr="00B47051" w:rsidRDefault="00B95070" w:rsidP="00B95070">
      <w:pPr>
        <w:pStyle w:val="Body"/>
        <w:rPr>
          <w:rFonts w:ascii="Arial" w:hAnsi="Arial" w:cs="Arial"/>
        </w:rPr>
      </w:pPr>
      <w:r w:rsidRPr="00B47051">
        <w:rPr>
          <w:rFonts w:ascii="Arial" w:hAnsi="Arial" w:cs="Arial"/>
        </w:rPr>
        <w:t>The practically unchanged L* indicates that brightness and the overall lightness of the solution were not sensitive markers of pigment loss in this matrix, whereas chroma and a* were more responsive to pigment degradation. This pattern matches findings in other infusion studies where chroma or a* decreased with long steeping times while L* remained relatively constant (Nguyen et al., 2020; Winiarska-</w:t>
      </w:r>
      <w:proofErr w:type="spellStart"/>
      <w:r w:rsidRPr="00B47051">
        <w:rPr>
          <w:rFonts w:ascii="Arial" w:hAnsi="Arial" w:cs="Arial"/>
        </w:rPr>
        <w:t>Mieczan</w:t>
      </w:r>
      <w:proofErr w:type="spellEnd"/>
      <w:r w:rsidRPr="00B47051">
        <w:rPr>
          <w:rFonts w:ascii="Arial" w:hAnsi="Arial" w:cs="Arial"/>
        </w:rPr>
        <w:t xml:space="preserve"> et al., 2024). From a practical perspective, an infusion time of 10 - 15 minutes appears optimal for preserving colour vividness (higher a*, b*, C and h°) while allowing adequate extraction, while longer steeping (≥20 minutes) yields diminishing returns and accelerates pigment breakdown.</w:t>
      </w:r>
    </w:p>
    <w:p w14:paraId="33FB4E15" w14:textId="77777777" w:rsidR="00845BE9" w:rsidRPr="00B47051" w:rsidRDefault="00845BE9" w:rsidP="00845BE9">
      <w:pPr>
        <w:pStyle w:val="NoSpacing"/>
        <w:spacing w:line="480" w:lineRule="auto"/>
        <w:rPr>
          <w:rFonts w:ascii="Arial" w:hAnsi="Arial" w:cs="Arial"/>
          <w:b/>
          <w:bCs/>
          <w:sz w:val="18"/>
          <w:szCs w:val="18"/>
          <w:lang w:val="en-MY"/>
        </w:rPr>
      </w:pPr>
      <w:r w:rsidRPr="00B47051">
        <w:rPr>
          <w:rFonts w:ascii="Arial" w:hAnsi="Arial" w:cs="Arial"/>
          <w:b/>
          <w:bCs/>
          <w:sz w:val="18"/>
          <w:szCs w:val="18"/>
          <w:lang w:val="en-MY"/>
        </w:rPr>
        <w:t xml:space="preserve">Table 1. </w:t>
      </w:r>
      <w:r w:rsidRPr="00B47051">
        <w:rPr>
          <w:rFonts w:ascii="Arial" w:hAnsi="Arial" w:cs="Arial"/>
          <w:sz w:val="18"/>
          <w:szCs w:val="18"/>
          <w:lang w:val="en-MY"/>
        </w:rPr>
        <w:t>Colour measurement and pH values</w:t>
      </w:r>
    </w:p>
    <w:tbl>
      <w:tblPr>
        <w:tblW w:w="4764" w:type="pct"/>
        <w:tblInd w:w="426" w:type="dxa"/>
        <w:tblLook w:val="04A0" w:firstRow="1" w:lastRow="0" w:firstColumn="1" w:lastColumn="0" w:noHBand="0" w:noVBand="1"/>
      </w:tblPr>
      <w:tblGrid>
        <w:gridCol w:w="925"/>
        <w:gridCol w:w="1216"/>
        <w:gridCol w:w="1116"/>
        <w:gridCol w:w="1116"/>
        <w:gridCol w:w="1116"/>
        <w:gridCol w:w="1216"/>
        <w:gridCol w:w="1116"/>
      </w:tblGrid>
      <w:tr w:rsidR="00845BE9" w:rsidRPr="00B47051" w14:paraId="1EBE0041" w14:textId="77777777" w:rsidTr="004C5E11">
        <w:trPr>
          <w:trHeight w:val="600"/>
        </w:trPr>
        <w:tc>
          <w:tcPr>
            <w:tcW w:w="823" w:type="pct"/>
            <w:tcBorders>
              <w:top w:val="single" w:sz="4" w:space="0" w:color="auto"/>
              <w:left w:val="nil"/>
              <w:bottom w:val="single" w:sz="4" w:space="0" w:color="auto"/>
              <w:right w:val="nil"/>
            </w:tcBorders>
            <w:shd w:val="clear" w:color="000000" w:fill="FFFFFF"/>
            <w:vAlign w:val="center"/>
            <w:hideMark/>
          </w:tcPr>
          <w:p w14:paraId="4AEF5671"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Infusion time (min)</w:t>
            </w:r>
          </w:p>
        </w:tc>
        <w:tc>
          <w:tcPr>
            <w:tcW w:w="823" w:type="pct"/>
            <w:tcBorders>
              <w:top w:val="single" w:sz="4" w:space="0" w:color="auto"/>
              <w:left w:val="nil"/>
              <w:bottom w:val="single" w:sz="4" w:space="0" w:color="auto"/>
              <w:right w:val="nil"/>
            </w:tcBorders>
            <w:shd w:val="clear" w:color="000000" w:fill="FFFFFF"/>
            <w:noWrap/>
            <w:vAlign w:val="center"/>
            <w:hideMark/>
          </w:tcPr>
          <w:p w14:paraId="5AD40C95"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L*</w:t>
            </w:r>
          </w:p>
        </w:tc>
        <w:tc>
          <w:tcPr>
            <w:tcW w:w="687" w:type="pct"/>
            <w:tcBorders>
              <w:top w:val="single" w:sz="4" w:space="0" w:color="auto"/>
              <w:left w:val="nil"/>
              <w:bottom w:val="single" w:sz="4" w:space="0" w:color="auto"/>
              <w:right w:val="nil"/>
            </w:tcBorders>
            <w:shd w:val="clear" w:color="000000" w:fill="FFFFFF"/>
            <w:noWrap/>
            <w:vAlign w:val="center"/>
            <w:hideMark/>
          </w:tcPr>
          <w:p w14:paraId="13F3A0AD"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a*</w:t>
            </w:r>
          </w:p>
        </w:tc>
        <w:tc>
          <w:tcPr>
            <w:tcW w:w="655" w:type="pct"/>
            <w:tcBorders>
              <w:top w:val="single" w:sz="4" w:space="0" w:color="auto"/>
              <w:left w:val="nil"/>
              <w:bottom w:val="single" w:sz="4" w:space="0" w:color="auto"/>
              <w:right w:val="nil"/>
            </w:tcBorders>
            <w:shd w:val="clear" w:color="000000" w:fill="FFFFFF"/>
            <w:noWrap/>
            <w:vAlign w:val="center"/>
            <w:hideMark/>
          </w:tcPr>
          <w:p w14:paraId="0467B995"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b*</w:t>
            </w:r>
          </w:p>
        </w:tc>
        <w:tc>
          <w:tcPr>
            <w:tcW w:w="655" w:type="pct"/>
            <w:tcBorders>
              <w:top w:val="single" w:sz="4" w:space="0" w:color="auto"/>
              <w:left w:val="nil"/>
              <w:bottom w:val="single" w:sz="4" w:space="0" w:color="auto"/>
              <w:right w:val="nil"/>
            </w:tcBorders>
            <w:shd w:val="clear" w:color="000000" w:fill="FFFFFF"/>
            <w:noWrap/>
            <w:vAlign w:val="center"/>
            <w:hideMark/>
          </w:tcPr>
          <w:p w14:paraId="1A474D77"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C</w:t>
            </w:r>
          </w:p>
        </w:tc>
        <w:tc>
          <w:tcPr>
            <w:tcW w:w="707" w:type="pct"/>
            <w:tcBorders>
              <w:top w:val="single" w:sz="4" w:space="0" w:color="auto"/>
              <w:left w:val="nil"/>
              <w:bottom w:val="single" w:sz="4" w:space="0" w:color="auto"/>
              <w:right w:val="nil"/>
            </w:tcBorders>
            <w:shd w:val="clear" w:color="000000" w:fill="FFFFFF"/>
            <w:noWrap/>
            <w:vAlign w:val="center"/>
            <w:hideMark/>
          </w:tcPr>
          <w:p w14:paraId="3C739AE2"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hᵒ</w:t>
            </w:r>
          </w:p>
        </w:tc>
        <w:tc>
          <w:tcPr>
            <w:tcW w:w="649" w:type="pct"/>
            <w:tcBorders>
              <w:top w:val="single" w:sz="4" w:space="0" w:color="auto"/>
              <w:left w:val="nil"/>
              <w:bottom w:val="single" w:sz="4" w:space="0" w:color="auto"/>
              <w:right w:val="nil"/>
            </w:tcBorders>
            <w:shd w:val="clear" w:color="000000" w:fill="FFFFFF"/>
            <w:noWrap/>
            <w:vAlign w:val="center"/>
            <w:hideMark/>
          </w:tcPr>
          <w:p w14:paraId="3A09A2F9"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pH</w:t>
            </w:r>
          </w:p>
        </w:tc>
      </w:tr>
      <w:tr w:rsidR="00845BE9" w:rsidRPr="00B47051" w14:paraId="6E65620B" w14:textId="77777777" w:rsidTr="004C5E11">
        <w:trPr>
          <w:trHeight w:val="300"/>
        </w:trPr>
        <w:tc>
          <w:tcPr>
            <w:tcW w:w="823" w:type="pct"/>
            <w:tcBorders>
              <w:top w:val="nil"/>
              <w:left w:val="nil"/>
              <w:bottom w:val="nil"/>
              <w:right w:val="nil"/>
            </w:tcBorders>
            <w:shd w:val="clear" w:color="000000" w:fill="FFFFFF"/>
            <w:noWrap/>
            <w:vAlign w:val="bottom"/>
            <w:hideMark/>
          </w:tcPr>
          <w:p w14:paraId="7A1C7043"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t>5</w:t>
            </w:r>
          </w:p>
        </w:tc>
        <w:tc>
          <w:tcPr>
            <w:tcW w:w="823" w:type="pct"/>
            <w:tcBorders>
              <w:top w:val="nil"/>
              <w:left w:val="nil"/>
              <w:bottom w:val="nil"/>
              <w:right w:val="nil"/>
            </w:tcBorders>
            <w:shd w:val="clear" w:color="000000" w:fill="FFFFFF"/>
            <w:noWrap/>
            <w:vAlign w:val="bottom"/>
            <w:hideMark/>
          </w:tcPr>
          <w:p w14:paraId="300BB274"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26.67±0.01</w:t>
            </w:r>
            <w:r w:rsidRPr="00B47051">
              <w:rPr>
                <w:rFonts w:ascii="Arial" w:hAnsi="Arial" w:cs="Arial"/>
                <w:color w:val="000000"/>
                <w:sz w:val="18"/>
                <w:szCs w:val="18"/>
                <w:vertAlign w:val="superscript"/>
                <w:lang w:eastAsia="en-MY"/>
              </w:rPr>
              <w:t>a</w:t>
            </w:r>
          </w:p>
        </w:tc>
        <w:tc>
          <w:tcPr>
            <w:tcW w:w="687" w:type="pct"/>
            <w:tcBorders>
              <w:top w:val="nil"/>
              <w:left w:val="nil"/>
              <w:bottom w:val="nil"/>
              <w:right w:val="nil"/>
            </w:tcBorders>
            <w:shd w:val="clear" w:color="000000" w:fill="FFFFFF"/>
            <w:noWrap/>
            <w:vAlign w:val="bottom"/>
            <w:hideMark/>
          </w:tcPr>
          <w:p w14:paraId="4BC9C636"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6.34±0.04</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16C5D6B1"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1.13±0.03</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3ECA0C4F"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6.44±0.04</w:t>
            </w:r>
            <w:r w:rsidRPr="00B47051">
              <w:rPr>
                <w:rFonts w:ascii="Arial" w:hAnsi="Arial" w:cs="Arial"/>
                <w:color w:val="000000"/>
                <w:sz w:val="18"/>
                <w:szCs w:val="18"/>
                <w:vertAlign w:val="superscript"/>
                <w:lang w:eastAsia="en-MY"/>
              </w:rPr>
              <w:t xml:space="preserve"> a</w:t>
            </w:r>
          </w:p>
        </w:tc>
        <w:tc>
          <w:tcPr>
            <w:tcW w:w="707" w:type="pct"/>
            <w:tcBorders>
              <w:top w:val="nil"/>
              <w:left w:val="nil"/>
              <w:bottom w:val="nil"/>
              <w:right w:val="nil"/>
            </w:tcBorders>
            <w:shd w:val="clear" w:color="000000" w:fill="FFFFFF"/>
            <w:noWrap/>
            <w:vAlign w:val="bottom"/>
            <w:hideMark/>
          </w:tcPr>
          <w:p w14:paraId="6846FB87"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10.12±0.34</w:t>
            </w:r>
            <w:r w:rsidRPr="00B47051">
              <w:rPr>
                <w:rFonts w:ascii="Arial" w:hAnsi="Arial" w:cs="Arial"/>
                <w:color w:val="000000"/>
                <w:sz w:val="18"/>
                <w:szCs w:val="18"/>
                <w:vertAlign w:val="superscript"/>
                <w:lang w:eastAsia="en-MY"/>
              </w:rPr>
              <w:t xml:space="preserve"> a</w:t>
            </w:r>
          </w:p>
        </w:tc>
        <w:tc>
          <w:tcPr>
            <w:tcW w:w="649" w:type="pct"/>
            <w:tcBorders>
              <w:top w:val="nil"/>
              <w:left w:val="nil"/>
              <w:bottom w:val="nil"/>
              <w:right w:val="nil"/>
            </w:tcBorders>
            <w:shd w:val="clear" w:color="000000" w:fill="FFFFFF"/>
            <w:noWrap/>
            <w:vAlign w:val="bottom"/>
            <w:hideMark/>
          </w:tcPr>
          <w:p w14:paraId="062C592A"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2.23±0.01</w:t>
            </w:r>
            <w:r w:rsidRPr="00B47051">
              <w:rPr>
                <w:rFonts w:ascii="Arial" w:hAnsi="Arial" w:cs="Arial"/>
                <w:color w:val="000000"/>
                <w:sz w:val="18"/>
                <w:szCs w:val="18"/>
                <w:vertAlign w:val="superscript"/>
                <w:lang w:eastAsia="en-MY"/>
              </w:rPr>
              <w:t xml:space="preserve"> a</w:t>
            </w:r>
          </w:p>
        </w:tc>
      </w:tr>
      <w:tr w:rsidR="00845BE9" w:rsidRPr="00B47051" w14:paraId="66779179" w14:textId="77777777" w:rsidTr="004C5E11">
        <w:trPr>
          <w:trHeight w:val="300"/>
        </w:trPr>
        <w:tc>
          <w:tcPr>
            <w:tcW w:w="823" w:type="pct"/>
            <w:tcBorders>
              <w:top w:val="nil"/>
              <w:left w:val="nil"/>
              <w:bottom w:val="nil"/>
              <w:right w:val="nil"/>
            </w:tcBorders>
            <w:shd w:val="clear" w:color="000000" w:fill="FFFFFF"/>
            <w:noWrap/>
            <w:vAlign w:val="bottom"/>
            <w:hideMark/>
          </w:tcPr>
          <w:p w14:paraId="426F2C45"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t>10</w:t>
            </w:r>
          </w:p>
        </w:tc>
        <w:tc>
          <w:tcPr>
            <w:tcW w:w="823" w:type="pct"/>
            <w:tcBorders>
              <w:top w:val="nil"/>
              <w:left w:val="nil"/>
              <w:bottom w:val="nil"/>
              <w:right w:val="nil"/>
            </w:tcBorders>
            <w:shd w:val="clear" w:color="000000" w:fill="FFFFFF"/>
            <w:noWrap/>
            <w:vAlign w:val="bottom"/>
            <w:hideMark/>
          </w:tcPr>
          <w:p w14:paraId="3E0218AD"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26.50±0.01</w:t>
            </w:r>
            <w:r w:rsidRPr="00B47051">
              <w:rPr>
                <w:rFonts w:ascii="Arial" w:hAnsi="Arial" w:cs="Arial"/>
                <w:color w:val="000000"/>
                <w:sz w:val="18"/>
                <w:szCs w:val="18"/>
                <w:vertAlign w:val="superscript"/>
                <w:lang w:eastAsia="en-MY"/>
              </w:rPr>
              <w:t xml:space="preserve"> a</w:t>
            </w:r>
          </w:p>
        </w:tc>
        <w:tc>
          <w:tcPr>
            <w:tcW w:w="687" w:type="pct"/>
            <w:tcBorders>
              <w:top w:val="nil"/>
              <w:left w:val="nil"/>
              <w:bottom w:val="nil"/>
              <w:right w:val="nil"/>
            </w:tcBorders>
            <w:shd w:val="clear" w:color="000000" w:fill="FFFFFF"/>
            <w:noWrap/>
            <w:vAlign w:val="bottom"/>
            <w:hideMark/>
          </w:tcPr>
          <w:p w14:paraId="717974DE"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5.66±0.02</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5B85688D"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0.89±0.01</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2808C576"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5.73±0.01</w:t>
            </w:r>
            <w:r w:rsidRPr="00B47051">
              <w:rPr>
                <w:rFonts w:ascii="Arial" w:hAnsi="Arial" w:cs="Arial"/>
                <w:color w:val="000000"/>
                <w:sz w:val="18"/>
                <w:szCs w:val="18"/>
                <w:vertAlign w:val="superscript"/>
                <w:lang w:eastAsia="en-MY"/>
              </w:rPr>
              <w:t xml:space="preserve"> a</w:t>
            </w:r>
          </w:p>
        </w:tc>
        <w:tc>
          <w:tcPr>
            <w:tcW w:w="707" w:type="pct"/>
            <w:tcBorders>
              <w:top w:val="nil"/>
              <w:left w:val="nil"/>
              <w:bottom w:val="nil"/>
              <w:right w:val="nil"/>
            </w:tcBorders>
            <w:shd w:val="clear" w:color="000000" w:fill="FFFFFF"/>
            <w:noWrap/>
            <w:vAlign w:val="bottom"/>
            <w:hideMark/>
          </w:tcPr>
          <w:p w14:paraId="738C0A58"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8.96±0.09</w:t>
            </w:r>
            <w:r w:rsidRPr="00B47051">
              <w:rPr>
                <w:rFonts w:ascii="Arial" w:hAnsi="Arial" w:cs="Arial"/>
                <w:color w:val="000000"/>
                <w:sz w:val="18"/>
                <w:szCs w:val="18"/>
                <w:vertAlign w:val="superscript"/>
                <w:lang w:eastAsia="en-MY"/>
              </w:rPr>
              <w:t xml:space="preserve"> a</w:t>
            </w:r>
          </w:p>
        </w:tc>
        <w:tc>
          <w:tcPr>
            <w:tcW w:w="649" w:type="pct"/>
            <w:tcBorders>
              <w:top w:val="nil"/>
              <w:left w:val="nil"/>
              <w:bottom w:val="nil"/>
              <w:right w:val="nil"/>
            </w:tcBorders>
            <w:shd w:val="clear" w:color="000000" w:fill="FFFFFF"/>
            <w:noWrap/>
            <w:vAlign w:val="bottom"/>
            <w:hideMark/>
          </w:tcPr>
          <w:p w14:paraId="5E75C0F0"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2.23±0.01</w:t>
            </w:r>
            <w:r w:rsidRPr="00B47051">
              <w:rPr>
                <w:rFonts w:ascii="Arial" w:hAnsi="Arial" w:cs="Arial"/>
                <w:color w:val="000000"/>
                <w:sz w:val="18"/>
                <w:szCs w:val="18"/>
                <w:vertAlign w:val="superscript"/>
                <w:lang w:eastAsia="en-MY"/>
              </w:rPr>
              <w:t xml:space="preserve"> a</w:t>
            </w:r>
          </w:p>
        </w:tc>
      </w:tr>
      <w:tr w:rsidR="00845BE9" w:rsidRPr="00B47051" w14:paraId="2578F35B" w14:textId="77777777" w:rsidTr="004C5E11">
        <w:trPr>
          <w:trHeight w:val="300"/>
        </w:trPr>
        <w:tc>
          <w:tcPr>
            <w:tcW w:w="823" w:type="pct"/>
            <w:tcBorders>
              <w:top w:val="nil"/>
              <w:left w:val="nil"/>
              <w:bottom w:val="nil"/>
              <w:right w:val="nil"/>
            </w:tcBorders>
            <w:shd w:val="clear" w:color="000000" w:fill="FFFFFF"/>
            <w:noWrap/>
            <w:vAlign w:val="bottom"/>
            <w:hideMark/>
          </w:tcPr>
          <w:p w14:paraId="1414CA71"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t>15</w:t>
            </w:r>
          </w:p>
        </w:tc>
        <w:tc>
          <w:tcPr>
            <w:tcW w:w="823" w:type="pct"/>
            <w:tcBorders>
              <w:top w:val="nil"/>
              <w:left w:val="nil"/>
              <w:bottom w:val="nil"/>
              <w:right w:val="nil"/>
            </w:tcBorders>
            <w:shd w:val="clear" w:color="000000" w:fill="FFFFFF"/>
            <w:noWrap/>
            <w:vAlign w:val="bottom"/>
            <w:hideMark/>
          </w:tcPr>
          <w:p w14:paraId="7CA711B6"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26.66±0.01</w:t>
            </w:r>
            <w:r w:rsidRPr="00B47051">
              <w:rPr>
                <w:rFonts w:ascii="Arial" w:hAnsi="Arial" w:cs="Arial"/>
                <w:color w:val="000000"/>
                <w:sz w:val="18"/>
                <w:szCs w:val="18"/>
                <w:vertAlign w:val="superscript"/>
                <w:lang w:eastAsia="en-MY"/>
              </w:rPr>
              <w:t xml:space="preserve"> a</w:t>
            </w:r>
          </w:p>
        </w:tc>
        <w:tc>
          <w:tcPr>
            <w:tcW w:w="687" w:type="pct"/>
            <w:tcBorders>
              <w:top w:val="nil"/>
              <w:left w:val="nil"/>
              <w:bottom w:val="nil"/>
              <w:right w:val="nil"/>
            </w:tcBorders>
            <w:shd w:val="clear" w:color="000000" w:fill="FFFFFF"/>
            <w:noWrap/>
            <w:vAlign w:val="bottom"/>
            <w:hideMark/>
          </w:tcPr>
          <w:p w14:paraId="305F69F4"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6.37±0.04</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577092C6"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1.11±0.01</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14BBADAB"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6.47±0.04</w:t>
            </w:r>
            <w:r w:rsidRPr="00B47051">
              <w:rPr>
                <w:rFonts w:ascii="Arial" w:hAnsi="Arial" w:cs="Arial"/>
                <w:color w:val="000000"/>
                <w:sz w:val="18"/>
                <w:szCs w:val="18"/>
                <w:vertAlign w:val="superscript"/>
                <w:lang w:eastAsia="en-MY"/>
              </w:rPr>
              <w:t xml:space="preserve"> a</w:t>
            </w:r>
          </w:p>
        </w:tc>
        <w:tc>
          <w:tcPr>
            <w:tcW w:w="707" w:type="pct"/>
            <w:tcBorders>
              <w:top w:val="nil"/>
              <w:left w:val="nil"/>
              <w:bottom w:val="nil"/>
              <w:right w:val="nil"/>
            </w:tcBorders>
            <w:shd w:val="clear" w:color="000000" w:fill="FFFFFF"/>
            <w:noWrap/>
            <w:vAlign w:val="bottom"/>
            <w:hideMark/>
          </w:tcPr>
          <w:p w14:paraId="7F0236A2"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9.84±0.16</w:t>
            </w:r>
            <w:r w:rsidRPr="00B47051">
              <w:rPr>
                <w:rFonts w:ascii="Arial" w:hAnsi="Arial" w:cs="Arial"/>
                <w:color w:val="000000"/>
                <w:sz w:val="18"/>
                <w:szCs w:val="18"/>
                <w:vertAlign w:val="superscript"/>
                <w:lang w:eastAsia="en-MY"/>
              </w:rPr>
              <w:t xml:space="preserve"> a</w:t>
            </w:r>
          </w:p>
        </w:tc>
        <w:tc>
          <w:tcPr>
            <w:tcW w:w="649" w:type="pct"/>
            <w:tcBorders>
              <w:top w:val="nil"/>
              <w:left w:val="nil"/>
              <w:bottom w:val="nil"/>
              <w:right w:val="nil"/>
            </w:tcBorders>
            <w:shd w:val="clear" w:color="000000" w:fill="FFFFFF"/>
            <w:noWrap/>
            <w:vAlign w:val="bottom"/>
            <w:hideMark/>
          </w:tcPr>
          <w:p w14:paraId="12F6E9ED"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2.22±0.01</w:t>
            </w:r>
            <w:r w:rsidRPr="00B47051">
              <w:rPr>
                <w:rFonts w:ascii="Arial" w:hAnsi="Arial" w:cs="Arial"/>
                <w:color w:val="000000"/>
                <w:sz w:val="18"/>
                <w:szCs w:val="18"/>
                <w:vertAlign w:val="superscript"/>
                <w:lang w:eastAsia="en-MY"/>
              </w:rPr>
              <w:t xml:space="preserve"> a</w:t>
            </w:r>
          </w:p>
        </w:tc>
      </w:tr>
      <w:tr w:rsidR="00845BE9" w:rsidRPr="00B47051" w14:paraId="63956769" w14:textId="77777777" w:rsidTr="004C5E11">
        <w:trPr>
          <w:trHeight w:val="300"/>
        </w:trPr>
        <w:tc>
          <w:tcPr>
            <w:tcW w:w="823" w:type="pct"/>
            <w:tcBorders>
              <w:top w:val="nil"/>
              <w:left w:val="nil"/>
              <w:bottom w:val="nil"/>
              <w:right w:val="nil"/>
            </w:tcBorders>
            <w:shd w:val="clear" w:color="000000" w:fill="FFFFFF"/>
            <w:noWrap/>
            <w:vAlign w:val="bottom"/>
            <w:hideMark/>
          </w:tcPr>
          <w:p w14:paraId="2C1C9DC3"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t>20</w:t>
            </w:r>
          </w:p>
        </w:tc>
        <w:tc>
          <w:tcPr>
            <w:tcW w:w="823" w:type="pct"/>
            <w:tcBorders>
              <w:top w:val="nil"/>
              <w:left w:val="nil"/>
              <w:bottom w:val="nil"/>
              <w:right w:val="nil"/>
            </w:tcBorders>
            <w:shd w:val="clear" w:color="000000" w:fill="FFFFFF"/>
            <w:noWrap/>
            <w:vAlign w:val="bottom"/>
            <w:hideMark/>
          </w:tcPr>
          <w:p w14:paraId="60DD020D"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26.36±0.01</w:t>
            </w:r>
            <w:r w:rsidRPr="00B47051">
              <w:rPr>
                <w:rFonts w:ascii="Arial" w:hAnsi="Arial" w:cs="Arial"/>
                <w:color w:val="000000"/>
                <w:sz w:val="18"/>
                <w:szCs w:val="18"/>
                <w:vertAlign w:val="superscript"/>
                <w:lang w:eastAsia="en-MY"/>
              </w:rPr>
              <w:t xml:space="preserve"> a</w:t>
            </w:r>
          </w:p>
        </w:tc>
        <w:tc>
          <w:tcPr>
            <w:tcW w:w="687" w:type="pct"/>
            <w:tcBorders>
              <w:top w:val="nil"/>
              <w:left w:val="nil"/>
              <w:bottom w:val="nil"/>
              <w:right w:val="nil"/>
            </w:tcBorders>
            <w:shd w:val="clear" w:color="000000" w:fill="FFFFFF"/>
            <w:noWrap/>
            <w:vAlign w:val="bottom"/>
            <w:hideMark/>
          </w:tcPr>
          <w:p w14:paraId="19A4A01D"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5.10±0.04</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nil"/>
              <w:right w:val="nil"/>
            </w:tcBorders>
            <w:shd w:val="clear" w:color="000000" w:fill="FFFFFF"/>
            <w:noWrap/>
            <w:vAlign w:val="bottom"/>
            <w:hideMark/>
          </w:tcPr>
          <w:p w14:paraId="5B9F47E2"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0.67±0.01</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nil"/>
              <w:right w:val="nil"/>
            </w:tcBorders>
            <w:shd w:val="clear" w:color="000000" w:fill="FFFFFF"/>
            <w:noWrap/>
            <w:vAlign w:val="bottom"/>
            <w:hideMark/>
          </w:tcPr>
          <w:p w14:paraId="089590A8"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5.15±0.04</w:t>
            </w:r>
            <w:r w:rsidRPr="00B47051">
              <w:rPr>
                <w:rFonts w:ascii="Arial" w:hAnsi="Arial" w:cs="Arial"/>
                <w:color w:val="000000"/>
                <w:sz w:val="18"/>
                <w:szCs w:val="18"/>
                <w:vertAlign w:val="superscript"/>
                <w:lang w:eastAsia="en-MY"/>
              </w:rPr>
              <w:t xml:space="preserve"> b</w:t>
            </w:r>
          </w:p>
        </w:tc>
        <w:tc>
          <w:tcPr>
            <w:tcW w:w="707" w:type="pct"/>
            <w:tcBorders>
              <w:top w:val="nil"/>
              <w:left w:val="nil"/>
              <w:bottom w:val="nil"/>
              <w:right w:val="nil"/>
            </w:tcBorders>
            <w:shd w:val="clear" w:color="000000" w:fill="FFFFFF"/>
            <w:noWrap/>
            <w:vAlign w:val="bottom"/>
            <w:hideMark/>
          </w:tcPr>
          <w:p w14:paraId="6CDB318E"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7.50±0.11</w:t>
            </w:r>
            <w:r w:rsidRPr="00B47051">
              <w:rPr>
                <w:rFonts w:ascii="Arial" w:hAnsi="Arial" w:cs="Arial"/>
                <w:color w:val="000000"/>
                <w:sz w:val="18"/>
                <w:szCs w:val="18"/>
                <w:vertAlign w:val="superscript"/>
                <w:lang w:eastAsia="en-MY"/>
              </w:rPr>
              <w:t xml:space="preserve"> b</w:t>
            </w:r>
          </w:p>
        </w:tc>
        <w:tc>
          <w:tcPr>
            <w:tcW w:w="649" w:type="pct"/>
            <w:tcBorders>
              <w:top w:val="nil"/>
              <w:left w:val="nil"/>
              <w:bottom w:val="nil"/>
              <w:right w:val="nil"/>
            </w:tcBorders>
            <w:shd w:val="clear" w:color="000000" w:fill="FFFFFF"/>
            <w:noWrap/>
            <w:vAlign w:val="bottom"/>
            <w:hideMark/>
          </w:tcPr>
          <w:p w14:paraId="3008FB17"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2.21±0.01</w:t>
            </w:r>
            <w:r w:rsidRPr="00B47051">
              <w:rPr>
                <w:rFonts w:ascii="Arial" w:hAnsi="Arial" w:cs="Arial"/>
                <w:color w:val="000000"/>
                <w:sz w:val="18"/>
                <w:szCs w:val="18"/>
                <w:vertAlign w:val="superscript"/>
                <w:lang w:eastAsia="en-MY"/>
              </w:rPr>
              <w:t xml:space="preserve"> a</w:t>
            </w:r>
          </w:p>
        </w:tc>
      </w:tr>
      <w:tr w:rsidR="00845BE9" w:rsidRPr="00B47051" w14:paraId="2841210B" w14:textId="77777777" w:rsidTr="004C5E11">
        <w:trPr>
          <w:trHeight w:val="300"/>
        </w:trPr>
        <w:tc>
          <w:tcPr>
            <w:tcW w:w="823" w:type="pct"/>
            <w:tcBorders>
              <w:top w:val="nil"/>
              <w:left w:val="nil"/>
              <w:bottom w:val="nil"/>
              <w:right w:val="nil"/>
            </w:tcBorders>
            <w:shd w:val="clear" w:color="000000" w:fill="FFFFFF"/>
            <w:noWrap/>
            <w:vAlign w:val="bottom"/>
            <w:hideMark/>
          </w:tcPr>
          <w:p w14:paraId="75AD20FA"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lastRenderedPageBreak/>
              <w:t>25</w:t>
            </w:r>
          </w:p>
        </w:tc>
        <w:tc>
          <w:tcPr>
            <w:tcW w:w="823" w:type="pct"/>
            <w:tcBorders>
              <w:top w:val="nil"/>
              <w:left w:val="nil"/>
              <w:bottom w:val="nil"/>
              <w:right w:val="nil"/>
            </w:tcBorders>
            <w:shd w:val="clear" w:color="000000" w:fill="FFFFFF"/>
            <w:noWrap/>
            <w:vAlign w:val="bottom"/>
            <w:hideMark/>
          </w:tcPr>
          <w:p w14:paraId="0DD6FE00"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26.36±0.02</w:t>
            </w:r>
            <w:r w:rsidRPr="00B47051">
              <w:rPr>
                <w:rFonts w:ascii="Arial" w:hAnsi="Arial" w:cs="Arial"/>
                <w:color w:val="000000"/>
                <w:sz w:val="18"/>
                <w:szCs w:val="18"/>
                <w:vertAlign w:val="superscript"/>
                <w:lang w:eastAsia="en-MY"/>
              </w:rPr>
              <w:t xml:space="preserve"> a</w:t>
            </w:r>
          </w:p>
        </w:tc>
        <w:tc>
          <w:tcPr>
            <w:tcW w:w="687" w:type="pct"/>
            <w:tcBorders>
              <w:top w:val="nil"/>
              <w:left w:val="nil"/>
              <w:bottom w:val="nil"/>
              <w:right w:val="nil"/>
            </w:tcBorders>
            <w:shd w:val="clear" w:color="000000" w:fill="FFFFFF"/>
            <w:noWrap/>
            <w:vAlign w:val="bottom"/>
            <w:hideMark/>
          </w:tcPr>
          <w:p w14:paraId="0BDAFE20"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5.10±0.04</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nil"/>
              <w:right w:val="nil"/>
            </w:tcBorders>
            <w:shd w:val="clear" w:color="000000" w:fill="FFFFFF"/>
            <w:noWrap/>
            <w:vAlign w:val="bottom"/>
            <w:hideMark/>
          </w:tcPr>
          <w:p w14:paraId="6B53C6F9"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0.67±0.01</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nil"/>
              <w:right w:val="nil"/>
            </w:tcBorders>
            <w:shd w:val="clear" w:color="000000" w:fill="FFFFFF"/>
            <w:noWrap/>
            <w:vAlign w:val="bottom"/>
            <w:hideMark/>
          </w:tcPr>
          <w:p w14:paraId="080524E3"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5.15±0.04</w:t>
            </w:r>
            <w:r w:rsidRPr="00B47051">
              <w:rPr>
                <w:rFonts w:ascii="Arial" w:hAnsi="Arial" w:cs="Arial"/>
                <w:color w:val="000000"/>
                <w:sz w:val="18"/>
                <w:szCs w:val="18"/>
                <w:vertAlign w:val="superscript"/>
                <w:lang w:eastAsia="en-MY"/>
              </w:rPr>
              <w:t xml:space="preserve"> b</w:t>
            </w:r>
          </w:p>
        </w:tc>
        <w:tc>
          <w:tcPr>
            <w:tcW w:w="707" w:type="pct"/>
            <w:tcBorders>
              <w:top w:val="nil"/>
              <w:left w:val="nil"/>
              <w:bottom w:val="nil"/>
              <w:right w:val="nil"/>
            </w:tcBorders>
            <w:shd w:val="clear" w:color="000000" w:fill="FFFFFF"/>
            <w:noWrap/>
            <w:vAlign w:val="bottom"/>
            <w:hideMark/>
          </w:tcPr>
          <w:p w14:paraId="4864D7A1"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7.50±0.11</w:t>
            </w:r>
            <w:r w:rsidRPr="00B47051">
              <w:rPr>
                <w:rFonts w:ascii="Arial" w:hAnsi="Arial" w:cs="Arial"/>
                <w:color w:val="000000"/>
                <w:sz w:val="18"/>
                <w:szCs w:val="18"/>
                <w:vertAlign w:val="superscript"/>
                <w:lang w:eastAsia="en-MY"/>
              </w:rPr>
              <w:t xml:space="preserve"> b</w:t>
            </w:r>
          </w:p>
        </w:tc>
        <w:tc>
          <w:tcPr>
            <w:tcW w:w="649" w:type="pct"/>
            <w:tcBorders>
              <w:top w:val="nil"/>
              <w:left w:val="nil"/>
              <w:bottom w:val="nil"/>
              <w:right w:val="nil"/>
            </w:tcBorders>
            <w:shd w:val="clear" w:color="000000" w:fill="FFFFFF"/>
            <w:noWrap/>
            <w:vAlign w:val="bottom"/>
            <w:hideMark/>
          </w:tcPr>
          <w:p w14:paraId="5FB11A0C"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2.21±0.00</w:t>
            </w:r>
            <w:r w:rsidRPr="00B47051">
              <w:rPr>
                <w:rFonts w:ascii="Arial" w:hAnsi="Arial" w:cs="Arial"/>
                <w:color w:val="000000"/>
                <w:sz w:val="18"/>
                <w:szCs w:val="18"/>
                <w:vertAlign w:val="superscript"/>
                <w:lang w:eastAsia="en-MY"/>
              </w:rPr>
              <w:t xml:space="preserve"> a</w:t>
            </w:r>
          </w:p>
        </w:tc>
      </w:tr>
      <w:tr w:rsidR="00845BE9" w:rsidRPr="00B47051" w14:paraId="7CF2F0CA" w14:textId="77777777" w:rsidTr="004C5E11">
        <w:trPr>
          <w:trHeight w:val="300"/>
        </w:trPr>
        <w:tc>
          <w:tcPr>
            <w:tcW w:w="823" w:type="pct"/>
            <w:tcBorders>
              <w:top w:val="nil"/>
              <w:left w:val="nil"/>
              <w:bottom w:val="single" w:sz="4" w:space="0" w:color="auto"/>
              <w:right w:val="nil"/>
            </w:tcBorders>
            <w:shd w:val="clear" w:color="000000" w:fill="FFFFFF"/>
            <w:noWrap/>
            <w:vAlign w:val="bottom"/>
            <w:hideMark/>
          </w:tcPr>
          <w:p w14:paraId="659D5EF0"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t>30</w:t>
            </w:r>
          </w:p>
        </w:tc>
        <w:tc>
          <w:tcPr>
            <w:tcW w:w="823" w:type="pct"/>
            <w:tcBorders>
              <w:top w:val="nil"/>
              <w:left w:val="nil"/>
              <w:bottom w:val="single" w:sz="4" w:space="0" w:color="auto"/>
              <w:right w:val="nil"/>
            </w:tcBorders>
            <w:shd w:val="clear" w:color="000000" w:fill="FFFFFF"/>
            <w:noWrap/>
            <w:vAlign w:val="bottom"/>
            <w:hideMark/>
          </w:tcPr>
          <w:p w14:paraId="61500303"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26.32±0.01</w:t>
            </w:r>
            <w:r w:rsidRPr="00B47051">
              <w:rPr>
                <w:rFonts w:ascii="Arial" w:hAnsi="Arial" w:cs="Arial"/>
                <w:color w:val="000000"/>
                <w:sz w:val="18"/>
                <w:szCs w:val="18"/>
                <w:vertAlign w:val="superscript"/>
                <w:lang w:eastAsia="en-MY"/>
              </w:rPr>
              <w:t xml:space="preserve"> a</w:t>
            </w:r>
          </w:p>
        </w:tc>
        <w:tc>
          <w:tcPr>
            <w:tcW w:w="687" w:type="pct"/>
            <w:tcBorders>
              <w:top w:val="nil"/>
              <w:left w:val="nil"/>
              <w:bottom w:val="single" w:sz="4" w:space="0" w:color="auto"/>
              <w:right w:val="nil"/>
            </w:tcBorders>
            <w:shd w:val="clear" w:color="000000" w:fill="FFFFFF"/>
            <w:noWrap/>
            <w:vAlign w:val="bottom"/>
            <w:hideMark/>
          </w:tcPr>
          <w:p w14:paraId="55908486"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5.06±0.02</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single" w:sz="4" w:space="0" w:color="auto"/>
              <w:right w:val="nil"/>
            </w:tcBorders>
            <w:shd w:val="clear" w:color="000000" w:fill="FFFFFF"/>
            <w:noWrap/>
            <w:vAlign w:val="bottom"/>
            <w:hideMark/>
          </w:tcPr>
          <w:p w14:paraId="2438DAE1"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0.65±0.02</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single" w:sz="4" w:space="0" w:color="auto"/>
              <w:right w:val="nil"/>
            </w:tcBorders>
            <w:shd w:val="clear" w:color="000000" w:fill="FFFFFF"/>
            <w:noWrap/>
            <w:vAlign w:val="bottom"/>
            <w:hideMark/>
          </w:tcPr>
          <w:p w14:paraId="3431A72E"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5.11±0.01</w:t>
            </w:r>
            <w:r w:rsidRPr="00B47051">
              <w:rPr>
                <w:rFonts w:ascii="Arial" w:hAnsi="Arial" w:cs="Arial"/>
                <w:color w:val="000000"/>
                <w:sz w:val="18"/>
                <w:szCs w:val="18"/>
                <w:vertAlign w:val="superscript"/>
                <w:lang w:eastAsia="en-MY"/>
              </w:rPr>
              <w:t xml:space="preserve"> b</w:t>
            </w:r>
          </w:p>
        </w:tc>
        <w:tc>
          <w:tcPr>
            <w:tcW w:w="707" w:type="pct"/>
            <w:tcBorders>
              <w:top w:val="nil"/>
              <w:left w:val="nil"/>
              <w:bottom w:val="single" w:sz="4" w:space="0" w:color="auto"/>
              <w:right w:val="nil"/>
            </w:tcBorders>
            <w:shd w:val="clear" w:color="000000" w:fill="FFFFFF"/>
            <w:noWrap/>
            <w:vAlign w:val="bottom"/>
            <w:hideMark/>
          </w:tcPr>
          <w:p w14:paraId="6FE76773"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7.29±0.25</w:t>
            </w:r>
            <w:r w:rsidRPr="00B47051">
              <w:rPr>
                <w:rFonts w:ascii="Arial" w:hAnsi="Arial" w:cs="Arial"/>
                <w:color w:val="000000"/>
                <w:sz w:val="18"/>
                <w:szCs w:val="18"/>
                <w:vertAlign w:val="superscript"/>
                <w:lang w:eastAsia="en-MY"/>
              </w:rPr>
              <w:t xml:space="preserve"> b</w:t>
            </w:r>
          </w:p>
        </w:tc>
        <w:tc>
          <w:tcPr>
            <w:tcW w:w="649" w:type="pct"/>
            <w:tcBorders>
              <w:top w:val="nil"/>
              <w:left w:val="nil"/>
              <w:bottom w:val="single" w:sz="4" w:space="0" w:color="auto"/>
              <w:right w:val="nil"/>
            </w:tcBorders>
            <w:shd w:val="clear" w:color="000000" w:fill="FFFFFF"/>
            <w:noWrap/>
            <w:vAlign w:val="bottom"/>
            <w:hideMark/>
          </w:tcPr>
          <w:p w14:paraId="1B789B85"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2.21±0.01</w:t>
            </w:r>
            <w:r w:rsidRPr="00B47051">
              <w:rPr>
                <w:rFonts w:ascii="Arial" w:hAnsi="Arial" w:cs="Arial"/>
                <w:color w:val="000000"/>
                <w:sz w:val="18"/>
                <w:szCs w:val="18"/>
                <w:vertAlign w:val="superscript"/>
                <w:lang w:eastAsia="en-MY"/>
              </w:rPr>
              <w:t xml:space="preserve"> a</w:t>
            </w:r>
          </w:p>
        </w:tc>
      </w:tr>
    </w:tbl>
    <w:p w14:paraId="4967AC32" w14:textId="0F0C6D6C" w:rsidR="00845BE9" w:rsidRPr="00B47051" w:rsidRDefault="00845BE9" w:rsidP="00B95070">
      <w:pPr>
        <w:pStyle w:val="Body"/>
        <w:rPr>
          <w:rFonts w:ascii="Arial" w:hAnsi="Arial" w:cs="Arial"/>
          <w:b/>
          <w:bCs/>
          <w:sz w:val="22"/>
          <w:szCs w:val="22"/>
        </w:rPr>
      </w:pPr>
      <w:r w:rsidRPr="00B47051">
        <w:rPr>
          <w:rFonts w:ascii="Arial" w:hAnsi="Arial" w:cs="Arial"/>
          <w:i/>
          <w:iCs/>
          <w:sz w:val="18"/>
          <w:szCs w:val="18"/>
        </w:rPr>
        <w:t>*Note for all data: Means that do not share a letter are significantly different. Tukey 95. Simultaneous Confidence Intervals. Individual confidence level = 95%</w:t>
      </w:r>
    </w:p>
    <w:p w14:paraId="6A2B59C6" w14:textId="587CDE44" w:rsidR="00B95070" w:rsidRPr="00B47051" w:rsidRDefault="00B95070" w:rsidP="00B95070">
      <w:pPr>
        <w:pStyle w:val="Body"/>
        <w:rPr>
          <w:rFonts w:ascii="Arial" w:hAnsi="Arial" w:cs="Arial"/>
          <w:b/>
          <w:bCs/>
          <w:sz w:val="22"/>
          <w:szCs w:val="22"/>
        </w:rPr>
      </w:pPr>
      <w:r w:rsidRPr="00B47051">
        <w:rPr>
          <w:rFonts w:ascii="Arial" w:hAnsi="Arial" w:cs="Arial"/>
          <w:b/>
          <w:bCs/>
          <w:sz w:val="22"/>
          <w:szCs w:val="22"/>
        </w:rPr>
        <w:t>3.2 Effect on Antioxidant Properties</w:t>
      </w:r>
    </w:p>
    <w:p w14:paraId="2A875E8D" w14:textId="77777777" w:rsidR="00B95070" w:rsidRPr="00B47051" w:rsidRDefault="00B95070" w:rsidP="00B95070">
      <w:pPr>
        <w:pStyle w:val="Body"/>
        <w:rPr>
          <w:rFonts w:ascii="Arial" w:hAnsi="Arial" w:cs="Arial"/>
        </w:rPr>
      </w:pPr>
      <w:r w:rsidRPr="00B47051">
        <w:rPr>
          <w:rFonts w:ascii="Arial" w:hAnsi="Arial" w:cs="Arial"/>
        </w:rPr>
        <w:t>The total anthocyanin content (TAC) of the infusion samples prepared at different infusion times (5 to 30 minutes) is shown in Figure 1. The TAC ranged from 15.00 ± 0.25 mg/100 ml to 18.69 ± 0.04 mg/100 ml, with a significant increase (p &lt; 0.05) observed at 20 minutes and above. The highest TAC was recorded at 30 minutes (18.69 ± 0.04 mg/100 ml), while the lowest was observed at 15 minutes (15.00 ± 0.25 mg/100 mL).</w:t>
      </w:r>
    </w:p>
    <w:p w14:paraId="264314C6" w14:textId="2FEEB802" w:rsidR="00B95070" w:rsidRPr="00B47051" w:rsidRDefault="00B95070" w:rsidP="00B95070">
      <w:pPr>
        <w:pStyle w:val="Body"/>
        <w:rPr>
          <w:rFonts w:ascii="Arial" w:hAnsi="Arial" w:cs="Arial"/>
        </w:rPr>
      </w:pPr>
      <w:r w:rsidRPr="00B47051">
        <w:rPr>
          <w:rFonts w:ascii="Arial" w:hAnsi="Arial" w:cs="Arial"/>
        </w:rPr>
        <w:t>This trend indicates that prolonged infusion time enhances the extraction of anthocyanins, particularly after 20 minutes, as the solvent (hot water) sufficiently penetrates the plant matrix and facilitates diffusion of anthocyanins from the tissues into the solution. A similar pattern was reported by Wang et al. (2014) and Lee et al. (2011), who found that longer steeping times increased anthocyanin concentration in herbal and fruit infusions up to an optimal point before degradation occurs. However, at shorter times (5 - 15 minutes), the TAC values remained statistically lower (</w:t>
      </w:r>
      <w:r w:rsidR="00BC1E1F">
        <w:rPr>
          <w:rFonts w:ascii="Arial" w:hAnsi="Arial" w:cs="Arial"/>
          <w:i/>
          <w:iCs/>
        </w:rPr>
        <w:t>P</w:t>
      </w:r>
      <w:r w:rsidRPr="00B47051">
        <w:rPr>
          <w:rFonts w:ascii="Arial" w:hAnsi="Arial" w:cs="Arial"/>
        </w:rPr>
        <w:t xml:space="preserve"> ≤ 0.05), suggesting incomplete extraction of anthocyanins due to insufficient time for solubilization. Thermal diffusion is a key factor in the release of anthocyanins, and increasing infusion time allows more bound pigments to be liberated from the cell wall matrix (Castañeda-Ovando et al., 2009). Despite being heat sensitive, anthocyanins in this study remained stable up to 30 minutes, likely due to the acidic pH (~2.2), which helps stabilize the flavylium cation form of anthocyanins (Jackman </w:t>
      </w:r>
      <w:r w:rsidR="00BC1E1F">
        <w:rPr>
          <w:rFonts w:ascii="Arial" w:hAnsi="Arial" w:cs="Arial"/>
        </w:rPr>
        <w:t>&amp;</w:t>
      </w:r>
      <w:r w:rsidRPr="00B47051">
        <w:rPr>
          <w:rFonts w:ascii="Arial" w:hAnsi="Arial" w:cs="Arial"/>
        </w:rPr>
        <w:t xml:space="preserve"> Smith, 1996). According to </w:t>
      </w:r>
      <w:proofErr w:type="spellStart"/>
      <w:r w:rsidRPr="00B47051">
        <w:rPr>
          <w:rFonts w:ascii="Arial" w:hAnsi="Arial" w:cs="Arial"/>
        </w:rPr>
        <w:t>Sadilova</w:t>
      </w:r>
      <w:proofErr w:type="spellEnd"/>
      <w:r w:rsidRPr="00B47051">
        <w:rPr>
          <w:rFonts w:ascii="Arial" w:hAnsi="Arial" w:cs="Arial"/>
        </w:rPr>
        <w:t xml:space="preserve"> et al. (2007), anthocyanin stability is greater in low pH environments, as degradation and colour loss are minimized. </w:t>
      </w:r>
    </w:p>
    <w:p w14:paraId="685DB642" w14:textId="38775EFF" w:rsidR="00845BE9" w:rsidRPr="00B47051" w:rsidRDefault="00845BE9" w:rsidP="00845BE9">
      <w:pPr>
        <w:pStyle w:val="NoSpacing"/>
        <w:rPr>
          <w:rFonts w:ascii="Arial" w:hAnsi="Arial" w:cs="Arial"/>
          <w:lang w:val="en-MY"/>
        </w:rPr>
      </w:pPr>
      <w:r w:rsidRPr="00B47051">
        <w:rPr>
          <w:noProof/>
          <w:lang w:val="en-MY"/>
        </w:rPr>
        <w:drawing>
          <wp:inline distT="0" distB="0" distL="0" distR="0" wp14:anchorId="5684307B" wp14:editId="39CFA292">
            <wp:extent cx="5212080" cy="3255030"/>
            <wp:effectExtent l="0" t="0" r="7620" b="2540"/>
            <wp:docPr id="1270782485" name="Chart 1">
              <a:extLst xmlns:a="http://schemas.openxmlformats.org/drawingml/2006/main">
                <a:ext uri="{FF2B5EF4-FFF2-40B4-BE49-F238E27FC236}">
                  <a16:creationId xmlns:a16="http://schemas.microsoft.com/office/drawing/2014/main" id="{73A8CEB4-0AC7-4CA5-929A-BE6259961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EF9773" w14:textId="50B31857" w:rsidR="00BF1F21" w:rsidRPr="00B47051" w:rsidRDefault="00BF1F21" w:rsidP="00BC1E1F">
      <w:pPr>
        <w:pStyle w:val="NoSpacing"/>
        <w:jc w:val="center"/>
        <w:rPr>
          <w:rFonts w:ascii="Arial" w:hAnsi="Arial" w:cs="Arial"/>
          <w:b/>
          <w:bCs/>
          <w:lang w:val="en-MY"/>
        </w:rPr>
      </w:pPr>
      <w:r w:rsidRPr="00B47051">
        <w:rPr>
          <w:rFonts w:ascii="Arial" w:hAnsi="Arial" w:cs="Arial"/>
          <w:b/>
          <w:bCs/>
          <w:lang w:val="en-MY"/>
        </w:rPr>
        <w:t>Fig 1. Total anthocyanin content</w:t>
      </w:r>
    </w:p>
    <w:p w14:paraId="437645C2" w14:textId="380E701B" w:rsidR="00845BE9" w:rsidRPr="00B47051" w:rsidRDefault="00845BE9" w:rsidP="00845BE9">
      <w:pPr>
        <w:pStyle w:val="NoSpacing"/>
        <w:rPr>
          <w:rFonts w:ascii="Arial" w:hAnsi="Arial" w:cs="Arial"/>
          <w:i/>
          <w:iCs/>
          <w:sz w:val="18"/>
          <w:szCs w:val="18"/>
          <w:lang w:val="en-MY"/>
        </w:rPr>
      </w:pPr>
      <w:r w:rsidRPr="00B47051">
        <w:rPr>
          <w:rFonts w:ascii="Arial" w:hAnsi="Arial" w:cs="Arial"/>
          <w:i/>
          <w:iCs/>
          <w:sz w:val="18"/>
          <w:szCs w:val="18"/>
          <w:lang w:val="en-MY"/>
        </w:rPr>
        <w:t>*Note for all data: Means that do not share a letter are significantly different. Tukey 95% Simultaneous Confidence Intervals. Individual confidence level = 95%</w:t>
      </w:r>
    </w:p>
    <w:p w14:paraId="7680C9B1" w14:textId="265F15AB" w:rsidR="00B95070" w:rsidRPr="00B47051" w:rsidRDefault="00B95070" w:rsidP="00B95070">
      <w:pPr>
        <w:pStyle w:val="Body"/>
        <w:rPr>
          <w:rFonts w:ascii="Arial" w:hAnsi="Arial" w:cs="Arial"/>
        </w:rPr>
      </w:pPr>
      <w:r w:rsidRPr="00B47051">
        <w:rPr>
          <w:rFonts w:ascii="Arial" w:hAnsi="Arial" w:cs="Arial"/>
        </w:rPr>
        <w:lastRenderedPageBreak/>
        <w:t>The observed increase is consistent with roselle infusions, where Nguyen et al. (2020) found maximum anthocyanin extraction after 20 - 30 minutes of steeping at 90 - 95°C. Similarly, Kong et al. (2003) reported that anthocyanin extraction efficiency depends on temperature, time, and solvent pH, with prolonged extraction improving yield up to an optimal duration. However, excessively long or high temperature extractions beyond the optimal range can lead to anthocyanin degradation due to hydrolysis and polymerization (Wrolstad, 2006). In this study, no significant decline was observed up to 30 minutes, indicating that 30 minutes is an effective and stable infusion time for maximizing anthocyanin content in acidic beverages.</w:t>
      </w:r>
    </w:p>
    <w:p w14:paraId="4A68A41E" w14:textId="77777777" w:rsidR="00B95070" w:rsidRPr="00B47051" w:rsidRDefault="00B95070" w:rsidP="00B95070">
      <w:pPr>
        <w:pStyle w:val="Body"/>
        <w:rPr>
          <w:rFonts w:ascii="Arial" w:hAnsi="Arial" w:cs="Arial"/>
        </w:rPr>
      </w:pPr>
      <w:r w:rsidRPr="00B47051">
        <w:rPr>
          <w:rFonts w:ascii="Arial" w:hAnsi="Arial" w:cs="Arial"/>
        </w:rPr>
        <w:t>Table 2 shows the effect of infusion time (5 and 20 minutes) on total phenolic content (TPC), total flavonoid content (TFC), and antioxidant capacity of the infusion, as measured by FRAP, TEAC, and DPPH assays. The TPC increased significantly (p ≤ 0.05) from 20.49±0.13 mg GAE/100 ml at 5 minutes to 35.19±0.48 mg GAE/100 ml at 20 minutes. Similarly, antioxidant activities measured by FRAP, TEAC, and DPPH inhibition increased significantly (p ≤ 0.05) with longer infusion time. The FRAP value increased from 109.18±1.20 mg TE/100 ml to 136.55±4.26 mg TE/100 ml, TEAC from 61.14±0.75 to 84.58±0.19 mg TE/100 ml, and DPPH inhibition from 56.39% to 65.22%. In contrast, TFC showed no significant change (p &gt; 0.05) between 5 minutes (3.22±0.01 mg QE/100 ml) and 20 minutes (3.49±0.06 mg QE/100 ml).</w:t>
      </w:r>
    </w:p>
    <w:p w14:paraId="2B6CDE0E" w14:textId="7F68B432" w:rsidR="00B95070" w:rsidRPr="00B47051" w:rsidRDefault="00B95070" w:rsidP="00B95070">
      <w:pPr>
        <w:pStyle w:val="Body"/>
        <w:rPr>
          <w:rFonts w:ascii="Arial" w:hAnsi="Arial" w:cs="Arial"/>
        </w:rPr>
      </w:pPr>
      <w:r w:rsidRPr="00B47051">
        <w:rPr>
          <w:rFonts w:ascii="Arial" w:hAnsi="Arial" w:cs="Arial"/>
        </w:rPr>
        <w:t>The increase in TPC and antioxidant capacity with longer infusion time is likely due to enhanced extraction of polyphenolic compounds from plant matrices as exposure to hot water increases. Heat promotes cell wall disruption and diffusion of water soluble phenolics into the solvent (</w:t>
      </w:r>
      <w:proofErr w:type="spellStart"/>
      <w:r w:rsidRPr="00B47051">
        <w:rPr>
          <w:rFonts w:ascii="Arial" w:hAnsi="Arial" w:cs="Arial"/>
        </w:rPr>
        <w:t>Horžić</w:t>
      </w:r>
      <w:proofErr w:type="spellEnd"/>
      <w:r w:rsidRPr="00B47051">
        <w:rPr>
          <w:rFonts w:ascii="Arial" w:hAnsi="Arial" w:cs="Arial"/>
        </w:rPr>
        <w:t xml:space="preserve"> et al., 2009; Alara et al., 2021). Similar findings were reported by Nguyen et al. (2020) in roselle infusion, where TPC and antioxidant activities (measured by DPPH and FRAP) increased significantly (</w:t>
      </w:r>
      <w:r w:rsidR="00BC1E1F">
        <w:rPr>
          <w:rFonts w:ascii="Arial" w:hAnsi="Arial" w:cs="Arial"/>
          <w:i/>
          <w:iCs/>
        </w:rPr>
        <w:t>P</w:t>
      </w:r>
      <w:r w:rsidRPr="00B47051">
        <w:rPr>
          <w:rFonts w:ascii="Arial" w:hAnsi="Arial" w:cs="Arial"/>
        </w:rPr>
        <w:t xml:space="preserve"> ≤ 0.05) with brewing time up to 30 minutes, attributed to improved solubilization of bound phenolics. The findings are consistent with previous studies showing that phenolic compounds are key contributors to antioxidant capacity in herbal infusions (</w:t>
      </w:r>
      <w:proofErr w:type="spellStart"/>
      <w:r w:rsidRPr="00B47051">
        <w:rPr>
          <w:rFonts w:ascii="Arial" w:hAnsi="Arial" w:cs="Arial"/>
        </w:rPr>
        <w:t>Thaipong</w:t>
      </w:r>
      <w:proofErr w:type="spellEnd"/>
      <w:r w:rsidRPr="00B47051">
        <w:rPr>
          <w:rFonts w:ascii="Arial" w:hAnsi="Arial" w:cs="Arial"/>
        </w:rPr>
        <w:t xml:space="preserve"> et al., 2006; Oboh et al., 2012). Phenolic compounds, particularly hydroxycinnamic acids, anthocyanins, and </w:t>
      </w:r>
      <w:proofErr w:type="spellStart"/>
      <w:r w:rsidRPr="00B47051">
        <w:rPr>
          <w:rFonts w:ascii="Arial" w:hAnsi="Arial" w:cs="Arial"/>
        </w:rPr>
        <w:t>flavonols</w:t>
      </w:r>
      <w:proofErr w:type="spellEnd"/>
      <w:r w:rsidRPr="00B47051">
        <w:rPr>
          <w:rFonts w:ascii="Arial" w:hAnsi="Arial" w:cs="Arial"/>
        </w:rPr>
        <w:t xml:space="preserve">, can donate hydrogen atoms or electrons to neutralize free radicals, thereby enhancing antioxidant capacity (Shahidi </w:t>
      </w:r>
      <w:r w:rsidR="00BC1E1F">
        <w:rPr>
          <w:rFonts w:ascii="Arial" w:hAnsi="Arial" w:cs="Arial"/>
        </w:rPr>
        <w:t>&amp;</w:t>
      </w:r>
      <w:r w:rsidRPr="00B47051">
        <w:rPr>
          <w:rFonts w:ascii="Arial" w:hAnsi="Arial" w:cs="Arial"/>
        </w:rPr>
        <w:t xml:space="preserve"> </w:t>
      </w:r>
      <w:proofErr w:type="spellStart"/>
      <w:r w:rsidRPr="00B47051">
        <w:rPr>
          <w:rFonts w:ascii="Arial" w:hAnsi="Arial" w:cs="Arial"/>
        </w:rPr>
        <w:t>Ambigaipalan</w:t>
      </w:r>
      <w:proofErr w:type="spellEnd"/>
      <w:r w:rsidRPr="00B47051">
        <w:rPr>
          <w:rFonts w:ascii="Arial" w:hAnsi="Arial" w:cs="Arial"/>
        </w:rPr>
        <w:t>, 2015). The strong increase in FRAP and TEAC values with time suggests higher ferric reducing and radical scavenging capacities at 20 minutes, consistent with elevated phenolic levels.</w:t>
      </w:r>
    </w:p>
    <w:p w14:paraId="0A8F79AF" w14:textId="77777777" w:rsidR="00B95070" w:rsidRPr="00B47051" w:rsidRDefault="00B95070" w:rsidP="00B95070">
      <w:pPr>
        <w:pStyle w:val="Body"/>
        <w:rPr>
          <w:rFonts w:ascii="Arial" w:hAnsi="Arial" w:cs="Arial"/>
        </w:rPr>
      </w:pPr>
      <w:r w:rsidRPr="00B47051">
        <w:rPr>
          <w:rFonts w:ascii="Arial" w:hAnsi="Arial" w:cs="Arial"/>
        </w:rPr>
        <w:t xml:space="preserve">Conversely, TFC did not increase significantly with infusion time, implying that most flavonoids were readily extractable within the first few minutes of infusion, or that some heat labile flavonoids may undergo degradation with prolonged exposure (Kosińska et al., 2014; </w:t>
      </w:r>
      <w:proofErr w:type="spellStart"/>
      <w:r w:rsidRPr="00B47051">
        <w:rPr>
          <w:rFonts w:ascii="Arial" w:hAnsi="Arial" w:cs="Arial"/>
        </w:rPr>
        <w:t>Enaru</w:t>
      </w:r>
      <w:proofErr w:type="spellEnd"/>
      <w:r w:rsidRPr="00B47051">
        <w:rPr>
          <w:rFonts w:ascii="Arial" w:hAnsi="Arial" w:cs="Arial"/>
        </w:rPr>
        <w:t xml:space="preserve"> et al., 2021). </w:t>
      </w:r>
      <w:proofErr w:type="spellStart"/>
      <w:r w:rsidRPr="00B47051">
        <w:rPr>
          <w:rFonts w:ascii="Arial" w:hAnsi="Arial" w:cs="Arial"/>
        </w:rPr>
        <w:t>Enaru</w:t>
      </w:r>
      <w:proofErr w:type="spellEnd"/>
      <w:r w:rsidRPr="00B47051">
        <w:rPr>
          <w:rFonts w:ascii="Arial" w:hAnsi="Arial" w:cs="Arial"/>
        </w:rPr>
        <w:t xml:space="preserve"> et al. (2021) noted that certain flavonoids, such as catechins, are sensitive to oxidation at elevated temperatures, which may counterbalance further extraction gains after initial steeping.</w:t>
      </w:r>
    </w:p>
    <w:p w14:paraId="3D3BE3B3" w14:textId="77777777" w:rsidR="00B95070" w:rsidRPr="00B47051" w:rsidRDefault="00B95070" w:rsidP="00B95070">
      <w:pPr>
        <w:pStyle w:val="Body"/>
        <w:rPr>
          <w:rFonts w:ascii="Arial" w:hAnsi="Arial" w:cs="Arial"/>
        </w:rPr>
      </w:pPr>
      <w:r w:rsidRPr="00B47051">
        <w:rPr>
          <w:rFonts w:ascii="Arial" w:hAnsi="Arial" w:cs="Arial"/>
        </w:rPr>
        <w:t xml:space="preserve">Overall, the results demonstrate that 20 minutes of infusion optimizes extraction of phenolic compounds and maximizes antioxidant activity, without significantly affecting </w:t>
      </w:r>
      <w:proofErr w:type="spellStart"/>
      <w:r w:rsidRPr="00B47051">
        <w:rPr>
          <w:rFonts w:ascii="Arial" w:hAnsi="Arial" w:cs="Arial"/>
        </w:rPr>
        <w:t>pH.</w:t>
      </w:r>
      <w:proofErr w:type="spellEnd"/>
      <w:r w:rsidRPr="00B47051">
        <w:rPr>
          <w:rFonts w:ascii="Arial" w:hAnsi="Arial" w:cs="Arial"/>
        </w:rPr>
        <w:t xml:space="preserve"> The consistent trend across FRAP, TEAC, and DPPH assays supports the robustness of the antioxidant improvement. However, excessively long infusion beyond 20 minutes might risk degradation of thermolabile compounds and colour loss, as discussed earlier and by Oancea et al. (2021). These findings reinforce the importance of optimizing brewing time to balance extraction efficiency and thermal stability of bioactive compounds, especially in functional infusions targeting antioxidant benefits. </w:t>
      </w:r>
    </w:p>
    <w:p w14:paraId="17945361" w14:textId="77777777" w:rsidR="00BF1F21" w:rsidRPr="00B47051" w:rsidRDefault="00BF1F21" w:rsidP="00BF1F21">
      <w:pPr>
        <w:pStyle w:val="NoSpacing"/>
        <w:jc w:val="center"/>
        <w:rPr>
          <w:rFonts w:ascii="Arial" w:hAnsi="Arial" w:cs="Arial"/>
          <w:b/>
          <w:bCs/>
          <w:lang w:val="en-MY"/>
        </w:rPr>
      </w:pPr>
      <w:r w:rsidRPr="00B47051">
        <w:rPr>
          <w:rFonts w:ascii="Arial" w:hAnsi="Arial" w:cs="Arial"/>
          <w:b/>
          <w:bCs/>
          <w:lang w:val="en-MY"/>
        </w:rPr>
        <w:t>Table 2. Total phenolic content (TPC), total flavonoid content (TFC), ferric reducing antioxidant power (FRAP) and free radical scavenging activity (DPPH)</w:t>
      </w:r>
    </w:p>
    <w:tbl>
      <w:tblPr>
        <w:tblW w:w="5000" w:type="pct"/>
        <w:tblLook w:val="04A0" w:firstRow="1" w:lastRow="0" w:firstColumn="1" w:lastColumn="0" w:noHBand="0" w:noVBand="1"/>
      </w:tblPr>
      <w:tblGrid>
        <w:gridCol w:w="1192"/>
        <w:gridCol w:w="1404"/>
        <w:gridCol w:w="1404"/>
        <w:gridCol w:w="1404"/>
        <w:gridCol w:w="1404"/>
        <w:gridCol w:w="1400"/>
      </w:tblGrid>
      <w:tr w:rsidR="00BF1F21" w:rsidRPr="00B47051" w14:paraId="470BC32C" w14:textId="77777777" w:rsidTr="004C5E11">
        <w:trPr>
          <w:trHeight w:val="732"/>
        </w:trPr>
        <w:tc>
          <w:tcPr>
            <w:tcW w:w="727" w:type="pct"/>
            <w:tcBorders>
              <w:top w:val="single" w:sz="4" w:space="0" w:color="auto"/>
              <w:left w:val="nil"/>
              <w:bottom w:val="single" w:sz="4" w:space="0" w:color="auto"/>
              <w:right w:val="nil"/>
            </w:tcBorders>
            <w:shd w:val="clear" w:color="000000" w:fill="FFFFFF"/>
            <w:vAlign w:val="center"/>
            <w:hideMark/>
          </w:tcPr>
          <w:p w14:paraId="304F6A89"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lastRenderedPageBreak/>
              <w:t>Infusion time (min)</w:t>
            </w:r>
          </w:p>
        </w:tc>
        <w:tc>
          <w:tcPr>
            <w:tcW w:w="855" w:type="pct"/>
            <w:tcBorders>
              <w:top w:val="single" w:sz="4" w:space="0" w:color="auto"/>
              <w:left w:val="nil"/>
              <w:bottom w:val="single" w:sz="4" w:space="0" w:color="auto"/>
              <w:right w:val="nil"/>
            </w:tcBorders>
            <w:shd w:val="clear" w:color="000000" w:fill="FFFFFF"/>
            <w:vAlign w:val="center"/>
            <w:hideMark/>
          </w:tcPr>
          <w:p w14:paraId="4102D55A"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 xml:space="preserve">TPC </w:t>
            </w:r>
          </w:p>
          <w:p w14:paraId="71B6C962" w14:textId="089115ED"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(mg GAE/ 100 mL)</w:t>
            </w:r>
          </w:p>
        </w:tc>
        <w:tc>
          <w:tcPr>
            <w:tcW w:w="855" w:type="pct"/>
            <w:tcBorders>
              <w:top w:val="single" w:sz="4" w:space="0" w:color="auto"/>
              <w:left w:val="nil"/>
              <w:bottom w:val="single" w:sz="4" w:space="0" w:color="auto"/>
              <w:right w:val="nil"/>
            </w:tcBorders>
            <w:shd w:val="clear" w:color="000000" w:fill="FFFFFF"/>
            <w:vAlign w:val="center"/>
            <w:hideMark/>
          </w:tcPr>
          <w:p w14:paraId="2BC5D5C1"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 xml:space="preserve">TFC </w:t>
            </w:r>
          </w:p>
          <w:p w14:paraId="0C58969C" w14:textId="69CE55FE"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(mg QE/ 100mL)</w:t>
            </w:r>
          </w:p>
        </w:tc>
        <w:tc>
          <w:tcPr>
            <w:tcW w:w="855" w:type="pct"/>
            <w:tcBorders>
              <w:top w:val="single" w:sz="4" w:space="0" w:color="auto"/>
              <w:left w:val="nil"/>
              <w:bottom w:val="single" w:sz="4" w:space="0" w:color="auto"/>
              <w:right w:val="nil"/>
            </w:tcBorders>
            <w:shd w:val="clear" w:color="000000" w:fill="FFFFFF"/>
            <w:vAlign w:val="center"/>
            <w:hideMark/>
          </w:tcPr>
          <w:p w14:paraId="50F457F5"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 xml:space="preserve">FRAP </w:t>
            </w:r>
          </w:p>
          <w:p w14:paraId="3D96A8A0" w14:textId="01C72C1F"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(mg TE/ 100 mL)</w:t>
            </w:r>
          </w:p>
        </w:tc>
        <w:tc>
          <w:tcPr>
            <w:tcW w:w="855" w:type="pct"/>
            <w:tcBorders>
              <w:top w:val="single" w:sz="4" w:space="0" w:color="auto"/>
              <w:left w:val="nil"/>
              <w:bottom w:val="single" w:sz="4" w:space="0" w:color="auto"/>
              <w:right w:val="nil"/>
            </w:tcBorders>
            <w:shd w:val="clear" w:color="000000" w:fill="FFFFFF"/>
            <w:vAlign w:val="center"/>
            <w:hideMark/>
          </w:tcPr>
          <w:p w14:paraId="12317C50"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 xml:space="preserve">TEAC </w:t>
            </w:r>
          </w:p>
          <w:p w14:paraId="57CFE6AD" w14:textId="38117E92"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(mg TE/ 100mL)</w:t>
            </w:r>
          </w:p>
        </w:tc>
        <w:tc>
          <w:tcPr>
            <w:tcW w:w="855" w:type="pct"/>
            <w:tcBorders>
              <w:top w:val="single" w:sz="4" w:space="0" w:color="auto"/>
              <w:left w:val="nil"/>
              <w:bottom w:val="single" w:sz="4" w:space="0" w:color="auto"/>
              <w:right w:val="nil"/>
            </w:tcBorders>
            <w:shd w:val="clear" w:color="000000" w:fill="FFFFFF"/>
            <w:vAlign w:val="center"/>
            <w:hideMark/>
          </w:tcPr>
          <w:p w14:paraId="5DD171E8"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 xml:space="preserve">DPPH % inhibition </w:t>
            </w:r>
          </w:p>
        </w:tc>
      </w:tr>
      <w:tr w:rsidR="00BF1F21" w:rsidRPr="00B47051" w14:paraId="6CDE7C22" w14:textId="77777777" w:rsidTr="004C5E11">
        <w:trPr>
          <w:trHeight w:val="402"/>
        </w:trPr>
        <w:tc>
          <w:tcPr>
            <w:tcW w:w="727" w:type="pct"/>
            <w:tcBorders>
              <w:top w:val="nil"/>
              <w:left w:val="nil"/>
              <w:bottom w:val="nil"/>
              <w:right w:val="nil"/>
            </w:tcBorders>
            <w:shd w:val="clear" w:color="000000" w:fill="FFFFFF"/>
            <w:noWrap/>
            <w:vAlign w:val="center"/>
            <w:hideMark/>
          </w:tcPr>
          <w:p w14:paraId="294B4C6C"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5</w:t>
            </w:r>
          </w:p>
        </w:tc>
        <w:tc>
          <w:tcPr>
            <w:tcW w:w="855" w:type="pct"/>
            <w:tcBorders>
              <w:top w:val="nil"/>
              <w:left w:val="nil"/>
              <w:bottom w:val="nil"/>
              <w:right w:val="nil"/>
            </w:tcBorders>
            <w:shd w:val="clear" w:color="000000" w:fill="FFFFFF"/>
            <w:noWrap/>
            <w:vAlign w:val="center"/>
            <w:hideMark/>
          </w:tcPr>
          <w:p w14:paraId="48BF921E"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20.49±0.13</w:t>
            </w:r>
            <w:r w:rsidRPr="00B47051">
              <w:rPr>
                <w:rFonts w:ascii="Arial" w:hAnsi="Arial" w:cs="Arial"/>
                <w:color w:val="000000"/>
                <w:vertAlign w:val="superscript"/>
                <w:lang w:eastAsia="en-MY"/>
              </w:rPr>
              <w:t>b</w:t>
            </w:r>
          </w:p>
        </w:tc>
        <w:tc>
          <w:tcPr>
            <w:tcW w:w="855" w:type="pct"/>
            <w:tcBorders>
              <w:top w:val="nil"/>
              <w:left w:val="nil"/>
              <w:bottom w:val="nil"/>
              <w:right w:val="nil"/>
            </w:tcBorders>
            <w:shd w:val="clear" w:color="000000" w:fill="FFFFFF"/>
            <w:noWrap/>
            <w:vAlign w:val="center"/>
            <w:hideMark/>
          </w:tcPr>
          <w:p w14:paraId="78555C4A"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3.22±0.01</w:t>
            </w:r>
            <w:r w:rsidRPr="00B47051">
              <w:rPr>
                <w:rFonts w:ascii="Arial" w:hAnsi="Arial" w:cs="Arial"/>
                <w:color w:val="000000"/>
                <w:vertAlign w:val="superscript"/>
                <w:lang w:eastAsia="en-MY"/>
              </w:rPr>
              <w:t>a</w:t>
            </w:r>
          </w:p>
        </w:tc>
        <w:tc>
          <w:tcPr>
            <w:tcW w:w="855" w:type="pct"/>
            <w:tcBorders>
              <w:top w:val="nil"/>
              <w:left w:val="nil"/>
              <w:bottom w:val="nil"/>
              <w:right w:val="nil"/>
            </w:tcBorders>
            <w:shd w:val="clear" w:color="000000" w:fill="FFFFFF"/>
            <w:noWrap/>
            <w:vAlign w:val="center"/>
            <w:hideMark/>
          </w:tcPr>
          <w:p w14:paraId="7DC28973"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109.18±1.20</w:t>
            </w:r>
            <w:r w:rsidRPr="00B47051">
              <w:rPr>
                <w:rFonts w:ascii="Arial" w:hAnsi="Arial" w:cs="Arial"/>
                <w:color w:val="000000"/>
                <w:vertAlign w:val="superscript"/>
                <w:lang w:eastAsia="en-MY"/>
              </w:rPr>
              <w:t>b</w:t>
            </w:r>
          </w:p>
        </w:tc>
        <w:tc>
          <w:tcPr>
            <w:tcW w:w="855" w:type="pct"/>
            <w:tcBorders>
              <w:top w:val="nil"/>
              <w:left w:val="nil"/>
              <w:bottom w:val="nil"/>
              <w:right w:val="nil"/>
            </w:tcBorders>
            <w:shd w:val="clear" w:color="000000" w:fill="FFFFFF"/>
            <w:noWrap/>
            <w:vAlign w:val="center"/>
            <w:hideMark/>
          </w:tcPr>
          <w:p w14:paraId="2B2009AC"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61.14±0.75</w:t>
            </w:r>
            <w:r w:rsidRPr="00B47051">
              <w:rPr>
                <w:rFonts w:ascii="Arial" w:hAnsi="Arial" w:cs="Arial"/>
                <w:color w:val="000000"/>
                <w:vertAlign w:val="superscript"/>
                <w:lang w:eastAsia="en-MY"/>
              </w:rPr>
              <w:t>b</w:t>
            </w:r>
          </w:p>
        </w:tc>
        <w:tc>
          <w:tcPr>
            <w:tcW w:w="855" w:type="pct"/>
            <w:tcBorders>
              <w:top w:val="nil"/>
              <w:left w:val="nil"/>
              <w:bottom w:val="nil"/>
              <w:right w:val="nil"/>
            </w:tcBorders>
            <w:shd w:val="clear" w:color="000000" w:fill="FFFFFF"/>
            <w:noWrap/>
            <w:vAlign w:val="center"/>
            <w:hideMark/>
          </w:tcPr>
          <w:p w14:paraId="071FDFEF"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56.39±0.20</w:t>
            </w:r>
            <w:r w:rsidRPr="00B47051">
              <w:rPr>
                <w:rFonts w:ascii="Arial" w:hAnsi="Arial" w:cs="Arial"/>
                <w:color w:val="000000"/>
                <w:vertAlign w:val="superscript"/>
                <w:lang w:eastAsia="en-MY"/>
              </w:rPr>
              <w:t>b</w:t>
            </w:r>
          </w:p>
        </w:tc>
      </w:tr>
      <w:tr w:rsidR="00BF1F21" w:rsidRPr="00B47051" w14:paraId="07B8A72A" w14:textId="77777777" w:rsidTr="004C5E11">
        <w:trPr>
          <w:trHeight w:val="402"/>
        </w:trPr>
        <w:tc>
          <w:tcPr>
            <w:tcW w:w="727" w:type="pct"/>
            <w:tcBorders>
              <w:top w:val="nil"/>
              <w:left w:val="nil"/>
              <w:bottom w:val="single" w:sz="4" w:space="0" w:color="auto"/>
              <w:right w:val="nil"/>
            </w:tcBorders>
            <w:shd w:val="clear" w:color="000000" w:fill="FFFFFF"/>
            <w:noWrap/>
            <w:vAlign w:val="center"/>
            <w:hideMark/>
          </w:tcPr>
          <w:p w14:paraId="2E4D19EA"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20</w:t>
            </w:r>
          </w:p>
        </w:tc>
        <w:tc>
          <w:tcPr>
            <w:tcW w:w="855" w:type="pct"/>
            <w:tcBorders>
              <w:top w:val="nil"/>
              <w:left w:val="nil"/>
              <w:bottom w:val="single" w:sz="4" w:space="0" w:color="auto"/>
              <w:right w:val="nil"/>
            </w:tcBorders>
            <w:shd w:val="clear" w:color="000000" w:fill="FFFFFF"/>
            <w:noWrap/>
            <w:vAlign w:val="center"/>
            <w:hideMark/>
          </w:tcPr>
          <w:p w14:paraId="5EE7FFB2"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35.19±0.48</w:t>
            </w:r>
            <w:r w:rsidRPr="00B47051">
              <w:rPr>
                <w:rFonts w:ascii="Arial" w:hAnsi="Arial" w:cs="Arial"/>
                <w:color w:val="000000"/>
                <w:vertAlign w:val="superscript"/>
                <w:lang w:eastAsia="en-MY"/>
              </w:rPr>
              <w:t>a</w:t>
            </w:r>
          </w:p>
        </w:tc>
        <w:tc>
          <w:tcPr>
            <w:tcW w:w="855" w:type="pct"/>
            <w:tcBorders>
              <w:top w:val="nil"/>
              <w:left w:val="nil"/>
              <w:bottom w:val="single" w:sz="4" w:space="0" w:color="auto"/>
              <w:right w:val="nil"/>
            </w:tcBorders>
            <w:shd w:val="clear" w:color="000000" w:fill="FFFFFF"/>
            <w:noWrap/>
            <w:vAlign w:val="center"/>
            <w:hideMark/>
          </w:tcPr>
          <w:p w14:paraId="054939C4"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3.49±0.06</w:t>
            </w:r>
            <w:r w:rsidRPr="00B47051">
              <w:rPr>
                <w:rFonts w:ascii="Arial" w:hAnsi="Arial" w:cs="Arial"/>
                <w:color w:val="000000"/>
                <w:vertAlign w:val="superscript"/>
                <w:lang w:eastAsia="en-MY"/>
              </w:rPr>
              <w:t>a</w:t>
            </w:r>
          </w:p>
        </w:tc>
        <w:tc>
          <w:tcPr>
            <w:tcW w:w="855" w:type="pct"/>
            <w:tcBorders>
              <w:top w:val="nil"/>
              <w:left w:val="nil"/>
              <w:bottom w:val="single" w:sz="4" w:space="0" w:color="auto"/>
              <w:right w:val="nil"/>
            </w:tcBorders>
            <w:shd w:val="clear" w:color="000000" w:fill="FFFFFF"/>
            <w:noWrap/>
            <w:vAlign w:val="center"/>
            <w:hideMark/>
          </w:tcPr>
          <w:p w14:paraId="6539CF78"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136.55±4.26</w:t>
            </w:r>
            <w:r w:rsidRPr="00B47051">
              <w:rPr>
                <w:rFonts w:ascii="Arial" w:hAnsi="Arial" w:cs="Arial"/>
                <w:color w:val="000000"/>
                <w:vertAlign w:val="superscript"/>
                <w:lang w:eastAsia="en-MY"/>
              </w:rPr>
              <w:t>a</w:t>
            </w:r>
          </w:p>
        </w:tc>
        <w:tc>
          <w:tcPr>
            <w:tcW w:w="855" w:type="pct"/>
            <w:tcBorders>
              <w:top w:val="nil"/>
              <w:left w:val="nil"/>
              <w:bottom w:val="single" w:sz="4" w:space="0" w:color="auto"/>
              <w:right w:val="nil"/>
            </w:tcBorders>
            <w:shd w:val="clear" w:color="000000" w:fill="FFFFFF"/>
            <w:noWrap/>
            <w:vAlign w:val="center"/>
            <w:hideMark/>
          </w:tcPr>
          <w:p w14:paraId="75D9226E"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84.58±0.19</w:t>
            </w:r>
            <w:r w:rsidRPr="00B47051">
              <w:rPr>
                <w:rFonts w:ascii="Arial" w:hAnsi="Arial" w:cs="Arial"/>
                <w:color w:val="000000"/>
                <w:vertAlign w:val="superscript"/>
                <w:lang w:eastAsia="en-MY"/>
              </w:rPr>
              <w:t>a</w:t>
            </w:r>
          </w:p>
        </w:tc>
        <w:tc>
          <w:tcPr>
            <w:tcW w:w="855" w:type="pct"/>
            <w:tcBorders>
              <w:top w:val="nil"/>
              <w:left w:val="nil"/>
              <w:bottom w:val="single" w:sz="4" w:space="0" w:color="auto"/>
              <w:right w:val="nil"/>
            </w:tcBorders>
            <w:shd w:val="clear" w:color="000000" w:fill="FFFFFF"/>
            <w:noWrap/>
            <w:vAlign w:val="center"/>
            <w:hideMark/>
          </w:tcPr>
          <w:p w14:paraId="260ACF1F"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65.22±3.50</w:t>
            </w:r>
            <w:r w:rsidRPr="00B47051">
              <w:rPr>
                <w:rFonts w:ascii="Arial" w:hAnsi="Arial" w:cs="Arial"/>
                <w:color w:val="000000"/>
                <w:vertAlign w:val="superscript"/>
                <w:lang w:eastAsia="en-MY"/>
              </w:rPr>
              <w:t>a</w:t>
            </w:r>
          </w:p>
        </w:tc>
      </w:tr>
    </w:tbl>
    <w:p w14:paraId="51F1B3FF" w14:textId="77777777" w:rsidR="00BF1F21" w:rsidRPr="00B47051" w:rsidRDefault="00BF1F21" w:rsidP="00BF1F21">
      <w:pPr>
        <w:pStyle w:val="NoSpacing"/>
        <w:rPr>
          <w:rFonts w:ascii="Arial" w:hAnsi="Arial" w:cs="Arial"/>
          <w:i/>
          <w:iCs/>
          <w:sz w:val="18"/>
          <w:szCs w:val="18"/>
          <w:lang w:val="en-MY"/>
        </w:rPr>
      </w:pPr>
      <w:r w:rsidRPr="00B47051">
        <w:rPr>
          <w:rFonts w:ascii="Arial" w:hAnsi="Arial" w:cs="Arial"/>
          <w:i/>
          <w:iCs/>
          <w:sz w:val="18"/>
          <w:szCs w:val="18"/>
          <w:lang w:val="en-MY"/>
        </w:rPr>
        <w:t>*Note for all data: Means that do not share a letter are significantly different. Tukey 95% Simultaneous Confidence Intervals. Individual confidence level = 95%</w:t>
      </w:r>
    </w:p>
    <w:p w14:paraId="7981D4EA" w14:textId="77777777" w:rsidR="00BF1F21" w:rsidRPr="00B47051" w:rsidRDefault="00BF1F21" w:rsidP="00B95070">
      <w:pPr>
        <w:pStyle w:val="Body"/>
        <w:rPr>
          <w:rFonts w:ascii="Arial" w:hAnsi="Arial" w:cs="Arial"/>
          <w:sz w:val="18"/>
          <w:szCs w:val="18"/>
        </w:rPr>
      </w:pPr>
    </w:p>
    <w:p w14:paraId="027CBBAE" w14:textId="6E0026BB" w:rsidR="00B95070" w:rsidRPr="00B47051" w:rsidRDefault="00B95070" w:rsidP="00B95070">
      <w:pPr>
        <w:pStyle w:val="Body"/>
        <w:rPr>
          <w:rFonts w:ascii="Arial" w:hAnsi="Arial" w:cs="Arial"/>
          <w:b/>
          <w:bCs/>
          <w:u w:val="single"/>
        </w:rPr>
      </w:pPr>
      <w:r w:rsidRPr="00B47051">
        <w:rPr>
          <w:rFonts w:ascii="Arial" w:hAnsi="Arial" w:cs="Arial"/>
          <w:b/>
          <w:bCs/>
          <w:u w:val="single"/>
        </w:rPr>
        <w:t>3.3 Effect on α-Amylase and α -Glucosidase Enzyme Inhibition Activity</w:t>
      </w:r>
    </w:p>
    <w:p w14:paraId="0638B252" w14:textId="4ABAF4FD" w:rsidR="00B95070" w:rsidRPr="00B47051" w:rsidRDefault="00B95070" w:rsidP="00B95070">
      <w:pPr>
        <w:pStyle w:val="Body"/>
        <w:rPr>
          <w:rFonts w:ascii="Arial" w:hAnsi="Arial" w:cs="Arial"/>
        </w:rPr>
      </w:pPr>
      <w:r w:rsidRPr="00B47051">
        <w:rPr>
          <w:rFonts w:ascii="Arial" w:hAnsi="Arial" w:cs="Arial"/>
        </w:rPr>
        <w:t>The inhibitory effects of roselle–garcinia tisane on carbohydrate-hydrolysing enzymes, α-amylase and α-glucosidase, are presented in Table 3. A lower IC</w:t>
      </w:r>
      <w:r w:rsidRPr="00B47051">
        <w:rPr>
          <w:rFonts w:ascii="Cambria Math" w:hAnsi="Cambria Math" w:cs="Cambria Math"/>
        </w:rPr>
        <w:t>₅₀</w:t>
      </w:r>
      <w:r w:rsidRPr="00B47051">
        <w:rPr>
          <w:rFonts w:ascii="Arial" w:hAnsi="Arial" w:cs="Arial"/>
        </w:rPr>
        <w:t xml:space="preserve"> value indicates stronger inhibition. The results demonstrated that the 20-minute infusion exhibited significantly (</w:t>
      </w:r>
      <w:r w:rsidR="00BC1E1F">
        <w:rPr>
          <w:rFonts w:ascii="Arial" w:hAnsi="Arial" w:cs="Arial"/>
          <w:i/>
          <w:iCs/>
        </w:rPr>
        <w:t>P</w:t>
      </w:r>
      <w:r w:rsidRPr="00B47051">
        <w:rPr>
          <w:rFonts w:ascii="Arial" w:hAnsi="Arial" w:cs="Arial"/>
        </w:rPr>
        <w:t xml:space="preserve"> ≤ 0.05) higher inhibitory activity compared to the 5-minute infusion for both enzymes. The α-amylase IC</w:t>
      </w:r>
      <w:r w:rsidRPr="00B47051">
        <w:rPr>
          <w:rFonts w:ascii="Cambria Math" w:hAnsi="Cambria Math" w:cs="Cambria Math"/>
        </w:rPr>
        <w:t>₅₀</w:t>
      </w:r>
      <w:r w:rsidRPr="00B47051">
        <w:rPr>
          <w:rFonts w:ascii="Arial" w:hAnsi="Arial" w:cs="Arial"/>
        </w:rPr>
        <w:t xml:space="preserve"> decreased from 19.423 mg/ml at 5 minutes to 7.431 mg/ml at 20 minutes, while α-glucosidase IC</w:t>
      </w:r>
      <w:r w:rsidRPr="00B47051">
        <w:rPr>
          <w:rFonts w:ascii="Cambria Math" w:hAnsi="Cambria Math" w:cs="Cambria Math"/>
        </w:rPr>
        <w:t>₅₀</w:t>
      </w:r>
      <w:r w:rsidRPr="00B47051">
        <w:rPr>
          <w:rFonts w:ascii="Arial" w:hAnsi="Arial" w:cs="Arial"/>
        </w:rPr>
        <w:t xml:space="preserve"> decreased from 41.941 mg/ml to 23.612 mg/ml. Although both were less potent than the standard drug acarbose (IC</w:t>
      </w:r>
      <w:r w:rsidRPr="00B47051">
        <w:rPr>
          <w:rFonts w:ascii="Cambria Math" w:hAnsi="Cambria Math" w:cs="Cambria Math"/>
        </w:rPr>
        <w:t>₅₀</w:t>
      </w:r>
      <w:r w:rsidRPr="00B47051">
        <w:rPr>
          <w:rFonts w:ascii="Arial" w:hAnsi="Arial" w:cs="Arial"/>
        </w:rPr>
        <w:t xml:space="preserve"> = 0.475 mg/ml for α-amylase and 0.0006 mg/ml for α-glucosidase), the tisane exhibited promising natural inhibitory activity.</w:t>
      </w:r>
    </w:p>
    <w:p w14:paraId="481D986E" w14:textId="77777777" w:rsidR="00B95070" w:rsidRPr="00B47051" w:rsidRDefault="00B95070" w:rsidP="00B95070">
      <w:pPr>
        <w:pStyle w:val="Body"/>
        <w:rPr>
          <w:rFonts w:ascii="Arial" w:hAnsi="Arial" w:cs="Arial"/>
        </w:rPr>
      </w:pPr>
      <w:r w:rsidRPr="00B47051">
        <w:rPr>
          <w:rFonts w:ascii="Arial" w:hAnsi="Arial" w:cs="Arial"/>
        </w:rPr>
        <w:t>The improved inhibitory effects at longer infusion times may be attributed to enhanced extraction of polyphenolic compounds, particularly anthocyanins, hydroxycitric acid, and flavonoids, known for their enzyme inhibitory potential (</w:t>
      </w:r>
      <w:proofErr w:type="spellStart"/>
      <w:r w:rsidRPr="00B47051">
        <w:rPr>
          <w:rFonts w:ascii="Arial" w:hAnsi="Arial" w:cs="Arial"/>
        </w:rPr>
        <w:t>Tadera</w:t>
      </w:r>
      <w:proofErr w:type="spellEnd"/>
      <w:r w:rsidRPr="00B47051">
        <w:rPr>
          <w:rFonts w:ascii="Arial" w:hAnsi="Arial" w:cs="Arial"/>
        </w:rPr>
        <w:t xml:space="preserve"> et al., 2006; Oboh et al., 2012). Prolonged brewing likely increased the release of these compounds from plant matrices, consistent with findings by Zhang et al. (2024), who reported that longer infusion of herbal teas enhanced total phenolics and correlated with stronger antidiabetic activity.</w:t>
      </w:r>
    </w:p>
    <w:p w14:paraId="326D9DFA" w14:textId="0FE13D6B" w:rsidR="00B95070" w:rsidRPr="00B47051" w:rsidRDefault="00B95070" w:rsidP="00B95070">
      <w:pPr>
        <w:pStyle w:val="Body"/>
        <w:rPr>
          <w:rFonts w:ascii="Arial" w:hAnsi="Arial" w:cs="Arial"/>
        </w:rPr>
      </w:pPr>
      <w:r w:rsidRPr="00B47051">
        <w:rPr>
          <w:rFonts w:ascii="Arial" w:hAnsi="Arial" w:cs="Arial"/>
        </w:rPr>
        <w:t>Roselle has been reported to exhibit moderate α-amylase and α-glucosidase inhibitory activities due to anthocyanins and organic acids such as hibiscus acid and protocatechuic acid (</w:t>
      </w:r>
      <w:proofErr w:type="spellStart"/>
      <w:r w:rsidRPr="00B47051">
        <w:rPr>
          <w:rFonts w:ascii="Arial" w:hAnsi="Arial" w:cs="Arial"/>
        </w:rPr>
        <w:t>Ademiluyi</w:t>
      </w:r>
      <w:proofErr w:type="spellEnd"/>
      <w:r w:rsidRPr="00B47051">
        <w:rPr>
          <w:rFonts w:ascii="Arial" w:hAnsi="Arial" w:cs="Arial"/>
        </w:rPr>
        <w:t xml:space="preserve"> </w:t>
      </w:r>
      <w:r w:rsidR="00BC1E1F">
        <w:rPr>
          <w:rFonts w:ascii="Arial" w:hAnsi="Arial" w:cs="Arial"/>
        </w:rPr>
        <w:t>&amp;</w:t>
      </w:r>
      <w:r w:rsidRPr="00B47051">
        <w:rPr>
          <w:rFonts w:ascii="Arial" w:hAnsi="Arial" w:cs="Arial"/>
        </w:rPr>
        <w:t xml:space="preserve"> Oboh, 2013). Meanwhile, garcinia contains hydroxycitric acid, which can modulate glucose metabolism and inhibit digestive enzymes (Dong et al., 2023). The synergistic effect of these </w:t>
      </w:r>
      <w:proofErr w:type="spellStart"/>
      <w:r w:rsidRPr="00B47051">
        <w:rPr>
          <w:rFonts w:ascii="Arial" w:hAnsi="Arial" w:cs="Arial"/>
        </w:rPr>
        <w:t>bioactives</w:t>
      </w:r>
      <w:proofErr w:type="spellEnd"/>
      <w:r w:rsidRPr="00B47051">
        <w:rPr>
          <w:rFonts w:ascii="Arial" w:hAnsi="Arial" w:cs="Arial"/>
        </w:rPr>
        <w:t xml:space="preserve"> likely contributed to the observed enzyme inhibition in the tisane blend.</w:t>
      </w:r>
    </w:p>
    <w:p w14:paraId="08B43652" w14:textId="32524B33" w:rsidR="00502516" w:rsidRPr="00B47051" w:rsidRDefault="00B95070" w:rsidP="00B95070">
      <w:pPr>
        <w:pStyle w:val="Body"/>
        <w:spacing w:after="0"/>
        <w:rPr>
          <w:rFonts w:ascii="Arial" w:hAnsi="Arial" w:cs="Arial"/>
        </w:rPr>
      </w:pPr>
      <w:r w:rsidRPr="00B47051">
        <w:rPr>
          <w:rFonts w:ascii="Arial" w:hAnsi="Arial" w:cs="Arial"/>
        </w:rPr>
        <w:t>Although the activity was weaker than acarbose, natural inhibitors are considered safer and associated with fewer gastrointestinal side effects (Ali et al., 2006). Therefore, the roselle–garcinia tisane could serve as a functional beverage with mild antidiabetic potential suitable for daily consumption.</w:t>
      </w:r>
    </w:p>
    <w:p w14:paraId="0494AC5A" w14:textId="77777777" w:rsidR="00790ADA" w:rsidRPr="00B47051" w:rsidRDefault="00790ADA" w:rsidP="00441B6F">
      <w:pPr>
        <w:pStyle w:val="Body"/>
        <w:spacing w:after="0"/>
        <w:rPr>
          <w:rFonts w:ascii="Arial" w:hAnsi="Arial" w:cs="Arial"/>
          <w:sz w:val="18"/>
          <w:szCs w:val="18"/>
        </w:rPr>
      </w:pPr>
    </w:p>
    <w:p w14:paraId="4C1ECB9A" w14:textId="77777777" w:rsidR="00BF1F21" w:rsidRPr="00B47051" w:rsidRDefault="00BF1F21" w:rsidP="00BF1F21">
      <w:pPr>
        <w:pStyle w:val="NoSpacing"/>
        <w:spacing w:line="480" w:lineRule="auto"/>
        <w:jc w:val="center"/>
        <w:rPr>
          <w:rFonts w:ascii="Arial" w:hAnsi="Arial" w:cs="Arial"/>
          <w:b/>
          <w:bCs/>
          <w:sz w:val="22"/>
          <w:szCs w:val="22"/>
          <w:lang w:val="en-MY"/>
        </w:rPr>
      </w:pPr>
      <w:r w:rsidRPr="00B47051">
        <w:rPr>
          <w:rFonts w:ascii="Arial" w:hAnsi="Arial" w:cs="Arial"/>
          <w:b/>
          <w:bCs/>
          <w:sz w:val="22"/>
          <w:szCs w:val="22"/>
          <w:lang w:val="en-MY"/>
        </w:rPr>
        <w:t>Table 3. Antidiabetic in-vitro analysis</w:t>
      </w:r>
    </w:p>
    <w:tbl>
      <w:tblPr>
        <w:tblW w:w="7808" w:type="dxa"/>
        <w:jc w:val="center"/>
        <w:tblLook w:val="04A0" w:firstRow="1" w:lastRow="0" w:firstColumn="1" w:lastColumn="0" w:noHBand="0" w:noVBand="1"/>
      </w:tblPr>
      <w:tblGrid>
        <w:gridCol w:w="2764"/>
        <w:gridCol w:w="2471"/>
        <w:gridCol w:w="2573"/>
      </w:tblGrid>
      <w:tr w:rsidR="00BF1F21" w:rsidRPr="00B47051" w14:paraId="1B6E88D2" w14:textId="77777777" w:rsidTr="00BC1E1F">
        <w:trPr>
          <w:trHeight w:val="1105"/>
          <w:jc w:val="center"/>
        </w:trPr>
        <w:tc>
          <w:tcPr>
            <w:tcW w:w="2764" w:type="dxa"/>
            <w:tcBorders>
              <w:top w:val="single" w:sz="8" w:space="0" w:color="auto"/>
              <w:left w:val="nil"/>
              <w:bottom w:val="single" w:sz="8" w:space="0" w:color="auto"/>
              <w:right w:val="nil"/>
            </w:tcBorders>
            <w:shd w:val="clear" w:color="000000" w:fill="FFFFFF"/>
            <w:vAlign w:val="center"/>
            <w:hideMark/>
          </w:tcPr>
          <w:p w14:paraId="5475B4A7"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Sample</w:t>
            </w:r>
          </w:p>
        </w:tc>
        <w:tc>
          <w:tcPr>
            <w:tcW w:w="2471" w:type="dxa"/>
            <w:tcBorders>
              <w:top w:val="single" w:sz="8" w:space="0" w:color="auto"/>
              <w:left w:val="nil"/>
              <w:bottom w:val="single" w:sz="8" w:space="0" w:color="auto"/>
              <w:right w:val="nil"/>
            </w:tcBorders>
            <w:shd w:val="clear" w:color="000000" w:fill="FFFFFF"/>
            <w:vAlign w:val="center"/>
            <w:hideMark/>
          </w:tcPr>
          <w:p w14:paraId="42A03F1D"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α-amylase enzyme inhibition activity, IC</w:t>
            </w:r>
            <w:r w:rsidRPr="00B47051">
              <w:rPr>
                <w:rFonts w:ascii="Arial" w:hAnsi="Arial" w:cs="Arial"/>
                <w:b/>
                <w:bCs/>
                <w:color w:val="000000"/>
                <w:vertAlign w:val="subscript"/>
                <w:lang w:eastAsia="en-MY"/>
              </w:rPr>
              <w:t>50</w:t>
            </w:r>
            <w:r w:rsidRPr="00B47051">
              <w:rPr>
                <w:rFonts w:ascii="Arial" w:hAnsi="Arial" w:cs="Arial"/>
                <w:b/>
                <w:bCs/>
                <w:color w:val="000000"/>
                <w:lang w:eastAsia="en-MY"/>
              </w:rPr>
              <w:t xml:space="preserve"> (mg/ml)</w:t>
            </w:r>
          </w:p>
        </w:tc>
        <w:tc>
          <w:tcPr>
            <w:tcW w:w="2573" w:type="dxa"/>
            <w:tcBorders>
              <w:top w:val="single" w:sz="8" w:space="0" w:color="auto"/>
              <w:left w:val="nil"/>
              <w:bottom w:val="single" w:sz="8" w:space="0" w:color="auto"/>
              <w:right w:val="nil"/>
            </w:tcBorders>
            <w:shd w:val="clear" w:color="000000" w:fill="FFFFFF"/>
            <w:vAlign w:val="center"/>
            <w:hideMark/>
          </w:tcPr>
          <w:p w14:paraId="18A20A36"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α-glucosidase enzyme inhibition activity, IC</w:t>
            </w:r>
            <w:r w:rsidRPr="00B47051">
              <w:rPr>
                <w:rFonts w:ascii="Arial" w:hAnsi="Arial" w:cs="Arial"/>
                <w:b/>
                <w:bCs/>
                <w:color w:val="000000"/>
                <w:vertAlign w:val="subscript"/>
                <w:lang w:eastAsia="en-MY"/>
              </w:rPr>
              <w:t>50</w:t>
            </w:r>
            <w:r w:rsidRPr="00B47051">
              <w:rPr>
                <w:rFonts w:ascii="Arial" w:hAnsi="Arial" w:cs="Arial"/>
                <w:b/>
                <w:bCs/>
                <w:color w:val="000000"/>
                <w:lang w:eastAsia="en-MY"/>
              </w:rPr>
              <w:t xml:space="preserve"> (mg/ml)</w:t>
            </w:r>
          </w:p>
        </w:tc>
      </w:tr>
      <w:tr w:rsidR="00BF1F21" w:rsidRPr="00B47051" w14:paraId="76DA2DB0" w14:textId="77777777" w:rsidTr="00BC1E1F">
        <w:trPr>
          <w:trHeight w:val="407"/>
          <w:jc w:val="center"/>
        </w:trPr>
        <w:tc>
          <w:tcPr>
            <w:tcW w:w="2764" w:type="dxa"/>
            <w:tcBorders>
              <w:top w:val="nil"/>
              <w:left w:val="nil"/>
              <w:bottom w:val="nil"/>
              <w:right w:val="nil"/>
            </w:tcBorders>
            <w:shd w:val="clear" w:color="000000" w:fill="FFFFFF"/>
            <w:vAlign w:val="center"/>
            <w:hideMark/>
          </w:tcPr>
          <w:p w14:paraId="7A839389" w14:textId="77777777" w:rsidR="00BF1F21" w:rsidRPr="00B47051" w:rsidRDefault="00BF1F21" w:rsidP="004C5E11">
            <w:pPr>
              <w:rPr>
                <w:rFonts w:ascii="Arial" w:hAnsi="Arial" w:cs="Arial"/>
                <w:color w:val="000000"/>
                <w:lang w:eastAsia="en-MY"/>
              </w:rPr>
            </w:pPr>
            <w:r w:rsidRPr="00B47051">
              <w:rPr>
                <w:rFonts w:ascii="Arial" w:hAnsi="Arial" w:cs="Arial"/>
                <w:color w:val="000000"/>
                <w:lang w:eastAsia="en-MY"/>
              </w:rPr>
              <w:t>Tisane 5-minutes infused</w:t>
            </w:r>
          </w:p>
        </w:tc>
        <w:tc>
          <w:tcPr>
            <w:tcW w:w="2471" w:type="dxa"/>
            <w:tcBorders>
              <w:top w:val="nil"/>
              <w:left w:val="nil"/>
              <w:bottom w:val="nil"/>
              <w:right w:val="nil"/>
            </w:tcBorders>
            <w:shd w:val="clear" w:color="000000" w:fill="FFFFFF"/>
            <w:vAlign w:val="center"/>
            <w:hideMark/>
          </w:tcPr>
          <w:p w14:paraId="24BFF844"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19.423</w:t>
            </w:r>
            <w:r w:rsidRPr="00B47051">
              <w:rPr>
                <w:rFonts w:ascii="Arial" w:hAnsi="Arial" w:cs="Arial"/>
                <w:color w:val="000000"/>
                <w:vertAlign w:val="superscript"/>
                <w:lang w:eastAsia="en-MY"/>
              </w:rPr>
              <w:t>a</w:t>
            </w:r>
          </w:p>
        </w:tc>
        <w:tc>
          <w:tcPr>
            <w:tcW w:w="2573" w:type="dxa"/>
            <w:tcBorders>
              <w:top w:val="nil"/>
              <w:left w:val="nil"/>
              <w:bottom w:val="nil"/>
              <w:right w:val="nil"/>
            </w:tcBorders>
            <w:shd w:val="clear" w:color="000000" w:fill="FFFFFF"/>
            <w:vAlign w:val="center"/>
            <w:hideMark/>
          </w:tcPr>
          <w:p w14:paraId="73A4082A"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41.941</w:t>
            </w:r>
            <w:r w:rsidRPr="00B47051">
              <w:rPr>
                <w:rFonts w:ascii="Arial" w:hAnsi="Arial" w:cs="Arial"/>
                <w:color w:val="000000"/>
                <w:vertAlign w:val="superscript"/>
                <w:lang w:eastAsia="en-MY"/>
              </w:rPr>
              <w:t>a</w:t>
            </w:r>
          </w:p>
        </w:tc>
      </w:tr>
      <w:tr w:rsidR="00BF1F21" w:rsidRPr="00B47051" w14:paraId="236B0EEB" w14:textId="77777777" w:rsidTr="00BC1E1F">
        <w:trPr>
          <w:trHeight w:val="407"/>
          <w:jc w:val="center"/>
        </w:trPr>
        <w:tc>
          <w:tcPr>
            <w:tcW w:w="2764" w:type="dxa"/>
            <w:tcBorders>
              <w:top w:val="nil"/>
              <w:left w:val="nil"/>
              <w:bottom w:val="nil"/>
              <w:right w:val="nil"/>
            </w:tcBorders>
            <w:shd w:val="clear" w:color="000000" w:fill="FFFFFF"/>
            <w:vAlign w:val="center"/>
            <w:hideMark/>
          </w:tcPr>
          <w:p w14:paraId="2B17B1A6" w14:textId="77777777" w:rsidR="00BF1F21" w:rsidRPr="00B47051" w:rsidRDefault="00BF1F21" w:rsidP="004C5E11">
            <w:pPr>
              <w:rPr>
                <w:rFonts w:ascii="Arial" w:hAnsi="Arial" w:cs="Arial"/>
                <w:color w:val="000000"/>
                <w:lang w:eastAsia="en-MY"/>
              </w:rPr>
            </w:pPr>
            <w:r w:rsidRPr="00B47051">
              <w:rPr>
                <w:rFonts w:ascii="Arial" w:hAnsi="Arial" w:cs="Arial"/>
                <w:color w:val="000000"/>
                <w:lang w:eastAsia="en-MY"/>
              </w:rPr>
              <w:t>Tisane 20-minutes infused</w:t>
            </w:r>
          </w:p>
        </w:tc>
        <w:tc>
          <w:tcPr>
            <w:tcW w:w="2471" w:type="dxa"/>
            <w:tcBorders>
              <w:top w:val="nil"/>
              <w:left w:val="nil"/>
              <w:bottom w:val="nil"/>
              <w:right w:val="nil"/>
            </w:tcBorders>
            <w:shd w:val="clear" w:color="000000" w:fill="FFFFFF"/>
            <w:vAlign w:val="center"/>
            <w:hideMark/>
          </w:tcPr>
          <w:p w14:paraId="4706F8C2"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7.431</w:t>
            </w:r>
            <w:r w:rsidRPr="00B47051">
              <w:rPr>
                <w:rFonts w:ascii="Arial" w:hAnsi="Arial" w:cs="Arial"/>
                <w:color w:val="000000"/>
                <w:vertAlign w:val="superscript"/>
                <w:lang w:eastAsia="en-MY"/>
              </w:rPr>
              <w:t>b</w:t>
            </w:r>
          </w:p>
        </w:tc>
        <w:tc>
          <w:tcPr>
            <w:tcW w:w="2573" w:type="dxa"/>
            <w:tcBorders>
              <w:top w:val="nil"/>
              <w:left w:val="nil"/>
              <w:bottom w:val="nil"/>
              <w:right w:val="nil"/>
            </w:tcBorders>
            <w:shd w:val="clear" w:color="000000" w:fill="FFFFFF"/>
            <w:vAlign w:val="center"/>
            <w:hideMark/>
          </w:tcPr>
          <w:p w14:paraId="718200F1"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23.612</w:t>
            </w:r>
            <w:r w:rsidRPr="00B47051">
              <w:rPr>
                <w:rFonts w:ascii="Arial" w:hAnsi="Arial" w:cs="Arial"/>
                <w:color w:val="000000"/>
                <w:vertAlign w:val="superscript"/>
                <w:lang w:eastAsia="en-MY"/>
              </w:rPr>
              <w:t>b</w:t>
            </w:r>
          </w:p>
        </w:tc>
      </w:tr>
      <w:tr w:rsidR="00BF1F21" w:rsidRPr="00B47051" w14:paraId="3745FD68" w14:textId="77777777" w:rsidTr="00BC1E1F">
        <w:trPr>
          <w:trHeight w:val="407"/>
          <w:jc w:val="center"/>
        </w:trPr>
        <w:tc>
          <w:tcPr>
            <w:tcW w:w="2764" w:type="dxa"/>
            <w:tcBorders>
              <w:top w:val="nil"/>
              <w:left w:val="nil"/>
              <w:bottom w:val="single" w:sz="8" w:space="0" w:color="auto"/>
              <w:right w:val="nil"/>
            </w:tcBorders>
            <w:shd w:val="clear" w:color="000000" w:fill="FFFFFF"/>
            <w:vAlign w:val="center"/>
          </w:tcPr>
          <w:p w14:paraId="5D282077" w14:textId="77777777" w:rsidR="00BF1F21" w:rsidRPr="00B47051" w:rsidRDefault="00BF1F21" w:rsidP="004C5E11">
            <w:pPr>
              <w:rPr>
                <w:rFonts w:ascii="Arial" w:hAnsi="Arial" w:cs="Arial"/>
                <w:color w:val="000000"/>
                <w:lang w:eastAsia="en-MY"/>
              </w:rPr>
            </w:pPr>
            <w:r w:rsidRPr="00B47051">
              <w:rPr>
                <w:rFonts w:ascii="Arial" w:hAnsi="Arial" w:cs="Arial"/>
                <w:color w:val="000000"/>
                <w:lang w:eastAsia="en-MY"/>
              </w:rPr>
              <w:t>Acarbose</w:t>
            </w:r>
          </w:p>
        </w:tc>
        <w:tc>
          <w:tcPr>
            <w:tcW w:w="2471" w:type="dxa"/>
            <w:tcBorders>
              <w:top w:val="nil"/>
              <w:left w:val="nil"/>
              <w:bottom w:val="single" w:sz="8" w:space="0" w:color="auto"/>
              <w:right w:val="nil"/>
            </w:tcBorders>
            <w:shd w:val="clear" w:color="000000" w:fill="FFFFFF"/>
            <w:vAlign w:val="center"/>
          </w:tcPr>
          <w:p w14:paraId="67725FED"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0.475</w:t>
            </w:r>
            <w:r w:rsidRPr="00B47051">
              <w:rPr>
                <w:rFonts w:ascii="Arial" w:hAnsi="Arial" w:cs="Arial"/>
                <w:color w:val="000000"/>
                <w:vertAlign w:val="superscript"/>
                <w:lang w:eastAsia="en-MY"/>
              </w:rPr>
              <w:t>c</w:t>
            </w:r>
          </w:p>
        </w:tc>
        <w:tc>
          <w:tcPr>
            <w:tcW w:w="2573" w:type="dxa"/>
            <w:tcBorders>
              <w:top w:val="nil"/>
              <w:left w:val="nil"/>
              <w:bottom w:val="single" w:sz="8" w:space="0" w:color="auto"/>
              <w:right w:val="nil"/>
            </w:tcBorders>
            <w:shd w:val="clear" w:color="000000" w:fill="FFFFFF"/>
            <w:vAlign w:val="center"/>
          </w:tcPr>
          <w:p w14:paraId="29D6FA1D"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0.0006</w:t>
            </w:r>
            <w:r w:rsidRPr="00B47051">
              <w:rPr>
                <w:rFonts w:ascii="Arial" w:hAnsi="Arial" w:cs="Arial"/>
                <w:color w:val="000000"/>
                <w:vertAlign w:val="superscript"/>
                <w:lang w:eastAsia="en-MY"/>
              </w:rPr>
              <w:t>c</w:t>
            </w:r>
          </w:p>
        </w:tc>
      </w:tr>
    </w:tbl>
    <w:p w14:paraId="13175494" w14:textId="77777777" w:rsidR="00BF1F21" w:rsidRPr="00B47051" w:rsidRDefault="00BF1F21" w:rsidP="00BF1F21">
      <w:pPr>
        <w:pStyle w:val="NoSpacing"/>
        <w:rPr>
          <w:rFonts w:ascii="Arial" w:hAnsi="Arial" w:cs="Arial"/>
          <w:i/>
          <w:iCs/>
          <w:sz w:val="18"/>
          <w:szCs w:val="18"/>
          <w:lang w:val="en-MY"/>
        </w:rPr>
      </w:pPr>
      <w:r w:rsidRPr="00B47051">
        <w:rPr>
          <w:rFonts w:ascii="Arial" w:hAnsi="Arial" w:cs="Arial"/>
          <w:i/>
          <w:iCs/>
          <w:sz w:val="18"/>
          <w:szCs w:val="18"/>
          <w:lang w:val="en-MY"/>
        </w:rPr>
        <w:lastRenderedPageBreak/>
        <w:t>*Note for all data: Means that do not share a letter are significantly different. Tukey 95% Simultaneous Confidence Intervals. Individual confidence level = 95%</w:t>
      </w:r>
    </w:p>
    <w:p w14:paraId="011F2CB2" w14:textId="4E7A6A6E" w:rsidR="00845BE9" w:rsidRPr="00B47051" w:rsidRDefault="00845BE9" w:rsidP="00845BE9">
      <w:pPr>
        <w:pStyle w:val="NoSpacing"/>
        <w:rPr>
          <w:rFonts w:ascii="Arial" w:hAnsi="Arial" w:cs="Arial"/>
          <w:sz w:val="18"/>
          <w:szCs w:val="18"/>
          <w:lang w:val="en-MY"/>
        </w:rPr>
      </w:pPr>
    </w:p>
    <w:p w14:paraId="53E72C21" w14:textId="77777777" w:rsidR="00845BE9" w:rsidRPr="00B47051" w:rsidRDefault="00845BE9" w:rsidP="00441B6F">
      <w:pPr>
        <w:jc w:val="both"/>
        <w:rPr>
          <w:rFonts w:ascii="Arial" w:hAnsi="Arial" w:cs="Arial"/>
          <w:u w:val="single"/>
          <w:lang w:eastAsia="en-GB"/>
        </w:rPr>
      </w:pPr>
    </w:p>
    <w:p w14:paraId="20114B5A" w14:textId="77777777" w:rsidR="00B01FCD" w:rsidRPr="00B47051" w:rsidRDefault="00000F8F" w:rsidP="00441B6F">
      <w:pPr>
        <w:pStyle w:val="ConcHead"/>
        <w:spacing w:after="0"/>
        <w:jc w:val="both"/>
        <w:rPr>
          <w:rFonts w:ascii="Arial" w:hAnsi="Arial" w:cs="Arial"/>
        </w:rPr>
      </w:pPr>
      <w:r w:rsidRPr="00B47051">
        <w:rPr>
          <w:rFonts w:ascii="Arial" w:hAnsi="Arial" w:cs="Arial"/>
        </w:rPr>
        <w:t xml:space="preserve">4. </w:t>
      </w:r>
      <w:r w:rsidR="00B01FCD" w:rsidRPr="00B47051">
        <w:rPr>
          <w:rFonts w:ascii="Arial" w:hAnsi="Arial" w:cs="Arial"/>
        </w:rPr>
        <w:t>Conclusion</w:t>
      </w:r>
    </w:p>
    <w:p w14:paraId="52848772" w14:textId="77777777" w:rsidR="00790ADA" w:rsidRPr="00B47051" w:rsidRDefault="00790ADA" w:rsidP="00441B6F">
      <w:pPr>
        <w:pStyle w:val="ConcHead"/>
        <w:spacing w:after="0"/>
        <w:jc w:val="both"/>
        <w:rPr>
          <w:rFonts w:ascii="Arial" w:hAnsi="Arial" w:cs="Arial"/>
        </w:rPr>
      </w:pPr>
    </w:p>
    <w:p w14:paraId="44D556FF" w14:textId="5A5DE253" w:rsidR="00790ADA" w:rsidRDefault="00B95070" w:rsidP="00441B6F">
      <w:pPr>
        <w:pStyle w:val="Body"/>
        <w:spacing w:after="0"/>
        <w:rPr>
          <w:rFonts w:ascii="Arial" w:hAnsi="Arial" w:cs="Arial"/>
        </w:rPr>
      </w:pPr>
      <w:r w:rsidRPr="00B47051">
        <w:rPr>
          <w:rFonts w:ascii="Arial" w:hAnsi="Arial" w:cs="Arial"/>
        </w:rPr>
        <w:t>This study demonstrated that infusion time significantly influences the functional quality of roselle–garcinia tisane. Prolonging infusion from 5 to 20 minutes enhanced colour intensity, total anthocyanin content, and antioxidant capacity, as reflected by increases in TPC, FRAP, TEAC, and DPPH inhibition. Extended brewing also improved in vitro antidiabetic potential, with lower IC</w:t>
      </w:r>
      <w:r w:rsidRPr="00B47051">
        <w:rPr>
          <w:rFonts w:ascii="Cambria Math" w:hAnsi="Cambria Math" w:cs="Cambria Math"/>
        </w:rPr>
        <w:t>₅₀</w:t>
      </w:r>
      <w:r w:rsidRPr="00B47051">
        <w:rPr>
          <w:rFonts w:ascii="Arial" w:hAnsi="Arial" w:cs="Arial"/>
        </w:rPr>
        <w:t xml:space="preserve"> values for both α-amylase and α-glucosidase inhibition, indicating stronger enzyme inhibitory activity. Although the tisane’s inhibitory effects were lower than acarbose, the results highlight its potential as a natural source of antioxidants and antidiabetic compounds. Overall, a 20-minute infusion provides an optimal balance between sensory quality and functional benefits, supporting its use as a health promoting herbal beverage.</w:t>
      </w:r>
    </w:p>
    <w:p w14:paraId="73FF467E" w14:textId="77777777" w:rsidR="00A40E7F" w:rsidRDefault="00A40E7F" w:rsidP="00441B6F">
      <w:pPr>
        <w:pStyle w:val="Body"/>
        <w:spacing w:after="0"/>
        <w:rPr>
          <w:rFonts w:ascii="Arial" w:hAnsi="Arial" w:cs="Arial"/>
        </w:rPr>
      </w:pPr>
    </w:p>
    <w:p w14:paraId="755F85C4" w14:textId="77777777" w:rsidR="00A40E7F" w:rsidRDefault="00A40E7F" w:rsidP="00441B6F">
      <w:pPr>
        <w:pStyle w:val="Body"/>
        <w:spacing w:after="0"/>
        <w:rPr>
          <w:rFonts w:ascii="Arial" w:hAnsi="Arial" w:cs="Arial"/>
          <w:b/>
          <w:bCs/>
        </w:rPr>
      </w:pPr>
    </w:p>
    <w:p w14:paraId="68AD47BA" w14:textId="7984C3FC" w:rsidR="00A40E7F" w:rsidRPr="00612215" w:rsidRDefault="00A40E7F" w:rsidP="00441B6F">
      <w:pPr>
        <w:pStyle w:val="Body"/>
        <w:spacing w:after="0"/>
        <w:rPr>
          <w:rFonts w:ascii="Arial" w:hAnsi="Arial" w:cs="Arial"/>
          <w:b/>
          <w:bCs/>
          <w:highlight w:val="yellow"/>
        </w:rPr>
      </w:pPr>
      <w:r w:rsidRPr="00612215">
        <w:rPr>
          <w:rFonts w:ascii="Arial" w:hAnsi="Arial" w:cs="Arial"/>
          <w:b/>
          <w:bCs/>
          <w:highlight w:val="yellow"/>
        </w:rPr>
        <w:t>DISCLAIMER (ARTIFICIAL INTELLIGENCE)</w:t>
      </w:r>
    </w:p>
    <w:p w14:paraId="5EC06749" w14:textId="77777777" w:rsidR="00F97398" w:rsidRPr="00612215" w:rsidRDefault="00F97398" w:rsidP="00441B6F">
      <w:pPr>
        <w:pStyle w:val="Body"/>
        <w:spacing w:after="0"/>
        <w:rPr>
          <w:rFonts w:ascii="Arial" w:hAnsi="Arial" w:cs="Arial"/>
          <w:highlight w:val="yellow"/>
        </w:rPr>
      </w:pPr>
    </w:p>
    <w:p w14:paraId="4BC35108" w14:textId="77777777" w:rsidR="00B94E65" w:rsidRPr="00A40E7F" w:rsidRDefault="00B94E65" w:rsidP="00A40E7F">
      <w:pPr>
        <w:jc w:val="both"/>
        <w:rPr>
          <w:rFonts w:ascii="Arial" w:eastAsia="Calibri" w:hAnsi="Arial" w:cs="Arial"/>
          <w:kern w:val="2"/>
          <w:lang w:val="en-US"/>
        </w:rPr>
      </w:pPr>
      <w:bookmarkStart w:id="0" w:name="_Hlk197682619"/>
      <w:bookmarkStart w:id="1" w:name="_Hlk180402183"/>
      <w:bookmarkStart w:id="2" w:name="_Hlk183680988"/>
      <w:r w:rsidRPr="00612215">
        <w:rPr>
          <w:rFonts w:ascii="Arial" w:eastAsia="Calibri" w:hAnsi="Arial" w:cs="Arial"/>
          <w:kern w:val="2"/>
          <w:highlight w:val="yellow"/>
          <w:lang w:val="en-US"/>
        </w:rPr>
        <w:t xml:space="preserve">Author(s) hereby </w:t>
      </w:r>
      <w:proofErr w:type="gramStart"/>
      <w:r w:rsidRPr="00612215">
        <w:rPr>
          <w:rFonts w:ascii="Arial" w:eastAsia="Calibri" w:hAnsi="Arial" w:cs="Arial"/>
          <w:kern w:val="2"/>
          <w:highlight w:val="yellow"/>
          <w:lang w:val="en-US"/>
        </w:rPr>
        <w:t>declare</w:t>
      </w:r>
      <w:proofErr w:type="gramEnd"/>
      <w:r w:rsidRPr="00612215">
        <w:rPr>
          <w:rFonts w:ascii="Arial" w:eastAsia="Calibri" w:hAnsi="Arial" w:cs="Arial"/>
          <w:kern w:val="2"/>
          <w:highlight w:val="yellow"/>
          <w:lang w:val="en-US"/>
        </w:rPr>
        <w:t xml:space="preserve"> that NO generative AI technologies such as Large Language Models (ChatGPT, COPILOT, etc.) and text-to-image generators have been used during the writing or editing of this manuscript.</w:t>
      </w:r>
      <w:r w:rsidRPr="00A40E7F">
        <w:rPr>
          <w:rFonts w:ascii="Arial" w:eastAsia="Calibri" w:hAnsi="Arial" w:cs="Arial"/>
          <w:kern w:val="2"/>
          <w:lang w:val="en-US"/>
        </w:rPr>
        <w:t xml:space="preserve"> </w:t>
      </w:r>
    </w:p>
    <w:bookmarkEnd w:id="0"/>
    <w:bookmarkEnd w:id="1"/>
    <w:bookmarkEnd w:id="2"/>
    <w:p w14:paraId="7E03EA9B" w14:textId="77777777" w:rsidR="00007F5C" w:rsidRPr="00B47051" w:rsidRDefault="00007F5C" w:rsidP="00441B6F">
      <w:pPr>
        <w:pStyle w:val="AcknHead"/>
        <w:spacing w:after="0"/>
        <w:jc w:val="both"/>
        <w:rPr>
          <w:rFonts w:ascii="Arial" w:hAnsi="Arial" w:cs="Arial"/>
        </w:rPr>
      </w:pPr>
    </w:p>
    <w:p w14:paraId="00112BD3" w14:textId="77777777" w:rsidR="00D35128" w:rsidRPr="00B47051" w:rsidRDefault="00D35128" w:rsidP="00441B6F">
      <w:pPr>
        <w:pStyle w:val="ReferHead"/>
        <w:spacing w:after="0"/>
        <w:jc w:val="both"/>
        <w:rPr>
          <w:rFonts w:ascii="Arial" w:hAnsi="Arial" w:cs="Arial"/>
          <w:b w:val="0"/>
          <w:caps w:val="0"/>
          <w:sz w:val="20"/>
        </w:rPr>
      </w:pPr>
    </w:p>
    <w:p w14:paraId="79525528" w14:textId="77777777" w:rsidR="00B01FCD" w:rsidRPr="00B47051" w:rsidRDefault="00B01FCD" w:rsidP="00441B6F">
      <w:pPr>
        <w:pStyle w:val="ReferHead"/>
        <w:spacing w:after="0"/>
        <w:jc w:val="both"/>
        <w:rPr>
          <w:rFonts w:ascii="Arial" w:hAnsi="Arial" w:cs="Arial"/>
        </w:rPr>
      </w:pPr>
      <w:r w:rsidRPr="00B47051">
        <w:rPr>
          <w:rFonts w:ascii="Arial" w:hAnsi="Arial" w:cs="Arial"/>
        </w:rPr>
        <w:t>References</w:t>
      </w:r>
    </w:p>
    <w:p w14:paraId="6699D923" w14:textId="77777777" w:rsidR="00790ADA" w:rsidRPr="00B47051" w:rsidRDefault="00790ADA" w:rsidP="00441B6F">
      <w:pPr>
        <w:pStyle w:val="ReferHead"/>
        <w:spacing w:after="0"/>
        <w:jc w:val="both"/>
        <w:rPr>
          <w:rFonts w:ascii="Arial" w:hAnsi="Arial" w:cs="Arial"/>
        </w:rPr>
      </w:pPr>
    </w:p>
    <w:p w14:paraId="722CEFAB" w14:textId="77777777" w:rsidR="00E9662E" w:rsidRPr="00B47051" w:rsidRDefault="00E9662E" w:rsidP="00F11C97">
      <w:pPr>
        <w:pStyle w:val="Body"/>
        <w:rPr>
          <w:rFonts w:ascii="Arial" w:hAnsi="Arial" w:cs="Arial"/>
        </w:rPr>
      </w:pPr>
      <w:r w:rsidRPr="00B47051">
        <w:rPr>
          <w:rFonts w:ascii="Arial" w:hAnsi="Arial" w:cs="Arial"/>
        </w:rPr>
        <w:t>Ademiluyi, A. O. &amp; Oboh, G. (2013). Aqueous extracts of roselle (</w:t>
      </w:r>
      <w:r w:rsidRPr="00B47051">
        <w:rPr>
          <w:rFonts w:ascii="Arial" w:hAnsi="Arial" w:cs="Arial"/>
          <w:i/>
          <w:iCs/>
        </w:rPr>
        <w:t>Hibiscus sabdariffa</w:t>
      </w:r>
      <w:r w:rsidRPr="00B47051">
        <w:rPr>
          <w:rFonts w:ascii="Arial" w:hAnsi="Arial" w:cs="Arial"/>
        </w:rPr>
        <w:t xml:space="preserve"> Linn.) varieties inhibit α-amylase and α-glucosidase activities in vitro. Journal of Medicinal Food, 16 (1), 88-93. </w:t>
      </w:r>
      <w:hyperlink r:id="rId15" w:history="1">
        <w:r w:rsidRPr="00B47051">
          <w:rPr>
            <w:rStyle w:val="Hyperlink"/>
            <w:rFonts w:ascii="Arial" w:hAnsi="Arial" w:cs="Arial"/>
          </w:rPr>
          <w:t>https://doi.org/10.1089/jmf.2012.0004</w:t>
        </w:r>
      </w:hyperlink>
      <w:r w:rsidRPr="00B47051">
        <w:rPr>
          <w:rFonts w:ascii="Arial" w:hAnsi="Arial" w:cs="Arial"/>
        </w:rPr>
        <w:t xml:space="preserve">   </w:t>
      </w:r>
    </w:p>
    <w:p w14:paraId="40F371C0" w14:textId="77777777" w:rsidR="00E9662E" w:rsidRPr="00B47051" w:rsidRDefault="00E9662E" w:rsidP="00F11C97">
      <w:pPr>
        <w:pStyle w:val="Body"/>
        <w:rPr>
          <w:rFonts w:ascii="Arial" w:hAnsi="Arial" w:cs="Arial"/>
        </w:rPr>
      </w:pPr>
      <w:r w:rsidRPr="00B47051">
        <w:rPr>
          <w:rFonts w:ascii="Arial" w:hAnsi="Arial" w:cs="Arial"/>
        </w:rPr>
        <w:t xml:space="preserve">Alara, O. R., Abdurahman, N. H. &amp; Ukaegbu, C. I. (2021). Extraction of phenolic compounds: A review. Current Research in Food Science. 4:200–214. </w:t>
      </w:r>
      <w:hyperlink r:id="rId16" w:history="1">
        <w:r w:rsidRPr="00B47051">
          <w:rPr>
            <w:rStyle w:val="Hyperlink"/>
            <w:rFonts w:ascii="Arial" w:hAnsi="Arial" w:cs="Arial"/>
          </w:rPr>
          <w:t>https://doi:10.1016/j.crfs.2021.03.011</w:t>
        </w:r>
      </w:hyperlink>
      <w:r w:rsidRPr="00B47051">
        <w:rPr>
          <w:rFonts w:ascii="Arial" w:hAnsi="Arial" w:cs="Arial"/>
        </w:rPr>
        <w:t xml:space="preserve">  </w:t>
      </w:r>
    </w:p>
    <w:p w14:paraId="565FABB0" w14:textId="77777777" w:rsidR="00E9662E" w:rsidRPr="00B47051" w:rsidRDefault="00E9662E" w:rsidP="00F11C97">
      <w:pPr>
        <w:pStyle w:val="Body"/>
        <w:rPr>
          <w:rFonts w:ascii="Arial" w:hAnsi="Arial" w:cs="Arial"/>
        </w:rPr>
      </w:pPr>
      <w:r w:rsidRPr="00B47051">
        <w:rPr>
          <w:rFonts w:ascii="Arial" w:hAnsi="Arial" w:cs="Arial"/>
        </w:rPr>
        <w:t>Ali, A. M. A., El-Nour, M. E. A. M., &amp; Yagi, S. M. (2018). Total phenolic and flavonoid contents and antioxidant activity of ginger (</w:t>
      </w:r>
      <w:r w:rsidRPr="00B47051">
        <w:rPr>
          <w:rFonts w:ascii="Arial" w:hAnsi="Arial" w:cs="Arial"/>
          <w:i/>
          <w:iCs/>
        </w:rPr>
        <w:t xml:space="preserve">Zingiber officinale </w:t>
      </w:r>
      <w:proofErr w:type="spellStart"/>
      <w:r w:rsidRPr="00B47051">
        <w:rPr>
          <w:rFonts w:ascii="Arial" w:hAnsi="Arial" w:cs="Arial"/>
          <w:i/>
          <w:iCs/>
        </w:rPr>
        <w:t>Rosc</w:t>
      </w:r>
      <w:proofErr w:type="spellEnd"/>
      <w:r w:rsidRPr="00B47051">
        <w:rPr>
          <w:rFonts w:ascii="Arial" w:hAnsi="Arial" w:cs="Arial"/>
        </w:rPr>
        <w:t xml:space="preserve">.) rhizome, callus and callus treated with some elicitors. Journal of Genetic Engineering and Biotechnology, 16(2), 677–682. </w:t>
      </w:r>
      <w:hyperlink r:id="rId17" w:history="1">
        <w:r w:rsidRPr="00B47051">
          <w:rPr>
            <w:rStyle w:val="Hyperlink"/>
            <w:rFonts w:ascii="Arial" w:hAnsi="Arial" w:cs="Arial"/>
          </w:rPr>
          <w:t>https://doi.org/10.1016/j.jgeb.2018.03.003</w:t>
        </w:r>
      </w:hyperlink>
      <w:r w:rsidRPr="00B47051">
        <w:rPr>
          <w:rFonts w:ascii="Arial" w:hAnsi="Arial" w:cs="Arial"/>
        </w:rPr>
        <w:t xml:space="preserve">  </w:t>
      </w:r>
    </w:p>
    <w:p w14:paraId="2F4A7015" w14:textId="77777777" w:rsidR="00E9662E" w:rsidRPr="00B47051" w:rsidRDefault="00E9662E" w:rsidP="00F11C97">
      <w:pPr>
        <w:pStyle w:val="Body"/>
        <w:rPr>
          <w:rFonts w:ascii="Arial" w:hAnsi="Arial" w:cs="Arial"/>
        </w:rPr>
      </w:pPr>
      <w:r w:rsidRPr="00B47051">
        <w:rPr>
          <w:rFonts w:ascii="Arial" w:hAnsi="Arial" w:cs="Arial"/>
        </w:rPr>
        <w:t xml:space="preserve">Ali, H., Houghton, P. J. &amp; </w:t>
      </w:r>
      <w:proofErr w:type="spellStart"/>
      <w:r w:rsidRPr="00B47051">
        <w:rPr>
          <w:rFonts w:ascii="Arial" w:hAnsi="Arial" w:cs="Arial"/>
        </w:rPr>
        <w:t>Soumyanath</w:t>
      </w:r>
      <w:proofErr w:type="spellEnd"/>
      <w:r w:rsidRPr="00B47051">
        <w:rPr>
          <w:rFonts w:ascii="Arial" w:hAnsi="Arial" w:cs="Arial"/>
        </w:rPr>
        <w:t xml:space="preserve">, A. (2006). α-Amylase inhibitory activity of some Malaysian plants used to treat diabetes; with particular reference to </w:t>
      </w:r>
      <w:r w:rsidRPr="00B47051">
        <w:rPr>
          <w:rFonts w:ascii="Arial" w:hAnsi="Arial" w:cs="Arial"/>
          <w:i/>
          <w:iCs/>
        </w:rPr>
        <w:t xml:space="preserve">Phyllanthus </w:t>
      </w:r>
      <w:proofErr w:type="spellStart"/>
      <w:r w:rsidRPr="00B47051">
        <w:rPr>
          <w:rFonts w:ascii="Arial" w:hAnsi="Arial" w:cs="Arial"/>
          <w:i/>
          <w:iCs/>
        </w:rPr>
        <w:t>amarus</w:t>
      </w:r>
      <w:proofErr w:type="spellEnd"/>
      <w:r w:rsidRPr="00B47051">
        <w:rPr>
          <w:rFonts w:ascii="Arial" w:hAnsi="Arial" w:cs="Arial"/>
        </w:rPr>
        <w:t xml:space="preserve">. Journal of Ethnopharmacology, 107(3), 449–455. </w:t>
      </w:r>
      <w:hyperlink r:id="rId18" w:history="1">
        <w:r w:rsidRPr="00B47051">
          <w:rPr>
            <w:rStyle w:val="Hyperlink"/>
            <w:rFonts w:ascii="Arial" w:hAnsi="Arial" w:cs="Arial"/>
          </w:rPr>
          <w:t>https://doi.org/10.1016/j.jep.2006.04.004</w:t>
        </w:r>
      </w:hyperlink>
      <w:r w:rsidRPr="00B47051">
        <w:rPr>
          <w:rFonts w:ascii="Arial" w:hAnsi="Arial" w:cs="Arial"/>
        </w:rPr>
        <w:t xml:space="preserve"> </w:t>
      </w:r>
    </w:p>
    <w:p w14:paraId="55BA93BE" w14:textId="77777777" w:rsidR="00E9662E" w:rsidRPr="00B47051" w:rsidRDefault="00E9662E" w:rsidP="00F11C97">
      <w:pPr>
        <w:pStyle w:val="Body"/>
        <w:rPr>
          <w:rFonts w:ascii="Arial" w:hAnsi="Arial" w:cs="Arial"/>
        </w:rPr>
      </w:pPr>
      <w:r w:rsidRPr="00B47051">
        <w:rPr>
          <w:rFonts w:ascii="Arial" w:hAnsi="Arial" w:cs="Arial"/>
        </w:rPr>
        <w:t xml:space="preserve">Castañeda-Ovando, A., Pacheco-Hernández, M. de L., Páez-Hernández, M. E., Rodríguez, J. A., &amp; Galán-Vidal, C. A. (2009). Chemical studies of anthocyanins: A review. Food Chemistry, 113(4), 859–871. </w:t>
      </w:r>
      <w:hyperlink r:id="rId19" w:history="1">
        <w:r w:rsidRPr="00B47051">
          <w:rPr>
            <w:rStyle w:val="Hyperlink"/>
            <w:rFonts w:ascii="Arial" w:hAnsi="Arial" w:cs="Arial"/>
          </w:rPr>
          <w:t>https://doi.org/10.1016/j.foodchem.2008.09.001</w:t>
        </w:r>
      </w:hyperlink>
      <w:r w:rsidRPr="00B47051">
        <w:rPr>
          <w:rFonts w:ascii="Arial" w:hAnsi="Arial" w:cs="Arial"/>
        </w:rPr>
        <w:t xml:space="preserve">  </w:t>
      </w:r>
    </w:p>
    <w:p w14:paraId="71C2D01D" w14:textId="77777777" w:rsidR="00E9662E" w:rsidRPr="00B47051" w:rsidRDefault="00E9662E" w:rsidP="00F11C97">
      <w:pPr>
        <w:pStyle w:val="Body"/>
        <w:rPr>
          <w:rFonts w:ascii="Arial" w:hAnsi="Arial" w:cs="Arial"/>
        </w:rPr>
      </w:pPr>
      <w:r w:rsidRPr="00B47051">
        <w:rPr>
          <w:rFonts w:ascii="Arial" w:hAnsi="Arial" w:cs="Arial"/>
        </w:rPr>
        <w:t xml:space="preserve">Chua, L. S., Thong, H. Y. &amp; Soo, J. (2024). Effect of pH on the extraction and stability of anthocyanins from jaboticaba berries. Food Chemistry Advances, 5, 100835 </w:t>
      </w:r>
      <w:hyperlink r:id="rId20" w:history="1">
        <w:r w:rsidRPr="00B47051">
          <w:rPr>
            <w:rStyle w:val="Hyperlink"/>
            <w:rFonts w:ascii="Arial" w:hAnsi="Arial" w:cs="Arial"/>
          </w:rPr>
          <w:t>https://doi.org/10.1016/j.focha.2024.100835</w:t>
        </w:r>
      </w:hyperlink>
      <w:r w:rsidRPr="00B47051">
        <w:rPr>
          <w:rFonts w:ascii="Arial" w:hAnsi="Arial" w:cs="Arial"/>
        </w:rPr>
        <w:t xml:space="preserve">   </w:t>
      </w:r>
    </w:p>
    <w:p w14:paraId="59B6DE8C" w14:textId="77777777" w:rsidR="00E9662E" w:rsidRPr="00B47051" w:rsidRDefault="00E9662E" w:rsidP="00F11C97">
      <w:pPr>
        <w:pStyle w:val="Body"/>
        <w:rPr>
          <w:rFonts w:ascii="Arial" w:hAnsi="Arial" w:cs="Arial"/>
        </w:rPr>
      </w:pPr>
      <w:proofErr w:type="spellStart"/>
      <w:r w:rsidRPr="00B47051">
        <w:rPr>
          <w:rFonts w:ascii="Arial" w:hAnsi="Arial" w:cs="Arial"/>
        </w:rPr>
        <w:lastRenderedPageBreak/>
        <w:t>Cinquanta</w:t>
      </w:r>
      <w:proofErr w:type="spellEnd"/>
      <w:r w:rsidRPr="00B47051">
        <w:rPr>
          <w:rFonts w:ascii="Arial" w:hAnsi="Arial" w:cs="Arial"/>
        </w:rPr>
        <w:t>, L., Di Matteo, M. &amp; Esti, M. (2002). Physical pre-treatment of plums (</w:t>
      </w:r>
      <w:r w:rsidRPr="00B47051">
        <w:rPr>
          <w:rFonts w:ascii="Arial" w:hAnsi="Arial" w:cs="Arial"/>
          <w:i/>
          <w:iCs/>
        </w:rPr>
        <w:t>Prunus domestica</w:t>
      </w:r>
      <w:r w:rsidRPr="00B47051">
        <w:rPr>
          <w:rFonts w:ascii="Arial" w:hAnsi="Arial" w:cs="Arial"/>
        </w:rPr>
        <w:t xml:space="preserve">). Part 2. Effect on the quality characteristics of different prune cultivars. Food Chemistry, 79(2), 233-238. </w:t>
      </w:r>
      <w:hyperlink r:id="rId21" w:history="1">
        <w:r w:rsidRPr="00B47051">
          <w:rPr>
            <w:rStyle w:val="Hyperlink"/>
            <w:rFonts w:ascii="Arial" w:hAnsi="Arial" w:cs="Arial"/>
          </w:rPr>
          <w:t>https://doi.org/10.1016/S0308-8146(02)00138-3</w:t>
        </w:r>
      </w:hyperlink>
      <w:r w:rsidRPr="00B47051">
        <w:rPr>
          <w:rFonts w:ascii="Arial" w:hAnsi="Arial" w:cs="Arial"/>
        </w:rPr>
        <w:t xml:space="preserve"> </w:t>
      </w:r>
    </w:p>
    <w:p w14:paraId="57847DFE" w14:textId="77777777" w:rsidR="00E9662E" w:rsidRPr="00B47051" w:rsidRDefault="00E9662E" w:rsidP="00F11C97">
      <w:pPr>
        <w:pStyle w:val="Body"/>
        <w:rPr>
          <w:rFonts w:ascii="Arial" w:hAnsi="Arial" w:cs="Arial"/>
        </w:rPr>
      </w:pPr>
      <w:r w:rsidRPr="00B47051">
        <w:rPr>
          <w:rFonts w:ascii="Arial" w:hAnsi="Arial" w:cs="Arial"/>
        </w:rPr>
        <w:t xml:space="preserve">Collins, R. A., Ng, T. B., Fong, W. P., Wan, C. C. &amp; Yeung, H. W. 1997. Inhibition of </w:t>
      </w:r>
      <w:proofErr w:type="spellStart"/>
      <w:r w:rsidRPr="00B47051">
        <w:rPr>
          <w:rFonts w:ascii="Arial" w:hAnsi="Arial" w:cs="Arial"/>
        </w:rPr>
        <w:t>glycohydrolase</w:t>
      </w:r>
      <w:proofErr w:type="spellEnd"/>
      <w:r w:rsidRPr="00B47051">
        <w:rPr>
          <w:rFonts w:ascii="Arial" w:hAnsi="Arial" w:cs="Arial"/>
        </w:rPr>
        <w:t xml:space="preserve"> enzymes by aqueous extracts of Chinese medicinal herbs in a microplate format. International Journal of Molecular Biology and Biochemistry, 42, 1163–1169.</w:t>
      </w:r>
    </w:p>
    <w:p w14:paraId="10E27103" w14:textId="77777777" w:rsidR="00E9662E" w:rsidRPr="00B47051" w:rsidRDefault="00E9662E" w:rsidP="00F11C97">
      <w:pPr>
        <w:pStyle w:val="Body"/>
        <w:rPr>
          <w:rFonts w:ascii="Arial" w:hAnsi="Arial" w:cs="Arial"/>
        </w:rPr>
      </w:pPr>
      <w:r w:rsidRPr="00B47051">
        <w:rPr>
          <w:rFonts w:ascii="Arial" w:hAnsi="Arial" w:cs="Arial"/>
        </w:rPr>
        <w:t xml:space="preserve">Da-Costa-Rocha, I., </w:t>
      </w:r>
      <w:proofErr w:type="spellStart"/>
      <w:r w:rsidRPr="00B47051">
        <w:rPr>
          <w:rFonts w:ascii="Arial" w:hAnsi="Arial" w:cs="Arial"/>
        </w:rPr>
        <w:t>Bonnlaender</w:t>
      </w:r>
      <w:proofErr w:type="spellEnd"/>
      <w:r w:rsidRPr="00B47051">
        <w:rPr>
          <w:rFonts w:ascii="Arial" w:hAnsi="Arial" w:cs="Arial"/>
        </w:rPr>
        <w:t xml:space="preserve">, B., Sievers, H., Pischel, I., &amp; Heinrich, M. (2014). </w:t>
      </w:r>
      <w:r w:rsidRPr="00B47051">
        <w:rPr>
          <w:rFonts w:ascii="Arial" w:hAnsi="Arial" w:cs="Arial"/>
          <w:i/>
          <w:iCs/>
        </w:rPr>
        <w:t>Hibiscus sabdariffa</w:t>
      </w:r>
      <w:r w:rsidRPr="00B47051">
        <w:rPr>
          <w:rFonts w:ascii="Arial" w:hAnsi="Arial" w:cs="Arial"/>
        </w:rPr>
        <w:t xml:space="preserve"> L. - A phytochemical and pharmacological review. Food Chemistry, 165, 424–443. </w:t>
      </w:r>
      <w:hyperlink r:id="rId22" w:history="1">
        <w:r w:rsidRPr="00B47051">
          <w:rPr>
            <w:rStyle w:val="Hyperlink"/>
            <w:rFonts w:ascii="Arial" w:hAnsi="Arial" w:cs="Arial"/>
          </w:rPr>
          <w:t>https://doi.org/10.1016/j.foodchem.2014.05.002</w:t>
        </w:r>
      </w:hyperlink>
      <w:r w:rsidRPr="00B47051">
        <w:rPr>
          <w:rFonts w:ascii="Arial" w:hAnsi="Arial" w:cs="Arial"/>
        </w:rPr>
        <w:t xml:space="preserve">  </w:t>
      </w:r>
    </w:p>
    <w:p w14:paraId="5A163D9B" w14:textId="77777777" w:rsidR="00E9662E" w:rsidRPr="00B47051" w:rsidRDefault="00E9662E" w:rsidP="00F11C97">
      <w:pPr>
        <w:pStyle w:val="Body"/>
        <w:rPr>
          <w:rFonts w:ascii="Arial" w:hAnsi="Arial" w:cs="Arial"/>
        </w:rPr>
      </w:pPr>
      <w:r w:rsidRPr="00B47051">
        <w:rPr>
          <w:rFonts w:ascii="Arial" w:hAnsi="Arial" w:cs="Arial"/>
        </w:rPr>
        <w:t xml:space="preserve">Deutschlander, M. S., van de Venter, M., Roux, S., Louw, J. &amp; Lall, N. (2009). Hypoglycaemic activity of four plant extracts traditionally used in South Africa for diabetes. Journal of </w:t>
      </w:r>
      <w:proofErr w:type="spellStart"/>
      <w:r w:rsidRPr="00B47051">
        <w:rPr>
          <w:rFonts w:ascii="Arial" w:hAnsi="Arial" w:cs="Arial"/>
        </w:rPr>
        <w:t>Ethnopharmacol</w:t>
      </w:r>
      <w:proofErr w:type="spellEnd"/>
      <w:r w:rsidRPr="00B47051">
        <w:rPr>
          <w:rFonts w:ascii="Arial" w:hAnsi="Arial" w:cs="Arial"/>
        </w:rPr>
        <w:t xml:space="preserve">, 124, 619–24. </w:t>
      </w:r>
      <w:hyperlink r:id="rId23" w:history="1">
        <w:r w:rsidRPr="00B47051">
          <w:rPr>
            <w:rStyle w:val="Hyperlink"/>
            <w:rFonts w:ascii="Arial" w:hAnsi="Arial" w:cs="Arial"/>
          </w:rPr>
          <w:t>https://doi.org/10.1016/j.jep.2009.04.052</w:t>
        </w:r>
      </w:hyperlink>
      <w:r w:rsidRPr="00B47051">
        <w:rPr>
          <w:rFonts w:ascii="Arial" w:hAnsi="Arial" w:cs="Arial"/>
        </w:rPr>
        <w:t xml:space="preserve"> </w:t>
      </w:r>
    </w:p>
    <w:p w14:paraId="22464205" w14:textId="77777777" w:rsidR="00E9662E" w:rsidRPr="00B47051" w:rsidRDefault="00E9662E" w:rsidP="00F11C97">
      <w:pPr>
        <w:pStyle w:val="Body"/>
        <w:rPr>
          <w:rFonts w:ascii="Arial" w:hAnsi="Arial" w:cs="Arial"/>
        </w:rPr>
      </w:pPr>
      <w:r w:rsidRPr="00B47051">
        <w:rPr>
          <w:rFonts w:ascii="Arial" w:hAnsi="Arial" w:cs="Arial"/>
        </w:rPr>
        <w:t xml:space="preserve">Dong, J., Li, W., Du, X., He, X., Deng, B., Zheng, H., Tian, Y., Sheng, J. &amp; Fang, C. (2023). </w:t>
      </w:r>
      <w:r w:rsidRPr="00B47051">
        <w:rPr>
          <w:rFonts w:ascii="Arial" w:hAnsi="Arial" w:cs="Arial"/>
          <w:i/>
          <w:iCs/>
        </w:rPr>
        <w:t>Garcinia cambogia</w:t>
      </w:r>
      <w:r w:rsidRPr="00B47051">
        <w:rPr>
          <w:rFonts w:ascii="Arial" w:hAnsi="Arial" w:cs="Arial"/>
        </w:rPr>
        <w:t xml:space="preserve"> water extract alleviates insulin resistance and hepatic lipid accumulation in mice fed a high-fat diet. Food and Nutrition Research, 67. </w:t>
      </w:r>
      <w:hyperlink r:id="rId24" w:history="1">
        <w:r w:rsidRPr="00B47051">
          <w:rPr>
            <w:rStyle w:val="Hyperlink"/>
            <w:rFonts w:ascii="Arial" w:hAnsi="Arial" w:cs="Arial"/>
          </w:rPr>
          <w:t>https://doi:10.29219/fnr.v67.8977</w:t>
        </w:r>
      </w:hyperlink>
      <w:r w:rsidRPr="00B47051">
        <w:rPr>
          <w:rFonts w:ascii="Arial" w:hAnsi="Arial" w:cs="Arial"/>
        </w:rPr>
        <w:t xml:space="preserve">    </w:t>
      </w:r>
    </w:p>
    <w:p w14:paraId="7C5F8411" w14:textId="77777777" w:rsidR="00E9662E" w:rsidRPr="00B47051" w:rsidRDefault="00E9662E" w:rsidP="00F11C97">
      <w:pPr>
        <w:pStyle w:val="Body"/>
        <w:rPr>
          <w:rFonts w:ascii="Arial" w:hAnsi="Arial" w:cs="Arial"/>
        </w:rPr>
      </w:pPr>
      <w:r w:rsidRPr="00B47051">
        <w:rPr>
          <w:rFonts w:ascii="Arial" w:hAnsi="Arial" w:cs="Arial"/>
        </w:rPr>
        <w:t xml:space="preserve">Ee Shian, T., Aminah, A., Kassim, N. K. &amp; </w:t>
      </w:r>
      <w:proofErr w:type="spellStart"/>
      <w:r w:rsidRPr="00B47051">
        <w:rPr>
          <w:rFonts w:ascii="Arial" w:hAnsi="Arial" w:cs="Arial"/>
        </w:rPr>
        <w:t>Shahrul</w:t>
      </w:r>
      <w:proofErr w:type="spellEnd"/>
      <w:r w:rsidRPr="00B47051">
        <w:rPr>
          <w:rFonts w:ascii="Arial" w:hAnsi="Arial" w:cs="Arial"/>
        </w:rPr>
        <w:t xml:space="preserve"> Hisham, Z. A. (2015). Antioxidant and hypoglycaemic effects of local bitter gourd fruit (</w:t>
      </w:r>
      <w:r w:rsidRPr="00B47051">
        <w:rPr>
          <w:rFonts w:ascii="Arial" w:hAnsi="Arial" w:cs="Arial"/>
          <w:i/>
          <w:iCs/>
        </w:rPr>
        <w:t xml:space="preserve">Momordica </w:t>
      </w:r>
      <w:proofErr w:type="spellStart"/>
      <w:r w:rsidRPr="00B47051">
        <w:rPr>
          <w:rFonts w:ascii="Arial" w:hAnsi="Arial" w:cs="Arial"/>
          <w:i/>
          <w:iCs/>
        </w:rPr>
        <w:t>charantia</w:t>
      </w:r>
      <w:proofErr w:type="spellEnd"/>
      <w:r w:rsidRPr="00B47051">
        <w:rPr>
          <w:rFonts w:ascii="Arial" w:hAnsi="Arial" w:cs="Arial"/>
        </w:rPr>
        <w:t xml:space="preserve">). International Journal of </w:t>
      </w:r>
      <w:proofErr w:type="spellStart"/>
      <w:r w:rsidRPr="00B47051">
        <w:rPr>
          <w:rFonts w:ascii="Arial" w:hAnsi="Arial" w:cs="Arial"/>
        </w:rPr>
        <w:t>PharmTech</w:t>
      </w:r>
      <w:proofErr w:type="spellEnd"/>
      <w:r w:rsidRPr="00B47051">
        <w:rPr>
          <w:rFonts w:ascii="Arial" w:hAnsi="Arial" w:cs="Arial"/>
        </w:rPr>
        <w:t xml:space="preserve"> Research, 8, 46–52.</w:t>
      </w:r>
    </w:p>
    <w:p w14:paraId="775A809A" w14:textId="77777777" w:rsidR="00E9662E" w:rsidRPr="00B47051" w:rsidRDefault="00E9662E" w:rsidP="00F11C97">
      <w:pPr>
        <w:pStyle w:val="Body"/>
        <w:rPr>
          <w:rFonts w:ascii="Arial" w:hAnsi="Arial" w:cs="Arial"/>
        </w:rPr>
      </w:pPr>
      <w:r w:rsidRPr="00B47051">
        <w:rPr>
          <w:rFonts w:ascii="Arial" w:hAnsi="Arial" w:cs="Arial"/>
        </w:rPr>
        <w:t>El</w:t>
      </w:r>
      <w:r w:rsidRPr="00B47051">
        <w:rPr>
          <w:rFonts w:ascii="Cambria Math" w:hAnsi="Cambria Math" w:cs="Cambria Math"/>
        </w:rPr>
        <w:t>‑</w:t>
      </w:r>
      <w:r w:rsidRPr="00B47051">
        <w:rPr>
          <w:rFonts w:ascii="Arial" w:hAnsi="Arial" w:cs="Arial"/>
        </w:rPr>
        <w:t xml:space="preserve">Naeem, A., Abdalla, S., Ahmed, I., &amp; Alhassan, G. (2022). Phytochemicals and in silico investigations of Sudanese roselle. South African Journal of Science, 118(1/2). </w:t>
      </w:r>
      <w:hyperlink r:id="rId25" w:history="1">
        <w:r w:rsidRPr="00B47051">
          <w:rPr>
            <w:rStyle w:val="Hyperlink"/>
            <w:rFonts w:ascii="Arial" w:hAnsi="Arial" w:cs="Arial"/>
          </w:rPr>
          <w:t>https://doi.org/10.17159/sajs.2022/10383</w:t>
        </w:r>
      </w:hyperlink>
      <w:r w:rsidRPr="00B47051">
        <w:rPr>
          <w:rFonts w:ascii="Arial" w:hAnsi="Arial" w:cs="Arial"/>
        </w:rPr>
        <w:t xml:space="preserve">   </w:t>
      </w:r>
    </w:p>
    <w:p w14:paraId="66047AAC" w14:textId="77777777" w:rsidR="00E9662E" w:rsidRPr="00B47051" w:rsidRDefault="00E9662E" w:rsidP="00F11C97">
      <w:pPr>
        <w:pStyle w:val="Body"/>
        <w:rPr>
          <w:rFonts w:ascii="Arial" w:hAnsi="Arial" w:cs="Arial"/>
        </w:rPr>
      </w:pPr>
      <w:proofErr w:type="spellStart"/>
      <w:r w:rsidRPr="00B47051">
        <w:rPr>
          <w:rFonts w:ascii="Arial" w:hAnsi="Arial" w:cs="Arial"/>
        </w:rPr>
        <w:t>Enaru</w:t>
      </w:r>
      <w:proofErr w:type="spellEnd"/>
      <w:r w:rsidRPr="00B47051">
        <w:rPr>
          <w:rFonts w:ascii="Arial" w:hAnsi="Arial" w:cs="Arial"/>
        </w:rPr>
        <w:t xml:space="preserve">, B., Iordache, A. M., &amp; Mocanu, G. (2021). Anthocyanins: Factors affecting their stability and biological activity. Antioxidants, 10(12), 1967. </w:t>
      </w:r>
      <w:hyperlink r:id="rId26" w:history="1">
        <w:r w:rsidRPr="00B47051">
          <w:rPr>
            <w:rStyle w:val="Hyperlink"/>
            <w:rFonts w:ascii="Arial" w:hAnsi="Arial" w:cs="Arial"/>
          </w:rPr>
          <w:t>https://doi.org/10.3390/antiox10121967</w:t>
        </w:r>
      </w:hyperlink>
      <w:r w:rsidRPr="00B47051">
        <w:rPr>
          <w:rFonts w:ascii="Arial" w:hAnsi="Arial" w:cs="Arial"/>
        </w:rPr>
        <w:t xml:space="preserve">  </w:t>
      </w:r>
    </w:p>
    <w:p w14:paraId="54E2F385" w14:textId="77777777" w:rsidR="00E9662E" w:rsidRPr="00B47051" w:rsidRDefault="00E9662E" w:rsidP="00F11C97">
      <w:pPr>
        <w:pStyle w:val="Body"/>
        <w:rPr>
          <w:rFonts w:ascii="Arial" w:hAnsi="Arial" w:cs="Arial"/>
        </w:rPr>
      </w:pPr>
      <w:proofErr w:type="spellStart"/>
      <w:r w:rsidRPr="00B47051">
        <w:rPr>
          <w:rFonts w:ascii="Arial" w:hAnsi="Arial" w:cs="Arial"/>
        </w:rPr>
        <w:t>Horžić</w:t>
      </w:r>
      <w:proofErr w:type="spellEnd"/>
      <w:r w:rsidRPr="00B47051">
        <w:rPr>
          <w:rFonts w:ascii="Arial" w:hAnsi="Arial" w:cs="Arial"/>
        </w:rPr>
        <w:t xml:space="preserve">, D., Komes, D., </w:t>
      </w:r>
      <w:proofErr w:type="spellStart"/>
      <w:r w:rsidRPr="00B47051">
        <w:rPr>
          <w:rFonts w:ascii="Arial" w:hAnsi="Arial" w:cs="Arial"/>
        </w:rPr>
        <w:t>Belščak</w:t>
      </w:r>
      <w:proofErr w:type="spellEnd"/>
      <w:r w:rsidRPr="00B47051">
        <w:rPr>
          <w:rFonts w:ascii="Arial" w:hAnsi="Arial" w:cs="Arial"/>
        </w:rPr>
        <w:t xml:space="preserve">, A., Kovačević Ganić, K., Iveković, D. &amp; Karlović, D. (2009). The composition of polyphenols and methylxanthines in teas and herbal infusions. Food Chemistry, 115(2), 441–448. </w:t>
      </w:r>
      <w:hyperlink r:id="rId27" w:history="1">
        <w:r w:rsidRPr="00B47051">
          <w:rPr>
            <w:rStyle w:val="Hyperlink"/>
            <w:rFonts w:ascii="Arial" w:hAnsi="Arial" w:cs="Arial"/>
          </w:rPr>
          <w:t>https://doi.org/10.1016/j.foodchem.2008.12.022</w:t>
        </w:r>
      </w:hyperlink>
      <w:r w:rsidRPr="00B47051">
        <w:rPr>
          <w:rFonts w:ascii="Arial" w:hAnsi="Arial" w:cs="Arial"/>
        </w:rPr>
        <w:t xml:space="preserve">  </w:t>
      </w:r>
    </w:p>
    <w:p w14:paraId="21A529C2" w14:textId="77777777" w:rsidR="00E9662E" w:rsidRPr="00B47051" w:rsidRDefault="00E9662E" w:rsidP="00F11C97">
      <w:pPr>
        <w:pStyle w:val="Body"/>
        <w:rPr>
          <w:rFonts w:ascii="Arial" w:hAnsi="Arial" w:cs="Arial"/>
        </w:rPr>
      </w:pPr>
      <w:r w:rsidRPr="00B47051">
        <w:rPr>
          <w:rFonts w:ascii="Arial" w:hAnsi="Arial" w:cs="Arial"/>
        </w:rPr>
        <w:t xml:space="preserve">Jackman, R. L., &amp; Smith, J. L. (1996). Anthocyanins and </w:t>
      </w:r>
      <w:proofErr w:type="spellStart"/>
      <w:r w:rsidRPr="00B47051">
        <w:rPr>
          <w:rFonts w:ascii="Arial" w:hAnsi="Arial" w:cs="Arial"/>
        </w:rPr>
        <w:t>betalains</w:t>
      </w:r>
      <w:proofErr w:type="spellEnd"/>
      <w:r w:rsidRPr="00B47051">
        <w:rPr>
          <w:rFonts w:ascii="Arial" w:hAnsi="Arial" w:cs="Arial"/>
        </w:rPr>
        <w:t>. In G. A. F. Hendry &amp; J. D. Houghton (Eds.), Natural Food Colorants (pp. 244–309). Springer.</w:t>
      </w:r>
    </w:p>
    <w:p w14:paraId="583FB54B" w14:textId="77777777" w:rsidR="00E9662E" w:rsidRPr="00B47051" w:rsidRDefault="00E9662E" w:rsidP="00F11C97">
      <w:pPr>
        <w:pStyle w:val="Body"/>
        <w:rPr>
          <w:rFonts w:ascii="Arial" w:hAnsi="Arial" w:cs="Arial"/>
        </w:rPr>
      </w:pPr>
      <w:r w:rsidRPr="00B47051">
        <w:rPr>
          <w:rFonts w:ascii="Arial" w:hAnsi="Arial" w:cs="Arial"/>
        </w:rPr>
        <w:t>Jamini, T. S. &amp; Islam, A. A. (2021) Roselle (</w:t>
      </w:r>
      <w:r w:rsidRPr="00B47051">
        <w:rPr>
          <w:rFonts w:ascii="Arial" w:hAnsi="Arial" w:cs="Arial"/>
          <w:i/>
          <w:iCs/>
        </w:rPr>
        <w:t>Hibiscus sabdariffa</w:t>
      </w:r>
      <w:r w:rsidRPr="00B47051">
        <w:rPr>
          <w:rFonts w:ascii="Arial" w:hAnsi="Arial" w:cs="Arial"/>
        </w:rPr>
        <w:t xml:space="preserve"> L.): Nutraceutical and pharmaceutical significance. In: Roselle, Academic Press, Cambridge, 103-119. </w:t>
      </w:r>
      <w:hyperlink r:id="rId28" w:history="1">
        <w:r w:rsidRPr="00B47051">
          <w:rPr>
            <w:rStyle w:val="Hyperlink"/>
            <w:rFonts w:ascii="Arial" w:hAnsi="Arial" w:cs="Arial"/>
          </w:rPr>
          <w:t>https://doi.org/10.1016/B978-0-323-85213-5.00001-9</w:t>
        </w:r>
      </w:hyperlink>
      <w:r w:rsidRPr="00B47051">
        <w:rPr>
          <w:rFonts w:ascii="Arial" w:hAnsi="Arial" w:cs="Arial"/>
        </w:rPr>
        <w:t xml:space="preserve">  </w:t>
      </w:r>
    </w:p>
    <w:p w14:paraId="1F1AD278" w14:textId="77777777" w:rsidR="00E9662E" w:rsidRPr="00B47051" w:rsidRDefault="00E9662E" w:rsidP="00F11C97">
      <w:pPr>
        <w:pStyle w:val="Body"/>
        <w:rPr>
          <w:rFonts w:ascii="Arial" w:hAnsi="Arial" w:cs="Arial"/>
        </w:rPr>
      </w:pPr>
      <w:r w:rsidRPr="00B47051">
        <w:rPr>
          <w:rFonts w:ascii="Arial" w:hAnsi="Arial" w:cs="Arial"/>
        </w:rPr>
        <w:t xml:space="preserve">Kong, J. M., Chia, L. S., Goh, N. K., Chia, T. F. &amp; Brouillard, R. (2003). Analysis and biological activities of anthocyanins. Phytochemistry, 64(5), 923–933. </w:t>
      </w:r>
      <w:hyperlink r:id="rId29" w:history="1">
        <w:r w:rsidRPr="00B47051">
          <w:rPr>
            <w:rStyle w:val="Hyperlink"/>
            <w:rFonts w:ascii="Arial" w:hAnsi="Arial" w:cs="Arial"/>
          </w:rPr>
          <w:t>https://doi.org/10.1016/S0031-9422(03)00438-2</w:t>
        </w:r>
      </w:hyperlink>
      <w:r w:rsidRPr="00B47051">
        <w:rPr>
          <w:rFonts w:ascii="Arial" w:hAnsi="Arial" w:cs="Arial"/>
        </w:rPr>
        <w:t xml:space="preserve">  </w:t>
      </w:r>
    </w:p>
    <w:p w14:paraId="6308FF5D" w14:textId="77777777" w:rsidR="00E9662E" w:rsidRPr="00B47051" w:rsidRDefault="00E9662E" w:rsidP="00F11C97">
      <w:pPr>
        <w:pStyle w:val="Body"/>
        <w:rPr>
          <w:rFonts w:ascii="Arial" w:hAnsi="Arial" w:cs="Arial"/>
        </w:rPr>
      </w:pPr>
      <w:r w:rsidRPr="00B47051">
        <w:rPr>
          <w:rFonts w:ascii="Arial" w:hAnsi="Arial" w:cs="Arial"/>
        </w:rPr>
        <w:t xml:space="preserve">Kosińska, A. &amp; </w:t>
      </w:r>
      <w:proofErr w:type="spellStart"/>
      <w:r w:rsidRPr="00B47051">
        <w:rPr>
          <w:rFonts w:ascii="Arial" w:hAnsi="Arial" w:cs="Arial"/>
        </w:rPr>
        <w:t>Andlauer</w:t>
      </w:r>
      <w:proofErr w:type="spellEnd"/>
      <w:r w:rsidRPr="00B47051">
        <w:rPr>
          <w:rFonts w:ascii="Arial" w:hAnsi="Arial" w:cs="Arial"/>
        </w:rPr>
        <w:t xml:space="preserve">, W. (2014). Chapter 12 - Antioxidant Capacity of Tea: Effect of Processing and Storage. Processing and Impact on Antioxidants in Beverages, 40(1), 109-120. </w:t>
      </w:r>
      <w:hyperlink r:id="rId30" w:history="1">
        <w:r w:rsidRPr="00B47051">
          <w:rPr>
            <w:rStyle w:val="Hyperlink"/>
            <w:rFonts w:ascii="Arial" w:hAnsi="Arial" w:cs="Arial"/>
          </w:rPr>
          <w:t>https://doi.org/10.1016/B978-0-12-404738-9.00012-X</w:t>
        </w:r>
      </w:hyperlink>
      <w:r w:rsidRPr="00B47051">
        <w:rPr>
          <w:rFonts w:ascii="Arial" w:hAnsi="Arial" w:cs="Arial"/>
        </w:rPr>
        <w:t xml:space="preserve">  </w:t>
      </w:r>
    </w:p>
    <w:p w14:paraId="6B396E58" w14:textId="77777777" w:rsidR="00E9662E" w:rsidRPr="00B47051" w:rsidRDefault="00E9662E" w:rsidP="00F11C97">
      <w:pPr>
        <w:pStyle w:val="Body"/>
        <w:rPr>
          <w:rFonts w:ascii="Arial" w:hAnsi="Arial" w:cs="Arial"/>
        </w:rPr>
      </w:pPr>
      <w:r w:rsidRPr="00B47051">
        <w:rPr>
          <w:rFonts w:ascii="Arial" w:hAnsi="Arial" w:cs="Arial"/>
        </w:rPr>
        <w:t xml:space="preserve">Larasati, I. D., </w:t>
      </w:r>
      <w:proofErr w:type="spellStart"/>
      <w:r w:rsidRPr="00B47051">
        <w:rPr>
          <w:rFonts w:ascii="Arial" w:hAnsi="Arial" w:cs="Arial"/>
        </w:rPr>
        <w:t>Oktaviani</w:t>
      </w:r>
      <w:proofErr w:type="spellEnd"/>
      <w:r w:rsidRPr="00B47051">
        <w:rPr>
          <w:rFonts w:ascii="Arial" w:hAnsi="Arial" w:cs="Arial"/>
        </w:rPr>
        <w:t xml:space="preserve">, N. M. D., </w:t>
      </w:r>
      <w:proofErr w:type="spellStart"/>
      <w:r w:rsidRPr="00B47051">
        <w:rPr>
          <w:rFonts w:ascii="Arial" w:hAnsi="Arial" w:cs="Arial"/>
        </w:rPr>
        <w:t>Lioe</w:t>
      </w:r>
      <w:proofErr w:type="spellEnd"/>
      <w:r w:rsidRPr="00B47051">
        <w:rPr>
          <w:rFonts w:ascii="Arial" w:hAnsi="Arial" w:cs="Arial"/>
        </w:rPr>
        <w:t xml:space="preserve">, H. N., </w:t>
      </w:r>
      <w:proofErr w:type="spellStart"/>
      <w:r w:rsidRPr="00B47051">
        <w:rPr>
          <w:rFonts w:ascii="Arial" w:hAnsi="Arial" w:cs="Arial"/>
        </w:rPr>
        <w:t>Estiasih</w:t>
      </w:r>
      <w:proofErr w:type="spellEnd"/>
      <w:r w:rsidRPr="00B47051">
        <w:rPr>
          <w:rFonts w:ascii="Arial" w:hAnsi="Arial" w:cs="Arial"/>
        </w:rPr>
        <w:t xml:space="preserve">, T., Palma, M., &amp; </w:t>
      </w:r>
      <w:proofErr w:type="spellStart"/>
      <w:r w:rsidRPr="00B47051">
        <w:rPr>
          <w:rFonts w:ascii="Arial" w:hAnsi="Arial" w:cs="Arial"/>
        </w:rPr>
        <w:t>Setyaningsih</w:t>
      </w:r>
      <w:proofErr w:type="spellEnd"/>
      <w:r w:rsidRPr="00B47051">
        <w:rPr>
          <w:rFonts w:ascii="Arial" w:hAnsi="Arial" w:cs="Arial"/>
        </w:rPr>
        <w:t>, W. (2023). Optimization of ultrasound-assisted cold-brew method for developing roselle (</w:t>
      </w:r>
      <w:r w:rsidRPr="00B47051">
        <w:rPr>
          <w:rFonts w:ascii="Arial" w:hAnsi="Arial" w:cs="Arial"/>
          <w:i/>
          <w:iCs/>
        </w:rPr>
        <w:t xml:space="preserve">Hibiscus </w:t>
      </w:r>
      <w:r w:rsidRPr="00B47051">
        <w:rPr>
          <w:rFonts w:ascii="Arial" w:hAnsi="Arial" w:cs="Arial"/>
          <w:i/>
          <w:iCs/>
        </w:rPr>
        <w:lastRenderedPageBreak/>
        <w:t>sabdariffa</w:t>
      </w:r>
      <w:r w:rsidRPr="00B47051">
        <w:rPr>
          <w:rFonts w:ascii="Arial" w:hAnsi="Arial" w:cs="Arial"/>
        </w:rPr>
        <w:t xml:space="preserve"> L.) - Based tisane with high antioxidant activity. Beverages, 9(3), 58. </w:t>
      </w:r>
      <w:hyperlink r:id="rId31" w:history="1">
        <w:r w:rsidRPr="00B47051">
          <w:rPr>
            <w:rStyle w:val="Hyperlink"/>
            <w:rFonts w:ascii="Arial" w:hAnsi="Arial" w:cs="Arial"/>
          </w:rPr>
          <w:t>https://doi.org/10.3390/BEVERAGES9030058</w:t>
        </w:r>
      </w:hyperlink>
      <w:r w:rsidRPr="00B47051">
        <w:rPr>
          <w:rFonts w:ascii="Arial" w:hAnsi="Arial" w:cs="Arial"/>
        </w:rPr>
        <w:t xml:space="preserve">  </w:t>
      </w:r>
    </w:p>
    <w:p w14:paraId="154B24D3" w14:textId="77777777" w:rsidR="00E9662E" w:rsidRPr="00B47051" w:rsidRDefault="00E9662E" w:rsidP="00F11C97">
      <w:pPr>
        <w:pStyle w:val="Body"/>
        <w:rPr>
          <w:rFonts w:ascii="Arial" w:hAnsi="Arial" w:cs="Arial"/>
        </w:rPr>
      </w:pPr>
      <w:r w:rsidRPr="00B47051">
        <w:rPr>
          <w:rFonts w:ascii="Arial" w:hAnsi="Arial" w:cs="Arial"/>
        </w:rPr>
        <w:t xml:space="preserve">Lee, J., Durst, R. W. &amp; Wrolstad, R. E. (2005). Determination of total monomeric anthocyanin pigment content of fruit juices, beverages, natural colorants, and wines by the pH differential method: Collaborative study. Journal of AOAC International, 88(5), 1269–1278. </w:t>
      </w:r>
      <w:hyperlink r:id="rId32" w:history="1">
        <w:r w:rsidRPr="00B47051">
          <w:rPr>
            <w:rStyle w:val="Hyperlink"/>
            <w:rFonts w:ascii="Arial" w:hAnsi="Arial" w:cs="Arial"/>
          </w:rPr>
          <w:t>https://doi.org/10.1093/jaoac/88.5.1269</w:t>
        </w:r>
      </w:hyperlink>
      <w:r w:rsidRPr="00B47051">
        <w:rPr>
          <w:rFonts w:ascii="Arial" w:hAnsi="Arial" w:cs="Arial"/>
        </w:rPr>
        <w:t xml:space="preserve">  </w:t>
      </w:r>
    </w:p>
    <w:p w14:paraId="7ED07A0E" w14:textId="77777777" w:rsidR="00E9662E" w:rsidRPr="00B47051" w:rsidRDefault="00E9662E" w:rsidP="00F11C97">
      <w:pPr>
        <w:pStyle w:val="Body"/>
        <w:rPr>
          <w:rFonts w:ascii="Arial" w:hAnsi="Arial" w:cs="Arial"/>
        </w:rPr>
      </w:pPr>
      <w:r w:rsidRPr="00B47051">
        <w:rPr>
          <w:rFonts w:ascii="Arial" w:hAnsi="Arial" w:cs="Arial"/>
        </w:rPr>
        <w:t>Lim, Y. N., Lim, T. T. &amp; Tee, J. J. (2006). Antioxidant properties of guava fruit: Comparison with some local fruits. Sunway Academic Journal, 3, 9–20.</w:t>
      </w:r>
    </w:p>
    <w:p w14:paraId="1EE76F43" w14:textId="77777777" w:rsidR="00E9662E" w:rsidRPr="00B47051" w:rsidRDefault="00E9662E" w:rsidP="00F11C97">
      <w:pPr>
        <w:pStyle w:val="Body"/>
        <w:rPr>
          <w:rFonts w:ascii="Arial" w:hAnsi="Arial" w:cs="Arial"/>
        </w:rPr>
      </w:pPr>
      <w:r w:rsidRPr="00B47051">
        <w:rPr>
          <w:rFonts w:ascii="Arial" w:hAnsi="Arial" w:cs="Arial"/>
        </w:rPr>
        <w:t xml:space="preserve">Lin, H., Charles, A. L., Hsieh, C., Lee, Y. &amp; </w:t>
      </w:r>
      <w:proofErr w:type="spellStart"/>
      <w:r w:rsidRPr="00B47051">
        <w:rPr>
          <w:rFonts w:ascii="Arial" w:hAnsi="Arial" w:cs="Arial"/>
        </w:rPr>
        <w:t>Ciou</w:t>
      </w:r>
      <w:proofErr w:type="spellEnd"/>
      <w:r w:rsidRPr="00B47051">
        <w:rPr>
          <w:rFonts w:ascii="Arial" w:hAnsi="Arial" w:cs="Arial"/>
        </w:rPr>
        <w:t xml:space="preserve">, J. (2015). Antioxidant effects of 14 Chinese traditional medicinal herbs against human low-density lipoprotein oxidation. Journal of Traditional and Complementary Medicine, 5(1), 51-55. </w:t>
      </w:r>
      <w:hyperlink r:id="rId33" w:history="1">
        <w:r w:rsidRPr="00B47051">
          <w:rPr>
            <w:rStyle w:val="Hyperlink"/>
            <w:rFonts w:ascii="Arial" w:hAnsi="Arial" w:cs="Arial"/>
          </w:rPr>
          <w:t>https://doi.org/10.1016/j.jtcme.2014.10.001</w:t>
        </w:r>
      </w:hyperlink>
      <w:r w:rsidRPr="00B47051">
        <w:rPr>
          <w:rFonts w:ascii="Arial" w:hAnsi="Arial" w:cs="Arial"/>
        </w:rPr>
        <w:t xml:space="preserve">  </w:t>
      </w:r>
    </w:p>
    <w:p w14:paraId="2FA420B4" w14:textId="77777777" w:rsidR="00E9662E" w:rsidRPr="00B47051" w:rsidRDefault="00E9662E" w:rsidP="00F11C97">
      <w:pPr>
        <w:pStyle w:val="Body"/>
        <w:rPr>
          <w:rFonts w:ascii="Arial" w:hAnsi="Arial" w:cs="Arial"/>
        </w:rPr>
      </w:pPr>
      <w:r w:rsidRPr="00B47051">
        <w:rPr>
          <w:rFonts w:ascii="Arial" w:hAnsi="Arial" w:cs="Arial"/>
        </w:rPr>
        <w:t xml:space="preserve">López-Alarcón, C. &amp; </w:t>
      </w:r>
      <w:proofErr w:type="spellStart"/>
      <w:r w:rsidRPr="00B47051">
        <w:rPr>
          <w:rFonts w:ascii="Arial" w:hAnsi="Arial" w:cs="Arial"/>
        </w:rPr>
        <w:t>Denicola</w:t>
      </w:r>
      <w:proofErr w:type="spellEnd"/>
      <w:r w:rsidRPr="00B47051">
        <w:rPr>
          <w:rFonts w:ascii="Arial" w:hAnsi="Arial" w:cs="Arial"/>
        </w:rPr>
        <w:t xml:space="preserve">, A. (2013). Evaluating the antioxidant capacity of natural products: A review on chemical and cellular-based assays. Analytica </w:t>
      </w:r>
      <w:proofErr w:type="spellStart"/>
      <w:r w:rsidRPr="00B47051">
        <w:rPr>
          <w:rFonts w:ascii="Arial" w:hAnsi="Arial" w:cs="Arial"/>
        </w:rPr>
        <w:t>Chimica</w:t>
      </w:r>
      <w:proofErr w:type="spellEnd"/>
      <w:r w:rsidRPr="00B47051">
        <w:rPr>
          <w:rFonts w:ascii="Arial" w:hAnsi="Arial" w:cs="Arial"/>
        </w:rPr>
        <w:t xml:space="preserve"> Acta, 763, 1-10. </w:t>
      </w:r>
      <w:hyperlink r:id="rId34" w:history="1">
        <w:r w:rsidRPr="00B47051">
          <w:rPr>
            <w:rStyle w:val="Hyperlink"/>
            <w:rFonts w:ascii="Arial" w:hAnsi="Arial" w:cs="Arial"/>
          </w:rPr>
          <w:t>https://doi.org/10.1016/j.aca.2012.11.051</w:t>
        </w:r>
      </w:hyperlink>
      <w:r w:rsidRPr="00B47051">
        <w:rPr>
          <w:rFonts w:ascii="Arial" w:hAnsi="Arial" w:cs="Arial"/>
        </w:rPr>
        <w:t xml:space="preserve">  </w:t>
      </w:r>
    </w:p>
    <w:p w14:paraId="4687582E" w14:textId="77777777" w:rsidR="00E9662E" w:rsidRPr="00B47051" w:rsidRDefault="00E9662E" w:rsidP="00F11C97">
      <w:pPr>
        <w:pStyle w:val="Body"/>
        <w:rPr>
          <w:rFonts w:ascii="Arial" w:hAnsi="Arial" w:cs="Arial"/>
        </w:rPr>
      </w:pPr>
      <w:r w:rsidRPr="00B47051">
        <w:rPr>
          <w:rFonts w:ascii="Arial" w:hAnsi="Arial" w:cs="Arial"/>
        </w:rPr>
        <w:t xml:space="preserve">Lu, Y. &amp; Foo, Y. L. (2000). Antioxidant and radical scavenging activities of polyphenols from apple pomace. Food Chemistry, 68(1), 81-85. </w:t>
      </w:r>
      <w:hyperlink r:id="rId35" w:history="1">
        <w:r w:rsidRPr="00B47051">
          <w:rPr>
            <w:rStyle w:val="Hyperlink"/>
            <w:rFonts w:ascii="Arial" w:hAnsi="Arial" w:cs="Arial"/>
          </w:rPr>
          <w:t>https://doi.org/10.1016/S0308-8146(99)00167-3</w:t>
        </w:r>
      </w:hyperlink>
      <w:r w:rsidRPr="00B47051">
        <w:rPr>
          <w:rFonts w:ascii="Arial" w:hAnsi="Arial" w:cs="Arial"/>
        </w:rPr>
        <w:t xml:space="preserve"> </w:t>
      </w:r>
    </w:p>
    <w:p w14:paraId="514EBECB" w14:textId="77777777" w:rsidR="00E9662E" w:rsidRPr="00B47051" w:rsidRDefault="00E9662E" w:rsidP="00F11C97">
      <w:pPr>
        <w:pStyle w:val="Body"/>
        <w:rPr>
          <w:rFonts w:ascii="Arial" w:hAnsi="Arial" w:cs="Arial"/>
        </w:rPr>
      </w:pPr>
      <w:r w:rsidRPr="00B47051">
        <w:rPr>
          <w:rFonts w:ascii="Arial" w:hAnsi="Arial" w:cs="Arial"/>
        </w:rPr>
        <w:t xml:space="preserve">Nguyen, Q. V. &amp; </w:t>
      </w:r>
      <w:proofErr w:type="spellStart"/>
      <w:r w:rsidRPr="00B47051">
        <w:rPr>
          <w:rFonts w:ascii="Arial" w:hAnsi="Arial" w:cs="Arial"/>
        </w:rPr>
        <w:t>Chuyen</w:t>
      </w:r>
      <w:proofErr w:type="spellEnd"/>
      <w:r w:rsidRPr="00B47051">
        <w:rPr>
          <w:rFonts w:ascii="Arial" w:hAnsi="Arial" w:cs="Arial"/>
        </w:rPr>
        <w:t>, T. T. T. (2020). Processing of herbal tea from roselle (</w:t>
      </w:r>
      <w:r w:rsidRPr="00B47051">
        <w:rPr>
          <w:rFonts w:ascii="Arial" w:hAnsi="Arial" w:cs="Arial"/>
          <w:i/>
          <w:iCs/>
        </w:rPr>
        <w:t>Hibiscus sabdariffa</w:t>
      </w:r>
      <w:r w:rsidRPr="00B47051">
        <w:rPr>
          <w:rFonts w:ascii="Arial" w:hAnsi="Arial" w:cs="Arial"/>
        </w:rPr>
        <w:t xml:space="preserve"> L.): Effects of drying temperature and brewing conditions on total soluble solid, phenolic content, antioxidant capacity and sensory quality. Beverages, 6(1), 2. </w:t>
      </w:r>
      <w:hyperlink r:id="rId36" w:history="1">
        <w:r w:rsidRPr="00B47051">
          <w:rPr>
            <w:rStyle w:val="Hyperlink"/>
            <w:rFonts w:ascii="Arial" w:hAnsi="Arial" w:cs="Arial"/>
          </w:rPr>
          <w:t>https://doi.org/10.3390/beverages6010002</w:t>
        </w:r>
      </w:hyperlink>
      <w:r w:rsidRPr="00B47051">
        <w:rPr>
          <w:rFonts w:ascii="Arial" w:hAnsi="Arial" w:cs="Arial"/>
        </w:rPr>
        <w:t xml:space="preserve">   </w:t>
      </w:r>
    </w:p>
    <w:p w14:paraId="54FA42AB" w14:textId="77777777" w:rsidR="00E9662E" w:rsidRPr="00B47051" w:rsidRDefault="00E9662E" w:rsidP="00F11C97">
      <w:pPr>
        <w:pStyle w:val="Body"/>
        <w:rPr>
          <w:rFonts w:ascii="Arial" w:hAnsi="Arial" w:cs="Arial"/>
        </w:rPr>
      </w:pPr>
      <w:r w:rsidRPr="00B47051">
        <w:rPr>
          <w:rFonts w:ascii="Arial" w:hAnsi="Arial" w:cs="Arial"/>
        </w:rPr>
        <w:t xml:space="preserve">Oancea, S. (2021). A review of the current knowledge of thermal stability of anthocyanins and approaches to their stabilization to heats. Antioxidants, 10(9), 1337. </w:t>
      </w:r>
      <w:hyperlink r:id="rId37" w:history="1">
        <w:r w:rsidRPr="00B47051">
          <w:rPr>
            <w:rStyle w:val="Hyperlink"/>
            <w:rFonts w:ascii="Arial" w:hAnsi="Arial" w:cs="Arial"/>
          </w:rPr>
          <w:t>https://doi:10.3390/antiox10091337</w:t>
        </w:r>
      </w:hyperlink>
      <w:r w:rsidRPr="00B47051">
        <w:rPr>
          <w:rFonts w:ascii="Arial" w:hAnsi="Arial" w:cs="Arial"/>
        </w:rPr>
        <w:t xml:space="preserve">     </w:t>
      </w:r>
    </w:p>
    <w:p w14:paraId="1FDC7A8E" w14:textId="5866D170" w:rsidR="00E9662E" w:rsidRPr="00B47051" w:rsidRDefault="00E9662E" w:rsidP="00F11C97">
      <w:pPr>
        <w:pStyle w:val="Body"/>
        <w:rPr>
          <w:rFonts w:ascii="Arial" w:hAnsi="Arial" w:cs="Arial"/>
        </w:rPr>
      </w:pPr>
      <w:r w:rsidRPr="00B47051">
        <w:rPr>
          <w:rFonts w:ascii="Arial" w:hAnsi="Arial" w:cs="Arial"/>
        </w:rPr>
        <w:t xml:space="preserve">Oboh, G., Akinyemi, A. J. </w:t>
      </w:r>
      <w:r w:rsidR="00A40E7F" w:rsidRPr="00B47051">
        <w:rPr>
          <w:rFonts w:ascii="Arial" w:hAnsi="Arial" w:cs="Arial"/>
        </w:rPr>
        <w:t>&amp; Ademiluyi</w:t>
      </w:r>
      <w:r w:rsidRPr="00B47051">
        <w:rPr>
          <w:rFonts w:ascii="Arial" w:hAnsi="Arial" w:cs="Arial"/>
        </w:rPr>
        <w:t xml:space="preserve">, A. O. (2012). Inhibition of α-amylase and α-glucosidase activities by ethanolic extract of </w:t>
      </w:r>
      <w:proofErr w:type="spellStart"/>
      <w:r w:rsidRPr="00B47051">
        <w:rPr>
          <w:rFonts w:ascii="Arial" w:hAnsi="Arial" w:cs="Arial"/>
        </w:rPr>
        <w:t>Telfairia</w:t>
      </w:r>
      <w:proofErr w:type="spellEnd"/>
      <w:r w:rsidRPr="00B47051">
        <w:rPr>
          <w:rFonts w:ascii="Arial" w:hAnsi="Arial" w:cs="Arial"/>
        </w:rPr>
        <w:t xml:space="preserve"> occidentalis (fluted pumpkin) leaf. Asian Pacific Journal of Tropical Biomedicine, 2(9), 733–738. </w:t>
      </w:r>
      <w:hyperlink r:id="rId38" w:history="1">
        <w:r w:rsidRPr="00B47051">
          <w:rPr>
            <w:rStyle w:val="Hyperlink"/>
            <w:rFonts w:ascii="Arial" w:hAnsi="Arial" w:cs="Arial"/>
          </w:rPr>
          <w:t>https://doi:10.1016/S2221-1691(12)60219-6</w:t>
        </w:r>
      </w:hyperlink>
      <w:r w:rsidRPr="00B47051">
        <w:rPr>
          <w:rFonts w:ascii="Arial" w:hAnsi="Arial" w:cs="Arial"/>
        </w:rPr>
        <w:t xml:space="preserve">    </w:t>
      </w:r>
    </w:p>
    <w:p w14:paraId="68566AA8" w14:textId="77777777" w:rsidR="00E9662E" w:rsidRPr="00B47051" w:rsidRDefault="00E9662E" w:rsidP="00F11C97">
      <w:pPr>
        <w:pStyle w:val="Body"/>
        <w:rPr>
          <w:rFonts w:ascii="Arial" w:hAnsi="Arial" w:cs="Arial"/>
        </w:rPr>
      </w:pPr>
      <w:proofErr w:type="spellStart"/>
      <w:r w:rsidRPr="00B47051">
        <w:rPr>
          <w:rFonts w:ascii="Arial" w:hAnsi="Arial" w:cs="Arial"/>
        </w:rPr>
        <w:t>Owoade</w:t>
      </w:r>
      <w:proofErr w:type="spellEnd"/>
      <w:r w:rsidRPr="00B47051">
        <w:rPr>
          <w:rFonts w:ascii="Arial" w:hAnsi="Arial" w:cs="Arial"/>
        </w:rPr>
        <w:t xml:space="preserve">, A. O., Lowe, G. M. &amp; Khalid, R. (2015). The in vitro antioxidant properties of Hibiscus anthocyanins rich extract (HAE). Natural Sciences, 13(3), 22-29. </w:t>
      </w:r>
    </w:p>
    <w:p w14:paraId="56469D66" w14:textId="77777777" w:rsidR="00E9662E" w:rsidRPr="00B47051" w:rsidRDefault="00E9662E" w:rsidP="00F11C97">
      <w:pPr>
        <w:pStyle w:val="Body"/>
        <w:rPr>
          <w:rFonts w:ascii="Arial" w:hAnsi="Arial" w:cs="Arial"/>
        </w:rPr>
      </w:pPr>
      <w:proofErr w:type="spellStart"/>
      <w:r w:rsidRPr="00B47051">
        <w:rPr>
          <w:rFonts w:ascii="Arial" w:hAnsi="Arial" w:cs="Arial"/>
        </w:rPr>
        <w:t>Paschoalinotto</w:t>
      </w:r>
      <w:proofErr w:type="spellEnd"/>
      <w:r w:rsidRPr="00B47051">
        <w:rPr>
          <w:rFonts w:ascii="Arial" w:hAnsi="Arial" w:cs="Arial"/>
        </w:rPr>
        <w:t xml:space="preserve">, B. H., Dias, M. I., Pinela, J., Pires, T. C. S. P., Alves, M. J., Mocan, A., </w:t>
      </w:r>
      <w:proofErr w:type="spellStart"/>
      <w:r w:rsidRPr="00B47051">
        <w:rPr>
          <w:rFonts w:ascii="Arial" w:hAnsi="Arial" w:cs="Arial"/>
        </w:rPr>
        <w:t>Calhelha</w:t>
      </w:r>
      <w:proofErr w:type="spellEnd"/>
      <w:r w:rsidRPr="00B47051">
        <w:rPr>
          <w:rFonts w:ascii="Arial" w:hAnsi="Arial" w:cs="Arial"/>
        </w:rPr>
        <w:t xml:space="preserve">, R. C., Barros, L., </w:t>
      </w:r>
      <w:proofErr w:type="spellStart"/>
      <w:r w:rsidRPr="00B47051">
        <w:rPr>
          <w:rFonts w:ascii="Arial" w:hAnsi="Arial" w:cs="Arial"/>
        </w:rPr>
        <w:t>Ineu</w:t>
      </w:r>
      <w:proofErr w:type="spellEnd"/>
      <w:r w:rsidRPr="00B47051">
        <w:rPr>
          <w:rFonts w:ascii="Arial" w:hAnsi="Arial" w:cs="Arial"/>
        </w:rPr>
        <w:t xml:space="preserve">, R. P., &amp; Ferreira, I. C. F. R. (2021). Phytochemical characterization and evaluation of bioactive properties of tisanes prepared from promising medicinal and aromatic plants. Foods, 10(2), 475. </w:t>
      </w:r>
      <w:hyperlink r:id="rId39" w:history="1">
        <w:r w:rsidRPr="00B47051">
          <w:rPr>
            <w:rStyle w:val="Hyperlink"/>
            <w:rFonts w:ascii="Arial" w:hAnsi="Arial" w:cs="Arial"/>
          </w:rPr>
          <w:t>https://doi.org/10.3390/foods10020475</w:t>
        </w:r>
      </w:hyperlink>
      <w:r w:rsidRPr="00B47051">
        <w:rPr>
          <w:rFonts w:ascii="Arial" w:hAnsi="Arial" w:cs="Arial"/>
        </w:rPr>
        <w:t xml:space="preserve">  </w:t>
      </w:r>
    </w:p>
    <w:p w14:paraId="6E11413F" w14:textId="77777777" w:rsidR="00E9662E" w:rsidRPr="00B47051" w:rsidRDefault="00E9662E" w:rsidP="00F11C97">
      <w:pPr>
        <w:pStyle w:val="Body"/>
        <w:rPr>
          <w:rFonts w:ascii="Arial" w:hAnsi="Arial" w:cs="Arial"/>
        </w:rPr>
      </w:pPr>
      <w:r w:rsidRPr="00B47051">
        <w:rPr>
          <w:rFonts w:ascii="Arial" w:hAnsi="Arial" w:cs="Arial"/>
        </w:rPr>
        <w:t xml:space="preserve">Sadilova, E., Carle, R. &amp; </w:t>
      </w:r>
      <w:proofErr w:type="spellStart"/>
      <w:r w:rsidRPr="00B47051">
        <w:rPr>
          <w:rFonts w:ascii="Arial" w:hAnsi="Arial" w:cs="Arial"/>
        </w:rPr>
        <w:t>Stintzing</w:t>
      </w:r>
      <w:proofErr w:type="spellEnd"/>
      <w:r w:rsidRPr="00B47051">
        <w:rPr>
          <w:rFonts w:ascii="Arial" w:hAnsi="Arial" w:cs="Arial"/>
        </w:rPr>
        <w:t xml:space="preserve">, F. C. (2007). Thermal degradation of anthocyanins and its impact on </w:t>
      </w:r>
      <w:proofErr w:type="spellStart"/>
      <w:r w:rsidRPr="00B47051">
        <w:rPr>
          <w:rFonts w:ascii="Arial" w:hAnsi="Arial" w:cs="Arial"/>
        </w:rPr>
        <w:t>color</w:t>
      </w:r>
      <w:proofErr w:type="spellEnd"/>
      <w:r w:rsidRPr="00B47051">
        <w:rPr>
          <w:rFonts w:ascii="Arial" w:hAnsi="Arial" w:cs="Arial"/>
        </w:rPr>
        <w:t xml:space="preserve"> and in vitro antioxidant capacity. Molecular Nutrition &amp; Food Research, 51(12):1461-71. </w:t>
      </w:r>
      <w:hyperlink r:id="rId40" w:history="1">
        <w:r w:rsidRPr="00B47051">
          <w:rPr>
            <w:rStyle w:val="Hyperlink"/>
            <w:rFonts w:ascii="Arial" w:hAnsi="Arial" w:cs="Arial"/>
          </w:rPr>
          <w:t>https://doi.org/10.1002/mnfr.200700179</w:t>
        </w:r>
      </w:hyperlink>
      <w:r w:rsidRPr="00B47051">
        <w:rPr>
          <w:rFonts w:ascii="Arial" w:hAnsi="Arial" w:cs="Arial"/>
        </w:rPr>
        <w:t xml:space="preserve">   </w:t>
      </w:r>
    </w:p>
    <w:p w14:paraId="2700FD02" w14:textId="77777777" w:rsidR="00E9662E" w:rsidRPr="00B47051" w:rsidRDefault="00E9662E" w:rsidP="00F11C97">
      <w:pPr>
        <w:pStyle w:val="Body"/>
        <w:rPr>
          <w:rFonts w:ascii="Arial" w:hAnsi="Arial" w:cs="Arial"/>
        </w:rPr>
      </w:pPr>
      <w:r w:rsidRPr="00B47051">
        <w:rPr>
          <w:rFonts w:ascii="Arial" w:hAnsi="Arial" w:cs="Arial"/>
        </w:rPr>
        <w:t xml:space="preserve">Shahidi, F. &amp; </w:t>
      </w:r>
      <w:proofErr w:type="spellStart"/>
      <w:r w:rsidRPr="00B47051">
        <w:rPr>
          <w:rFonts w:ascii="Arial" w:hAnsi="Arial" w:cs="Arial"/>
        </w:rPr>
        <w:t>Ambigaipalan</w:t>
      </w:r>
      <w:proofErr w:type="spellEnd"/>
      <w:r w:rsidRPr="00B47051">
        <w:rPr>
          <w:rFonts w:ascii="Arial" w:hAnsi="Arial" w:cs="Arial"/>
        </w:rPr>
        <w:t xml:space="preserve">, P. (2015). Phenolics and polyphenolics in foods, beverages and spices: Antioxidant activity and health effects - A review. Journal of Functional Foods, 18, 820–897. </w:t>
      </w:r>
      <w:hyperlink r:id="rId41" w:history="1">
        <w:r w:rsidRPr="00B47051">
          <w:rPr>
            <w:rStyle w:val="Hyperlink"/>
            <w:rFonts w:ascii="Arial" w:hAnsi="Arial" w:cs="Arial"/>
          </w:rPr>
          <w:t>https://doi.org/10.1016/j.jff.2015.06.018</w:t>
        </w:r>
      </w:hyperlink>
      <w:r w:rsidRPr="00B47051">
        <w:rPr>
          <w:rFonts w:ascii="Arial" w:hAnsi="Arial" w:cs="Arial"/>
        </w:rPr>
        <w:t xml:space="preserve">  </w:t>
      </w:r>
    </w:p>
    <w:p w14:paraId="6BF6F796" w14:textId="77777777" w:rsidR="00E9662E" w:rsidRPr="00B47051" w:rsidRDefault="00E9662E" w:rsidP="00F11C97">
      <w:pPr>
        <w:pStyle w:val="Body"/>
        <w:rPr>
          <w:rFonts w:ascii="Arial" w:hAnsi="Arial" w:cs="Arial"/>
        </w:rPr>
      </w:pPr>
      <w:r w:rsidRPr="00B47051">
        <w:rPr>
          <w:rFonts w:ascii="Arial" w:hAnsi="Arial" w:cs="Arial"/>
        </w:rPr>
        <w:lastRenderedPageBreak/>
        <w:t xml:space="preserve">Sindi, A. H., Marshall, L. J. &amp; Morgan, M. R. A. (2014). Comparative chemical and biochemical analysis of extracts of </w:t>
      </w:r>
      <w:r w:rsidRPr="00B47051">
        <w:rPr>
          <w:rFonts w:ascii="Arial" w:hAnsi="Arial" w:cs="Arial"/>
          <w:i/>
          <w:iCs/>
        </w:rPr>
        <w:t>Hibiscus sabdariffa</w:t>
      </w:r>
      <w:r w:rsidRPr="00B47051">
        <w:rPr>
          <w:rFonts w:ascii="Arial" w:hAnsi="Arial" w:cs="Arial"/>
        </w:rPr>
        <w:t xml:space="preserve">. Food Chemistry, 164, 23-29. </w:t>
      </w:r>
      <w:hyperlink r:id="rId42" w:history="1">
        <w:r w:rsidRPr="00B47051">
          <w:rPr>
            <w:rStyle w:val="Hyperlink"/>
            <w:rFonts w:ascii="Arial" w:hAnsi="Arial" w:cs="Arial"/>
          </w:rPr>
          <w:t>https://doi.org/10.1016/j.foodchem.2014.04.097</w:t>
        </w:r>
      </w:hyperlink>
      <w:r w:rsidRPr="00B47051">
        <w:rPr>
          <w:rFonts w:ascii="Arial" w:hAnsi="Arial" w:cs="Arial"/>
        </w:rPr>
        <w:t xml:space="preserve">  </w:t>
      </w:r>
    </w:p>
    <w:p w14:paraId="7C8528BB" w14:textId="77777777" w:rsidR="00E9662E" w:rsidRPr="00B47051" w:rsidRDefault="00E9662E" w:rsidP="00E2730F">
      <w:pPr>
        <w:pStyle w:val="Body"/>
        <w:spacing w:after="0"/>
        <w:rPr>
          <w:rFonts w:ascii="Arial" w:hAnsi="Arial" w:cs="Arial"/>
        </w:rPr>
      </w:pPr>
      <w:proofErr w:type="spellStart"/>
      <w:r w:rsidRPr="00B47051">
        <w:rPr>
          <w:rFonts w:ascii="Arial" w:hAnsi="Arial" w:cs="Arial"/>
        </w:rPr>
        <w:t>Tadera</w:t>
      </w:r>
      <w:proofErr w:type="spellEnd"/>
      <w:r w:rsidRPr="00B47051">
        <w:rPr>
          <w:rFonts w:ascii="Arial" w:hAnsi="Arial" w:cs="Arial"/>
        </w:rPr>
        <w:t xml:space="preserve">, K., Minami, Y., Takamatsu, K. &amp; Matsuoka, T. (2006). Inhibition of α-glucosidase and α-amylase by flavonoids. Journal of Nutritional Science and </w:t>
      </w:r>
      <w:proofErr w:type="spellStart"/>
      <w:r w:rsidRPr="00B47051">
        <w:rPr>
          <w:rFonts w:ascii="Arial" w:hAnsi="Arial" w:cs="Arial"/>
        </w:rPr>
        <w:t>Vitaminology</w:t>
      </w:r>
      <w:proofErr w:type="spellEnd"/>
      <w:r w:rsidRPr="00B47051">
        <w:rPr>
          <w:rFonts w:ascii="Arial" w:hAnsi="Arial" w:cs="Arial"/>
        </w:rPr>
        <w:t xml:space="preserve">, 52(2), 149–153. </w:t>
      </w:r>
      <w:hyperlink r:id="rId43" w:history="1">
        <w:r w:rsidRPr="00B47051">
          <w:rPr>
            <w:rStyle w:val="Hyperlink"/>
            <w:rFonts w:ascii="Arial" w:hAnsi="Arial" w:cs="Arial"/>
          </w:rPr>
          <w:t>https://doi.org/10.3177/jnsv.52.149</w:t>
        </w:r>
      </w:hyperlink>
    </w:p>
    <w:p w14:paraId="1B7875DD" w14:textId="77777777" w:rsidR="00E9662E" w:rsidRPr="00B47051" w:rsidRDefault="00E9662E" w:rsidP="00F11C97">
      <w:pPr>
        <w:pStyle w:val="Body"/>
        <w:rPr>
          <w:rFonts w:ascii="Arial" w:hAnsi="Arial" w:cs="Arial"/>
        </w:rPr>
      </w:pPr>
      <w:r w:rsidRPr="00B47051">
        <w:rPr>
          <w:rFonts w:ascii="Arial" w:hAnsi="Arial" w:cs="Arial"/>
        </w:rPr>
        <w:t xml:space="preserve">Tena, N., Martín, J. &amp; </w:t>
      </w:r>
      <w:proofErr w:type="spellStart"/>
      <w:r w:rsidRPr="00B47051">
        <w:rPr>
          <w:rFonts w:ascii="Arial" w:hAnsi="Arial" w:cs="Arial"/>
        </w:rPr>
        <w:t>Asuero</w:t>
      </w:r>
      <w:proofErr w:type="spellEnd"/>
      <w:r w:rsidRPr="00B47051">
        <w:rPr>
          <w:rFonts w:ascii="Arial" w:hAnsi="Arial" w:cs="Arial"/>
        </w:rPr>
        <w:t>, A. G. (2020). State of the art of anthocyanins: antioxidant activity, sources, bioavailability, and therapeutic effect in human health. Antioxidants, 9, 451.</w:t>
      </w:r>
    </w:p>
    <w:p w14:paraId="774E505C" w14:textId="77777777" w:rsidR="00E9662E" w:rsidRPr="00B47051" w:rsidRDefault="00E9662E" w:rsidP="00F11C97">
      <w:pPr>
        <w:pStyle w:val="Body"/>
        <w:rPr>
          <w:rFonts w:ascii="Arial" w:hAnsi="Arial" w:cs="Arial"/>
        </w:rPr>
      </w:pPr>
      <w:proofErr w:type="spellStart"/>
      <w:r w:rsidRPr="00B47051">
        <w:rPr>
          <w:rFonts w:ascii="Arial" w:hAnsi="Arial" w:cs="Arial"/>
        </w:rPr>
        <w:t>Thaipong</w:t>
      </w:r>
      <w:proofErr w:type="spellEnd"/>
      <w:r w:rsidRPr="00B47051">
        <w:rPr>
          <w:rFonts w:ascii="Arial" w:hAnsi="Arial" w:cs="Arial"/>
        </w:rPr>
        <w:t xml:space="preserve">, K., </w:t>
      </w:r>
      <w:proofErr w:type="spellStart"/>
      <w:r w:rsidRPr="00B47051">
        <w:rPr>
          <w:rFonts w:ascii="Arial" w:hAnsi="Arial" w:cs="Arial"/>
        </w:rPr>
        <w:t>Boonprakob</w:t>
      </w:r>
      <w:proofErr w:type="spellEnd"/>
      <w:r w:rsidRPr="00B47051">
        <w:rPr>
          <w:rFonts w:ascii="Arial" w:hAnsi="Arial" w:cs="Arial"/>
        </w:rPr>
        <w:t xml:space="preserve">, U., Crosby, K., Cisneros-Zevallos, L. &amp; Byrne, D. H. (2006). Comparison of ABTS, DPPH, FRAP, and ORAC assays for estimating antioxidant activity from guava fruit extracts. Journal of Food Composition and Analysis, 19(6–7), 669–675. </w:t>
      </w:r>
      <w:hyperlink r:id="rId44" w:history="1">
        <w:r w:rsidRPr="00B47051">
          <w:rPr>
            <w:rStyle w:val="Hyperlink"/>
            <w:rFonts w:ascii="Arial" w:hAnsi="Arial" w:cs="Arial"/>
          </w:rPr>
          <w:t>https://doi.org/10.1016/j.jfca.2006.01.003</w:t>
        </w:r>
      </w:hyperlink>
      <w:r w:rsidRPr="00B47051">
        <w:rPr>
          <w:rFonts w:ascii="Arial" w:hAnsi="Arial" w:cs="Arial"/>
        </w:rPr>
        <w:t xml:space="preserve">  </w:t>
      </w:r>
    </w:p>
    <w:p w14:paraId="126DD8A7" w14:textId="77777777" w:rsidR="00E9662E" w:rsidRPr="00B47051" w:rsidRDefault="00E9662E" w:rsidP="00F11C97">
      <w:pPr>
        <w:pStyle w:val="Body"/>
        <w:rPr>
          <w:rFonts w:ascii="Arial" w:hAnsi="Arial" w:cs="Arial"/>
        </w:rPr>
      </w:pPr>
      <w:proofErr w:type="spellStart"/>
      <w:r w:rsidRPr="00B47051">
        <w:rPr>
          <w:rFonts w:ascii="Arial" w:hAnsi="Arial" w:cs="Arial"/>
        </w:rPr>
        <w:t>Topcu</w:t>
      </w:r>
      <w:proofErr w:type="spellEnd"/>
      <w:r w:rsidRPr="00B47051">
        <w:rPr>
          <w:rFonts w:ascii="Arial" w:hAnsi="Arial" w:cs="Arial"/>
        </w:rPr>
        <w:t xml:space="preserve">, K. C. &amp; Çakir, Ö. (2025). Brewing conditions optimization of </w:t>
      </w:r>
      <w:r w:rsidRPr="00B47051">
        <w:rPr>
          <w:rFonts w:ascii="Arial" w:hAnsi="Arial" w:cs="Arial"/>
          <w:i/>
          <w:iCs/>
        </w:rPr>
        <w:t>berberis vulgaris</w:t>
      </w:r>
      <w:r w:rsidRPr="00B47051">
        <w:rPr>
          <w:rFonts w:ascii="Arial" w:hAnsi="Arial" w:cs="Arial"/>
        </w:rPr>
        <w:t xml:space="preserve"> L. tea by assessing antioxidant activity and phenolic content using box-</w:t>
      </w:r>
      <w:proofErr w:type="spellStart"/>
      <w:r w:rsidRPr="00B47051">
        <w:rPr>
          <w:rFonts w:ascii="Arial" w:hAnsi="Arial" w:cs="Arial"/>
        </w:rPr>
        <w:t>behnken</w:t>
      </w:r>
      <w:proofErr w:type="spellEnd"/>
      <w:r w:rsidRPr="00B47051">
        <w:rPr>
          <w:rFonts w:ascii="Arial" w:hAnsi="Arial" w:cs="Arial"/>
        </w:rPr>
        <w:t xml:space="preserve"> design. Food Science and Engineering, 6(2), 188-195. </w:t>
      </w:r>
      <w:hyperlink r:id="rId45" w:history="1">
        <w:r w:rsidRPr="00B47051">
          <w:rPr>
            <w:rStyle w:val="Hyperlink"/>
            <w:rFonts w:ascii="Arial" w:hAnsi="Arial" w:cs="Arial"/>
          </w:rPr>
          <w:t>https://doi.org/10.37256/fse.6220256331</w:t>
        </w:r>
      </w:hyperlink>
      <w:r w:rsidRPr="00B47051">
        <w:rPr>
          <w:rFonts w:ascii="Arial" w:hAnsi="Arial" w:cs="Arial"/>
        </w:rPr>
        <w:t xml:space="preserve"> </w:t>
      </w:r>
    </w:p>
    <w:p w14:paraId="1B1D42A1" w14:textId="77777777" w:rsidR="00E9662E" w:rsidRPr="00B47051" w:rsidRDefault="00E9662E" w:rsidP="00F11C97">
      <w:pPr>
        <w:pStyle w:val="Body"/>
        <w:rPr>
          <w:rFonts w:ascii="Arial" w:hAnsi="Arial" w:cs="Arial"/>
        </w:rPr>
      </w:pPr>
      <w:r w:rsidRPr="00B47051">
        <w:rPr>
          <w:rFonts w:ascii="Arial" w:hAnsi="Arial" w:cs="Arial"/>
        </w:rPr>
        <w:t xml:space="preserve">Tun </w:t>
      </w:r>
      <w:proofErr w:type="spellStart"/>
      <w:r w:rsidRPr="00B47051">
        <w:rPr>
          <w:rFonts w:ascii="Arial" w:hAnsi="Arial" w:cs="Arial"/>
        </w:rPr>
        <w:t>Norbrillinda</w:t>
      </w:r>
      <w:proofErr w:type="spellEnd"/>
      <w:r w:rsidRPr="00B47051">
        <w:rPr>
          <w:rFonts w:ascii="Arial" w:hAnsi="Arial" w:cs="Arial"/>
        </w:rPr>
        <w:t xml:space="preserve">, M., Norra, I. &amp; Helmi, M. M. A. (2025). The effect of adding </w:t>
      </w:r>
      <w:r w:rsidRPr="00B47051">
        <w:rPr>
          <w:rFonts w:ascii="Arial" w:hAnsi="Arial" w:cs="Arial"/>
          <w:i/>
          <w:iCs/>
        </w:rPr>
        <w:t xml:space="preserve">Garcinia </w:t>
      </w:r>
      <w:proofErr w:type="spellStart"/>
      <w:r w:rsidRPr="00B47051">
        <w:rPr>
          <w:rFonts w:ascii="Arial" w:hAnsi="Arial" w:cs="Arial"/>
          <w:i/>
          <w:iCs/>
        </w:rPr>
        <w:t>atroviridis</w:t>
      </w:r>
      <w:proofErr w:type="spellEnd"/>
      <w:r w:rsidRPr="00B47051">
        <w:rPr>
          <w:rFonts w:ascii="Arial" w:hAnsi="Arial" w:cs="Arial"/>
        </w:rPr>
        <w:t xml:space="preserve"> on pH, colour and antioxidant properties of roselle tisane. Food Research 9 (Suppl. 1), 76 – 86. </w:t>
      </w:r>
      <w:hyperlink r:id="rId46" w:history="1">
        <w:r w:rsidRPr="00B47051">
          <w:rPr>
            <w:rStyle w:val="Hyperlink"/>
            <w:rFonts w:ascii="Arial" w:hAnsi="Arial" w:cs="Arial"/>
          </w:rPr>
          <w:t>https://doi.org/10.26656/fr.2017.9(S1).079</w:t>
        </w:r>
      </w:hyperlink>
      <w:r w:rsidRPr="00B47051">
        <w:rPr>
          <w:rFonts w:ascii="Arial" w:hAnsi="Arial" w:cs="Arial"/>
        </w:rPr>
        <w:t xml:space="preserve">  </w:t>
      </w:r>
    </w:p>
    <w:p w14:paraId="4C91EAA9" w14:textId="77777777" w:rsidR="00E9662E" w:rsidRPr="00B47051" w:rsidRDefault="00E9662E" w:rsidP="00F11C97">
      <w:pPr>
        <w:pStyle w:val="Body"/>
        <w:rPr>
          <w:rFonts w:ascii="Arial" w:hAnsi="Arial" w:cs="Arial"/>
        </w:rPr>
      </w:pPr>
      <w:r w:rsidRPr="00B47051">
        <w:rPr>
          <w:rFonts w:ascii="Arial" w:hAnsi="Arial" w:cs="Arial"/>
        </w:rPr>
        <w:t xml:space="preserve">Vuong, Q. V., Pham, H. N. T., &amp; Negus, C. (2022). From herbal teabag to infusion - Impact of brewing on polyphenols and antioxidant capacity. Beverages, 8, 81. </w:t>
      </w:r>
      <w:hyperlink r:id="rId47" w:history="1">
        <w:r w:rsidRPr="00B47051">
          <w:rPr>
            <w:rStyle w:val="Hyperlink"/>
            <w:rFonts w:ascii="Arial" w:hAnsi="Arial" w:cs="Arial"/>
          </w:rPr>
          <w:t>https://doi.org/10.3390/beverages8040081</w:t>
        </w:r>
      </w:hyperlink>
      <w:r w:rsidRPr="00B47051">
        <w:rPr>
          <w:rFonts w:ascii="Arial" w:hAnsi="Arial" w:cs="Arial"/>
        </w:rPr>
        <w:t xml:space="preserve">   </w:t>
      </w:r>
    </w:p>
    <w:p w14:paraId="14E43CE0" w14:textId="77777777" w:rsidR="00E9662E" w:rsidRPr="00B47051" w:rsidRDefault="00E9662E" w:rsidP="00F11C97">
      <w:pPr>
        <w:pStyle w:val="Body"/>
        <w:rPr>
          <w:rFonts w:ascii="Arial" w:hAnsi="Arial" w:cs="Arial"/>
        </w:rPr>
      </w:pPr>
      <w:r w:rsidRPr="00B47051">
        <w:rPr>
          <w:rFonts w:ascii="Arial" w:hAnsi="Arial" w:cs="Arial"/>
        </w:rPr>
        <w:t xml:space="preserve">Wang, W., Xu, S. &amp; DeWitt, D. L. (2014). Time-dependent extraction of anthocyanins from purple sweet potato. Food Research International, 55, 397–403. </w:t>
      </w:r>
      <w:hyperlink r:id="rId48" w:history="1">
        <w:r w:rsidRPr="00B47051">
          <w:rPr>
            <w:rStyle w:val="Hyperlink"/>
            <w:rFonts w:ascii="Arial" w:hAnsi="Arial" w:cs="Arial"/>
          </w:rPr>
          <w:t>https://doi.org/10.1016/j.foodres.2013.11.040</w:t>
        </w:r>
      </w:hyperlink>
      <w:r w:rsidRPr="00B47051">
        <w:rPr>
          <w:rFonts w:ascii="Arial" w:hAnsi="Arial" w:cs="Arial"/>
        </w:rPr>
        <w:t xml:space="preserve">   </w:t>
      </w:r>
    </w:p>
    <w:p w14:paraId="13000AEF" w14:textId="77777777" w:rsidR="00E9662E" w:rsidRPr="00B47051" w:rsidRDefault="00E9662E" w:rsidP="00F11C97">
      <w:pPr>
        <w:pStyle w:val="Body"/>
        <w:rPr>
          <w:rFonts w:ascii="Arial" w:hAnsi="Arial" w:cs="Arial"/>
        </w:rPr>
      </w:pPr>
      <w:r w:rsidRPr="00B47051">
        <w:rPr>
          <w:rFonts w:ascii="Arial" w:hAnsi="Arial" w:cs="Arial"/>
        </w:rPr>
        <w:t>Winiarska-</w:t>
      </w:r>
      <w:proofErr w:type="spellStart"/>
      <w:r w:rsidRPr="00B47051">
        <w:rPr>
          <w:rFonts w:ascii="Arial" w:hAnsi="Arial" w:cs="Arial"/>
        </w:rPr>
        <w:t>Mieczan</w:t>
      </w:r>
      <w:proofErr w:type="spellEnd"/>
      <w:r w:rsidRPr="00B47051">
        <w:rPr>
          <w:rFonts w:ascii="Arial" w:hAnsi="Arial" w:cs="Arial"/>
        </w:rPr>
        <w:t xml:space="preserve">, A., &amp; Baranowska-Wójcik, E. (2024). The effect of brewing time on the antioxidant activity of tea infusions. Applied Sciences, 14(5), 2014. </w:t>
      </w:r>
      <w:hyperlink r:id="rId49" w:history="1">
        <w:r w:rsidRPr="00B47051">
          <w:rPr>
            <w:rStyle w:val="Hyperlink"/>
            <w:rFonts w:ascii="Arial" w:hAnsi="Arial" w:cs="Arial"/>
          </w:rPr>
          <w:t>https://doi.org/10.3390/app14052014</w:t>
        </w:r>
      </w:hyperlink>
      <w:r w:rsidRPr="00B47051">
        <w:rPr>
          <w:rFonts w:ascii="Arial" w:hAnsi="Arial" w:cs="Arial"/>
        </w:rPr>
        <w:t xml:space="preserve">  </w:t>
      </w:r>
    </w:p>
    <w:p w14:paraId="03B03717" w14:textId="77777777" w:rsidR="00E9662E" w:rsidRPr="00B47051" w:rsidRDefault="00E9662E" w:rsidP="00F11C97">
      <w:pPr>
        <w:pStyle w:val="Body"/>
        <w:rPr>
          <w:rFonts w:ascii="Arial" w:hAnsi="Arial" w:cs="Arial"/>
        </w:rPr>
      </w:pPr>
      <w:r w:rsidRPr="00B47051">
        <w:rPr>
          <w:rFonts w:ascii="Arial" w:hAnsi="Arial" w:cs="Arial"/>
        </w:rPr>
        <w:t xml:space="preserve">Wrolstad, R. E. (2006). Anthocyanin pigments—Bioactivity and </w:t>
      </w:r>
      <w:proofErr w:type="spellStart"/>
      <w:r w:rsidRPr="00B47051">
        <w:rPr>
          <w:rFonts w:ascii="Arial" w:hAnsi="Arial" w:cs="Arial"/>
        </w:rPr>
        <w:t>coloring</w:t>
      </w:r>
      <w:proofErr w:type="spellEnd"/>
      <w:r w:rsidRPr="00B47051">
        <w:rPr>
          <w:rFonts w:ascii="Arial" w:hAnsi="Arial" w:cs="Arial"/>
        </w:rPr>
        <w:t xml:space="preserve"> properties. Journal of Food Science, 69(5), C419–C425. </w:t>
      </w:r>
      <w:hyperlink r:id="rId50" w:history="1">
        <w:r w:rsidRPr="00B47051">
          <w:rPr>
            <w:rStyle w:val="Hyperlink"/>
            <w:rFonts w:ascii="Arial" w:hAnsi="Arial" w:cs="Arial"/>
          </w:rPr>
          <w:t>https://doi.org/10.1111/j.1365-2621.2004.tb10709.x</w:t>
        </w:r>
      </w:hyperlink>
      <w:r w:rsidRPr="00B47051">
        <w:rPr>
          <w:rFonts w:ascii="Arial" w:hAnsi="Arial" w:cs="Arial"/>
        </w:rPr>
        <w:t xml:space="preserve">  </w:t>
      </w:r>
    </w:p>
    <w:p w14:paraId="1A3E0CAE" w14:textId="77777777" w:rsidR="00E9662E" w:rsidRPr="00B47051" w:rsidRDefault="00E9662E" w:rsidP="00F11C97">
      <w:pPr>
        <w:pStyle w:val="Body"/>
        <w:rPr>
          <w:rFonts w:ascii="Arial" w:hAnsi="Arial" w:cs="Arial"/>
        </w:rPr>
      </w:pPr>
      <w:r w:rsidRPr="00B47051">
        <w:rPr>
          <w:rFonts w:ascii="Arial" w:hAnsi="Arial" w:cs="Arial"/>
        </w:rPr>
        <w:t xml:space="preserve">Zhang, J., </w:t>
      </w:r>
      <w:proofErr w:type="spellStart"/>
      <w:r w:rsidRPr="00B47051">
        <w:rPr>
          <w:rFonts w:ascii="Arial" w:hAnsi="Arial" w:cs="Arial"/>
        </w:rPr>
        <w:t>Lv</w:t>
      </w:r>
      <w:proofErr w:type="spellEnd"/>
      <w:r w:rsidRPr="00B47051">
        <w:rPr>
          <w:rFonts w:ascii="Arial" w:hAnsi="Arial" w:cs="Arial"/>
        </w:rPr>
        <w:t xml:space="preserve">, J., Zhuang, G., Zhang, J., Hu, F. &amp; Chen, Y. (2024). The Evaluation of the phytochemical profiles and antioxidant and α-glucosidase Inhibitory activities of four herbal teas originating from China: A Comparative analysis of aqueous and ethanol infusions. Foods, 13(11), 1705.  </w:t>
      </w:r>
      <w:hyperlink r:id="rId51" w:history="1">
        <w:r w:rsidRPr="00B47051">
          <w:rPr>
            <w:rStyle w:val="Hyperlink"/>
            <w:rFonts w:ascii="Arial" w:hAnsi="Arial" w:cs="Arial"/>
          </w:rPr>
          <w:t>https://doi:10.3390/foods13111705</w:t>
        </w:r>
      </w:hyperlink>
      <w:r w:rsidRPr="00B47051">
        <w:rPr>
          <w:rFonts w:ascii="Arial" w:hAnsi="Arial" w:cs="Arial"/>
        </w:rPr>
        <w:t xml:space="preserve">  </w:t>
      </w:r>
    </w:p>
    <w:p w14:paraId="778BDC31" w14:textId="7779E7F4" w:rsidR="00E9662E" w:rsidRPr="00B47051" w:rsidRDefault="00E9662E" w:rsidP="00E2730F">
      <w:pPr>
        <w:pStyle w:val="Body"/>
        <w:spacing w:after="0"/>
        <w:rPr>
          <w:rFonts w:ascii="Arial" w:hAnsi="Arial" w:cs="Arial"/>
        </w:rPr>
        <w:sectPr w:rsidR="00E9662E" w:rsidRPr="00B47051" w:rsidSect="008818B6">
          <w:headerReference w:type="even" r:id="rId52"/>
          <w:headerReference w:type="default" r:id="rId53"/>
          <w:footerReference w:type="default" r:id="rId54"/>
          <w:headerReference w:type="first" r:id="rId55"/>
          <w:type w:val="continuous"/>
          <w:pgSz w:w="12240" w:h="15840"/>
          <w:pgMar w:top="1440" w:right="2016" w:bottom="2016" w:left="2016" w:header="720" w:footer="1123" w:gutter="0"/>
          <w:cols w:space="720"/>
          <w:docGrid w:linePitch="272"/>
        </w:sectPr>
      </w:pPr>
    </w:p>
    <w:p w14:paraId="4B8B4BF2" w14:textId="77777777" w:rsidR="00B01FCD" w:rsidRPr="00FB3A86" w:rsidRDefault="00B01FCD" w:rsidP="00E2730F">
      <w:pPr>
        <w:pStyle w:val="Appendix"/>
        <w:spacing w:after="0"/>
        <w:jc w:val="both"/>
        <w:rPr>
          <w:rFonts w:ascii="Arial" w:hAnsi="Arial" w:cs="Arial"/>
          <w:b w:val="0"/>
        </w:rPr>
      </w:pPr>
    </w:p>
    <w:sectPr w:rsidR="00B01FCD" w:rsidRPr="00FB3A86" w:rsidSect="008818B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549E" w14:textId="77777777" w:rsidR="005F75D0" w:rsidRPr="00B47051" w:rsidRDefault="005F75D0" w:rsidP="00C37E61">
      <w:r w:rsidRPr="00B47051">
        <w:separator/>
      </w:r>
    </w:p>
  </w:endnote>
  <w:endnote w:type="continuationSeparator" w:id="0">
    <w:p w14:paraId="37019FC5" w14:textId="77777777" w:rsidR="005F75D0" w:rsidRPr="00B47051" w:rsidRDefault="005F75D0" w:rsidP="00C37E61">
      <w:r w:rsidRPr="00B470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9B74" w14:textId="77777777" w:rsidR="008818B6" w:rsidRDefault="0088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BD57" w14:textId="77777777" w:rsidR="008818B6" w:rsidRDefault="00881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58D3" w14:textId="77777777" w:rsidR="009E048A" w:rsidRPr="00B47051" w:rsidRDefault="009E048A">
    <w:pPr>
      <w:pStyle w:val="Footer"/>
      <w:rPr>
        <w:rFonts w:ascii="Arial" w:hAnsi="Arial" w:cs="Arial"/>
        <w:sz w:val="16"/>
      </w:rPr>
    </w:pPr>
  </w:p>
  <w:p w14:paraId="037A49E8" w14:textId="77777777" w:rsidR="009E048A" w:rsidRPr="00B47051" w:rsidRDefault="009E048A" w:rsidP="009E048A">
    <w:pPr>
      <w:pStyle w:val="Footer"/>
      <w:jc w:val="center"/>
      <w:rPr>
        <w:rFonts w:ascii="Arial" w:hAnsi="Arial" w:cs="Arial"/>
        <w:sz w:val="16"/>
      </w:rPr>
    </w:pPr>
    <w:r w:rsidRPr="00B47051">
      <w:rPr>
        <w:rFonts w:ascii="Arial" w:hAnsi="Arial" w:cs="Arial"/>
        <w:sz w:val="16"/>
      </w:rPr>
      <w:t>______________________________________________________________________</w:t>
    </w:r>
    <w:r w:rsidR="00BF121F" w:rsidRPr="00B47051">
      <w:rPr>
        <w:rFonts w:ascii="Arial" w:hAnsi="Arial" w:cs="Arial"/>
        <w:sz w:val="16"/>
      </w:rPr>
      <w:t>______________________</w:t>
    </w:r>
  </w:p>
  <w:p w14:paraId="0572060D" w14:textId="77777777" w:rsidR="009E048A" w:rsidRPr="00B47051" w:rsidRDefault="009E048A">
    <w:pPr>
      <w:pStyle w:val="Footer"/>
      <w:rPr>
        <w:rFonts w:ascii="Arial" w:hAnsi="Arial" w:cs="Arial"/>
        <w:sz w:val="16"/>
      </w:rPr>
    </w:pPr>
  </w:p>
  <w:p w14:paraId="025EE01E" w14:textId="77777777" w:rsidR="00754C9A" w:rsidRPr="00B47051" w:rsidRDefault="00754C9A">
    <w:pPr>
      <w:pStyle w:val="Footer"/>
      <w:rPr>
        <w:rFonts w:ascii="Arial" w:hAnsi="Arial" w:cs="Arial"/>
        <w:i/>
        <w:sz w:val="16"/>
      </w:rPr>
    </w:pPr>
    <w:r w:rsidRPr="00B47051">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948A" w14:textId="77777777" w:rsidR="00C37E61" w:rsidRPr="00B4705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8AC5" w14:textId="77777777" w:rsidR="005F75D0" w:rsidRPr="00B47051" w:rsidRDefault="005F75D0" w:rsidP="00C37E61">
      <w:r w:rsidRPr="00B47051">
        <w:separator/>
      </w:r>
    </w:p>
  </w:footnote>
  <w:footnote w:type="continuationSeparator" w:id="0">
    <w:p w14:paraId="2A8CC20E" w14:textId="77777777" w:rsidR="005F75D0" w:rsidRPr="00B47051" w:rsidRDefault="005F75D0" w:rsidP="00C37E61">
      <w:r w:rsidRPr="00B470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3A3B" w14:textId="6881B700" w:rsidR="008818B6" w:rsidRDefault="00000000">
    <w:pPr>
      <w:pStyle w:val="Header"/>
    </w:pPr>
    <w:r>
      <w:rPr>
        <w:noProof/>
      </w:rPr>
      <w:pict w14:anchorId="2011D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E3AA" w14:textId="5ED60174" w:rsidR="008818B6" w:rsidRDefault="00000000">
    <w:pPr>
      <w:pStyle w:val="Header"/>
    </w:pPr>
    <w:r>
      <w:rPr>
        <w:noProof/>
      </w:rPr>
      <w:pict w14:anchorId="7EF6D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0F6B" w14:textId="6C3BBF74" w:rsidR="00296529" w:rsidRPr="00B47051" w:rsidRDefault="00000000" w:rsidP="00296529">
    <w:pPr>
      <w:ind w:left="2160"/>
      <w:jc w:val="center"/>
      <w:rPr>
        <w:rFonts w:ascii="Times New Roman" w:eastAsia="Calibri" w:hAnsi="Times New Roman"/>
        <w:i/>
        <w:sz w:val="18"/>
        <w:szCs w:val="22"/>
      </w:rPr>
    </w:pPr>
    <w:r>
      <w:rPr>
        <w:noProof/>
      </w:rPr>
      <w:pict w14:anchorId="23180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AC68D2" w14:textId="77777777" w:rsidR="00296529" w:rsidRPr="00B47051" w:rsidRDefault="00754C9A" w:rsidP="00296529">
    <w:pPr>
      <w:ind w:left="4320"/>
      <w:rPr>
        <w:rFonts w:ascii="Times New Roman" w:eastAsia="Calibri" w:hAnsi="Times New Roman"/>
        <w:i/>
        <w:sz w:val="18"/>
        <w:szCs w:val="22"/>
      </w:rPr>
    </w:pPr>
    <w:r w:rsidRPr="00B47051">
      <w:rPr>
        <w:rFonts w:ascii="Times New Roman" w:eastAsia="Calibri" w:hAnsi="Times New Roman"/>
        <w:i/>
        <w:sz w:val="18"/>
        <w:szCs w:val="22"/>
      </w:rPr>
      <w:t>.</w:t>
    </w:r>
    <w:r w:rsidR="00296529" w:rsidRPr="00B47051">
      <w:rPr>
        <w:rFonts w:ascii="Times New Roman" w:eastAsia="Calibri" w:hAnsi="Times New Roman"/>
        <w:i/>
        <w:sz w:val="18"/>
        <w:szCs w:val="22"/>
      </w:rPr>
      <w:t xml:space="preserve">     </w:t>
    </w:r>
  </w:p>
  <w:p w14:paraId="1D3DF7D0" w14:textId="77777777" w:rsidR="00296529" w:rsidRPr="00B47051" w:rsidRDefault="00754C9A" w:rsidP="00296529">
    <w:pPr>
      <w:jc w:val="center"/>
      <w:rPr>
        <w:rFonts w:ascii="Times New Roman" w:eastAsia="Calibri" w:hAnsi="Times New Roman"/>
        <w:i/>
        <w:sz w:val="18"/>
        <w:szCs w:val="22"/>
      </w:rPr>
    </w:pPr>
    <w:r w:rsidRPr="00B47051">
      <w:rPr>
        <w:rFonts w:ascii="Times New Roman" w:eastAsia="Calibri" w:hAnsi="Times New Roman"/>
        <w:i/>
        <w:sz w:val="18"/>
        <w:szCs w:val="22"/>
      </w:rPr>
      <w:t>.</w:t>
    </w:r>
  </w:p>
  <w:p w14:paraId="6D58B0E4" w14:textId="77777777" w:rsidR="00296529" w:rsidRPr="00B47051" w:rsidRDefault="00296529" w:rsidP="00296529">
    <w:pPr>
      <w:spacing w:after="200"/>
      <w:jc w:val="center"/>
      <w:rPr>
        <w:rFonts w:ascii="Times New Roman" w:eastAsia="Calibri" w:hAnsi="Times New Roman"/>
        <w:b/>
        <w:i/>
        <w:sz w:val="32"/>
        <w:szCs w:val="22"/>
      </w:rPr>
    </w:pPr>
    <w:r w:rsidRPr="00B47051">
      <w:rPr>
        <w:rFonts w:ascii="Times New Roman" w:eastAsia="Calibri" w:hAnsi="Times New Roman"/>
        <w:b/>
        <w:i/>
        <w:sz w:val="32"/>
        <w:szCs w:val="22"/>
      </w:rPr>
      <w:t xml:space="preserve">              </w:t>
    </w:r>
    <w:r w:rsidR="00754C9A" w:rsidRPr="00B47051">
      <w:rPr>
        <w:rFonts w:ascii="Times New Roman" w:eastAsia="Calibri" w:hAnsi="Times New Roman"/>
        <w:b/>
        <w:i/>
        <w:sz w:val="32"/>
        <w:szCs w:val="22"/>
      </w:rPr>
      <w:t>.</w:t>
    </w:r>
    <w:r w:rsidRPr="00B47051">
      <w:rPr>
        <w:rFonts w:ascii="Times New Roman" w:eastAsia="Calibri" w:hAnsi="Times New Roman"/>
        <w:b/>
        <w:i/>
        <w:sz w:val="32"/>
        <w:szCs w:val="22"/>
      </w:rPr>
      <w:t xml:space="preserve"> </w:t>
    </w:r>
  </w:p>
  <w:p w14:paraId="7E86FBDB" w14:textId="77777777" w:rsidR="00296529" w:rsidRPr="00B47051" w:rsidRDefault="00296529" w:rsidP="00296529">
    <w:pPr>
      <w:jc w:val="center"/>
      <w:rPr>
        <w:rFonts w:ascii="Times New Roman" w:eastAsia="Calibri" w:hAnsi="Times New Roman"/>
        <w:i/>
        <w:sz w:val="18"/>
        <w:szCs w:val="22"/>
      </w:rPr>
    </w:pPr>
    <w:r w:rsidRPr="00B47051">
      <w:rPr>
        <w:rFonts w:ascii="Times New Roman" w:eastAsia="Calibri" w:hAnsi="Times New Roman"/>
        <w:i/>
        <w:sz w:val="18"/>
        <w:szCs w:val="22"/>
      </w:rPr>
      <w:t xml:space="preserve">                     </w:t>
    </w:r>
  </w:p>
  <w:p w14:paraId="1B790975" w14:textId="77777777" w:rsidR="00296529" w:rsidRPr="00B47051" w:rsidRDefault="00296529" w:rsidP="00296529">
    <w:pPr>
      <w:tabs>
        <w:tab w:val="left" w:pos="2145"/>
      </w:tabs>
      <w:rPr>
        <w:rFonts w:ascii="Times New Roman" w:eastAsia="Calibri" w:hAnsi="Times New Roman"/>
        <w:i/>
        <w:sz w:val="18"/>
        <w:szCs w:val="22"/>
      </w:rPr>
    </w:pPr>
    <w:r w:rsidRPr="00B47051">
      <w:rPr>
        <w:rFonts w:ascii="Times New Roman" w:eastAsia="Calibri" w:hAnsi="Times New Roman"/>
        <w:i/>
        <w:sz w:val="18"/>
        <w:szCs w:val="22"/>
      </w:rPr>
      <w:tab/>
    </w:r>
    <w:r w:rsidR="00754C9A" w:rsidRPr="00B47051">
      <w:rPr>
        <w:rFonts w:ascii="Times New Roman" w:eastAsia="Calibri" w:hAnsi="Times New Roman"/>
        <w:i/>
        <w:sz w:val="18"/>
        <w:szCs w:val="22"/>
      </w:rPr>
      <w:t>.</w:t>
    </w:r>
  </w:p>
  <w:p w14:paraId="0D6C7B97" w14:textId="77777777" w:rsidR="00296529" w:rsidRPr="00B47051" w:rsidRDefault="00754C9A">
    <w:pPr>
      <w:pStyle w:val="Header"/>
    </w:pPr>
    <w:r w:rsidRPr="00B47051">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10B1" w14:textId="6B52F9E6" w:rsidR="008818B6" w:rsidRDefault="00000000">
    <w:pPr>
      <w:pStyle w:val="Header"/>
    </w:pPr>
    <w:r>
      <w:rPr>
        <w:noProof/>
      </w:rPr>
      <w:pict w14:anchorId="4D630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4E43" w14:textId="2654ABF5" w:rsidR="008818B6" w:rsidRDefault="00000000">
    <w:pPr>
      <w:pStyle w:val="Header"/>
    </w:pPr>
    <w:r>
      <w:rPr>
        <w:noProof/>
      </w:rPr>
      <w:pict w14:anchorId="3C9E7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7C70" w14:textId="64DF0B2B" w:rsidR="008818B6" w:rsidRDefault="00000000">
    <w:pPr>
      <w:pStyle w:val="Header"/>
    </w:pPr>
    <w:r>
      <w:rPr>
        <w:noProof/>
      </w:rPr>
      <w:pict w14:anchorId="1F0A2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6E76EF"/>
    <w:multiLevelType w:val="hybridMultilevel"/>
    <w:tmpl w:val="F3604DA8"/>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279481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8627442">
    <w:abstractNumId w:val="16"/>
  </w:num>
  <w:num w:numId="3" w16cid:durableId="1588221784">
    <w:abstractNumId w:val="24"/>
  </w:num>
  <w:num w:numId="4" w16cid:durableId="45622166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00208791">
    <w:abstractNumId w:val="8"/>
  </w:num>
  <w:num w:numId="6" w16cid:durableId="573201755">
    <w:abstractNumId w:val="6"/>
  </w:num>
  <w:num w:numId="7" w16cid:durableId="213010161">
    <w:abstractNumId w:val="1"/>
  </w:num>
  <w:num w:numId="8" w16cid:durableId="1964533692">
    <w:abstractNumId w:val="13"/>
  </w:num>
  <w:num w:numId="9" w16cid:durableId="747193661">
    <w:abstractNumId w:val="26"/>
  </w:num>
  <w:num w:numId="10" w16cid:durableId="582689860">
    <w:abstractNumId w:val="2"/>
  </w:num>
  <w:num w:numId="11" w16cid:durableId="1620333499">
    <w:abstractNumId w:val="19"/>
  </w:num>
  <w:num w:numId="12" w16cid:durableId="1743068330">
    <w:abstractNumId w:val="3"/>
  </w:num>
  <w:num w:numId="13" w16cid:durableId="1546794145">
    <w:abstractNumId w:val="18"/>
  </w:num>
  <w:num w:numId="14" w16cid:durableId="1877308345">
    <w:abstractNumId w:val="9"/>
  </w:num>
  <w:num w:numId="15" w16cid:durableId="1290209601">
    <w:abstractNumId w:val="22"/>
  </w:num>
  <w:num w:numId="16" w16cid:durableId="621544790">
    <w:abstractNumId w:val="5"/>
  </w:num>
  <w:num w:numId="17" w16cid:durableId="1205561772">
    <w:abstractNumId w:val="23"/>
  </w:num>
  <w:num w:numId="18" w16cid:durableId="5056095">
    <w:abstractNumId w:val="15"/>
  </w:num>
  <w:num w:numId="19" w16cid:durableId="1887184884">
    <w:abstractNumId w:val="29"/>
  </w:num>
  <w:num w:numId="20" w16cid:durableId="825626456">
    <w:abstractNumId w:val="12"/>
  </w:num>
  <w:num w:numId="21" w16cid:durableId="1288052263">
    <w:abstractNumId w:val="10"/>
  </w:num>
  <w:num w:numId="22" w16cid:durableId="997418468">
    <w:abstractNumId w:val="14"/>
  </w:num>
  <w:num w:numId="23" w16cid:durableId="925965970">
    <w:abstractNumId w:val="20"/>
  </w:num>
  <w:num w:numId="24" w16cid:durableId="1597978999">
    <w:abstractNumId w:val="27"/>
  </w:num>
  <w:num w:numId="25" w16cid:durableId="882979348">
    <w:abstractNumId w:val="4"/>
  </w:num>
  <w:num w:numId="26" w16cid:durableId="661851666">
    <w:abstractNumId w:val="17"/>
  </w:num>
  <w:num w:numId="27" w16cid:durableId="141504872">
    <w:abstractNumId w:val="21"/>
  </w:num>
  <w:num w:numId="28" w16cid:durableId="723137876">
    <w:abstractNumId w:val="28"/>
  </w:num>
  <w:num w:numId="29" w16cid:durableId="1187135435">
    <w:abstractNumId w:val="25"/>
  </w:num>
  <w:num w:numId="30" w16cid:durableId="1041974480">
    <w:abstractNumId w:val="11"/>
  </w:num>
  <w:num w:numId="31" w16cid:durableId="995649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281"/>
    <w:rsid w:val="00007F5C"/>
    <w:rsid w:val="00030174"/>
    <w:rsid w:val="00037352"/>
    <w:rsid w:val="0004579C"/>
    <w:rsid w:val="000A47FA"/>
    <w:rsid w:val="000A65D3"/>
    <w:rsid w:val="000B1E33"/>
    <w:rsid w:val="000D689F"/>
    <w:rsid w:val="000E7B7B"/>
    <w:rsid w:val="000E7D62"/>
    <w:rsid w:val="000F58AF"/>
    <w:rsid w:val="00103357"/>
    <w:rsid w:val="00123C9F"/>
    <w:rsid w:val="00126190"/>
    <w:rsid w:val="00130F17"/>
    <w:rsid w:val="001320BF"/>
    <w:rsid w:val="00135558"/>
    <w:rsid w:val="00143308"/>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1D2"/>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7913"/>
    <w:rsid w:val="00423789"/>
    <w:rsid w:val="004344DD"/>
    <w:rsid w:val="00440F43"/>
    <w:rsid w:val="00441B6F"/>
    <w:rsid w:val="00446221"/>
    <w:rsid w:val="00450E62"/>
    <w:rsid w:val="00450EAD"/>
    <w:rsid w:val="004539DB"/>
    <w:rsid w:val="00471A80"/>
    <w:rsid w:val="004D305E"/>
    <w:rsid w:val="004D4277"/>
    <w:rsid w:val="00502516"/>
    <w:rsid w:val="00505F06"/>
    <w:rsid w:val="00506828"/>
    <w:rsid w:val="0053056E"/>
    <w:rsid w:val="00554FDA"/>
    <w:rsid w:val="005A5A4F"/>
    <w:rsid w:val="005B0AB7"/>
    <w:rsid w:val="005C784C"/>
    <w:rsid w:val="005D0BED"/>
    <w:rsid w:val="005D17F6"/>
    <w:rsid w:val="005E5539"/>
    <w:rsid w:val="005F75D0"/>
    <w:rsid w:val="00602BF5"/>
    <w:rsid w:val="0061221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F29"/>
    <w:rsid w:val="0070082C"/>
    <w:rsid w:val="00731F5E"/>
    <w:rsid w:val="007369E6"/>
    <w:rsid w:val="00746E59"/>
    <w:rsid w:val="00754C9A"/>
    <w:rsid w:val="0075599A"/>
    <w:rsid w:val="00761D52"/>
    <w:rsid w:val="007666C8"/>
    <w:rsid w:val="0077749E"/>
    <w:rsid w:val="00790ADA"/>
    <w:rsid w:val="007D2288"/>
    <w:rsid w:val="007E088F"/>
    <w:rsid w:val="007F7B32"/>
    <w:rsid w:val="00804BC2"/>
    <w:rsid w:val="0081431A"/>
    <w:rsid w:val="0083216F"/>
    <w:rsid w:val="00836060"/>
    <w:rsid w:val="00845BE9"/>
    <w:rsid w:val="00847063"/>
    <w:rsid w:val="00860000"/>
    <w:rsid w:val="00863BD3"/>
    <w:rsid w:val="008641ED"/>
    <w:rsid w:val="00866D66"/>
    <w:rsid w:val="008671C6"/>
    <w:rsid w:val="00875803"/>
    <w:rsid w:val="0088077D"/>
    <w:rsid w:val="008818B6"/>
    <w:rsid w:val="008A203D"/>
    <w:rsid w:val="008B459E"/>
    <w:rsid w:val="008E13AE"/>
    <w:rsid w:val="008E1506"/>
    <w:rsid w:val="008E1862"/>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4F2"/>
    <w:rsid w:val="009F0EDA"/>
    <w:rsid w:val="00A01BB0"/>
    <w:rsid w:val="00A03B96"/>
    <w:rsid w:val="00A05B19"/>
    <w:rsid w:val="00A1134E"/>
    <w:rsid w:val="00A24E7E"/>
    <w:rsid w:val="00A258C3"/>
    <w:rsid w:val="00A34280"/>
    <w:rsid w:val="00A347C0"/>
    <w:rsid w:val="00A40E7F"/>
    <w:rsid w:val="00A51431"/>
    <w:rsid w:val="00A539AD"/>
    <w:rsid w:val="00A62E1E"/>
    <w:rsid w:val="00A94063"/>
    <w:rsid w:val="00AA6219"/>
    <w:rsid w:val="00AA74E0"/>
    <w:rsid w:val="00AB703F"/>
    <w:rsid w:val="00AC6BB8"/>
    <w:rsid w:val="00AE008F"/>
    <w:rsid w:val="00B01FCD"/>
    <w:rsid w:val="00B1776C"/>
    <w:rsid w:val="00B44D8F"/>
    <w:rsid w:val="00B47051"/>
    <w:rsid w:val="00B52583"/>
    <w:rsid w:val="00B52896"/>
    <w:rsid w:val="00B94E65"/>
    <w:rsid w:val="00B95070"/>
    <w:rsid w:val="00B95236"/>
    <w:rsid w:val="00B96BD9"/>
    <w:rsid w:val="00BA1B01"/>
    <w:rsid w:val="00BA2641"/>
    <w:rsid w:val="00BA3D6F"/>
    <w:rsid w:val="00BB37AA"/>
    <w:rsid w:val="00BC1E1F"/>
    <w:rsid w:val="00BC53A0"/>
    <w:rsid w:val="00BD0EB6"/>
    <w:rsid w:val="00BE62AD"/>
    <w:rsid w:val="00BF121F"/>
    <w:rsid w:val="00BF1F21"/>
    <w:rsid w:val="00BF1F80"/>
    <w:rsid w:val="00C02DD2"/>
    <w:rsid w:val="00C166EF"/>
    <w:rsid w:val="00C17EB0"/>
    <w:rsid w:val="00C27F5F"/>
    <w:rsid w:val="00C30A0F"/>
    <w:rsid w:val="00C37E61"/>
    <w:rsid w:val="00C579ED"/>
    <w:rsid w:val="00C70F1B"/>
    <w:rsid w:val="00C71A47"/>
    <w:rsid w:val="00C7464C"/>
    <w:rsid w:val="00C85588"/>
    <w:rsid w:val="00CD6755"/>
    <w:rsid w:val="00CD6856"/>
    <w:rsid w:val="00CE0089"/>
    <w:rsid w:val="00CE793C"/>
    <w:rsid w:val="00CF193C"/>
    <w:rsid w:val="00D173F1"/>
    <w:rsid w:val="00D35128"/>
    <w:rsid w:val="00D72CE6"/>
    <w:rsid w:val="00D74CB0"/>
    <w:rsid w:val="00D809FB"/>
    <w:rsid w:val="00D8295D"/>
    <w:rsid w:val="00DC1186"/>
    <w:rsid w:val="00DC2A65"/>
    <w:rsid w:val="00DE15F0"/>
    <w:rsid w:val="00DE5663"/>
    <w:rsid w:val="00DE78AA"/>
    <w:rsid w:val="00E053D0"/>
    <w:rsid w:val="00E15994"/>
    <w:rsid w:val="00E2730F"/>
    <w:rsid w:val="00E3114E"/>
    <w:rsid w:val="00E31A70"/>
    <w:rsid w:val="00E35B02"/>
    <w:rsid w:val="00E64EF9"/>
    <w:rsid w:val="00E66496"/>
    <w:rsid w:val="00E66B35"/>
    <w:rsid w:val="00E66E10"/>
    <w:rsid w:val="00E7125E"/>
    <w:rsid w:val="00E769F6"/>
    <w:rsid w:val="00E8407C"/>
    <w:rsid w:val="00E84F3C"/>
    <w:rsid w:val="00E9662E"/>
    <w:rsid w:val="00EA012C"/>
    <w:rsid w:val="00EC2A19"/>
    <w:rsid w:val="00EC6A55"/>
    <w:rsid w:val="00ED0288"/>
    <w:rsid w:val="00EE52CB"/>
    <w:rsid w:val="00EF581D"/>
    <w:rsid w:val="00EF7FD8"/>
    <w:rsid w:val="00F06F59"/>
    <w:rsid w:val="00F11C97"/>
    <w:rsid w:val="00F17988"/>
    <w:rsid w:val="00F469F0"/>
    <w:rsid w:val="00F53273"/>
    <w:rsid w:val="00F67BD5"/>
    <w:rsid w:val="00F739BA"/>
    <w:rsid w:val="00F755E4"/>
    <w:rsid w:val="00F77D02"/>
    <w:rsid w:val="00F9739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C89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MY"/>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E186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ep.2006.04.004" TargetMode="External"/><Relationship Id="rId26" Type="http://schemas.openxmlformats.org/officeDocument/2006/relationships/hyperlink" Target="https://doi.org/10.3390/antiox10121967" TargetMode="External"/><Relationship Id="rId39" Type="http://schemas.openxmlformats.org/officeDocument/2006/relationships/hyperlink" Target="https://doi.org/10.3390/foods10020475" TargetMode="External"/><Relationship Id="rId21" Type="http://schemas.openxmlformats.org/officeDocument/2006/relationships/hyperlink" Target="https://doi.org/10.1016/S0308-8146(02)00138-3" TargetMode="External"/><Relationship Id="rId34" Type="http://schemas.openxmlformats.org/officeDocument/2006/relationships/hyperlink" Target="https://doi.org/10.1016/j.aca.2012.11.051" TargetMode="External"/><Relationship Id="rId42" Type="http://schemas.openxmlformats.org/officeDocument/2006/relationships/hyperlink" Target="https://doi.org/10.1016/j.foodchem.2014.04.097" TargetMode="External"/><Relationship Id="rId47" Type="http://schemas.openxmlformats.org/officeDocument/2006/relationships/hyperlink" Target="https://doi.org/10.3390/beverages8040081" TargetMode="External"/><Relationship Id="rId50" Type="http://schemas.openxmlformats.org/officeDocument/2006/relationships/hyperlink" Target="https://doi.org/10.1111/j.1365-2621.2004.tb10709.x"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10.1016/j.crfs.2021.03.011" TargetMode="External"/><Relationship Id="rId29" Type="http://schemas.openxmlformats.org/officeDocument/2006/relationships/hyperlink" Target="https://doi.org/10.1016/S0031-9422(03)00438-2" TargetMode="External"/><Relationship Id="rId11" Type="http://schemas.openxmlformats.org/officeDocument/2006/relationships/footer" Target="footer2.xml"/><Relationship Id="rId24" Type="http://schemas.openxmlformats.org/officeDocument/2006/relationships/hyperlink" Target="https://doi:10.29219/fnr.v67.8977" TargetMode="External"/><Relationship Id="rId32" Type="http://schemas.openxmlformats.org/officeDocument/2006/relationships/hyperlink" Target="https://doi.org/10.1093/jaoac/88.5.1269" TargetMode="External"/><Relationship Id="rId37" Type="http://schemas.openxmlformats.org/officeDocument/2006/relationships/hyperlink" Target="https://doi:10.3390/antiox10091337" TargetMode="External"/><Relationship Id="rId40" Type="http://schemas.openxmlformats.org/officeDocument/2006/relationships/hyperlink" Target="https://doi.org/10.1002/mnfr.200700179" TargetMode="External"/><Relationship Id="rId45" Type="http://schemas.openxmlformats.org/officeDocument/2006/relationships/hyperlink" Target="https://doi.org/10.37256/fse.6220256331" TargetMode="External"/><Relationship Id="rId53"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hyperlink" Target="https://doi.org/10.1016/j.foodchem.2008.09.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foodchem.2014.05.002" TargetMode="External"/><Relationship Id="rId27" Type="http://schemas.openxmlformats.org/officeDocument/2006/relationships/hyperlink" Target="https://doi.org/10.1016/j.foodchem.2008.12.022" TargetMode="External"/><Relationship Id="rId30" Type="http://schemas.openxmlformats.org/officeDocument/2006/relationships/hyperlink" Target="https://doi.org/10.1016/B978-0-12-404738-9.00012-X" TargetMode="External"/><Relationship Id="rId35" Type="http://schemas.openxmlformats.org/officeDocument/2006/relationships/hyperlink" Target="https://doi.org/10.1016/S0308-8146(99)00167-3" TargetMode="External"/><Relationship Id="rId43" Type="http://schemas.openxmlformats.org/officeDocument/2006/relationships/hyperlink" Target="https://doi.org/10.3177/jnsv.52.149" TargetMode="External"/><Relationship Id="rId48" Type="http://schemas.openxmlformats.org/officeDocument/2006/relationships/hyperlink" Target="https://doi.org/10.1016/j.foodres.2013.11.040"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10.3390/foods1311170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jgeb.2018.03.003" TargetMode="External"/><Relationship Id="rId25" Type="http://schemas.openxmlformats.org/officeDocument/2006/relationships/hyperlink" Target="https://doi.org/10.17159/sajs.2022/10383" TargetMode="External"/><Relationship Id="rId33" Type="http://schemas.openxmlformats.org/officeDocument/2006/relationships/hyperlink" Target="https://doi.org/10.1016/j.jtcme.2014.10.001" TargetMode="External"/><Relationship Id="rId38" Type="http://schemas.openxmlformats.org/officeDocument/2006/relationships/hyperlink" Target="https://doi:10.1016/S2221-1691(12)60219-6" TargetMode="External"/><Relationship Id="rId46" Type="http://schemas.openxmlformats.org/officeDocument/2006/relationships/hyperlink" Target="https://doi.org/10.26656/fr.2017.9(S1).079" TargetMode="External"/><Relationship Id="rId20" Type="http://schemas.openxmlformats.org/officeDocument/2006/relationships/hyperlink" Target="https://doi.org/10.1016/j.focha.2024.100835" TargetMode="External"/><Relationship Id="rId41" Type="http://schemas.openxmlformats.org/officeDocument/2006/relationships/hyperlink" Target="https://doi.org/10.1016/j.jff.2015.06.018"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9/jmf.2012.0004" TargetMode="External"/><Relationship Id="rId23" Type="http://schemas.openxmlformats.org/officeDocument/2006/relationships/hyperlink" Target="https://doi.org/10.1016/j.jep.2009.04.052" TargetMode="External"/><Relationship Id="rId28" Type="http://schemas.openxmlformats.org/officeDocument/2006/relationships/hyperlink" Target="https://doi.org/10.1016/B978-0-323-85213-5.00001-9" TargetMode="External"/><Relationship Id="rId36" Type="http://schemas.openxmlformats.org/officeDocument/2006/relationships/hyperlink" Target="https://doi.org/10.3390/beverages6010002" TargetMode="External"/><Relationship Id="rId49" Type="http://schemas.openxmlformats.org/officeDocument/2006/relationships/hyperlink" Target="https://doi.org/10.3390/app14052014"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3390/BEVERAGES9030058" TargetMode="External"/><Relationship Id="rId44" Type="http://schemas.openxmlformats.org/officeDocument/2006/relationships/hyperlink" Target="https://doi.org/10.1016/j.jfca.2006.01.003" TargetMode="Externa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y%20Drive\Projek%20Tisane\Data\Formulasi\Data%20formulasi%20tisan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01957523505147"/>
          <c:y val="0.1388888888888889"/>
          <c:w val="0.84484476883627724"/>
          <c:h val="0.65554024496937879"/>
        </c:manualLayout>
      </c:layout>
      <c:lineChart>
        <c:grouping val="standard"/>
        <c:varyColors val="0"/>
        <c:ser>
          <c:idx val="0"/>
          <c:order val="0"/>
          <c:tx>
            <c:strRef>
              <c:f>'Masa rendaman'!$V$142</c:f>
              <c:strCache>
                <c:ptCount val="1"/>
                <c:pt idx="0">
                  <c:v>TAC (mg/200mL)</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s>
            <c:dLbl>
              <c:idx val="0"/>
              <c:tx>
                <c:rich>
                  <a:bodyPr/>
                  <a:lstStyle/>
                  <a:p>
                    <a:fld id="{8B8E9C3D-7684-4DDA-B114-08D319144A55}" type="VALUE">
                      <a:rPr lang="en-US"/>
                      <a:pPr/>
                      <a:t>[VALUE]</a:t>
                    </a:fld>
                    <a:r>
                      <a:rPr lang="en-US"/>
                      <a:t>±0.06</a:t>
                    </a:r>
                    <a:r>
                      <a:rPr lang="en-US" baseline="30000"/>
                      <a:t>b</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444-4C0E-A0DD-9444E796C00F}"/>
                </c:ext>
              </c:extLst>
            </c:dLbl>
            <c:dLbl>
              <c:idx val="1"/>
              <c:tx>
                <c:rich>
                  <a:bodyPr/>
                  <a:lstStyle/>
                  <a:p>
                    <a:fld id="{ED3A2C04-9ED7-45C7-A1F5-0553002EAF0E}" type="VALUE">
                      <a:rPr lang="en-US"/>
                      <a:pPr/>
                      <a:t>[VALUE]</a:t>
                    </a:fld>
                    <a:r>
                      <a:rPr lang="en-US"/>
                      <a:t>±0.53</a:t>
                    </a:r>
                    <a:r>
                      <a:rPr lang="en-US" baseline="30000"/>
                      <a:t>b</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444-4C0E-A0DD-9444E796C00F}"/>
                </c:ext>
              </c:extLst>
            </c:dLbl>
            <c:dLbl>
              <c:idx val="2"/>
              <c:tx>
                <c:rich>
                  <a:bodyPr/>
                  <a:lstStyle/>
                  <a:p>
                    <a:fld id="{75EC5D45-9CDB-48D7-B125-60016E79BDF9}" type="VALUE">
                      <a:rPr lang="en-US"/>
                      <a:pPr/>
                      <a:t>[VALUE]</a:t>
                    </a:fld>
                    <a:r>
                      <a:rPr lang="en-US"/>
                      <a:t>±0.13</a:t>
                    </a:r>
                    <a:r>
                      <a:rPr lang="en-US" baseline="30000"/>
                      <a:t>b</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444-4C0E-A0DD-9444E796C00F}"/>
                </c:ext>
              </c:extLst>
            </c:dLbl>
            <c:dLbl>
              <c:idx val="3"/>
              <c:tx>
                <c:rich>
                  <a:bodyPr/>
                  <a:lstStyle/>
                  <a:p>
                    <a:fld id="{ACD93C0D-A174-4AA0-ADD3-F1BC9F35F9DF}" type="VALUE">
                      <a:rPr lang="en-US"/>
                      <a:pPr/>
                      <a:t>[VALUE]</a:t>
                    </a:fld>
                    <a:r>
                      <a:rPr lang="en-US"/>
                      <a:t>±0.37</a:t>
                    </a:r>
                    <a:r>
                      <a:rPr lang="en-US" baseline="30000"/>
                      <a:t>a</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444-4C0E-A0DD-9444E796C00F}"/>
                </c:ext>
              </c:extLst>
            </c:dLbl>
            <c:dLbl>
              <c:idx val="4"/>
              <c:tx>
                <c:rich>
                  <a:bodyPr/>
                  <a:lstStyle/>
                  <a:p>
                    <a:fld id="{AE1507CB-DB92-4B11-B5FC-A26D560732D9}" type="VALUE">
                      <a:rPr lang="en-US"/>
                      <a:pPr/>
                      <a:t>[VALUE]</a:t>
                    </a:fld>
                    <a:r>
                      <a:rPr lang="en-US"/>
                      <a:t>±0.43</a:t>
                    </a:r>
                    <a:r>
                      <a:rPr lang="en-US" baseline="30000"/>
                      <a:t>a</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444-4C0E-A0DD-9444E796C00F}"/>
                </c:ext>
              </c:extLst>
            </c:dLbl>
            <c:dLbl>
              <c:idx val="5"/>
              <c:tx>
                <c:rich>
                  <a:bodyPr/>
                  <a:lstStyle/>
                  <a:p>
                    <a:fld id="{A91F7978-BEF8-49E0-93D6-7B44B287D3C8}" type="VALUE">
                      <a:rPr lang="en-US"/>
                      <a:pPr/>
                      <a:t>[VALUE]</a:t>
                    </a:fld>
                    <a:r>
                      <a:rPr lang="en-US"/>
                      <a:t>±0.02</a:t>
                    </a:r>
                    <a:r>
                      <a:rPr lang="en-US" baseline="30000"/>
                      <a:t>a</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444-4C0E-A0DD-9444E796C00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'Masa rendaman'!$U$143:$U$148</c:f>
              <c:numCache>
                <c:formatCode>General</c:formatCode>
                <c:ptCount val="6"/>
                <c:pt idx="0">
                  <c:v>5</c:v>
                </c:pt>
                <c:pt idx="1">
                  <c:v>10</c:v>
                </c:pt>
                <c:pt idx="2">
                  <c:v>15</c:v>
                </c:pt>
                <c:pt idx="3">
                  <c:v>20</c:v>
                </c:pt>
                <c:pt idx="4">
                  <c:v>25</c:v>
                </c:pt>
                <c:pt idx="5">
                  <c:v>30</c:v>
                </c:pt>
              </c:numCache>
            </c:numRef>
          </c:cat>
          <c:val>
            <c:numRef>
              <c:f>'Masa rendaman'!$V$143:$V$148</c:f>
              <c:numCache>
                <c:formatCode>0.00</c:formatCode>
                <c:ptCount val="6"/>
                <c:pt idx="0">
                  <c:v>15.33006798245615</c:v>
                </c:pt>
                <c:pt idx="1">
                  <c:v>15.22134993734335</c:v>
                </c:pt>
                <c:pt idx="2">
                  <c:v>14.997324874686701</c:v>
                </c:pt>
                <c:pt idx="3">
                  <c:v>18.009308897243098</c:v>
                </c:pt>
                <c:pt idx="4">
                  <c:v>18.171562343358399</c:v>
                </c:pt>
                <c:pt idx="5">
                  <c:v>18.685502192982451</c:v>
                </c:pt>
              </c:numCache>
            </c:numRef>
          </c:val>
          <c:smooth val="0"/>
          <c:extLst>
            <c:ext xmlns:c16="http://schemas.microsoft.com/office/drawing/2014/chart" uri="{C3380CC4-5D6E-409C-BE32-E72D297353CC}">
              <c16:uniqueId val="{00000006-D444-4C0E-A0DD-9444E796C00F}"/>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65000"/>
                    <a:lumOff val="35000"/>
                  </a:schemeClr>
                </a:solidFill>
              </a:ln>
              <a:effectLst/>
            </c:spPr>
          </c:upBars>
          <c:downBars>
            <c:spPr>
              <a:solidFill>
                <a:schemeClr val="dk1">
                  <a:lumMod val="75000"/>
                  <a:lumOff val="25000"/>
                </a:schemeClr>
              </a:solidFill>
              <a:ln w="9525">
                <a:solidFill>
                  <a:schemeClr val="tx1">
                    <a:lumMod val="15000"/>
                    <a:lumOff val="85000"/>
                  </a:schemeClr>
                </a:solidFill>
              </a:ln>
              <a:effectLst/>
            </c:spPr>
          </c:downBars>
        </c:upDownBars>
        <c:marker val="1"/>
        <c:smooth val="0"/>
        <c:axId val="526964079"/>
        <c:axId val="526954959"/>
      </c:lineChart>
      <c:catAx>
        <c:axId val="526964079"/>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cap="none"/>
                  <a:t>Infusion Time (min)</a:t>
                </a:r>
              </a:p>
            </c:rich>
          </c:tx>
          <c:overlay val="0"/>
          <c:spPr>
            <a:noFill/>
            <a:ln>
              <a:noFill/>
            </a:ln>
            <a:effectLst/>
          </c:spPr>
          <c:txPr>
            <a:bodyPr rot="0" spcFirstLastPara="1" vertOverflow="ellipsis" vert="horz" wrap="square" anchor="ctr" anchorCtr="1"/>
            <a:lstStyle/>
            <a:p>
              <a:pPr>
                <a:defRPr sz="1000" b="0"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6954959"/>
        <c:crosses val="autoZero"/>
        <c:auto val="1"/>
        <c:lblAlgn val="ctr"/>
        <c:lblOffset val="100"/>
        <c:noMultiLvlLbl val="0"/>
      </c:catAx>
      <c:valAx>
        <c:axId val="526954959"/>
        <c:scaling>
          <c:orientation val="minMax"/>
          <c:max val="20"/>
        </c:scaling>
        <c:delete val="0"/>
        <c:axPos val="l"/>
        <c:title>
          <c:tx>
            <c:rich>
              <a:bodyPr rot="-5400000" spcFirstLastPara="1" vertOverflow="ellipsis" vert="horz" wrap="square" anchor="ctr" anchorCtr="1"/>
              <a:lstStyle/>
              <a:p>
                <a:pPr>
                  <a:defRPr sz="1000" b="0"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cap="none"/>
                  <a:t>Total Anthocyanin Content</a:t>
                </a:r>
              </a:p>
              <a:p>
                <a:pPr>
                  <a:defRPr cap="none"/>
                </a:pPr>
                <a:r>
                  <a:rPr lang="en-US" cap="none"/>
                  <a:t> (mg/100ml)</a:t>
                </a:r>
              </a:p>
            </c:rich>
          </c:tx>
          <c:layout>
            <c:manualLayout>
              <c:xMode val="edge"/>
              <c:yMode val="edge"/>
              <c:x val="6.3616878901658893E-3"/>
              <c:y val="0.232949471684535"/>
            </c:manualLayout>
          </c:layout>
          <c:overlay val="0"/>
          <c:spPr>
            <a:noFill/>
            <a:ln>
              <a:noFill/>
            </a:ln>
            <a:effectLst/>
          </c:spPr>
          <c:txPr>
            <a:bodyPr rot="-5400000" spcFirstLastPara="1" vertOverflow="ellipsis" vert="horz" wrap="square" anchor="ctr" anchorCtr="1"/>
            <a:lstStyle/>
            <a:p>
              <a:pPr>
                <a:defRPr sz="1000" b="0"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6964079"/>
        <c:crosses val="autoZero"/>
        <c:crossBetween val="between"/>
        <c:majorUnit val="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91D41-363F-4978-896D-46B8C564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13</Pages>
  <Words>6183</Words>
  <Characters>35248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41349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Comet</cp:lastModifiedBy>
  <cp:revision>2</cp:revision>
  <cp:lastPrinted>1999-07-06T11:00:00Z</cp:lastPrinted>
  <dcterms:created xsi:type="dcterms:W3CDTF">2025-10-18T13:48:00Z</dcterms:created>
  <dcterms:modified xsi:type="dcterms:W3CDTF">2025-10-18T13:48:00Z</dcterms:modified>
</cp:coreProperties>
</file>