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C764F" w14:textId="2A9BD06C" w:rsidR="00415D40" w:rsidRPr="00415D40" w:rsidRDefault="00415D40" w:rsidP="00415D40">
      <w:pPr>
        <w:spacing w:after="0" w:line="240" w:lineRule="auto"/>
        <w:rPr>
          <w:rFonts w:ascii="Times New Roman" w:hAnsi="Times New Roman" w:cs="Times New Roman"/>
          <w:b/>
          <w:sz w:val="22"/>
          <w:u w:val="single"/>
          <w:lang w:val="en-GB"/>
        </w:rPr>
      </w:pPr>
      <w:r w:rsidRPr="00415D40">
        <w:rPr>
          <w:rFonts w:ascii="Times New Roman" w:hAnsi="Times New Roman" w:cs="Times New Roman"/>
          <w:b/>
          <w:sz w:val="22"/>
          <w:u w:val="single"/>
          <w:lang w:val="en-GB"/>
        </w:rPr>
        <w:t>Original Research Article</w:t>
      </w:r>
    </w:p>
    <w:p w14:paraId="21D83040" w14:textId="5DDB2DB9" w:rsidR="00570005" w:rsidRPr="00430F29" w:rsidRDefault="007F02F9" w:rsidP="00430F29">
      <w:pPr>
        <w:spacing w:after="0" w:line="240" w:lineRule="auto"/>
        <w:jc w:val="center"/>
        <w:rPr>
          <w:rFonts w:ascii="Times New Roman" w:hAnsi="Times New Roman" w:cs="Times New Roman"/>
          <w:b/>
          <w:sz w:val="22"/>
          <w:lang w:val="en-GB"/>
        </w:rPr>
      </w:pPr>
      <w:r w:rsidRPr="00430F29">
        <w:rPr>
          <w:rFonts w:ascii="Times New Roman" w:hAnsi="Times New Roman" w:cs="Times New Roman"/>
          <w:b/>
          <w:sz w:val="22"/>
          <w:lang w:val="en-GB"/>
        </w:rPr>
        <w:t>Proximate and Mineral composition i</w:t>
      </w:r>
      <w:r w:rsidR="003C2933">
        <w:rPr>
          <w:rFonts w:ascii="Times New Roman" w:hAnsi="Times New Roman" w:cs="Times New Roman"/>
          <w:b/>
          <w:sz w:val="22"/>
          <w:lang w:val="en-GB"/>
        </w:rPr>
        <w:t xml:space="preserve">n Commonly Consumed Diets </w:t>
      </w:r>
      <w:r w:rsidR="003C2933" w:rsidRPr="003C2933">
        <w:rPr>
          <w:rFonts w:ascii="Times New Roman" w:hAnsi="Times New Roman" w:cs="Times New Roman"/>
          <w:b/>
          <w:sz w:val="22"/>
          <w:highlight w:val="yellow"/>
          <w:lang w:val="en-GB"/>
        </w:rPr>
        <w:t>in</w:t>
      </w:r>
      <w:r w:rsidRPr="00430F29">
        <w:rPr>
          <w:rFonts w:ascii="Times New Roman" w:hAnsi="Times New Roman" w:cs="Times New Roman"/>
          <w:b/>
          <w:sz w:val="22"/>
          <w:lang w:val="en-GB"/>
        </w:rPr>
        <w:t xml:space="preserve"> North Central Zone of Nigeria</w:t>
      </w:r>
    </w:p>
    <w:p w14:paraId="4DCA4153" w14:textId="77777777" w:rsidR="001D14A5" w:rsidRPr="00430F29" w:rsidRDefault="001D14A5" w:rsidP="00430F29">
      <w:pPr>
        <w:spacing w:after="0" w:line="240" w:lineRule="auto"/>
        <w:jc w:val="center"/>
        <w:rPr>
          <w:rFonts w:ascii="Times New Roman" w:hAnsi="Times New Roman" w:cs="Times New Roman"/>
          <w:b/>
          <w:sz w:val="22"/>
          <w:lang w:val="en-GB"/>
        </w:rPr>
      </w:pPr>
    </w:p>
    <w:p w14:paraId="27A98370" w14:textId="410AE633" w:rsidR="002B6564" w:rsidRDefault="002B6564" w:rsidP="00430F29">
      <w:pPr>
        <w:spacing w:after="0" w:line="240" w:lineRule="auto"/>
        <w:jc w:val="both"/>
        <w:rPr>
          <w:rFonts w:ascii="Times New Roman" w:hAnsi="Times New Roman" w:cs="Times New Roman"/>
          <w:bCs/>
          <w:sz w:val="22"/>
          <w:shd w:val="clear" w:color="auto" w:fill="FFFFFF"/>
        </w:rPr>
      </w:pPr>
    </w:p>
    <w:p w14:paraId="5A2E05C5" w14:textId="77777777" w:rsidR="00124C1F" w:rsidRPr="00430F29" w:rsidRDefault="00124C1F" w:rsidP="00430F29">
      <w:pPr>
        <w:spacing w:after="0" w:line="240" w:lineRule="auto"/>
        <w:jc w:val="both"/>
        <w:rPr>
          <w:rFonts w:ascii="Times New Roman" w:hAnsi="Times New Roman" w:cs="Times New Roman"/>
          <w:bCs/>
          <w:sz w:val="22"/>
          <w:shd w:val="clear" w:color="auto" w:fill="FFFFFF"/>
        </w:rPr>
      </w:pPr>
    </w:p>
    <w:p w14:paraId="5FCCAFBE" w14:textId="77777777" w:rsidR="006B2D10" w:rsidRPr="00430F29" w:rsidRDefault="006B2D10" w:rsidP="00430F29">
      <w:pPr>
        <w:spacing w:after="0" w:line="240" w:lineRule="auto"/>
        <w:jc w:val="center"/>
        <w:rPr>
          <w:rFonts w:ascii="Times New Roman" w:hAnsi="Times New Roman" w:cs="Times New Roman"/>
          <w:b/>
          <w:sz w:val="22"/>
          <w:shd w:val="clear" w:color="auto" w:fill="FFFFFF"/>
        </w:rPr>
      </w:pPr>
      <w:r w:rsidRPr="00430F29">
        <w:rPr>
          <w:rFonts w:ascii="Times New Roman" w:hAnsi="Times New Roman" w:cs="Times New Roman"/>
          <w:b/>
          <w:sz w:val="22"/>
          <w:shd w:val="clear" w:color="auto" w:fill="FFFFFF"/>
        </w:rPr>
        <w:t>ABSTRACT</w:t>
      </w:r>
    </w:p>
    <w:p w14:paraId="025ED44A" w14:textId="77777777" w:rsidR="006B2D10" w:rsidRDefault="006B2D10" w:rsidP="00430F29">
      <w:pPr>
        <w:spacing w:after="0" w:line="240" w:lineRule="auto"/>
        <w:jc w:val="both"/>
        <w:rPr>
          <w:rFonts w:ascii="Times New Roman" w:hAnsi="Times New Roman" w:cs="Times New Roman"/>
          <w:bCs/>
          <w:sz w:val="22"/>
          <w:shd w:val="clear" w:color="auto" w:fill="FFFFFF"/>
        </w:rPr>
      </w:pPr>
    </w:p>
    <w:p w14:paraId="6E1393CC" w14:textId="3DCE8C5F" w:rsidR="003C2933" w:rsidRPr="003C2933" w:rsidRDefault="003C2933" w:rsidP="003C2933">
      <w:pPr>
        <w:spacing w:after="0" w:line="240" w:lineRule="auto"/>
        <w:jc w:val="both"/>
        <w:rPr>
          <w:rFonts w:ascii="Times New Roman" w:eastAsia="Times New Roman" w:hAnsi="Times New Roman" w:cs="Times New Roman"/>
          <w:sz w:val="22"/>
        </w:rPr>
      </w:pPr>
      <w:r w:rsidRPr="003C2933">
        <w:rPr>
          <w:rFonts w:ascii="Times New Roman" w:eastAsia="Times New Roman" w:hAnsi="Times New Roman" w:cs="Times New Roman"/>
          <w:sz w:val="22"/>
          <w:highlight w:val="yellow"/>
        </w:rPr>
        <w:t xml:space="preserve">This study evaluates the proximate and mineral composition of commonly consumed raw ingredients and processed foods in North-central Nigeria to assess their nutritional profiles. Proximate analysis refers to the quantification of major food constituents (moisture, ash, crude protein, crude fat, crude fiber, and carbohydrate), while minerals are essential inorganic micronutrients. Following a dietary survey to identify key foods, samples were analyzed using standard laboratory techniques. Results for </w:t>
      </w:r>
      <w:r w:rsidRPr="003C2933">
        <w:rPr>
          <w:rFonts w:ascii="Times New Roman" w:eastAsia="Times New Roman" w:hAnsi="Times New Roman" w:cs="Times New Roman"/>
          <w:bCs/>
          <w:sz w:val="22"/>
          <w:highlight w:val="yellow"/>
        </w:rPr>
        <w:t>raw ingredients</w:t>
      </w:r>
      <w:r w:rsidRPr="003C2933">
        <w:rPr>
          <w:rFonts w:ascii="Times New Roman" w:eastAsia="Times New Roman" w:hAnsi="Times New Roman" w:cs="Times New Roman"/>
          <w:sz w:val="22"/>
          <w:highlight w:val="yellow"/>
        </w:rPr>
        <w:t xml:space="preserve"> showed significant nutritional variability. Crude protein content was highest in fish (52.2%) and crayfish (43.3%), while egusi was the richest source of crude fat (56.2%). Carbohydrates were the dominant macronutrient in staples like yams (72.5%) and rice (73.5%). In </w:t>
      </w:r>
      <w:r w:rsidRPr="003C2933">
        <w:rPr>
          <w:rFonts w:ascii="Times New Roman" w:eastAsia="Times New Roman" w:hAnsi="Times New Roman" w:cs="Times New Roman"/>
          <w:bCs/>
          <w:sz w:val="22"/>
          <w:highlight w:val="yellow"/>
        </w:rPr>
        <w:t>processed foods</w:t>
      </w:r>
      <w:r w:rsidRPr="003C2933">
        <w:rPr>
          <w:rFonts w:ascii="Times New Roman" w:eastAsia="Times New Roman" w:hAnsi="Times New Roman" w:cs="Times New Roman"/>
          <w:sz w:val="22"/>
          <w:highlight w:val="yellow"/>
        </w:rPr>
        <w:t xml:space="preserve">, carbohydrate content peaked in </w:t>
      </w:r>
      <w:r w:rsidRPr="003C2933">
        <w:rPr>
          <w:rFonts w:ascii="Times New Roman" w:eastAsia="Times New Roman" w:hAnsi="Times New Roman" w:cs="Times New Roman"/>
          <w:i/>
          <w:iCs/>
          <w:sz w:val="22"/>
          <w:highlight w:val="yellow"/>
        </w:rPr>
        <w:t>Okpa</w:t>
      </w:r>
      <w:r w:rsidRPr="003C2933">
        <w:rPr>
          <w:rFonts w:ascii="Times New Roman" w:eastAsia="Times New Roman" w:hAnsi="Times New Roman" w:cs="Times New Roman"/>
          <w:sz w:val="22"/>
          <w:highlight w:val="yellow"/>
        </w:rPr>
        <w:t xml:space="preserve"> (~78%), with crude protein ranging from 5% in yam porridge to 16% in Moringa-based food. Pounded yams with egusi soup contained the highest crude fat (~14%). Mineral analysis revealed that certain condiments were major sources of specific minerals. Raw seasoning cubes and salt contained exceptionally high concentrations of </w:t>
      </w:r>
      <w:r w:rsidRPr="003C2933">
        <w:rPr>
          <w:rFonts w:ascii="Times New Roman" w:eastAsia="Times New Roman" w:hAnsi="Times New Roman" w:cs="Times New Roman"/>
          <w:bCs/>
          <w:sz w:val="22"/>
          <w:highlight w:val="yellow"/>
        </w:rPr>
        <w:t>sodium</w:t>
      </w:r>
      <w:r w:rsidRPr="003C2933">
        <w:rPr>
          <w:rFonts w:ascii="Times New Roman" w:eastAsia="Times New Roman" w:hAnsi="Times New Roman" w:cs="Times New Roman"/>
          <w:sz w:val="22"/>
          <w:highlight w:val="yellow"/>
        </w:rPr>
        <w:t xml:space="preserve"> (Na) at 342.70 mg/kg and 308.30 mg/kg, respectively. Among processed meals, bean porridge had the highest sodium level (147.50 mg/kg). Locust beans (68.34 mg/kg) and Moringa-based food (68.53 mg/kg) were identified as excellent sources of </w:t>
      </w:r>
      <w:r w:rsidRPr="003C2933">
        <w:rPr>
          <w:rFonts w:ascii="Times New Roman" w:eastAsia="Times New Roman" w:hAnsi="Times New Roman" w:cs="Times New Roman"/>
          <w:bCs/>
          <w:sz w:val="22"/>
          <w:highlight w:val="yellow"/>
        </w:rPr>
        <w:t>calcium</w:t>
      </w:r>
      <w:r w:rsidRPr="003C2933">
        <w:rPr>
          <w:rFonts w:ascii="Times New Roman" w:eastAsia="Times New Roman" w:hAnsi="Times New Roman" w:cs="Times New Roman"/>
          <w:sz w:val="22"/>
          <w:highlight w:val="yellow"/>
        </w:rPr>
        <w:t xml:space="preserve"> (Ca). Furthermore, </w:t>
      </w:r>
      <w:r w:rsidRPr="003C2933">
        <w:rPr>
          <w:rFonts w:ascii="Times New Roman" w:eastAsia="Times New Roman" w:hAnsi="Times New Roman" w:cs="Times New Roman"/>
          <w:i/>
          <w:iCs/>
          <w:sz w:val="22"/>
          <w:highlight w:val="yellow"/>
        </w:rPr>
        <w:t>kuli-kuli</w:t>
      </w:r>
      <w:r w:rsidRPr="003C2933">
        <w:rPr>
          <w:rFonts w:ascii="Times New Roman" w:eastAsia="Times New Roman" w:hAnsi="Times New Roman" w:cs="Times New Roman"/>
          <w:sz w:val="22"/>
          <w:highlight w:val="yellow"/>
        </w:rPr>
        <w:t xml:space="preserve"> was a significant source of </w:t>
      </w:r>
      <w:r w:rsidRPr="003C2933">
        <w:rPr>
          <w:rFonts w:ascii="Times New Roman" w:eastAsia="Times New Roman" w:hAnsi="Times New Roman" w:cs="Times New Roman"/>
          <w:bCs/>
          <w:sz w:val="22"/>
          <w:highlight w:val="yellow"/>
        </w:rPr>
        <w:t>potassium</w:t>
      </w:r>
      <w:r w:rsidRPr="003C2933">
        <w:rPr>
          <w:rFonts w:ascii="Times New Roman" w:eastAsia="Times New Roman" w:hAnsi="Times New Roman" w:cs="Times New Roman"/>
          <w:sz w:val="22"/>
          <w:highlight w:val="yellow"/>
        </w:rPr>
        <w:t xml:space="preserve"> (K) (110.10 mg/kg). These results show that the local diet is varied and that some foods are especially good sources of important nutrients and minerals. This information can help guide healthy eating choices and support efforts to improve nutrition in the region.</w:t>
      </w:r>
    </w:p>
    <w:p w14:paraId="146FDC1A" w14:textId="77777777" w:rsidR="003C2933" w:rsidRPr="00430F29" w:rsidRDefault="003C2933" w:rsidP="00430F29">
      <w:pPr>
        <w:spacing w:after="0" w:line="240" w:lineRule="auto"/>
        <w:jc w:val="both"/>
        <w:rPr>
          <w:rFonts w:ascii="Times New Roman" w:eastAsia="Times New Roman" w:hAnsi="Times New Roman" w:cs="Times New Roman"/>
          <w:sz w:val="22"/>
        </w:rPr>
      </w:pPr>
    </w:p>
    <w:p w14:paraId="0B02B9AF" w14:textId="77777777" w:rsidR="006B2D10" w:rsidRPr="00430F29" w:rsidRDefault="006B2D10" w:rsidP="00430F29">
      <w:pPr>
        <w:spacing w:after="0" w:line="240" w:lineRule="auto"/>
        <w:jc w:val="both"/>
        <w:rPr>
          <w:sz w:val="22"/>
        </w:rPr>
      </w:pPr>
      <w:r w:rsidRPr="00430F29">
        <w:rPr>
          <w:rFonts w:ascii="Times New Roman" w:eastAsia="Times New Roman" w:hAnsi="Times New Roman" w:cs="Times New Roman"/>
          <w:sz w:val="22"/>
        </w:rPr>
        <w:t>Keywords: Proximate composition, micro-minerals, North-central, Nigeria.</w:t>
      </w:r>
    </w:p>
    <w:p w14:paraId="029A14CB" w14:textId="77777777" w:rsidR="00EC06CE" w:rsidRPr="00430F29" w:rsidRDefault="00EC06CE" w:rsidP="00BB321D">
      <w:pPr>
        <w:pStyle w:val="Heading1"/>
      </w:pPr>
    </w:p>
    <w:p w14:paraId="6C1C6C47" w14:textId="77777777" w:rsidR="00EC06CE" w:rsidRPr="00430F29" w:rsidRDefault="00703D67" w:rsidP="00BB321D">
      <w:pPr>
        <w:pStyle w:val="Heading1"/>
      </w:pPr>
      <w:r w:rsidRPr="00430F29">
        <w:t xml:space="preserve">1.0 </w:t>
      </w:r>
      <w:r w:rsidR="00EC06CE" w:rsidRPr="00430F29">
        <w:t>INTRODUCTION</w:t>
      </w:r>
    </w:p>
    <w:p w14:paraId="1371B412" w14:textId="77777777" w:rsidR="00887E96" w:rsidRPr="00887E96" w:rsidRDefault="00887E96" w:rsidP="00887E96">
      <w:pPr>
        <w:pStyle w:val="Heading1"/>
        <w:jc w:val="both"/>
        <w:rPr>
          <w:b w:val="0"/>
          <w:highlight w:val="yellow"/>
        </w:rPr>
      </w:pPr>
      <w:bookmarkStart w:id="0" w:name="_Toc188277493"/>
      <w:r w:rsidRPr="00887E96">
        <w:rPr>
          <w:b w:val="0"/>
          <w:highlight w:val="yellow"/>
        </w:rPr>
        <w:t xml:space="preserve">Adequate nutrition is fundamental to public health, requiring a thorough understanding of the nutrient content of local foods. </w:t>
      </w:r>
      <w:r w:rsidRPr="00887E96">
        <w:rPr>
          <w:b w:val="0"/>
          <w:bCs/>
          <w:highlight w:val="yellow"/>
        </w:rPr>
        <w:t>Proximate analysis</w:t>
      </w:r>
      <w:r w:rsidRPr="00887E96">
        <w:rPr>
          <w:b w:val="0"/>
          <w:highlight w:val="yellow"/>
        </w:rPr>
        <w:t xml:space="preserve">, which quantifies the major food components—moisture, protein, fat, carbohydrate, and ash—provides critical information on the macronutrient profile of a diet (Parimelazhagan, 2016). Alongside macronutrients, </w:t>
      </w:r>
      <w:r w:rsidRPr="00887E96">
        <w:rPr>
          <w:b w:val="0"/>
          <w:bCs/>
          <w:highlight w:val="yellow"/>
        </w:rPr>
        <w:t>minerals</w:t>
      </w:r>
      <w:r w:rsidRPr="00887E96">
        <w:rPr>
          <w:b w:val="0"/>
          <w:highlight w:val="yellow"/>
        </w:rPr>
        <w:t xml:space="preserve"> are essential micronutrients that regulate numerous biochemical and physiological processes necessary for human health. Deficiencies in key minerals can lead to metabolic disorders and chronic diseases (Awuchi et al., 2020). While some elements like calcium and potassium are required in large amounts, trace elements such as iron and zinc are also vital for bodily functions (Zoroddu et al., 2019).</w:t>
      </w:r>
    </w:p>
    <w:p w14:paraId="0C15CF30" w14:textId="77777777" w:rsidR="00887E96" w:rsidRPr="00887E96" w:rsidRDefault="00887E96" w:rsidP="00887E96">
      <w:pPr>
        <w:pStyle w:val="Heading1"/>
        <w:jc w:val="both"/>
        <w:rPr>
          <w:b w:val="0"/>
          <w:highlight w:val="yellow"/>
        </w:rPr>
      </w:pPr>
      <w:r w:rsidRPr="00887E96">
        <w:rPr>
          <w:b w:val="0"/>
          <w:highlight w:val="yellow"/>
        </w:rPr>
        <w:t xml:space="preserve">Reliable </w:t>
      </w:r>
      <w:r w:rsidRPr="00887E96">
        <w:rPr>
          <w:b w:val="0"/>
          <w:bCs/>
          <w:highlight w:val="yellow"/>
        </w:rPr>
        <w:t>Food Composition Databases (FCDBs)</w:t>
      </w:r>
      <w:r w:rsidRPr="00887E96">
        <w:rPr>
          <w:b w:val="0"/>
          <w:highlight w:val="yellow"/>
        </w:rPr>
        <w:t xml:space="preserve"> are essential tools for assessing dietary quality, developing nutritional guidelines, and conducting public health research (Westenbrink et al., 2013). However, many existing databases, including broad regional ones like the West African food composition table, often lack the specificity to account for local dietary habits, food preparation methods, and variations in agricultural products (Barbara et al., 2012). This is particularly true in Nigeria, where dietary patterns vary significantly across its geopolitical zones. While research has been conducted on the nutritional content of foods in regions like North-West Nigeria (Dangambo et al., 2022), there remains a significant knowledge gap regarding the specific nutritional profiles of foods commonly consumed in the </w:t>
      </w:r>
      <w:r w:rsidRPr="00887E96">
        <w:rPr>
          <w:b w:val="0"/>
          <w:bCs/>
          <w:highlight w:val="yellow"/>
        </w:rPr>
        <w:t>North-central region</w:t>
      </w:r>
      <w:r w:rsidRPr="00887E96">
        <w:rPr>
          <w:b w:val="0"/>
          <w:highlight w:val="yellow"/>
        </w:rPr>
        <w:t>.</w:t>
      </w:r>
    </w:p>
    <w:p w14:paraId="3BBA2434" w14:textId="77777777" w:rsidR="00887E96" w:rsidRPr="00887E96" w:rsidRDefault="00887E96" w:rsidP="00887E96">
      <w:pPr>
        <w:pStyle w:val="Heading1"/>
        <w:jc w:val="both"/>
        <w:rPr>
          <w:b w:val="0"/>
        </w:rPr>
      </w:pPr>
      <w:r w:rsidRPr="00887E96">
        <w:rPr>
          <w:b w:val="0"/>
          <w:highlight w:val="yellow"/>
        </w:rPr>
        <w:t>This lack of region-specific data hinders accurate dietary assessments and the development of targeted nutritional interventions. Therefore, this study aims to bridge this gap by conducting a comprehensive analysis of the proximate and mineral composition of commonly consumed raw and processed foods within North-central Nigeria. The objective is to generate foundational data that can contribute to a more precise regional food composition profile and support evidence-based public health nutrition strategies.</w:t>
      </w:r>
    </w:p>
    <w:p w14:paraId="3C7B6D12" w14:textId="77777777" w:rsidR="00887E96" w:rsidRPr="00887E96" w:rsidRDefault="00887E96" w:rsidP="00BB321D">
      <w:pPr>
        <w:pStyle w:val="Heading1"/>
        <w:rPr>
          <w:b w:val="0"/>
        </w:rPr>
      </w:pPr>
    </w:p>
    <w:p w14:paraId="0002C770" w14:textId="77777777" w:rsidR="00EC06CE" w:rsidRPr="00430F29" w:rsidRDefault="00702A92" w:rsidP="00BB321D">
      <w:pPr>
        <w:pStyle w:val="Heading1"/>
      </w:pPr>
      <w:r w:rsidRPr="00430F29">
        <w:t xml:space="preserve">2.0 </w:t>
      </w:r>
      <w:r w:rsidR="00EC06CE" w:rsidRPr="00430F29">
        <w:t>MATERIALS AND METHODS</w:t>
      </w:r>
      <w:bookmarkEnd w:id="0"/>
    </w:p>
    <w:p w14:paraId="05A9C8E4" w14:textId="77777777" w:rsidR="00EC06CE" w:rsidRPr="00430F29" w:rsidRDefault="00702A92" w:rsidP="00BB321D">
      <w:pPr>
        <w:pStyle w:val="Heading1"/>
      </w:pPr>
      <w:bookmarkStart w:id="1" w:name="_Toc188277494"/>
      <w:r w:rsidRPr="00430F29">
        <w:t xml:space="preserve">2.1 </w:t>
      </w:r>
      <w:r w:rsidR="00EC06CE" w:rsidRPr="00430F29">
        <w:t>Materials</w:t>
      </w:r>
      <w:bookmarkEnd w:id="1"/>
    </w:p>
    <w:p w14:paraId="5D8C84F5" w14:textId="77777777" w:rsidR="00EC06CE" w:rsidRPr="00430F29" w:rsidRDefault="00702A92" w:rsidP="00430F29">
      <w:pPr>
        <w:spacing w:after="0" w:line="240" w:lineRule="auto"/>
        <w:jc w:val="both"/>
        <w:rPr>
          <w:rFonts w:ascii="Times New Roman" w:hAnsi="Times New Roman" w:cs="Times New Roman"/>
          <w:sz w:val="22"/>
        </w:rPr>
      </w:pPr>
      <w:r w:rsidRPr="00430F29">
        <w:rPr>
          <w:rFonts w:ascii="Times New Roman" w:hAnsi="Times New Roman" w:cs="Times New Roman"/>
          <w:b/>
          <w:sz w:val="22"/>
        </w:rPr>
        <w:t xml:space="preserve">2.1.1 </w:t>
      </w:r>
      <w:r w:rsidR="00EC06CE" w:rsidRPr="00430F29">
        <w:rPr>
          <w:rFonts w:ascii="Times New Roman" w:hAnsi="Times New Roman" w:cs="Times New Roman"/>
          <w:b/>
          <w:sz w:val="22"/>
        </w:rPr>
        <w:t>Instruments</w:t>
      </w:r>
      <w:r w:rsidRPr="00430F29">
        <w:rPr>
          <w:rFonts w:ascii="Times New Roman" w:hAnsi="Times New Roman" w:cs="Times New Roman"/>
          <w:b/>
          <w:sz w:val="22"/>
        </w:rPr>
        <w:t>/Equipment</w:t>
      </w:r>
    </w:p>
    <w:p w14:paraId="72D5802B" w14:textId="77777777" w:rsidR="00EC06CE" w:rsidRPr="00430F29" w:rsidRDefault="00EC06CE"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Various instruments were used during the course of this research. They </w:t>
      </w:r>
      <w:r w:rsidR="002B0D6F" w:rsidRPr="00430F29">
        <w:rPr>
          <w:rFonts w:ascii="Times New Roman" w:hAnsi="Times New Roman" w:cs="Times New Roman"/>
          <w:sz w:val="22"/>
        </w:rPr>
        <w:t>include</w:t>
      </w:r>
      <w:r w:rsidRPr="00430F29">
        <w:rPr>
          <w:rFonts w:ascii="Times New Roman" w:hAnsi="Times New Roman" w:cs="Times New Roman"/>
          <w:sz w:val="22"/>
        </w:rPr>
        <w:t>:</w:t>
      </w:r>
      <w:r w:rsidR="00AF327E" w:rsidRPr="00430F29">
        <w:rPr>
          <w:rFonts w:ascii="Times New Roman" w:hAnsi="Times New Roman" w:cs="Times New Roman"/>
          <w:sz w:val="22"/>
        </w:rPr>
        <w:t xml:space="preserve"> </w:t>
      </w:r>
      <w:r w:rsidRPr="00430F29">
        <w:rPr>
          <w:rFonts w:ascii="Times New Roman" w:hAnsi="Times New Roman" w:cs="Times New Roman"/>
          <w:sz w:val="22"/>
        </w:rPr>
        <w:t>Drying Oven</w:t>
      </w:r>
      <w:r w:rsidR="00AF327E" w:rsidRPr="00430F29">
        <w:rPr>
          <w:rFonts w:ascii="Times New Roman" w:hAnsi="Times New Roman" w:cs="Times New Roman"/>
          <w:sz w:val="22"/>
        </w:rPr>
        <w:t xml:space="preserve">, </w:t>
      </w:r>
      <w:r w:rsidRPr="00430F29">
        <w:rPr>
          <w:rFonts w:ascii="Times New Roman" w:hAnsi="Times New Roman" w:cs="Times New Roman"/>
          <w:sz w:val="22"/>
        </w:rPr>
        <w:t>Muffle Furnace (</w:t>
      </w:r>
      <w:r w:rsidRPr="00430F29">
        <w:rPr>
          <w:rFonts w:ascii="Times New Roman" w:hAnsi="Times New Roman" w:cs="Times New Roman"/>
          <w:bCs/>
          <w:sz w:val="22"/>
        </w:rPr>
        <w:t>Gallon Kamp, Model-</w:t>
      </w:r>
      <w:r w:rsidRPr="00430F29">
        <w:rPr>
          <w:rFonts w:ascii="Times New Roman" w:hAnsi="Times New Roman" w:cs="Times New Roman"/>
          <w:sz w:val="22"/>
        </w:rPr>
        <w:t>S90 NC/NA)</w:t>
      </w:r>
      <w:r w:rsidR="00AF327E" w:rsidRPr="00430F29">
        <w:rPr>
          <w:rFonts w:ascii="Times New Roman" w:hAnsi="Times New Roman" w:cs="Times New Roman"/>
          <w:sz w:val="22"/>
        </w:rPr>
        <w:t xml:space="preserve">, </w:t>
      </w:r>
      <w:r w:rsidRPr="00430F29">
        <w:rPr>
          <w:rFonts w:ascii="Times New Roman" w:hAnsi="Times New Roman" w:cs="Times New Roman"/>
          <w:sz w:val="22"/>
        </w:rPr>
        <w:t xml:space="preserve">Desiccator </w:t>
      </w:r>
      <w:r w:rsidRPr="00430F29">
        <w:rPr>
          <w:rFonts w:ascii="Times New Roman" w:hAnsi="Times New Roman" w:cs="Times New Roman"/>
          <w:bCs/>
          <w:sz w:val="22"/>
        </w:rPr>
        <w:t>(Gilson Inc, Model-MA-204)</w:t>
      </w:r>
      <w:r w:rsidR="00AF327E" w:rsidRPr="00430F29">
        <w:rPr>
          <w:rFonts w:ascii="Times New Roman" w:hAnsi="Times New Roman" w:cs="Times New Roman"/>
          <w:sz w:val="22"/>
        </w:rPr>
        <w:t xml:space="preserve">, </w:t>
      </w:r>
      <w:r w:rsidRPr="00430F29">
        <w:rPr>
          <w:rFonts w:ascii="Times New Roman" w:hAnsi="Times New Roman" w:cs="Times New Roman"/>
          <w:sz w:val="22"/>
        </w:rPr>
        <w:t>Crucibles</w:t>
      </w:r>
      <w:r w:rsidR="00AF327E" w:rsidRPr="00430F29">
        <w:rPr>
          <w:rFonts w:ascii="Times New Roman" w:hAnsi="Times New Roman" w:cs="Times New Roman"/>
          <w:sz w:val="22"/>
        </w:rPr>
        <w:t xml:space="preserve">, </w:t>
      </w:r>
      <w:r w:rsidRPr="00430F29">
        <w:rPr>
          <w:rFonts w:ascii="Times New Roman" w:hAnsi="Times New Roman" w:cs="Times New Roman"/>
          <w:sz w:val="22"/>
        </w:rPr>
        <w:t>Kjeldahl Apparatus</w:t>
      </w:r>
      <w:r w:rsidR="00AF327E" w:rsidRPr="00430F29">
        <w:rPr>
          <w:rFonts w:ascii="Times New Roman" w:hAnsi="Times New Roman" w:cs="Times New Roman"/>
          <w:sz w:val="22"/>
        </w:rPr>
        <w:t xml:space="preserve">, </w:t>
      </w:r>
      <w:r w:rsidRPr="00430F29">
        <w:rPr>
          <w:rFonts w:ascii="Times New Roman" w:hAnsi="Times New Roman" w:cs="Times New Roman"/>
          <w:sz w:val="22"/>
        </w:rPr>
        <w:t>Soxhlet Extractor (Heating Mantel, KDM-250)</w:t>
      </w:r>
      <w:r w:rsidR="00AF327E" w:rsidRPr="00430F29">
        <w:rPr>
          <w:rFonts w:ascii="Times New Roman" w:hAnsi="Times New Roman" w:cs="Times New Roman"/>
          <w:sz w:val="22"/>
        </w:rPr>
        <w:t xml:space="preserve">, </w:t>
      </w:r>
      <w:r w:rsidRPr="00430F29">
        <w:rPr>
          <w:rFonts w:ascii="Times New Roman" w:hAnsi="Times New Roman" w:cs="Times New Roman"/>
          <w:sz w:val="22"/>
        </w:rPr>
        <w:t>Weighing balance (OHAUS; Pioneer, PA214)</w:t>
      </w:r>
      <w:r w:rsidR="00AF327E" w:rsidRPr="00430F29">
        <w:rPr>
          <w:rFonts w:ascii="Times New Roman" w:hAnsi="Times New Roman" w:cs="Times New Roman"/>
          <w:sz w:val="22"/>
        </w:rPr>
        <w:t xml:space="preserve">, </w:t>
      </w:r>
      <w:r w:rsidRPr="00430F29">
        <w:rPr>
          <w:rFonts w:ascii="Times New Roman" w:hAnsi="Times New Roman" w:cs="Times New Roman"/>
          <w:sz w:val="22"/>
        </w:rPr>
        <w:t>Atomic absorption spectroscopy (AAS)</w:t>
      </w:r>
      <w:r w:rsidR="00AF327E" w:rsidRPr="00430F29">
        <w:rPr>
          <w:rFonts w:ascii="Times New Roman" w:hAnsi="Times New Roman" w:cs="Times New Roman"/>
          <w:sz w:val="22"/>
        </w:rPr>
        <w:t xml:space="preserve">, </w:t>
      </w:r>
      <w:r w:rsidRPr="00430F29">
        <w:rPr>
          <w:rFonts w:ascii="Times New Roman" w:hAnsi="Times New Roman" w:cs="Times New Roman"/>
          <w:sz w:val="22"/>
        </w:rPr>
        <w:t>Uv Spectrophotometer</w:t>
      </w:r>
      <w:r w:rsidR="002B0D6F" w:rsidRPr="00430F29">
        <w:rPr>
          <w:rFonts w:ascii="Times New Roman" w:hAnsi="Times New Roman" w:cs="Times New Roman"/>
          <w:sz w:val="22"/>
        </w:rPr>
        <w:t xml:space="preserve"> </w:t>
      </w:r>
      <w:r w:rsidRPr="00430F29">
        <w:rPr>
          <w:rFonts w:ascii="Times New Roman" w:hAnsi="Times New Roman" w:cs="Times New Roman"/>
          <w:sz w:val="22"/>
        </w:rPr>
        <w:t>(Jenway,7305 Spectrophotometer)</w:t>
      </w:r>
      <w:r w:rsidR="00AF327E" w:rsidRPr="00430F29">
        <w:rPr>
          <w:rFonts w:ascii="Times New Roman" w:hAnsi="Times New Roman" w:cs="Times New Roman"/>
          <w:sz w:val="22"/>
        </w:rPr>
        <w:t xml:space="preserve">, </w:t>
      </w:r>
      <w:r w:rsidRPr="00430F29">
        <w:rPr>
          <w:rFonts w:ascii="Times New Roman" w:hAnsi="Times New Roman" w:cs="Times New Roman"/>
          <w:sz w:val="22"/>
        </w:rPr>
        <w:t>Water Bath</w:t>
      </w:r>
      <w:r w:rsidR="002B0D6F" w:rsidRPr="00430F29">
        <w:rPr>
          <w:rFonts w:ascii="Times New Roman" w:hAnsi="Times New Roman" w:cs="Times New Roman"/>
          <w:sz w:val="22"/>
        </w:rPr>
        <w:t xml:space="preserve"> </w:t>
      </w:r>
      <w:r w:rsidRPr="00430F29">
        <w:rPr>
          <w:rFonts w:ascii="Times New Roman" w:hAnsi="Times New Roman" w:cs="Times New Roman"/>
          <w:sz w:val="22"/>
        </w:rPr>
        <w:t>(Digital water bath DK-420,WOM)</w:t>
      </w:r>
      <w:r w:rsidR="00AF327E" w:rsidRPr="00430F29">
        <w:rPr>
          <w:rFonts w:ascii="Times New Roman" w:hAnsi="Times New Roman" w:cs="Times New Roman"/>
          <w:sz w:val="22"/>
        </w:rPr>
        <w:t xml:space="preserve">, </w:t>
      </w:r>
      <w:r w:rsidRPr="00430F29">
        <w:rPr>
          <w:rFonts w:ascii="Times New Roman" w:hAnsi="Times New Roman" w:cs="Times New Roman"/>
          <w:sz w:val="22"/>
        </w:rPr>
        <w:t>Centrifuge</w:t>
      </w:r>
      <w:r w:rsidR="002B0D6F" w:rsidRPr="00430F29">
        <w:rPr>
          <w:rFonts w:ascii="Times New Roman" w:hAnsi="Times New Roman" w:cs="Times New Roman"/>
          <w:sz w:val="22"/>
        </w:rPr>
        <w:t xml:space="preserve"> </w:t>
      </w:r>
      <w:r w:rsidRPr="00430F29">
        <w:rPr>
          <w:rFonts w:ascii="Times New Roman" w:hAnsi="Times New Roman" w:cs="Times New Roman"/>
          <w:sz w:val="22"/>
        </w:rPr>
        <w:t>(80-1,Techrnel&amp;Technel USA)</w:t>
      </w:r>
      <w:r w:rsidR="00AF327E" w:rsidRPr="00430F29">
        <w:rPr>
          <w:rFonts w:ascii="Times New Roman" w:hAnsi="Times New Roman" w:cs="Times New Roman"/>
          <w:sz w:val="22"/>
        </w:rPr>
        <w:t xml:space="preserve">, </w:t>
      </w:r>
      <w:r w:rsidRPr="00430F29">
        <w:rPr>
          <w:rFonts w:ascii="Times New Roman" w:hAnsi="Times New Roman" w:cs="Times New Roman"/>
          <w:sz w:val="22"/>
        </w:rPr>
        <w:t xml:space="preserve">Heating mantle </w:t>
      </w:r>
      <w:r w:rsidR="00AF327E" w:rsidRPr="00430F29">
        <w:rPr>
          <w:rFonts w:ascii="Times New Roman" w:hAnsi="Times New Roman" w:cs="Times New Roman"/>
          <w:sz w:val="22"/>
        </w:rPr>
        <w:t xml:space="preserve">and </w:t>
      </w:r>
      <w:r w:rsidRPr="00430F29">
        <w:rPr>
          <w:rFonts w:ascii="Times New Roman" w:hAnsi="Times New Roman" w:cs="Times New Roman"/>
          <w:sz w:val="22"/>
        </w:rPr>
        <w:t>Glassware</w:t>
      </w:r>
      <w:r w:rsidR="00AF327E" w:rsidRPr="00430F29">
        <w:rPr>
          <w:rFonts w:ascii="Times New Roman" w:hAnsi="Times New Roman" w:cs="Times New Roman"/>
          <w:sz w:val="22"/>
        </w:rPr>
        <w:t>s</w:t>
      </w:r>
    </w:p>
    <w:p w14:paraId="03A2D834" w14:textId="77777777" w:rsidR="00AF327E" w:rsidRPr="00430F29" w:rsidRDefault="00702A92" w:rsidP="00430F29">
      <w:pPr>
        <w:spacing w:after="0" w:line="240" w:lineRule="auto"/>
        <w:jc w:val="both"/>
        <w:rPr>
          <w:rFonts w:ascii="Times New Roman" w:hAnsi="Times New Roman" w:cs="Times New Roman"/>
          <w:b/>
          <w:sz w:val="22"/>
        </w:rPr>
      </w:pPr>
      <w:r w:rsidRPr="00430F29">
        <w:rPr>
          <w:rFonts w:ascii="Times New Roman" w:hAnsi="Times New Roman" w:cs="Times New Roman"/>
          <w:b/>
          <w:sz w:val="22"/>
        </w:rPr>
        <w:t xml:space="preserve">2.1.2 </w:t>
      </w:r>
      <w:r w:rsidR="00AF327E" w:rsidRPr="00430F29">
        <w:rPr>
          <w:rFonts w:ascii="Times New Roman" w:hAnsi="Times New Roman" w:cs="Times New Roman"/>
          <w:b/>
          <w:sz w:val="22"/>
        </w:rPr>
        <w:t>Chemicals/</w:t>
      </w:r>
      <w:r w:rsidR="00EC06CE" w:rsidRPr="00430F29">
        <w:rPr>
          <w:rFonts w:ascii="Times New Roman" w:hAnsi="Times New Roman" w:cs="Times New Roman"/>
          <w:b/>
          <w:sz w:val="22"/>
        </w:rPr>
        <w:t>Reagents</w:t>
      </w:r>
    </w:p>
    <w:p w14:paraId="194CE9A2" w14:textId="77777777" w:rsidR="00EC06CE" w:rsidRPr="00430F29" w:rsidRDefault="00AF327E" w:rsidP="00430F29">
      <w:pPr>
        <w:spacing w:after="0" w:line="240" w:lineRule="auto"/>
        <w:jc w:val="both"/>
        <w:rPr>
          <w:rFonts w:ascii="Times New Roman" w:hAnsi="Times New Roman" w:cs="Times New Roman"/>
          <w:b/>
          <w:sz w:val="22"/>
        </w:rPr>
      </w:pPr>
      <w:r w:rsidRPr="00430F29">
        <w:rPr>
          <w:rFonts w:ascii="Times New Roman" w:hAnsi="Times New Roman" w:cs="Times New Roman"/>
          <w:sz w:val="22"/>
        </w:rPr>
        <w:t xml:space="preserve">All the chemicals and reagents used in the study were of analyrical grade and include; </w:t>
      </w:r>
      <w:r w:rsidR="00EC06CE" w:rsidRPr="00430F29">
        <w:rPr>
          <w:rFonts w:ascii="Times New Roman" w:hAnsi="Times New Roman" w:cs="Times New Roman"/>
          <w:sz w:val="22"/>
        </w:rPr>
        <w:t>Sulfuric acid</w:t>
      </w:r>
      <w:r w:rsidRPr="00430F29">
        <w:rPr>
          <w:rFonts w:ascii="Times New Roman" w:hAnsi="Times New Roman" w:cs="Times New Roman"/>
          <w:b/>
          <w:sz w:val="22"/>
        </w:rPr>
        <w:t xml:space="preserve">, </w:t>
      </w:r>
      <w:r w:rsidR="00EC06CE" w:rsidRPr="00430F29">
        <w:rPr>
          <w:rFonts w:ascii="Times New Roman" w:hAnsi="Times New Roman" w:cs="Times New Roman"/>
          <w:sz w:val="22"/>
        </w:rPr>
        <w:t>Methyl red (indicator)</w:t>
      </w:r>
      <w:r w:rsidRPr="00430F29">
        <w:rPr>
          <w:rFonts w:ascii="Times New Roman" w:hAnsi="Times New Roman" w:cs="Times New Roman"/>
          <w:sz w:val="22"/>
        </w:rPr>
        <w:t xml:space="preserve">, </w:t>
      </w:r>
      <w:r w:rsidR="00EC06CE" w:rsidRPr="00430F29">
        <w:rPr>
          <w:rFonts w:ascii="Times New Roman" w:hAnsi="Times New Roman" w:cs="Times New Roman"/>
          <w:sz w:val="22"/>
        </w:rPr>
        <w:t>Sodium Hydroxide</w:t>
      </w:r>
      <w:r w:rsidRPr="00430F29">
        <w:rPr>
          <w:rFonts w:ascii="Times New Roman" w:hAnsi="Times New Roman" w:cs="Times New Roman"/>
          <w:b/>
          <w:sz w:val="22"/>
        </w:rPr>
        <w:t xml:space="preserve">, </w:t>
      </w:r>
      <w:r w:rsidR="00EC06CE" w:rsidRPr="00430F29">
        <w:rPr>
          <w:rFonts w:ascii="Times New Roman" w:hAnsi="Times New Roman" w:cs="Times New Roman"/>
          <w:sz w:val="22"/>
        </w:rPr>
        <w:t>Petroleum ether</w:t>
      </w:r>
      <w:r w:rsidRPr="00430F29">
        <w:rPr>
          <w:rFonts w:ascii="Times New Roman" w:hAnsi="Times New Roman" w:cs="Times New Roman"/>
          <w:b/>
          <w:sz w:val="22"/>
        </w:rPr>
        <w:t xml:space="preserve">, </w:t>
      </w:r>
      <w:r w:rsidR="00EC06CE" w:rsidRPr="00430F29">
        <w:rPr>
          <w:rFonts w:ascii="Times New Roman" w:hAnsi="Times New Roman" w:cs="Times New Roman"/>
          <w:sz w:val="22"/>
        </w:rPr>
        <w:t>Boric acid</w:t>
      </w:r>
      <w:r w:rsidRPr="00430F29">
        <w:rPr>
          <w:rFonts w:ascii="Times New Roman" w:hAnsi="Times New Roman" w:cs="Times New Roman"/>
          <w:b/>
          <w:sz w:val="22"/>
        </w:rPr>
        <w:t xml:space="preserve">, </w:t>
      </w:r>
      <w:r w:rsidR="00EC06CE" w:rsidRPr="00430F29">
        <w:rPr>
          <w:rFonts w:cstheme="majorBidi"/>
          <w:sz w:val="22"/>
        </w:rPr>
        <w:t>Nitric acid (HNO</w:t>
      </w:r>
      <w:r w:rsidR="00EC06CE" w:rsidRPr="00430F29">
        <w:rPr>
          <w:rFonts w:cstheme="majorBidi"/>
          <w:sz w:val="22"/>
          <w:vertAlign w:val="subscript"/>
        </w:rPr>
        <w:t>3</w:t>
      </w:r>
      <w:r w:rsidR="00EC06CE" w:rsidRPr="00430F29">
        <w:rPr>
          <w:rFonts w:cstheme="majorBidi"/>
          <w:sz w:val="22"/>
        </w:rPr>
        <w:t>)</w:t>
      </w:r>
      <w:r w:rsidRPr="00430F29">
        <w:rPr>
          <w:rFonts w:ascii="Times New Roman" w:hAnsi="Times New Roman" w:cs="Times New Roman"/>
          <w:b/>
          <w:sz w:val="22"/>
        </w:rPr>
        <w:t xml:space="preserve">, </w:t>
      </w:r>
      <w:r w:rsidR="00EC06CE" w:rsidRPr="00430F29">
        <w:rPr>
          <w:rFonts w:cstheme="majorBidi"/>
          <w:sz w:val="22"/>
        </w:rPr>
        <w:t>Hydrochloric acid (HCl)</w:t>
      </w:r>
      <w:r w:rsidRPr="00430F29">
        <w:rPr>
          <w:rFonts w:ascii="Times New Roman" w:hAnsi="Times New Roman" w:cs="Times New Roman"/>
          <w:b/>
          <w:sz w:val="22"/>
        </w:rPr>
        <w:t xml:space="preserve">, </w:t>
      </w:r>
      <w:r w:rsidR="00EC06CE" w:rsidRPr="00430F29">
        <w:rPr>
          <w:rFonts w:cstheme="majorBidi"/>
          <w:sz w:val="22"/>
        </w:rPr>
        <w:t>Standard solutions of heavy metals (e.g., Pb, Cd, Cu, Ni, Co, Cr, Fe)</w:t>
      </w:r>
      <w:r w:rsidRPr="00430F29">
        <w:rPr>
          <w:rFonts w:ascii="Times New Roman" w:hAnsi="Times New Roman" w:cs="Times New Roman"/>
          <w:b/>
          <w:sz w:val="22"/>
        </w:rPr>
        <w:t xml:space="preserve">, </w:t>
      </w:r>
      <w:r w:rsidR="00EC06CE" w:rsidRPr="00430F29">
        <w:rPr>
          <w:rFonts w:cstheme="majorBidi"/>
          <w:sz w:val="22"/>
        </w:rPr>
        <w:t>Deionized water</w:t>
      </w:r>
      <w:r w:rsidRPr="00430F29">
        <w:rPr>
          <w:rFonts w:ascii="Times New Roman" w:hAnsi="Times New Roman" w:cs="Times New Roman"/>
          <w:b/>
          <w:sz w:val="22"/>
        </w:rPr>
        <w:t xml:space="preserve">, </w:t>
      </w:r>
      <w:r w:rsidR="00EC06CE" w:rsidRPr="00430F29">
        <w:rPr>
          <w:rFonts w:ascii="Times New Roman" w:hAnsi="Times New Roman" w:cs="Times New Roman"/>
          <w:sz w:val="22"/>
        </w:rPr>
        <w:t>Vitamin B1-Thiamine hydrochloric acid, metol solution, liquor Ammonia</w:t>
      </w:r>
      <w:r w:rsidR="003563FF" w:rsidRPr="00430F29">
        <w:rPr>
          <w:rFonts w:ascii="Times New Roman" w:hAnsi="Times New Roman" w:cs="Times New Roman"/>
          <w:sz w:val="22"/>
        </w:rPr>
        <w:t xml:space="preserve"> </w:t>
      </w:r>
      <w:r w:rsidR="00EC06CE" w:rsidRPr="00430F29">
        <w:rPr>
          <w:rFonts w:ascii="Times New Roman" w:hAnsi="Times New Roman" w:cs="Times New Roman"/>
          <w:sz w:val="22"/>
        </w:rPr>
        <w:t>(AR grade),Chloroform</w:t>
      </w:r>
      <w:r w:rsidR="003563FF" w:rsidRPr="00430F29">
        <w:rPr>
          <w:rFonts w:ascii="Times New Roman" w:hAnsi="Times New Roman" w:cs="Times New Roman"/>
          <w:sz w:val="22"/>
        </w:rPr>
        <w:t xml:space="preserve"> </w:t>
      </w:r>
      <w:r w:rsidR="00EC06CE" w:rsidRPr="00430F29">
        <w:rPr>
          <w:rFonts w:ascii="Times New Roman" w:hAnsi="Times New Roman" w:cs="Times New Roman"/>
          <w:sz w:val="22"/>
        </w:rPr>
        <w:t>(AR grade)</w:t>
      </w:r>
      <w:r w:rsidRPr="00430F29">
        <w:rPr>
          <w:rFonts w:ascii="Times New Roman" w:hAnsi="Times New Roman" w:cs="Times New Roman"/>
          <w:b/>
          <w:sz w:val="22"/>
        </w:rPr>
        <w:t>,</w:t>
      </w:r>
      <w:r w:rsidR="00EC06CE" w:rsidRPr="00430F29">
        <w:rPr>
          <w:rFonts w:ascii="Times New Roman" w:hAnsi="Times New Roman" w:cs="Times New Roman"/>
          <w:sz w:val="22"/>
        </w:rPr>
        <w:t>Vitamin B2-stock solution Riboflavin, ph</w:t>
      </w:r>
      <w:r w:rsidRPr="00430F29">
        <w:rPr>
          <w:rFonts w:ascii="Times New Roman" w:hAnsi="Times New Roman" w:cs="Times New Roman"/>
          <w:sz w:val="22"/>
        </w:rPr>
        <w:t xml:space="preserve">osphate-Saline buffer, Methanol, </w:t>
      </w:r>
      <w:r w:rsidR="00EC06CE" w:rsidRPr="00430F29">
        <w:rPr>
          <w:rFonts w:ascii="Times New Roman" w:hAnsi="Times New Roman" w:cs="Times New Roman"/>
          <w:sz w:val="22"/>
        </w:rPr>
        <w:t xml:space="preserve">Vitamin B5-Anhydrous sodium sulphate, sodium hydroxide, sulphuric acid, distilled water, pathenol standard, Pathenol standard stock solution, Mclivare buffer, Duquenous reagent, Acetate buffer, Ninhydrin, </w:t>
      </w:r>
      <w:r w:rsidRPr="00430F29">
        <w:rPr>
          <w:rFonts w:ascii="Times New Roman" w:hAnsi="Times New Roman" w:cs="Times New Roman"/>
          <w:sz w:val="22"/>
        </w:rPr>
        <w:t xml:space="preserve">acetaladehyde, </w:t>
      </w:r>
      <w:r w:rsidR="00EC06CE" w:rsidRPr="00430F29">
        <w:rPr>
          <w:rFonts w:ascii="Times New Roman" w:hAnsi="Times New Roman" w:cs="Times New Roman"/>
          <w:sz w:val="22"/>
        </w:rPr>
        <w:t>Vitamin B6-Pyridoxine hydrochloride standard solution, papsone, Sulfamilamide, sodium nutr</w:t>
      </w:r>
      <w:r w:rsidRPr="00430F29">
        <w:rPr>
          <w:rFonts w:ascii="Times New Roman" w:hAnsi="Times New Roman" w:cs="Times New Roman"/>
          <w:sz w:val="22"/>
        </w:rPr>
        <w:t xml:space="preserve">ient, sodium carbonate solution, </w:t>
      </w:r>
      <w:r w:rsidR="00EC06CE" w:rsidRPr="00430F29">
        <w:rPr>
          <w:rFonts w:ascii="Times New Roman" w:hAnsi="Times New Roman" w:cs="Times New Roman"/>
          <w:sz w:val="22"/>
        </w:rPr>
        <w:t>Potassium iodate, Sulfuric Acid, cyclohexane spectrophotometric grade, Standard biotin</w:t>
      </w:r>
      <w:r w:rsidRPr="00430F29">
        <w:rPr>
          <w:rFonts w:ascii="Times New Roman" w:hAnsi="Times New Roman" w:cs="Times New Roman"/>
          <w:sz w:val="22"/>
        </w:rPr>
        <w:t xml:space="preserve">, </w:t>
      </w:r>
      <w:r w:rsidR="00EC06CE" w:rsidRPr="00430F29">
        <w:rPr>
          <w:rFonts w:ascii="Times New Roman" w:hAnsi="Times New Roman" w:cs="Times New Roman"/>
          <w:sz w:val="22"/>
        </w:rPr>
        <w:t>Vitamin B9-1,2-Nathoquinone-4-sulphonic acid,sodium salt, zinc dust, potassium hydrogen phthalate solution, buffer solution, Tri-sodium phosphate solution, la</w:t>
      </w:r>
      <w:r w:rsidRPr="00430F29">
        <w:rPr>
          <w:rFonts w:ascii="Times New Roman" w:hAnsi="Times New Roman" w:cs="Times New Roman"/>
          <w:sz w:val="22"/>
        </w:rPr>
        <w:t xml:space="preserve">ctate-Phosphate buffer solution, </w:t>
      </w:r>
      <w:r w:rsidR="00EC06CE" w:rsidRPr="00430F29">
        <w:rPr>
          <w:rFonts w:ascii="Times New Roman" w:hAnsi="Times New Roman" w:cs="Times New Roman"/>
          <w:sz w:val="22"/>
        </w:rPr>
        <w:t>B12-Nitric acid, Concentration hydrochloric acid Nitroso-R-salt,</w:t>
      </w:r>
      <w:r w:rsidRPr="00430F29">
        <w:rPr>
          <w:rFonts w:ascii="Times New Roman" w:hAnsi="Times New Roman" w:cs="Times New Roman"/>
          <w:sz w:val="22"/>
        </w:rPr>
        <w:t xml:space="preserve"> </w:t>
      </w:r>
      <w:r w:rsidR="00EC06CE" w:rsidRPr="00430F29">
        <w:rPr>
          <w:rFonts w:ascii="Times New Roman" w:hAnsi="Times New Roman" w:cs="Times New Roman"/>
          <w:sz w:val="22"/>
        </w:rPr>
        <w:t>cobaltrous                                                                    Nitrate,</w:t>
      </w:r>
      <w:r w:rsidRPr="00430F29">
        <w:rPr>
          <w:rFonts w:ascii="Times New Roman" w:hAnsi="Times New Roman" w:cs="Times New Roman"/>
          <w:sz w:val="22"/>
        </w:rPr>
        <w:t xml:space="preserve"> </w:t>
      </w:r>
      <w:r w:rsidR="00EC06CE" w:rsidRPr="00430F29">
        <w:rPr>
          <w:rFonts w:ascii="Times New Roman" w:hAnsi="Times New Roman" w:cs="Times New Roman"/>
          <w:sz w:val="22"/>
        </w:rPr>
        <w:t>sodium acetate trihydrate,</w:t>
      </w:r>
      <w:r w:rsidRPr="00430F29">
        <w:rPr>
          <w:rFonts w:ascii="Times New Roman" w:hAnsi="Times New Roman" w:cs="Times New Roman"/>
          <w:sz w:val="22"/>
        </w:rPr>
        <w:t xml:space="preserve"> </w:t>
      </w:r>
      <w:r w:rsidR="00EC06CE" w:rsidRPr="00430F29">
        <w:rPr>
          <w:rFonts w:ascii="Times New Roman" w:hAnsi="Times New Roman" w:cs="Times New Roman"/>
          <w:sz w:val="22"/>
        </w:rPr>
        <w:t>Standard vitamin B12.</w:t>
      </w:r>
    </w:p>
    <w:p w14:paraId="36AB9BCE" w14:textId="77777777" w:rsidR="00EC06CE" w:rsidRPr="00430F29" w:rsidRDefault="00702A92" w:rsidP="00BB321D">
      <w:pPr>
        <w:pStyle w:val="Heading1"/>
      </w:pPr>
      <w:bookmarkStart w:id="2" w:name="_Toc188277495"/>
      <w:r w:rsidRPr="00430F29">
        <w:lastRenderedPageBreak/>
        <w:t xml:space="preserve">2.2 </w:t>
      </w:r>
      <w:r w:rsidR="00EC06CE" w:rsidRPr="00430F29">
        <w:t>Method</w:t>
      </w:r>
      <w:bookmarkEnd w:id="2"/>
      <w:r w:rsidR="00AF327E" w:rsidRPr="00430F29">
        <w:t>s</w:t>
      </w:r>
    </w:p>
    <w:p w14:paraId="70851143" w14:textId="77777777" w:rsidR="00EC06CE" w:rsidRPr="00430F29" w:rsidRDefault="00702A92" w:rsidP="00BB321D">
      <w:pPr>
        <w:pStyle w:val="Heading1"/>
      </w:pPr>
      <w:bookmarkStart w:id="3" w:name="_Toc188277496"/>
      <w:r w:rsidRPr="00430F29">
        <w:t xml:space="preserve">2.2.1 </w:t>
      </w:r>
      <w:r w:rsidR="00AF327E" w:rsidRPr="00430F29">
        <w:t>Experimental Design</w:t>
      </w:r>
      <w:bookmarkEnd w:id="3"/>
      <w:r w:rsidR="00AF327E" w:rsidRPr="00430F29">
        <w:tab/>
      </w:r>
      <w:r w:rsidR="00EC06CE" w:rsidRPr="00430F29">
        <w:tab/>
      </w:r>
    </w:p>
    <w:p w14:paraId="3BF438F7" w14:textId="77777777" w:rsidR="00EC06CE" w:rsidRPr="00430F29" w:rsidRDefault="00EC06CE" w:rsidP="00430F29">
      <w:pPr>
        <w:tabs>
          <w:tab w:val="left" w:pos="90"/>
        </w:tabs>
        <w:spacing w:after="0" w:line="240" w:lineRule="auto"/>
        <w:jc w:val="both"/>
        <w:rPr>
          <w:rFonts w:ascii="Times New Roman" w:hAnsi="Times New Roman" w:cs="Times New Roman"/>
          <w:sz w:val="22"/>
          <w:lang w:val="en-GB"/>
        </w:rPr>
      </w:pPr>
      <w:r w:rsidRPr="00430F29">
        <w:rPr>
          <w:rFonts w:ascii="Times New Roman" w:hAnsi="Times New Roman" w:cs="Times New Roman"/>
          <w:sz w:val="22"/>
          <w:lang w:val="en-GB"/>
        </w:rPr>
        <w:t xml:space="preserve">This study employed </w:t>
      </w:r>
      <w:r w:rsidR="002B0D6F" w:rsidRPr="00430F29">
        <w:rPr>
          <w:rFonts w:ascii="Times New Roman" w:hAnsi="Times New Roman" w:cs="Times New Roman"/>
          <w:sz w:val="22"/>
          <w:lang w:val="en-GB"/>
        </w:rPr>
        <w:t>experimental</w:t>
      </w:r>
      <w:r w:rsidRPr="00430F29">
        <w:rPr>
          <w:rFonts w:ascii="Times New Roman" w:hAnsi="Times New Roman" w:cs="Times New Roman"/>
          <w:sz w:val="22"/>
          <w:lang w:val="en-GB"/>
        </w:rPr>
        <w:t xml:space="preserve"> design </w:t>
      </w:r>
      <w:r w:rsidR="002B0D6F" w:rsidRPr="00430F29">
        <w:rPr>
          <w:rFonts w:ascii="Times New Roman" w:hAnsi="Times New Roman" w:cs="Times New Roman"/>
          <w:sz w:val="22"/>
          <w:lang w:val="en-GB"/>
        </w:rPr>
        <w:t>to analyze the proximate and mineral composition in the sampled foods.</w:t>
      </w:r>
      <w:r w:rsidR="00AF327E" w:rsidRPr="00430F29">
        <w:rPr>
          <w:rFonts w:ascii="Times New Roman" w:hAnsi="Times New Roman" w:cs="Times New Roman"/>
          <w:sz w:val="22"/>
          <w:lang w:val="en-GB"/>
        </w:rPr>
        <w:t xml:space="preserve"> </w:t>
      </w:r>
      <w:r w:rsidRPr="00430F29">
        <w:rPr>
          <w:rFonts w:ascii="Times New Roman" w:hAnsi="Times New Roman" w:cs="Times New Roman"/>
          <w:sz w:val="22"/>
          <w:lang w:val="en-GB"/>
        </w:rPr>
        <w:t>For sample size determination, a stratified sampling technique was utilized, applying the Cochran formula, to determine sample sizes. The survey primarily focused on women aged 18 years and older, particularly mothers and caregivers, within each local government area of the state. In each region, approximately 200 to 250 questionnaires were randomly distributed to achieve a representative sample.</w:t>
      </w:r>
    </w:p>
    <w:p w14:paraId="233A3EDD" w14:textId="77777777" w:rsidR="00EC06CE" w:rsidRPr="00430F29" w:rsidRDefault="00EC06CE" w:rsidP="00430F29">
      <w:pPr>
        <w:pStyle w:val="NormalWeb"/>
        <w:tabs>
          <w:tab w:val="left" w:pos="90"/>
        </w:tabs>
        <w:spacing w:before="0" w:after="0"/>
        <w:ind w:left="567"/>
        <w:jc w:val="both"/>
        <w:rPr>
          <w:rFonts w:eastAsia="-webkit-standard"/>
          <w:b/>
          <w:color w:val="000000"/>
          <w:sz w:val="22"/>
          <w:szCs w:val="22"/>
          <w:shd w:val="clear" w:color="auto" w:fill="FFFFFF"/>
        </w:rPr>
      </w:pPr>
    </w:p>
    <w:p w14:paraId="0C8A63AE" w14:textId="6F313BE5" w:rsidR="00EC06CE" w:rsidRPr="00430F29" w:rsidRDefault="00EC06CE" w:rsidP="00430F29">
      <w:pPr>
        <w:pStyle w:val="Caption"/>
        <w:keepNext/>
        <w:spacing w:after="0"/>
        <w:jc w:val="left"/>
        <w:rPr>
          <w:sz w:val="22"/>
          <w:szCs w:val="22"/>
        </w:rPr>
      </w:pPr>
      <w:r w:rsidRPr="00430F29">
        <w:rPr>
          <w:sz w:val="22"/>
          <w:szCs w:val="22"/>
          <w:lang w:val="en-GB"/>
        </w:rPr>
        <w:t>Table 1: Name of Senatorial District for the Survey</w:t>
      </w:r>
    </w:p>
    <w:tbl>
      <w:tblPr>
        <w:tblW w:w="9427" w:type="dxa"/>
        <w:tblInd w:w="88" w:type="dxa"/>
        <w:tblLook w:val="04A0" w:firstRow="1" w:lastRow="0" w:firstColumn="1" w:lastColumn="0" w:noHBand="0" w:noVBand="1"/>
      </w:tblPr>
      <w:tblGrid>
        <w:gridCol w:w="905"/>
        <w:gridCol w:w="120"/>
        <w:gridCol w:w="133"/>
        <w:gridCol w:w="1518"/>
        <w:gridCol w:w="534"/>
        <w:gridCol w:w="320"/>
        <w:gridCol w:w="3123"/>
        <w:gridCol w:w="69"/>
        <w:gridCol w:w="307"/>
        <w:gridCol w:w="2398"/>
      </w:tblGrid>
      <w:tr w:rsidR="00EC06CE" w:rsidRPr="00430F29" w14:paraId="32EFF6A8" w14:textId="77777777" w:rsidTr="00AF327E">
        <w:trPr>
          <w:trHeight w:val="261"/>
        </w:trPr>
        <w:tc>
          <w:tcPr>
            <w:tcW w:w="1157" w:type="dxa"/>
            <w:gridSpan w:val="3"/>
            <w:tcBorders>
              <w:top w:val="single" w:sz="4" w:space="0" w:color="auto"/>
              <w:left w:val="single" w:sz="4" w:space="0" w:color="auto"/>
              <w:bottom w:val="single" w:sz="4" w:space="0" w:color="auto"/>
              <w:right w:val="single" w:sz="4" w:space="0" w:color="auto"/>
            </w:tcBorders>
            <w:hideMark/>
          </w:tcPr>
          <w:p w14:paraId="341EB0F3"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S/N</w:t>
            </w:r>
          </w:p>
        </w:tc>
        <w:tc>
          <w:tcPr>
            <w:tcW w:w="2371" w:type="dxa"/>
            <w:gridSpan w:val="3"/>
            <w:tcBorders>
              <w:top w:val="single" w:sz="4" w:space="0" w:color="auto"/>
              <w:left w:val="nil"/>
              <w:bottom w:val="single" w:sz="4" w:space="0" w:color="auto"/>
              <w:right w:val="single" w:sz="4" w:space="0" w:color="auto"/>
            </w:tcBorders>
            <w:hideMark/>
          </w:tcPr>
          <w:p w14:paraId="18773099"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NAME OF SENATORIAL DISTRICT</w:t>
            </w:r>
          </w:p>
        </w:tc>
        <w:tc>
          <w:tcPr>
            <w:tcW w:w="3498" w:type="dxa"/>
            <w:gridSpan w:val="3"/>
            <w:tcBorders>
              <w:top w:val="single" w:sz="4" w:space="0" w:color="auto"/>
              <w:left w:val="nil"/>
              <w:bottom w:val="single" w:sz="4" w:space="0" w:color="auto"/>
              <w:right w:val="single" w:sz="4" w:space="0" w:color="auto"/>
            </w:tcBorders>
            <w:hideMark/>
          </w:tcPr>
          <w:p w14:paraId="2F901AA6"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COMPOSITION</w:t>
            </w:r>
          </w:p>
        </w:tc>
        <w:tc>
          <w:tcPr>
            <w:tcW w:w="2396" w:type="dxa"/>
            <w:tcBorders>
              <w:top w:val="single" w:sz="4" w:space="0" w:color="auto"/>
              <w:left w:val="nil"/>
              <w:bottom w:val="single" w:sz="4" w:space="0" w:color="auto"/>
              <w:right w:val="single" w:sz="4" w:space="0" w:color="auto"/>
            </w:tcBorders>
            <w:hideMark/>
          </w:tcPr>
          <w:p w14:paraId="465B2D91"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AREA OF STUDY</w:t>
            </w:r>
          </w:p>
        </w:tc>
      </w:tr>
      <w:tr w:rsidR="00EC06CE" w:rsidRPr="00430F29" w14:paraId="4D9AF42D" w14:textId="77777777" w:rsidTr="00AF327E">
        <w:trPr>
          <w:trHeight w:val="368"/>
        </w:trPr>
        <w:tc>
          <w:tcPr>
            <w:tcW w:w="9422" w:type="dxa"/>
            <w:gridSpan w:val="10"/>
            <w:tcBorders>
              <w:top w:val="nil"/>
              <w:bottom w:val="single" w:sz="4" w:space="0" w:color="auto"/>
            </w:tcBorders>
            <w:vAlign w:val="bottom"/>
            <w:hideMark/>
          </w:tcPr>
          <w:p w14:paraId="3AD662D9"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BENUE</w:t>
            </w:r>
          </w:p>
        </w:tc>
      </w:tr>
      <w:tr w:rsidR="00EC06CE" w:rsidRPr="00430F29" w14:paraId="128007C7" w14:textId="77777777" w:rsidTr="00AF327E">
        <w:trPr>
          <w:trHeight w:val="460"/>
        </w:trPr>
        <w:tc>
          <w:tcPr>
            <w:tcW w:w="1157" w:type="dxa"/>
            <w:gridSpan w:val="3"/>
            <w:tcBorders>
              <w:top w:val="nil"/>
              <w:left w:val="single" w:sz="4" w:space="0" w:color="auto"/>
              <w:bottom w:val="single" w:sz="4" w:space="0" w:color="auto"/>
              <w:right w:val="single" w:sz="4" w:space="0" w:color="auto"/>
            </w:tcBorders>
            <w:vAlign w:val="bottom"/>
          </w:tcPr>
          <w:p w14:paraId="4C9637EA"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1</w:t>
            </w:r>
          </w:p>
        </w:tc>
        <w:tc>
          <w:tcPr>
            <w:tcW w:w="2371" w:type="dxa"/>
            <w:gridSpan w:val="3"/>
            <w:tcBorders>
              <w:top w:val="nil"/>
              <w:left w:val="nil"/>
              <w:bottom w:val="single" w:sz="4" w:space="0" w:color="auto"/>
              <w:right w:val="single" w:sz="4" w:space="0" w:color="auto"/>
            </w:tcBorders>
            <w:vAlign w:val="bottom"/>
            <w:hideMark/>
          </w:tcPr>
          <w:p w14:paraId="39EBF67B"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BENUE NORTH  EAST</w:t>
            </w:r>
          </w:p>
        </w:tc>
        <w:tc>
          <w:tcPr>
            <w:tcW w:w="3498" w:type="dxa"/>
            <w:gridSpan w:val="3"/>
            <w:tcBorders>
              <w:top w:val="nil"/>
              <w:left w:val="nil"/>
              <w:bottom w:val="single" w:sz="4" w:space="0" w:color="auto"/>
              <w:right w:val="single" w:sz="4" w:space="0" w:color="auto"/>
            </w:tcBorders>
            <w:vAlign w:val="bottom"/>
            <w:hideMark/>
          </w:tcPr>
          <w:p w14:paraId="2C5BAACC"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KATSINA-ALA, KONSHISHA, KWANDE, LOGO, UKUM, USHONGO, VANDEIKYA</w:t>
            </w:r>
          </w:p>
        </w:tc>
        <w:tc>
          <w:tcPr>
            <w:tcW w:w="2396" w:type="dxa"/>
            <w:tcBorders>
              <w:top w:val="nil"/>
              <w:left w:val="nil"/>
              <w:bottom w:val="single" w:sz="4" w:space="0" w:color="auto"/>
              <w:right w:val="single" w:sz="4" w:space="0" w:color="auto"/>
            </w:tcBorders>
            <w:vAlign w:val="bottom"/>
            <w:hideMark/>
          </w:tcPr>
          <w:p w14:paraId="53B40CFB"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KATSINA-ALA</w:t>
            </w:r>
          </w:p>
          <w:p w14:paraId="3D62CDDA"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USHONGO</w:t>
            </w:r>
          </w:p>
        </w:tc>
      </w:tr>
      <w:tr w:rsidR="00EC06CE" w:rsidRPr="00430F29" w14:paraId="1FF0BB35" w14:textId="77777777" w:rsidTr="00AF327E">
        <w:trPr>
          <w:trHeight w:val="460"/>
        </w:trPr>
        <w:tc>
          <w:tcPr>
            <w:tcW w:w="1157" w:type="dxa"/>
            <w:gridSpan w:val="3"/>
            <w:tcBorders>
              <w:top w:val="nil"/>
              <w:left w:val="single" w:sz="4" w:space="0" w:color="auto"/>
              <w:bottom w:val="single" w:sz="4" w:space="0" w:color="auto"/>
              <w:right w:val="single" w:sz="4" w:space="0" w:color="auto"/>
            </w:tcBorders>
            <w:vAlign w:val="bottom"/>
          </w:tcPr>
          <w:p w14:paraId="54B72021"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2</w:t>
            </w:r>
          </w:p>
        </w:tc>
        <w:tc>
          <w:tcPr>
            <w:tcW w:w="2371" w:type="dxa"/>
            <w:gridSpan w:val="3"/>
            <w:tcBorders>
              <w:top w:val="nil"/>
              <w:left w:val="nil"/>
              <w:bottom w:val="single" w:sz="4" w:space="0" w:color="auto"/>
              <w:right w:val="single" w:sz="4" w:space="0" w:color="auto"/>
            </w:tcBorders>
            <w:vAlign w:val="bottom"/>
            <w:hideMark/>
          </w:tcPr>
          <w:p w14:paraId="10586CBB"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BENUE NORTH WEST</w:t>
            </w:r>
          </w:p>
        </w:tc>
        <w:tc>
          <w:tcPr>
            <w:tcW w:w="3498" w:type="dxa"/>
            <w:gridSpan w:val="3"/>
            <w:tcBorders>
              <w:top w:val="nil"/>
              <w:left w:val="nil"/>
              <w:bottom w:val="single" w:sz="4" w:space="0" w:color="auto"/>
              <w:right w:val="single" w:sz="4" w:space="0" w:color="auto"/>
            </w:tcBorders>
            <w:vAlign w:val="bottom"/>
            <w:hideMark/>
          </w:tcPr>
          <w:p w14:paraId="2B4FF423"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BURUKU, GBOKO, GUMA, GWER-EAST, GWER-WEST, MARKURDI, TARKA</w:t>
            </w:r>
          </w:p>
        </w:tc>
        <w:tc>
          <w:tcPr>
            <w:tcW w:w="2396" w:type="dxa"/>
            <w:tcBorders>
              <w:top w:val="nil"/>
              <w:left w:val="nil"/>
              <w:bottom w:val="single" w:sz="4" w:space="0" w:color="auto"/>
              <w:right w:val="single" w:sz="4" w:space="0" w:color="auto"/>
            </w:tcBorders>
            <w:vAlign w:val="bottom"/>
            <w:hideMark/>
          </w:tcPr>
          <w:p w14:paraId="3555B104"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MARKURDI</w:t>
            </w:r>
          </w:p>
          <w:p w14:paraId="3374B92D"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GUMA</w:t>
            </w:r>
          </w:p>
        </w:tc>
      </w:tr>
      <w:tr w:rsidR="00EC06CE" w:rsidRPr="00430F29" w14:paraId="6AD63D10" w14:textId="77777777" w:rsidTr="00AF327E">
        <w:trPr>
          <w:trHeight w:val="460"/>
        </w:trPr>
        <w:tc>
          <w:tcPr>
            <w:tcW w:w="1157" w:type="dxa"/>
            <w:gridSpan w:val="3"/>
            <w:tcBorders>
              <w:top w:val="nil"/>
              <w:left w:val="single" w:sz="4" w:space="0" w:color="auto"/>
              <w:bottom w:val="single" w:sz="4" w:space="0" w:color="auto"/>
              <w:right w:val="single" w:sz="4" w:space="0" w:color="auto"/>
            </w:tcBorders>
            <w:vAlign w:val="bottom"/>
          </w:tcPr>
          <w:p w14:paraId="714A9B25"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3</w:t>
            </w:r>
          </w:p>
        </w:tc>
        <w:tc>
          <w:tcPr>
            <w:tcW w:w="2371" w:type="dxa"/>
            <w:gridSpan w:val="3"/>
            <w:tcBorders>
              <w:top w:val="nil"/>
              <w:left w:val="nil"/>
              <w:bottom w:val="single" w:sz="4" w:space="0" w:color="auto"/>
              <w:right w:val="single" w:sz="4" w:space="0" w:color="auto"/>
            </w:tcBorders>
            <w:vAlign w:val="bottom"/>
            <w:hideMark/>
          </w:tcPr>
          <w:p w14:paraId="562ED1C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BENUE SOUTH</w:t>
            </w:r>
          </w:p>
        </w:tc>
        <w:tc>
          <w:tcPr>
            <w:tcW w:w="3498" w:type="dxa"/>
            <w:gridSpan w:val="3"/>
            <w:tcBorders>
              <w:top w:val="nil"/>
              <w:left w:val="nil"/>
              <w:bottom w:val="single" w:sz="4" w:space="0" w:color="auto"/>
              <w:right w:val="single" w:sz="4" w:space="0" w:color="auto"/>
            </w:tcBorders>
            <w:vAlign w:val="bottom"/>
            <w:hideMark/>
          </w:tcPr>
          <w:p w14:paraId="5D338CF2"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ADO, AGATU, APA, OBI, OGBADIBO, OHIMINI, OJU,OKPOKWU, OTUKPO</w:t>
            </w:r>
          </w:p>
        </w:tc>
        <w:tc>
          <w:tcPr>
            <w:tcW w:w="2396" w:type="dxa"/>
            <w:tcBorders>
              <w:top w:val="nil"/>
              <w:left w:val="nil"/>
              <w:bottom w:val="single" w:sz="4" w:space="0" w:color="auto"/>
              <w:right w:val="single" w:sz="4" w:space="0" w:color="auto"/>
            </w:tcBorders>
            <w:vAlign w:val="bottom"/>
            <w:hideMark/>
          </w:tcPr>
          <w:p w14:paraId="1DB31A33"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OTUKPO</w:t>
            </w:r>
          </w:p>
          <w:p w14:paraId="7B00DAC9"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OJU</w:t>
            </w:r>
          </w:p>
        </w:tc>
      </w:tr>
      <w:tr w:rsidR="00EC06CE" w:rsidRPr="00430F29" w14:paraId="48A0E2DB" w14:textId="77777777" w:rsidTr="00AF327E">
        <w:trPr>
          <w:trHeight w:val="368"/>
        </w:trPr>
        <w:tc>
          <w:tcPr>
            <w:tcW w:w="9422" w:type="dxa"/>
            <w:gridSpan w:val="10"/>
            <w:tcBorders>
              <w:top w:val="nil"/>
              <w:left w:val="nil"/>
              <w:bottom w:val="single" w:sz="4" w:space="0" w:color="auto"/>
              <w:right w:val="nil"/>
            </w:tcBorders>
            <w:noWrap/>
            <w:vAlign w:val="bottom"/>
            <w:hideMark/>
          </w:tcPr>
          <w:p w14:paraId="37F18C51"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KOGI</w:t>
            </w:r>
          </w:p>
        </w:tc>
      </w:tr>
      <w:tr w:rsidR="00EC06CE" w:rsidRPr="00430F29" w14:paraId="0EC393A9" w14:textId="77777777" w:rsidTr="00AF327E">
        <w:trPr>
          <w:trHeight w:val="460"/>
        </w:trPr>
        <w:tc>
          <w:tcPr>
            <w:tcW w:w="1157" w:type="dxa"/>
            <w:gridSpan w:val="3"/>
            <w:tcBorders>
              <w:top w:val="nil"/>
              <w:left w:val="single" w:sz="4" w:space="0" w:color="auto"/>
              <w:bottom w:val="single" w:sz="4" w:space="0" w:color="auto"/>
              <w:right w:val="single" w:sz="4" w:space="0" w:color="auto"/>
            </w:tcBorders>
            <w:vAlign w:val="bottom"/>
          </w:tcPr>
          <w:p w14:paraId="5F2BC6D2"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4</w:t>
            </w:r>
          </w:p>
        </w:tc>
        <w:tc>
          <w:tcPr>
            <w:tcW w:w="2371" w:type="dxa"/>
            <w:gridSpan w:val="3"/>
            <w:tcBorders>
              <w:top w:val="nil"/>
              <w:left w:val="nil"/>
              <w:bottom w:val="single" w:sz="4" w:space="0" w:color="auto"/>
              <w:right w:val="single" w:sz="4" w:space="0" w:color="auto"/>
            </w:tcBorders>
            <w:vAlign w:val="bottom"/>
            <w:hideMark/>
          </w:tcPr>
          <w:p w14:paraId="2D774945"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KOGI CENTRAL</w:t>
            </w:r>
          </w:p>
        </w:tc>
        <w:tc>
          <w:tcPr>
            <w:tcW w:w="3498" w:type="dxa"/>
            <w:gridSpan w:val="3"/>
            <w:tcBorders>
              <w:top w:val="nil"/>
              <w:left w:val="nil"/>
              <w:bottom w:val="single" w:sz="4" w:space="0" w:color="auto"/>
              <w:right w:val="single" w:sz="4" w:space="0" w:color="auto"/>
            </w:tcBorders>
            <w:vAlign w:val="bottom"/>
            <w:hideMark/>
          </w:tcPr>
          <w:p w14:paraId="5442B3E2"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ADAVI, AJAOKUTA, OGORI/MAGONGO, OKEHI, OKENE</w:t>
            </w:r>
          </w:p>
        </w:tc>
        <w:tc>
          <w:tcPr>
            <w:tcW w:w="2396" w:type="dxa"/>
            <w:tcBorders>
              <w:top w:val="nil"/>
              <w:left w:val="nil"/>
              <w:bottom w:val="single" w:sz="4" w:space="0" w:color="auto"/>
              <w:right w:val="single" w:sz="4" w:space="0" w:color="auto"/>
            </w:tcBorders>
            <w:vAlign w:val="bottom"/>
            <w:hideMark/>
          </w:tcPr>
          <w:p w14:paraId="1DFBBA73"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OKENE</w:t>
            </w:r>
          </w:p>
          <w:p w14:paraId="5D2C7CFB"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ADAVI</w:t>
            </w:r>
          </w:p>
        </w:tc>
      </w:tr>
      <w:tr w:rsidR="00EC06CE" w:rsidRPr="00430F29" w14:paraId="3E5EE765" w14:textId="77777777" w:rsidTr="00AF327E">
        <w:trPr>
          <w:trHeight w:val="411"/>
        </w:trPr>
        <w:tc>
          <w:tcPr>
            <w:tcW w:w="1157" w:type="dxa"/>
            <w:gridSpan w:val="3"/>
            <w:tcBorders>
              <w:top w:val="nil"/>
              <w:left w:val="single" w:sz="4" w:space="0" w:color="auto"/>
              <w:bottom w:val="single" w:sz="4" w:space="0" w:color="auto"/>
              <w:right w:val="single" w:sz="4" w:space="0" w:color="auto"/>
            </w:tcBorders>
            <w:vAlign w:val="bottom"/>
          </w:tcPr>
          <w:p w14:paraId="00047225"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5</w:t>
            </w:r>
          </w:p>
        </w:tc>
        <w:tc>
          <w:tcPr>
            <w:tcW w:w="2371" w:type="dxa"/>
            <w:gridSpan w:val="3"/>
            <w:tcBorders>
              <w:top w:val="nil"/>
              <w:left w:val="nil"/>
              <w:bottom w:val="single" w:sz="4" w:space="0" w:color="auto"/>
              <w:right w:val="single" w:sz="4" w:space="0" w:color="auto"/>
            </w:tcBorders>
            <w:vAlign w:val="bottom"/>
            <w:hideMark/>
          </w:tcPr>
          <w:p w14:paraId="459BAE50"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KOGI EAST</w:t>
            </w:r>
          </w:p>
        </w:tc>
        <w:tc>
          <w:tcPr>
            <w:tcW w:w="3498" w:type="dxa"/>
            <w:gridSpan w:val="3"/>
            <w:tcBorders>
              <w:top w:val="nil"/>
              <w:left w:val="nil"/>
              <w:bottom w:val="single" w:sz="4" w:space="0" w:color="auto"/>
              <w:right w:val="single" w:sz="4" w:space="0" w:color="auto"/>
            </w:tcBorders>
            <w:vAlign w:val="bottom"/>
            <w:hideMark/>
          </w:tcPr>
          <w:p w14:paraId="007B07B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ANKPA, BASSA, DEKINA, IBAJI, IDAH, IGALAMELA-ODOLU, OFU, OLAMABORO, OMALA</w:t>
            </w:r>
          </w:p>
        </w:tc>
        <w:tc>
          <w:tcPr>
            <w:tcW w:w="2396" w:type="dxa"/>
            <w:tcBorders>
              <w:top w:val="nil"/>
              <w:left w:val="nil"/>
              <w:bottom w:val="single" w:sz="4" w:space="0" w:color="auto"/>
              <w:right w:val="single" w:sz="4" w:space="0" w:color="auto"/>
            </w:tcBorders>
            <w:vAlign w:val="bottom"/>
            <w:hideMark/>
          </w:tcPr>
          <w:p w14:paraId="0AE48261"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IDAH</w:t>
            </w:r>
          </w:p>
          <w:p w14:paraId="7B6A76DD"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ANKPA</w:t>
            </w:r>
          </w:p>
        </w:tc>
      </w:tr>
      <w:tr w:rsidR="00EC06CE" w:rsidRPr="00430F29" w14:paraId="74588050" w14:textId="77777777" w:rsidTr="00AF327E">
        <w:trPr>
          <w:trHeight w:val="417"/>
        </w:trPr>
        <w:tc>
          <w:tcPr>
            <w:tcW w:w="1157" w:type="dxa"/>
            <w:gridSpan w:val="3"/>
            <w:tcBorders>
              <w:top w:val="nil"/>
              <w:left w:val="single" w:sz="4" w:space="0" w:color="auto"/>
              <w:bottom w:val="single" w:sz="4" w:space="0" w:color="auto"/>
              <w:right w:val="single" w:sz="4" w:space="0" w:color="auto"/>
            </w:tcBorders>
            <w:vAlign w:val="bottom"/>
          </w:tcPr>
          <w:p w14:paraId="59DFED86"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6</w:t>
            </w:r>
          </w:p>
        </w:tc>
        <w:tc>
          <w:tcPr>
            <w:tcW w:w="2371" w:type="dxa"/>
            <w:gridSpan w:val="3"/>
            <w:tcBorders>
              <w:top w:val="nil"/>
              <w:left w:val="nil"/>
              <w:bottom w:val="single" w:sz="4" w:space="0" w:color="auto"/>
              <w:right w:val="single" w:sz="4" w:space="0" w:color="auto"/>
            </w:tcBorders>
            <w:vAlign w:val="bottom"/>
            <w:hideMark/>
          </w:tcPr>
          <w:p w14:paraId="7EA813BB"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KOGI WEST</w:t>
            </w:r>
          </w:p>
        </w:tc>
        <w:tc>
          <w:tcPr>
            <w:tcW w:w="3498" w:type="dxa"/>
            <w:gridSpan w:val="3"/>
            <w:tcBorders>
              <w:top w:val="nil"/>
              <w:left w:val="nil"/>
              <w:bottom w:val="single" w:sz="4" w:space="0" w:color="auto"/>
              <w:right w:val="single" w:sz="4" w:space="0" w:color="auto"/>
            </w:tcBorders>
            <w:vAlign w:val="bottom"/>
            <w:hideMark/>
          </w:tcPr>
          <w:p w14:paraId="1109D5E9"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IJUMU, KABBA, KOGI, LOKOJA, MOPAMURO, YAGBA EAST, YAGBA WEST</w:t>
            </w:r>
          </w:p>
        </w:tc>
        <w:tc>
          <w:tcPr>
            <w:tcW w:w="2396" w:type="dxa"/>
            <w:tcBorders>
              <w:top w:val="nil"/>
              <w:left w:val="nil"/>
              <w:bottom w:val="single" w:sz="4" w:space="0" w:color="auto"/>
              <w:right w:val="single" w:sz="4" w:space="0" w:color="auto"/>
            </w:tcBorders>
            <w:vAlign w:val="bottom"/>
            <w:hideMark/>
          </w:tcPr>
          <w:p w14:paraId="4160118E"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LOKOJA</w:t>
            </w:r>
          </w:p>
          <w:p w14:paraId="1D8E3A1F"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KABBA</w:t>
            </w:r>
          </w:p>
        </w:tc>
      </w:tr>
      <w:tr w:rsidR="00EC06CE" w:rsidRPr="00430F29" w14:paraId="594804EE" w14:textId="77777777" w:rsidTr="00AF327E">
        <w:trPr>
          <w:trHeight w:val="368"/>
        </w:trPr>
        <w:tc>
          <w:tcPr>
            <w:tcW w:w="9423" w:type="dxa"/>
            <w:gridSpan w:val="10"/>
            <w:tcBorders>
              <w:top w:val="nil"/>
              <w:bottom w:val="single" w:sz="4" w:space="0" w:color="auto"/>
            </w:tcBorders>
            <w:vAlign w:val="bottom"/>
            <w:hideMark/>
          </w:tcPr>
          <w:p w14:paraId="023F8117"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w:t>
            </w:r>
          </w:p>
        </w:tc>
      </w:tr>
      <w:tr w:rsidR="00EC06CE" w:rsidRPr="00430F29" w14:paraId="723F138A" w14:textId="77777777" w:rsidTr="00AF327E">
        <w:trPr>
          <w:trHeight w:val="460"/>
        </w:trPr>
        <w:tc>
          <w:tcPr>
            <w:tcW w:w="904" w:type="dxa"/>
            <w:tcBorders>
              <w:top w:val="nil"/>
              <w:left w:val="single" w:sz="4" w:space="0" w:color="auto"/>
              <w:bottom w:val="single" w:sz="4" w:space="0" w:color="auto"/>
              <w:right w:val="single" w:sz="4" w:space="0" w:color="auto"/>
            </w:tcBorders>
            <w:vAlign w:val="bottom"/>
          </w:tcPr>
          <w:p w14:paraId="3AF1F36F"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7</w:t>
            </w:r>
          </w:p>
        </w:tc>
        <w:tc>
          <w:tcPr>
            <w:tcW w:w="2304" w:type="dxa"/>
            <w:gridSpan w:val="4"/>
            <w:tcBorders>
              <w:top w:val="nil"/>
              <w:left w:val="nil"/>
              <w:bottom w:val="single" w:sz="4" w:space="0" w:color="auto"/>
              <w:right w:val="single" w:sz="4" w:space="0" w:color="auto"/>
            </w:tcBorders>
            <w:vAlign w:val="bottom"/>
            <w:hideMark/>
          </w:tcPr>
          <w:p w14:paraId="6F14B30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 NORTH</w:t>
            </w:r>
          </w:p>
        </w:tc>
        <w:tc>
          <w:tcPr>
            <w:tcW w:w="3511" w:type="dxa"/>
            <w:gridSpan w:val="3"/>
            <w:tcBorders>
              <w:top w:val="nil"/>
              <w:left w:val="nil"/>
              <w:bottom w:val="single" w:sz="4" w:space="0" w:color="auto"/>
              <w:right w:val="single" w:sz="4" w:space="0" w:color="auto"/>
            </w:tcBorders>
            <w:vAlign w:val="bottom"/>
            <w:hideMark/>
          </w:tcPr>
          <w:p w14:paraId="0825EFB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AKAWANGA, NASSARAWA EGGON, WAMBA</w:t>
            </w:r>
          </w:p>
        </w:tc>
        <w:tc>
          <w:tcPr>
            <w:tcW w:w="2704" w:type="dxa"/>
            <w:gridSpan w:val="2"/>
            <w:tcBorders>
              <w:top w:val="nil"/>
              <w:left w:val="nil"/>
              <w:bottom w:val="single" w:sz="4" w:space="0" w:color="auto"/>
              <w:right w:val="single" w:sz="4" w:space="0" w:color="auto"/>
            </w:tcBorders>
            <w:vAlign w:val="bottom"/>
            <w:hideMark/>
          </w:tcPr>
          <w:p w14:paraId="326ADC6F"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AKWANGA</w:t>
            </w:r>
          </w:p>
          <w:p w14:paraId="48975FB2"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WAMBA</w:t>
            </w:r>
          </w:p>
        </w:tc>
      </w:tr>
      <w:tr w:rsidR="00EC06CE" w:rsidRPr="00430F29" w14:paraId="37E76A7C" w14:textId="77777777" w:rsidTr="00AF327E">
        <w:trPr>
          <w:trHeight w:val="460"/>
        </w:trPr>
        <w:tc>
          <w:tcPr>
            <w:tcW w:w="904" w:type="dxa"/>
            <w:tcBorders>
              <w:top w:val="nil"/>
              <w:left w:val="single" w:sz="4" w:space="0" w:color="auto"/>
              <w:bottom w:val="single" w:sz="4" w:space="0" w:color="auto"/>
              <w:right w:val="single" w:sz="4" w:space="0" w:color="auto"/>
            </w:tcBorders>
            <w:vAlign w:val="bottom"/>
          </w:tcPr>
          <w:p w14:paraId="78DD9A34"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8</w:t>
            </w:r>
          </w:p>
        </w:tc>
        <w:tc>
          <w:tcPr>
            <w:tcW w:w="2304" w:type="dxa"/>
            <w:gridSpan w:val="4"/>
            <w:tcBorders>
              <w:top w:val="nil"/>
              <w:left w:val="nil"/>
              <w:bottom w:val="single" w:sz="4" w:space="0" w:color="auto"/>
              <w:right w:val="single" w:sz="4" w:space="0" w:color="auto"/>
            </w:tcBorders>
            <w:vAlign w:val="bottom"/>
            <w:hideMark/>
          </w:tcPr>
          <w:p w14:paraId="6871AD81"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 WEST</w:t>
            </w:r>
          </w:p>
        </w:tc>
        <w:tc>
          <w:tcPr>
            <w:tcW w:w="3511" w:type="dxa"/>
            <w:gridSpan w:val="3"/>
            <w:tcBorders>
              <w:top w:val="nil"/>
              <w:left w:val="nil"/>
              <w:bottom w:val="single" w:sz="4" w:space="0" w:color="auto"/>
              <w:right w:val="single" w:sz="4" w:space="0" w:color="auto"/>
            </w:tcBorders>
            <w:vAlign w:val="bottom"/>
            <w:hideMark/>
          </w:tcPr>
          <w:p w14:paraId="6C1A2E5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 KEFFI, KOKONA, KARU, TOTO</w:t>
            </w:r>
          </w:p>
        </w:tc>
        <w:tc>
          <w:tcPr>
            <w:tcW w:w="2704" w:type="dxa"/>
            <w:gridSpan w:val="2"/>
            <w:tcBorders>
              <w:top w:val="nil"/>
              <w:left w:val="nil"/>
              <w:bottom w:val="single" w:sz="4" w:space="0" w:color="auto"/>
              <w:right w:val="single" w:sz="4" w:space="0" w:color="auto"/>
            </w:tcBorders>
            <w:vAlign w:val="bottom"/>
            <w:hideMark/>
          </w:tcPr>
          <w:p w14:paraId="43719355"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KEFFI</w:t>
            </w:r>
          </w:p>
          <w:p w14:paraId="772DECEE"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NASSARAWA</w:t>
            </w:r>
          </w:p>
        </w:tc>
      </w:tr>
      <w:tr w:rsidR="00EC06CE" w:rsidRPr="00430F29" w14:paraId="775D666D" w14:textId="77777777" w:rsidTr="00AF327E">
        <w:trPr>
          <w:trHeight w:val="460"/>
        </w:trPr>
        <w:tc>
          <w:tcPr>
            <w:tcW w:w="904" w:type="dxa"/>
            <w:tcBorders>
              <w:top w:val="nil"/>
              <w:left w:val="single" w:sz="4" w:space="0" w:color="auto"/>
              <w:bottom w:val="single" w:sz="4" w:space="0" w:color="auto"/>
              <w:right w:val="single" w:sz="4" w:space="0" w:color="auto"/>
            </w:tcBorders>
            <w:vAlign w:val="bottom"/>
          </w:tcPr>
          <w:p w14:paraId="43ECF2FC"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9</w:t>
            </w:r>
          </w:p>
        </w:tc>
        <w:tc>
          <w:tcPr>
            <w:tcW w:w="2304" w:type="dxa"/>
            <w:gridSpan w:val="4"/>
            <w:tcBorders>
              <w:top w:val="nil"/>
              <w:left w:val="nil"/>
              <w:bottom w:val="single" w:sz="4" w:space="0" w:color="auto"/>
              <w:right w:val="single" w:sz="4" w:space="0" w:color="auto"/>
            </w:tcBorders>
            <w:vAlign w:val="bottom"/>
            <w:hideMark/>
          </w:tcPr>
          <w:p w14:paraId="74328283"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  SOUTH</w:t>
            </w:r>
          </w:p>
        </w:tc>
        <w:tc>
          <w:tcPr>
            <w:tcW w:w="3511" w:type="dxa"/>
            <w:gridSpan w:val="3"/>
            <w:tcBorders>
              <w:top w:val="nil"/>
              <w:left w:val="nil"/>
              <w:bottom w:val="single" w:sz="4" w:space="0" w:color="auto"/>
              <w:right w:val="single" w:sz="4" w:space="0" w:color="auto"/>
            </w:tcBorders>
            <w:vAlign w:val="bottom"/>
            <w:hideMark/>
          </w:tcPr>
          <w:p w14:paraId="50C5DB0B"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LAFIA, AWE, DOMA, KEANA, OBI</w:t>
            </w:r>
          </w:p>
        </w:tc>
        <w:tc>
          <w:tcPr>
            <w:tcW w:w="2704" w:type="dxa"/>
            <w:gridSpan w:val="2"/>
            <w:tcBorders>
              <w:top w:val="nil"/>
              <w:left w:val="nil"/>
              <w:bottom w:val="single" w:sz="4" w:space="0" w:color="auto"/>
              <w:right w:val="single" w:sz="4" w:space="0" w:color="auto"/>
            </w:tcBorders>
            <w:vAlign w:val="bottom"/>
            <w:hideMark/>
          </w:tcPr>
          <w:p w14:paraId="51710DC9"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LAFIA</w:t>
            </w:r>
          </w:p>
          <w:p w14:paraId="792ABB39"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OBI</w:t>
            </w:r>
          </w:p>
        </w:tc>
      </w:tr>
      <w:tr w:rsidR="00EC06CE" w:rsidRPr="00430F29" w14:paraId="13909E31" w14:textId="77777777" w:rsidTr="00AF327E">
        <w:trPr>
          <w:trHeight w:val="368"/>
        </w:trPr>
        <w:tc>
          <w:tcPr>
            <w:tcW w:w="9423" w:type="dxa"/>
            <w:gridSpan w:val="10"/>
            <w:tcBorders>
              <w:top w:val="nil"/>
              <w:left w:val="nil"/>
              <w:bottom w:val="single" w:sz="4" w:space="0" w:color="auto"/>
              <w:right w:val="nil"/>
            </w:tcBorders>
            <w:noWrap/>
            <w:vAlign w:val="bottom"/>
            <w:hideMark/>
          </w:tcPr>
          <w:p w14:paraId="552F5304"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NIGER</w:t>
            </w:r>
          </w:p>
        </w:tc>
      </w:tr>
      <w:tr w:rsidR="00EC06CE" w:rsidRPr="00430F29" w14:paraId="7F7D1199" w14:textId="77777777" w:rsidTr="00AF327E">
        <w:trPr>
          <w:trHeight w:val="524"/>
        </w:trPr>
        <w:tc>
          <w:tcPr>
            <w:tcW w:w="1024" w:type="dxa"/>
            <w:gridSpan w:val="2"/>
            <w:tcBorders>
              <w:top w:val="nil"/>
              <w:left w:val="single" w:sz="4" w:space="0" w:color="auto"/>
              <w:bottom w:val="single" w:sz="4" w:space="0" w:color="auto"/>
              <w:right w:val="single" w:sz="4" w:space="0" w:color="auto"/>
            </w:tcBorders>
            <w:vAlign w:val="bottom"/>
          </w:tcPr>
          <w:p w14:paraId="2E117A32"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10</w:t>
            </w:r>
          </w:p>
        </w:tc>
        <w:tc>
          <w:tcPr>
            <w:tcW w:w="1650" w:type="dxa"/>
            <w:gridSpan w:val="2"/>
            <w:tcBorders>
              <w:top w:val="nil"/>
              <w:left w:val="nil"/>
              <w:bottom w:val="single" w:sz="4" w:space="0" w:color="auto"/>
              <w:right w:val="single" w:sz="4" w:space="0" w:color="auto"/>
            </w:tcBorders>
            <w:vAlign w:val="bottom"/>
            <w:hideMark/>
          </w:tcPr>
          <w:p w14:paraId="6F899313"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NIGER EAST</w:t>
            </w:r>
          </w:p>
        </w:tc>
        <w:tc>
          <w:tcPr>
            <w:tcW w:w="3976" w:type="dxa"/>
            <w:gridSpan w:val="3"/>
            <w:tcBorders>
              <w:top w:val="nil"/>
              <w:left w:val="nil"/>
              <w:bottom w:val="single" w:sz="4" w:space="0" w:color="auto"/>
              <w:right w:val="single" w:sz="4" w:space="0" w:color="auto"/>
            </w:tcBorders>
            <w:vAlign w:val="bottom"/>
            <w:hideMark/>
          </w:tcPr>
          <w:p w14:paraId="0BDC219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BOSSO, CHACHANGA, GURARA, PAIKORO, RAFI, SHIRORO, MUYA, SULEJA, TAFA</w:t>
            </w:r>
          </w:p>
        </w:tc>
        <w:tc>
          <w:tcPr>
            <w:tcW w:w="2773" w:type="dxa"/>
            <w:gridSpan w:val="3"/>
            <w:tcBorders>
              <w:top w:val="nil"/>
              <w:left w:val="nil"/>
              <w:bottom w:val="single" w:sz="4" w:space="0" w:color="auto"/>
              <w:right w:val="single" w:sz="4" w:space="0" w:color="auto"/>
            </w:tcBorders>
            <w:vAlign w:val="bottom"/>
            <w:hideMark/>
          </w:tcPr>
          <w:p w14:paraId="1702321E"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SULEJA</w:t>
            </w:r>
          </w:p>
          <w:p w14:paraId="4A497793"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TAFA</w:t>
            </w:r>
          </w:p>
        </w:tc>
      </w:tr>
      <w:tr w:rsidR="00EC06CE" w:rsidRPr="00430F29" w14:paraId="7A9DEFBA" w14:textId="77777777" w:rsidTr="00AF327E">
        <w:trPr>
          <w:trHeight w:val="416"/>
        </w:trPr>
        <w:tc>
          <w:tcPr>
            <w:tcW w:w="1024" w:type="dxa"/>
            <w:gridSpan w:val="2"/>
            <w:tcBorders>
              <w:top w:val="nil"/>
              <w:left w:val="single" w:sz="4" w:space="0" w:color="auto"/>
              <w:bottom w:val="single" w:sz="4" w:space="0" w:color="auto"/>
              <w:right w:val="single" w:sz="4" w:space="0" w:color="auto"/>
            </w:tcBorders>
            <w:vAlign w:val="bottom"/>
          </w:tcPr>
          <w:p w14:paraId="7C191A8E"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11</w:t>
            </w:r>
          </w:p>
        </w:tc>
        <w:tc>
          <w:tcPr>
            <w:tcW w:w="1650" w:type="dxa"/>
            <w:gridSpan w:val="2"/>
            <w:tcBorders>
              <w:top w:val="nil"/>
              <w:left w:val="nil"/>
              <w:bottom w:val="single" w:sz="4" w:space="0" w:color="auto"/>
              <w:right w:val="single" w:sz="4" w:space="0" w:color="auto"/>
            </w:tcBorders>
            <w:vAlign w:val="bottom"/>
            <w:hideMark/>
          </w:tcPr>
          <w:p w14:paraId="6A1CC314"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NIGER NORTH</w:t>
            </w:r>
          </w:p>
        </w:tc>
        <w:tc>
          <w:tcPr>
            <w:tcW w:w="3976" w:type="dxa"/>
            <w:gridSpan w:val="3"/>
            <w:tcBorders>
              <w:top w:val="nil"/>
              <w:left w:val="nil"/>
              <w:bottom w:val="single" w:sz="4" w:space="0" w:color="auto"/>
              <w:right w:val="single" w:sz="4" w:space="0" w:color="auto"/>
            </w:tcBorders>
            <w:vAlign w:val="bottom"/>
            <w:hideMark/>
          </w:tcPr>
          <w:p w14:paraId="6C74BC17"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 xml:space="preserve">AGWARA, BORGU, KONTOGORA, MARIGA, RIJAU, </w:t>
            </w:r>
            <w:r w:rsidRPr="00430F29">
              <w:rPr>
                <w:rFonts w:ascii="Times New Roman" w:eastAsia="Times New Roman" w:hAnsi="Times New Roman" w:cs="Times New Roman"/>
                <w:bCs/>
                <w:sz w:val="22"/>
              </w:rPr>
              <w:lastRenderedPageBreak/>
              <w:t>WUSHISHI, MASHEGU MAGAMA</w:t>
            </w:r>
          </w:p>
        </w:tc>
        <w:tc>
          <w:tcPr>
            <w:tcW w:w="2773" w:type="dxa"/>
            <w:gridSpan w:val="3"/>
            <w:tcBorders>
              <w:top w:val="nil"/>
              <w:left w:val="nil"/>
              <w:bottom w:val="single" w:sz="4" w:space="0" w:color="auto"/>
              <w:right w:val="single" w:sz="4" w:space="0" w:color="auto"/>
            </w:tcBorders>
            <w:vAlign w:val="bottom"/>
            <w:hideMark/>
          </w:tcPr>
          <w:p w14:paraId="5560B8CA"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lastRenderedPageBreak/>
              <w:t>KONTAGORA</w:t>
            </w:r>
          </w:p>
        </w:tc>
      </w:tr>
      <w:tr w:rsidR="00EC06CE" w:rsidRPr="00430F29" w14:paraId="53E21C1A" w14:textId="77777777" w:rsidTr="00AF327E">
        <w:trPr>
          <w:trHeight w:val="460"/>
        </w:trPr>
        <w:tc>
          <w:tcPr>
            <w:tcW w:w="1024" w:type="dxa"/>
            <w:gridSpan w:val="2"/>
            <w:tcBorders>
              <w:top w:val="nil"/>
              <w:left w:val="single" w:sz="4" w:space="0" w:color="auto"/>
              <w:bottom w:val="single" w:sz="4" w:space="0" w:color="auto"/>
              <w:right w:val="single" w:sz="4" w:space="0" w:color="auto"/>
            </w:tcBorders>
            <w:vAlign w:val="bottom"/>
          </w:tcPr>
          <w:p w14:paraId="1802A450"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lastRenderedPageBreak/>
              <w:t>12</w:t>
            </w:r>
          </w:p>
        </w:tc>
        <w:tc>
          <w:tcPr>
            <w:tcW w:w="1650" w:type="dxa"/>
            <w:gridSpan w:val="2"/>
            <w:tcBorders>
              <w:top w:val="nil"/>
              <w:left w:val="nil"/>
              <w:bottom w:val="single" w:sz="4" w:space="0" w:color="auto"/>
              <w:right w:val="single" w:sz="4" w:space="0" w:color="auto"/>
            </w:tcBorders>
            <w:vAlign w:val="bottom"/>
            <w:hideMark/>
          </w:tcPr>
          <w:p w14:paraId="386660B6"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NIGER SOUTH</w:t>
            </w:r>
          </w:p>
        </w:tc>
        <w:tc>
          <w:tcPr>
            <w:tcW w:w="3976" w:type="dxa"/>
            <w:gridSpan w:val="3"/>
            <w:tcBorders>
              <w:top w:val="nil"/>
              <w:left w:val="nil"/>
              <w:bottom w:val="single" w:sz="4" w:space="0" w:color="auto"/>
              <w:right w:val="single" w:sz="4" w:space="0" w:color="auto"/>
            </w:tcBorders>
            <w:vAlign w:val="bottom"/>
            <w:hideMark/>
          </w:tcPr>
          <w:p w14:paraId="4A99032E"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AGAIE, BIDA, KATCHA, BATAGI, LAPAI, LAVUN, EDATI-IDATI, MOKWA</w:t>
            </w:r>
          </w:p>
        </w:tc>
        <w:tc>
          <w:tcPr>
            <w:tcW w:w="2773" w:type="dxa"/>
            <w:gridSpan w:val="3"/>
            <w:tcBorders>
              <w:top w:val="nil"/>
              <w:left w:val="nil"/>
              <w:bottom w:val="single" w:sz="4" w:space="0" w:color="auto"/>
              <w:right w:val="single" w:sz="4" w:space="0" w:color="auto"/>
            </w:tcBorders>
            <w:vAlign w:val="bottom"/>
            <w:hideMark/>
          </w:tcPr>
          <w:p w14:paraId="6B1BC61D"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BIDA</w:t>
            </w:r>
          </w:p>
          <w:p w14:paraId="238C2E8A"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LAPAI</w:t>
            </w:r>
          </w:p>
        </w:tc>
      </w:tr>
    </w:tbl>
    <w:p w14:paraId="245D0596" w14:textId="77777777" w:rsidR="00EC06CE" w:rsidRPr="00430F29" w:rsidRDefault="00EC06CE" w:rsidP="00430F29">
      <w:pPr>
        <w:tabs>
          <w:tab w:val="left" w:pos="90"/>
        </w:tabs>
        <w:spacing w:after="0" w:line="240" w:lineRule="auto"/>
        <w:jc w:val="both"/>
        <w:rPr>
          <w:rFonts w:ascii="Times New Roman" w:hAnsi="Times New Roman" w:cs="Times New Roman"/>
          <w:b/>
          <w:sz w:val="22"/>
        </w:rPr>
      </w:pPr>
    </w:p>
    <w:p w14:paraId="1FAC13CD" w14:textId="77777777" w:rsidR="00EC06CE" w:rsidRDefault="00EC06CE" w:rsidP="00BB321D">
      <w:pPr>
        <w:pStyle w:val="Heading1"/>
      </w:pPr>
      <w:bookmarkStart w:id="4" w:name="_Toc188277497"/>
      <w:r w:rsidRPr="00430F29">
        <w:t>3.2.2 Area of Study and Sampling.</w:t>
      </w:r>
      <w:bookmarkEnd w:id="4"/>
    </w:p>
    <w:p w14:paraId="49D49619" w14:textId="77777777" w:rsidR="00BB321D" w:rsidRPr="00BB321D" w:rsidRDefault="00BB321D" w:rsidP="00BB321D"/>
    <w:p w14:paraId="27805DD1" w14:textId="77777777" w:rsidR="00EC06CE" w:rsidRPr="00430F29" w:rsidRDefault="00EC06CE" w:rsidP="00430F29">
      <w:pPr>
        <w:keepNext/>
        <w:tabs>
          <w:tab w:val="left" w:pos="90"/>
        </w:tabs>
        <w:spacing w:after="0" w:line="240" w:lineRule="auto"/>
        <w:ind w:left="567"/>
        <w:jc w:val="both"/>
        <w:rPr>
          <w:sz w:val="22"/>
        </w:rPr>
      </w:pPr>
      <w:r w:rsidRPr="00430F29">
        <w:rPr>
          <w:noProof/>
          <w:sz w:val="22"/>
        </w:rPr>
        <w:drawing>
          <wp:inline distT="0" distB="0" distL="0" distR="0" wp14:anchorId="10B10D3A" wp14:editId="73551A8C">
            <wp:extent cx="5943600" cy="4157330"/>
            <wp:effectExtent l="0" t="0" r="0" b="0"/>
            <wp:docPr id="31" name="Picture 1" descr="NORTH-CENT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CENTRAL.jpg"/>
                    <pic:cNvPicPr/>
                  </pic:nvPicPr>
                  <pic:blipFill>
                    <a:blip r:embed="rId8" cstate="print"/>
                    <a:stretch>
                      <a:fillRect/>
                    </a:stretch>
                  </pic:blipFill>
                  <pic:spPr>
                    <a:xfrm>
                      <a:off x="0" y="0"/>
                      <a:ext cx="5950681" cy="4162283"/>
                    </a:xfrm>
                    <a:prstGeom prst="rect">
                      <a:avLst/>
                    </a:prstGeom>
                  </pic:spPr>
                </pic:pic>
              </a:graphicData>
            </a:graphic>
          </wp:inline>
        </w:drawing>
      </w:r>
    </w:p>
    <w:p w14:paraId="70E68327" w14:textId="77777777" w:rsidR="00BB321D" w:rsidRDefault="00BB321D" w:rsidP="00430F29">
      <w:pPr>
        <w:pStyle w:val="Caption"/>
        <w:spacing w:after="0"/>
        <w:jc w:val="both"/>
        <w:rPr>
          <w:sz w:val="22"/>
          <w:szCs w:val="22"/>
          <w:lang w:val="en-GB"/>
        </w:rPr>
      </w:pPr>
    </w:p>
    <w:p w14:paraId="4B13DF93" w14:textId="77777777" w:rsidR="00BB321D" w:rsidRDefault="00BB321D" w:rsidP="00430F29">
      <w:pPr>
        <w:pStyle w:val="Caption"/>
        <w:spacing w:after="0"/>
        <w:jc w:val="both"/>
        <w:rPr>
          <w:sz w:val="22"/>
          <w:szCs w:val="22"/>
          <w:lang w:val="en-GB"/>
        </w:rPr>
      </w:pPr>
    </w:p>
    <w:p w14:paraId="24BB00CF" w14:textId="77777777" w:rsidR="00BB321D" w:rsidRDefault="00BB321D" w:rsidP="00430F29">
      <w:pPr>
        <w:pStyle w:val="Caption"/>
        <w:spacing w:after="0"/>
        <w:jc w:val="both"/>
        <w:rPr>
          <w:sz w:val="22"/>
          <w:szCs w:val="22"/>
          <w:lang w:val="en-GB"/>
        </w:rPr>
      </w:pPr>
    </w:p>
    <w:p w14:paraId="5E5968F0" w14:textId="77777777" w:rsidR="00BB321D" w:rsidRDefault="00BB321D" w:rsidP="00430F29">
      <w:pPr>
        <w:pStyle w:val="Caption"/>
        <w:spacing w:after="0"/>
        <w:jc w:val="both"/>
        <w:rPr>
          <w:sz w:val="22"/>
          <w:szCs w:val="22"/>
          <w:lang w:val="en-GB"/>
        </w:rPr>
      </w:pPr>
    </w:p>
    <w:p w14:paraId="6CDDE444" w14:textId="77777777" w:rsidR="00BB321D" w:rsidRDefault="00BB321D" w:rsidP="00430F29">
      <w:pPr>
        <w:pStyle w:val="Caption"/>
        <w:spacing w:after="0"/>
        <w:jc w:val="both"/>
        <w:rPr>
          <w:sz w:val="22"/>
          <w:szCs w:val="22"/>
          <w:lang w:val="en-GB"/>
        </w:rPr>
      </w:pPr>
    </w:p>
    <w:p w14:paraId="029BD333" w14:textId="0AAED7EB" w:rsidR="00EC06CE" w:rsidRPr="00430F29" w:rsidRDefault="00EC06CE" w:rsidP="00430F29">
      <w:pPr>
        <w:pStyle w:val="Caption"/>
        <w:spacing w:after="0"/>
        <w:jc w:val="both"/>
        <w:rPr>
          <w:sz w:val="22"/>
          <w:szCs w:val="22"/>
          <w:lang w:val="en-GB"/>
        </w:rPr>
      </w:pPr>
      <w:r w:rsidRPr="00430F29">
        <w:rPr>
          <w:sz w:val="22"/>
          <w:szCs w:val="22"/>
          <w:lang w:val="en-GB"/>
        </w:rPr>
        <w:t>Figure 1: Map of States in North Central, Nigeria Source: Hope Abah Emmanuel, 2020</w:t>
      </w:r>
    </w:p>
    <w:p w14:paraId="2F020ED0" w14:textId="77777777" w:rsidR="00293F22" w:rsidRPr="00430F29" w:rsidRDefault="00293F22" w:rsidP="00430F29">
      <w:pPr>
        <w:spacing w:after="0" w:line="240" w:lineRule="auto"/>
        <w:rPr>
          <w:sz w:val="22"/>
          <w:lang w:val="en-GB"/>
        </w:rPr>
      </w:pPr>
    </w:p>
    <w:p w14:paraId="7CFF1FBF" w14:textId="77777777" w:rsidR="00EC06CE" w:rsidRPr="00430F29" w:rsidRDefault="00702A92" w:rsidP="00BB321D">
      <w:pPr>
        <w:pStyle w:val="Heading1"/>
      </w:pPr>
      <w:bookmarkStart w:id="5" w:name="_Toc188277498"/>
      <w:r w:rsidRPr="00430F29">
        <w:t xml:space="preserve">2.2.2 </w:t>
      </w:r>
      <w:r w:rsidR="00EC06CE" w:rsidRPr="00430F29">
        <w:t xml:space="preserve"> Data Collection Methods</w:t>
      </w:r>
      <w:bookmarkEnd w:id="5"/>
    </w:p>
    <w:p w14:paraId="6271DF97" w14:textId="77777777" w:rsidR="00813643" w:rsidRPr="00430F29" w:rsidRDefault="00813643"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Questionnaires were used for survey on the commonly consumed foods within the North-central region of Nigeria and the food materials were obtained from local markets to prepare foods as per traditional recipes. These questionnaires were developed and used for documenting the most commonly consumed foods, drinks and snacks, as well as their constituting ingredients and mode of preparations. The outcomes provided important background information on the food composition, dietary factors and nutritional status of a population.</w:t>
      </w:r>
    </w:p>
    <w:p w14:paraId="459B91C6" w14:textId="77777777" w:rsidR="00EC06CE" w:rsidRPr="00430F29" w:rsidRDefault="00EC06CE" w:rsidP="00430F29">
      <w:pPr>
        <w:spacing w:after="0" w:line="240" w:lineRule="auto"/>
        <w:ind w:left="567"/>
        <w:jc w:val="both"/>
        <w:rPr>
          <w:rFonts w:ascii="Times New Roman" w:hAnsi="Times New Roman" w:cs="Times New Roman"/>
          <w:bCs/>
          <w:color w:val="000000"/>
          <w:sz w:val="22"/>
        </w:rPr>
      </w:pPr>
    </w:p>
    <w:p w14:paraId="7C3444AC" w14:textId="77777777" w:rsidR="00EC06CE" w:rsidRPr="00430F29" w:rsidRDefault="00EC06CE" w:rsidP="00430F29">
      <w:pPr>
        <w:spacing w:after="0" w:line="240" w:lineRule="auto"/>
        <w:ind w:left="567"/>
        <w:jc w:val="both"/>
        <w:rPr>
          <w:rFonts w:ascii="Times New Roman" w:hAnsi="Times New Roman" w:cs="Times New Roman"/>
          <w:bCs/>
          <w:color w:val="000000"/>
          <w:sz w:val="22"/>
        </w:rPr>
      </w:pPr>
    </w:p>
    <w:p w14:paraId="7C3B8253" w14:textId="77777777" w:rsidR="00EC06CE" w:rsidRPr="00430F29" w:rsidRDefault="00EC06CE" w:rsidP="00BB321D">
      <w:pPr>
        <w:pStyle w:val="Heading1"/>
      </w:pPr>
      <w:bookmarkStart w:id="6" w:name="_Toc188277499"/>
      <w:r w:rsidRPr="00430F29">
        <w:t>Sample Selection (Food Selection)</w:t>
      </w:r>
      <w:bookmarkEnd w:id="6"/>
    </w:p>
    <w:p w14:paraId="1203B67F" w14:textId="27C30B7A" w:rsidR="00EC06CE" w:rsidRPr="00430F29" w:rsidRDefault="00EC06CE" w:rsidP="00430F29">
      <w:pPr>
        <w:pStyle w:val="Caption"/>
        <w:keepNext/>
        <w:spacing w:after="0"/>
        <w:jc w:val="left"/>
        <w:rPr>
          <w:sz w:val="22"/>
          <w:szCs w:val="22"/>
          <w:lang w:val="en-GB"/>
        </w:rPr>
      </w:pPr>
      <w:r w:rsidRPr="00430F29">
        <w:rPr>
          <w:sz w:val="22"/>
          <w:szCs w:val="22"/>
          <w:lang w:val="en-GB"/>
        </w:rPr>
        <w:t>Table 2: Food selection classified based on most consumed, moderately consumed and least consumed</w:t>
      </w:r>
    </w:p>
    <w:p w14:paraId="337CE1DB" w14:textId="77777777" w:rsidR="00EB1416" w:rsidRPr="00430F29" w:rsidRDefault="00EB1416" w:rsidP="00430F29">
      <w:pPr>
        <w:spacing w:after="0" w:line="240" w:lineRule="auto"/>
        <w:rPr>
          <w:sz w:val="22"/>
          <w:lang w:val="en-GB"/>
        </w:rPr>
      </w:pPr>
    </w:p>
    <w:p w14:paraId="58F15F7B" w14:textId="77777777" w:rsidR="00EB1416" w:rsidRPr="00430F29" w:rsidRDefault="00EB1416" w:rsidP="00430F29">
      <w:pPr>
        <w:spacing w:after="0" w:line="240" w:lineRule="auto"/>
        <w:rPr>
          <w:sz w:val="22"/>
          <w:lang w:val="en-GB"/>
        </w:rPr>
      </w:pPr>
    </w:p>
    <w:p w14:paraId="3EE8D21E" w14:textId="77777777" w:rsidR="00EB1416" w:rsidRPr="00430F29" w:rsidRDefault="00EB1416" w:rsidP="00430F29">
      <w:pPr>
        <w:spacing w:after="0" w:line="240" w:lineRule="auto"/>
        <w:rPr>
          <w:sz w:val="22"/>
          <w:lang w:val="en-GB"/>
        </w:rPr>
      </w:pPr>
    </w:p>
    <w:p w14:paraId="04D199FA" w14:textId="77777777" w:rsidR="00EB1416" w:rsidRPr="00430F29" w:rsidRDefault="00EB1416" w:rsidP="00430F29">
      <w:pPr>
        <w:spacing w:after="0" w:line="240" w:lineRule="auto"/>
        <w:rPr>
          <w:sz w:val="22"/>
          <w:lang w:val="en-GB"/>
        </w:rPr>
      </w:pPr>
    </w:p>
    <w:p w14:paraId="780CAD76" w14:textId="77777777" w:rsidR="00EB1416" w:rsidRPr="00430F29" w:rsidRDefault="00EB1416" w:rsidP="00430F29">
      <w:pPr>
        <w:spacing w:after="0" w:line="240" w:lineRule="auto"/>
        <w:rPr>
          <w:sz w:val="22"/>
          <w:lang w:val="en-GB"/>
        </w:rPr>
      </w:pPr>
    </w:p>
    <w:p w14:paraId="19677710" w14:textId="77777777" w:rsidR="00EB1416" w:rsidRPr="00430F29" w:rsidRDefault="00EB1416" w:rsidP="00430F29">
      <w:pPr>
        <w:spacing w:after="0" w:line="240" w:lineRule="auto"/>
        <w:rPr>
          <w:sz w:val="22"/>
          <w:lang w:val="en-GB"/>
        </w:rPr>
      </w:pPr>
    </w:p>
    <w:p w14:paraId="314F6992" w14:textId="77777777" w:rsidR="00EB1416" w:rsidRPr="00430F29" w:rsidRDefault="00EB1416" w:rsidP="00430F29">
      <w:pPr>
        <w:spacing w:after="0" w:line="240" w:lineRule="auto"/>
        <w:rPr>
          <w:sz w:val="22"/>
          <w:lang w:val="en-GB"/>
        </w:rPr>
      </w:pPr>
    </w:p>
    <w:p w14:paraId="4E91C7D3" w14:textId="77777777" w:rsidR="00EB1416" w:rsidRPr="00430F29" w:rsidRDefault="00EB1416" w:rsidP="00430F29">
      <w:pPr>
        <w:spacing w:after="0" w:line="240" w:lineRule="auto"/>
        <w:rPr>
          <w:sz w:val="22"/>
          <w:lang w:val="en-GB"/>
        </w:rPr>
      </w:pPr>
    </w:p>
    <w:p w14:paraId="49ABD5EC" w14:textId="77777777" w:rsidR="00EB1416" w:rsidRPr="00430F29" w:rsidRDefault="00EB1416" w:rsidP="00430F29">
      <w:pPr>
        <w:spacing w:after="0" w:line="240" w:lineRule="auto"/>
        <w:rPr>
          <w:sz w:val="22"/>
          <w:lang w:val="en-GB"/>
        </w:rPr>
      </w:pPr>
    </w:p>
    <w:p w14:paraId="603AAAA1" w14:textId="77777777" w:rsidR="00EB1416" w:rsidRPr="00430F29" w:rsidRDefault="00EB1416" w:rsidP="00430F29">
      <w:pPr>
        <w:spacing w:after="0" w:line="240" w:lineRule="auto"/>
        <w:rPr>
          <w:sz w:val="22"/>
          <w:lang w:val="en-GB"/>
        </w:rPr>
      </w:pPr>
    </w:p>
    <w:p w14:paraId="45B0D1E8" w14:textId="77777777" w:rsidR="00EB1416" w:rsidRPr="00430F29" w:rsidRDefault="00EB1416" w:rsidP="00430F29">
      <w:pPr>
        <w:spacing w:after="0" w:line="240" w:lineRule="auto"/>
        <w:rPr>
          <w:sz w:val="22"/>
          <w:lang w:val="en-GB"/>
        </w:rPr>
      </w:pPr>
    </w:p>
    <w:tbl>
      <w:tblPr>
        <w:tblStyle w:val="TableGrid"/>
        <w:tblpPr w:leftFromText="180" w:rightFromText="180" w:vertAnchor="page" w:horzAnchor="margin" w:tblpY="2660"/>
        <w:tblW w:w="0" w:type="auto"/>
        <w:tblLook w:val="04A0" w:firstRow="1" w:lastRow="0" w:firstColumn="1" w:lastColumn="0" w:noHBand="0" w:noVBand="1"/>
      </w:tblPr>
      <w:tblGrid>
        <w:gridCol w:w="1106"/>
        <w:gridCol w:w="1750"/>
        <w:gridCol w:w="1902"/>
        <w:gridCol w:w="2078"/>
        <w:gridCol w:w="1644"/>
      </w:tblGrid>
      <w:tr w:rsidR="00EC06CE" w:rsidRPr="00430F29" w14:paraId="5215D8EE" w14:textId="77777777" w:rsidTr="00AC63B3">
        <w:trPr>
          <w:trHeight w:val="1065"/>
        </w:trPr>
        <w:tc>
          <w:tcPr>
            <w:tcW w:w="1106" w:type="dxa"/>
          </w:tcPr>
          <w:p w14:paraId="2B718EF1"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S/N</w:t>
            </w:r>
          </w:p>
        </w:tc>
        <w:tc>
          <w:tcPr>
            <w:tcW w:w="1750" w:type="dxa"/>
          </w:tcPr>
          <w:p w14:paraId="3E858F57"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STATE</w:t>
            </w:r>
          </w:p>
        </w:tc>
        <w:tc>
          <w:tcPr>
            <w:tcW w:w="1902" w:type="dxa"/>
          </w:tcPr>
          <w:p w14:paraId="24D8C3A4"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MOST CONSUMED</w:t>
            </w:r>
          </w:p>
        </w:tc>
        <w:tc>
          <w:tcPr>
            <w:tcW w:w="2078" w:type="dxa"/>
          </w:tcPr>
          <w:p w14:paraId="2AD6258C"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MODERATELY CONSUMED</w:t>
            </w:r>
          </w:p>
        </w:tc>
        <w:tc>
          <w:tcPr>
            <w:tcW w:w="1644" w:type="dxa"/>
          </w:tcPr>
          <w:p w14:paraId="746B43D3"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LEAST CONSUMED</w:t>
            </w:r>
          </w:p>
        </w:tc>
      </w:tr>
      <w:tr w:rsidR="00EC06CE" w:rsidRPr="00430F29" w14:paraId="67E6CBAD" w14:textId="77777777" w:rsidTr="00AC63B3">
        <w:trPr>
          <w:trHeight w:val="345"/>
        </w:trPr>
        <w:tc>
          <w:tcPr>
            <w:tcW w:w="1106" w:type="dxa"/>
          </w:tcPr>
          <w:p w14:paraId="2B30163A" w14:textId="77777777" w:rsidR="00EC06CE" w:rsidRPr="00430F29" w:rsidRDefault="00EC06CE" w:rsidP="00430F29">
            <w:pPr>
              <w:spacing w:after="0" w:line="240" w:lineRule="auto"/>
              <w:jc w:val="both"/>
              <w:rPr>
                <w:rFonts w:ascii="Times New Roman" w:hAnsi="Times New Roman" w:cs="Times New Roman"/>
                <w:bCs/>
                <w:color w:val="000000"/>
              </w:rPr>
            </w:pPr>
          </w:p>
        </w:tc>
        <w:tc>
          <w:tcPr>
            <w:tcW w:w="1750" w:type="dxa"/>
          </w:tcPr>
          <w:p w14:paraId="6ED17AE5" w14:textId="77777777" w:rsidR="00EC06CE" w:rsidRPr="00430F29" w:rsidRDefault="00EC06CE" w:rsidP="00430F29">
            <w:pPr>
              <w:spacing w:after="0" w:line="240" w:lineRule="auto"/>
              <w:jc w:val="both"/>
              <w:rPr>
                <w:rFonts w:ascii="Times New Roman" w:hAnsi="Times New Roman" w:cs="Times New Roman"/>
                <w:bCs/>
                <w:color w:val="000000"/>
              </w:rPr>
            </w:pPr>
          </w:p>
        </w:tc>
        <w:tc>
          <w:tcPr>
            <w:tcW w:w="1902" w:type="dxa"/>
          </w:tcPr>
          <w:p w14:paraId="75649C7F" w14:textId="77777777" w:rsidR="00EC06CE"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Mostly consumed</w:t>
            </w:r>
          </w:p>
        </w:tc>
        <w:tc>
          <w:tcPr>
            <w:tcW w:w="2078" w:type="dxa"/>
          </w:tcPr>
          <w:p w14:paraId="2FD4B756" w14:textId="77777777" w:rsidR="00EC06CE"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Moderately consume</w:t>
            </w:r>
          </w:p>
        </w:tc>
        <w:tc>
          <w:tcPr>
            <w:tcW w:w="1644" w:type="dxa"/>
          </w:tcPr>
          <w:p w14:paraId="0E8A3A2F" w14:textId="77777777" w:rsidR="00EC06CE"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Least consumed</w:t>
            </w:r>
          </w:p>
        </w:tc>
      </w:tr>
      <w:tr w:rsidR="00AC63B3" w:rsidRPr="00430F29" w14:paraId="4FCC2BFA" w14:textId="77777777" w:rsidTr="00AC63B3">
        <w:trPr>
          <w:trHeight w:val="2490"/>
        </w:trPr>
        <w:tc>
          <w:tcPr>
            <w:tcW w:w="1106" w:type="dxa"/>
          </w:tcPr>
          <w:p w14:paraId="1C20AB4E"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1</w:t>
            </w:r>
          </w:p>
        </w:tc>
        <w:tc>
          <w:tcPr>
            <w:tcW w:w="1750" w:type="dxa"/>
          </w:tcPr>
          <w:p w14:paraId="2C5881B0"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BENUE</w:t>
            </w:r>
          </w:p>
        </w:tc>
        <w:tc>
          <w:tcPr>
            <w:tcW w:w="1902" w:type="dxa"/>
          </w:tcPr>
          <w:p w14:paraId="5A74192C"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ROASTED YAM AND PALM OIL</w:t>
            </w:r>
          </w:p>
        </w:tc>
        <w:tc>
          <w:tcPr>
            <w:tcW w:w="2078" w:type="dxa"/>
          </w:tcPr>
          <w:p w14:paraId="32F69DD4"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DAFA (CORN PORRIDGE)</w:t>
            </w:r>
          </w:p>
        </w:tc>
        <w:tc>
          <w:tcPr>
            <w:tcW w:w="1644" w:type="dxa"/>
          </w:tcPr>
          <w:p w14:paraId="3A11969F"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POUNDED YAM AND FRESH FISH SOUP</w:t>
            </w:r>
          </w:p>
        </w:tc>
      </w:tr>
      <w:tr w:rsidR="00EC06CE" w:rsidRPr="00430F29" w14:paraId="209A2B0F" w14:textId="77777777" w:rsidTr="00AC63B3">
        <w:trPr>
          <w:trHeight w:val="1605"/>
        </w:trPr>
        <w:tc>
          <w:tcPr>
            <w:tcW w:w="1106" w:type="dxa"/>
          </w:tcPr>
          <w:p w14:paraId="66BFE3F8"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2</w:t>
            </w:r>
          </w:p>
        </w:tc>
        <w:tc>
          <w:tcPr>
            <w:tcW w:w="1750" w:type="dxa"/>
          </w:tcPr>
          <w:p w14:paraId="6A998C3D"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KOGI</w:t>
            </w:r>
          </w:p>
        </w:tc>
        <w:tc>
          <w:tcPr>
            <w:tcW w:w="1902" w:type="dxa"/>
          </w:tcPr>
          <w:p w14:paraId="1FA5F6A0"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APAPA (MOI-MOI)</w:t>
            </w:r>
          </w:p>
        </w:tc>
        <w:tc>
          <w:tcPr>
            <w:tcW w:w="2078" w:type="dxa"/>
          </w:tcPr>
          <w:p w14:paraId="3CF31245"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OKPA</w:t>
            </w:r>
          </w:p>
        </w:tc>
        <w:tc>
          <w:tcPr>
            <w:tcW w:w="1644" w:type="dxa"/>
          </w:tcPr>
          <w:p w14:paraId="5410B91B"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YAM PORRIDGE (IJOLO)</w:t>
            </w:r>
          </w:p>
        </w:tc>
      </w:tr>
      <w:tr w:rsidR="00EC06CE" w:rsidRPr="00430F29" w14:paraId="7B8AA405" w14:textId="77777777" w:rsidTr="00AC63B3">
        <w:trPr>
          <w:trHeight w:val="1362"/>
        </w:trPr>
        <w:tc>
          <w:tcPr>
            <w:tcW w:w="1106" w:type="dxa"/>
          </w:tcPr>
          <w:p w14:paraId="5572A7A7"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3</w:t>
            </w:r>
          </w:p>
        </w:tc>
        <w:tc>
          <w:tcPr>
            <w:tcW w:w="1750" w:type="dxa"/>
          </w:tcPr>
          <w:p w14:paraId="2A969D44"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NASARAWA</w:t>
            </w:r>
          </w:p>
        </w:tc>
        <w:tc>
          <w:tcPr>
            <w:tcW w:w="1902" w:type="dxa"/>
          </w:tcPr>
          <w:p w14:paraId="6F1C0D3F"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TUWO MASARA AND DRIED OKRA SOUP</w:t>
            </w:r>
          </w:p>
        </w:tc>
        <w:tc>
          <w:tcPr>
            <w:tcW w:w="2078" w:type="dxa"/>
          </w:tcPr>
          <w:p w14:paraId="22351809"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BOILED CASSSAVA AND PALM OIL</w:t>
            </w:r>
          </w:p>
        </w:tc>
        <w:tc>
          <w:tcPr>
            <w:tcW w:w="1644" w:type="dxa"/>
          </w:tcPr>
          <w:p w14:paraId="69E7C558"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JOLLOF RICE</w:t>
            </w:r>
          </w:p>
        </w:tc>
      </w:tr>
      <w:tr w:rsidR="00EC06CE" w:rsidRPr="00430F29" w14:paraId="654B60B2" w14:textId="77777777" w:rsidTr="00AC63B3">
        <w:trPr>
          <w:trHeight w:val="1065"/>
        </w:trPr>
        <w:tc>
          <w:tcPr>
            <w:tcW w:w="1106" w:type="dxa"/>
          </w:tcPr>
          <w:p w14:paraId="10C358F8"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4</w:t>
            </w:r>
          </w:p>
        </w:tc>
        <w:tc>
          <w:tcPr>
            <w:tcW w:w="1750" w:type="dxa"/>
          </w:tcPr>
          <w:p w14:paraId="3138CD07"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NIGER</w:t>
            </w:r>
          </w:p>
        </w:tc>
        <w:tc>
          <w:tcPr>
            <w:tcW w:w="1902" w:type="dxa"/>
          </w:tcPr>
          <w:p w14:paraId="6B1E6274"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MORINGA (ZOGALE)</w:t>
            </w:r>
          </w:p>
        </w:tc>
        <w:tc>
          <w:tcPr>
            <w:tcW w:w="2078" w:type="dxa"/>
          </w:tcPr>
          <w:p w14:paraId="07B3DEFA"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POUNDED YAM AND EGUSI SOUP</w:t>
            </w:r>
          </w:p>
        </w:tc>
        <w:tc>
          <w:tcPr>
            <w:tcW w:w="1644" w:type="dxa"/>
          </w:tcPr>
          <w:p w14:paraId="1A7DC06A"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BEANS PORRIDGE</w:t>
            </w:r>
          </w:p>
        </w:tc>
      </w:tr>
    </w:tbl>
    <w:p w14:paraId="17C983BA" w14:textId="77777777" w:rsidR="00EC06CE" w:rsidRPr="00430F29" w:rsidRDefault="00EC06CE" w:rsidP="00430F29">
      <w:pPr>
        <w:tabs>
          <w:tab w:val="left" w:pos="90"/>
        </w:tabs>
        <w:spacing w:after="0" w:line="240" w:lineRule="auto"/>
        <w:jc w:val="both"/>
        <w:rPr>
          <w:rFonts w:ascii="Times New Roman" w:hAnsi="Times New Roman" w:cs="Times New Roman"/>
          <w:b/>
          <w:sz w:val="22"/>
        </w:rPr>
      </w:pPr>
    </w:p>
    <w:p w14:paraId="28CF421A" w14:textId="77777777" w:rsidR="00EC06CE" w:rsidRPr="00430F29" w:rsidRDefault="00EC06CE" w:rsidP="00430F29">
      <w:pPr>
        <w:tabs>
          <w:tab w:val="left" w:pos="90"/>
        </w:tabs>
        <w:spacing w:after="0" w:line="240" w:lineRule="auto"/>
        <w:jc w:val="both"/>
        <w:rPr>
          <w:rFonts w:ascii="Times New Roman" w:hAnsi="Times New Roman" w:cs="Times New Roman"/>
          <w:b/>
          <w:sz w:val="22"/>
        </w:rPr>
      </w:pPr>
    </w:p>
    <w:p w14:paraId="32279685" w14:textId="77777777" w:rsidR="00B5666E" w:rsidRPr="00430F29" w:rsidRDefault="00B5666E" w:rsidP="00BB321D">
      <w:pPr>
        <w:pStyle w:val="Heading1"/>
        <w:rPr>
          <w:rFonts w:eastAsia="Calibri"/>
        </w:rPr>
      </w:pPr>
      <w:bookmarkStart w:id="7" w:name="_Toc188277501"/>
    </w:p>
    <w:bookmarkEnd w:id="7"/>
    <w:p w14:paraId="1F349B63" w14:textId="77777777" w:rsidR="00AD1A96" w:rsidRDefault="00AD1A96" w:rsidP="00BB321D">
      <w:pPr>
        <w:pStyle w:val="Heading1"/>
      </w:pPr>
    </w:p>
    <w:p w14:paraId="07ACA7A8" w14:textId="77777777" w:rsidR="00AD1A96" w:rsidRDefault="00AD1A96" w:rsidP="00BB321D">
      <w:pPr>
        <w:pStyle w:val="Heading1"/>
      </w:pPr>
    </w:p>
    <w:p w14:paraId="2CE31893" w14:textId="77777777" w:rsidR="00AD1A96" w:rsidRDefault="00AD1A96" w:rsidP="00BB321D">
      <w:pPr>
        <w:pStyle w:val="Heading1"/>
      </w:pPr>
    </w:p>
    <w:p w14:paraId="7064D144" w14:textId="77777777" w:rsidR="00AD1A96" w:rsidRDefault="00AD1A96" w:rsidP="00BB321D">
      <w:pPr>
        <w:pStyle w:val="Heading1"/>
      </w:pPr>
    </w:p>
    <w:p w14:paraId="7E0EF799" w14:textId="77777777" w:rsidR="00AD1A96" w:rsidRDefault="00AD1A96" w:rsidP="00BB321D">
      <w:pPr>
        <w:pStyle w:val="Heading1"/>
      </w:pPr>
    </w:p>
    <w:p w14:paraId="1916F480" w14:textId="77777777" w:rsidR="00AD1A96" w:rsidRDefault="00AD1A96" w:rsidP="00BB321D">
      <w:pPr>
        <w:pStyle w:val="Heading1"/>
      </w:pPr>
    </w:p>
    <w:p w14:paraId="62D233EE" w14:textId="77777777" w:rsidR="00AD1A96" w:rsidRDefault="00AD1A96" w:rsidP="00BB321D">
      <w:pPr>
        <w:pStyle w:val="Heading1"/>
      </w:pPr>
    </w:p>
    <w:p w14:paraId="0520A235" w14:textId="77777777" w:rsidR="00AD1A96" w:rsidRDefault="00AD1A96" w:rsidP="00BB321D">
      <w:pPr>
        <w:pStyle w:val="Heading1"/>
      </w:pPr>
    </w:p>
    <w:p w14:paraId="7C6AD26C" w14:textId="77777777" w:rsidR="00AD1A96" w:rsidRDefault="00AD1A96" w:rsidP="00BB321D">
      <w:pPr>
        <w:pStyle w:val="Heading1"/>
      </w:pPr>
    </w:p>
    <w:p w14:paraId="063B5C9C" w14:textId="77777777" w:rsidR="00AD1A96" w:rsidRDefault="00AD1A96" w:rsidP="00BB321D">
      <w:pPr>
        <w:pStyle w:val="Heading1"/>
      </w:pPr>
    </w:p>
    <w:p w14:paraId="300B8831" w14:textId="77777777" w:rsidR="00AD1A96" w:rsidRDefault="00AD1A96" w:rsidP="00BB321D">
      <w:pPr>
        <w:pStyle w:val="Heading1"/>
      </w:pPr>
    </w:p>
    <w:p w14:paraId="21518721" w14:textId="77777777" w:rsidR="00AD1A96" w:rsidRDefault="00AD1A96" w:rsidP="00BB321D">
      <w:pPr>
        <w:pStyle w:val="Heading1"/>
      </w:pPr>
    </w:p>
    <w:p w14:paraId="2337A572" w14:textId="77777777" w:rsidR="00AD1A96" w:rsidRDefault="00AD1A96" w:rsidP="00BB321D">
      <w:pPr>
        <w:pStyle w:val="Heading1"/>
      </w:pPr>
    </w:p>
    <w:p w14:paraId="39FDF14C" w14:textId="77777777" w:rsidR="00AD1A96" w:rsidRDefault="00AD1A96" w:rsidP="00BB321D">
      <w:pPr>
        <w:pStyle w:val="Heading1"/>
      </w:pPr>
    </w:p>
    <w:p w14:paraId="5FAAFF8A" w14:textId="77777777" w:rsidR="00AD1A96" w:rsidRDefault="00AD1A96" w:rsidP="00BB321D">
      <w:pPr>
        <w:pStyle w:val="Heading1"/>
      </w:pPr>
    </w:p>
    <w:p w14:paraId="116490CA" w14:textId="77777777" w:rsidR="00AD1A96" w:rsidRDefault="00AD1A96" w:rsidP="00BB321D">
      <w:pPr>
        <w:pStyle w:val="Heading1"/>
      </w:pPr>
    </w:p>
    <w:p w14:paraId="32D5FAF6" w14:textId="77777777" w:rsidR="00AD1A96" w:rsidRDefault="00AD1A96" w:rsidP="00BB321D">
      <w:pPr>
        <w:pStyle w:val="Heading1"/>
      </w:pPr>
    </w:p>
    <w:p w14:paraId="47F85B62" w14:textId="77777777" w:rsidR="00AD1A96" w:rsidRDefault="00AD1A96" w:rsidP="00BB321D">
      <w:pPr>
        <w:pStyle w:val="Heading1"/>
      </w:pPr>
    </w:p>
    <w:p w14:paraId="33C63333" w14:textId="56099079" w:rsidR="00613935" w:rsidRPr="00430F29" w:rsidRDefault="00702A92" w:rsidP="00BB321D">
      <w:pPr>
        <w:pStyle w:val="Heading1"/>
      </w:pPr>
      <w:r w:rsidRPr="00430F29">
        <w:t xml:space="preserve">2.3 </w:t>
      </w:r>
      <w:r w:rsidR="00613935" w:rsidRPr="00430F29">
        <w:t>Determination of Proximate Composition</w:t>
      </w:r>
    </w:p>
    <w:p w14:paraId="55A6FEEC" w14:textId="77777777" w:rsidR="00613935" w:rsidRPr="00430F29" w:rsidRDefault="00702A92" w:rsidP="00BB321D">
      <w:pPr>
        <w:pStyle w:val="Heading1"/>
      </w:pPr>
      <w:bookmarkStart w:id="8" w:name="_Toc188277503"/>
      <w:r w:rsidRPr="00430F29">
        <w:t xml:space="preserve">2.3.1 Determination of </w:t>
      </w:r>
      <w:r w:rsidR="00613935" w:rsidRPr="00430F29">
        <w:t>Moisture Content</w:t>
      </w:r>
      <w:bookmarkEnd w:id="8"/>
    </w:p>
    <w:p w14:paraId="028E83F2"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Moisture content was determined according to the AOAC, 2005 technique. The procedure is as follows</w:t>
      </w:r>
      <w:r w:rsidRPr="00430F29">
        <w:rPr>
          <w:rFonts w:ascii="Times New Roman" w:hAnsi="Times New Roman" w:cs="Times New Roman"/>
          <w:b/>
          <w:bCs/>
          <w:color w:val="000000"/>
          <w:sz w:val="22"/>
        </w:rPr>
        <w:t>:</w:t>
      </w:r>
      <w:r w:rsidR="00702A92" w:rsidRPr="00430F29">
        <w:rPr>
          <w:rFonts w:ascii="Times New Roman" w:hAnsi="Times New Roman" w:cs="Times New Roman"/>
          <w:bCs/>
          <w:color w:val="000000"/>
          <w:sz w:val="22"/>
        </w:rPr>
        <w:t xml:space="preserve"> A</w:t>
      </w:r>
      <w:r w:rsidRPr="00430F29">
        <w:rPr>
          <w:rFonts w:ascii="Times New Roman" w:hAnsi="Times New Roman" w:cs="Times New Roman"/>
          <w:bCs/>
          <w:color w:val="000000"/>
          <w:sz w:val="22"/>
        </w:rPr>
        <w:t>pproximately 5g of sample</w:t>
      </w:r>
      <w:r w:rsidR="00702A92" w:rsidRPr="00430F29">
        <w:rPr>
          <w:rFonts w:ascii="Times New Roman" w:hAnsi="Times New Roman" w:cs="Times New Roman"/>
          <w:bCs/>
          <w:color w:val="000000"/>
          <w:sz w:val="22"/>
        </w:rPr>
        <w:t xml:space="preserve"> was weighed</w:t>
      </w:r>
      <w:r w:rsidRPr="00430F29">
        <w:rPr>
          <w:rFonts w:ascii="Times New Roman" w:hAnsi="Times New Roman" w:cs="Times New Roman"/>
          <w:bCs/>
          <w:color w:val="000000"/>
          <w:sz w:val="22"/>
        </w:rPr>
        <w:t xml:space="preserve"> into a dry crucible of known weight. Place the crucible in a drying oven at 105</w:t>
      </w:r>
      <w:r w:rsidRPr="00430F29">
        <w:rPr>
          <w:rFonts w:ascii="Times New Roman" w:hAnsi="Times New Roman" w:cs="Times New Roman"/>
          <w:bCs/>
          <w:color w:val="000000"/>
          <w:sz w:val="22"/>
          <w:vertAlign w:val="superscript"/>
        </w:rPr>
        <w:t>o</w:t>
      </w:r>
      <w:r w:rsidR="00702A92" w:rsidRPr="00430F29">
        <w:rPr>
          <w:rFonts w:ascii="Times New Roman" w:hAnsi="Times New Roman" w:cs="Times New Roman"/>
          <w:bCs/>
          <w:color w:val="000000"/>
          <w:sz w:val="22"/>
        </w:rPr>
        <w:t>C for approximately 5 hours. It was r</w:t>
      </w:r>
      <w:r w:rsidRPr="00430F29">
        <w:rPr>
          <w:rFonts w:ascii="Times New Roman" w:hAnsi="Times New Roman" w:cs="Times New Roman"/>
          <w:bCs/>
          <w:color w:val="000000"/>
          <w:sz w:val="22"/>
        </w:rPr>
        <w:t>emove</w:t>
      </w:r>
      <w:r w:rsidR="00702A92" w:rsidRPr="00430F29">
        <w:rPr>
          <w:rFonts w:ascii="Times New Roman" w:hAnsi="Times New Roman" w:cs="Times New Roman"/>
          <w:bCs/>
          <w:color w:val="000000"/>
          <w:sz w:val="22"/>
        </w:rPr>
        <w:t>d</w:t>
      </w:r>
      <w:r w:rsidRPr="00430F29">
        <w:rPr>
          <w:rFonts w:ascii="Times New Roman" w:hAnsi="Times New Roman" w:cs="Times New Roman"/>
          <w:bCs/>
          <w:color w:val="000000"/>
          <w:sz w:val="22"/>
        </w:rPr>
        <w:t xml:space="preserve"> from the oven, cool in a desiccator and weigh. Re-dry for at least another 1 hour and repeat the process until a constant weigh is achieved. Calculate the moisture (wet weight) loss as follows:</w:t>
      </w:r>
    </w:p>
    <w:p w14:paraId="30689715" w14:textId="77777777" w:rsidR="00613935" w:rsidRPr="00430F29" w:rsidRDefault="00613935" w:rsidP="00430F29">
      <w:pPr>
        <w:spacing w:after="0" w:line="240" w:lineRule="auto"/>
        <w:ind w:left="567"/>
        <w:jc w:val="both"/>
        <w:rPr>
          <w:rFonts w:ascii="Cambria Math" w:hAnsi="Cambria Math" w:cs="Times New Roman"/>
          <w:i/>
          <w:sz w:val="22"/>
        </w:rPr>
      </w:pPr>
      <m:oMathPara>
        <m:oMath>
          <m:r>
            <w:rPr>
              <w:rFonts w:ascii="Cambria Math" w:hAnsi="Cambria Math" w:cs="Times New Roman"/>
              <w:sz w:val="22"/>
            </w:rPr>
            <m:t>percent moisture=</m:t>
          </m:r>
          <m:f>
            <m:fPr>
              <m:ctrlPr>
                <w:rPr>
                  <w:rFonts w:ascii="Cambria Math" w:hAnsi="Cambria Math" w:cs="Times New Roman"/>
                  <w:i/>
                  <w:sz w:val="22"/>
                </w:rPr>
              </m:ctrlPr>
            </m:fPr>
            <m:num>
              <m:d>
                <m:dPr>
                  <m:ctrlPr>
                    <w:rPr>
                      <w:rFonts w:ascii="Cambria Math" w:hAnsi="Cambria Math" w:cs="Times New Roman"/>
                      <w:i/>
                      <w:sz w:val="22"/>
                    </w:rPr>
                  </m:ctrlPr>
                </m:dPr>
                <m:e>
                  <m:r>
                    <w:rPr>
                      <w:rFonts w:ascii="Cambria Math" w:hAnsi="Cambria Math" w:cs="Times New Roman"/>
                      <w:sz w:val="22"/>
                    </w:rPr>
                    <m:t>p-a</m:t>
                  </m:r>
                </m:e>
              </m:d>
            </m:num>
            <m:den>
              <m:r>
                <w:rPr>
                  <w:rFonts w:ascii="Cambria Math" w:hAnsi="Cambria Math" w:cs="Times New Roman"/>
                  <w:sz w:val="22"/>
                </w:rPr>
                <m:t>p</m:t>
              </m:r>
            </m:den>
          </m:f>
          <m:r>
            <w:rPr>
              <w:rFonts w:ascii="Cambria Math" w:hAnsi="Cambria Math" w:cs="Times New Roman"/>
              <w:sz w:val="22"/>
            </w:rPr>
            <m:t>×100</m:t>
          </m:r>
        </m:oMath>
      </m:oMathPara>
    </w:p>
    <w:p w14:paraId="3778D500"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Where,</w:t>
      </w:r>
    </w:p>
    <w:p w14:paraId="31903FB6"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 xml:space="preserve"> p= sample weight in grams</w:t>
      </w:r>
    </w:p>
    <w:p w14:paraId="05E8F360"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a= weight of dried sample in grams</w:t>
      </w:r>
    </w:p>
    <w:p w14:paraId="54CD5D93" w14:textId="77777777" w:rsidR="00613935" w:rsidRPr="00430F29" w:rsidRDefault="00702A92" w:rsidP="00BB321D">
      <w:pPr>
        <w:pStyle w:val="Heading1"/>
      </w:pPr>
      <w:bookmarkStart w:id="9" w:name="_Toc188277504"/>
      <w:r w:rsidRPr="00430F29">
        <w:t xml:space="preserve">2.3.2 </w:t>
      </w:r>
      <w:r w:rsidR="00813643" w:rsidRPr="00430F29">
        <w:t>Determination of</w:t>
      </w:r>
      <w:r w:rsidR="00613935" w:rsidRPr="00430F29">
        <w:t xml:space="preserve"> Ash Content</w:t>
      </w:r>
      <w:bookmarkEnd w:id="9"/>
    </w:p>
    <w:p w14:paraId="658BB6FA"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 xml:space="preserve">Ash content was determined according to the AOAC, 2005 technique. The procedure </w:t>
      </w:r>
      <w:r w:rsidR="00AF327E" w:rsidRPr="00430F29">
        <w:rPr>
          <w:rFonts w:ascii="Times New Roman" w:hAnsi="Times New Roman" w:cs="Times New Roman"/>
          <w:bCs/>
          <w:color w:val="000000"/>
          <w:sz w:val="22"/>
        </w:rPr>
        <w:t>involves w</w:t>
      </w:r>
      <w:r w:rsidRPr="00430F29">
        <w:rPr>
          <w:rFonts w:ascii="Times New Roman" w:hAnsi="Times New Roman" w:cs="Times New Roman"/>
          <w:bCs/>
          <w:color w:val="000000"/>
          <w:sz w:val="22"/>
        </w:rPr>
        <w:t>eigh</w:t>
      </w:r>
      <w:r w:rsidR="00AF327E" w:rsidRPr="00430F29">
        <w:rPr>
          <w:rFonts w:ascii="Times New Roman" w:hAnsi="Times New Roman" w:cs="Times New Roman"/>
          <w:bCs/>
          <w:color w:val="000000"/>
          <w:sz w:val="22"/>
        </w:rPr>
        <w:t>ing</w:t>
      </w:r>
      <w:r w:rsidRPr="00430F29">
        <w:rPr>
          <w:rFonts w:ascii="Times New Roman" w:hAnsi="Times New Roman" w:cs="Times New Roman"/>
          <w:bCs/>
          <w:color w:val="000000"/>
          <w:sz w:val="22"/>
        </w:rPr>
        <w:t xml:space="preserve"> approximately 5g of sample into </w:t>
      </w:r>
      <w:r w:rsidR="00AF327E" w:rsidRPr="00430F29">
        <w:rPr>
          <w:rFonts w:ascii="Times New Roman" w:hAnsi="Times New Roman" w:cs="Times New Roman"/>
          <w:bCs/>
          <w:color w:val="000000"/>
          <w:sz w:val="22"/>
        </w:rPr>
        <w:t>a dry crucible of known weight, it was p</w:t>
      </w:r>
      <w:r w:rsidRPr="00430F29">
        <w:rPr>
          <w:rFonts w:ascii="Times New Roman" w:hAnsi="Times New Roman" w:cs="Times New Roman"/>
          <w:bCs/>
          <w:color w:val="000000"/>
          <w:sz w:val="22"/>
        </w:rPr>
        <w:t>lace</w:t>
      </w:r>
      <w:r w:rsidR="00AF327E" w:rsidRPr="00430F29">
        <w:rPr>
          <w:rFonts w:ascii="Times New Roman" w:hAnsi="Times New Roman" w:cs="Times New Roman"/>
          <w:bCs/>
          <w:color w:val="000000"/>
          <w:sz w:val="22"/>
        </w:rPr>
        <w:t>d</w:t>
      </w:r>
      <w:r w:rsidRPr="00430F29">
        <w:rPr>
          <w:rFonts w:ascii="Times New Roman" w:hAnsi="Times New Roman" w:cs="Times New Roman"/>
          <w:bCs/>
          <w:color w:val="000000"/>
          <w:sz w:val="22"/>
        </w:rPr>
        <w:t xml:space="preserve"> in a drying oven at 100</w:t>
      </w:r>
      <w:r w:rsidR="00AF327E"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 xml:space="preserve">C for </w:t>
      </w:r>
      <w:r w:rsidR="00AF327E" w:rsidRPr="00430F29">
        <w:rPr>
          <w:rFonts w:ascii="Times New Roman" w:hAnsi="Times New Roman" w:cs="Times New Roman"/>
          <w:bCs/>
          <w:color w:val="000000"/>
          <w:sz w:val="22"/>
        </w:rPr>
        <w:t xml:space="preserve">at least 10 hours. After which it was </w:t>
      </w:r>
      <w:r w:rsidRPr="00430F29">
        <w:rPr>
          <w:rFonts w:ascii="Times New Roman" w:hAnsi="Times New Roman" w:cs="Times New Roman"/>
          <w:bCs/>
          <w:color w:val="000000"/>
          <w:sz w:val="22"/>
        </w:rPr>
        <w:t>transfer</w:t>
      </w:r>
      <w:r w:rsidR="00AF327E" w:rsidRPr="00430F29">
        <w:rPr>
          <w:rFonts w:ascii="Times New Roman" w:hAnsi="Times New Roman" w:cs="Times New Roman"/>
          <w:bCs/>
          <w:color w:val="000000"/>
          <w:sz w:val="22"/>
        </w:rPr>
        <w:t>red</w:t>
      </w:r>
      <w:r w:rsidRPr="00430F29">
        <w:rPr>
          <w:rFonts w:ascii="Times New Roman" w:hAnsi="Times New Roman" w:cs="Times New Roman"/>
          <w:bCs/>
          <w:color w:val="000000"/>
          <w:sz w:val="22"/>
        </w:rPr>
        <w:t xml:space="preserve"> the into a muffle furnace and</w:t>
      </w:r>
      <w:r w:rsidR="00AF327E" w:rsidRPr="00430F29">
        <w:rPr>
          <w:rFonts w:ascii="Times New Roman" w:hAnsi="Times New Roman" w:cs="Times New Roman"/>
          <w:bCs/>
          <w:color w:val="000000"/>
          <w:sz w:val="22"/>
        </w:rPr>
        <w:t xml:space="preserve"> the</w:t>
      </w:r>
      <w:r w:rsidRPr="00430F29">
        <w:rPr>
          <w:rFonts w:ascii="Times New Roman" w:hAnsi="Times New Roman" w:cs="Times New Roman"/>
          <w:bCs/>
          <w:color w:val="000000"/>
          <w:sz w:val="22"/>
        </w:rPr>
        <w:t xml:space="preserve"> temperature </w:t>
      </w:r>
      <w:r w:rsidR="00AF327E" w:rsidRPr="00430F29">
        <w:rPr>
          <w:rFonts w:ascii="Times New Roman" w:hAnsi="Times New Roman" w:cs="Times New Roman"/>
          <w:bCs/>
          <w:color w:val="000000"/>
          <w:sz w:val="22"/>
        </w:rPr>
        <w:t xml:space="preserve">maintained </w:t>
      </w:r>
      <w:r w:rsidRPr="00430F29">
        <w:rPr>
          <w:rFonts w:ascii="Times New Roman" w:hAnsi="Times New Roman" w:cs="Times New Roman"/>
          <w:bCs/>
          <w:color w:val="000000"/>
          <w:sz w:val="22"/>
        </w:rPr>
        <w:t>within 550 to 600</w:t>
      </w:r>
      <w:r w:rsidR="00AF327E"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 xml:space="preserve">C for about 6 hours. </w:t>
      </w:r>
      <w:r w:rsidR="00AF327E" w:rsidRPr="00430F29">
        <w:rPr>
          <w:rFonts w:ascii="Times New Roman" w:hAnsi="Times New Roman" w:cs="Times New Roman"/>
          <w:bCs/>
          <w:color w:val="000000"/>
          <w:sz w:val="22"/>
        </w:rPr>
        <w:t xml:space="preserve">The </w:t>
      </w:r>
      <w:r w:rsidRPr="00430F29">
        <w:rPr>
          <w:rFonts w:ascii="Times New Roman" w:hAnsi="Times New Roman" w:cs="Times New Roman"/>
          <w:bCs/>
          <w:color w:val="000000"/>
          <w:sz w:val="22"/>
        </w:rPr>
        <w:t>crucible</w:t>
      </w:r>
      <w:r w:rsidR="00AF327E" w:rsidRPr="00430F29">
        <w:rPr>
          <w:rFonts w:ascii="Times New Roman" w:hAnsi="Times New Roman" w:cs="Times New Roman"/>
          <w:bCs/>
          <w:color w:val="000000"/>
          <w:sz w:val="22"/>
        </w:rPr>
        <w:t xml:space="preserve"> was collected</w:t>
      </w:r>
      <w:r w:rsidRPr="00430F29">
        <w:rPr>
          <w:rFonts w:ascii="Times New Roman" w:hAnsi="Times New Roman" w:cs="Times New Roman"/>
          <w:bCs/>
          <w:color w:val="000000"/>
          <w:sz w:val="22"/>
        </w:rPr>
        <w:t xml:space="preserve"> once the </w:t>
      </w:r>
      <w:r w:rsidRPr="00430F29">
        <w:rPr>
          <w:rFonts w:ascii="Times New Roman" w:hAnsi="Times New Roman" w:cs="Times New Roman"/>
          <w:bCs/>
          <w:color w:val="000000"/>
          <w:sz w:val="22"/>
        </w:rPr>
        <w:lastRenderedPageBreak/>
        <w:t>sampl</w:t>
      </w:r>
      <w:r w:rsidR="00AF327E" w:rsidRPr="00430F29">
        <w:rPr>
          <w:rFonts w:ascii="Times New Roman" w:hAnsi="Times New Roman" w:cs="Times New Roman"/>
          <w:bCs/>
          <w:color w:val="000000"/>
          <w:sz w:val="22"/>
        </w:rPr>
        <w:t>e wa</w:t>
      </w:r>
      <w:r w:rsidRPr="00430F29">
        <w:rPr>
          <w:rFonts w:ascii="Times New Roman" w:hAnsi="Times New Roman" w:cs="Times New Roman"/>
          <w:bCs/>
          <w:color w:val="000000"/>
          <w:sz w:val="22"/>
        </w:rPr>
        <w:t>s</w:t>
      </w:r>
      <w:r w:rsidR="00AF327E" w:rsidRPr="00430F29">
        <w:rPr>
          <w:rFonts w:ascii="Times New Roman" w:hAnsi="Times New Roman" w:cs="Times New Roman"/>
          <w:bCs/>
          <w:color w:val="000000"/>
          <w:sz w:val="22"/>
        </w:rPr>
        <w:t xml:space="preserve"> completely dried and powdered, c</w:t>
      </w:r>
      <w:r w:rsidRPr="00430F29">
        <w:rPr>
          <w:rFonts w:ascii="Times New Roman" w:hAnsi="Times New Roman" w:cs="Times New Roman"/>
          <w:bCs/>
          <w:color w:val="000000"/>
          <w:sz w:val="22"/>
        </w:rPr>
        <w:t>ool</w:t>
      </w:r>
      <w:r w:rsidR="00AF327E" w:rsidRPr="00430F29">
        <w:rPr>
          <w:rFonts w:ascii="Times New Roman" w:hAnsi="Times New Roman" w:cs="Times New Roman"/>
          <w:bCs/>
          <w:color w:val="000000"/>
          <w:sz w:val="22"/>
        </w:rPr>
        <w:t>ed</w:t>
      </w:r>
      <w:r w:rsidRPr="00430F29">
        <w:rPr>
          <w:rFonts w:ascii="Times New Roman" w:hAnsi="Times New Roman" w:cs="Times New Roman"/>
          <w:bCs/>
          <w:color w:val="000000"/>
          <w:sz w:val="22"/>
        </w:rPr>
        <w:t xml:space="preserve"> in a desiccator and weigh</w:t>
      </w:r>
      <w:r w:rsidR="00AF327E" w:rsidRPr="00430F29">
        <w:rPr>
          <w:rFonts w:ascii="Times New Roman" w:hAnsi="Times New Roman" w:cs="Times New Roman"/>
          <w:bCs/>
          <w:color w:val="000000"/>
          <w:sz w:val="22"/>
        </w:rPr>
        <w:t>ed</w:t>
      </w:r>
      <w:r w:rsidRPr="00430F29">
        <w:rPr>
          <w:rFonts w:ascii="Times New Roman" w:hAnsi="Times New Roman" w:cs="Times New Roman"/>
          <w:bCs/>
          <w:color w:val="000000"/>
          <w:sz w:val="22"/>
        </w:rPr>
        <w:t xml:space="preserve">. To </w:t>
      </w:r>
      <w:r w:rsidR="00AF327E" w:rsidRPr="00430F29">
        <w:rPr>
          <w:rFonts w:ascii="Times New Roman" w:hAnsi="Times New Roman" w:cs="Times New Roman"/>
          <w:bCs/>
          <w:color w:val="000000"/>
          <w:sz w:val="22"/>
        </w:rPr>
        <w:t>en</w:t>
      </w:r>
      <w:r w:rsidRPr="00430F29">
        <w:rPr>
          <w:rFonts w:ascii="Times New Roman" w:hAnsi="Times New Roman" w:cs="Times New Roman"/>
          <w:bCs/>
          <w:color w:val="000000"/>
          <w:sz w:val="22"/>
        </w:rPr>
        <w:t>sure the completion of ashing, the crucible was again heated in Muffle furnace for 0.5 hour and weighed. This procedure was repeated until two consecutive weights were recorded and the ash was almost white/ grayish in color. The ash content was calculated as follows:</w:t>
      </w:r>
    </w:p>
    <w:p w14:paraId="3BF78836" w14:textId="77777777" w:rsidR="00613935" w:rsidRPr="00430F29" w:rsidRDefault="00613935" w:rsidP="00430F29">
      <w:pPr>
        <w:spacing w:after="0" w:line="240" w:lineRule="auto"/>
        <w:ind w:left="567"/>
        <w:rPr>
          <w:rFonts w:ascii="Times New Roman" w:hAnsi="Times New Roman" w:cs="Times New Roman"/>
          <w:sz w:val="22"/>
        </w:rPr>
      </w:pPr>
      <m:oMathPara>
        <m:oMath>
          <m:r>
            <w:rPr>
              <w:rFonts w:ascii="Cambria Math" w:hAnsi="Cambria Math" w:cs="Times New Roman"/>
              <w:sz w:val="22"/>
            </w:rPr>
            <m:t>Percent of ash=</m:t>
          </m:r>
          <m:f>
            <m:fPr>
              <m:ctrlPr>
                <w:rPr>
                  <w:rFonts w:ascii="Cambria Math" w:hAnsi="Cambria Math" w:cs="Times New Roman"/>
                  <w:i/>
                  <w:sz w:val="22"/>
                </w:rPr>
              </m:ctrlPr>
            </m:fPr>
            <m:num>
              <m:r>
                <w:rPr>
                  <w:rFonts w:ascii="Cambria Math" w:hAnsi="Cambria Math" w:cs="Times New Roman"/>
                  <w:sz w:val="22"/>
                </w:rPr>
                <m:t>weight of ash</m:t>
              </m:r>
            </m:num>
            <m:den>
              <m:r>
                <w:rPr>
                  <w:rFonts w:ascii="Cambria Math" w:hAnsi="Cambria Math" w:cs="Times New Roman"/>
                  <w:sz w:val="22"/>
                </w:rPr>
                <m:t>weight of sample taken</m:t>
              </m:r>
            </m:den>
          </m:f>
          <m:r>
            <w:rPr>
              <w:rFonts w:ascii="Cambria Math" w:hAnsi="Cambria Math" w:cs="Times New Roman"/>
              <w:sz w:val="22"/>
            </w:rPr>
            <m:t>×100</m:t>
          </m:r>
        </m:oMath>
      </m:oMathPara>
    </w:p>
    <w:p w14:paraId="22314EF8"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p>
    <w:p w14:paraId="58AF4148"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p>
    <w:p w14:paraId="5668420B" w14:textId="77777777" w:rsidR="00613935" w:rsidRPr="00430F29" w:rsidRDefault="00702A92" w:rsidP="00430F29">
      <w:pPr>
        <w:spacing w:after="0" w:line="240" w:lineRule="auto"/>
        <w:jc w:val="both"/>
        <w:rPr>
          <w:rFonts w:ascii="Times New Roman" w:hAnsi="Times New Roman" w:cs="Times New Roman"/>
          <w:b/>
          <w:bCs/>
          <w:color w:val="000000"/>
          <w:sz w:val="22"/>
        </w:rPr>
      </w:pPr>
      <w:r w:rsidRPr="00430F29">
        <w:rPr>
          <w:b/>
          <w:bCs/>
          <w:sz w:val="22"/>
        </w:rPr>
        <w:t xml:space="preserve">2.3.3 Determination of </w:t>
      </w:r>
      <w:r w:rsidR="00613935" w:rsidRPr="00430F29">
        <w:rPr>
          <w:rFonts w:ascii="Times New Roman" w:hAnsi="Times New Roman" w:cs="Times New Roman"/>
          <w:b/>
          <w:bCs/>
          <w:color w:val="000000"/>
          <w:sz w:val="22"/>
        </w:rPr>
        <w:t>Crude Protein</w:t>
      </w:r>
    </w:p>
    <w:p w14:paraId="78BA867F"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The crude protein was determined according to the Kjeldahl method which is basically, divided into three parts; digestion, distillation, and titration.</w:t>
      </w:r>
      <w:r w:rsidR="00AF327E" w:rsidRPr="00430F29">
        <w:rPr>
          <w:rFonts w:ascii="Times New Roman" w:hAnsi="Times New Roman" w:cs="Times New Roman"/>
          <w:bCs/>
          <w:color w:val="000000"/>
          <w:sz w:val="22"/>
        </w:rPr>
        <w:t xml:space="preserve"> The procedure was followed as outlined below;</w:t>
      </w:r>
    </w:p>
    <w:p w14:paraId="26C6A28F" w14:textId="77777777" w:rsidR="00613935" w:rsidRPr="00430F29" w:rsidRDefault="00613935" w:rsidP="00430F29">
      <w:pPr>
        <w:spacing w:after="0" w:line="240" w:lineRule="auto"/>
        <w:jc w:val="both"/>
        <w:rPr>
          <w:rFonts w:ascii="Times New Roman" w:hAnsi="Times New Roman" w:cs="Times New Roman"/>
          <w:b/>
          <w:bCs/>
          <w:color w:val="000000"/>
          <w:sz w:val="22"/>
        </w:rPr>
      </w:pPr>
      <w:r w:rsidRPr="00430F29">
        <w:rPr>
          <w:rFonts w:ascii="Times New Roman" w:hAnsi="Times New Roman" w:cs="Times New Roman"/>
          <w:b/>
          <w:bCs/>
          <w:color w:val="000000"/>
          <w:sz w:val="22"/>
        </w:rPr>
        <w:t>Digestion</w:t>
      </w:r>
      <w:r w:rsidR="00AF327E" w:rsidRPr="00430F29">
        <w:rPr>
          <w:rFonts w:ascii="Times New Roman" w:hAnsi="Times New Roman" w:cs="Times New Roman"/>
          <w:b/>
          <w:bCs/>
          <w:color w:val="000000"/>
          <w:sz w:val="22"/>
        </w:rPr>
        <w:t xml:space="preserve">: </w:t>
      </w:r>
      <w:r w:rsidRPr="00430F29">
        <w:rPr>
          <w:rFonts w:ascii="Times New Roman" w:hAnsi="Times New Roman" w:cs="Times New Roman"/>
          <w:bCs/>
          <w:color w:val="000000"/>
          <w:sz w:val="22"/>
        </w:rPr>
        <w:t>1g of sample</w:t>
      </w:r>
      <w:r w:rsidR="00AF327E" w:rsidRPr="00430F29">
        <w:rPr>
          <w:rFonts w:ascii="Times New Roman" w:hAnsi="Times New Roman" w:cs="Times New Roman"/>
          <w:bCs/>
          <w:color w:val="000000"/>
          <w:sz w:val="22"/>
        </w:rPr>
        <w:t xml:space="preserve"> was measured</w:t>
      </w:r>
      <w:r w:rsidRPr="00430F29">
        <w:rPr>
          <w:rFonts w:ascii="Times New Roman" w:hAnsi="Times New Roman" w:cs="Times New Roman"/>
          <w:bCs/>
          <w:color w:val="000000"/>
          <w:sz w:val="22"/>
        </w:rPr>
        <w:t xml:space="preserve"> int</w:t>
      </w:r>
      <w:r w:rsidR="00AF327E" w:rsidRPr="00430F29">
        <w:rPr>
          <w:rFonts w:ascii="Times New Roman" w:hAnsi="Times New Roman" w:cs="Times New Roman"/>
          <w:bCs/>
          <w:color w:val="000000"/>
          <w:sz w:val="22"/>
        </w:rPr>
        <w:t xml:space="preserve">o the Kjeldahl digestion flask and </w:t>
      </w:r>
      <w:r w:rsidRPr="00430F29">
        <w:rPr>
          <w:rFonts w:ascii="Times New Roman" w:hAnsi="Times New Roman" w:cs="Times New Roman"/>
          <w:bCs/>
          <w:color w:val="000000"/>
          <w:sz w:val="22"/>
        </w:rPr>
        <w:t>12-15 mL of con</w:t>
      </w:r>
      <w:r w:rsidR="00AF327E" w:rsidRPr="00430F29">
        <w:rPr>
          <w:rFonts w:ascii="Times New Roman" w:hAnsi="Times New Roman" w:cs="Times New Roman"/>
          <w:bCs/>
          <w:color w:val="000000"/>
          <w:sz w:val="22"/>
        </w:rPr>
        <w:t>centrated sulfuric acid (H2SO4) was</w:t>
      </w:r>
      <w:r w:rsidRPr="00430F29">
        <w:rPr>
          <w:rFonts w:ascii="Times New Roman" w:hAnsi="Times New Roman" w:cs="Times New Roman"/>
          <w:bCs/>
          <w:color w:val="000000"/>
          <w:sz w:val="22"/>
        </w:rPr>
        <w:t xml:space="preserve"> </w:t>
      </w:r>
      <w:r w:rsidR="00AF327E" w:rsidRPr="00430F29">
        <w:rPr>
          <w:rFonts w:ascii="Times New Roman" w:hAnsi="Times New Roman" w:cs="Times New Roman"/>
          <w:bCs/>
          <w:color w:val="000000"/>
          <w:sz w:val="22"/>
        </w:rPr>
        <w:t>add. T</w:t>
      </w:r>
      <w:r w:rsidRPr="00430F29">
        <w:rPr>
          <w:rFonts w:ascii="Times New Roman" w:hAnsi="Times New Roman" w:cs="Times New Roman"/>
          <w:bCs/>
          <w:color w:val="000000"/>
          <w:sz w:val="22"/>
        </w:rPr>
        <w:t xml:space="preserve">he mixture in the flask </w:t>
      </w:r>
      <w:r w:rsidR="00AF327E" w:rsidRPr="00430F29">
        <w:rPr>
          <w:rFonts w:ascii="Times New Roman" w:hAnsi="Times New Roman" w:cs="Times New Roman"/>
          <w:bCs/>
          <w:color w:val="000000"/>
          <w:sz w:val="22"/>
        </w:rPr>
        <w:t>was heated until white fumes could</w:t>
      </w:r>
      <w:r w:rsidR="00D80DB2" w:rsidRPr="00430F29">
        <w:rPr>
          <w:rFonts w:ascii="Times New Roman" w:hAnsi="Times New Roman" w:cs="Times New Roman"/>
          <w:bCs/>
          <w:color w:val="000000"/>
          <w:sz w:val="22"/>
        </w:rPr>
        <w:t xml:space="preserve"> be seen. Heating</w:t>
      </w:r>
      <w:r w:rsidRPr="00430F29">
        <w:rPr>
          <w:rFonts w:ascii="Times New Roman" w:hAnsi="Times New Roman" w:cs="Times New Roman"/>
          <w:bCs/>
          <w:color w:val="000000"/>
          <w:sz w:val="22"/>
        </w:rPr>
        <w:t xml:space="preserve"> continue</w:t>
      </w:r>
      <w:r w:rsidR="00D80DB2" w:rsidRPr="00430F29">
        <w:rPr>
          <w:rFonts w:ascii="Times New Roman" w:hAnsi="Times New Roman" w:cs="Times New Roman"/>
          <w:bCs/>
          <w:color w:val="000000"/>
          <w:sz w:val="22"/>
        </w:rPr>
        <w:t xml:space="preserve">d </w:t>
      </w:r>
      <w:r w:rsidRPr="00430F29">
        <w:rPr>
          <w:rFonts w:ascii="Times New Roman" w:hAnsi="Times New Roman" w:cs="Times New Roman"/>
          <w:bCs/>
          <w:color w:val="000000"/>
          <w:sz w:val="22"/>
        </w:rPr>
        <w:t xml:space="preserve">for about 60-90 minutes. 250mL of distilled water </w:t>
      </w:r>
      <w:r w:rsidR="00D80DB2" w:rsidRPr="00430F29">
        <w:rPr>
          <w:rFonts w:ascii="Times New Roman" w:hAnsi="Times New Roman" w:cs="Times New Roman"/>
          <w:bCs/>
          <w:color w:val="000000"/>
          <w:sz w:val="22"/>
        </w:rPr>
        <w:t xml:space="preserve"> was cautiously added </w:t>
      </w:r>
      <w:r w:rsidRPr="00430F29">
        <w:rPr>
          <w:rFonts w:ascii="Times New Roman" w:hAnsi="Times New Roman" w:cs="Times New Roman"/>
          <w:bCs/>
          <w:color w:val="000000"/>
          <w:sz w:val="22"/>
        </w:rPr>
        <w:t>to cool the flask.</w:t>
      </w:r>
    </w:p>
    <w:p w14:paraId="2D571B7F" w14:textId="77777777" w:rsidR="00613935" w:rsidRPr="00430F29" w:rsidRDefault="00613935" w:rsidP="00430F29">
      <w:pPr>
        <w:spacing w:after="0" w:line="240" w:lineRule="auto"/>
        <w:jc w:val="both"/>
        <w:rPr>
          <w:rFonts w:ascii="Times New Roman" w:hAnsi="Times New Roman" w:cs="Times New Roman"/>
          <w:b/>
          <w:bCs/>
          <w:color w:val="000000"/>
          <w:sz w:val="22"/>
        </w:rPr>
      </w:pPr>
      <w:r w:rsidRPr="00430F29">
        <w:rPr>
          <w:rFonts w:ascii="Times New Roman" w:hAnsi="Times New Roman" w:cs="Times New Roman"/>
          <w:b/>
          <w:bCs/>
          <w:color w:val="000000"/>
          <w:sz w:val="22"/>
        </w:rPr>
        <w:t>Distillation</w:t>
      </w:r>
      <w:r w:rsidR="00B5666E" w:rsidRPr="00430F29">
        <w:rPr>
          <w:rFonts w:ascii="Times New Roman" w:hAnsi="Times New Roman" w:cs="Times New Roman"/>
          <w:b/>
          <w:bCs/>
          <w:color w:val="000000"/>
          <w:sz w:val="22"/>
        </w:rPr>
        <w:t xml:space="preserve">: </w:t>
      </w:r>
      <w:r w:rsidRPr="00430F29">
        <w:rPr>
          <w:rFonts w:ascii="Times New Roman" w:hAnsi="Times New Roman" w:cs="Times New Roman"/>
          <w:bCs/>
          <w:color w:val="000000"/>
          <w:sz w:val="22"/>
        </w:rPr>
        <w:t>The distilling set of Kjeldahl apparatus is thoroughly washed with distilled water before starting the distillation. In a measuring cylinder 60mL of 40% NaOH is taken and is carefully poured down the side of the Kjeldahl flask.The mouth of the flask is closed with a stopper containing connective tube, which is ultimately connected to the ammonia-receiving flask containing 25mL boric acid solution having methyl red as the indicator. Heat is applied to the flask to allow the mixture boil causing the ammonia contained in the sample to be collected in the boric acid solution containing methyl red. A strong yellow colour indicates successful distillation.</w:t>
      </w:r>
    </w:p>
    <w:p w14:paraId="01C69EEC" w14:textId="77777777" w:rsidR="00613935" w:rsidRPr="00430F29" w:rsidRDefault="00613935" w:rsidP="00430F29">
      <w:pPr>
        <w:spacing w:after="0" w:line="240" w:lineRule="auto"/>
        <w:jc w:val="both"/>
        <w:rPr>
          <w:rFonts w:ascii="Times New Roman" w:hAnsi="Times New Roman" w:cs="Times New Roman"/>
          <w:b/>
          <w:bCs/>
          <w:color w:val="000000"/>
          <w:sz w:val="22"/>
        </w:rPr>
      </w:pPr>
      <w:r w:rsidRPr="00430F29">
        <w:rPr>
          <w:rFonts w:ascii="Times New Roman" w:hAnsi="Times New Roman" w:cs="Times New Roman"/>
          <w:b/>
          <w:bCs/>
          <w:color w:val="000000"/>
          <w:sz w:val="22"/>
        </w:rPr>
        <w:t>Titration</w:t>
      </w:r>
      <w:r w:rsidR="00B5666E" w:rsidRPr="00430F29">
        <w:rPr>
          <w:rFonts w:ascii="Times New Roman" w:hAnsi="Times New Roman" w:cs="Times New Roman"/>
          <w:b/>
          <w:bCs/>
          <w:color w:val="000000"/>
          <w:sz w:val="22"/>
        </w:rPr>
        <w:t xml:space="preserve">: </w:t>
      </w:r>
      <w:r w:rsidRPr="00430F29">
        <w:rPr>
          <w:rFonts w:ascii="Times New Roman" w:hAnsi="Times New Roman" w:cs="Times New Roman"/>
          <w:bCs/>
          <w:color w:val="000000"/>
          <w:sz w:val="22"/>
        </w:rPr>
        <w:t>The ammonia absorbed in the receiving flask containing receiver solution was titrated with 0.1 N HCl. Similarly, a reagent blank was distilled and titrated. The protein content of the sample on the basis of percentage is calculated as follows:</w:t>
      </w:r>
    </w:p>
    <w:p w14:paraId="3BCB77A9" w14:textId="77777777" w:rsidR="00613935" w:rsidRPr="00430F29" w:rsidRDefault="00613935" w:rsidP="00430F29">
      <w:pPr>
        <w:spacing w:after="0" w:line="240" w:lineRule="auto"/>
        <w:ind w:left="567"/>
        <w:jc w:val="both"/>
        <w:rPr>
          <w:rFonts w:ascii="Cambria Math" w:hAnsi="Cambria Math" w:cs="Times New Roman"/>
          <w:color w:val="000000"/>
          <w:sz w:val="22"/>
          <w:oMath/>
        </w:rPr>
      </w:pPr>
      <m:oMathPara>
        <m:oMath>
          <m:r>
            <w:rPr>
              <w:rFonts w:ascii="Cambria Math" w:hAnsi="Cambria Math" w:cs="Times New Roman"/>
              <w:color w:val="000000"/>
              <w:sz w:val="22"/>
            </w:rPr>
            <m:t>percent of protein=</m:t>
          </m:r>
          <m:f>
            <m:fPr>
              <m:ctrlPr>
                <w:rPr>
                  <w:rFonts w:ascii="Cambria Math" w:hAnsi="Cambria Math" w:cs="Times New Roman"/>
                  <w:bCs/>
                  <w:i/>
                  <w:color w:val="000000"/>
                  <w:sz w:val="22"/>
                </w:rPr>
              </m:ctrlPr>
            </m:fPr>
            <m:num>
              <m:d>
                <m:dPr>
                  <m:ctrlPr>
                    <w:rPr>
                      <w:rFonts w:ascii="Cambria Math" w:hAnsi="Cambria Math" w:cs="Times New Roman"/>
                      <w:bCs/>
                      <w:i/>
                      <w:color w:val="000000"/>
                      <w:sz w:val="22"/>
                    </w:rPr>
                  </m:ctrlPr>
                </m:dPr>
                <m:e>
                  <m:r>
                    <w:rPr>
                      <w:rFonts w:ascii="Cambria Math" w:hAnsi="Cambria Math" w:cs="Times New Roman"/>
                      <w:color w:val="000000"/>
                      <w:sz w:val="22"/>
                    </w:rPr>
                    <m:t>c-b</m:t>
                  </m:r>
                </m:e>
              </m:d>
              <m:r>
                <w:rPr>
                  <w:rFonts w:ascii="Cambria Math" w:hAnsi="Cambria Math" w:cs="Times New Roman"/>
                  <w:color w:val="000000"/>
                  <w:sz w:val="22"/>
                </w:rPr>
                <m:t>×14×d×6.25</m:t>
              </m:r>
            </m:num>
            <m:den>
              <m:r>
                <w:rPr>
                  <w:rFonts w:ascii="Cambria Math" w:hAnsi="Cambria Math" w:cs="Times New Roman"/>
                  <w:color w:val="000000"/>
                  <w:sz w:val="22"/>
                </w:rPr>
                <m:t>a</m:t>
              </m:r>
            </m:den>
          </m:f>
          <m:r>
            <w:rPr>
              <w:rFonts w:ascii="Cambria Math" w:hAnsi="Cambria Math" w:cs="Times New Roman"/>
              <w:color w:val="000000"/>
              <w:sz w:val="22"/>
            </w:rPr>
            <m:t>×100</m:t>
          </m:r>
        </m:oMath>
      </m:oMathPara>
    </w:p>
    <w:p w14:paraId="07BA6385"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Where,</w:t>
      </w:r>
    </w:p>
    <w:p w14:paraId="1488969F"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a = sample weight in g.</w:t>
      </w:r>
    </w:p>
    <w:p w14:paraId="5707192B"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b= volume of the sodium hydroxide required for the back titration.</w:t>
      </w:r>
    </w:p>
    <w:p w14:paraId="465D646E"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c= volume of sodium hydroxide required for the back titration and to neutralize 20 mL of 0.1 N H2SO4 (for blank).</w:t>
      </w:r>
    </w:p>
    <w:p w14:paraId="07E2B9B0"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d= Normality of NaOH used for titration.</w:t>
      </w:r>
    </w:p>
    <w:p w14:paraId="1FFA53BB"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6.25= conversion factor of nitrogen to protein</w:t>
      </w:r>
    </w:p>
    <w:p w14:paraId="616AE8A6"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14= atomic weight of nitrogen.</w:t>
      </w:r>
    </w:p>
    <w:p w14:paraId="5D6C1F97" w14:textId="77777777" w:rsidR="00613935" w:rsidRPr="00430F29" w:rsidRDefault="00702A92" w:rsidP="00BB321D">
      <w:pPr>
        <w:pStyle w:val="Heading1"/>
      </w:pPr>
      <w:bookmarkStart w:id="10" w:name="_Toc188277505"/>
      <w:r w:rsidRPr="00430F29">
        <w:t xml:space="preserve">2.3.4 </w:t>
      </w:r>
      <w:r w:rsidR="00B5666E" w:rsidRPr="00430F29">
        <w:t xml:space="preserve">Determination of </w:t>
      </w:r>
      <w:r w:rsidR="00613935" w:rsidRPr="00430F29">
        <w:t>Crude Fat</w:t>
      </w:r>
      <w:bookmarkEnd w:id="10"/>
    </w:p>
    <w:p w14:paraId="1804C44A"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Crude fat was determined according to the AOAC, 2005 technique. The procedure is as follows</w:t>
      </w:r>
      <w:r w:rsidRPr="00430F29">
        <w:rPr>
          <w:rFonts w:ascii="Times New Roman" w:hAnsi="Times New Roman" w:cs="Times New Roman"/>
          <w:b/>
          <w:bCs/>
          <w:color w:val="000000"/>
          <w:sz w:val="22"/>
        </w:rPr>
        <w:t>:</w:t>
      </w:r>
      <w:r w:rsidR="00813643"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rPr>
        <w:t xml:space="preserve">Approximately 10g of sample is taken in a thimble which is then placed in the extraction tube of Soxhlet apparatus. The temperature of the heater is adjusted to allow continuous drop of petroleum ether to fall on the sample in the extraction tube. This took over 16 hours to allow for proper extraction. After which the sample is removed and solvent is evaporated under fume hood. </w:t>
      </w:r>
    </w:p>
    <w:p w14:paraId="09EB1BF5"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The extract is completely dried in oven for about 30 minutes at 105</w:t>
      </w:r>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C. The weight of extract is recorded after cooling in desiccators. The crude fat content of sample is calculated as follows:</w:t>
      </w:r>
    </w:p>
    <w:p w14:paraId="1B9C4E03"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m:oMathPara>
        <m:oMath>
          <m:r>
            <w:rPr>
              <w:rFonts w:ascii="Cambria Math" w:hAnsi="Cambria Math" w:cs="Times New Roman"/>
              <w:color w:val="000000"/>
              <w:sz w:val="22"/>
            </w:rPr>
            <m:t>crude fat percen=</m:t>
          </m:r>
          <m:f>
            <m:fPr>
              <m:ctrlPr>
                <w:rPr>
                  <w:rFonts w:ascii="Cambria Math" w:hAnsi="Cambria Math" w:cs="Times New Roman"/>
                  <w:bCs/>
                  <w:i/>
                  <w:color w:val="000000"/>
                  <w:sz w:val="22"/>
                </w:rPr>
              </m:ctrlPr>
            </m:fPr>
            <m:num>
              <m:r>
                <w:rPr>
                  <w:rFonts w:ascii="Cambria Math" w:hAnsi="Cambria Math" w:cs="Times New Roman"/>
                  <w:color w:val="000000"/>
                  <w:sz w:val="22"/>
                </w:rPr>
                <m:t>weight of fat extract</m:t>
              </m:r>
              <m:d>
                <m:dPr>
                  <m:ctrlPr>
                    <w:rPr>
                      <w:rFonts w:ascii="Cambria Math" w:hAnsi="Cambria Math" w:cs="Times New Roman"/>
                      <w:bCs/>
                      <w:i/>
                      <w:color w:val="000000"/>
                      <w:sz w:val="22"/>
                    </w:rPr>
                  </m:ctrlPr>
                </m:dPr>
                <m:e>
                  <m:r>
                    <w:rPr>
                      <w:rFonts w:ascii="Cambria Math" w:hAnsi="Cambria Math" w:cs="Times New Roman"/>
                      <w:color w:val="000000"/>
                      <w:sz w:val="22"/>
                    </w:rPr>
                    <m:t>g</m:t>
                  </m:r>
                </m:e>
              </m:d>
            </m:num>
            <m:den>
              <m:r>
                <w:rPr>
                  <w:rFonts w:ascii="Cambria Math" w:hAnsi="Cambria Math" w:cs="Times New Roman"/>
                  <w:color w:val="000000"/>
                  <w:sz w:val="22"/>
                </w:rPr>
                <m:t>weight of sample taken</m:t>
              </m:r>
              <m:d>
                <m:dPr>
                  <m:ctrlPr>
                    <w:rPr>
                      <w:rFonts w:ascii="Cambria Math" w:hAnsi="Cambria Math" w:cs="Times New Roman"/>
                      <w:bCs/>
                      <w:i/>
                      <w:color w:val="000000"/>
                      <w:sz w:val="22"/>
                    </w:rPr>
                  </m:ctrlPr>
                </m:dPr>
                <m:e>
                  <m:r>
                    <w:rPr>
                      <w:rFonts w:ascii="Cambria Math" w:hAnsi="Cambria Math" w:cs="Times New Roman"/>
                      <w:color w:val="000000"/>
                      <w:sz w:val="22"/>
                    </w:rPr>
                    <m:t>g</m:t>
                  </m:r>
                </m:e>
              </m:d>
            </m:den>
          </m:f>
          <m:r>
            <w:rPr>
              <w:rFonts w:ascii="Cambria Math" w:hAnsi="Cambria Math" w:cs="Times New Roman"/>
              <w:color w:val="000000"/>
              <w:sz w:val="22"/>
            </w:rPr>
            <m:t>×100</m:t>
          </m:r>
        </m:oMath>
      </m:oMathPara>
    </w:p>
    <w:p w14:paraId="566991EB" w14:textId="77777777" w:rsidR="00613935" w:rsidRPr="00430F29" w:rsidRDefault="00702A92" w:rsidP="00BB321D">
      <w:pPr>
        <w:pStyle w:val="Heading1"/>
      </w:pPr>
      <w:bookmarkStart w:id="11" w:name="_Toc188277506"/>
      <w:r w:rsidRPr="00430F29">
        <w:t xml:space="preserve">2.3.5 </w:t>
      </w:r>
      <w:r w:rsidR="00B5666E" w:rsidRPr="00430F29">
        <w:t xml:space="preserve">Determination of </w:t>
      </w:r>
      <w:r w:rsidR="00613935" w:rsidRPr="00430F29">
        <w:t>Crude Fiber</w:t>
      </w:r>
      <w:bookmarkEnd w:id="11"/>
    </w:p>
    <w:p w14:paraId="2B0FD37E"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Crude fiber was determined according to the AOAC, 2005 technique. The procedure is as follows</w:t>
      </w:r>
      <w:r w:rsidRPr="00430F29">
        <w:rPr>
          <w:rFonts w:ascii="Times New Roman" w:hAnsi="Times New Roman" w:cs="Times New Roman"/>
          <w:b/>
          <w:bCs/>
          <w:color w:val="000000"/>
          <w:sz w:val="22"/>
        </w:rPr>
        <w:t>:</w:t>
      </w:r>
      <w:r w:rsidR="00B5666E"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rPr>
        <w:t>3g of moisture and fat free sample</w:t>
      </w:r>
      <w:r w:rsidR="00B5666E" w:rsidRPr="00430F29">
        <w:rPr>
          <w:rFonts w:ascii="Times New Roman" w:hAnsi="Times New Roman" w:cs="Times New Roman"/>
          <w:bCs/>
          <w:color w:val="000000"/>
          <w:sz w:val="22"/>
        </w:rPr>
        <w:t xml:space="preserve"> was added into a 1000 m</w:t>
      </w:r>
      <w:r w:rsidRPr="00430F29">
        <w:rPr>
          <w:rFonts w:ascii="Times New Roman" w:hAnsi="Times New Roman" w:cs="Times New Roman"/>
          <w:bCs/>
          <w:color w:val="000000"/>
          <w:sz w:val="22"/>
        </w:rPr>
        <w:t xml:space="preserve">l beaker, </w:t>
      </w:r>
      <w:r w:rsidR="00ED42F0" w:rsidRPr="00430F29">
        <w:rPr>
          <w:rFonts w:ascii="Times New Roman" w:hAnsi="Times New Roman" w:cs="Times New Roman"/>
          <w:bCs/>
          <w:color w:val="000000"/>
          <w:sz w:val="22"/>
        </w:rPr>
        <w:t>200 m</w:t>
      </w:r>
      <w:r w:rsidRPr="00430F29">
        <w:rPr>
          <w:rFonts w:ascii="Times New Roman" w:hAnsi="Times New Roman" w:cs="Times New Roman"/>
          <w:bCs/>
          <w:color w:val="000000"/>
          <w:sz w:val="22"/>
        </w:rPr>
        <w:t>l of 1.25 sulfuric acid</w:t>
      </w:r>
      <w:r w:rsidR="00ED42F0" w:rsidRPr="00430F29">
        <w:rPr>
          <w:rFonts w:ascii="Times New Roman" w:hAnsi="Times New Roman" w:cs="Times New Roman"/>
          <w:bCs/>
          <w:color w:val="000000"/>
          <w:sz w:val="22"/>
        </w:rPr>
        <w:t xml:space="preserve"> was then added. This wa</w:t>
      </w:r>
      <w:r w:rsidRPr="00430F29">
        <w:rPr>
          <w:rFonts w:ascii="Times New Roman" w:hAnsi="Times New Roman" w:cs="Times New Roman"/>
          <w:bCs/>
          <w:color w:val="000000"/>
          <w:sz w:val="22"/>
        </w:rPr>
        <w:t xml:space="preserve">s boiled for 30 minutes with constant stirring. After which, the content </w:t>
      </w:r>
      <w:r w:rsidR="00ED42F0" w:rsidRPr="00430F29">
        <w:rPr>
          <w:rFonts w:ascii="Times New Roman" w:hAnsi="Times New Roman" w:cs="Times New Roman"/>
          <w:bCs/>
          <w:color w:val="000000"/>
          <w:sz w:val="22"/>
        </w:rPr>
        <w:t xml:space="preserve">was filtered </w:t>
      </w:r>
      <w:r w:rsidRPr="00430F29">
        <w:rPr>
          <w:rFonts w:ascii="Times New Roman" w:hAnsi="Times New Roman" w:cs="Times New Roman"/>
          <w:bCs/>
          <w:color w:val="000000"/>
          <w:sz w:val="22"/>
        </w:rPr>
        <w:t>while still warm giving 2-3 washin</w:t>
      </w:r>
      <w:r w:rsidR="00ED42F0" w:rsidRPr="00430F29">
        <w:rPr>
          <w:rFonts w:ascii="Times New Roman" w:hAnsi="Times New Roman" w:cs="Times New Roman"/>
          <w:bCs/>
          <w:color w:val="000000"/>
          <w:sz w:val="22"/>
        </w:rPr>
        <w:t>gs with warm water until it became</w:t>
      </w:r>
      <w:r w:rsidRPr="00430F29">
        <w:rPr>
          <w:rFonts w:ascii="Times New Roman" w:hAnsi="Times New Roman" w:cs="Times New Roman"/>
          <w:bCs/>
          <w:color w:val="000000"/>
          <w:sz w:val="22"/>
        </w:rPr>
        <w:t xml:space="preserve"> alkali free.The residu</w:t>
      </w:r>
      <w:r w:rsidR="00ED42F0" w:rsidRPr="00430F29">
        <w:rPr>
          <w:rFonts w:ascii="Times New Roman" w:hAnsi="Times New Roman" w:cs="Times New Roman"/>
          <w:bCs/>
          <w:color w:val="000000"/>
          <w:sz w:val="22"/>
        </w:rPr>
        <w:t>e wa</w:t>
      </w:r>
      <w:r w:rsidRPr="00430F29">
        <w:rPr>
          <w:rFonts w:ascii="Times New Roman" w:hAnsi="Times New Roman" w:cs="Times New Roman"/>
          <w:bCs/>
          <w:color w:val="000000"/>
          <w:sz w:val="22"/>
        </w:rPr>
        <w:t>s carefully transferred into a crucible and</w:t>
      </w:r>
      <w:r w:rsidR="00ED42F0" w:rsidRPr="00430F29">
        <w:rPr>
          <w:rFonts w:ascii="Times New Roman" w:hAnsi="Times New Roman" w:cs="Times New Roman"/>
          <w:bCs/>
          <w:color w:val="000000"/>
          <w:sz w:val="22"/>
        </w:rPr>
        <w:t xml:space="preserve"> the weight taken (W1). Then dried</w:t>
      </w:r>
      <w:r w:rsidRPr="00430F29">
        <w:rPr>
          <w:rFonts w:ascii="Times New Roman" w:hAnsi="Times New Roman" w:cs="Times New Roman"/>
          <w:bCs/>
          <w:color w:val="000000"/>
          <w:sz w:val="22"/>
        </w:rPr>
        <w:t xml:space="preserve"> in the oven at 100</w:t>
      </w:r>
      <w:r w:rsidR="00ED42F0"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C until smoke cease</w:t>
      </w:r>
      <w:r w:rsidR="00ED42F0" w:rsidRPr="00430F29">
        <w:rPr>
          <w:rFonts w:ascii="Times New Roman" w:hAnsi="Times New Roman" w:cs="Times New Roman"/>
          <w:bCs/>
          <w:color w:val="000000"/>
          <w:sz w:val="22"/>
        </w:rPr>
        <w:t>d to come out, which took</w:t>
      </w:r>
      <w:r w:rsidRPr="00430F29">
        <w:rPr>
          <w:rFonts w:ascii="Times New Roman" w:hAnsi="Times New Roman" w:cs="Times New Roman"/>
          <w:bCs/>
          <w:color w:val="000000"/>
          <w:sz w:val="22"/>
        </w:rPr>
        <w:t xml:space="preserve"> 3-4 hours. </w:t>
      </w:r>
      <w:r w:rsidR="00ED42F0" w:rsidRPr="00430F29">
        <w:rPr>
          <w:rFonts w:ascii="Times New Roman" w:hAnsi="Times New Roman" w:cs="Times New Roman"/>
          <w:bCs/>
          <w:color w:val="000000"/>
          <w:sz w:val="22"/>
        </w:rPr>
        <w:t>It was w</w:t>
      </w:r>
      <w:r w:rsidRPr="00430F29">
        <w:rPr>
          <w:rFonts w:ascii="Times New Roman" w:hAnsi="Times New Roman" w:cs="Times New Roman"/>
          <w:bCs/>
          <w:color w:val="000000"/>
          <w:sz w:val="22"/>
        </w:rPr>
        <w:t>eigh</w:t>
      </w:r>
      <w:r w:rsidR="00ED42F0" w:rsidRPr="00430F29">
        <w:rPr>
          <w:rFonts w:ascii="Times New Roman" w:hAnsi="Times New Roman" w:cs="Times New Roman"/>
          <w:bCs/>
          <w:color w:val="000000"/>
          <w:sz w:val="22"/>
        </w:rPr>
        <w:t>ed</w:t>
      </w:r>
      <w:r w:rsidRPr="00430F29">
        <w:rPr>
          <w:rFonts w:ascii="Times New Roman" w:hAnsi="Times New Roman" w:cs="Times New Roman"/>
          <w:bCs/>
          <w:color w:val="000000"/>
          <w:sz w:val="22"/>
        </w:rPr>
        <w:t xml:space="preserve"> again after drying (W2). </w:t>
      </w:r>
      <w:r w:rsidR="00ED42F0" w:rsidRPr="00430F29">
        <w:rPr>
          <w:rFonts w:ascii="Times New Roman" w:hAnsi="Times New Roman" w:cs="Times New Roman"/>
          <w:bCs/>
          <w:color w:val="000000"/>
          <w:sz w:val="22"/>
        </w:rPr>
        <w:t>T</w:t>
      </w:r>
      <w:r w:rsidRPr="00430F29">
        <w:rPr>
          <w:rFonts w:ascii="Times New Roman" w:hAnsi="Times New Roman" w:cs="Times New Roman"/>
          <w:bCs/>
          <w:color w:val="000000"/>
          <w:sz w:val="22"/>
        </w:rPr>
        <w:t>he sample filled crucible</w:t>
      </w:r>
      <w:r w:rsidR="00ED42F0" w:rsidRPr="00430F29">
        <w:rPr>
          <w:rFonts w:ascii="Times New Roman" w:hAnsi="Times New Roman" w:cs="Times New Roman"/>
          <w:bCs/>
          <w:color w:val="000000"/>
          <w:sz w:val="22"/>
        </w:rPr>
        <w:t xml:space="preserve"> was placed</w:t>
      </w:r>
      <w:r w:rsidRPr="00430F29">
        <w:rPr>
          <w:rFonts w:ascii="Times New Roman" w:hAnsi="Times New Roman" w:cs="Times New Roman"/>
          <w:bCs/>
          <w:color w:val="000000"/>
          <w:sz w:val="22"/>
        </w:rPr>
        <w:t xml:space="preserve"> into muffle furnace at 550</w:t>
      </w:r>
      <w:r w:rsidR="00ED42F0"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C for 4-5 hour</w:t>
      </w:r>
      <w:r w:rsidR="00ED42F0" w:rsidRPr="00430F29">
        <w:rPr>
          <w:rFonts w:ascii="Times New Roman" w:hAnsi="Times New Roman" w:cs="Times New Roman"/>
          <w:bCs/>
          <w:color w:val="000000"/>
          <w:sz w:val="22"/>
        </w:rPr>
        <w:t xml:space="preserve">s ensuring a grey coloured </w:t>
      </w:r>
      <w:r w:rsidR="00ED42F0" w:rsidRPr="00430F29">
        <w:rPr>
          <w:rFonts w:ascii="Times New Roman" w:hAnsi="Times New Roman" w:cs="Times New Roman"/>
          <w:bCs/>
          <w:color w:val="000000"/>
          <w:sz w:val="22"/>
        </w:rPr>
        <w:lastRenderedPageBreak/>
        <w:t>ash wa</w:t>
      </w:r>
      <w:r w:rsidRPr="00430F29">
        <w:rPr>
          <w:rFonts w:ascii="Times New Roman" w:hAnsi="Times New Roman" w:cs="Times New Roman"/>
          <w:bCs/>
          <w:color w:val="000000"/>
          <w:sz w:val="22"/>
        </w:rPr>
        <w:t xml:space="preserve">s obtained. </w:t>
      </w:r>
      <w:r w:rsidR="00ED42F0" w:rsidRPr="00430F29">
        <w:rPr>
          <w:rFonts w:ascii="Times New Roman" w:hAnsi="Times New Roman" w:cs="Times New Roman"/>
          <w:bCs/>
          <w:color w:val="000000"/>
          <w:sz w:val="22"/>
        </w:rPr>
        <w:t>This was c</w:t>
      </w:r>
      <w:r w:rsidRPr="00430F29">
        <w:rPr>
          <w:rFonts w:ascii="Times New Roman" w:hAnsi="Times New Roman" w:cs="Times New Roman"/>
          <w:bCs/>
          <w:color w:val="000000"/>
          <w:sz w:val="22"/>
        </w:rPr>
        <w:t>ool</w:t>
      </w:r>
      <w:r w:rsidR="00ED42F0" w:rsidRPr="00430F29">
        <w:rPr>
          <w:rFonts w:ascii="Times New Roman" w:hAnsi="Times New Roman" w:cs="Times New Roman"/>
          <w:bCs/>
          <w:color w:val="000000"/>
          <w:sz w:val="22"/>
        </w:rPr>
        <w:t>ed</w:t>
      </w:r>
      <w:r w:rsidRPr="00430F29">
        <w:rPr>
          <w:rFonts w:ascii="Times New Roman" w:hAnsi="Times New Roman" w:cs="Times New Roman"/>
          <w:bCs/>
          <w:color w:val="000000"/>
          <w:sz w:val="22"/>
        </w:rPr>
        <w:t xml:space="preserve"> in a desiccator and reweigh</w:t>
      </w:r>
      <w:r w:rsidR="00ED42F0" w:rsidRPr="00430F29">
        <w:rPr>
          <w:rFonts w:ascii="Times New Roman" w:hAnsi="Times New Roman" w:cs="Times New Roman"/>
          <w:bCs/>
          <w:color w:val="000000"/>
          <w:sz w:val="22"/>
        </w:rPr>
        <w:t>ed (W3). The crude fiber content wa</w:t>
      </w:r>
      <w:r w:rsidRPr="00430F29">
        <w:rPr>
          <w:rFonts w:ascii="Times New Roman" w:hAnsi="Times New Roman" w:cs="Times New Roman"/>
          <w:bCs/>
          <w:color w:val="000000"/>
          <w:sz w:val="22"/>
        </w:rPr>
        <w:t>s then calculated as follows:</w:t>
      </w:r>
    </w:p>
    <w:p w14:paraId="19314A90"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m:oMathPara>
        <m:oMath>
          <m:r>
            <w:rPr>
              <w:rFonts w:ascii="Cambria Math" w:hAnsi="Cambria Math" w:cs="Times New Roman"/>
              <w:color w:val="000000"/>
              <w:sz w:val="22"/>
            </w:rPr>
            <m:t>percent of crude fiber=</m:t>
          </m:r>
          <m:f>
            <m:fPr>
              <m:ctrlPr>
                <w:rPr>
                  <w:rFonts w:ascii="Cambria Math" w:hAnsi="Cambria Math" w:cs="Times New Roman"/>
                  <w:bCs/>
                  <w:i/>
                  <w:color w:val="000000"/>
                  <w:sz w:val="22"/>
                </w:rPr>
              </m:ctrlPr>
            </m:fPr>
            <m:num>
              <m:d>
                <m:dPr>
                  <m:ctrlPr>
                    <w:rPr>
                      <w:rFonts w:ascii="Cambria Math" w:hAnsi="Cambria Math" w:cs="Times New Roman"/>
                      <w:bCs/>
                      <w:i/>
                      <w:color w:val="000000"/>
                      <w:sz w:val="22"/>
                    </w:rPr>
                  </m:ctrlPr>
                </m:dPr>
                <m:e>
                  <m:r>
                    <w:rPr>
                      <w:rFonts w:ascii="Cambria Math" w:hAnsi="Cambria Math" w:cs="Times New Roman"/>
                      <w:color w:val="000000"/>
                      <w:sz w:val="22"/>
                    </w:rPr>
                    <m:t>W2-W1</m:t>
                  </m:r>
                </m:e>
              </m:d>
              <m:r>
                <w:rPr>
                  <w:rFonts w:ascii="Cambria Math" w:hAnsi="Cambria Math" w:cs="Times New Roman"/>
                  <w:color w:val="000000"/>
                  <w:sz w:val="22"/>
                </w:rPr>
                <m:t>-</m:t>
              </m:r>
              <m:d>
                <m:dPr>
                  <m:ctrlPr>
                    <w:rPr>
                      <w:rFonts w:ascii="Cambria Math" w:hAnsi="Cambria Math" w:cs="Times New Roman"/>
                      <w:bCs/>
                      <w:i/>
                      <w:color w:val="000000"/>
                      <w:sz w:val="22"/>
                    </w:rPr>
                  </m:ctrlPr>
                </m:dPr>
                <m:e>
                  <m:r>
                    <w:rPr>
                      <w:rFonts w:ascii="Cambria Math" w:hAnsi="Cambria Math" w:cs="Times New Roman"/>
                      <w:color w:val="000000"/>
                      <w:sz w:val="22"/>
                    </w:rPr>
                    <m:t>W3-W1</m:t>
                  </m:r>
                </m:e>
              </m:d>
            </m:num>
            <m:den>
              <m:r>
                <w:rPr>
                  <w:rFonts w:ascii="Cambria Math" w:hAnsi="Cambria Math" w:cs="Times New Roman"/>
                  <w:color w:val="000000"/>
                  <w:sz w:val="22"/>
                </w:rPr>
                <m:t>weight of sample</m:t>
              </m:r>
            </m:den>
          </m:f>
          <m:r>
            <w:rPr>
              <w:rFonts w:ascii="Cambria Math" w:hAnsi="Cambria Math" w:cs="Times New Roman"/>
              <w:color w:val="000000"/>
              <w:sz w:val="22"/>
            </w:rPr>
            <m:t>×100</m:t>
          </m:r>
        </m:oMath>
      </m:oMathPara>
    </w:p>
    <w:p w14:paraId="13063C39"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Where,</w:t>
      </w:r>
    </w:p>
    <w:p w14:paraId="71411C3D"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W1= weight of sample and crucible before drying</w:t>
      </w:r>
    </w:p>
    <w:p w14:paraId="69E53F94"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W2= weight after drying</w:t>
      </w:r>
    </w:p>
    <w:p w14:paraId="1AC4EE81"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W3= weight after ashing</w:t>
      </w:r>
    </w:p>
    <w:p w14:paraId="0FFE8742" w14:textId="77777777" w:rsidR="00613935" w:rsidRPr="00430F29" w:rsidRDefault="00702A92" w:rsidP="00BB321D">
      <w:pPr>
        <w:pStyle w:val="Heading1"/>
      </w:pPr>
      <w:r w:rsidRPr="00430F29">
        <w:t xml:space="preserve">2.4 </w:t>
      </w:r>
      <w:r w:rsidR="00613935" w:rsidRPr="00430F29">
        <w:t>Determination of Minerals and Heavy Metals</w:t>
      </w:r>
    </w:p>
    <w:p w14:paraId="3297B1E4"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b/>
          <w:sz w:val="22"/>
        </w:rPr>
      </w:pPr>
      <w:r w:rsidRPr="00430F29">
        <w:rPr>
          <w:rFonts w:ascii="Times New Roman" w:hAnsi="Times New Roman" w:cs="Times New Roman"/>
          <w:b/>
          <w:sz w:val="22"/>
        </w:rPr>
        <w:t>Analytical Technique</w:t>
      </w:r>
      <w:r w:rsidR="00702A92" w:rsidRPr="00430F29">
        <w:rPr>
          <w:rFonts w:ascii="Times New Roman" w:hAnsi="Times New Roman" w:cs="Times New Roman"/>
          <w:b/>
          <w:sz w:val="22"/>
        </w:rPr>
        <w:t xml:space="preserve">: </w:t>
      </w:r>
      <w:r w:rsidR="00ED42F0" w:rsidRPr="00430F29">
        <w:rPr>
          <w:rFonts w:ascii="Times New Roman" w:hAnsi="Times New Roman" w:cs="Times New Roman"/>
          <w:sz w:val="22"/>
        </w:rPr>
        <w:t xml:space="preserve">This involved the use of </w:t>
      </w:r>
      <w:r w:rsidRPr="00430F29">
        <w:rPr>
          <w:rFonts w:ascii="Times New Roman" w:hAnsi="Times New Roman" w:cs="Times New Roman"/>
          <w:sz w:val="22"/>
        </w:rPr>
        <w:t>Atomic Absorption Spectroscopy (AAS): Common for quantifying heavy metals in solutions. It measures the concentration of vaporized atoms based on light absorption.</w:t>
      </w:r>
    </w:p>
    <w:p w14:paraId="0090332D"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b/>
          <w:sz w:val="22"/>
        </w:rPr>
      </w:pPr>
      <w:r w:rsidRPr="00430F29">
        <w:rPr>
          <w:rFonts w:ascii="Times New Roman" w:hAnsi="Times New Roman" w:cs="Times New Roman"/>
          <w:b/>
          <w:sz w:val="22"/>
        </w:rPr>
        <w:t>Quality Control</w:t>
      </w:r>
      <w:r w:rsidR="00702A92" w:rsidRPr="00430F29">
        <w:rPr>
          <w:rFonts w:ascii="Times New Roman" w:hAnsi="Times New Roman" w:cs="Times New Roman"/>
          <w:b/>
          <w:sz w:val="22"/>
        </w:rPr>
        <w:t xml:space="preserve">: </w:t>
      </w:r>
      <w:r w:rsidRPr="00430F29">
        <w:rPr>
          <w:rFonts w:ascii="Times New Roman" w:hAnsi="Times New Roman" w:cs="Times New Roman"/>
          <w:bCs/>
          <w:sz w:val="22"/>
        </w:rPr>
        <w:t>Calibration:</w:t>
      </w:r>
      <w:r w:rsidRPr="00430F29">
        <w:rPr>
          <w:rFonts w:ascii="Times New Roman" w:hAnsi="Times New Roman" w:cs="Times New Roman"/>
          <w:sz w:val="22"/>
        </w:rPr>
        <w:t xml:space="preserve"> Regularly calibrate instruments using standard reference materials. Blank Samples: Run blanks to detect contamination during the analysis.</w:t>
      </w:r>
    </w:p>
    <w:p w14:paraId="3707F36E"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b/>
          <w:sz w:val="22"/>
        </w:rPr>
        <w:t>Replicates</w:t>
      </w:r>
      <w:r w:rsidRPr="00430F29">
        <w:rPr>
          <w:rFonts w:ascii="Times New Roman" w:hAnsi="Times New Roman" w:cs="Times New Roman"/>
          <w:sz w:val="22"/>
        </w:rPr>
        <w:t>: Analyzing multiple samples or duplicate samples ensures reliability and precision. Principles of Atomic Absorption Spectroscopy (AAS)</w:t>
      </w:r>
    </w:p>
    <w:p w14:paraId="471291A3"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1.</w:t>
      </w:r>
      <w:r w:rsidRPr="00430F29">
        <w:rPr>
          <w:rFonts w:ascii="Times New Roman" w:hAnsi="Times New Roman" w:cs="Times New Roman"/>
          <w:sz w:val="22"/>
        </w:rPr>
        <w:tab/>
        <w:t>Absorption of Light: AAS is based on the principle that free metal atoms absorb specific wavelengths of light. Each metal has a unique absorption spectrum, allowing for selective detection.</w:t>
      </w:r>
    </w:p>
    <w:p w14:paraId="2E69F4E1"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2.</w:t>
      </w:r>
      <w:r w:rsidRPr="00430F29">
        <w:rPr>
          <w:rFonts w:ascii="Times New Roman" w:hAnsi="Times New Roman" w:cs="Times New Roman"/>
          <w:sz w:val="22"/>
        </w:rPr>
        <w:tab/>
        <w:t>Atomization: The sample is first converted into a gaseous state (atomized), allowing individual metal atoms to interact with the light beam. This is done using a flame or a graphite furnace.</w:t>
      </w:r>
    </w:p>
    <w:p w14:paraId="31E42D56"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3.</w:t>
      </w:r>
      <w:r w:rsidRPr="00430F29">
        <w:rPr>
          <w:rFonts w:ascii="Times New Roman" w:hAnsi="Times New Roman" w:cs="Times New Roman"/>
          <w:sz w:val="22"/>
        </w:rPr>
        <w:tab/>
        <w:t>Light Source: A hollow cathode lamp specific to the metal being analyzed emits light. When light passes through the vaporized sample, only those wavelengths corresponding to the metal will be absorbed.</w:t>
      </w:r>
    </w:p>
    <w:p w14:paraId="19AC0EAA"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4.</w:t>
      </w:r>
      <w:r w:rsidRPr="00430F29">
        <w:rPr>
          <w:rFonts w:ascii="Times New Roman" w:hAnsi="Times New Roman" w:cs="Times New Roman"/>
          <w:sz w:val="22"/>
        </w:rPr>
        <w:tab/>
        <w:t>Detection: The amount of light absorbed is measured, typically using a photodetector. The absorption is proportional to the concentration of the metal in the sample based on Beer-Lambert Law.</w:t>
      </w:r>
    </w:p>
    <w:p w14:paraId="78BB621A"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b/>
          <w:sz w:val="22"/>
        </w:rPr>
      </w:pPr>
      <w:r w:rsidRPr="00430F29">
        <w:rPr>
          <w:rFonts w:ascii="Times New Roman" w:hAnsi="Times New Roman" w:cs="Times New Roman"/>
          <w:b/>
          <w:sz w:val="22"/>
        </w:rPr>
        <w:t>Procedures for AAS</w:t>
      </w:r>
    </w:p>
    <w:p w14:paraId="47AF7130"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1.</w:t>
      </w:r>
      <w:r w:rsidRPr="00430F29">
        <w:rPr>
          <w:rFonts w:ascii="Times New Roman" w:hAnsi="Times New Roman" w:cs="Times New Roman"/>
          <w:sz w:val="22"/>
        </w:rPr>
        <w:tab/>
        <w:t xml:space="preserve">Sample Preparation: Digestion: Solid samples (like food or soil) </w:t>
      </w:r>
      <w:r w:rsidR="00ED42F0" w:rsidRPr="00430F29">
        <w:rPr>
          <w:rFonts w:ascii="Times New Roman" w:hAnsi="Times New Roman" w:cs="Times New Roman"/>
          <w:sz w:val="22"/>
        </w:rPr>
        <w:t>were first</w:t>
      </w:r>
      <w:r w:rsidRPr="00430F29">
        <w:rPr>
          <w:rFonts w:ascii="Times New Roman" w:hAnsi="Times New Roman" w:cs="Times New Roman"/>
          <w:sz w:val="22"/>
        </w:rPr>
        <w:t xml:space="preserve"> digested (using acids) to release heavy metals into solution.</w:t>
      </w:r>
    </w:p>
    <w:p w14:paraId="30960E16"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 xml:space="preserve">Filtration: </w:t>
      </w:r>
      <w:r w:rsidR="00ED42F0" w:rsidRPr="00430F29">
        <w:rPr>
          <w:rFonts w:ascii="Times New Roman" w:hAnsi="Times New Roman" w:cs="Times New Roman"/>
          <w:sz w:val="22"/>
        </w:rPr>
        <w:t>Where</w:t>
      </w:r>
      <w:r w:rsidRPr="00430F29">
        <w:rPr>
          <w:rFonts w:ascii="Times New Roman" w:hAnsi="Times New Roman" w:cs="Times New Roman"/>
          <w:sz w:val="22"/>
        </w:rPr>
        <w:t xml:space="preserve"> necessary, the digested solution </w:t>
      </w:r>
      <w:r w:rsidR="00ED42F0" w:rsidRPr="00430F29">
        <w:rPr>
          <w:rFonts w:ascii="Times New Roman" w:hAnsi="Times New Roman" w:cs="Times New Roman"/>
          <w:sz w:val="22"/>
        </w:rPr>
        <w:t xml:space="preserve">were filtered </w:t>
      </w:r>
      <w:r w:rsidRPr="00430F29">
        <w:rPr>
          <w:rFonts w:ascii="Times New Roman" w:hAnsi="Times New Roman" w:cs="Times New Roman"/>
          <w:sz w:val="22"/>
        </w:rPr>
        <w:t>to remove particulate matter.</w:t>
      </w:r>
    </w:p>
    <w:p w14:paraId="07A73F0F"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2.</w:t>
      </w:r>
      <w:r w:rsidRPr="00430F29">
        <w:rPr>
          <w:rFonts w:ascii="Times New Roman" w:hAnsi="Times New Roman" w:cs="Times New Roman"/>
          <w:sz w:val="22"/>
        </w:rPr>
        <w:tab/>
        <w:t xml:space="preserve">Preparation of Standards: </w:t>
      </w:r>
      <w:r w:rsidR="00ED42F0" w:rsidRPr="00430F29">
        <w:rPr>
          <w:rFonts w:ascii="Times New Roman" w:hAnsi="Times New Roman" w:cs="Times New Roman"/>
          <w:sz w:val="22"/>
        </w:rPr>
        <w:t>C</w:t>
      </w:r>
      <w:r w:rsidRPr="00430F29">
        <w:rPr>
          <w:rFonts w:ascii="Times New Roman" w:hAnsi="Times New Roman" w:cs="Times New Roman"/>
          <w:sz w:val="22"/>
        </w:rPr>
        <w:t xml:space="preserve">alibration standards </w:t>
      </w:r>
      <w:r w:rsidR="00ED42F0" w:rsidRPr="00430F29">
        <w:rPr>
          <w:rFonts w:ascii="Times New Roman" w:hAnsi="Times New Roman" w:cs="Times New Roman"/>
          <w:sz w:val="22"/>
        </w:rPr>
        <w:t xml:space="preserve">were prepared </w:t>
      </w:r>
      <w:r w:rsidRPr="00430F29">
        <w:rPr>
          <w:rFonts w:ascii="Times New Roman" w:hAnsi="Times New Roman" w:cs="Times New Roman"/>
          <w:sz w:val="22"/>
        </w:rPr>
        <w:t>with known concentrations of the target metals. These standards help</w:t>
      </w:r>
      <w:r w:rsidR="00ED42F0" w:rsidRPr="00430F29">
        <w:rPr>
          <w:rFonts w:ascii="Times New Roman" w:hAnsi="Times New Roman" w:cs="Times New Roman"/>
          <w:sz w:val="22"/>
        </w:rPr>
        <w:t>ed</w:t>
      </w:r>
      <w:r w:rsidRPr="00430F29">
        <w:rPr>
          <w:rFonts w:ascii="Times New Roman" w:hAnsi="Times New Roman" w:cs="Times New Roman"/>
          <w:sz w:val="22"/>
        </w:rPr>
        <w:t xml:space="preserve"> create a calibration curve.</w:t>
      </w:r>
    </w:p>
    <w:p w14:paraId="362AC67E"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3.</w:t>
      </w:r>
      <w:r w:rsidRPr="00430F29">
        <w:rPr>
          <w:rFonts w:ascii="Times New Roman" w:hAnsi="Times New Roman" w:cs="Times New Roman"/>
          <w:sz w:val="22"/>
        </w:rPr>
        <w:tab/>
        <w:t xml:space="preserve">Instrument Setup: </w:t>
      </w:r>
      <w:r w:rsidR="00ED42F0" w:rsidRPr="00430F29">
        <w:rPr>
          <w:rFonts w:ascii="Times New Roman" w:hAnsi="Times New Roman" w:cs="Times New Roman"/>
          <w:sz w:val="22"/>
        </w:rPr>
        <w:t>T</w:t>
      </w:r>
      <w:r w:rsidRPr="00430F29">
        <w:rPr>
          <w:rFonts w:ascii="Times New Roman" w:hAnsi="Times New Roman" w:cs="Times New Roman"/>
          <w:sz w:val="22"/>
        </w:rPr>
        <w:t>he appropriate hollow cathode lamp</w:t>
      </w:r>
      <w:r w:rsidR="00ED42F0" w:rsidRPr="00430F29">
        <w:rPr>
          <w:rFonts w:ascii="Times New Roman" w:hAnsi="Times New Roman" w:cs="Times New Roman"/>
          <w:sz w:val="22"/>
        </w:rPr>
        <w:t xml:space="preserve"> was selected</w:t>
      </w:r>
      <w:r w:rsidRPr="00430F29">
        <w:rPr>
          <w:rFonts w:ascii="Times New Roman" w:hAnsi="Times New Roman" w:cs="Times New Roman"/>
          <w:sz w:val="22"/>
        </w:rPr>
        <w:t xml:space="preserve"> for the metal of interest. Set the wavelength corresponding to the metal's absorption line.</w:t>
      </w:r>
    </w:p>
    <w:p w14:paraId="220D916A"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4.</w:t>
      </w:r>
      <w:r w:rsidRPr="00430F29">
        <w:rPr>
          <w:rFonts w:ascii="Times New Roman" w:hAnsi="Times New Roman" w:cs="Times New Roman"/>
          <w:sz w:val="22"/>
        </w:rPr>
        <w:tab/>
        <w:t xml:space="preserve">Adjustment of Flame Conditions: </w:t>
      </w:r>
      <w:r w:rsidR="00ED42F0" w:rsidRPr="00430F29">
        <w:rPr>
          <w:rFonts w:ascii="Times New Roman" w:hAnsi="Times New Roman" w:cs="Times New Roman"/>
          <w:sz w:val="22"/>
        </w:rPr>
        <w:t>T</w:t>
      </w:r>
      <w:r w:rsidRPr="00430F29">
        <w:rPr>
          <w:rFonts w:ascii="Times New Roman" w:hAnsi="Times New Roman" w:cs="Times New Roman"/>
          <w:sz w:val="22"/>
        </w:rPr>
        <w:t>he appropriate flame type (air-acetylene or nitrous oxide-acetylene) or graphite furnace conditions for atomization</w:t>
      </w:r>
      <w:r w:rsidR="00ED42F0" w:rsidRPr="00430F29">
        <w:rPr>
          <w:rFonts w:ascii="Times New Roman" w:hAnsi="Times New Roman" w:cs="Times New Roman"/>
          <w:sz w:val="22"/>
        </w:rPr>
        <w:t xml:space="preserve"> was chosen</w:t>
      </w:r>
      <w:r w:rsidRPr="00430F29">
        <w:rPr>
          <w:rFonts w:ascii="Times New Roman" w:hAnsi="Times New Roman" w:cs="Times New Roman"/>
          <w:sz w:val="22"/>
        </w:rPr>
        <w:t>.</w:t>
      </w:r>
    </w:p>
    <w:p w14:paraId="7D90477A"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5.</w:t>
      </w:r>
      <w:r w:rsidRPr="00430F29">
        <w:rPr>
          <w:rFonts w:ascii="Times New Roman" w:hAnsi="Times New Roman" w:cs="Times New Roman"/>
          <w:sz w:val="22"/>
        </w:rPr>
        <w:tab/>
        <w:t>Running the Samples: Aspiration of samples into the</w:t>
      </w:r>
      <w:r w:rsidR="00ED42F0" w:rsidRPr="00430F29">
        <w:rPr>
          <w:rFonts w:ascii="Times New Roman" w:hAnsi="Times New Roman" w:cs="Times New Roman"/>
          <w:sz w:val="22"/>
        </w:rPr>
        <w:t xml:space="preserve"> flame or furnace wa</w:t>
      </w:r>
      <w:r w:rsidRPr="00430F29">
        <w:rPr>
          <w:rFonts w:ascii="Times New Roman" w:hAnsi="Times New Roman" w:cs="Times New Roman"/>
          <w:sz w:val="22"/>
        </w:rPr>
        <w:t>s monitored.</w:t>
      </w:r>
    </w:p>
    <w:p w14:paraId="23130776"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The instrument measures the amount of light absorbed at the selected wavelengths.</w:t>
      </w:r>
    </w:p>
    <w:p w14:paraId="2C120253"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6.</w:t>
      </w:r>
      <w:r w:rsidRPr="00430F29">
        <w:rPr>
          <w:rFonts w:ascii="Times New Roman" w:hAnsi="Times New Roman" w:cs="Times New Roman"/>
          <w:sz w:val="22"/>
        </w:rPr>
        <w:tab/>
        <w:t>Data Analysis: The</w:t>
      </w:r>
      <w:r w:rsidR="00ED42F0" w:rsidRPr="00430F29">
        <w:rPr>
          <w:rFonts w:ascii="Times New Roman" w:hAnsi="Times New Roman" w:cs="Times New Roman"/>
          <w:sz w:val="22"/>
        </w:rPr>
        <w:t xml:space="preserve"> absorbance values for samples we</w:t>
      </w:r>
      <w:r w:rsidRPr="00430F29">
        <w:rPr>
          <w:rFonts w:ascii="Times New Roman" w:hAnsi="Times New Roman" w:cs="Times New Roman"/>
          <w:sz w:val="22"/>
        </w:rPr>
        <w:t>re compared against the calibration curve derived from standards.</w:t>
      </w:r>
    </w:p>
    <w:p w14:paraId="49EFF66E" w14:textId="77777777" w:rsidR="00613935" w:rsidRPr="00430F29" w:rsidRDefault="00ED42F0"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T</w:t>
      </w:r>
      <w:r w:rsidR="00613935" w:rsidRPr="00430F29">
        <w:rPr>
          <w:rFonts w:ascii="Times New Roman" w:hAnsi="Times New Roman" w:cs="Times New Roman"/>
          <w:sz w:val="22"/>
        </w:rPr>
        <w:t>he concentration of the target heavy metals in the original sample</w:t>
      </w:r>
      <w:r w:rsidRPr="00430F29">
        <w:rPr>
          <w:rFonts w:ascii="Times New Roman" w:hAnsi="Times New Roman" w:cs="Times New Roman"/>
          <w:sz w:val="22"/>
        </w:rPr>
        <w:t xml:space="preserve"> was then calculated</w:t>
      </w:r>
      <w:r w:rsidR="00613935" w:rsidRPr="00430F29">
        <w:rPr>
          <w:rFonts w:ascii="Times New Roman" w:hAnsi="Times New Roman" w:cs="Times New Roman"/>
          <w:sz w:val="22"/>
        </w:rPr>
        <w:t>.</w:t>
      </w:r>
    </w:p>
    <w:p w14:paraId="15CDB05B"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7.</w:t>
      </w:r>
      <w:r w:rsidRPr="00430F29">
        <w:rPr>
          <w:rFonts w:ascii="Times New Roman" w:hAnsi="Times New Roman" w:cs="Times New Roman"/>
          <w:sz w:val="22"/>
        </w:rPr>
        <w:tab/>
        <w:t xml:space="preserve">Quality Control: </w:t>
      </w:r>
      <w:r w:rsidR="00ED42F0" w:rsidRPr="00430F29">
        <w:rPr>
          <w:rFonts w:ascii="Times New Roman" w:hAnsi="Times New Roman" w:cs="Times New Roman"/>
          <w:sz w:val="22"/>
        </w:rPr>
        <w:t>A blank sample was included</w:t>
      </w:r>
      <w:r w:rsidRPr="00430F29">
        <w:rPr>
          <w:rFonts w:ascii="Times New Roman" w:hAnsi="Times New Roman" w:cs="Times New Roman"/>
          <w:sz w:val="22"/>
        </w:rPr>
        <w:t xml:space="preserve"> and quality control standards to ensure accuracy and reliability of results. </w:t>
      </w:r>
    </w:p>
    <w:p w14:paraId="0EF35719"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b/>
          <w:sz w:val="22"/>
        </w:rPr>
        <w:t>Data Interpretation</w:t>
      </w:r>
      <w:r w:rsidR="00702A92" w:rsidRPr="00430F29">
        <w:rPr>
          <w:rFonts w:ascii="Times New Roman" w:hAnsi="Times New Roman" w:cs="Times New Roman"/>
          <w:sz w:val="22"/>
        </w:rPr>
        <w:t xml:space="preserve">: </w:t>
      </w:r>
      <w:r w:rsidRPr="00430F29">
        <w:rPr>
          <w:rFonts w:ascii="Times New Roman" w:hAnsi="Times New Roman" w:cs="Times New Roman"/>
          <w:sz w:val="22"/>
        </w:rPr>
        <w:t xml:space="preserve">Calculation: Results </w:t>
      </w:r>
      <w:r w:rsidR="00ED42F0" w:rsidRPr="00430F29">
        <w:rPr>
          <w:rFonts w:ascii="Times New Roman" w:hAnsi="Times New Roman" w:cs="Times New Roman"/>
          <w:sz w:val="22"/>
        </w:rPr>
        <w:t>were</w:t>
      </w:r>
      <w:r w:rsidRPr="00430F29">
        <w:rPr>
          <w:rFonts w:ascii="Times New Roman" w:hAnsi="Times New Roman" w:cs="Times New Roman"/>
          <w:sz w:val="22"/>
        </w:rPr>
        <w:t xml:space="preserve"> expressed in mg/kg or µg/L depending on the matrix.</w:t>
      </w:r>
      <w:r w:rsidR="00702A92" w:rsidRPr="00430F29">
        <w:rPr>
          <w:rFonts w:ascii="Times New Roman" w:hAnsi="Times New Roman" w:cs="Times New Roman"/>
          <w:sz w:val="22"/>
        </w:rPr>
        <w:t xml:space="preserve"> </w:t>
      </w:r>
      <w:r w:rsidRPr="00430F29">
        <w:rPr>
          <w:rFonts w:ascii="Times New Roman" w:hAnsi="Times New Roman" w:cs="Times New Roman"/>
          <w:sz w:val="22"/>
        </w:rPr>
        <w:t xml:space="preserve">Regulatory Standards: </w:t>
      </w:r>
      <w:r w:rsidR="003D0636" w:rsidRPr="00430F29">
        <w:rPr>
          <w:rFonts w:ascii="Times New Roman" w:hAnsi="Times New Roman" w:cs="Times New Roman"/>
          <w:sz w:val="22"/>
        </w:rPr>
        <w:t>O</w:t>
      </w:r>
      <w:r w:rsidRPr="00430F29">
        <w:rPr>
          <w:rFonts w:ascii="Times New Roman" w:hAnsi="Times New Roman" w:cs="Times New Roman"/>
          <w:sz w:val="22"/>
        </w:rPr>
        <w:t xml:space="preserve">utcomes </w:t>
      </w:r>
      <w:r w:rsidR="003D0636" w:rsidRPr="00430F29">
        <w:rPr>
          <w:rFonts w:ascii="Times New Roman" w:hAnsi="Times New Roman" w:cs="Times New Roman"/>
          <w:sz w:val="22"/>
        </w:rPr>
        <w:t xml:space="preserve">were compared </w:t>
      </w:r>
      <w:r w:rsidRPr="00430F29">
        <w:rPr>
          <w:rFonts w:ascii="Times New Roman" w:hAnsi="Times New Roman" w:cs="Times New Roman"/>
          <w:sz w:val="22"/>
        </w:rPr>
        <w:t>against established safety limits from organizations like WHO or EPA.</w:t>
      </w:r>
    </w:p>
    <w:p w14:paraId="28610ADD" w14:textId="021356EA" w:rsidR="002E1AAA" w:rsidRPr="00430F29" w:rsidRDefault="00613935" w:rsidP="00430F29">
      <w:pPr>
        <w:spacing w:after="0" w:line="240" w:lineRule="auto"/>
        <w:jc w:val="both"/>
        <w:rPr>
          <w:rFonts w:ascii="Times New Roman" w:eastAsia="Times New Roman" w:hAnsi="Times New Roman" w:cs="Times New Roman"/>
          <w:b/>
          <w:bCs/>
          <w:sz w:val="22"/>
        </w:rPr>
      </w:pPr>
      <w:r w:rsidRPr="00430F29">
        <w:rPr>
          <w:rFonts w:ascii="Times New Roman" w:eastAsia="Times New Roman" w:hAnsi="Times New Roman" w:cs="Times New Roman"/>
          <w:b/>
          <w:bCs/>
          <w:sz w:val="22"/>
        </w:rPr>
        <w:t>Results and discussion</w:t>
      </w:r>
      <w:r w:rsidR="00702A92" w:rsidRPr="00430F29">
        <w:rPr>
          <w:rFonts w:ascii="Times New Roman" w:eastAsia="Times New Roman" w:hAnsi="Times New Roman" w:cs="Times New Roman"/>
          <w:b/>
          <w:bCs/>
          <w:sz w:val="22"/>
        </w:rPr>
        <w:t xml:space="preserve">: </w:t>
      </w:r>
      <w:r w:rsidR="002E1AAA" w:rsidRPr="00430F29">
        <w:rPr>
          <w:rFonts w:ascii="Times New Roman" w:eastAsia="Times New Roman" w:hAnsi="Times New Roman" w:cs="Times New Roman"/>
          <w:sz w:val="22"/>
        </w:rPr>
        <w:t xml:space="preserve">The results presented in Figure </w:t>
      </w:r>
      <w:r w:rsidR="0013515E">
        <w:rPr>
          <w:rFonts w:ascii="Times New Roman" w:eastAsia="Times New Roman" w:hAnsi="Times New Roman" w:cs="Times New Roman"/>
          <w:sz w:val="22"/>
        </w:rPr>
        <w:t xml:space="preserve">1 </w:t>
      </w:r>
      <w:r w:rsidR="002E1AAA" w:rsidRPr="00430F29">
        <w:rPr>
          <w:rFonts w:ascii="Times New Roman" w:eastAsia="Times New Roman" w:hAnsi="Times New Roman" w:cs="Times New Roman"/>
          <w:sz w:val="22"/>
        </w:rPr>
        <w:t>illustrate the proximate analysis of processed food items collected from selected states in North-Central Nigeria, detailing their composition in terms of Ash (%), Moisture (%), Crude Fat (%), Crude Protein (%), Crude Fiber (%), and Carbohydrate (%). This figure highlights a variety of processed foods, including Beans Porridge, Jollof Rice, Pounded Yam and Fish Soup, Pounded Yam and Egusi, Roasted Yam and Red Oil, Okpa, Moi-moi, Yam Porridge, Tuwo Masara, Dried Okra, Cassava, and Kuli-kuli.</w:t>
      </w:r>
    </w:p>
    <w:p w14:paraId="2DEA7D47" w14:textId="77777777" w:rsidR="00433291" w:rsidRPr="00430F29" w:rsidRDefault="00433291" w:rsidP="00BB321D">
      <w:pPr>
        <w:pStyle w:val="Heading1"/>
      </w:pPr>
      <w:bookmarkStart w:id="12" w:name="_Toc188277521"/>
      <w:r w:rsidRPr="00430F29">
        <w:lastRenderedPageBreak/>
        <w:t>2.5 Statistical Analysis</w:t>
      </w:r>
      <w:bookmarkEnd w:id="12"/>
    </w:p>
    <w:p w14:paraId="17D4E117" w14:textId="77777777" w:rsidR="00433291" w:rsidRPr="00430F29" w:rsidRDefault="00433291" w:rsidP="00430F29">
      <w:pPr>
        <w:tabs>
          <w:tab w:val="left" w:pos="3340"/>
        </w:tabs>
        <w:spacing w:after="0" w:line="240" w:lineRule="auto"/>
        <w:jc w:val="both"/>
        <w:rPr>
          <w:rFonts w:ascii="Times New Roman" w:hAnsi="Times New Roman" w:cs="Times New Roman"/>
          <w:sz w:val="22"/>
        </w:rPr>
      </w:pPr>
      <w:r w:rsidRPr="00430F29">
        <w:rPr>
          <w:rFonts w:ascii="Times New Roman" w:eastAsia="Times New Roman" w:hAnsi="Times New Roman" w:cs="Times New Roman"/>
          <w:sz w:val="22"/>
        </w:rPr>
        <w:t xml:space="preserve">Statistical analysis was performed using SPSS version 25 (statistical packages for social sciences). The food samples were gotten using frequency analysis of food gotten via questionnaires and Google forms. </w:t>
      </w:r>
      <w:r w:rsidRPr="00430F29">
        <w:rPr>
          <w:rFonts w:ascii="Times New Roman" w:hAnsi="Times New Roman" w:cs="Times New Roman"/>
          <w:sz w:val="22"/>
        </w:rPr>
        <w:t>The data expressed as mean ± standard deviation, were analyzed by frequency distribution and one-way analysis of variance (ANOVA) using Statistical packages for social sciences (SPSS) version 25.0 software and p &lt; 0.05 was taken to be significant.</w:t>
      </w:r>
    </w:p>
    <w:p w14:paraId="5CCBF018" w14:textId="77777777" w:rsidR="002E1AAA" w:rsidRPr="00430F29" w:rsidRDefault="002E1AAA" w:rsidP="00430F29">
      <w:pPr>
        <w:spacing w:after="0" w:line="240" w:lineRule="auto"/>
        <w:jc w:val="both"/>
        <w:rPr>
          <w:rFonts w:ascii="Times New Roman" w:eastAsia="Times New Roman" w:hAnsi="Times New Roman" w:cs="Times New Roman"/>
          <w:sz w:val="22"/>
        </w:rPr>
      </w:pPr>
    </w:p>
    <w:p w14:paraId="16C6A02A" w14:textId="77777777" w:rsidR="00433291" w:rsidRPr="00430F29" w:rsidRDefault="00433291" w:rsidP="00430F29">
      <w:pPr>
        <w:spacing w:after="0" w:line="240" w:lineRule="auto"/>
        <w:jc w:val="both"/>
        <w:rPr>
          <w:rFonts w:ascii="Times New Roman" w:eastAsia="Times New Roman" w:hAnsi="Times New Roman" w:cs="Times New Roman"/>
          <w:b/>
          <w:bCs/>
          <w:sz w:val="22"/>
        </w:rPr>
      </w:pPr>
      <w:r w:rsidRPr="00430F29">
        <w:rPr>
          <w:rFonts w:ascii="Times New Roman" w:eastAsia="Times New Roman" w:hAnsi="Times New Roman" w:cs="Times New Roman"/>
          <w:b/>
          <w:bCs/>
          <w:sz w:val="22"/>
        </w:rPr>
        <w:t>3.0 RESULTS AND DISCUSSION</w:t>
      </w:r>
    </w:p>
    <w:p w14:paraId="5CFB1DC2" w14:textId="77777777" w:rsidR="00433291" w:rsidRPr="00430F29" w:rsidRDefault="00433291" w:rsidP="00430F29">
      <w:pPr>
        <w:spacing w:after="0" w:line="240" w:lineRule="auto"/>
        <w:jc w:val="both"/>
        <w:rPr>
          <w:rFonts w:ascii="Times New Roman" w:eastAsia="Times New Roman" w:hAnsi="Times New Roman" w:cs="Times New Roman"/>
          <w:b/>
          <w:bCs/>
          <w:sz w:val="22"/>
        </w:rPr>
      </w:pPr>
    </w:p>
    <w:p w14:paraId="28B185A7" w14:textId="77777777" w:rsidR="00433291" w:rsidRPr="00430F29" w:rsidRDefault="00433291" w:rsidP="00430F29">
      <w:pPr>
        <w:spacing w:after="0" w:line="240" w:lineRule="auto"/>
        <w:jc w:val="both"/>
        <w:rPr>
          <w:rFonts w:ascii="Times New Roman" w:eastAsia="Times New Roman" w:hAnsi="Times New Roman" w:cs="Times New Roman"/>
          <w:b/>
          <w:bCs/>
          <w:sz w:val="22"/>
        </w:rPr>
      </w:pPr>
      <w:r w:rsidRPr="00430F29">
        <w:rPr>
          <w:rFonts w:ascii="Times New Roman" w:eastAsia="Times New Roman" w:hAnsi="Times New Roman" w:cs="Times New Roman"/>
          <w:b/>
          <w:bCs/>
          <w:sz w:val="22"/>
        </w:rPr>
        <w:t>3.1 Results</w:t>
      </w:r>
    </w:p>
    <w:p w14:paraId="3D6119E8" w14:textId="77777777" w:rsidR="00433291" w:rsidRPr="00430F29" w:rsidRDefault="00433291" w:rsidP="00430F29">
      <w:pPr>
        <w:spacing w:after="0" w:line="240" w:lineRule="auto"/>
        <w:jc w:val="both"/>
        <w:rPr>
          <w:rFonts w:ascii="Times New Roman" w:eastAsia="Times New Roman" w:hAnsi="Times New Roman" w:cs="Times New Roman"/>
          <w:b/>
          <w:bCs/>
          <w:sz w:val="22"/>
        </w:rPr>
      </w:pPr>
    </w:p>
    <w:p w14:paraId="512BA2A3" w14:textId="77777777" w:rsidR="00433291" w:rsidRPr="00430F29" w:rsidRDefault="00433291" w:rsidP="00430F29">
      <w:pPr>
        <w:spacing w:after="0" w:line="240" w:lineRule="auto"/>
        <w:jc w:val="both"/>
        <w:rPr>
          <w:b/>
          <w:bCs/>
          <w:sz w:val="22"/>
          <w:lang w:val="en-GB"/>
        </w:rPr>
      </w:pPr>
      <w:r w:rsidRPr="00430F29">
        <w:rPr>
          <w:rFonts w:ascii="Times New Roman" w:eastAsia="Times New Roman" w:hAnsi="Times New Roman" w:cs="Times New Roman"/>
          <w:b/>
          <w:bCs/>
          <w:sz w:val="22"/>
        </w:rPr>
        <w:t xml:space="preserve">3.1.1 </w:t>
      </w:r>
      <w:r w:rsidRPr="00430F29">
        <w:rPr>
          <w:b/>
          <w:bCs/>
          <w:sz w:val="22"/>
          <w:lang w:val="en-GB"/>
        </w:rPr>
        <w:t>Proximate Analysis (%) for processed locally sourced food consumed in the north central states, Nigeria</w:t>
      </w:r>
    </w:p>
    <w:p w14:paraId="120B1A63" w14:textId="77777777" w:rsidR="00433291" w:rsidRPr="00430F29" w:rsidRDefault="00433291" w:rsidP="00430F29">
      <w:pPr>
        <w:spacing w:after="0" w:line="240" w:lineRule="auto"/>
        <w:jc w:val="both"/>
        <w:rPr>
          <w:rFonts w:ascii="Times New Roman" w:eastAsia="Times New Roman" w:hAnsi="Times New Roman" w:cs="Times New Roman"/>
          <w:b/>
          <w:bCs/>
          <w:sz w:val="22"/>
        </w:rPr>
      </w:pPr>
    </w:p>
    <w:p w14:paraId="4F001344" w14:textId="77777777" w:rsidR="00433291" w:rsidRPr="00430F29" w:rsidRDefault="00433291" w:rsidP="00430F29">
      <w:pPr>
        <w:spacing w:after="0" w:line="240" w:lineRule="auto"/>
        <w:jc w:val="both"/>
        <w:rPr>
          <w:rFonts w:ascii="Times New Roman" w:eastAsia="Times New Roman" w:hAnsi="Times New Roman" w:cs="Times New Roman"/>
          <w:sz w:val="22"/>
        </w:rPr>
      </w:pPr>
      <w:r w:rsidRPr="00430F29">
        <w:rPr>
          <w:rFonts w:ascii="Times New Roman" w:eastAsia="Times New Roman" w:hAnsi="Times New Roman" w:cs="Times New Roman"/>
          <w:sz w:val="22"/>
        </w:rPr>
        <w:t>The results presented in Figure 1 illustrate the proximate analysis of processed food items collected from selected states in North-Central Nigeria, detailing their composition in terms of Ash (%), Moisture (%), Crude Fat (%), Crude Protein (%), Crude Fiber (%), and Carbohydrate (%). This figure highlights a variety of processed foods, including Beans Porridge, Jollof Rice, Pounded Yam and Fish Soup, Pounded Yam and Egusi, Roasted Yam and Red Oil, Okpa, Moi-moi, Yam Porridge, Tuwo Masara, Dried Okra, Cassava, and Kuli-kuli.</w:t>
      </w:r>
    </w:p>
    <w:p w14:paraId="50F00699" w14:textId="77777777" w:rsidR="00433291" w:rsidRPr="00430F29" w:rsidRDefault="00433291" w:rsidP="00430F29">
      <w:pPr>
        <w:spacing w:after="0" w:line="240" w:lineRule="auto"/>
        <w:jc w:val="both"/>
        <w:rPr>
          <w:rFonts w:ascii="Times New Roman" w:eastAsia="Times New Roman" w:hAnsi="Times New Roman" w:cs="Times New Roman"/>
          <w:b/>
          <w:bCs/>
          <w:sz w:val="22"/>
        </w:rPr>
        <w:sectPr w:rsidR="00433291" w:rsidRPr="00430F29" w:rsidSect="00AF327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pPr>
    </w:p>
    <w:p w14:paraId="2339EED4" w14:textId="77777777" w:rsidR="002E1AAA" w:rsidRPr="00430F29" w:rsidRDefault="002E1AAA" w:rsidP="00430F29">
      <w:pPr>
        <w:keepNext/>
        <w:spacing w:after="0" w:line="240" w:lineRule="auto"/>
        <w:jc w:val="both"/>
        <w:rPr>
          <w:sz w:val="22"/>
        </w:rPr>
      </w:pPr>
      <w:r w:rsidRPr="00430F29">
        <w:rPr>
          <w:rFonts w:ascii="Times New Roman" w:eastAsia="Times New Roman" w:hAnsi="Times New Roman" w:cs="Times New Roman"/>
          <w:noProof/>
          <w:sz w:val="22"/>
        </w:rPr>
        <w:lastRenderedPageBreak/>
        <w:drawing>
          <wp:inline distT="0" distB="0" distL="0" distR="0" wp14:anchorId="22E85AB5" wp14:editId="46EC9052">
            <wp:extent cx="8799830" cy="5054803"/>
            <wp:effectExtent l="0" t="0" r="127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28876" cy="5071488"/>
                    </a:xfrm>
                    <a:prstGeom prst="rect">
                      <a:avLst/>
                    </a:prstGeom>
                    <a:noFill/>
                    <a:ln>
                      <a:noFill/>
                    </a:ln>
                  </pic:spPr>
                </pic:pic>
              </a:graphicData>
            </a:graphic>
          </wp:inline>
        </w:drawing>
      </w:r>
    </w:p>
    <w:p w14:paraId="008C0D4B" w14:textId="77777777" w:rsidR="002E1AAA" w:rsidRPr="00430F29" w:rsidRDefault="002E1AAA" w:rsidP="00430F29">
      <w:pPr>
        <w:pStyle w:val="Caption"/>
        <w:spacing w:after="0"/>
        <w:jc w:val="both"/>
        <w:rPr>
          <w:rFonts w:ascii="Times New Roman" w:eastAsia="Times New Roman" w:hAnsi="Times New Roman" w:cs="Times New Roman"/>
          <w:sz w:val="22"/>
          <w:szCs w:val="22"/>
        </w:rPr>
      </w:pPr>
      <w:r w:rsidRPr="00430F29">
        <w:rPr>
          <w:sz w:val="22"/>
          <w:szCs w:val="22"/>
          <w:lang w:val="en-GB"/>
        </w:rPr>
        <w:t xml:space="preserve">Figure </w:t>
      </w:r>
      <w:r w:rsidR="00433291" w:rsidRPr="00430F29">
        <w:rPr>
          <w:sz w:val="22"/>
          <w:szCs w:val="22"/>
          <w:lang w:val="en-GB"/>
        </w:rPr>
        <w:t>1.</w:t>
      </w:r>
      <w:r w:rsidRPr="00430F29">
        <w:rPr>
          <w:sz w:val="22"/>
          <w:szCs w:val="22"/>
          <w:lang w:val="en-GB"/>
        </w:rPr>
        <w:t xml:space="preserve"> Proximate Analysis (%) for processed locally sourced food consumed in the north central states, Nigeria.</w:t>
      </w:r>
    </w:p>
    <w:p w14:paraId="17E6944C" w14:textId="77777777" w:rsidR="002E1AAA" w:rsidRPr="00430F29" w:rsidRDefault="002E1AAA" w:rsidP="00430F29">
      <w:pPr>
        <w:spacing w:after="0" w:line="240" w:lineRule="auto"/>
        <w:jc w:val="both"/>
        <w:rPr>
          <w:rFonts w:ascii="Times New Roman" w:eastAsia="Times New Roman" w:hAnsi="Times New Roman" w:cs="Times New Roman"/>
          <w:sz w:val="22"/>
        </w:rPr>
      </w:pPr>
    </w:p>
    <w:p w14:paraId="03D3D4DF"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6838" w:h="11906" w:orient="landscape" w:code="9"/>
          <w:pgMar w:top="1440" w:right="1440" w:bottom="1440" w:left="1440" w:header="709" w:footer="709" w:gutter="0"/>
          <w:cols w:space="708"/>
          <w:docGrid w:linePitch="360"/>
        </w:sectPr>
      </w:pPr>
    </w:p>
    <w:p w14:paraId="709A22E6" w14:textId="77777777" w:rsidR="00433291" w:rsidRPr="00430F29" w:rsidRDefault="00433291" w:rsidP="00430F29">
      <w:pPr>
        <w:spacing w:after="0" w:line="240" w:lineRule="auto"/>
        <w:jc w:val="both"/>
        <w:rPr>
          <w:rFonts w:ascii="Times New Roman" w:hAnsi="Times New Roman" w:cs="Times New Roman"/>
          <w:b/>
          <w:bCs/>
          <w:sz w:val="22"/>
        </w:rPr>
      </w:pPr>
      <w:r w:rsidRPr="00430F29">
        <w:rPr>
          <w:b/>
          <w:bCs/>
          <w:sz w:val="22"/>
          <w:lang w:val="en-GB"/>
        </w:rPr>
        <w:lastRenderedPageBreak/>
        <w:t>3.1.2 Proximate Analysis (%) for raw locally sourced food ingredients consumed in the north central states, Nigeria</w:t>
      </w:r>
    </w:p>
    <w:p w14:paraId="6439B65E" w14:textId="77777777" w:rsidR="002E1AAA" w:rsidRPr="00430F29" w:rsidRDefault="002E1AAA" w:rsidP="00430F29">
      <w:pPr>
        <w:spacing w:after="0" w:line="240" w:lineRule="auto"/>
        <w:jc w:val="both"/>
        <w:rPr>
          <w:rFonts w:ascii="Times New Roman" w:eastAsia="Times New Roman" w:hAnsi="Times New Roman" w:cs="Times New Roman"/>
          <w:sz w:val="22"/>
        </w:rPr>
      </w:pPr>
      <w:r w:rsidRPr="00430F29">
        <w:rPr>
          <w:rFonts w:ascii="Times New Roman" w:hAnsi="Times New Roman" w:cs="Times New Roman"/>
          <w:sz w:val="22"/>
        </w:rPr>
        <w:t xml:space="preserve">The results presented in Figure </w:t>
      </w:r>
      <w:r w:rsidR="00433291" w:rsidRPr="00430F29">
        <w:rPr>
          <w:rFonts w:ascii="Times New Roman" w:hAnsi="Times New Roman" w:cs="Times New Roman"/>
          <w:sz w:val="22"/>
        </w:rPr>
        <w:t>2</w:t>
      </w:r>
      <w:r w:rsidRPr="00430F29">
        <w:rPr>
          <w:rFonts w:ascii="Times New Roman" w:hAnsi="Times New Roman" w:cs="Times New Roman"/>
          <w:sz w:val="22"/>
        </w:rPr>
        <w:t xml:space="preserve"> illustrate the proximate analysis of raw food items collected from selected states in North-Central Nigeria, detailing their composition in terms of Ash (%), Moisture (%), Crude Fat (%), Crude Protein (%), Crude Fiber (%), and Carbohydrate (%). This figure focuses on a variety of raw ingredients, including Ginger, Bambara Nut, Beans, Cassava, Corn Flour, Salt, Sugar, Egusi, Tomatoes, Pepper, Locust Beans, Yam, Rice, Seasoning Cubes, Fish, Crayfish, Dried Okra, Ugwu, Meat, Moringa, Onions, and Kuli-kuli.</w:t>
      </w:r>
    </w:p>
    <w:p w14:paraId="15163075"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1906" w:h="16838" w:code="9"/>
          <w:pgMar w:top="1440" w:right="1440" w:bottom="1440" w:left="1440" w:header="709" w:footer="709" w:gutter="0"/>
          <w:cols w:space="708"/>
          <w:docGrid w:linePitch="360"/>
        </w:sectPr>
      </w:pPr>
    </w:p>
    <w:p w14:paraId="0F4DB918" w14:textId="77777777" w:rsidR="002E1AAA" w:rsidRPr="00430F29" w:rsidRDefault="002E1AAA" w:rsidP="00430F29">
      <w:pPr>
        <w:keepNext/>
        <w:spacing w:after="0" w:line="240" w:lineRule="auto"/>
        <w:jc w:val="both"/>
        <w:rPr>
          <w:sz w:val="22"/>
        </w:rPr>
      </w:pPr>
      <w:r w:rsidRPr="00430F29">
        <w:rPr>
          <w:rFonts w:ascii="Times New Roman" w:eastAsia="Times New Roman" w:hAnsi="Times New Roman" w:cs="Times New Roman"/>
          <w:noProof/>
          <w:sz w:val="22"/>
        </w:rPr>
        <w:lastRenderedPageBreak/>
        <w:drawing>
          <wp:inline distT="0" distB="0" distL="0" distR="0" wp14:anchorId="7C6966F6" wp14:editId="729FEF03">
            <wp:extent cx="9047251" cy="5157216"/>
            <wp:effectExtent l="0" t="0" r="1905"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79029" cy="5175330"/>
                    </a:xfrm>
                    <a:prstGeom prst="rect">
                      <a:avLst/>
                    </a:prstGeom>
                    <a:noFill/>
                    <a:ln>
                      <a:noFill/>
                    </a:ln>
                  </pic:spPr>
                </pic:pic>
              </a:graphicData>
            </a:graphic>
          </wp:inline>
        </w:drawing>
      </w:r>
    </w:p>
    <w:p w14:paraId="33C29739" w14:textId="77777777" w:rsidR="002E1AAA" w:rsidRPr="00430F29" w:rsidRDefault="002E1AAA" w:rsidP="00430F29">
      <w:pPr>
        <w:pStyle w:val="Caption"/>
        <w:spacing w:after="0"/>
        <w:jc w:val="both"/>
        <w:rPr>
          <w:rFonts w:ascii="Times New Roman" w:eastAsia="Times New Roman" w:hAnsi="Times New Roman" w:cs="Times New Roman"/>
          <w:sz w:val="22"/>
          <w:szCs w:val="22"/>
        </w:rPr>
        <w:sectPr w:rsidR="002E1AAA" w:rsidRPr="00430F29" w:rsidSect="00AF327E">
          <w:pgSz w:w="16838" w:h="11906" w:orient="landscape" w:code="9"/>
          <w:pgMar w:top="1440" w:right="1440" w:bottom="1440" w:left="1440" w:header="709" w:footer="709" w:gutter="0"/>
          <w:cols w:space="708"/>
          <w:docGrid w:linePitch="360"/>
        </w:sectPr>
      </w:pPr>
      <w:r w:rsidRPr="00430F29">
        <w:rPr>
          <w:sz w:val="22"/>
          <w:szCs w:val="22"/>
        </w:rPr>
        <w:t xml:space="preserve">Figure </w:t>
      </w:r>
      <w:r w:rsidR="00433291" w:rsidRPr="00430F29">
        <w:rPr>
          <w:sz w:val="22"/>
          <w:szCs w:val="22"/>
        </w:rPr>
        <w:t>2.</w:t>
      </w:r>
      <w:r w:rsidRPr="00430F29">
        <w:rPr>
          <w:sz w:val="22"/>
          <w:szCs w:val="22"/>
          <w:lang w:val="en-GB"/>
        </w:rPr>
        <w:t xml:space="preserve"> Proximate Analysis (%) for raw locally sourced food ingredients consumed in the north central states, Nigeria.</w:t>
      </w:r>
    </w:p>
    <w:p w14:paraId="4B3046D0" w14:textId="77777777" w:rsidR="00433291" w:rsidRPr="00430F29" w:rsidRDefault="00433291" w:rsidP="00430F29">
      <w:pPr>
        <w:spacing w:after="0" w:line="240" w:lineRule="auto"/>
        <w:jc w:val="both"/>
        <w:rPr>
          <w:rFonts w:ascii="Times New Roman" w:eastAsia="Times New Roman" w:hAnsi="Times New Roman" w:cs="Times New Roman"/>
          <w:sz w:val="22"/>
        </w:rPr>
      </w:pPr>
      <w:r w:rsidRPr="00430F29">
        <w:rPr>
          <w:b/>
          <w:bCs/>
          <w:sz w:val="22"/>
          <w:lang w:val="en-GB"/>
        </w:rPr>
        <w:lastRenderedPageBreak/>
        <w:t>3.1.3   Mineral constituent for processed locally sourced food consumed in the north central states, Nigeria</w:t>
      </w:r>
    </w:p>
    <w:p w14:paraId="161982FD" w14:textId="77777777" w:rsidR="002E1AAA" w:rsidRPr="00430F29" w:rsidRDefault="002E1AAA" w:rsidP="00430F29">
      <w:pPr>
        <w:spacing w:after="0" w:line="240" w:lineRule="auto"/>
        <w:jc w:val="both"/>
        <w:rPr>
          <w:rFonts w:ascii="Times New Roman" w:eastAsia="Times New Roman" w:hAnsi="Times New Roman" w:cs="Times New Roman"/>
          <w:sz w:val="22"/>
        </w:rPr>
      </w:pPr>
      <w:r w:rsidRPr="00430F29">
        <w:rPr>
          <w:rFonts w:ascii="Times New Roman" w:eastAsia="Times New Roman" w:hAnsi="Times New Roman" w:cs="Times New Roman"/>
          <w:sz w:val="22"/>
        </w:rPr>
        <w:t xml:space="preserve">The </w:t>
      </w:r>
      <w:r w:rsidR="00433291" w:rsidRPr="00430F29">
        <w:rPr>
          <w:rFonts w:ascii="Times New Roman" w:eastAsia="Times New Roman" w:hAnsi="Times New Roman" w:cs="Times New Roman"/>
          <w:sz w:val="22"/>
        </w:rPr>
        <w:t>results presented in Figure 3</w:t>
      </w:r>
      <w:r w:rsidRPr="00430F29">
        <w:rPr>
          <w:rFonts w:ascii="Times New Roman" w:eastAsia="Times New Roman" w:hAnsi="Times New Roman" w:cs="Times New Roman"/>
          <w:sz w:val="22"/>
        </w:rPr>
        <w:t xml:space="preserve"> illustrate the mineral constituents of processed, locally sourced foods consumed in the North-Central states of Nigeria. This analysis reveals significant findings regarding the mineral content of various food items, focusing on essential nutrients such as calcium, cadmium, cobalt, chromium, copper, iron, potassium, lithium, magnesium, manganese, sodium, nickel, lead, and zinc. The figure highlights a diverse range of processed foods, including Beans Porridge, Jollof Rice, Pounded Yam and Fish Soup, Pounded Yam and Egusi, Roasted Yam and Red Oil, Okpa, Moi Moi, Yam Porridge, Tuwo Masara, Dried Okra, Cassava, and Kuli-kuli.</w:t>
      </w:r>
    </w:p>
    <w:p w14:paraId="6BC2ED30"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1906" w:h="16838" w:code="9"/>
          <w:pgMar w:top="1440" w:right="1440" w:bottom="1440" w:left="1440" w:header="709" w:footer="709" w:gutter="0"/>
          <w:cols w:space="708"/>
          <w:docGrid w:linePitch="360"/>
        </w:sectPr>
      </w:pPr>
    </w:p>
    <w:p w14:paraId="30123D01" w14:textId="77777777" w:rsidR="002E1AAA" w:rsidRPr="00430F29" w:rsidRDefault="002E1AAA" w:rsidP="00430F29">
      <w:pPr>
        <w:keepNext/>
        <w:spacing w:after="0" w:line="240" w:lineRule="auto"/>
        <w:jc w:val="both"/>
        <w:rPr>
          <w:sz w:val="22"/>
        </w:rPr>
      </w:pPr>
      <w:r w:rsidRPr="00430F29">
        <w:rPr>
          <w:rFonts w:ascii="Times New Roman" w:eastAsia="Times New Roman" w:hAnsi="Times New Roman" w:cs="Times New Roman"/>
          <w:noProof/>
          <w:sz w:val="22"/>
        </w:rPr>
        <w:lastRenderedPageBreak/>
        <w:drawing>
          <wp:inline distT="0" distB="0" distL="0" distR="0" wp14:anchorId="7CA14BD5" wp14:editId="52E7336C">
            <wp:extent cx="8890000" cy="5259629"/>
            <wp:effectExtent l="0" t="0" r="635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32142" cy="5284562"/>
                    </a:xfrm>
                    <a:prstGeom prst="rect">
                      <a:avLst/>
                    </a:prstGeom>
                    <a:noFill/>
                    <a:ln>
                      <a:noFill/>
                    </a:ln>
                  </pic:spPr>
                </pic:pic>
              </a:graphicData>
            </a:graphic>
          </wp:inline>
        </w:drawing>
      </w:r>
    </w:p>
    <w:p w14:paraId="46BB1EDD" w14:textId="77777777" w:rsidR="002E1AAA" w:rsidRPr="00430F29" w:rsidRDefault="002E1AAA" w:rsidP="00430F29">
      <w:pPr>
        <w:pStyle w:val="Caption"/>
        <w:spacing w:after="0"/>
        <w:jc w:val="both"/>
        <w:rPr>
          <w:rFonts w:ascii="Times New Roman" w:eastAsia="Times New Roman" w:hAnsi="Times New Roman" w:cs="Times New Roman"/>
          <w:sz w:val="22"/>
          <w:szCs w:val="22"/>
        </w:rPr>
      </w:pPr>
      <w:r w:rsidRPr="00430F29">
        <w:rPr>
          <w:sz w:val="22"/>
          <w:szCs w:val="22"/>
          <w:lang w:val="en-GB"/>
        </w:rPr>
        <w:t xml:space="preserve">Figure </w:t>
      </w:r>
      <w:r w:rsidR="00433291" w:rsidRPr="00430F29">
        <w:rPr>
          <w:sz w:val="22"/>
          <w:szCs w:val="22"/>
          <w:lang w:val="en-GB"/>
        </w:rPr>
        <w:t xml:space="preserve">3. </w:t>
      </w:r>
      <w:r w:rsidRPr="00430F29">
        <w:rPr>
          <w:sz w:val="22"/>
          <w:szCs w:val="22"/>
          <w:lang w:val="en-GB"/>
        </w:rPr>
        <w:t xml:space="preserve"> Mineral constituent for processed locally sourced food consumed in the north central states, Nigeria.</w:t>
      </w:r>
    </w:p>
    <w:p w14:paraId="139BD36A"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6838" w:h="11906" w:orient="landscape" w:code="9"/>
          <w:pgMar w:top="1440" w:right="1440" w:bottom="1440" w:left="1440" w:header="709" w:footer="709" w:gutter="0"/>
          <w:cols w:space="708"/>
          <w:docGrid w:linePitch="360"/>
        </w:sectPr>
      </w:pPr>
    </w:p>
    <w:p w14:paraId="5C0A35CA" w14:textId="77777777" w:rsidR="00433291" w:rsidRPr="00430F29" w:rsidRDefault="00433291" w:rsidP="00430F29">
      <w:pPr>
        <w:spacing w:after="0" w:line="240" w:lineRule="auto"/>
        <w:jc w:val="both"/>
        <w:rPr>
          <w:rFonts w:ascii="Times New Roman" w:eastAsia="Times New Roman" w:hAnsi="Times New Roman" w:cs="Times New Roman"/>
          <w:b/>
          <w:bCs/>
          <w:sz w:val="22"/>
        </w:rPr>
      </w:pPr>
      <w:r w:rsidRPr="00430F29">
        <w:rPr>
          <w:rFonts w:ascii="Times New Roman" w:eastAsia="Times New Roman" w:hAnsi="Times New Roman" w:cs="Times New Roman"/>
          <w:b/>
          <w:bCs/>
          <w:sz w:val="22"/>
        </w:rPr>
        <w:lastRenderedPageBreak/>
        <w:t xml:space="preserve">3.1.4 </w:t>
      </w:r>
      <w:r w:rsidRPr="00430F29">
        <w:rPr>
          <w:b/>
          <w:bCs/>
          <w:sz w:val="22"/>
          <w:lang w:val="en-GB"/>
        </w:rPr>
        <w:t>Mineral constituent for raw locally sourced food consumed in the north central states, Nigeria</w:t>
      </w:r>
    </w:p>
    <w:p w14:paraId="0EBE6DA3" w14:textId="77777777" w:rsidR="002E1AAA" w:rsidRPr="00430F29" w:rsidRDefault="002E1AAA" w:rsidP="00430F29">
      <w:pPr>
        <w:spacing w:after="0" w:line="240" w:lineRule="auto"/>
        <w:jc w:val="both"/>
        <w:rPr>
          <w:rFonts w:ascii="Times New Roman" w:eastAsia="Times New Roman" w:hAnsi="Times New Roman" w:cs="Times New Roman"/>
          <w:sz w:val="22"/>
        </w:rPr>
      </w:pPr>
      <w:r w:rsidRPr="00430F29">
        <w:rPr>
          <w:rFonts w:ascii="Times New Roman" w:eastAsia="Times New Roman" w:hAnsi="Times New Roman" w:cs="Times New Roman"/>
          <w:sz w:val="22"/>
        </w:rPr>
        <w:t xml:space="preserve">The results presented in Figure </w:t>
      </w:r>
      <w:r w:rsidR="00433291" w:rsidRPr="00430F29">
        <w:rPr>
          <w:rFonts w:ascii="Times New Roman" w:eastAsia="Times New Roman" w:hAnsi="Times New Roman" w:cs="Times New Roman"/>
          <w:sz w:val="22"/>
        </w:rPr>
        <w:t>4</w:t>
      </w:r>
      <w:r w:rsidRPr="00430F29">
        <w:rPr>
          <w:rFonts w:ascii="Times New Roman" w:eastAsia="Times New Roman" w:hAnsi="Times New Roman" w:cs="Times New Roman"/>
          <w:sz w:val="22"/>
        </w:rPr>
        <w:t xml:space="preserve"> illustrate the mineral constituents of raw, locally sourced foods consumed in the North-Central states of Nigeria. This analysis reveals significant findings regarding the mineral content of various food items, focusing on essential nutrients such as calcium, cadmium, cobalt, chromium, copper, iron, potassium, lithium, magnesium, manganese, sodium, nickel, lead, and zinc. The figure highlights a diverse range of raw ingredients, including Ginger, Bambara Nut, Beans, Cassava, Corn Flour, Salt, Sugar, Egusi, Tomatoes, Pepper, Locust Beans, Yam, Rice, Seasoning Cubes, Fish, Crayfish, Dried Okra, Ugwu, Meat, Moringa, Onions, and Kuli-kuli.</w:t>
      </w:r>
    </w:p>
    <w:p w14:paraId="3A80C53B"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1906" w:h="16838" w:code="9"/>
          <w:pgMar w:top="1440" w:right="1440" w:bottom="1440" w:left="1440" w:header="709" w:footer="709" w:gutter="0"/>
          <w:cols w:space="708"/>
          <w:docGrid w:linePitch="360"/>
        </w:sectPr>
      </w:pPr>
    </w:p>
    <w:p w14:paraId="791B390E" w14:textId="77777777" w:rsidR="002E1AAA" w:rsidRPr="00430F29" w:rsidRDefault="002E1AAA" w:rsidP="00430F29">
      <w:pPr>
        <w:keepNext/>
        <w:spacing w:after="0" w:line="240" w:lineRule="auto"/>
        <w:jc w:val="both"/>
        <w:rPr>
          <w:sz w:val="22"/>
        </w:rPr>
      </w:pPr>
      <w:r w:rsidRPr="00430F29">
        <w:rPr>
          <w:rFonts w:ascii="Times New Roman" w:eastAsia="Times New Roman" w:hAnsi="Times New Roman" w:cs="Times New Roman"/>
          <w:noProof/>
          <w:sz w:val="22"/>
        </w:rPr>
        <w:lastRenderedPageBreak/>
        <w:drawing>
          <wp:inline distT="0" distB="0" distL="0" distR="0" wp14:anchorId="0AAC989E" wp14:editId="1A67ABD5">
            <wp:extent cx="8861200" cy="5427878"/>
            <wp:effectExtent l="0" t="0" r="0" b="1905"/>
            <wp:docPr id="29" name="Picture 29" descr="C:\Users\Hassan\AppData\Local\Microsoft\Windows\INetCache\Content.Word\outpu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Hassan\AppData\Local\Microsoft\Windows\INetCache\Content.Word\output (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79470" cy="5439069"/>
                    </a:xfrm>
                    <a:prstGeom prst="rect">
                      <a:avLst/>
                    </a:prstGeom>
                    <a:noFill/>
                    <a:ln>
                      <a:noFill/>
                    </a:ln>
                  </pic:spPr>
                </pic:pic>
              </a:graphicData>
            </a:graphic>
          </wp:inline>
        </w:drawing>
      </w:r>
    </w:p>
    <w:p w14:paraId="2468B903" w14:textId="77777777" w:rsidR="002E1AAA" w:rsidRPr="00430F29" w:rsidRDefault="002E1AAA" w:rsidP="00430F29">
      <w:pPr>
        <w:pStyle w:val="Caption"/>
        <w:spacing w:after="0"/>
        <w:jc w:val="both"/>
        <w:rPr>
          <w:rFonts w:ascii="Times New Roman" w:eastAsia="Times New Roman" w:hAnsi="Times New Roman" w:cs="Times New Roman"/>
          <w:sz w:val="22"/>
          <w:szCs w:val="22"/>
        </w:rPr>
        <w:sectPr w:rsidR="002E1AAA" w:rsidRPr="00430F29" w:rsidSect="00AF327E">
          <w:pgSz w:w="16838" w:h="11906" w:orient="landscape" w:code="9"/>
          <w:pgMar w:top="1440" w:right="1440" w:bottom="1440" w:left="1440" w:header="709" w:footer="709" w:gutter="0"/>
          <w:cols w:space="708"/>
          <w:docGrid w:linePitch="360"/>
        </w:sectPr>
      </w:pPr>
      <w:r w:rsidRPr="00430F29">
        <w:rPr>
          <w:sz w:val="22"/>
          <w:szCs w:val="22"/>
        </w:rPr>
        <w:t>Figure</w:t>
      </w:r>
      <w:r w:rsidR="00433291" w:rsidRPr="00430F29">
        <w:rPr>
          <w:sz w:val="22"/>
          <w:szCs w:val="22"/>
          <w:lang w:val="en-GB"/>
        </w:rPr>
        <w:t xml:space="preserve"> 4.</w:t>
      </w:r>
      <w:r w:rsidRPr="00430F29">
        <w:rPr>
          <w:sz w:val="22"/>
          <w:szCs w:val="22"/>
          <w:lang w:val="en-GB"/>
        </w:rPr>
        <w:t xml:space="preserve"> Mineral constituent for raw locally sourced food consumed in the north central states, Nigeria</w:t>
      </w:r>
    </w:p>
    <w:p w14:paraId="608E635B" w14:textId="77777777" w:rsidR="00C71615" w:rsidRPr="00430F29" w:rsidRDefault="00433291" w:rsidP="00430F29">
      <w:pPr>
        <w:spacing w:after="0" w:line="240" w:lineRule="auto"/>
        <w:rPr>
          <w:b/>
          <w:bCs/>
          <w:sz w:val="22"/>
        </w:rPr>
      </w:pPr>
      <w:r w:rsidRPr="00430F29">
        <w:rPr>
          <w:b/>
          <w:bCs/>
          <w:sz w:val="22"/>
        </w:rPr>
        <w:lastRenderedPageBreak/>
        <w:t xml:space="preserve">3.2 </w:t>
      </w:r>
      <w:r w:rsidR="00A05C67" w:rsidRPr="00430F29">
        <w:rPr>
          <w:b/>
          <w:bCs/>
          <w:sz w:val="22"/>
        </w:rPr>
        <w:t>Discussion</w:t>
      </w:r>
    </w:p>
    <w:p w14:paraId="51868DE6"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The results presented in Figures </w:t>
      </w:r>
      <w:r w:rsidR="00353559" w:rsidRPr="00430F29">
        <w:rPr>
          <w:rFonts w:ascii="Times New Roman" w:hAnsi="Times New Roman" w:cs="Times New Roman"/>
          <w:sz w:val="22"/>
        </w:rPr>
        <w:t>1</w:t>
      </w:r>
      <w:r w:rsidRPr="00430F29">
        <w:rPr>
          <w:rFonts w:ascii="Times New Roman" w:hAnsi="Times New Roman" w:cs="Times New Roman"/>
          <w:sz w:val="22"/>
        </w:rPr>
        <w:t xml:space="preserve"> and </w:t>
      </w:r>
      <w:r w:rsidR="00353559" w:rsidRPr="00430F29">
        <w:rPr>
          <w:rFonts w:ascii="Times New Roman" w:hAnsi="Times New Roman" w:cs="Times New Roman"/>
          <w:sz w:val="22"/>
        </w:rPr>
        <w:t>2</w:t>
      </w:r>
      <w:r w:rsidRPr="00430F29">
        <w:rPr>
          <w:rFonts w:ascii="Times New Roman" w:hAnsi="Times New Roman" w:cs="Times New Roman"/>
          <w:sz w:val="22"/>
        </w:rPr>
        <w:t xml:space="preserve"> illustrate the proximate analysis of both processed and raw food items collected from selected states in North-Central Nigeria. Figure </w:t>
      </w:r>
      <w:r w:rsidR="00353559" w:rsidRPr="00430F29">
        <w:rPr>
          <w:rFonts w:ascii="Times New Roman" w:hAnsi="Times New Roman" w:cs="Times New Roman"/>
          <w:sz w:val="22"/>
        </w:rPr>
        <w:t>1</w:t>
      </w:r>
      <w:r w:rsidRPr="00430F29">
        <w:rPr>
          <w:rFonts w:ascii="Times New Roman" w:hAnsi="Times New Roman" w:cs="Times New Roman"/>
          <w:sz w:val="22"/>
        </w:rPr>
        <w:t xml:space="preserve"> highlights processed foods such as Beans Porridge, Jollof Rice, Pounded Yam and Fish Soup, Pounded Yam and Egusi, Roasted Yam and Red Oil, Okpa, Moi-moi, Yam Porridge, Tuwo Masara and Dried Okra, Cassava, and Kuli-kuli, while Figure </w:t>
      </w:r>
      <w:r w:rsidR="00353559" w:rsidRPr="00430F29">
        <w:rPr>
          <w:rFonts w:ascii="Times New Roman" w:hAnsi="Times New Roman" w:cs="Times New Roman"/>
          <w:sz w:val="22"/>
        </w:rPr>
        <w:t>2</w:t>
      </w:r>
      <w:r w:rsidRPr="00430F29">
        <w:rPr>
          <w:rFonts w:ascii="Times New Roman" w:hAnsi="Times New Roman" w:cs="Times New Roman"/>
          <w:sz w:val="22"/>
        </w:rPr>
        <w:t xml:space="preserve"> focuses on raw ingredients including Ginger, Bambara Nut, Beans, Cassava, Corn Flour, Salt, Sugar, Egusi, Tomatoes, Pepper, Locust Beans, Yam, Rice, Seasoning Cubes, Fish, Crayfish, Dried Okra, Ugwu, Meat, Moringa, Onions, and Kuli-kuli.</w:t>
      </w:r>
    </w:p>
    <w:p w14:paraId="31FE835A"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The biochemical analysis of the food samples presented in the figures reveals significant insights into their nutritional composition, which has important implications for dietary health and food security in the region. Each component—ash, moisture, crude fat, crude protein, crude fiber, and carbohydrates—provides valuable information about the food's nutritional value and potential health benefits.</w:t>
      </w:r>
    </w:p>
    <w:p w14:paraId="0C01E286" w14:textId="77777777" w:rsidR="00A05C67" w:rsidRPr="00430F29" w:rsidRDefault="00A05C67" w:rsidP="00430F29">
      <w:pPr>
        <w:spacing w:after="0" w:line="240" w:lineRule="auto"/>
        <w:jc w:val="both"/>
        <w:rPr>
          <w:rFonts w:ascii="Times New Roman" w:hAnsi="Times New Roman" w:cs="Times New Roman"/>
          <w:bCs/>
          <w:sz w:val="22"/>
        </w:rPr>
      </w:pPr>
      <w:r w:rsidRPr="00430F29">
        <w:rPr>
          <w:rFonts w:ascii="Times New Roman" w:hAnsi="Times New Roman" w:cs="Times New Roman"/>
          <w:bCs/>
          <w:sz w:val="22"/>
        </w:rPr>
        <w:t>The ash content of food samples is a critical indicator of their mineral composition and overall nutritional value, reflecting the inorganic residue remaining after organic matter is burned. The analysis reveals a wide range of ash content, from 0.04% in sugar to 98.98% in salt, highlighting significant variability in mineral content across different foods. High ash content foods, such as salt (98.98%), are primarily composed of sodium chloride, which is essential for physiological functions but can contribute to hypertension when consumed excessively (Petrikova</w:t>
      </w:r>
      <w:r w:rsidR="00353559" w:rsidRPr="00430F29">
        <w:rPr>
          <w:rFonts w:ascii="Times New Roman" w:hAnsi="Times New Roman" w:cs="Times New Roman"/>
          <w:bCs/>
          <w:sz w:val="22"/>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2023). Protein sources like crayfish (16.84%) and fish (14.53%) are rich in minerals such as calcium and phosphorus, vital for bone health (Baker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2016). Moderate ash content is found in foods like Moi-moi (11.41%) and tomatoes (14.20%), which not only provide minerals but also vitamins and antioxidants that enhance overall health (</w:t>
      </w:r>
      <w:r w:rsidRPr="00430F29">
        <w:rPr>
          <w:rFonts w:ascii="Times New Roman" w:hAnsi="Times New Roman" w:cs="Times New Roman"/>
          <w:bCs/>
          <w:sz w:val="22"/>
          <w:lang w:val="en-GB"/>
        </w:rPr>
        <w:t>Iwar, &amp; Amu, 2021</w:t>
      </w:r>
      <w:r w:rsidRPr="00430F29">
        <w:rPr>
          <w:rFonts w:ascii="Times New Roman" w:hAnsi="Times New Roman" w:cs="Times New Roman"/>
          <w:bCs/>
          <w:sz w:val="22"/>
        </w:rPr>
        <w:t>). Conversely, low ash content foods like rice (0.48%) and sugar (0.04%) indicate minimal mineral presence, suggesting the need for complementary foods to meet mineral requirements. Biochemically, minerals play essential roles in enzyme function, nerve transmission, and muscle contraction, with adequate intake linked to lower risks of chronic diseases such as hypertension and osteoporosis (I</w:t>
      </w:r>
      <w:r w:rsidRPr="00430F29">
        <w:rPr>
          <w:rFonts w:ascii="Times New Roman" w:hAnsi="Times New Roman" w:cs="Times New Roman"/>
          <w:bCs/>
          <w:sz w:val="22"/>
          <w:lang w:val="en-GB"/>
        </w:rPr>
        <w:t>war&amp; Amu, 2021</w:t>
      </w:r>
      <w:r w:rsidRPr="00430F29">
        <w:rPr>
          <w:rFonts w:ascii="Times New Roman" w:hAnsi="Times New Roman" w:cs="Times New Roman"/>
          <w:bCs/>
          <w:sz w:val="22"/>
        </w:rPr>
        <w:t>). The bioavailability of these minerals can be influenced by dietary factors, including the presence of phytates and oxalates, and the combination of foods, such as pairing vitamin C-rich foods with iron sources to enhance absorption (</w:t>
      </w:r>
      <w:r w:rsidRPr="00430F29">
        <w:rPr>
          <w:rFonts w:ascii="Times New Roman" w:hAnsi="Times New Roman" w:cs="Times New Roman"/>
          <w:bCs/>
          <w:sz w:val="22"/>
          <w:lang w:val="en-GB"/>
        </w:rPr>
        <w:t>Israr</w:t>
      </w:r>
      <w:r w:rsidR="00353559"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2013). Understanding ash content can guide dietary recommendations, encouraging the inclusion of mineral-rich foods to improve nutritional status and address specific deficiencies.</w:t>
      </w:r>
    </w:p>
    <w:p w14:paraId="3F5BE574" w14:textId="77777777" w:rsidR="00A05C67" w:rsidRPr="00430F29" w:rsidRDefault="00A05C67" w:rsidP="00430F29">
      <w:pPr>
        <w:spacing w:after="0" w:line="240" w:lineRule="auto"/>
        <w:jc w:val="both"/>
        <w:rPr>
          <w:rFonts w:ascii="Times New Roman" w:hAnsi="Times New Roman" w:cs="Times New Roman"/>
          <w:bCs/>
          <w:sz w:val="22"/>
        </w:rPr>
      </w:pPr>
      <w:r w:rsidRPr="00430F29">
        <w:rPr>
          <w:rFonts w:ascii="Times New Roman" w:hAnsi="Times New Roman" w:cs="Times New Roman"/>
          <w:bCs/>
          <w:sz w:val="22"/>
        </w:rPr>
        <w:t>Moisture content is a vital parameter in food science, significantly influencing the biochemical properties, nutritional value, shelf life, and safety of food products. The analysis reveals a moisture range from 0.04% in salt to 20.19% in tomatoes, indicating substantial variability across food items. High moisture foods like tomatoes (20.19%) are not only hydrating but also rich in vitamins and antioxidants, such as vitamin C and lycopene, which are linked to reduced chronic disease risk (</w:t>
      </w:r>
      <w:r w:rsidRPr="00430F29">
        <w:rPr>
          <w:rFonts w:ascii="Times New Roman" w:hAnsi="Times New Roman" w:cs="Times New Roman"/>
          <w:bCs/>
          <w:sz w:val="22"/>
          <w:lang w:val="en-GB"/>
        </w:rPr>
        <w:t>Zambrano</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2019). Dishes like Okpa (7.78%) and Pounded Yam and Fish Soup (7.47%) also benefit from moisture, enhancing texture and nutrient absorption. Moderate moisture levels in staples like rice (11.88%) and corn flour (11.64%) influence cooking times and starch digestibility, while fish (9.87%) and crayfish (10.40%) maintain flavor and protein digestibility. Conversely, low moisture foods, such as Bambara Nut (0.70%) and ginger (1.69%), exhibit longer shelf life due to reduced microbial growth, although they may require rehydration for improved palatability. The moisture content also plays a crucial role in food safety, as high levels can promote spoilage and food</w:t>
      </w:r>
      <w:r w:rsidR="00D94F35" w:rsidRPr="00430F29">
        <w:rPr>
          <w:rFonts w:ascii="Times New Roman" w:hAnsi="Times New Roman" w:cs="Times New Roman"/>
          <w:bCs/>
          <w:sz w:val="22"/>
        </w:rPr>
        <w:t>-</w:t>
      </w:r>
      <w:r w:rsidRPr="00430F29">
        <w:rPr>
          <w:rFonts w:ascii="Times New Roman" w:hAnsi="Times New Roman" w:cs="Times New Roman"/>
          <w:bCs/>
          <w:sz w:val="22"/>
        </w:rPr>
        <w:t>borne pathogens, necessitating preservation methods like drying (WHO</w:t>
      </w:r>
      <w:r w:rsidRPr="00430F29">
        <w:rPr>
          <w:rFonts w:ascii="Times New Roman" w:hAnsi="Times New Roman" w:cs="Times New Roman"/>
          <w:bCs/>
          <w:i/>
          <w:sz w:val="22"/>
        </w:rPr>
        <w:t>,</w:t>
      </w:r>
      <w:r w:rsidRPr="00430F29">
        <w:rPr>
          <w:rFonts w:ascii="Times New Roman" w:hAnsi="Times New Roman" w:cs="Times New Roman"/>
          <w:bCs/>
          <w:sz w:val="22"/>
        </w:rPr>
        <w:t xml:space="preserve"> 2022). Additionally, moisture affects the digestibility of macronutrients and cooking methods, with higher moisture foods generally requiring less cooking time (</w:t>
      </w:r>
      <w:r w:rsidRPr="00430F29">
        <w:rPr>
          <w:rFonts w:ascii="Times New Roman" w:hAnsi="Times New Roman" w:cs="Times New Roman"/>
          <w:bCs/>
          <w:sz w:val="22"/>
          <w:lang w:val="en-GB"/>
        </w:rPr>
        <w:t>Zambrano</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2019). Understanding moisture content is essential for dietary recommendations, promoting high-moisture foods like fruits and vegetables for their health benefits while recognizing the role of low-moisture foods in energy-dense diets (WHO</w:t>
      </w:r>
      <w:r w:rsidRPr="00430F29">
        <w:rPr>
          <w:rFonts w:ascii="Times New Roman" w:hAnsi="Times New Roman" w:cs="Times New Roman"/>
          <w:bCs/>
          <w:i/>
          <w:sz w:val="22"/>
        </w:rPr>
        <w:t>,</w:t>
      </w:r>
      <w:r w:rsidRPr="00430F29">
        <w:rPr>
          <w:rFonts w:ascii="Times New Roman" w:hAnsi="Times New Roman" w:cs="Times New Roman"/>
          <w:bCs/>
          <w:sz w:val="22"/>
        </w:rPr>
        <w:t xml:space="preserve"> 2022).</w:t>
      </w:r>
    </w:p>
    <w:p w14:paraId="437E6483" w14:textId="77777777" w:rsidR="00A05C67" w:rsidRPr="00430F29" w:rsidRDefault="00A05C67" w:rsidP="00430F29">
      <w:pPr>
        <w:spacing w:after="0" w:line="240" w:lineRule="auto"/>
        <w:jc w:val="both"/>
        <w:rPr>
          <w:rFonts w:ascii="Times New Roman" w:hAnsi="Times New Roman" w:cs="Times New Roman"/>
          <w:bCs/>
          <w:sz w:val="22"/>
        </w:rPr>
      </w:pPr>
      <w:r w:rsidRPr="00430F29">
        <w:rPr>
          <w:rFonts w:ascii="Times New Roman" w:hAnsi="Times New Roman" w:cs="Times New Roman"/>
          <w:bCs/>
          <w:sz w:val="22"/>
        </w:rPr>
        <w:t xml:space="preserve">The biochemical analysis of crude fat content in various food samples reveals significant variability, with values ranging from 0.35% in sugar to 56.14% in egusi, highlighting the importance of lipids as a crucial nutritional parameter. High-fat foods like egusi (56.14%) and locust beans (39.40%) are rich in unsaturated fatty acids, which are beneficial for heart health and contribute to energy density and satiety </w:t>
      </w:r>
      <w:r w:rsidRPr="00430F29">
        <w:rPr>
          <w:rFonts w:ascii="Times New Roman" w:hAnsi="Times New Roman" w:cs="Times New Roman"/>
          <w:bCs/>
          <w:sz w:val="22"/>
        </w:rPr>
        <w:lastRenderedPageBreak/>
        <w:t>(</w:t>
      </w:r>
      <w:r w:rsidRPr="00430F29">
        <w:rPr>
          <w:rFonts w:ascii="Times New Roman" w:hAnsi="Times New Roman" w:cs="Times New Roman"/>
          <w:bCs/>
          <w:sz w:val="22"/>
          <w:lang w:val="en-GB"/>
        </w:rPr>
        <w:t>Omah</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2015). Moderate fat content is observed in dishes such as Okpa (26.98%) and Jollof Rice (26.53%), where added oils enhance flavor and facilitate the absorption of fat-soluble vitamins (</w:t>
      </w:r>
      <w:r w:rsidRPr="00430F29">
        <w:rPr>
          <w:rFonts w:ascii="Times New Roman" w:hAnsi="Times New Roman" w:cs="Times New Roman"/>
          <w:bCs/>
          <w:sz w:val="22"/>
          <w:lang w:val="en-GB"/>
        </w:rPr>
        <w:t>Fletcher, 2020</w:t>
      </w:r>
      <w:r w:rsidRPr="00430F29">
        <w:rPr>
          <w:rFonts w:ascii="Times New Roman" w:hAnsi="Times New Roman" w:cs="Times New Roman"/>
          <w:bCs/>
          <w:sz w:val="22"/>
        </w:rPr>
        <w:t>). Conversely, low-fat foods like rice (0.69%) and sugar (0.35%) primarily serve as energy sources and may require pairing with higher-fat items to meet essential fatty acid needs. Biochemically, fats provide concentrated energy (9 kcal/g), support the intake of essential fatty acids crucial for inflammation regulation and cardiovascular health (</w:t>
      </w:r>
      <w:r w:rsidRPr="00430F29">
        <w:rPr>
          <w:rFonts w:ascii="Times New Roman" w:hAnsi="Times New Roman" w:cs="Times New Roman"/>
          <w:bCs/>
          <w:sz w:val="22"/>
          <w:lang w:val="en-GB"/>
        </w:rPr>
        <w:t>Trugo</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sz w:val="22"/>
          <w:lang w:val="en-GB"/>
        </w:rPr>
        <w:t>&amp; Torres, 2003</w:t>
      </w:r>
      <w:r w:rsidRPr="00430F29">
        <w:rPr>
          <w:rFonts w:ascii="Times New Roman" w:hAnsi="Times New Roman" w:cs="Times New Roman"/>
          <w:bCs/>
          <w:sz w:val="22"/>
        </w:rPr>
        <w:t>), and enhance the absorption of fat-soluble vitamins (A, D, E, and K) (</w:t>
      </w:r>
      <w:r w:rsidRPr="00430F29">
        <w:rPr>
          <w:rFonts w:ascii="Times New Roman" w:hAnsi="Times New Roman" w:cs="Times New Roman"/>
          <w:bCs/>
          <w:sz w:val="22"/>
          <w:lang w:val="en-GB"/>
        </w:rPr>
        <w:t>Fletcher, 2020</w:t>
      </w:r>
      <w:r w:rsidRPr="00430F29">
        <w:rPr>
          <w:rFonts w:ascii="Times New Roman" w:hAnsi="Times New Roman" w:cs="Times New Roman"/>
          <w:bCs/>
          <w:sz w:val="22"/>
        </w:rPr>
        <w:t>). Additionally, high-fat foods can promote satiety, aiding in appetite regulation and weight management. Understanding the crude fat content in foods is essential for dietary recommendations, emphasizing the need to prioritize unsaturated fats while limiting saturated and trans fats to mitigate cardiovascular disease risk (</w:t>
      </w:r>
      <w:r w:rsidRPr="00430F29">
        <w:rPr>
          <w:rFonts w:ascii="Times New Roman" w:hAnsi="Times New Roman" w:cs="Times New Roman"/>
          <w:bCs/>
          <w:sz w:val="22"/>
          <w:lang w:val="en-GB"/>
        </w:rPr>
        <w:t>Trugo</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sz w:val="22"/>
          <w:lang w:val="en-GB"/>
        </w:rPr>
        <w:t>&amp; Torres, 2003</w:t>
      </w:r>
      <w:r w:rsidRPr="00430F29">
        <w:rPr>
          <w:rFonts w:ascii="Times New Roman" w:hAnsi="Times New Roman" w:cs="Times New Roman"/>
          <w:bCs/>
          <w:sz w:val="22"/>
        </w:rPr>
        <w:t>).</w:t>
      </w:r>
    </w:p>
    <w:p w14:paraId="62E2D978" w14:textId="77777777" w:rsidR="00A05C67" w:rsidRPr="00430F29" w:rsidRDefault="00A05C67" w:rsidP="00430F29">
      <w:pPr>
        <w:spacing w:after="0" w:line="240" w:lineRule="auto"/>
        <w:jc w:val="both"/>
        <w:rPr>
          <w:rFonts w:ascii="Times New Roman" w:hAnsi="Times New Roman" w:cs="Times New Roman"/>
          <w:bCs/>
          <w:sz w:val="22"/>
        </w:rPr>
      </w:pPr>
      <w:r w:rsidRPr="00430F29">
        <w:rPr>
          <w:rFonts w:ascii="Times New Roman" w:hAnsi="Times New Roman" w:cs="Times New Roman"/>
          <w:bCs/>
          <w:sz w:val="22"/>
        </w:rPr>
        <w:t>The biochemical analysis of crude protein content in various food samples reveals significant variability, with values ranging from 0.01% in salt to 52.73% in fish, underscoring the importance of protein as a critical nutritional parameter. High-protein foods like fish (52.73%) and meat (47.7%) provide complete proteins, essential amino acids, and vital micronutrients, supporting muscle maintenance, immune function, and overall health (</w:t>
      </w:r>
      <w:r w:rsidRPr="00430F29">
        <w:rPr>
          <w:rFonts w:ascii="Times New Roman" w:hAnsi="Times New Roman" w:cs="Times New Roman"/>
          <w:bCs/>
          <w:sz w:val="22"/>
          <w:lang w:val="en-GB"/>
        </w:rPr>
        <w:t>Trugo</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sz w:val="22"/>
          <w:lang w:val="en-GB"/>
        </w:rPr>
        <w:t>&amp; Torres, 2003</w:t>
      </w:r>
      <w:r w:rsidRPr="00430F29">
        <w:rPr>
          <w:rFonts w:ascii="Times New Roman" w:hAnsi="Times New Roman" w:cs="Times New Roman"/>
          <w:bCs/>
          <w:sz w:val="22"/>
        </w:rPr>
        <w:t>). Moderate protein sources, such as beans (38.97%) and crayfish (43.33%), contribute essential amino acids and other nutrients, while low-protein foods like rice (2.30%) and cassava (3.27%) primarily serve as energy sources, necessitating pairing with higher protein items to meet dietary needs (</w:t>
      </w:r>
      <w:r w:rsidRPr="00430F29">
        <w:rPr>
          <w:rFonts w:ascii="Times New Roman" w:hAnsi="Times New Roman" w:cs="Times New Roman"/>
          <w:bCs/>
          <w:sz w:val="22"/>
          <w:lang w:val="en-GB"/>
        </w:rPr>
        <w:t>Petrikova</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2012). The quality of protein, determined by the amino acid profile, is crucial for muscle repair and immune function, with high-quality sources enhancing overall health. Additionally, protein's role in promoting satiety can aid in weight management, making it a vital component of dietary recommendations, which suggest adults aim for 46-56 grams of protein daily (</w:t>
      </w:r>
      <w:r w:rsidRPr="00430F29">
        <w:rPr>
          <w:rFonts w:ascii="Times New Roman" w:hAnsi="Times New Roman" w:cs="Times New Roman"/>
          <w:bCs/>
          <w:sz w:val="22"/>
          <w:lang w:val="en-GB"/>
        </w:rPr>
        <w:t>Carbone</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sz w:val="22"/>
          <w:lang w:val="en-GB"/>
        </w:rPr>
        <w:t>&amp; Pasiakos, 2019</w:t>
      </w:r>
      <w:r w:rsidRPr="00430F29">
        <w:rPr>
          <w:rFonts w:ascii="Times New Roman" w:hAnsi="Times New Roman" w:cs="Times New Roman"/>
          <w:bCs/>
          <w:sz w:val="22"/>
        </w:rPr>
        <w:t>). This analysis highlights the need to prioritize high-protein foods in dietary guidelines to ensure adequate protein intake for optimal health outcomes.</w:t>
      </w:r>
    </w:p>
    <w:p w14:paraId="33BDAF4E"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The crude fiber content of various food samples was analyzed, revealing a significant range of values from 0.00% (salt) to 46.05% (tomatoes). Tomatoes and moringa food exhibited high crude fiber content, with values of 46.05% and 33.31%, respectively, making them excellent sources of dietary fiber for promoting digestive health, supporting healthy blood sugar levels, and aiding in weight management (</w:t>
      </w:r>
      <w:r w:rsidRPr="00430F29">
        <w:rPr>
          <w:rFonts w:ascii="Times New Roman" w:hAnsi="Times New Roman" w:cs="Times New Roman"/>
          <w:sz w:val="22"/>
          <w:lang w:val="en-GB"/>
        </w:rPr>
        <w:t>Bamishaiye</w:t>
      </w:r>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 Moderate fiber content was observed in foods such as beans porridge, kuli-kuli, okpa, ugwu, and pepper, which are rich in soluble and insoluble fiber, supporting digestive health and weight. In contrast, refined and processed foods like salt, sugar, and rice had low fiber content, highlighting the importance of consuming whole, nutrient-dense foods to meet daily fiber recommendations (</w:t>
      </w:r>
      <w:r w:rsidRPr="00430F29">
        <w:rPr>
          <w:rFonts w:ascii="Times New Roman" w:hAnsi="Times New Roman" w:cs="Times New Roman"/>
          <w:sz w:val="22"/>
          <w:lang w:val="en-GB"/>
        </w:rPr>
        <w:t>Ionită-Mîndrican</w:t>
      </w:r>
      <w:r w:rsidRPr="00430F29">
        <w:rPr>
          <w:rFonts w:ascii="Times New Roman" w:hAnsi="Times New Roman" w:cs="Times New Roman"/>
          <w:i/>
          <w:sz w:val="22"/>
        </w:rPr>
        <w:t>et al.,</w:t>
      </w:r>
      <w:r w:rsidRPr="00430F29">
        <w:rPr>
          <w:rFonts w:ascii="Times New Roman" w:hAnsi="Times New Roman" w:cs="Times New Roman"/>
          <w:sz w:val="22"/>
          <w:lang w:val="en-GB"/>
        </w:rPr>
        <w:t>2022</w:t>
      </w:r>
      <w:r w:rsidRPr="00430F29">
        <w:rPr>
          <w:rFonts w:ascii="Times New Roman" w:hAnsi="Times New Roman" w:cs="Times New Roman"/>
          <w:sz w:val="22"/>
        </w:rPr>
        <w:t>). The biochemical implications of crude fiber content are significant, with dietary fiber playing a crucial role in maintaining digestive health, controlling blood sugar levels, supporting weight management, and promoting cardiovascular health (</w:t>
      </w:r>
      <w:r w:rsidRPr="00430F29">
        <w:rPr>
          <w:rFonts w:ascii="Times New Roman" w:hAnsi="Times New Roman" w:cs="Times New Roman"/>
          <w:sz w:val="22"/>
          <w:lang w:val="en-GB"/>
        </w:rPr>
        <w:t>Bamishaiye</w:t>
      </w:r>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w:t>
      </w:r>
    </w:p>
    <w:p w14:paraId="0EFB0D98"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Carbohydrates are essential macronutrients that serve as the body's primary energy source, with their content varying significantly across different food items, ranging from 0.00% in salt and fish to 92.77% in sugar. High carbohydrate foods, such as sugar (92.77%) and cassava (81.56%), provide quick energy but may lack essential nutrients, potentially leading to health issues like obesity and diabetes when consumed excessively (</w:t>
      </w:r>
      <w:r w:rsidRPr="00430F29">
        <w:rPr>
          <w:rFonts w:ascii="Times New Roman" w:hAnsi="Times New Roman" w:cs="Times New Roman"/>
          <w:sz w:val="22"/>
          <w:lang w:val="en-GB"/>
        </w:rPr>
        <w:t xml:space="preserve">Holesh </w:t>
      </w:r>
      <w:r w:rsidRPr="00430F29">
        <w:rPr>
          <w:rFonts w:ascii="Times New Roman" w:hAnsi="Times New Roman" w:cs="Times New Roman"/>
          <w:i/>
          <w:sz w:val="22"/>
        </w:rPr>
        <w:t>et al.,</w:t>
      </w:r>
      <w:r w:rsidRPr="00430F29">
        <w:rPr>
          <w:rFonts w:ascii="Times New Roman" w:hAnsi="Times New Roman" w:cs="Times New Roman"/>
          <w:sz w:val="22"/>
        </w:rPr>
        <w:t xml:space="preserve"> 2023). Moderate carbohydrate sources, including okpa (78.11%), yam (72.85%), and jollof rice (39.49%), offer sustained energy and are often rich in dietary fiber, which aids digestion and promotes satiety (</w:t>
      </w:r>
      <w:r w:rsidRPr="00430F29">
        <w:rPr>
          <w:rFonts w:ascii="Times New Roman" w:hAnsi="Times New Roman" w:cs="Times New Roman"/>
          <w:sz w:val="22"/>
          <w:lang w:val="en-GB"/>
        </w:rPr>
        <w:t>Bamishaiye</w:t>
      </w:r>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 Conversely, low carbohydrate foods, such as salt (0.00%) and egusi (0.04%), primarily provide minerals or proteins without contributing significantly to carbohydrate intake. The biochemical implications of carbohydrate consumption include energy provision (4 kcal per gram), blood sugar regulation, and dietary fiber contributions that support digestive health and weight management (</w:t>
      </w:r>
      <w:r w:rsidRPr="00430F29">
        <w:rPr>
          <w:rFonts w:ascii="Times New Roman" w:hAnsi="Times New Roman" w:cs="Times New Roman"/>
          <w:sz w:val="22"/>
          <w:lang w:val="en-GB"/>
        </w:rPr>
        <w:t xml:space="preserve">Holesh </w:t>
      </w:r>
      <w:r w:rsidRPr="00430F29">
        <w:rPr>
          <w:rFonts w:ascii="Times New Roman" w:hAnsi="Times New Roman" w:cs="Times New Roman"/>
          <w:i/>
          <w:sz w:val="22"/>
        </w:rPr>
        <w:t>et al.,</w:t>
      </w:r>
      <w:r w:rsidRPr="00430F29">
        <w:rPr>
          <w:rFonts w:ascii="Times New Roman" w:hAnsi="Times New Roman" w:cs="Times New Roman"/>
          <w:sz w:val="22"/>
        </w:rPr>
        <w:t xml:space="preserve"> 2023). Understanding carbohydrate content is crucial for dietary recommendations, as it is advised that carbohydrates should constitute 45-65% of total daily caloric intake, emphasizing the importance of whole grains, fruits, and vegetables over refined sugars.</w:t>
      </w:r>
    </w:p>
    <w:p w14:paraId="504533EB" w14:textId="3AFA0CAD"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The results presented in Figures </w:t>
      </w:r>
      <w:r w:rsidR="00353559" w:rsidRPr="00430F29">
        <w:rPr>
          <w:rFonts w:ascii="Times New Roman" w:hAnsi="Times New Roman" w:cs="Times New Roman"/>
          <w:sz w:val="22"/>
        </w:rPr>
        <w:t>3</w:t>
      </w:r>
      <w:r w:rsidRPr="00430F29">
        <w:rPr>
          <w:rFonts w:ascii="Times New Roman" w:hAnsi="Times New Roman" w:cs="Times New Roman"/>
          <w:sz w:val="22"/>
        </w:rPr>
        <w:t xml:space="preserve"> and </w:t>
      </w:r>
      <w:r w:rsidR="00353559" w:rsidRPr="00430F29">
        <w:rPr>
          <w:rFonts w:ascii="Times New Roman" w:hAnsi="Times New Roman" w:cs="Times New Roman"/>
          <w:sz w:val="22"/>
        </w:rPr>
        <w:t>4</w:t>
      </w:r>
      <w:r w:rsidRPr="00430F29">
        <w:rPr>
          <w:rFonts w:ascii="Times New Roman" w:hAnsi="Times New Roman" w:cs="Times New Roman"/>
          <w:sz w:val="22"/>
        </w:rPr>
        <w:t xml:space="preserve"> provide a comprehensive overview of the mineral constituents found in both processed and raw, locally sourced foods consumed in the North-Central states of Nigeria. Figure 4. highlights the mineral content of various processed foods, revealing essential nutrients such as </w:t>
      </w:r>
      <w:r w:rsidRPr="00430F29">
        <w:rPr>
          <w:rFonts w:ascii="Times New Roman" w:hAnsi="Times New Roman" w:cs="Times New Roman"/>
          <w:sz w:val="22"/>
        </w:rPr>
        <w:lastRenderedPageBreak/>
        <w:t xml:space="preserve">calcium, cadmium, cobalt, chromium, copper, iron, potassium, lithium, magnesium, manganese, sodium, nickel, lead, and zinc in items like Beans Porridge, Jollof Rice, Pounded Yam and Fish Soup, and Moi Moi, among others. In contrast, Figure </w:t>
      </w:r>
      <w:r w:rsidR="00353559" w:rsidRPr="00430F29">
        <w:rPr>
          <w:rFonts w:ascii="Times New Roman" w:hAnsi="Times New Roman" w:cs="Times New Roman"/>
          <w:sz w:val="22"/>
        </w:rPr>
        <w:t>4</w:t>
      </w:r>
      <w:r w:rsidRPr="00430F29">
        <w:rPr>
          <w:rFonts w:ascii="Times New Roman" w:hAnsi="Times New Roman" w:cs="Times New Roman"/>
          <w:sz w:val="22"/>
        </w:rPr>
        <w:t xml:space="preserve"> focuses on raw ingredients, including Ginger, Bambara Nut, Beans, Cassava, Corn Flour, Salt, Sugar, Egusi, Tomatoes, Pepper, Locust Beans, Yam, Rice, Seasoning Cubes, Fish, Crayfish, Dried Okra, Ugwu, Meat, Moringa, Onions, and Kuli-kuli.</w:t>
      </w:r>
    </w:p>
    <w:p w14:paraId="09E5A4F4"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Moringa and Kuli Kuli exhibit the highest calcium concentration among processed foods, with Moringa containing 68.53 mg, significantly surpassing other items such as Moi Moi (31.38 mg) and Dafa (23.12 mg). This high calcium content is essential for bone health, muscle contraction, and nerve function, indicating that incorporating Moringa into the diet could effectively address common calcium deficiencies in the region (</w:t>
      </w:r>
      <w:r w:rsidRPr="00430F29">
        <w:rPr>
          <w:rFonts w:ascii="Times New Roman" w:hAnsi="Times New Roman" w:cs="Times New Roman"/>
          <w:sz w:val="22"/>
          <w:lang w:val="en-GB"/>
        </w:rPr>
        <w:t>Bamishaiye</w:t>
      </w:r>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 xml:space="preserve">). In contrast, processed foods like Tuwo Masara (9.86 mg) and Okpa (14.16 mg) contribute less to daily calcium intake, suggesting that while they are part of the local diet, they may not be sufficient sources of this vital mineral. When comparing these processed foods to raw ingredients, the biochemical data reveals a diverse range of calcium concentrations. For instance, raw Crayfish contains 52.95 mg of calcium, which is substantial and highlights its potential as a valuable source of this mineral. Additionally, Dried Okra (43.39 mg) and Okpa Leaf (45.15 mg) also provide significant calcium levels, making them important contributors to dietary calcium intake. Notably, Locust Beans, with a calcium concentration of 68.34 mg, rivals Moringa and underscores the nutritional value of raw foods in addressing calcium needs. </w:t>
      </w:r>
    </w:p>
    <w:p w14:paraId="49F5CB4E"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The differences in calcium content between processed and raw foods can be attributed to several factors. Processed foods often undergo cooking and preparation methods that can alter their nutrient profiles, sometimes leading to nutrient loss. For example, the preparation of Moi Moi and Dafa may not retain all the calcium present in their raw ingredients. Conversely, raw foods typically preserve their nutrient content better, making them reliable sources of essential minerals. Furthermore, the presence of calcium in processed foods like Moi Moi and Dafa indicates that these dishes can still serve as valuable sources of this essential mineral, particularly when combined with other calcium-rich foods. However, the overall lower calcium content in many processed foods compared to raw ingredients suggests that a balanced diet incorporating both food types is crucial for meeting calcium requirements. Recent studies have reinforced the importance of dietary calcium for health, emphasizing the role of both raw and processed foods in achieving adequate intake. For instance, a study by </w:t>
      </w:r>
      <w:r w:rsidRPr="00430F29">
        <w:rPr>
          <w:rFonts w:ascii="Times New Roman" w:hAnsi="Times New Roman" w:cs="Times New Roman"/>
          <w:bCs/>
          <w:sz w:val="22"/>
          <w:lang w:val="en-GB"/>
        </w:rPr>
        <w:t>Petrikova</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sz w:val="22"/>
        </w:rPr>
        <w:t xml:space="preserve">(2012) highlights the nutritional benefits of traditional foods in Nigeria, while </w:t>
      </w:r>
      <w:r w:rsidRPr="00430F29">
        <w:rPr>
          <w:rFonts w:ascii="Times New Roman" w:hAnsi="Times New Roman" w:cs="Times New Roman"/>
          <w:sz w:val="22"/>
          <w:lang w:val="en-GB"/>
        </w:rPr>
        <w:t>Bamishaiye</w:t>
      </w:r>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 xml:space="preserve">, discuss the significance of incorporating diverse food sources to combat micronutrient deficiencies. Additionally, research by </w:t>
      </w:r>
      <w:r w:rsidRPr="00430F29">
        <w:rPr>
          <w:rFonts w:ascii="Times New Roman" w:hAnsi="Times New Roman" w:cs="Times New Roman"/>
          <w:sz w:val="22"/>
          <w:lang w:val="en-GB"/>
        </w:rPr>
        <w:t>Israr</w:t>
      </w:r>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rPr>
        <w:t xml:space="preserve"> (2013) emphasizes the need for continuous monitoring of mineral content in local diets to ensure food safety and nutritional adequacy.</w:t>
      </w:r>
    </w:p>
    <w:p w14:paraId="75853EAF"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The analysis of cadmium levels in various food items reveals important distinctions between processed and raw foods consumed in the North-Central states of Nigeria. Most processed foods, including Beans Porridge, Cassava-Kuli-kuli, and Jollof Rice, showed no detectable cadmium levels, while Moringa, Tuwo Masara, and Dried Okra contained trace amounts (0.01 mg). These low cadmium levels suggest that these foods are generally safe for consumption, posing minimal risk of exposure to this toxic heavy metal, which is associated with kidney damage and increased cancer risk (</w:t>
      </w:r>
      <w:r w:rsidRPr="00430F29">
        <w:rPr>
          <w:rFonts w:ascii="Times New Roman" w:hAnsi="Times New Roman" w:cs="Times New Roman"/>
          <w:sz w:val="22"/>
          <w:lang w:val="en-GB"/>
        </w:rPr>
        <w:t>Chunhabundit, 2016</w:t>
      </w:r>
      <w:r w:rsidRPr="00430F29">
        <w:rPr>
          <w:rFonts w:ascii="Times New Roman" w:hAnsi="Times New Roman" w:cs="Times New Roman"/>
          <w:sz w:val="22"/>
        </w:rPr>
        <w:t>). In contrast, the raw food data indicates that many ingredients also exhibit no detectable cadmium levels. For instance, Bambara Nut, Beans, Beef, Crayfish, Dried Okra, and various vegetables such as Fresh Pepper and Tomatoes all show cadmium concentrations of 0.00 mg. This absence of cadmium in raw foods reinforces their safety and nutritional value, as they are less likely to accumulate harmful substances compared to processed foods that may undergo various cooking and preparation methods(</w:t>
      </w:r>
      <w:r w:rsidRPr="00430F29">
        <w:rPr>
          <w:rFonts w:ascii="Times New Roman" w:hAnsi="Times New Roman" w:cs="Times New Roman"/>
          <w:sz w:val="22"/>
          <w:lang w:val="en-GB"/>
        </w:rPr>
        <w:t xml:space="preserve">Chunhabundit, 2016; Schaefer </w:t>
      </w:r>
      <w:r w:rsidRPr="00430F29">
        <w:rPr>
          <w:rFonts w:ascii="Times New Roman" w:hAnsi="Times New Roman" w:cs="Times New Roman"/>
          <w:i/>
          <w:sz w:val="22"/>
        </w:rPr>
        <w:t>et al.,</w:t>
      </w:r>
      <w:r w:rsidRPr="00430F29">
        <w:rPr>
          <w:rFonts w:ascii="Times New Roman" w:hAnsi="Times New Roman" w:cs="Times New Roman"/>
          <w:sz w:val="22"/>
          <w:lang w:val="en-GB"/>
        </w:rPr>
        <w:t xml:space="preserve"> 2020</w:t>
      </w:r>
      <w:r w:rsidRPr="00430F29">
        <w:rPr>
          <w:rFonts w:ascii="Times New Roman" w:hAnsi="Times New Roman" w:cs="Times New Roman"/>
          <w:sz w:val="22"/>
        </w:rPr>
        <w:t>).</w:t>
      </w:r>
    </w:p>
    <w:p w14:paraId="13C2A721"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The presence of trace cadmium in processed foods like Moringa and Tuwo Masara raises questions about the potential sources of contamination, which could stem from environmental factors or agricultural practices. While the levels detected are low, it is essential to monitor these foods to ensure they remain within safe consumption limits. The trace amounts found in processed foods may also reflect the cumulative effects of cadmium exposure from various dietary sources over time (</w:t>
      </w:r>
      <w:r w:rsidRPr="00430F29">
        <w:rPr>
          <w:rFonts w:ascii="Times New Roman" w:hAnsi="Times New Roman" w:cs="Times New Roman"/>
          <w:sz w:val="22"/>
          <w:lang w:val="en-GB"/>
        </w:rPr>
        <w:t xml:space="preserve">Onakpa,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w:t>
      </w:r>
    </w:p>
    <w:p w14:paraId="2D9251AA"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lastRenderedPageBreak/>
        <w:t>Tuwo Masara and Dried Okra exhibit the highest cobalt concentration at 0.36 mg among processed foods, which is essential for vitamin B12 formation, a nutrient vital for red blood cell production and neurological function (</w:t>
      </w:r>
      <w:r w:rsidRPr="00430F29">
        <w:rPr>
          <w:rFonts w:ascii="Times New Roman" w:hAnsi="Times New Roman" w:cs="Times New Roman"/>
          <w:sz w:val="22"/>
          <w:lang w:val="en-GB"/>
        </w:rPr>
        <w:t>Ekuma, 2023</w:t>
      </w:r>
      <w:r w:rsidRPr="00430F29">
        <w:rPr>
          <w:rFonts w:ascii="Times New Roman" w:hAnsi="Times New Roman" w:cs="Times New Roman"/>
          <w:sz w:val="22"/>
        </w:rPr>
        <w:t>). The presence of cobalt in these foods indicates that they can serve as dietary sources of this important mineral, particularly beneficial for individuals on plant-based diets who may be at risk of vitamin B12 deficiency due to limited animal product consumption (</w:t>
      </w:r>
      <w:r w:rsidRPr="00430F29">
        <w:rPr>
          <w:rFonts w:ascii="Times New Roman" w:hAnsi="Times New Roman" w:cs="Times New Roman"/>
          <w:sz w:val="22"/>
          <w:lang w:val="en-GB"/>
        </w:rPr>
        <w:t>Department of Agriculture and Food, 2019</w:t>
      </w:r>
      <w:r w:rsidRPr="00430F29">
        <w:rPr>
          <w:rFonts w:ascii="Times New Roman" w:hAnsi="Times New Roman" w:cs="Times New Roman"/>
          <w:sz w:val="22"/>
        </w:rPr>
        <w:t>). In terms of chromium, Tuwo Masara and Dried Okra also show the highest concentration at 33.76 mg, followed by Cassava-Kuli-kuli (24.29 mg) and Jollof Rice (23.02 mg). Chromium plays a crucial role in carbohydrate, fat, and protein metabolism and enhances insulin action, suggesting that these foods can contribute to improved metabolic health (</w:t>
      </w:r>
      <w:r w:rsidRPr="00430F29">
        <w:rPr>
          <w:rFonts w:ascii="Times New Roman" w:hAnsi="Times New Roman" w:cs="Times New Roman"/>
          <w:sz w:val="22"/>
          <w:lang w:val="en-GB"/>
        </w:rPr>
        <w:t>Office of Dietary Supplements, National Institutes of Health, 2022</w:t>
      </w:r>
      <w:r w:rsidRPr="00430F29">
        <w:rPr>
          <w:rFonts w:ascii="Times New Roman" w:hAnsi="Times New Roman" w:cs="Times New Roman"/>
          <w:sz w:val="22"/>
        </w:rPr>
        <w:t>). The high chromium content in these processed foods highlights their potential to support metabolic functions, particularly in populations at risk for insulin resistance and type 2 diabetes.</w:t>
      </w:r>
    </w:p>
    <w:p w14:paraId="6153B4D5"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When comparing these processed foods to raw ingredients, the biochemical data reveals varying concentrations of cobalt and chromium. For instance, raw Dried Ginger contains 0.23 mg of cobalt and a significant chromium concentration of 29.18 mg, making it a valuable source of both minerals. Additionally, Bambara Nut and Beans provide lower cobalt levels (0.05 mg and 0.07 mg, respectively) but show minimal chromium content, with Beans showing no detectable levels. This indicates that while some raw foods may not provide as much cobalt or chromium as processed options like Tuwo Masara and Dried Okra, they still contribute to overall mineral intake (</w:t>
      </w:r>
      <w:r w:rsidRPr="00430F29">
        <w:rPr>
          <w:rFonts w:ascii="Times New Roman" w:hAnsi="Times New Roman" w:cs="Times New Roman"/>
          <w:sz w:val="22"/>
          <w:lang w:val="en-GB"/>
        </w:rPr>
        <w:t>Ekuma, 2023</w:t>
      </w:r>
      <w:r w:rsidRPr="00430F29">
        <w:rPr>
          <w:rFonts w:ascii="Times New Roman" w:hAnsi="Times New Roman" w:cs="Times New Roman"/>
          <w:sz w:val="22"/>
        </w:rPr>
        <w:t>).</w:t>
      </w:r>
    </w:p>
    <w:p w14:paraId="634D338E"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The differences in mineral content between processed and raw foods can be attributed to several factors, including the cooking and preparation methods that processed foods undergo, which can enhance the bioavailability of certain nutrients. For example, the preparation of Tuwo Masara may increase the absorption of cobalt and chromium compared to their raw counterparts. Conversely, raw foods often retain their natural nutrient profiles, making them reliable sources of essential minerals.</w:t>
      </w:r>
    </w:p>
    <w:p w14:paraId="23BFC92C"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Tuwo Masara and Dried Okra exhibit the highest copper concentration at 1.41 mg among processed foods, followed by Cassava-Kuli-kuli (0.57 mg) and Jollof Rice (0.44 mg). Copper is essential for iron metabolism and immune function, playing a critical role in the formation of hemoglobin and the maintenance of healthy connective tissues (</w:t>
      </w:r>
      <w:r w:rsidRPr="00430F29">
        <w:rPr>
          <w:rFonts w:ascii="Times New Roman" w:hAnsi="Times New Roman" w:cs="Times New Roman"/>
          <w:sz w:val="22"/>
          <w:lang w:val="en-GB"/>
        </w:rPr>
        <w:t xml:space="preserve">Onakpa,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 The significant copper content in these processed foods suggests they can contribute to the dietary intake of this vital mineral, particularly for populations that may not consume sufficient amounts from other sources. In terms of iron, Pounded Yam &amp; Fish contains the highest concentration at 24.28 mg, followed closely by Cassava-Kuli-kuli (13.65 mg) and Jollof Rice (13.63 mg). Iron is crucial for oxygen transport in the blood and energy production, making these foods valuable sources for populations at risk of iron deficiency, particularly in regions where anemia is prevalent (</w:t>
      </w:r>
      <w:r w:rsidRPr="00430F29">
        <w:rPr>
          <w:rFonts w:ascii="Times New Roman" w:hAnsi="Times New Roman" w:cs="Times New Roman"/>
          <w:sz w:val="22"/>
          <w:lang w:val="en-GB"/>
        </w:rPr>
        <w:t xml:space="preserve">Ekuma, 2023; Onianwa </w:t>
      </w:r>
      <w:r w:rsidRPr="00430F29">
        <w:rPr>
          <w:rFonts w:ascii="Times New Roman" w:hAnsi="Times New Roman" w:cs="Times New Roman"/>
          <w:i/>
          <w:sz w:val="22"/>
        </w:rPr>
        <w:t>et al.,</w:t>
      </w:r>
      <w:r w:rsidRPr="00430F29">
        <w:rPr>
          <w:rFonts w:ascii="Times New Roman" w:hAnsi="Times New Roman" w:cs="Times New Roman"/>
          <w:sz w:val="22"/>
          <w:lang w:val="en-GB"/>
        </w:rPr>
        <w:t xml:space="preserve"> 2001</w:t>
      </w:r>
      <w:r w:rsidRPr="00430F29">
        <w:rPr>
          <w:rFonts w:ascii="Times New Roman" w:hAnsi="Times New Roman" w:cs="Times New Roman"/>
          <w:sz w:val="22"/>
        </w:rPr>
        <w:t>). The high iron content in Pounded Yam &amp; Fish underscores its importance in the diet, especially for individuals with increased iron needs, such as pregnant women and growing children.</w:t>
      </w:r>
    </w:p>
    <w:p w14:paraId="0F9556C2"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When examining potassium levels, Moringa and Kuli Kuli have the highest concentration at 57.11 mg, followed by Okpa (43.23 mg) and Cassava-Kuli-kuli (36.79 mg). Potassium is vital for maintaining fluid balance, regulating blood pressure, and supporting muscle and nerve function (Institute of Medicine, 2004). The presence of potassium in these foods highlights their potential role in promoting cardiovascular health and preventing hypertension. Comparing processed foods to raw ingredients reveals a diverse range of mineral concentrations. For instance, raw Dried Ginger contains 0.85 mg of copper, which is significant, and it also provides a substantial iron concentration of 13.88 mg. Additionally, Bambara Nut offers 10.73 mg of iron and 54.39 mg of potassium, making it a valuable source of these essential minerals (</w:t>
      </w:r>
      <w:r w:rsidRPr="00430F29">
        <w:rPr>
          <w:rFonts w:ascii="Times New Roman" w:hAnsi="Times New Roman" w:cs="Times New Roman"/>
          <w:sz w:val="22"/>
          <w:lang w:val="en-GB"/>
        </w:rPr>
        <w:t>Hafeez</w:t>
      </w:r>
      <w:r w:rsidR="00AE32AB"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 xml:space="preserve"> 2023</w:t>
      </w:r>
      <w:r w:rsidRPr="00430F29">
        <w:rPr>
          <w:rFonts w:ascii="Times New Roman" w:hAnsi="Times New Roman" w:cs="Times New Roman"/>
          <w:sz w:val="22"/>
        </w:rPr>
        <w:t>). However, the copper content in raw foods tends to be lower than that found in processed options like Tuwo Masara and Dried Okra.</w:t>
      </w:r>
    </w:p>
    <w:p w14:paraId="6F2E05AC"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Pounded Yam &amp; Fish shows a significantly higher lithium concentration of 1.73 mg compared to other food items, which generally have low levels around 0.04 mg. Lithium is known for its potential effects on mental health and mood stabilization, making it an interesting dietary component for individuals seeking to enhance their mental well-being (</w:t>
      </w:r>
      <w:r w:rsidRPr="00430F29">
        <w:rPr>
          <w:rFonts w:ascii="Times New Roman" w:hAnsi="Times New Roman" w:cs="Times New Roman"/>
          <w:sz w:val="22"/>
          <w:lang w:val="en-GB"/>
        </w:rPr>
        <w:t xml:space="preserve">Chokhawala, </w:t>
      </w:r>
      <w:r w:rsidRPr="00430F29">
        <w:rPr>
          <w:rFonts w:ascii="Times New Roman" w:hAnsi="Times New Roman" w:cs="Times New Roman"/>
          <w:i/>
          <w:sz w:val="22"/>
        </w:rPr>
        <w:t>et al.,</w:t>
      </w:r>
      <w:r w:rsidRPr="00430F29">
        <w:rPr>
          <w:rFonts w:ascii="Times New Roman" w:hAnsi="Times New Roman" w:cs="Times New Roman"/>
          <w:sz w:val="22"/>
        </w:rPr>
        <w:t xml:space="preserve">2024). The high lithium content in Pounded Yam &amp; Fish suggests that this dish could play a role in supporting mental health, particularly in populations </w:t>
      </w:r>
      <w:r w:rsidRPr="00430F29">
        <w:rPr>
          <w:rFonts w:ascii="Times New Roman" w:hAnsi="Times New Roman" w:cs="Times New Roman"/>
          <w:sz w:val="22"/>
        </w:rPr>
        <w:lastRenderedPageBreak/>
        <w:t>that may benefit from dietary interventions. In terms of magnesium, Moringa and Kuli Kuli exhibit the highest concentration at 2.73 mg, followed closely by Cassava-Kuli-kuli (2.33 mg) and Beans Porridge (2.10 mg). Magnesium is essential for numerous physiological functions, including muscle and nerve function, blood glucose control, and blood pressure regulation. Adequate magnesium intake is associated with a reduced risk of chronic diseases, such as cardiovascular disease and type 2 diabetes (</w:t>
      </w:r>
      <w:r w:rsidRPr="00430F29">
        <w:rPr>
          <w:rFonts w:ascii="Times New Roman" w:hAnsi="Times New Roman" w:cs="Times New Roman"/>
          <w:sz w:val="22"/>
          <w:lang w:val="en-GB"/>
        </w:rPr>
        <w:t xml:space="preserve">Al Alawi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 The presence of magnesium in these processed foods highlights their potential role in promoting overall health and preventing chronic conditions.</w:t>
      </w:r>
    </w:p>
    <w:p w14:paraId="539C9656"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Pounded Yam &amp; Fish also shows an exceptionally high manganese concentration at 61.19 mg, significantly higher than other foods analyzed. Manganese is involved in antioxidant defense, bone formation, and the metabolism of carbohydrates and fats. The high manganese content in Pounded Yam &amp; Fish suggests that this dish can contribute to the body's antioxidant defenses and support metabolic health (</w:t>
      </w:r>
      <w:r w:rsidRPr="00430F29">
        <w:rPr>
          <w:rFonts w:ascii="Times New Roman" w:hAnsi="Times New Roman" w:cs="Times New Roman"/>
          <w:sz w:val="22"/>
          <w:lang w:val="en-GB"/>
        </w:rPr>
        <w:t>Li</w:t>
      </w:r>
      <w:r w:rsidR="00AE32AB" w:rsidRPr="00430F29">
        <w:rPr>
          <w:rFonts w:ascii="Times New Roman" w:hAnsi="Times New Roman" w:cs="Times New Roman"/>
          <w:sz w:val="22"/>
          <w:lang w:val="en-GB"/>
        </w:rPr>
        <w:t xml:space="preserve"> </w:t>
      </w:r>
      <w:r w:rsidRPr="00430F29">
        <w:rPr>
          <w:rFonts w:ascii="Times New Roman" w:hAnsi="Times New Roman" w:cs="Times New Roman"/>
          <w:sz w:val="22"/>
          <w:lang w:val="en-GB"/>
        </w:rPr>
        <w:t>&amp; Yang, 2018</w:t>
      </w:r>
      <w:r w:rsidRPr="00430F29">
        <w:rPr>
          <w:rFonts w:ascii="Times New Roman" w:hAnsi="Times New Roman" w:cs="Times New Roman"/>
          <w:sz w:val="22"/>
        </w:rPr>
        <w:t>). When comparing these processed foods to raw ingredients, the biochemical data reveals varying concentrations of lithium, magnesium, and manganese. For instance, raw Dried Ginger contains 3.01 mg of magnesium and 4.28 mg of manganese, making it a valuable source of these minerals. Additionally, Crayfish provides 3.03 mg of magnesium and 0.74 mg of manganese, indicating that certain raw foods can also contribute significantly to mineral intake.</w:t>
      </w:r>
    </w:p>
    <w:p w14:paraId="39404F03"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Beans Porridge has the highest sodium concentration at 147.50 mg, raising concerns about potential overconsumption and associated health risks, particularly hypertension. High sodium intake is linked to increased blood pressure, which can lead to cardiovascular diseases. Other notable sources of sodium include Dafa (84.58 mg) and Cassava-Kuli-kuli (61.95 mg). The elevated sodium levels in these processed foods highlight the need for moderation in their consumption, especially for individuals with pre-existing health conditions such as hypertension (</w:t>
      </w:r>
      <w:r w:rsidRPr="00430F29">
        <w:rPr>
          <w:rFonts w:ascii="Times New Roman" w:hAnsi="Times New Roman" w:cs="Times New Roman"/>
          <w:sz w:val="22"/>
          <w:lang w:val="en-GB"/>
        </w:rPr>
        <w:t>Chrysant, 2016; Dong, 2018</w:t>
      </w:r>
      <w:r w:rsidRPr="00430F29">
        <w:rPr>
          <w:rFonts w:ascii="Times New Roman" w:hAnsi="Times New Roman" w:cs="Times New Roman"/>
          <w:sz w:val="22"/>
        </w:rPr>
        <w:t>). In terms of nickel concentration, Tuwo Masara and Dried Okra exhibit the highest levels at 1.59 mg, followed by Cassava-Kuli-kuli (0.72 mg) and Jollof Rice (0.43 mg). While nickel is not considered an essential nutrient for human health, it may play a role in certain biochemical processes, such as enzyme function and metabolism. However, excessive intake of nickel can lead to toxicity and adverse health effects, including allergic reactions and potential carcinogenic effects. The presence of nickel in these processed foods raises questions about dietary sources and the need for monitoring intake to avoid potential health risks (</w:t>
      </w:r>
      <w:r w:rsidRPr="00430F29">
        <w:rPr>
          <w:rFonts w:ascii="Times New Roman" w:hAnsi="Times New Roman" w:cs="Times New Roman"/>
          <w:sz w:val="22"/>
          <w:lang w:val="en-GB"/>
        </w:rPr>
        <w:t xml:space="preserve">Genchi, </w:t>
      </w:r>
      <w:r w:rsidRPr="00430F29">
        <w:rPr>
          <w:rFonts w:ascii="Times New Roman" w:hAnsi="Times New Roman" w:cs="Times New Roman"/>
          <w:i/>
          <w:sz w:val="22"/>
        </w:rPr>
        <w:t>et al.,</w:t>
      </w:r>
      <w:r w:rsidRPr="00430F29">
        <w:rPr>
          <w:rFonts w:ascii="Times New Roman" w:hAnsi="Times New Roman" w:cs="Times New Roman"/>
          <w:sz w:val="22"/>
          <w:lang w:val="en-GB"/>
        </w:rPr>
        <w:t>2020</w:t>
      </w:r>
      <w:r w:rsidRPr="00430F29">
        <w:rPr>
          <w:rFonts w:ascii="Times New Roman" w:hAnsi="Times New Roman" w:cs="Times New Roman"/>
          <w:sz w:val="22"/>
        </w:rPr>
        <w:t>).</w:t>
      </w:r>
    </w:p>
    <w:p w14:paraId="732403E6"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When comparing these processed foods to raw ingredients, the biochemical data reveals varying concentrations of sodium and nickel. For instance, raw Crayfish contains a significant sodium concentration of 97.83 mg, while other raw foods like Bambara Nut and Beans have lower sodium levels (31.25 mg and 31.79 mg, respectively). This indicates that while some raw foods can contribute to sodium intake, processed foods like Beans Porridge and Kuli Kuli are more significant sources.</w:t>
      </w:r>
    </w:p>
    <w:p w14:paraId="47B67847"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Pounded Yam &amp; Fish has the highest lead concentration at 1.04 mg, raising significant health concerns due to lead's neurotoxic effects, particularly for vulnerable populations such as children and pregnant women (</w:t>
      </w:r>
      <w:r w:rsidRPr="00430F29">
        <w:rPr>
          <w:rFonts w:ascii="Times New Roman" w:hAnsi="Times New Roman" w:cs="Times New Roman"/>
          <w:sz w:val="22"/>
          <w:lang w:val="en-GB"/>
        </w:rPr>
        <w:t xml:space="preserve">Onakpa,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 Lead exposure can lead to developmental issues, cognitive impairments, and various health problems, making it critical to monitor and manage dietary sources of this toxic metal. Following Pounded Yam &amp; Fish, Moringa and Kuli Kuli contain 0.12 mg of lead, while Yam Porridge (0.07 mg) and Moi Moi (0.03 mg) also show measurable amounts. The presence of lead in these processed foods highlights the need for food safety measures and public health interventions to reduce exposure, especially in populations at risk. In contrast, zinc concentrations in the analyzed foods are relatively consistent, with Cassava-Kuli-kuli exhibiting the highest concentration at 0.68 mg, followed closely by Okpa (0.67 mg) and Dafa (0.65 mg). Zinc is essential for immune function, wound healing, and overall health, making these foods valuable sources for populations at risk of zinc deficiency (</w:t>
      </w:r>
      <w:r w:rsidRPr="00430F29">
        <w:rPr>
          <w:rFonts w:ascii="Times New Roman" w:hAnsi="Times New Roman" w:cs="Times New Roman"/>
          <w:sz w:val="22"/>
          <w:lang w:val="en-GB"/>
        </w:rPr>
        <w:t xml:space="preserve">Onakpa,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 The relatively high zinc content in these processed foods suggests they can play a significant role in supporting nutritional needs, particularly in regions where dietary zinc intake may be inadequate.</w:t>
      </w:r>
    </w:p>
    <w:p w14:paraId="3E312106"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When comparing these processed foods to raw ingredients, the biochemical data reveals varying concentrations of lead and zinc. For instance, raw Bambara Nut contains 0.01 mg of lead and 0.69 mg of zinc, while Beans have slightly higher zinc levels at 0.78 mg but also contain 0.04 mg of lead. The low </w:t>
      </w:r>
      <w:r w:rsidRPr="00430F29">
        <w:rPr>
          <w:rFonts w:ascii="Times New Roman" w:hAnsi="Times New Roman" w:cs="Times New Roman"/>
          <w:sz w:val="22"/>
        </w:rPr>
        <w:lastRenderedPageBreak/>
        <w:t>lead levels in raw foods indicate that they may be safer options compared to some processed foods, which can accumulate contaminants during preparation and cooking (</w:t>
      </w:r>
      <w:r w:rsidRPr="00430F29">
        <w:rPr>
          <w:rFonts w:ascii="Times New Roman" w:hAnsi="Times New Roman" w:cs="Times New Roman"/>
          <w:sz w:val="22"/>
          <w:lang w:val="en-GB"/>
        </w:rPr>
        <w:t xml:space="preserve">Onakpa,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w:t>
      </w:r>
    </w:p>
    <w:p w14:paraId="7DCCA5DD" w14:textId="77777777" w:rsidR="00E719CD" w:rsidRPr="00430F29" w:rsidRDefault="00E719CD" w:rsidP="00430F29">
      <w:pPr>
        <w:spacing w:after="0" w:line="240" w:lineRule="auto"/>
        <w:jc w:val="both"/>
        <w:rPr>
          <w:rFonts w:ascii="Times New Roman" w:hAnsi="Times New Roman" w:cs="Times New Roman"/>
          <w:b/>
          <w:bCs/>
          <w:sz w:val="22"/>
          <w:lang w:val="en-GB"/>
        </w:rPr>
      </w:pPr>
      <w:r w:rsidRPr="00430F29">
        <w:rPr>
          <w:rFonts w:ascii="Times New Roman" w:hAnsi="Times New Roman" w:cs="Times New Roman"/>
          <w:b/>
          <w:bCs/>
          <w:sz w:val="22"/>
          <w:lang w:val="en-GB"/>
        </w:rPr>
        <w:t>3.3 Conclusion</w:t>
      </w:r>
    </w:p>
    <w:p w14:paraId="2F040274" w14:textId="77777777" w:rsidR="00E719CD" w:rsidRDefault="00E719CD" w:rsidP="00430F29">
      <w:pPr>
        <w:spacing w:after="0" w:line="240" w:lineRule="auto"/>
        <w:jc w:val="both"/>
        <w:rPr>
          <w:rFonts w:ascii="Times New Roman" w:hAnsi="Times New Roman" w:cs="Times New Roman"/>
          <w:sz w:val="22"/>
          <w:lang w:val="en-GB"/>
        </w:rPr>
      </w:pPr>
      <w:r w:rsidRPr="00430F29">
        <w:rPr>
          <w:rFonts w:ascii="Times New Roman" w:hAnsi="Times New Roman" w:cs="Times New Roman"/>
          <w:sz w:val="22"/>
          <w:lang w:val="en-GB"/>
        </w:rPr>
        <w:t>This study which was aimed at determining the proximate and mineral contents in commonly consumed foods within the North- central region of Nigeria revealed diverse and high proximate and mineral contents in some of the processed and raw foods commonly consumed within the region.</w:t>
      </w:r>
    </w:p>
    <w:p w14:paraId="5DB5432F" w14:textId="77777777" w:rsidR="00AD1A96" w:rsidRDefault="00AD1A96" w:rsidP="00430F29">
      <w:pPr>
        <w:spacing w:after="0" w:line="240" w:lineRule="auto"/>
        <w:jc w:val="both"/>
        <w:rPr>
          <w:rFonts w:ascii="Times New Roman" w:hAnsi="Times New Roman" w:cs="Times New Roman"/>
          <w:sz w:val="22"/>
          <w:lang w:val="en-GB"/>
        </w:rPr>
      </w:pPr>
    </w:p>
    <w:p w14:paraId="4BE44552" w14:textId="77777777" w:rsidR="00AD1A96" w:rsidRDefault="00AD1A96" w:rsidP="00430F29">
      <w:pPr>
        <w:spacing w:after="0" w:line="240" w:lineRule="auto"/>
        <w:jc w:val="both"/>
        <w:rPr>
          <w:rFonts w:ascii="Times New Roman" w:hAnsi="Times New Roman" w:cs="Times New Roman"/>
          <w:sz w:val="22"/>
          <w:lang w:val="en-GB"/>
        </w:rPr>
      </w:pPr>
    </w:p>
    <w:p w14:paraId="59069BDC" w14:textId="77777777" w:rsidR="00AD1A96" w:rsidRPr="00AD1A96" w:rsidRDefault="00AD1A96" w:rsidP="00AD1A96">
      <w:pPr>
        <w:spacing w:after="0" w:line="240" w:lineRule="auto"/>
        <w:jc w:val="both"/>
        <w:rPr>
          <w:rFonts w:ascii="Times New Roman" w:hAnsi="Times New Roman" w:cs="Times New Roman"/>
          <w:sz w:val="22"/>
          <w:lang w:val="en-GB"/>
        </w:rPr>
      </w:pPr>
      <w:r w:rsidRPr="00AD1A96">
        <w:rPr>
          <w:rFonts w:ascii="Times New Roman" w:hAnsi="Times New Roman" w:cs="Times New Roman"/>
          <w:sz w:val="22"/>
          <w:lang w:val="en-GB"/>
        </w:rPr>
        <w:t>COMPETING INTERESTS DISCLAIMER:</w:t>
      </w:r>
    </w:p>
    <w:p w14:paraId="4775ACB8" w14:textId="53F03D1C" w:rsidR="00AD1A96" w:rsidRDefault="00AD1A96" w:rsidP="00AD1A96">
      <w:pPr>
        <w:spacing w:after="0" w:line="240" w:lineRule="auto"/>
        <w:jc w:val="both"/>
        <w:rPr>
          <w:rFonts w:ascii="Times New Roman" w:hAnsi="Times New Roman" w:cs="Times New Roman"/>
          <w:sz w:val="22"/>
          <w:lang w:val="en-GB"/>
        </w:rPr>
      </w:pPr>
      <w:r w:rsidRPr="00AD1A96">
        <w:rPr>
          <w:rFonts w:ascii="Times New Roman" w:hAnsi="Times New Roman" w:cs="Times New Roman"/>
          <w:sz w:val="22"/>
          <w:lang w:val="en-GB"/>
        </w:rPr>
        <w:t>Authors have declared that they have no known competing financial interests OR non-financial interests OR personal relationships that could have appeared to influence the work reported in this paper.</w:t>
      </w:r>
    </w:p>
    <w:p w14:paraId="42654532" w14:textId="421C754B" w:rsidR="00494688" w:rsidRDefault="00494688" w:rsidP="00AD1A96">
      <w:pPr>
        <w:spacing w:after="0" w:line="240" w:lineRule="auto"/>
        <w:jc w:val="both"/>
        <w:rPr>
          <w:rFonts w:ascii="Times New Roman" w:hAnsi="Times New Roman" w:cs="Times New Roman"/>
          <w:sz w:val="22"/>
          <w:lang w:val="en-GB"/>
        </w:rPr>
      </w:pPr>
    </w:p>
    <w:p w14:paraId="398391BA" w14:textId="77777777" w:rsidR="00494688" w:rsidRPr="009C5487" w:rsidRDefault="00494688" w:rsidP="00494688">
      <w:pPr>
        <w:rPr>
          <w:rFonts w:ascii="Calibri" w:hAnsi="Calibri" w:cs="Times New Roman"/>
          <w:kern w:val="2"/>
          <w:highlight w:val="yellow"/>
        </w:rPr>
      </w:pPr>
      <w:bookmarkStart w:id="13" w:name="_Hlk197682619"/>
      <w:bookmarkStart w:id="14" w:name="_Hlk180402183"/>
      <w:bookmarkStart w:id="15" w:name="_Hlk183680988"/>
      <w:r w:rsidRPr="009C5487">
        <w:rPr>
          <w:rFonts w:ascii="Calibri" w:hAnsi="Calibri" w:cs="Times New Roman"/>
          <w:kern w:val="2"/>
          <w:highlight w:val="yellow"/>
        </w:rPr>
        <w:t>Disclaimer (Artificial intelligence)</w:t>
      </w:r>
    </w:p>
    <w:p w14:paraId="077A71E1" w14:textId="77777777" w:rsidR="00494688" w:rsidRPr="009C5487" w:rsidRDefault="00494688" w:rsidP="00494688">
      <w:pPr>
        <w:rPr>
          <w:rFonts w:ascii="Calibri" w:hAnsi="Calibri" w:cs="Times New Roman"/>
          <w:kern w:val="2"/>
          <w:highlight w:val="yellow"/>
        </w:rPr>
      </w:pPr>
      <w:r w:rsidRPr="009C5487">
        <w:rPr>
          <w:rFonts w:ascii="Calibri" w:hAnsi="Calibri" w:cs="Times New Roman"/>
          <w:kern w:val="2"/>
          <w:highlight w:val="yellow"/>
        </w:rPr>
        <w:t xml:space="preserve">Option 1: </w:t>
      </w:r>
    </w:p>
    <w:p w14:paraId="7F6F6807" w14:textId="77777777" w:rsidR="00494688" w:rsidRPr="009C5487" w:rsidRDefault="00494688" w:rsidP="00494688">
      <w:pPr>
        <w:rPr>
          <w:rFonts w:ascii="Calibri" w:hAnsi="Calibri" w:cs="Times New Roman"/>
          <w:kern w:val="2"/>
          <w:highlight w:val="yellow"/>
        </w:rPr>
      </w:pPr>
      <w:r w:rsidRPr="009C5487">
        <w:rPr>
          <w:rFonts w:ascii="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8CC87D3" w14:textId="77777777" w:rsidR="00494688" w:rsidRDefault="00494688" w:rsidP="00AD1A96">
      <w:pPr>
        <w:spacing w:after="0" w:line="240" w:lineRule="auto"/>
        <w:jc w:val="both"/>
        <w:rPr>
          <w:rFonts w:ascii="Times New Roman" w:hAnsi="Times New Roman" w:cs="Times New Roman"/>
          <w:sz w:val="22"/>
          <w:lang w:val="en-GB"/>
        </w:rPr>
      </w:pPr>
      <w:bookmarkStart w:id="16" w:name="_GoBack"/>
      <w:bookmarkEnd w:id="13"/>
      <w:bookmarkEnd w:id="14"/>
      <w:bookmarkEnd w:id="15"/>
      <w:bookmarkEnd w:id="16"/>
    </w:p>
    <w:p w14:paraId="4915E98C" w14:textId="77777777" w:rsidR="00AD1A96" w:rsidRPr="00430F29" w:rsidRDefault="00AD1A96" w:rsidP="00430F29">
      <w:pPr>
        <w:spacing w:after="0" w:line="240" w:lineRule="auto"/>
        <w:jc w:val="both"/>
        <w:rPr>
          <w:rFonts w:ascii="Times New Roman" w:hAnsi="Times New Roman" w:cs="Times New Roman"/>
          <w:sz w:val="22"/>
          <w:lang w:val="en-GB"/>
        </w:rPr>
      </w:pPr>
    </w:p>
    <w:p w14:paraId="47DED6A9" w14:textId="79A24D7A" w:rsidR="00AE32AB" w:rsidRPr="00430F29" w:rsidRDefault="00AE32AB" w:rsidP="00430F29">
      <w:pPr>
        <w:pStyle w:val="EndNoteBibliography"/>
        <w:spacing w:after="0"/>
        <w:ind w:left="720" w:hanging="720"/>
        <w:jc w:val="both"/>
        <w:rPr>
          <w:rFonts w:cstheme="majorBidi"/>
          <w:b/>
          <w:bCs/>
          <w:sz w:val="22"/>
          <w:lang w:val="en-GB"/>
        </w:rPr>
      </w:pPr>
      <w:r w:rsidRPr="00430F29">
        <w:rPr>
          <w:rFonts w:cstheme="majorBidi"/>
          <w:b/>
          <w:bCs/>
          <w:sz w:val="22"/>
          <w:lang w:val="en-GB"/>
        </w:rPr>
        <w:t>Refere</w:t>
      </w:r>
      <w:r w:rsidR="00AD1A96">
        <w:rPr>
          <w:rFonts w:cstheme="majorBidi"/>
          <w:b/>
          <w:bCs/>
          <w:sz w:val="22"/>
          <w:lang w:val="en-GB"/>
        </w:rPr>
        <w:t>nces</w:t>
      </w:r>
    </w:p>
    <w:p w14:paraId="4ADDE5EA" w14:textId="77777777" w:rsidR="00AE32AB" w:rsidRPr="00430F29" w:rsidRDefault="00AE32AB" w:rsidP="00430F29">
      <w:pPr>
        <w:pStyle w:val="EndNoteBibliography"/>
        <w:spacing w:after="0"/>
        <w:ind w:left="720" w:hanging="720"/>
        <w:jc w:val="both"/>
        <w:rPr>
          <w:rFonts w:cstheme="majorBidi"/>
          <w:sz w:val="22"/>
          <w:lang w:val="en-GB"/>
        </w:rPr>
      </w:pPr>
    </w:p>
    <w:p w14:paraId="0CFA2CC0"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Al Alawi, A. M., Majoni, S. W., &amp; Falhammar, H. (2018). Magnesium and human health: Perspectives and research directions. </w:t>
      </w:r>
      <w:r w:rsidRPr="00430F29">
        <w:rPr>
          <w:rFonts w:cstheme="majorBidi"/>
          <w:i/>
          <w:iCs/>
          <w:sz w:val="22"/>
          <w:lang w:val="en-GB"/>
        </w:rPr>
        <w:t>International Journal of Endocrinology, 2018</w:t>
      </w:r>
      <w:r w:rsidRPr="00430F29">
        <w:rPr>
          <w:rFonts w:cstheme="majorBidi"/>
          <w:iCs/>
          <w:sz w:val="22"/>
          <w:lang w:val="en-GB"/>
        </w:rPr>
        <w:t>, Article 9041694. </w:t>
      </w:r>
      <w:hyperlink r:id="rId19" w:history="1">
        <w:r w:rsidRPr="00430F29">
          <w:rPr>
            <w:rStyle w:val="Hyperlink"/>
            <w:rFonts w:cstheme="majorBidi"/>
            <w:iCs/>
            <w:sz w:val="22"/>
            <w:lang w:val="en-GB"/>
          </w:rPr>
          <w:t>https://doi.org/10.1155/2018/9041694</w:t>
        </w:r>
      </w:hyperlink>
    </w:p>
    <w:p w14:paraId="7493755F" w14:textId="77777777" w:rsidR="00AE32AB" w:rsidRPr="00430F29" w:rsidRDefault="00AE32AB" w:rsidP="00430F29">
      <w:pPr>
        <w:autoSpaceDE w:val="0"/>
        <w:spacing w:after="0" w:line="240" w:lineRule="auto"/>
        <w:jc w:val="both"/>
        <w:rPr>
          <w:rFonts w:cstheme="majorBidi"/>
          <w:sz w:val="22"/>
        </w:rPr>
      </w:pPr>
      <w:r w:rsidRPr="00430F29">
        <w:rPr>
          <w:rFonts w:cstheme="majorBidi"/>
          <w:sz w:val="22"/>
        </w:rPr>
        <w:t xml:space="preserve">AOAC (2005). Amino acids in feeds performic acid oxidation with acid hydrolysis sodium </w:t>
      </w:r>
    </w:p>
    <w:p w14:paraId="580AC37B" w14:textId="77777777" w:rsidR="00AE32AB" w:rsidRPr="00430F29" w:rsidRDefault="00AE32AB" w:rsidP="00430F29">
      <w:pPr>
        <w:spacing w:after="0" w:line="240" w:lineRule="auto"/>
        <w:ind w:left="720" w:hanging="720"/>
        <w:jc w:val="both"/>
        <w:rPr>
          <w:rFonts w:cstheme="majorBidi"/>
          <w:sz w:val="22"/>
        </w:rPr>
      </w:pPr>
      <w:r w:rsidRPr="00430F29">
        <w:rPr>
          <w:rFonts w:cstheme="majorBidi"/>
          <w:sz w:val="22"/>
        </w:rPr>
        <w:t xml:space="preserve">Awuchi, C.G., Igwe, V.S., AmagwulaI, Echeta, C.K. (2020). Health benefits of micronutrients (vitamins and minerals) and their associated deficiency diseases: a systematic review. Int J Food Sci 3(1):1– 32 </w:t>
      </w:r>
    </w:p>
    <w:p w14:paraId="2FFA3D32"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Bamishaiye, E. I., Olayemi, F. F., Awagu, E. F., &amp; Bamshaiye, O. M. (2011). Proximate and phytochemical composition of Moringa oleifera leaves at three stages of maturation. </w:t>
      </w:r>
      <w:r w:rsidRPr="00430F29">
        <w:rPr>
          <w:rFonts w:cstheme="majorBidi"/>
          <w:i/>
          <w:iCs/>
          <w:sz w:val="22"/>
          <w:lang w:val="en-GB"/>
        </w:rPr>
        <w:t>Advance Journal of Food Science and Technology, 3</w:t>
      </w:r>
      <w:r w:rsidRPr="00430F29">
        <w:rPr>
          <w:rFonts w:cstheme="majorBidi"/>
          <w:iCs/>
          <w:sz w:val="22"/>
          <w:lang w:val="en-GB"/>
        </w:rPr>
        <w:t>(4), 233-237. </w:t>
      </w:r>
      <w:hyperlink r:id="rId20" w:history="1">
        <w:r w:rsidRPr="00430F29">
          <w:rPr>
            <w:rStyle w:val="Hyperlink"/>
            <w:rFonts w:cstheme="majorBidi"/>
            <w:iCs/>
            <w:sz w:val="22"/>
            <w:lang w:val="en-GB"/>
          </w:rPr>
          <w:t>https://doi.org/10.19026/ajfst.3.1230</w:t>
        </w:r>
      </w:hyperlink>
    </w:p>
    <w:p w14:paraId="2E0A7624"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Bamishaiye, E. I., Olayemi, F. F., Awagu, E. F., &amp; Bamshaiye, O. M. (2011). Proximate and phytochemical composition of Moringa oleifera leaves at three stages of maturation. </w:t>
      </w:r>
      <w:r w:rsidRPr="00430F29">
        <w:rPr>
          <w:rFonts w:cstheme="majorBidi"/>
          <w:i/>
          <w:iCs/>
          <w:sz w:val="22"/>
          <w:lang w:val="en-GB"/>
        </w:rPr>
        <w:t>Advance Journal of Food Science and Technology, 3</w:t>
      </w:r>
      <w:r w:rsidRPr="00430F29">
        <w:rPr>
          <w:rFonts w:cstheme="majorBidi"/>
          <w:iCs/>
          <w:sz w:val="22"/>
          <w:lang w:val="en-GB"/>
        </w:rPr>
        <w:t>(4), 233-237. </w:t>
      </w:r>
      <w:hyperlink r:id="rId21" w:history="1">
        <w:r w:rsidRPr="00430F29">
          <w:rPr>
            <w:rStyle w:val="Hyperlink"/>
            <w:rFonts w:cstheme="majorBidi"/>
            <w:iCs/>
            <w:sz w:val="22"/>
            <w:lang w:val="en-GB"/>
          </w:rPr>
          <w:t>https://doi.org/10.19026/ajfst.3.1230</w:t>
        </w:r>
      </w:hyperlink>
    </w:p>
    <w:p w14:paraId="626307C9" w14:textId="77777777" w:rsidR="00AE32AB" w:rsidRPr="00430F29" w:rsidRDefault="00AE32AB" w:rsidP="00430F29">
      <w:pPr>
        <w:autoSpaceDE w:val="0"/>
        <w:spacing w:after="0" w:line="240" w:lineRule="auto"/>
        <w:ind w:left="851" w:hanging="851"/>
        <w:jc w:val="both"/>
        <w:rPr>
          <w:rFonts w:cstheme="majorBidi"/>
          <w:sz w:val="22"/>
        </w:rPr>
      </w:pPr>
      <w:r w:rsidRPr="00430F29">
        <w:rPr>
          <w:rFonts w:cstheme="majorBidi"/>
          <w:sz w:val="22"/>
        </w:rPr>
        <w:t xml:space="preserve">Barbara, S. U., Ruth, C., Victor, N. E., Romaric, G. B.,  Etel, G. F., Babacar, S., Paulina, A., Ingrid, B., Fatimata, O., Arne, O., Isaac, A., George, A. A., Kennedy, B., Henrietta, E., Ifeyironwa, F.S., Ismael, T., and Barbara B. (2012). West African Food Composition Table. </w:t>
      </w:r>
      <w:r w:rsidRPr="00430F29">
        <w:rPr>
          <w:rFonts w:cstheme="majorBidi"/>
          <w:i/>
          <w:iCs/>
          <w:sz w:val="22"/>
        </w:rPr>
        <w:t xml:space="preserve">Food and Agriculture Organization of the United Nations Rome.  </w:t>
      </w:r>
      <w:r w:rsidRPr="00430F29">
        <w:rPr>
          <w:rFonts w:cstheme="majorBidi"/>
          <w:sz w:val="22"/>
        </w:rPr>
        <w:t xml:space="preserve">ISBN 978-92-5-007207-4. </w:t>
      </w:r>
    </w:p>
    <w:p w14:paraId="72C41B37"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Carbone, J. W., &amp; Pasiakos, S. M. (2019). Dietary protein and muscle mass: Translating science to application and health benefit. </w:t>
      </w:r>
      <w:r w:rsidRPr="00430F29">
        <w:rPr>
          <w:rFonts w:cstheme="majorBidi"/>
          <w:i/>
          <w:iCs/>
          <w:sz w:val="22"/>
          <w:lang w:val="en-GB"/>
        </w:rPr>
        <w:t>Nutrients, 11</w:t>
      </w:r>
      <w:r w:rsidRPr="00430F29">
        <w:rPr>
          <w:rFonts w:cstheme="majorBidi"/>
          <w:iCs/>
          <w:sz w:val="22"/>
          <w:lang w:val="en-GB"/>
        </w:rPr>
        <w:t>(5), Article 1133. https://doi.org/10.3390/nu11051133</w:t>
      </w:r>
    </w:p>
    <w:p w14:paraId="219439A6"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iCs/>
          <w:sz w:val="22"/>
          <w:lang w:val="en-GB"/>
        </w:rPr>
        <w:t>Chokhawala, K., Lee, S., &amp; Saadabadi, A. (2024). </w:t>
      </w:r>
      <w:r w:rsidRPr="00430F29">
        <w:rPr>
          <w:rFonts w:cstheme="majorBidi"/>
          <w:i/>
          <w:iCs/>
          <w:sz w:val="22"/>
          <w:lang w:val="en-GB"/>
        </w:rPr>
        <w:t>Lithium</w:t>
      </w:r>
      <w:r w:rsidRPr="00430F29">
        <w:rPr>
          <w:rFonts w:cstheme="majorBidi"/>
          <w:iCs/>
          <w:sz w:val="22"/>
          <w:lang w:val="en-GB"/>
        </w:rPr>
        <w:t>. In StatPearls. StatPearls Publishing. </w:t>
      </w:r>
      <w:hyperlink r:id="rId22" w:history="1">
        <w:r w:rsidRPr="00430F29">
          <w:rPr>
            <w:rStyle w:val="Hyperlink"/>
            <w:rFonts w:cstheme="majorBidi"/>
            <w:iCs/>
            <w:sz w:val="22"/>
            <w:lang w:val="en-GB"/>
          </w:rPr>
          <w:t>https://www.ncbi.nlm.nih.gov/books/NBK519062/?report=printable</w:t>
        </w:r>
      </w:hyperlink>
    </w:p>
    <w:p w14:paraId="4E745AB0"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Chrysant, S. G. (2016). Effects of high salt intake on blood pressure and cardiovascular disease: The role of COX inhibitors. </w:t>
      </w:r>
      <w:r w:rsidRPr="00430F29">
        <w:rPr>
          <w:rFonts w:cstheme="majorBidi"/>
          <w:i/>
          <w:iCs/>
          <w:sz w:val="22"/>
          <w:lang w:val="en-GB"/>
        </w:rPr>
        <w:t>Clinical Cardiology, 39</w:t>
      </w:r>
      <w:r w:rsidRPr="00430F29">
        <w:rPr>
          <w:rFonts w:cstheme="majorBidi"/>
          <w:iCs/>
          <w:sz w:val="22"/>
          <w:lang w:val="en-GB"/>
        </w:rPr>
        <w:t>(4), 240–242. </w:t>
      </w:r>
      <w:hyperlink r:id="rId23" w:history="1">
        <w:r w:rsidRPr="00430F29">
          <w:rPr>
            <w:rStyle w:val="Hyperlink"/>
            <w:rFonts w:cstheme="majorBidi"/>
            <w:iCs/>
            <w:sz w:val="22"/>
            <w:lang w:val="en-GB"/>
          </w:rPr>
          <w:t>https://doi.org/10.1002/clc.22536</w:t>
        </w:r>
      </w:hyperlink>
    </w:p>
    <w:p w14:paraId="60C7F36B"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Chunhabundit, R. (2016). Cadmium exposure and potential health risk from foods in contaminated area, Thailand. </w:t>
      </w:r>
      <w:r w:rsidRPr="00430F29">
        <w:rPr>
          <w:rFonts w:cstheme="majorBidi"/>
          <w:i/>
          <w:iCs/>
          <w:sz w:val="22"/>
          <w:lang w:val="en-GB"/>
        </w:rPr>
        <w:t>Toxicological Research, 32</w:t>
      </w:r>
      <w:r w:rsidRPr="00430F29">
        <w:rPr>
          <w:rFonts w:cstheme="majorBidi"/>
          <w:iCs/>
          <w:sz w:val="22"/>
          <w:lang w:val="en-GB"/>
        </w:rPr>
        <w:t>(1), 65-72. </w:t>
      </w:r>
      <w:hyperlink r:id="rId24" w:history="1">
        <w:r w:rsidRPr="00430F29">
          <w:rPr>
            <w:rStyle w:val="Hyperlink"/>
            <w:rFonts w:cstheme="majorBidi"/>
            <w:iCs/>
            <w:sz w:val="22"/>
            <w:lang w:val="en-GB"/>
          </w:rPr>
          <w:t>http://dx.doi.org/10.5487/TR.2016.32.1.065</w:t>
        </w:r>
      </w:hyperlink>
    </w:p>
    <w:p w14:paraId="3BE18CAC"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lastRenderedPageBreak/>
        <w:t>Department of Agriculture and Food. (2019, September 3). </w:t>
      </w:r>
      <w:r w:rsidRPr="00430F29">
        <w:rPr>
          <w:rFonts w:cstheme="majorBidi"/>
          <w:i/>
          <w:iCs/>
          <w:sz w:val="22"/>
          <w:lang w:val="en-GB"/>
        </w:rPr>
        <w:t>Cobalt deficiency in sheep and cattle</w:t>
      </w:r>
      <w:r w:rsidRPr="00430F29">
        <w:rPr>
          <w:rFonts w:cstheme="majorBidi"/>
          <w:iCs/>
          <w:sz w:val="22"/>
          <w:lang w:val="en-GB"/>
        </w:rPr>
        <w:t>. Government of Western Australia. </w:t>
      </w:r>
      <w:hyperlink r:id="rId25" w:history="1">
        <w:r w:rsidRPr="00430F29">
          <w:rPr>
            <w:rStyle w:val="Hyperlink"/>
            <w:rFonts w:cstheme="majorBidi"/>
            <w:iCs/>
            <w:sz w:val="22"/>
            <w:lang w:val="en-GB"/>
          </w:rPr>
          <w:t>https://www.agric.wa.gov.au/livestock-biosecurity/cobalt-deficiency-sheep-and-cattle</w:t>
        </w:r>
      </w:hyperlink>
    </w:p>
    <w:p w14:paraId="2EDE9EA3"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Dong, O. M. (2018). Excessive dietary sodium intake and elevated blood pressure: A review of current prevention and management strategies and the emerging role of pharmaconutrigenetics. </w:t>
      </w:r>
      <w:r w:rsidRPr="00430F29">
        <w:rPr>
          <w:rFonts w:cstheme="majorBidi"/>
          <w:i/>
          <w:iCs/>
          <w:sz w:val="22"/>
          <w:lang w:val="en-GB"/>
        </w:rPr>
        <w:t>BMJ Nutrition, Prevention &amp; Health</w:t>
      </w:r>
      <w:r w:rsidRPr="00430F29">
        <w:rPr>
          <w:rFonts w:cstheme="majorBidi"/>
          <w:iCs/>
          <w:sz w:val="22"/>
          <w:lang w:val="en-GB"/>
        </w:rPr>
        <w:t>. </w:t>
      </w:r>
      <w:hyperlink r:id="rId26" w:history="1">
        <w:r w:rsidRPr="00430F29">
          <w:rPr>
            <w:rStyle w:val="Hyperlink"/>
            <w:rFonts w:cstheme="majorBidi"/>
            <w:iCs/>
            <w:sz w:val="22"/>
            <w:lang w:val="en-GB"/>
          </w:rPr>
          <w:t>https://doi.org/10.1136/bmjnph-2018-000004</w:t>
        </w:r>
      </w:hyperlink>
    </w:p>
    <w:p w14:paraId="2D78AB42"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Ekuma, U. O. (2023). </w:t>
      </w:r>
      <w:r w:rsidRPr="00430F29">
        <w:rPr>
          <w:rFonts w:cstheme="majorBidi"/>
          <w:i/>
          <w:iCs/>
          <w:sz w:val="22"/>
          <w:lang w:val="en-GB"/>
        </w:rPr>
        <w:t>FST 202: Principles of food science and technology</w:t>
      </w:r>
      <w:r w:rsidRPr="00430F29">
        <w:rPr>
          <w:rFonts w:cstheme="majorBidi"/>
          <w:iCs/>
          <w:sz w:val="22"/>
          <w:lang w:val="en-GB"/>
        </w:rPr>
        <w:t>. National Open University of Nigeria.</w:t>
      </w:r>
    </w:p>
    <w:p w14:paraId="2E2FD57E"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Fletcher, J. (2020). What are fat-soluble vitamins? </w:t>
      </w:r>
      <w:r w:rsidRPr="00430F29">
        <w:rPr>
          <w:rFonts w:cstheme="majorBidi"/>
          <w:i/>
          <w:iCs/>
          <w:sz w:val="22"/>
          <w:lang w:val="en-GB"/>
        </w:rPr>
        <w:t>Medical News Today</w:t>
      </w:r>
      <w:r w:rsidRPr="00430F29">
        <w:rPr>
          <w:rFonts w:cstheme="majorBidi"/>
          <w:iCs/>
          <w:sz w:val="22"/>
          <w:lang w:val="en-GB"/>
        </w:rPr>
        <w:t>. Medically reviewed by Natalie Olsen, R.D., L.D., ACSM EP-C. </w:t>
      </w:r>
      <w:hyperlink r:id="rId27" w:history="1">
        <w:r w:rsidRPr="00430F29">
          <w:rPr>
            <w:rStyle w:val="Hyperlink"/>
            <w:rFonts w:cstheme="majorBidi"/>
            <w:iCs/>
            <w:sz w:val="22"/>
            <w:lang w:val="en-GB"/>
          </w:rPr>
          <w:t>https://www.medicalnewstoday.com/articles/320310</w:t>
        </w:r>
      </w:hyperlink>
    </w:p>
    <w:p w14:paraId="27260846"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Genchi, G., Carocci, A., Lauria, G., Sinicropi, M. S., &amp; Catalano, A. (2020). Nickel: Human health and environmental toxicology. </w:t>
      </w:r>
      <w:r w:rsidRPr="00430F29">
        <w:rPr>
          <w:rFonts w:cstheme="majorBidi"/>
          <w:i/>
          <w:iCs/>
          <w:sz w:val="22"/>
          <w:lang w:val="en-GB"/>
        </w:rPr>
        <w:t>International Journal of Environmental Research and Public Health, 17</w:t>
      </w:r>
      <w:r w:rsidRPr="00430F29">
        <w:rPr>
          <w:rFonts w:cstheme="majorBidi"/>
          <w:iCs/>
          <w:sz w:val="22"/>
          <w:lang w:val="en-GB"/>
        </w:rPr>
        <w:t>(2), Article 512. https://doi.org/10.3390/ijerph17020512</w:t>
      </w:r>
    </w:p>
    <w:p w14:paraId="79182D48"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Hafeez, M., Riaz, A., Azam, A., Sajid, M., Faseeh, H., Anjum, F., Rubab, T., Aziz, S., &amp; Latif, M. (2023). Lowering effect of potassium on hypertension. </w:t>
      </w:r>
      <w:r w:rsidRPr="00430F29">
        <w:rPr>
          <w:rFonts w:cstheme="majorBidi"/>
          <w:i/>
          <w:iCs/>
          <w:sz w:val="22"/>
          <w:lang w:val="en-GB"/>
        </w:rPr>
        <w:t>Pakistan Journal of Health Sciences, 4</w:t>
      </w:r>
      <w:r w:rsidRPr="00430F29">
        <w:rPr>
          <w:rFonts w:cstheme="majorBidi"/>
          <w:iCs/>
          <w:sz w:val="22"/>
          <w:lang w:val="en-GB"/>
        </w:rPr>
        <w:t>(12). </w:t>
      </w:r>
      <w:hyperlink r:id="rId28" w:history="1">
        <w:r w:rsidRPr="00430F29">
          <w:rPr>
            <w:rStyle w:val="Hyperlink"/>
            <w:rFonts w:cstheme="majorBidi"/>
            <w:iCs/>
            <w:sz w:val="22"/>
            <w:lang w:val="en-GB"/>
          </w:rPr>
          <w:t>https://doi.org/10.54393/pjhs.v4i12.1198</w:t>
        </w:r>
      </w:hyperlink>
    </w:p>
    <w:p w14:paraId="7C0BE570"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Holesh, J. E., Aslam, S., &amp; Martin, A. (2023). </w:t>
      </w:r>
      <w:r w:rsidRPr="00430F29">
        <w:rPr>
          <w:rFonts w:cstheme="majorBidi"/>
          <w:i/>
          <w:iCs/>
          <w:sz w:val="22"/>
          <w:lang w:val="en-GB"/>
        </w:rPr>
        <w:t>Physiology, carbohydrates</w:t>
      </w:r>
      <w:r w:rsidRPr="00430F29">
        <w:rPr>
          <w:rFonts w:cstheme="majorBidi"/>
          <w:iCs/>
          <w:sz w:val="22"/>
          <w:lang w:val="en-GB"/>
        </w:rPr>
        <w:t>. In StatPearls [Internet]. StatPearls Publishing. </w:t>
      </w:r>
      <w:hyperlink r:id="rId29" w:history="1">
        <w:r w:rsidRPr="00430F29">
          <w:rPr>
            <w:rStyle w:val="Hyperlink"/>
            <w:rFonts w:cstheme="majorBidi"/>
            <w:iCs/>
            <w:sz w:val="22"/>
            <w:lang w:val="en-GB"/>
          </w:rPr>
          <w:t>https://www.ncbi.nlm.nih.gov/books/NBK459280/</w:t>
        </w:r>
      </w:hyperlink>
    </w:p>
    <w:p w14:paraId="6F6DEF06" w14:textId="77777777" w:rsidR="00AE32AB" w:rsidRPr="00430F29" w:rsidRDefault="00AE32AB" w:rsidP="00430F29">
      <w:pPr>
        <w:pStyle w:val="EndNoteBibliography"/>
        <w:spacing w:after="0"/>
        <w:ind w:left="720" w:hanging="720"/>
        <w:jc w:val="both"/>
        <w:rPr>
          <w:rFonts w:cstheme="majorBidi"/>
          <w:iCs/>
          <w:sz w:val="22"/>
        </w:rPr>
      </w:pPr>
      <w:r w:rsidRPr="00430F29">
        <w:rPr>
          <w:rFonts w:cstheme="majorBidi"/>
          <w:iCs/>
          <w:sz w:val="22"/>
        </w:rPr>
        <w:t xml:space="preserve">Institute of Medicine. (2000). Dietary reference intakes for vitamin C, vitamin E, selenium, and carotenoids. National Academies Press. </w:t>
      </w:r>
      <w:hyperlink r:id="rId30" w:history="1">
        <w:r w:rsidRPr="00430F29">
          <w:rPr>
            <w:rStyle w:val="Hyperlink"/>
            <w:rFonts w:cstheme="majorBidi"/>
            <w:iCs/>
            <w:sz w:val="22"/>
          </w:rPr>
          <w:t>https://doi.org/10.17226/9810</w:t>
        </w:r>
      </w:hyperlink>
    </w:p>
    <w:p w14:paraId="6777A466"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Ionită-Mîndrican, C.-B., Ziani, K., Mititelu, M., Oprea, E., Neacșu, S. M., Morosan, E., Dumitrescu, D.-E., Roșca, A. C., Drăgănescu, D., &amp; Negrei, C. (2022). Therapeutic benefits and dietary restrictions of fiber intake: A state of the art review. </w:t>
      </w:r>
      <w:r w:rsidRPr="00430F29">
        <w:rPr>
          <w:rFonts w:cstheme="majorBidi"/>
          <w:i/>
          <w:iCs/>
          <w:sz w:val="22"/>
          <w:lang w:val="en-GB"/>
        </w:rPr>
        <w:t>Nutrients, 14</w:t>
      </w:r>
      <w:r w:rsidRPr="00430F29">
        <w:rPr>
          <w:rFonts w:cstheme="majorBidi"/>
          <w:iCs/>
          <w:sz w:val="22"/>
          <w:lang w:val="en-GB"/>
        </w:rPr>
        <w:t>(13), Article 2641. </w:t>
      </w:r>
      <w:hyperlink r:id="rId31" w:history="1">
        <w:r w:rsidRPr="00430F29">
          <w:rPr>
            <w:rStyle w:val="Hyperlink"/>
            <w:rFonts w:cstheme="majorBidi"/>
            <w:iCs/>
            <w:sz w:val="22"/>
            <w:lang w:val="en-GB"/>
          </w:rPr>
          <w:t>https://doi.org/10.3390/nu14132641</w:t>
        </w:r>
      </w:hyperlink>
    </w:p>
    <w:p w14:paraId="73EADA8F"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Israr, B., Frazier, R. A., &amp; Gordon, M. H. (2013). Effects of phytate and minerals on the bioavailability of oxalate from food. </w:t>
      </w:r>
      <w:r w:rsidRPr="00430F29">
        <w:rPr>
          <w:rFonts w:cstheme="majorBidi"/>
          <w:i/>
          <w:iCs/>
          <w:sz w:val="22"/>
          <w:lang w:val="en-GB"/>
        </w:rPr>
        <w:t>Food Chemistry, 141</w:t>
      </w:r>
      <w:r w:rsidRPr="00430F29">
        <w:rPr>
          <w:rFonts w:cstheme="majorBidi"/>
          <w:iCs/>
          <w:sz w:val="22"/>
          <w:lang w:val="en-GB"/>
        </w:rPr>
        <w:t>(3), 1690–1693. </w:t>
      </w:r>
      <w:hyperlink r:id="rId32" w:history="1">
        <w:r w:rsidRPr="00430F29">
          <w:rPr>
            <w:rStyle w:val="Hyperlink"/>
            <w:rFonts w:cstheme="majorBidi"/>
            <w:iCs/>
            <w:sz w:val="22"/>
            <w:lang w:val="en-GB"/>
          </w:rPr>
          <w:t>https://doi.org/10.1016/j.foodchem.2013.05.045</w:t>
        </w:r>
      </w:hyperlink>
    </w:p>
    <w:p w14:paraId="13CF834F"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Iwar, I. M., &amp; Amu, C. M. (2021). Nutrient and anti-nutrient composition of processed crayfish (Atya gabonensis) from River Benue, Nigeria. </w:t>
      </w:r>
      <w:r w:rsidRPr="00430F29">
        <w:rPr>
          <w:rFonts w:cstheme="majorBidi"/>
          <w:i/>
          <w:iCs/>
          <w:sz w:val="22"/>
          <w:lang w:val="en-GB"/>
        </w:rPr>
        <w:t>Sustainability, Agri, Food and Environmental Research, X</w:t>
      </w:r>
      <w:r w:rsidRPr="00430F29">
        <w:rPr>
          <w:rFonts w:cstheme="majorBidi"/>
          <w:iCs/>
          <w:sz w:val="22"/>
          <w:lang w:val="en-GB"/>
        </w:rPr>
        <w:t>(X), Article 2257. </w:t>
      </w:r>
      <w:hyperlink r:id="rId33" w:history="1">
        <w:r w:rsidRPr="00430F29">
          <w:rPr>
            <w:rStyle w:val="Hyperlink"/>
            <w:rFonts w:cstheme="majorBidi"/>
            <w:iCs/>
            <w:sz w:val="22"/>
            <w:lang w:val="en-GB"/>
          </w:rPr>
          <w:t>http://dx.doi.org/10.7770/safer-V0N0-art2257</w:t>
        </w:r>
      </w:hyperlink>
    </w:p>
    <w:p w14:paraId="29470A14"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Li, L., &amp; Yang, X. (2018). The essential element manganese, oxidative stress, and metabolic diseases: Links and interactions. </w:t>
      </w:r>
      <w:r w:rsidRPr="00430F29">
        <w:rPr>
          <w:rFonts w:cstheme="majorBidi"/>
          <w:i/>
          <w:iCs/>
          <w:sz w:val="22"/>
          <w:lang w:val="en-GB"/>
        </w:rPr>
        <w:t>Oxidative Medicine and Cellular Longevity, 2018</w:t>
      </w:r>
      <w:r w:rsidRPr="00430F29">
        <w:rPr>
          <w:rFonts w:cstheme="majorBidi"/>
          <w:iCs/>
          <w:sz w:val="22"/>
          <w:lang w:val="en-GB"/>
        </w:rPr>
        <w:t>, Article 7580707. </w:t>
      </w:r>
      <w:hyperlink r:id="rId34" w:history="1">
        <w:r w:rsidRPr="00430F29">
          <w:rPr>
            <w:rStyle w:val="Hyperlink"/>
            <w:rFonts w:cstheme="majorBidi"/>
            <w:iCs/>
            <w:sz w:val="22"/>
            <w:lang w:val="en-GB"/>
          </w:rPr>
          <w:t>https://doi.org/10.1155/2018/7580707</w:t>
        </w:r>
      </w:hyperlink>
    </w:p>
    <w:p w14:paraId="727ACA84"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Maziya-Dixon, B., Akinyele, I., Oguntona, E., Nokoe, S., Sanusi, R., &amp; Harris, E. (2004). Nigerian Food Consumption and Nutrition Survey 2001–2003, Summary. International Institute of Tropical Agriculture (IITA), Ibadan, Nigeria.</w:t>
      </w:r>
    </w:p>
    <w:p w14:paraId="6BB826A2"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iCs/>
          <w:sz w:val="22"/>
          <w:lang w:val="en-GB"/>
        </w:rPr>
        <w:t>Office of Dietary Supplements. (2022). </w:t>
      </w:r>
      <w:r w:rsidRPr="00430F29">
        <w:rPr>
          <w:rFonts w:cstheme="majorBidi"/>
          <w:i/>
          <w:iCs/>
          <w:sz w:val="22"/>
          <w:lang w:val="en-GB"/>
        </w:rPr>
        <w:t>Riboflavin - Health professional fact sheet</w:t>
      </w:r>
      <w:r w:rsidRPr="00430F29">
        <w:rPr>
          <w:rFonts w:cstheme="majorBidi"/>
          <w:iCs/>
          <w:sz w:val="22"/>
          <w:lang w:val="en-GB"/>
        </w:rPr>
        <w:t>. National Institutes of Health. </w:t>
      </w:r>
      <w:hyperlink r:id="rId35" w:history="1">
        <w:r w:rsidRPr="00430F29">
          <w:rPr>
            <w:rStyle w:val="Hyperlink"/>
            <w:rFonts w:cstheme="majorBidi"/>
            <w:iCs/>
            <w:sz w:val="22"/>
            <w:lang w:val="en-GB"/>
          </w:rPr>
          <w:t>https://ods.od.nih.gov/factsheets/Riboflavin-HealthProfessional/</w:t>
        </w:r>
      </w:hyperlink>
    </w:p>
    <w:p w14:paraId="12AEF849"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Omah, E. C., Ajoiyi, R. A., &amp; Nwankwo, C. S. (2015). Proximate composition and sensory properties of freeze-dried Nigerian soups. </w:t>
      </w:r>
      <w:r w:rsidRPr="00430F29">
        <w:rPr>
          <w:rFonts w:cstheme="majorBidi"/>
          <w:i/>
          <w:iCs/>
          <w:sz w:val="22"/>
          <w:lang w:val="en-GB"/>
        </w:rPr>
        <w:t>Agro-Science: Journal of Tropical Agriculture, Food, Environment and Extension, 14</w:t>
      </w:r>
      <w:r w:rsidRPr="00430F29">
        <w:rPr>
          <w:rFonts w:cstheme="majorBidi"/>
          <w:iCs/>
          <w:sz w:val="22"/>
          <w:lang w:val="en-GB"/>
        </w:rPr>
        <w:t>(1), 37-43. </w:t>
      </w:r>
      <w:hyperlink r:id="rId36" w:history="1">
        <w:r w:rsidRPr="00430F29">
          <w:rPr>
            <w:rStyle w:val="Hyperlink"/>
            <w:rFonts w:cstheme="majorBidi"/>
            <w:iCs/>
            <w:sz w:val="22"/>
            <w:lang w:val="en-GB"/>
          </w:rPr>
          <w:t>https://doi.org/10.4314/as.v14i1.5</w:t>
        </w:r>
      </w:hyperlink>
    </w:p>
    <w:p w14:paraId="5D77BD7E"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Onakpa, M. M., Njan, A. A., &amp; Kalu, O. C. (2018). A review of heavy metal contamination of food crops in Nigeria. </w:t>
      </w:r>
      <w:r w:rsidRPr="00430F29">
        <w:rPr>
          <w:rFonts w:cstheme="majorBidi"/>
          <w:i/>
          <w:iCs/>
          <w:sz w:val="22"/>
          <w:lang w:val="en-GB"/>
        </w:rPr>
        <w:t>Annals of Global Health</w:t>
      </w:r>
      <w:r w:rsidRPr="00430F29">
        <w:rPr>
          <w:rFonts w:cstheme="majorBidi"/>
          <w:iCs/>
          <w:sz w:val="22"/>
          <w:lang w:val="en-GB"/>
        </w:rPr>
        <w:t>, 84(3), 488–494. </w:t>
      </w:r>
      <w:hyperlink r:id="rId37" w:history="1">
        <w:r w:rsidRPr="00430F29">
          <w:rPr>
            <w:rStyle w:val="Hyperlink"/>
            <w:rFonts w:cstheme="majorBidi"/>
            <w:iCs/>
            <w:sz w:val="22"/>
            <w:lang w:val="en-GB"/>
          </w:rPr>
          <w:t>https://doi.org/10.29024/aogh.2314</w:t>
        </w:r>
      </w:hyperlink>
    </w:p>
    <w:p w14:paraId="55AD74B9"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Onakpa, M. M., Njan, A. A., &amp; Kalu, O. C. (2018). A review of heavy metal contamination of food crops in Nigeria. </w:t>
      </w:r>
      <w:r w:rsidRPr="00430F29">
        <w:rPr>
          <w:rFonts w:cstheme="majorBidi"/>
          <w:i/>
          <w:iCs/>
          <w:sz w:val="22"/>
          <w:lang w:val="en-GB"/>
        </w:rPr>
        <w:t>Annals of Global Health</w:t>
      </w:r>
      <w:r w:rsidRPr="00430F29">
        <w:rPr>
          <w:rFonts w:cstheme="majorBidi"/>
          <w:iCs/>
          <w:sz w:val="22"/>
          <w:lang w:val="en-GB"/>
        </w:rPr>
        <w:t>, 84(3), 488–494. </w:t>
      </w:r>
      <w:hyperlink r:id="rId38" w:history="1">
        <w:r w:rsidRPr="00430F29">
          <w:rPr>
            <w:rStyle w:val="Hyperlink"/>
            <w:rFonts w:cstheme="majorBidi"/>
            <w:iCs/>
            <w:sz w:val="22"/>
            <w:lang w:val="en-GB"/>
          </w:rPr>
          <w:t>https://doi.org/10.29024/aogh.2314</w:t>
        </w:r>
      </w:hyperlink>
    </w:p>
    <w:p w14:paraId="7A63B0E6" w14:textId="77777777" w:rsidR="00AE32AB" w:rsidRPr="00430F29" w:rsidRDefault="00AE32AB" w:rsidP="00430F29">
      <w:pPr>
        <w:spacing w:after="0" w:line="240" w:lineRule="auto"/>
        <w:ind w:left="720" w:hanging="720"/>
        <w:jc w:val="both"/>
        <w:rPr>
          <w:rFonts w:cstheme="majorBidi"/>
          <w:sz w:val="22"/>
        </w:rPr>
      </w:pPr>
      <w:r w:rsidRPr="00430F29">
        <w:rPr>
          <w:rFonts w:cstheme="majorBidi"/>
          <w:sz w:val="22"/>
        </w:rPr>
        <w:t xml:space="preserve"> Parimelazhagan Thangaraj, P. (2016). Proximate composition analysis. Pharmacological assays of plant-based natural products, Progress in Drug Research, 21-31.</w:t>
      </w:r>
    </w:p>
    <w:p w14:paraId="5D8663A2"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Petrikova, I., Bhattacharjee, R., &amp; Fraser, P. D. (2023). </w:t>
      </w:r>
      <w:r w:rsidRPr="00430F29">
        <w:rPr>
          <w:rFonts w:cstheme="majorBidi"/>
          <w:i/>
          <w:iCs/>
          <w:sz w:val="22"/>
          <w:lang w:val="en-GB"/>
        </w:rPr>
        <w:t>The ‘Nigerian diet’ and its evolution: Review of the existing literature and household survey data</w:t>
      </w:r>
      <w:r w:rsidRPr="00430F29">
        <w:rPr>
          <w:rFonts w:cstheme="majorBidi"/>
          <w:iCs/>
          <w:sz w:val="22"/>
          <w:lang w:val="en-GB"/>
        </w:rPr>
        <w:t>. Foods, 12(3), 443 </w:t>
      </w:r>
      <w:hyperlink r:id="rId39" w:history="1">
        <w:r w:rsidRPr="00430F29">
          <w:rPr>
            <w:rStyle w:val="Hyperlink"/>
            <w:rFonts w:cstheme="majorBidi"/>
            <w:iCs/>
            <w:sz w:val="22"/>
            <w:lang w:val="en-GB"/>
          </w:rPr>
          <w:t>https://doi.org/10.3390/foods12030443</w:t>
        </w:r>
      </w:hyperlink>
    </w:p>
    <w:p w14:paraId="07A93644"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lastRenderedPageBreak/>
        <w:t>Petrikova, I., Bhattacharjee, R., &amp; Fraser, P. D. (2023). </w:t>
      </w:r>
      <w:r w:rsidRPr="00430F29">
        <w:rPr>
          <w:rFonts w:cstheme="majorBidi"/>
          <w:i/>
          <w:iCs/>
          <w:sz w:val="22"/>
          <w:lang w:val="en-GB"/>
        </w:rPr>
        <w:t>The ‘Nigerian diet’ and its evolution: Review of the existing literature and household survey data</w:t>
      </w:r>
      <w:r w:rsidRPr="00430F29">
        <w:rPr>
          <w:rFonts w:cstheme="majorBidi"/>
          <w:iCs/>
          <w:sz w:val="22"/>
          <w:lang w:val="en-GB"/>
        </w:rPr>
        <w:t>. Foods, 12(3), 443 </w:t>
      </w:r>
      <w:hyperlink r:id="rId40" w:history="1">
        <w:r w:rsidRPr="00430F29">
          <w:rPr>
            <w:rStyle w:val="Hyperlink"/>
            <w:rFonts w:cstheme="majorBidi"/>
            <w:iCs/>
            <w:sz w:val="22"/>
            <w:lang w:val="en-GB"/>
          </w:rPr>
          <w:t>https://doi.org/10.3390/foods12030443</w:t>
        </w:r>
      </w:hyperlink>
    </w:p>
    <w:p w14:paraId="60E02740"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Schaefer, H. R., Dennis, S., &amp; Fitzpatrick, S. (2020). Cadmium: Mitigation strategies to reduce dietary exposure. </w:t>
      </w:r>
      <w:r w:rsidRPr="00430F29">
        <w:rPr>
          <w:rFonts w:cstheme="majorBidi"/>
          <w:i/>
          <w:iCs/>
          <w:sz w:val="22"/>
          <w:lang w:val="en-GB"/>
        </w:rPr>
        <w:t>Journal of Food Science</w:t>
      </w:r>
      <w:r w:rsidRPr="00430F29">
        <w:rPr>
          <w:rFonts w:cstheme="majorBidi"/>
          <w:iCs/>
          <w:sz w:val="22"/>
          <w:lang w:val="en-GB"/>
        </w:rPr>
        <w:t>. </w:t>
      </w:r>
      <w:hyperlink r:id="rId41" w:history="1">
        <w:r w:rsidRPr="00430F29">
          <w:rPr>
            <w:rStyle w:val="Hyperlink"/>
            <w:rFonts w:cstheme="majorBidi"/>
            <w:iCs/>
            <w:sz w:val="22"/>
            <w:lang w:val="en-GB"/>
          </w:rPr>
          <w:t>https://doi.org/10.1111/1750-3841.14997</w:t>
        </w:r>
      </w:hyperlink>
    </w:p>
    <w:p w14:paraId="35DAFDBE"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Trugo, N. M. F., &amp; Torres, A. G. (2003). Fats | Requirements. In </w:t>
      </w:r>
      <w:r w:rsidRPr="00430F29">
        <w:rPr>
          <w:rFonts w:cstheme="majorBidi"/>
          <w:i/>
          <w:iCs/>
          <w:sz w:val="22"/>
          <w:lang w:val="en-GB"/>
        </w:rPr>
        <w:t>Encyclopedia of Food Sciences and Nutrition</w:t>
      </w:r>
      <w:r w:rsidRPr="00430F29">
        <w:rPr>
          <w:rFonts w:cstheme="majorBidi"/>
          <w:iCs/>
          <w:sz w:val="22"/>
          <w:lang w:val="en-GB"/>
        </w:rPr>
        <w:t> (2nd ed., pp. 2279-2284). Elsevier Science Ltd. https://doi.org/10.1016/B0-12-227055-X/00444-2</w:t>
      </w:r>
    </w:p>
    <w:p w14:paraId="2D452E87"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Westenbrink, S., Brunt, K., &amp; van der Kamp, J.-W. (2013). Dietary fibre: challenges in production and use of food composition data. </w:t>
      </w:r>
      <w:r w:rsidRPr="00430F29">
        <w:rPr>
          <w:rFonts w:cstheme="majorBidi"/>
          <w:i/>
          <w:sz w:val="22"/>
        </w:rPr>
        <w:t>Food chemistry, 140</w:t>
      </w:r>
      <w:r w:rsidRPr="00430F29">
        <w:rPr>
          <w:rFonts w:cstheme="majorBidi"/>
          <w:sz w:val="22"/>
        </w:rPr>
        <w:t xml:space="preserve">(3), 562-567. </w:t>
      </w:r>
    </w:p>
    <w:p w14:paraId="4C5015DB"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World Health Organization. (2022). </w:t>
      </w:r>
      <w:r w:rsidRPr="00430F29">
        <w:rPr>
          <w:rFonts w:cstheme="majorBidi"/>
          <w:i/>
          <w:iCs/>
          <w:sz w:val="22"/>
          <w:lang w:val="en-GB"/>
        </w:rPr>
        <w:t>Ranking of low-moisture foods in support of microbiological risk management: Meeting report and systematic review</w:t>
      </w:r>
      <w:r w:rsidRPr="00430F29">
        <w:rPr>
          <w:rFonts w:cstheme="majorBidi"/>
          <w:iCs/>
          <w:sz w:val="22"/>
          <w:lang w:val="en-GB"/>
        </w:rPr>
        <w:t> (Microbiological risk assessment series No. 26). </w:t>
      </w:r>
      <w:hyperlink r:id="rId42" w:history="1">
        <w:r w:rsidRPr="00430F29">
          <w:rPr>
            <w:rStyle w:val="Hyperlink"/>
            <w:rFonts w:cstheme="majorBidi"/>
            <w:iCs/>
            <w:sz w:val="22"/>
            <w:lang w:val="en-GB"/>
          </w:rPr>
          <w:t>https://www.who.int/publications/i/item/9789240044036</w:t>
        </w:r>
      </w:hyperlink>
    </w:p>
    <w:p w14:paraId="773A5970" w14:textId="77777777" w:rsidR="00AE32AB" w:rsidRPr="00430F29" w:rsidRDefault="00AE32AB" w:rsidP="00430F29">
      <w:pPr>
        <w:pStyle w:val="EndNoteBibliography"/>
        <w:spacing w:after="0"/>
        <w:ind w:left="720" w:hanging="720"/>
        <w:jc w:val="both"/>
        <w:rPr>
          <w:rFonts w:cstheme="majorBidi"/>
          <w:iCs/>
          <w:sz w:val="22"/>
          <w:u w:val="single"/>
          <w:lang w:val="en-GB"/>
        </w:rPr>
      </w:pPr>
      <w:r w:rsidRPr="00430F29">
        <w:rPr>
          <w:rFonts w:cstheme="majorBidi"/>
          <w:iCs/>
          <w:sz w:val="22"/>
          <w:lang w:val="en-GB"/>
        </w:rPr>
        <w:t>Zambrano, M. V., Dutta, B., Mercer, D. G., MacLean, H. L., &amp; Touchie, M. F. (2019). Assessment of moisture content measurement methods of dried food products in small-scale operations in developing countries: A review. </w:t>
      </w:r>
      <w:r w:rsidRPr="00430F29">
        <w:rPr>
          <w:rFonts w:cstheme="majorBidi"/>
          <w:i/>
          <w:iCs/>
          <w:sz w:val="22"/>
          <w:lang w:val="en-GB"/>
        </w:rPr>
        <w:t>Trends in Food Science &amp; Technology, 88</w:t>
      </w:r>
      <w:r w:rsidRPr="00430F29">
        <w:rPr>
          <w:rFonts w:cstheme="majorBidi"/>
          <w:iCs/>
          <w:sz w:val="22"/>
          <w:lang w:val="en-GB"/>
        </w:rPr>
        <w:t>, 484–496. </w:t>
      </w:r>
      <w:hyperlink r:id="rId43" w:history="1">
        <w:r w:rsidRPr="00430F29">
          <w:rPr>
            <w:rStyle w:val="Hyperlink"/>
            <w:rFonts w:cstheme="majorBidi"/>
            <w:iCs/>
            <w:sz w:val="22"/>
            <w:lang w:val="en-GB"/>
          </w:rPr>
          <w:t>https://doi.org/10.1016/j.tifs.2019.03.014</w:t>
        </w:r>
      </w:hyperlink>
    </w:p>
    <w:p w14:paraId="14862742" w14:textId="77777777" w:rsidR="00AE32AB" w:rsidRPr="00430F29" w:rsidRDefault="00AE32AB" w:rsidP="00430F29">
      <w:pPr>
        <w:spacing w:after="0" w:line="240" w:lineRule="auto"/>
        <w:ind w:left="720" w:hanging="720"/>
        <w:jc w:val="both"/>
        <w:rPr>
          <w:rFonts w:cstheme="majorBidi"/>
          <w:sz w:val="22"/>
        </w:rPr>
      </w:pPr>
      <w:r w:rsidRPr="00430F29">
        <w:rPr>
          <w:rFonts w:cstheme="majorBidi"/>
          <w:sz w:val="22"/>
        </w:rPr>
        <w:t xml:space="preserve"> Zoroddu, M. A., Aaseth, J., Crisponi, G., Medici, S., Peana, M., &amp; Nurchi, V. M. (2019). The essential metals for humans: a brief overview. Journal of inorganic biochemistry, 195, 120129. </w:t>
      </w:r>
    </w:p>
    <w:p w14:paraId="799CD555" w14:textId="77777777" w:rsidR="00A05C67" w:rsidRPr="00430F29" w:rsidRDefault="00A05C67" w:rsidP="00430F29">
      <w:pPr>
        <w:spacing w:after="0" w:line="240" w:lineRule="auto"/>
        <w:rPr>
          <w:sz w:val="22"/>
        </w:rPr>
      </w:pPr>
    </w:p>
    <w:sectPr w:rsidR="00A05C67" w:rsidRPr="00430F29" w:rsidSect="00D82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38AD7" w14:textId="77777777" w:rsidR="00BF12A9" w:rsidRDefault="00BF12A9" w:rsidP="00812A55">
      <w:pPr>
        <w:spacing w:after="0" w:line="240" w:lineRule="auto"/>
      </w:pPr>
      <w:r>
        <w:separator/>
      </w:r>
    </w:p>
  </w:endnote>
  <w:endnote w:type="continuationSeparator" w:id="0">
    <w:p w14:paraId="332717EE" w14:textId="77777777" w:rsidR="00BF12A9" w:rsidRDefault="00BF12A9" w:rsidP="0081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28FD5" w14:textId="77777777" w:rsidR="00124C1F" w:rsidRDefault="00124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06352"/>
      <w:docPartObj>
        <w:docPartGallery w:val="Page Numbers (Bottom of Page)"/>
        <w:docPartUnique/>
      </w:docPartObj>
    </w:sdtPr>
    <w:sdtEndPr>
      <w:rPr>
        <w:noProof/>
      </w:rPr>
    </w:sdtEndPr>
    <w:sdtContent>
      <w:p w14:paraId="2514354B" w14:textId="77777777" w:rsidR="00702A92" w:rsidRDefault="001551AD">
        <w:pPr>
          <w:pStyle w:val="Footer"/>
          <w:jc w:val="right"/>
        </w:pPr>
        <w:r>
          <w:fldChar w:fldCharType="begin"/>
        </w:r>
        <w:r>
          <w:instrText xml:space="preserve"> PAGE   \* MERGEFORMAT </w:instrText>
        </w:r>
        <w:r>
          <w:fldChar w:fldCharType="separate"/>
        </w:r>
        <w:r w:rsidR="00764811">
          <w:rPr>
            <w:noProof/>
          </w:rPr>
          <w:t>21</w:t>
        </w:r>
        <w:r>
          <w:rPr>
            <w:noProof/>
          </w:rPr>
          <w:fldChar w:fldCharType="end"/>
        </w:r>
      </w:p>
    </w:sdtContent>
  </w:sdt>
  <w:p w14:paraId="134D3FD0" w14:textId="77777777" w:rsidR="00702A92" w:rsidRDefault="00702A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CFEDA" w14:textId="77777777" w:rsidR="00124C1F" w:rsidRDefault="00124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DD570" w14:textId="77777777" w:rsidR="00BF12A9" w:rsidRDefault="00BF12A9" w:rsidP="00812A55">
      <w:pPr>
        <w:spacing w:after="0" w:line="240" w:lineRule="auto"/>
      </w:pPr>
      <w:r>
        <w:separator/>
      </w:r>
    </w:p>
  </w:footnote>
  <w:footnote w:type="continuationSeparator" w:id="0">
    <w:p w14:paraId="12B248F7" w14:textId="77777777" w:rsidR="00BF12A9" w:rsidRDefault="00BF12A9" w:rsidP="00812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B424D" w14:textId="6AD64E37" w:rsidR="00124C1F" w:rsidRDefault="00BF12A9">
    <w:pPr>
      <w:pStyle w:val="Header"/>
    </w:pPr>
    <w:r>
      <w:rPr>
        <w:noProof/>
      </w:rPr>
      <w:pict w14:anchorId="1DA1F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07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C30F9" w14:textId="7787CB55" w:rsidR="00124C1F" w:rsidRDefault="00BF12A9">
    <w:pPr>
      <w:pStyle w:val="Header"/>
    </w:pPr>
    <w:r>
      <w:rPr>
        <w:noProof/>
      </w:rPr>
      <w:pict w14:anchorId="3E986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07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EDD55" w14:textId="0998024C" w:rsidR="00124C1F" w:rsidRDefault="00BF12A9">
    <w:pPr>
      <w:pStyle w:val="Header"/>
    </w:pPr>
    <w:r>
      <w:rPr>
        <w:noProof/>
      </w:rPr>
      <w:pict w14:anchorId="58C49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07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0CEA666"/>
    <w:lvl w:ilvl="0" w:tplc="08090001">
      <w:start w:val="1"/>
      <w:numFmt w:val="bullet"/>
      <w:lvlText w:val=""/>
      <w:lvlJc w:val="left"/>
      <w:pPr>
        <w:ind w:left="720" w:hanging="360"/>
      </w:pPr>
      <w:rPr>
        <w:rFonts w:ascii="Symbol" w:hAnsi="Symbol" w:hint="default"/>
      </w:rPr>
    </w:lvl>
    <w:lvl w:ilvl="1" w:tplc="F080F860">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3"/>
    <w:multiLevelType w:val="hybridMultilevel"/>
    <w:tmpl w:val="EA9ADB36"/>
    <w:lvl w:ilvl="0" w:tplc="08090001">
      <w:start w:val="1"/>
      <w:numFmt w:val="bullet"/>
      <w:lvlText w:val=""/>
      <w:lvlJc w:val="left"/>
      <w:pPr>
        <w:ind w:left="824" w:hanging="720"/>
      </w:pPr>
      <w:rPr>
        <w:rFonts w:ascii="Symbol" w:hAnsi="Symbol" w:hint="default"/>
        <w:b/>
      </w:rPr>
    </w:lvl>
    <w:lvl w:ilvl="1" w:tplc="04090019">
      <w:start w:val="1"/>
      <w:numFmt w:val="lowerLetter"/>
      <w:lvlText w:val="%2."/>
      <w:lvlJc w:val="left"/>
      <w:pPr>
        <w:ind w:left="1184" w:hanging="360"/>
      </w:pPr>
    </w:lvl>
    <w:lvl w:ilvl="2" w:tplc="0409001B">
      <w:start w:val="1"/>
      <w:numFmt w:val="lowerRoman"/>
      <w:lvlText w:val="%3."/>
      <w:lvlJc w:val="right"/>
      <w:pPr>
        <w:ind w:left="1904" w:hanging="180"/>
      </w:pPr>
    </w:lvl>
    <w:lvl w:ilvl="3" w:tplc="0409000F">
      <w:start w:val="1"/>
      <w:numFmt w:val="decimal"/>
      <w:lvlText w:val="%4."/>
      <w:lvlJc w:val="left"/>
      <w:pPr>
        <w:ind w:left="2624" w:hanging="360"/>
      </w:pPr>
    </w:lvl>
    <w:lvl w:ilvl="4" w:tplc="04090019">
      <w:start w:val="1"/>
      <w:numFmt w:val="lowerLetter"/>
      <w:lvlText w:val="%5."/>
      <w:lvlJc w:val="left"/>
      <w:pPr>
        <w:ind w:left="3344" w:hanging="360"/>
      </w:pPr>
    </w:lvl>
    <w:lvl w:ilvl="5" w:tplc="0409001B">
      <w:start w:val="1"/>
      <w:numFmt w:val="lowerRoman"/>
      <w:lvlText w:val="%6."/>
      <w:lvlJc w:val="right"/>
      <w:pPr>
        <w:ind w:left="4064" w:hanging="180"/>
      </w:pPr>
    </w:lvl>
    <w:lvl w:ilvl="6" w:tplc="0409000F">
      <w:start w:val="1"/>
      <w:numFmt w:val="decimal"/>
      <w:lvlText w:val="%7."/>
      <w:lvlJc w:val="left"/>
      <w:pPr>
        <w:ind w:left="4784" w:hanging="360"/>
      </w:pPr>
    </w:lvl>
    <w:lvl w:ilvl="7" w:tplc="04090019">
      <w:start w:val="1"/>
      <w:numFmt w:val="lowerLetter"/>
      <w:lvlText w:val="%8."/>
      <w:lvlJc w:val="left"/>
      <w:pPr>
        <w:ind w:left="5504" w:hanging="360"/>
      </w:pPr>
    </w:lvl>
    <w:lvl w:ilvl="8" w:tplc="0409001B">
      <w:start w:val="1"/>
      <w:numFmt w:val="lowerRoman"/>
      <w:lvlText w:val="%9."/>
      <w:lvlJc w:val="right"/>
      <w:pPr>
        <w:ind w:left="6224" w:hanging="180"/>
      </w:pPr>
    </w:lvl>
  </w:abstractNum>
  <w:abstractNum w:abstractNumId="2">
    <w:nsid w:val="00000005"/>
    <w:multiLevelType w:val="hybridMultilevel"/>
    <w:tmpl w:val="05329F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A"/>
    <w:multiLevelType w:val="hybridMultilevel"/>
    <w:tmpl w:val="E410E63A"/>
    <w:lvl w:ilvl="0" w:tplc="08090001">
      <w:start w:val="1"/>
      <w:numFmt w:val="bullet"/>
      <w:lvlText w:val=""/>
      <w:lvlJc w:val="left"/>
      <w:pPr>
        <w:ind w:left="720" w:hanging="360"/>
      </w:pPr>
      <w:rPr>
        <w:rFonts w:ascii="Symbol" w:hAnsi="Symbol" w:hint="default"/>
      </w:rPr>
    </w:lvl>
    <w:lvl w:ilvl="1" w:tplc="2530E722">
      <w:start w:val="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B"/>
    <w:multiLevelType w:val="hybridMultilevel"/>
    <w:tmpl w:val="9630493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7579A5"/>
    <w:multiLevelType w:val="multilevel"/>
    <w:tmpl w:val="E97A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2C4A58"/>
    <w:multiLevelType w:val="singleLevel"/>
    <w:tmpl w:val="08090001"/>
    <w:lvl w:ilvl="0">
      <w:start w:val="1"/>
      <w:numFmt w:val="bullet"/>
      <w:lvlText w:val=""/>
      <w:lvlJc w:val="left"/>
      <w:pPr>
        <w:ind w:left="720" w:hanging="360"/>
      </w:pPr>
      <w:rPr>
        <w:rFonts w:ascii="Symbol" w:hAnsi="Symbol" w:hint="default"/>
      </w:rPr>
    </w:lvl>
  </w:abstractNum>
  <w:abstractNum w:abstractNumId="7">
    <w:nsid w:val="093F62EE"/>
    <w:multiLevelType w:val="hybridMultilevel"/>
    <w:tmpl w:val="2630697A"/>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0E714088"/>
    <w:multiLevelType w:val="hybridMultilevel"/>
    <w:tmpl w:val="1E48FA8A"/>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0F1F4D02"/>
    <w:multiLevelType w:val="hybridMultilevel"/>
    <w:tmpl w:val="4AA87822"/>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0FB12D7C"/>
    <w:multiLevelType w:val="multilevel"/>
    <w:tmpl w:val="D300235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BA95A7F"/>
    <w:multiLevelType w:val="hybridMultilevel"/>
    <w:tmpl w:val="6228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BC6A52"/>
    <w:multiLevelType w:val="hybridMultilevel"/>
    <w:tmpl w:val="0520D7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1E7D592A"/>
    <w:multiLevelType w:val="hybridMultilevel"/>
    <w:tmpl w:val="48D0A3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ED19A0"/>
    <w:multiLevelType w:val="hybridMultilevel"/>
    <w:tmpl w:val="6A86151E"/>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7121A96"/>
    <w:multiLevelType w:val="hybridMultilevel"/>
    <w:tmpl w:val="DF0434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77475"/>
    <w:multiLevelType w:val="hybridMultilevel"/>
    <w:tmpl w:val="5A804D62"/>
    <w:lvl w:ilvl="0" w:tplc="08090001">
      <w:start w:val="1"/>
      <w:numFmt w:val="bullet"/>
      <w:lvlText w:val=""/>
      <w:lvlJc w:val="left"/>
      <w:pPr>
        <w:ind w:left="720" w:hanging="360"/>
      </w:pPr>
      <w:rPr>
        <w:rFonts w:ascii="Symbol" w:hAnsi="Symbol" w:hint="default"/>
      </w:rPr>
    </w:lvl>
    <w:lvl w:ilvl="1" w:tplc="44A49AAA">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13439"/>
    <w:multiLevelType w:val="multilevel"/>
    <w:tmpl w:val="D300235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5F95410"/>
    <w:multiLevelType w:val="multilevel"/>
    <w:tmpl w:val="1B002D5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ED10DF7"/>
    <w:multiLevelType w:val="multilevel"/>
    <w:tmpl w:val="D300235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785755A"/>
    <w:multiLevelType w:val="hybridMultilevel"/>
    <w:tmpl w:val="7ABC18B0"/>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4B5B26AE"/>
    <w:multiLevelType w:val="hybridMultilevel"/>
    <w:tmpl w:val="D2E2DA4C"/>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4D103676"/>
    <w:multiLevelType w:val="hybridMultilevel"/>
    <w:tmpl w:val="8F64580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FE4606"/>
    <w:multiLevelType w:val="hybridMultilevel"/>
    <w:tmpl w:val="9EC8EDF4"/>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5BE773CD"/>
    <w:multiLevelType w:val="hybridMultilevel"/>
    <w:tmpl w:val="1040A29A"/>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61D03F1F"/>
    <w:multiLevelType w:val="hybridMultilevel"/>
    <w:tmpl w:val="AF66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943EB5"/>
    <w:multiLevelType w:val="hybridMultilevel"/>
    <w:tmpl w:val="BFD85334"/>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73223C96"/>
    <w:multiLevelType w:val="multilevel"/>
    <w:tmpl w:val="6FEC2B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7780B00"/>
    <w:multiLevelType w:val="hybridMultilevel"/>
    <w:tmpl w:val="23B42700"/>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7"/>
  </w:num>
  <w:num w:numId="2">
    <w:abstractNumId w:val="17"/>
  </w:num>
  <w:num w:numId="3">
    <w:abstractNumId w:val="19"/>
  </w:num>
  <w:num w:numId="4">
    <w:abstractNumId w:val="10"/>
  </w:num>
  <w:num w:numId="5">
    <w:abstractNumId w:val="3"/>
  </w:num>
  <w:num w:numId="6">
    <w:abstractNumId w:val="18"/>
  </w:num>
  <w:num w:numId="7">
    <w:abstractNumId w:val="0"/>
  </w:num>
  <w:num w:numId="8">
    <w:abstractNumId w:val="4"/>
  </w:num>
  <w:num w:numId="9">
    <w:abstractNumId w:val="1"/>
  </w:num>
  <w:num w:numId="10">
    <w:abstractNumId w:val="2"/>
  </w:num>
  <w:num w:numId="11">
    <w:abstractNumId w:val="13"/>
  </w:num>
  <w:num w:numId="12">
    <w:abstractNumId w:val="22"/>
  </w:num>
  <w:num w:numId="13">
    <w:abstractNumId w:val="6"/>
  </w:num>
  <w:num w:numId="14">
    <w:abstractNumId w:val="28"/>
  </w:num>
  <w:num w:numId="15">
    <w:abstractNumId w:val="24"/>
  </w:num>
  <w:num w:numId="16">
    <w:abstractNumId w:val="8"/>
  </w:num>
  <w:num w:numId="17">
    <w:abstractNumId w:val="9"/>
  </w:num>
  <w:num w:numId="18">
    <w:abstractNumId w:val="23"/>
  </w:num>
  <w:num w:numId="19">
    <w:abstractNumId w:val="21"/>
  </w:num>
  <w:num w:numId="20">
    <w:abstractNumId w:val="16"/>
  </w:num>
  <w:num w:numId="21">
    <w:abstractNumId w:val="20"/>
  </w:num>
  <w:num w:numId="22">
    <w:abstractNumId w:val="15"/>
  </w:num>
  <w:num w:numId="23">
    <w:abstractNumId w:val="26"/>
  </w:num>
  <w:num w:numId="24">
    <w:abstractNumId w:val="14"/>
  </w:num>
  <w:num w:numId="25">
    <w:abstractNumId w:val="7"/>
  </w:num>
  <w:num w:numId="26">
    <w:abstractNumId w:val="5"/>
  </w:num>
  <w:num w:numId="27">
    <w:abstractNumId w:val="25"/>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615"/>
    <w:rsid w:val="00043F04"/>
    <w:rsid w:val="00062C89"/>
    <w:rsid w:val="000E5F7C"/>
    <w:rsid w:val="00104820"/>
    <w:rsid w:val="00120E2B"/>
    <w:rsid w:val="00124C1F"/>
    <w:rsid w:val="00124EA5"/>
    <w:rsid w:val="001320F5"/>
    <w:rsid w:val="0013515E"/>
    <w:rsid w:val="001551AD"/>
    <w:rsid w:val="001D14A5"/>
    <w:rsid w:val="0021111C"/>
    <w:rsid w:val="00283D07"/>
    <w:rsid w:val="00293F22"/>
    <w:rsid w:val="002B0D6F"/>
    <w:rsid w:val="002B6564"/>
    <w:rsid w:val="002D40DD"/>
    <w:rsid w:val="002E1AAA"/>
    <w:rsid w:val="0030142A"/>
    <w:rsid w:val="00353559"/>
    <w:rsid w:val="003563FF"/>
    <w:rsid w:val="003C2933"/>
    <w:rsid w:val="003D0636"/>
    <w:rsid w:val="004133D7"/>
    <w:rsid w:val="00415D40"/>
    <w:rsid w:val="004272DA"/>
    <w:rsid w:val="00430F29"/>
    <w:rsid w:val="00433291"/>
    <w:rsid w:val="0045745C"/>
    <w:rsid w:val="00465F5B"/>
    <w:rsid w:val="00494688"/>
    <w:rsid w:val="004C08F9"/>
    <w:rsid w:val="005360C1"/>
    <w:rsid w:val="00570005"/>
    <w:rsid w:val="005B4A59"/>
    <w:rsid w:val="005F7982"/>
    <w:rsid w:val="006059CC"/>
    <w:rsid w:val="00613935"/>
    <w:rsid w:val="0061651E"/>
    <w:rsid w:val="00685DEB"/>
    <w:rsid w:val="006B2D10"/>
    <w:rsid w:val="00702A92"/>
    <w:rsid w:val="00703D67"/>
    <w:rsid w:val="0072773A"/>
    <w:rsid w:val="00764811"/>
    <w:rsid w:val="007C59E8"/>
    <w:rsid w:val="007E5BA5"/>
    <w:rsid w:val="007F02F9"/>
    <w:rsid w:val="00812A55"/>
    <w:rsid w:val="00813643"/>
    <w:rsid w:val="00814B90"/>
    <w:rsid w:val="0083315F"/>
    <w:rsid w:val="00887E96"/>
    <w:rsid w:val="00A05C67"/>
    <w:rsid w:val="00A10592"/>
    <w:rsid w:val="00AC63B3"/>
    <w:rsid w:val="00AD1A96"/>
    <w:rsid w:val="00AE32AB"/>
    <w:rsid w:val="00AF327E"/>
    <w:rsid w:val="00B17A70"/>
    <w:rsid w:val="00B56565"/>
    <w:rsid w:val="00B5666E"/>
    <w:rsid w:val="00BB321D"/>
    <w:rsid w:val="00BF12A9"/>
    <w:rsid w:val="00C415CF"/>
    <w:rsid w:val="00C71615"/>
    <w:rsid w:val="00CE78F9"/>
    <w:rsid w:val="00D257F4"/>
    <w:rsid w:val="00D40F05"/>
    <w:rsid w:val="00D47F39"/>
    <w:rsid w:val="00D80DB2"/>
    <w:rsid w:val="00D82D67"/>
    <w:rsid w:val="00D94F35"/>
    <w:rsid w:val="00DB3FEE"/>
    <w:rsid w:val="00DF109A"/>
    <w:rsid w:val="00E25321"/>
    <w:rsid w:val="00E719CD"/>
    <w:rsid w:val="00EB1416"/>
    <w:rsid w:val="00EC06CE"/>
    <w:rsid w:val="00ED3101"/>
    <w:rsid w:val="00ED42F0"/>
    <w:rsid w:val="00FE2CDC"/>
    <w:rsid w:val="00FE43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AAA"/>
    <w:pPr>
      <w:suppressAutoHyphens/>
      <w:autoSpaceDN w:val="0"/>
      <w:spacing w:after="160" w:line="256" w:lineRule="auto"/>
      <w:textAlignment w:val="baseline"/>
    </w:pPr>
    <w:rPr>
      <w:rFonts w:asciiTheme="majorBidi" w:eastAsia="Calibri" w:hAnsiTheme="majorBidi" w:cs="Arial"/>
      <w:sz w:val="24"/>
    </w:rPr>
  </w:style>
  <w:style w:type="paragraph" w:styleId="Heading1">
    <w:name w:val="heading 1"/>
    <w:basedOn w:val="Normal"/>
    <w:next w:val="Normal"/>
    <w:link w:val="Heading1Char"/>
    <w:autoRedefine/>
    <w:uiPriority w:val="9"/>
    <w:qFormat/>
    <w:rsid w:val="00BB321D"/>
    <w:pPr>
      <w:keepNext/>
      <w:keepLines/>
      <w:spacing w:after="0" w:line="240" w:lineRule="auto"/>
      <w:outlineLvl w:val="0"/>
    </w:pPr>
    <w:rPr>
      <w:rFonts w:eastAsia="Times New Roman" w:cstheme="majorBidi"/>
      <w:b/>
      <w:szCs w:val="32"/>
    </w:rPr>
  </w:style>
  <w:style w:type="paragraph" w:styleId="Heading3">
    <w:name w:val="heading 3"/>
    <w:basedOn w:val="Normal"/>
    <w:next w:val="Normal"/>
    <w:link w:val="Heading3Char"/>
    <w:uiPriority w:val="9"/>
    <w:semiHidden/>
    <w:unhideWhenUsed/>
    <w:qFormat/>
    <w:rsid w:val="00887E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615"/>
    <w:rPr>
      <w:rFonts w:ascii="Tahoma" w:hAnsi="Tahoma" w:cs="Tahoma"/>
      <w:sz w:val="16"/>
      <w:szCs w:val="16"/>
    </w:rPr>
  </w:style>
  <w:style w:type="paragraph" w:styleId="Caption">
    <w:name w:val="caption"/>
    <w:basedOn w:val="Normal"/>
    <w:next w:val="Normal"/>
    <w:autoRedefine/>
    <w:uiPriority w:val="35"/>
    <w:unhideWhenUsed/>
    <w:qFormat/>
    <w:rsid w:val="00C71615"/>
    <w:pPr>
      <w:spacing w:line="240" w:lineRule="auto"/>
      <w:jc w:val="center"/>
    </w:pPr>
    <w:rPr>
      <w:b/>
      <w:bCs/>
      <w:i/>
      <w:iCs/>
      <w:szCs w:val="18"/>
    </w:rPr>
  </w:style>
  <w:style w:type="paragraph" w:styleId="Footer">
    <w:name w:val="footer"/>
    <w:basedOn w:val="Normal"/>
    <w:link w:val="FooterChar"/>
    <w:uiPriority w:val="99"/>
    <w:rsid w:val="002E1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AAA"/>
    <w:rPr>
      <w:rFonts w:asciiTheme="majorBidi" w:eastAsia="Calibri" w:hAnsiTheme="majorBidi" w:cs="Arial"/>
      <w:sz w:val="24"/>
    </w:rPr>
  </w:style>
  <w:style w:type="character" w:customStyle="1" w:styleId="Heading1Char">
    <w:name w:val="Heading 1 Char"/>
    <w:basedOn w:val="DefaultParagraphFont"/>
    <w:link w:val="Heading1"/>
    <w:uiPriority w:val="9"/>
    <w:rsid w:val="00BB321D"/>
    <w:rPr>
      <w:rFonts w:asciiTheme="majorBidi" w:eastAsia="Times New Roman" w:hAnsiTheme="majorBidi" w:cstheme="majorBidi"/>
      <w:b/>
      <w:sz w:val="24"/>
      <w:szCs w:val="32"/>
    </w:rPr>
  </w:style>
  <w:style w:type="character" w:styleId="Hyperlink">
    <w:name w:val="Hyperlink"/>
    <w:basedOn w:val="DefaultParagraphFont"/>
    <w:uiPriority w:val="99"/>
    <w:rsid w:val="00EC06CE"/>
    <w:rPr>
      <w:color w:val="0000FF"/>
      <w:u w:val="single"/>
    </w:rPr>
  </w:style>
  <w:style w:type="paragraph" w:styleId="NormalWeb">
    <w:name w:val="Normal (Web)"/>
    <w:basedOn w:val="Normal"/>
    <w:uiPriority w:val="99"/>
    <w:rsid w:val="00EC06CE"/>
    <w:pPr>
      <w:spacing w:before="100" w:after="100" w:line="240" w:lineRule="auto"/>
    </w:pPr>
    <w:rPr>
      <w:rFonts w:ascii="Times New Roman" w:eastAsia="Times New Roman" w:hAnsi="Times New Roman" w:cs="Times New Roman"/>
      <w:szCs w:val="24"/>
    </w:rPr>
  </w:style>
  <w:style w:type="paragraph" w:customStyle="1" w:styleId="Default">
    <w:name w:val="Default"/>
    <w:rsid w:val="00EC06CE"/>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EC06CE"/>
    <w:pPr>
      <w:ind w:left="720"/>
    </w:pPr>
  </w:style>
  <w:style w:type="table" w:styleId="TableGrid">
    <w:name w:val="Table Grid"/>
    <w:basedOn w:val="TableNormal"/>
    <w:uiPriority w:val="39"/>
    <w:rsid w:val="00EC06CE"/>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AE32AB"/>
    <w:pPr>
      <w:spacing w:line="240" w:lineRule="auto"/>
    </w:pPr>
  </w:style>
  <w:style w:type="character" w:customStyle="1" w:styleId="UnresolvedMention">
    <w:name w:val="Unresolved Mention"/>
    <w:basedOn w:val="DefaultParagraphFont"/>
    <w:uiPriority w:val="99"/>
    <w:semiHidden/>
    <w:unhideWhenUsed/>
    <w:rsid w:val="002B6564"/>
    <w:rPr>
      <w:color w:val="605E5C"/>
      <w:shd w:val="clear" w:color="auto" w:fill="E1DFDD"/>
    </w:rPr>
  </w:style>
  <w:style w:type="paragraph" w:styleId="Header">
    <w:name w:val="header"/>
    <w:basedOn w:val="Normal"/>
    <w:link w:val="HeaderChar"/>
    <w:uiPriority w:val="99"/>
    <w:unhideWhenUsed/>
    <w:rsid w:val="00124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1F"/>
    <w:rPr>
      <w:rFonts w:asciiTheme="majorBidi" w:eastAsia="Calibri" w:hAnsiTheme="majorBidi" w:cs="Arial"/>
      <w:sz w:val="24"/>
    </w:rPr>
  </w:style>
  <w:style w:type="character" w:customStyle="1" w:styleId="Heading3Char">
    <w:name w:val="Heading 3 Char"/>
    <w:basedOn w:val="DefaultParagraphFont"/>
    <w:link w:val="Heading3"/>
    <w:uiPriority w:val="9"/>
    <w:semiHidden/>
    <w:rsid w:val="00887E96"/>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AAA"/>
    <w:pPr>
      <w:suppressAutoHyphens/>
      <w:autoSpaceDN w:val="0"/>
      <w:spacing w:after="160" w:line="256" w:lineRule="auto"/>
      <w:textAlignment w:val="baseline"/>
    </w:pPr>
    <w:rPr>
      <w:rFonts w:asciiTheme="majorBidi" w:eastAsia="Calibri" w:hAnsiTheme="majorBidi" w:cs="Arial"/>
      <w:sz w:val="24"/>
    </w:rPr>
  </w:style>
  <w:style w:type="paragraph" w:styleId="Heading1">
    <w:name w:val="heading 1"/>
    <w:basedOn w:val="Normal"/>
    <w:next w:val="Normal"/>
    <w:link w:val="Heading1Char"/>
    <w:autoRedefine/>
    <w:uiPriority w:val="9"/>
    <w:qFormat/>
    <w:rsid w:val="00BB321D"/>
    <w:pPr>
      <w:keepNext/>
      <w:keepLines/>
      <w:spacing w:after="0" w:line="240" w:lineRule="auto"/>
      <w:outlineLvl w:val="0"/>
    </w:pPr>
    <w:rPr>
      <w:rFonts w:eastAsia="Times New Roman" w:cstheme="majorBidi"/>
      <w:b/>
      <w:szCs w:val="32"/>
    </w:rPr>
  </w:style>
  <w:style w:type="paragraph" w:styleId="Heading3">
    <w:name w:val="heading 3"/>
    <w:basedOn w:val="Normal"/>
    <w:next w:val="Normal"/>
    <w:link w:val="Heading3Char"/>
    <w:uiPriority w:val="9"/>
    <w:semiHidden/>
    <w:unhideWhenUsed/>
    <w:qFormat/>
    <w:rsid w:val="00887E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615"/>
    <w:rPr>
      <w:rFonts w:ascii="Tahoma" w:hAnsi="Tahoma" w:cs="Tahoma"/>
      <w:sz w:val="16"/>
      <w:szCs w:val="16"/>
    </w:rPr>
  </w:style>
  <w:style w:type="paragraph" w:styleId="Caption">
    <w:name w:val="caption"/>
    <w:basedOn w:val="Normal"/>
    <w:next w:val="Normal"/>
    <w:autoRedefine/>
    <w:uiPriority w:val="35"/>
    <w:unhideWhenUsed/>
    <w:qFormat/>
    <w:rsid w:val="00C71615"/>
    <w:pPr>
      <w:spacing w:line="240" w:lineRule="auto"/>
      <w:jc w:val="center"/>
    </w:pPr>
    <w:rPr>
      <w:b/>
      <w:bCs/>
      <w:i/>
      <w:iCs/>
      <w:szCs w:val="18"/>
    </w:rPr>
  </w:style>
  <w:style w:type="paragraph" w:styleId="Footer">
    <w:name w:val="footer"/>
    <w:basedOn w:val="Normal"/>
    <w:link w:val="FooterChar"/>
    <w:uiPriority w:val="99"/>
    <w:rsid w:val="002E1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AAA"/>
    <w:rPr>
      <w:rFonts w:asciiTheme="majorBidi" w:eastAsia="Calibri" w:hAnsiTheme="majorBidi" w:cs="Arial"/>
      <w:sz w:val="24"/>
    </w:rPr>
  </w:style>
  <w:style w:type="character" w:customStyle="1" w:styleId="Heading1Char">
    <w:name w:val="Heading 1 Char"/>
    <w:basedOn w:val="DefaultParagraphFont"/>
    <w:link w:val="Heading1"/>
    <w:uiPriority w:val="9"/>
    <w:rsid w:val="00BB321D"/>
    <w:rPr>
      <w:rFonts w:asciiTheme="majorBidi" w:eastAsia="Times New Roman" w:hAnsiTheme="majorBidi" w:cstheme="majorBidi"/>
      <w:b/>
      <w:sz w:val="24"/>
      <w:szCs w:val="32"/>
    </w:rPr>
  </w:style>
  <w:style w:type="character" w:styleId="Hyperlink">
    <w:name w:val="Hyperlink"/>
    <w:basedOn w:val="DefaultParagraphFont"/>
    <w:uiPriority w:val="99"/>
    <w:rsid w:val="00EC06CE"/>
    <w:rPr>
      <w:color w:val="0000FF"/>
      <w:u w:val="single"/>
    </w:rPr>
  </w:style>
  <w:style w:type="paragraph" w:styleId="NormalWeb">
    <w:name w:val="Normal (Web)"/>
    <w:basedOn w:val="Normal"/>
    <w:uiPriority w:val="99"/>
    <w:rsid w:val="00EC06CE"/>
    <w:pPr>
      <w:spacing w:before="100" w:after="100" w:line="240" w:lineRule="auto"/>
    </w:pPr>
    <w:rPr>
      <w:rFonts w:ascii="Times New Roman" w:eastAsia="Times New Roman" w:hAnsi="Times New Roman" w:cs="Times New Roman"/>
      <w:szCs w:val="24"/>
    </w:rPr>
  </w:style>
  <w:style w:type="paragraph" w:customStyle="1" w:styleId="Default">
    <w:name w:val="Default"/>
    <w:rsid w:val="00EC06CE"/>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EC06CE"/>
    <w:pPr>
      <w:ind w:left="720"/>
    </w:pPr>
  </w:style>
  <w:style w:type="table" w:styleId="TableGrid">
    <w:name w:val="Table Grid"/>
    <w:basedOn w:val="TableNormal"/>
    <w:uiPriority w:val="39"/>
    <w:rsid w:val="00EC06CE"/>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AE32AB"/>
    <w:pPr>
      <w:spacing w:line="240" w:lineRule="auto"/>
    </w:pPr>
  </w:style>
  <w:style w:type="character" w:customStyle="1" w:styleId="UnresolvedMention">
    <w:name w:val="Unresolved Mention"/>
    <w:basedOn w:val="DefaultParagraphFont"/>
    <w:uiPriority w:val="99"/>
    <w:semiHidden/>
    <w:unhideWhenUsed/>
    <w:rsid w:val="002B6564"/>
    <w:rPr>
      <w:color w:val="605E5C"/>
      <w:shd w:val="clear" w:color="auto" w:fill="E1DFDD"/>
    </w:rPr>
  </w:style>
  <w:style w:type="paragraph" w:styleId="Header">
    <w:name w:val="header"/>
    <w:basedOn w:val="Normal"/>
    <w:link w:val="HeaderChar"/>
    <w:uiPriority w:val="99"/>
    <w:unhideWhenUsed/>
    <w:rsid w:val="00124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1F"/>
    <w:rPr>
      <w:rFonts w:asciiTheme="majorBidi" w:eastAsia="Calibri" w:hAnsiTheme="majorBidi" w:cs="Arial"/>
      <w:sz w:val="24"/>
    </w:rPr>
  </w:style>
  <w:style w:type="character" w:customStyle="1" w:styleId="Heading3Char">
    <w:name w:val="Heading 3 Char"/>
    <w:basedOn w:val="DefaultParagraphFont"/>
    <w:link w:val="Heading3"/>
    <w:uiPriority w:val="9"/>
    <w:semiHidden/>
    <w:rsid w:val="00887E96"/>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13591">
      <w:bodyDiv w:val="1"/>
      <w:marLeft w:val="0"/>
      <w:marRight w:val="0"/>
      <w:marTop w:val="0"/>
      <w:marBottom w:val="0"/>
      <w:divBdr>
        <w:top w:val="none" w:sz="0" w:space="0" w:color="auto"/>
        <w:left w:val="none" w:sz="0" w:space="0" w:color="auto"/>
        <w:bottom w:val="none" w:sz="0" w:space="0" w:color="auto"/>
        <w:right w:val="none" w:sz="0" w:space="0" w:color="auto"/>
      </w:divBdr>
    </w:div>
    <w:div w:id="986395497">
      <w:bodyDiv w:val="1"/>
      <w:marLeft w:val="0"/>
      <w:marRight w:val="0"/>
      <w:marTop w:val="0"/>
      <w:marBottom w:val="0"/>
      <w:divBdr>
        <w:top w:val="none" w:sz="0" w:space="0" w:color="auto"/>
        <w:left w:val="none" w:sz="0" w:space="0" w:color="auto"/>
        <w:bottom w:val="none" w:sz="0" w:space="0" w:color="auto"/>
        <w:right w:val="none" w:sz="0" w:space="0" w:color="auto"/>
      </w:divBdr>
    </w:div>
    <w:div w:id="1617641946">
      <w:bodyDiv w:val="1"/>
      <w:marLeft w:val="0"/>
      <w:marRight w:val="0"/>
      <w:marTop w:val="0"/>
      <w:marBottom w:val="0"/>
      <w:divBdr>
        <w:top w:val="none" w:sz="0" w:space="0" w:color="auto"/>
        <w:left w:val="none" w:sz="0" w:space="0" w:color="auto"/>
        <w:bottom w:val="none" w:sz="0" w:space="0" w:color="auto"/>
        <w:right w:val="none" w:sz="0" w:space="0" w:color="auto"/>
      </w:divBdr>
      <w:divsChild>
        <w:div w:id="1635911430">
          <w:marLeft w:val="0"/>
          <w:marRight w:val="0"/>
          <w:marTop w:val="120"/>
          <w:marBottom w:val="120"/>
          <w:divBdr>
            <w:top w:val="none" w:sz="0" w:space="0" w:color="auto"/>
            <w:left w:val="none" w:sz="0" w:space="0" w:color="auto"/>
            <w:bottom w:val="none" w:sz="0" w:space="0" w:color="auto"/>
            <w:right w:val="none" w:sz="0" w:space="0" w:color="auto"/>
          </w:divBdr>
        </w:div>
        <w:div w:id="149180304">
          <w:marLeft w:val="0"/>
          <w:marRight w:val="0"/>
          <w:marTop w:val="120"/>
          <w:marBottom w:val="120"/>
          <w:divBdr>
            <w:top w:val="none" w:sz="0" w:space="0" w:color="auto"/>
            <w:left w:val="none" w:sz="0" w:space="0" w:color="auto"/>
            <w:bottom w:val="none" w:sz="0" w:space="0" w:color="auto"/>
            <w:right w:val="none" w:sz="0" w:space="0" w:color="auto"/>
          </w:divBdr>
        </w:div>
        <w:div w:id="1858343842">
          <w:marLeft w:val="0"/>
          <w:marRight w:val="0"/>
          <w:marTop w:val="120"/>
          <w:marBottom w:val="120"/>
          <w:divBdr>
            <w:top w:val="none" w:sz="0" w:space="0" w:color="auto"/>
            <w:left w:val="none" w:sz="0" w:space="0" w:color="auto"/>
            <w:bottom w:val="none" w:sz="0" w:space="0" w:color="auto"/>
            <w:right w:val="none" w:sz="0" w:space="0" w:color="auto"/>
          </w:divBdr>
        </w:div>
        <w:div w:id="73146202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s://doi.org/10.1136/bmjnph-2018-000004" TargetMode="External"/><Relationship Id="rId39" Type="http://schemas.openxmlformats.org/officeDocument/2006/relationships/hyperlink" Target="https://doi.org/10.3390/foods12030443" TargetMode="External"/><Relationship Id="rId3" Type="http://schemas.microsoft.com/office/2007/relationships/stylesWithEffects" Target="stylesWithEffects.xml"/><Relationship Id="rId21" Type="http://schemas.openxmlformats.org/officeDocument/2006/relationships/hyperlink" Target="https://doi.org/10.19026/ajfst.3.1230" TargetMode="External"/><Relationship Id="rId34" Type="http://schemas.openxmlformats.org/officeDocument/2006/relationships/hyperlink" Target="https://doi.org/10.1155/2018/7580707" TargetMode="External"/><Relationship Id="rId42" Type="http://schemas.openxmlformats.org/officeDocument/2006/relationships/hyperlink" Target="https://www.who.int/publications/i/item/978924004403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s://www.agric.wa.gov.au/livestock-biosecurity/cobalt-deficiency-sheep-and-cattle" TargetMode="External"/><Relationship Id="rId33" Type="http://schemas.openxmlformats.org/officeDocument/2006/relationships/hyperlink" Target="http://dx.doi.org/10.7770/safer-V0N0-art2257" TargetMode="External"/><Relationship Id="rId38" Type="http://schemas.openxmlformats.org/officeDocument/2006/relationships/hyperlink" Target="https://doi.org/10.29024/aogh.2314"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doi.org/10.19026/ajfst.3.1230" TargetMode="External"/><Relationship Id="rId29" Type="http://schemas.openxmlformats.org/officeDocument/2006/relationships/hyperlink" Target="https://www.ncbi.nlm.nih.gov/books/NBK459280/" TargetMode="External"/><Relationship Id="rId41" Type="http://schemas.openxmlformats.org/officeDocument/2006/relationships/hyperlink" Target="https://doi.org/10.1111/1750-3841.1499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dx.doi.org/10.5487/TR.2016.32.1.065" TargetMode="External"/><Relationship Id="rId32" Type="http://schemas.openxmlformats.org/officeDocument/2006/relationships/hyperlink" Target="https://doi.org/10.1016/j.foodchem.2013.05.045" TargetMode="External"/><Relationship Id="rId37" Type="http://schemas.openxmlformats.org/officeDocument/2006/relationships/hyperlink" Target="https://doi.org/10.29024/aogh.2314" TargetMode="External"/><Relationship Id="rId40" Type="http://schemas.openxmlformats.org/officeDocument/2006/relationships/hyperlink" Target="https://doi.org/10.3390/foods1203044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2/clc.22536" TargetMode="External"/><Relationship Id="rId28" Type="http://schemas.openxmlformats.org/officeDocument/2006/relationships/hyperlink" Target="https://doi.org/10.54393/pjhs.v4i12.1198" TargetMode="External"/><Relationship Id="rId36" Type="http://schemas.openxmlformats.org/officeDocument/2006/relationships/hyperlink" Target="https://doi.org/10.4314/as.v14i1.5" TargetMode="External"/><Relationship Id="rId10" Type="http://schemas.openxmlformats.org/officeDocument/2006/relationships/header" Target="header2.xml"/><Relationship Id="rId19" Type="http://schemas.openxmlformats.org/officeDocument/2006/relationships/hyperlink" Target="https://doi.org/10.1155/2018/9041694" TargetMode="External"/><Relationship Id="rId31" Type="http://schemas.openxmlformats.org/officeDocument/2006/relationships/hyperlink" Target="https://doi.org/10.3390/nu1413264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cbi.nlm.nih.gov/books/NBK519062/?report=printable" TargetMode="External"/><Relationship Id="rId27" Type="http://schemas.openxmlformats.org/officeDocument/2006/relationships/hyperlink" Target="https://www.medicalnewstoday.com/articles/320310" TargetMode="External"/><Relationship Id="rId30" Type="http://schemas.openxmlformats.org/officeDocument/2006/relationships/hyperlink" Target="https://doi.org/10.17226/9810" TargetMode="External"/><Relationship Id="rId35" Type="http://schemas.openxmlformats.org/officeDocument/2006/relationships/hyperlink" Target="https://ods.od.nih.gov/factsheets/Riboflavin-HealthProfessional/" TargetMode="External"/><Relationship Id="rId43" Type="http://schemas.openxmlformats.org/officeDocument/2006/relationships/hyperlink" Target="https://doi.org/10.1016/j.tifs.2019.03.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8427</Words>
  <Characters>48038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AIZEN</cp:lastModifiedBy>
  <cp:revision>2</cp:revision>
  <dcterms:created xsi:type="dcterms:W3CDTF">2025-10-15T13:38:00Z</dcterms:created>
  <dcterms:modified xsi:type="dcterms:W3CDTF">2025-10-15T13:38:00Z</dcterms:modified>
</cp:coreProperties>
</file>