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6376" w14:textId="77777777" w:rsidR="00321094" w:rsidRDefault="00321094" w:rsidP="00957D30">
      <w:pPr>
        <w:spacing w:line="360" w:lineRule="auto"/>
        <w:jc w:val="center"/>
        <w:rPr>
          <w:rFonts w:ascii="Times New Roman" w:hAnsi="Times New Roman" w:cs="Times New Roman"/>
          <w:b/>
          <w:sz w:val="24"/>
          <w:szCs w:val="24"/>
        </w:rPr>
      </w:pPr>
      <w:r w:rsidRPr="00321094">
        <w:rPr>
          <w:rFonts w:ascii="Times New Roman" w:hAnsi="Times New Roman" w:cs="Times New Roman"/>
          <w:b/>
          <w:sz w:val="24"/>
          <w:szCs w:val="24"/>
        </w:rPr>
        <w:t>Re</w:t>
      </w:r>
      <w:r w:rsidR="007F452E">
        <w:rPr>
          <w:rFonts w:ascii="Times New Roman" w:hAnsi="Times New Roman" w:cs="Times New Roman"/>
          <w:b/>
          <w:sz w:val="24"/>
          <w:szCs w:val="24"/>
        </w:rPr>
        <w:t>search</w:t>
      </w:r>
      <w:r w:rsidRPr="00321094">
        <w:rPr>
          <w:rFonts w:ascii="Times New Roman" w:hAnsi="Times New Roman" w:cs="Times New Roman"/>
          <w:b/>
          <w:sz w:val="24"/>
          <w:szCs w:val="24"/>
        </w:rPr>
        <w:t xml:space="preserve"> Article</w:t>
      </w:r>
    </w:p>
    <w:p w14:paraId="10746F00" w14:textId="77777777" w:rsidR="00321094" w:rsidRDefault="00321094" w:rsidP="00957D30">
      <w:pPr>
        <w:spacing w:line="360" w:lineRule="auto"/>
        <w:jc w:val="center"/>
        <w:rPr>
          <w:rFonts w:ascii="Times New Roman" w:hAnsi="Times New Roman" w:cs="Times New Roman"/>
          <w:b/>
          <w:sz w:val="24"/>
          <w:szCs w:val="24"/>
        </w:rPr>
      </w:pPr>
    </w:p>
    <w:p w14:paraId="5DD31144" w14:textId="77777777" w:rsidR="00CA18EA" w:rsidRDefault="00CA18EA" w:rsidP="00957D30">
      <w:pPr>
        <w:spacing w:line="360" w:lineRule="auto"/>
        <w:jc w:val="center"/>
        <w:rPr>
          <w:rFonts w:ascii="Times New Roman" w:hAnsi="Times New Roman" w:cs="Times New Roman"/>
          <w:b/>
          <w:sz w:val="24"/>
          <w:szCs w:val="24"/>
        </w:rPr>
      </w:pPr>
      <w:r w:rsidRPr="00C77D3D">
        <w:rPr>
          <w:rFonts w:ascii="Times New Roman" w:hAnsi="Times New Roman" w:cs="Times New Roman"/>
          <w:b/>
          <w:sz w:val="24"/>
          <w:szCs w:val="24"/>
        </w:rPr>
        <w:t>Determinants of Adoption of Post-Harvest Management Technologies among Oilseed Farmers</w:t>
      </w:r>
    </w:p>
    <w:p w14:paraId="57F0D36F" w14:textId="77777777" w:rsidR="00B75CF0" w:rsidRDefault="00B75CF0" w:rsidP="00957D30">
      <w:pPr>
        <w:pStyle w:val="NormalWeb"/>
        <w:spacing w:line="360" w:lineRule="auto"/>
        <w:jc w:val="both"/>
        <w:rPr>
          <w:b/>
        </w:rPr>
      </w:pPr>
    </w:p>
    <w:p w14:paraId="4CEC2E8D" w14:textId="77777777" w:rsidR="00707814" w:rsidRPr="00707814" w:rsidRDefault="00707814" w:rsidP="00957D30">
      <w:pPr>
        <w:pStyle w:val="NormalWeb"/>
        <w:spacing w:line="360" w:lineRule="auto"/>
        <w:jc w:val="both"/>
        <w:rPr>
          <w:b/>
        </w:rPr>
      </w:pPr>
      <w:r w:rsidRPr="00707814">
        <w:rPr>
          <w:b/>
        </w:rPr>
        <w:t>Abstract</w:t>
      </w:r>
    </w:p>
    <w:p w14:paraId="1BC2C046" w14:textId="77777777" w:rsidR="00A773E1" w:rsidRDefault="00A773E1" w:rsidP="00957D30">
      <w:pPr>
        <w:pStyle w:val="NormalWeb"/>
        <w:spacing w:line="360" w:lineRule="auto"/>
        <w:jc w:val="both"/>
      </w:pPr>
      <w:r>
        <w:t>Post-harvest management plays a crucial role in minimizing quantitative and qualitative losses in oilseed crops and enhancing farmers’ income. Despite its importance, adoption of post-h</w:t>
      </w:r>
      <w:r w:rsidR="007F452E">
        <w:t xml:space="preserve">arvest management technologies </w:t>
      </w:r>
      <w:r>
        <w:t xml:space="preserve">among Indian oilseed farmers remains suboptimal due to multiple socio-economic and institutional constraints. The present study aimed to assess the extent of adoption of </w:t>
      </w:r>
      <w:proofErr w:type="gramStart"/>
      <w:r w:rsidR="007F452E">
        <w:t>Post-harvest</w:t>
      </w:r>
      <w:proofErr w:type="gramEnd"/>
      <w:r w:rsidR="007F452E">
        <w:t xml:space="preserve"> management</w:t>
      </w:r>
      <w:r w:rsidR="007F452E" w:rsidRPr="007F452E">
        <w:t xml:space="preserve"> </w:t>
      </w:r>
      <w:r w:rsidR="007F452E">
        <w:t>technologies</w:t>
      </w:r>
      <w:r>
        <w:t xml:space="preserve"> a</w:t>
      </w:r>
      <w:r w:rsidR="007F452E">
        <w:t xml:space="preserve">nd identify the socio-economic </w:t>
      </w:r>
      <w:r>
        <w:t xml:space="preserve">factors influencing their adoption. The study was conducted in </w:t>
      </w:r>
      <w:proofErr w:type="spellStart"/>
      <w:r>
        <w:t>Mahabubnagar</w:t>
      </w:r>
      <w:proofErr w:type="spellEnd"/>
      <w:r>
        <w:t xml:space="preserve"> district of Telangana, purposively selected for its prominence in oilseed cultivation. A sample of 120 oilseed farmers was drawn using multistage random sampling, and primary data were collected through personal interviews using a structured schedule. Adoption was measured </w:t>
      </w:r>
      <w:r w:rsidR="007F452E">
        <w:t xml:space="preserve">across key post-harvest domains </w:t>
      </w:r>
      <w:r>
        <w:t>harvesting, threshing, drying, storage, value addition, quality and safety, transportation, ma</w:t>
      </w:r>
      <w:r w:rsidR="007F452E">
        <w:t xml:space="preserve">rketing, and digital monitoring </w:t>
      </w:r>
      <w:r>
        <w:t>on a three-point continuum of non-adoption, partial adoption, and full adoption</w:t>
      </w:r>
      <w:r w:rsidR="007F452E">
        <w:t xml:space="preserve"> </w:t>
      </w:r>
      <w:r w:rsidR="007F452E">
        <w:rPr>
          <w:highlight w:val="green"/>
        </w:rPr>
        <w:t>using frequency and per</w:t>
      </w:r>
      <w:r w:rsidR="007F452E" w:rsidRPr="007F452E">
        <w:rPr>
          <w:highlight w:val="green"/>
        </w:rPr>
        <w:t>centage</w:t>
      </w:r>
      <w:r w:rsidR="007F452E">
        <w:t xml:space="preserve">. </w:t>
      </w:r>
      <w:r w:rsidR="007F452E" w:rsidRPr="007F452E">
        <w:rPr>
          <w:highlight w:val="green"/>
        </w:rPr>
        <w:t>I</w:t>
      </w:r>
      <w:r w:rsidRPr="007F452E">
        <w:rPr>
          <w:highlight w:val="green"/>
        </w:rPr>
        <w:t xml:space="preserve">ndependent variables were analyzed, results indicated minimal </w:t>
      </w:r>
      <w:proofErr w:type="gramStart"/>
      <w:r w:rsidRPr="007F452E">
        <w:rPr>
          <w:highlight w:val="green"/>
        </w:rPr>
        <w:t>multicollinearity</w:t>
      </w:r>
      <w:r w:rsidR="007F452E" w:rsidRPr="007F452E">
        <w:rPr>
          <w:highlight w:val="green"/>
        </w:rPr>
        <w:t xml:space="preserve">  between</w:t>
      </w:r>
      <w:proofErr w:type="gramEnd"/>
      <w:r w:rsidR="007F452E" w:rsidRPr="007F452E">
        <w:rPr>
          <w:highlight w:val="green"/>
        </w:rPr>
        <w:t xml:space="preserve">  1.15 to </w:t>
      </w:r>
      <w:proofErr w:type="gramStart"/>
      <w:r w:rsidR="007F452E" w:rsidRPr="007F452E">
        <w:rPr>
          <w:highlight w:val="green"/>
        </w:rPr>
        <w:t xml:space="preserve">1.80 </w:t>
      </w:r>
      <w:r w:rsidRPr="007F452E">
        <w:rPr>
          <w:highlight w:val="green"/>
        </w:rPr>
        <w:t xml:space="preserve"> among</w:t>
      </w:r>
      <w:proofErr w:type="gramEnd"/>
      <w:r w:rsidRPr="007F452E">
        <w:rPr>
          <w:highlight w:val="green"/>
        </w:rPr>
        <w:t xml:space="preserve"> variables</w:t>
      </w:r>
      <w:r>
        <w:t xml:space="preserve">, confirming robust model selection. Farmers showed high adoption of basic practices such as timely harvesting, threshing, and drying, but lower adoption of advanced techniques like moisture control, value addition, and digital record-keeping. Education, training, knowledge level, and market intelligence emerged as key determinants influencing adoption. The study highlights the need for capacity building, affordable access to post-harvest tools, improved storage infrastructure, and promotion of digital technologies to enhance adoption, reduce post-harvest losses, and improve profitability. </w:t>
      </w:r>
    </w:p>
    <w:p w14:paraId="19570A3C" w14:textId="77777777" w:rsidR="00A773E1" w:rsidRPr="00707814" w:rsidRDefault="00A773E1" w:rsidP="00957D30">
      <w:pPr>
        <w:pStyle w:val="Heading3"/>
        <w:spacing w:line="360" w:lineRule="auto"/>
        <w:jc w:val="both"/>
        <w:rPr>
          <w:b w:val="0"/>
          <w:sz w:val="24"/>
          <w:szCs w:val="24"/>
        </w:rPr>
      </w:pPr>
      <w:proofErr w:type="spellStart"/>
      <w:proofErr w:type="gramStart"/>
      <w:r w:rsidRPr="00707814">
        <w:rPr>
          <w:rStyle w:val="Strong"/>
          <w:b/>
          <w:bCs/>
          <w:sz w:val="24"/>
          <w:szCs w:val="24"/>
        </w:rPr>
        <w:lastRenderedPageBreak/>
        <w:t>Keywords</w:t>
      </w:r>
      <w:r w:rsidRPr="00707814">
        <w:rPr>
          <w:rStyle w:val="Strong"/>
          <w:bCs/>
          <w:sz w:val="24"/>
          <w:szCs w:val="24"/>
        </w:rPr>
        <w:t>:</w:t>
      </w:r>
      <w:r w:rsidRPr="00707814">
        <w:rPr>
          <w:b w:val="0"/>
          <w:sz w:val="24"/>
          <w:szCs w:val="24"/>
        </w:rPr>
        <w:t>Post</w:t>
      </w:r>
      <w:proofErr w:type="gramEnd"/>
      <w:r w:rsidRPr="00707814">
        <w:rPr>
          <w:b w:val="0"/>
          <w:sz w:val="24"/>
          <w:szCs w:val="24"/>
        </w:rPr>
        <w:t>-Harvest</w:t>
      </w:r>
      <w:proofErr w:type="spellEnd"/>
      <w:r w:rsidRPr="00707814">
        <w:rPr>
          <w:b w:val="0"/>
          <w:sz w:val="24"/>
          <w:szCs w:val="24"/>
        </w:rPr>
        <w:t xml:space="preserve"> Management, Oilseed Farmers, Technology Adoption, Socio-</w:t>
      </w:r>
      <w:proofErr w:type="gramStart"/>
      <w:r w:rsidRPr="00707814">
        <w:rPr>
          <w:b w:val="0"/>
          <w:sz w:val="24"/>
          <w:szCs w:val="24"/>
        </w:rPr>
        <w:t xml:space="preserve">Economic </w:t>
      </w:r>
      <w:r w:rsidR="007F452E">
        <w:rPr>
          <w:b w:val="0"/>
          <w:sz w:val="24"/>
          <w:szCs w:val="24"/>
        </w:rPr>
        <w:t xml:space="preserve"> variables</w:t>
      </w:r>
      <w:proofErr w:type="gramEnd"/>
    </w:p>
    <w:p w14:paraId="3B305A3E" w14:textId="77777777" w:rsidR="00E7338A" w:rsidRPr="00707814" w:rsidRDefault="00E7338A" w:rsidP="00957D30">
      <w:pPr>
        <w:spacing w:line="360" w:lineRule="auto"/>
        <w:jc w:val="both"/>
        <w:rPr>
          <w:rFonts w:ascii="Times New Roman" w:hAnsi="Times New Roman" w:cs="Times New Roman"/>
          <w:b/>
          <w:bCs/>
          <w:sz w:val="24"/>
          <w:szCs w:val="24"/>
        </w:rPr>
      </w:pPr>
      <w:r w:rsidRPr="00707814">
        <w:rPr>
          <w:rFonts w:ascii="Times New Roman" w:hAnsi="Times New Roman" w:cs="Times New Roman"/>
          <w:b/>
          <w:bCs/>
          <w:sz w:val="24"/>
          <w:szCs w:val="24"/>
        </w:rPr>
        <w:t>Introduction</w:t>
      </w:r>
    </w:p>
    <w:p w14:paraId="4902CA13" w14:textId="77777777" w:rsidR="007F452E" w:rsidRPr="007F452E" w:rsidRDefault="007F452E" w:rsidP="00957D30">
      <w:pPr>
        <w:spacing w:line="360" w:lineRule="auto"/>
        <w:jc w:val="both"/>
        <w:rPr>
          <w:rFonts w:ascii="Times New Roman" w:hAnsi="Times New Roman" w:cs="Times New Roman"/>
          <w:sz w:val="24"/>
          <w:szCs w:val="24"/>
        </w:rPr>
      </w:pPr>
      <w:r w:rsidRPr="007F452E">
        <w:rPr>
          <w:rFonts w:ascii="Times New Roman" w:hAnsi="Times New Roman" w:cs="Times New Roman"/>
          <w:sz w:val="24"/>
          <w:szCs w:val="24"/>
        </w:rPr>
        <w:t>Agriculture forms the backbone of India’s economy, engaging nearly half of the country’s workforce and playing a pivotal role in ensuring food security, generating employment, and sustaining rural livelihoods (FAO, 2021). Beyond its economic significance, agriculture serves as a foundation for allied industries, including food processing, storage, and trade, creating ripple effects throughout the national economy. Within this broad sector, oilseed cultivation occupies a strategically important position due to its multifaceted contributions. Oilseeds not only provide edible oils for domestic consumption but also serve as raw materials for various industrial applications, including biofuel production, livestock feed, and the processing industry, thereby linking primary agriculture with value-added sectors.</w:t>
      </w:r>
    </w:p>
    <w:p w14:paraId="0B0F14AC" w14:textId="77777777" w:rsidR="00E7338A" w:rsidRPr="00A908F4" w:rsidRDefault="007F452E" w:rsidP="00957D30">
      <w:pPr>
        <w:spacing w:line="360" w:lineRule="auto"/>
        <w:jc w:val="both"/>
        <w:rPr>
          <w:rFonts w:ascii="Times New Roman" w:hAnsi="Times New Roman" w:cs="Times New Roman"/>
          <w:sz w:val="24"/>
          <w:szCs w:val="24"/>
        </w:rPr>
      </w:pPr>
      <w:r w:rsidRPr="007F452E">
        <w:rPr>
          <w:rFonts w:ascii="Times New Roman" w:hAnsi="Times New Roman" w:cs="Times New Roman"/>
          <w:sz w:val="24"/>
          <w:szCs w:val="24"/>
        </w:rPr>
        <w:t xml:space="preserve">India ranks among the world’s largest producers of oilseeds, with key crops such as mustard, groundnut, soybean, and sunflower cultivated across diverse </w:t>
      </w:r>
      <w:proofErr w:type="spellStart"/>
      <w:r w:rsidRPr="007F452E">
        <w:rPr>
          <w:rFonts w:ascii="Times New Roman" w:hAnsi="Times New Roman" w:cs="Times New Roman"/>
          <w:sz w:val="24"/>
          <w:szCs w:val="24"/>
        </w:rPr>
        <w:t>agro</w:t>
      </w:r>
      <w:proofErr w:type="spellEnd"/>
      <w:r w:rsidRPr="007F452E">
        <w:rPr>
          <w:rFonts w:ascii="Times New Roman" w:hAnsi="Times New Roman" w:cs="Times New Roman"/>
          <w:sz w:val="24"/>
          <w:szCs w:val="24"/>
        </w:rPr>
        <w:t xml:space="preserve">-climatic zones. These crops contribute significantly to both household nutrition and national economic output, supporting millions of </w:t>
      </w:r>
      <w:proofErr w:type="gramStart"/>
      <w:r w:rsidRPr="007F452E">
        <w:rPr>
          <w:rFonts w:ascii="Times New Roman" w:hAnsi="Times New Roman" w:cs="Times New Roman"/>
          <w:sz w:val="24"/>
          <w:szCs w:val="24"/>
        </w:rPr>
        <w:t>smallholder</w:t>
      </w:r>
      <w:proofErr w:type="gramEnd"/>
      <w:r w:rsidRPr="007F452E">
        <w:rPr>
          <w:rFonts w:ascii="Times New Roman" w:hAnsi="Times New Roman" w:cs="Times New Roman"/>
          <w:sz w:val="24"/>
          <w:szCs w:val="24"/>
        </w:rPr>
        <w:t xml:space="preserve"> and marginal farmers who rely on oilseed cultivation as a primary or supplementary source of income (Bhat et al., 2017; USDA, 2020). Despite this substantial production base, India continues to depend on imports to meet nearly half of its edible oil requirements, highlighting persistent gaps in productivity, post-harvest efficiency, and value chain management. Low yields, limited adoption of improved technologies, and post-harvest losses exacerbate this dependency, constraining the sector’s ability to fully satisfy domestic demand and reduce the trade deficit. Addressing these inefficiencies is therefore critical, not only to enhance farmers’ incomes but also to strengthen national food security, reduce import dependence, and promote the sustainable growth of the oilseed </w:t>
      </w:r>
      <w:proofErr w:type="spellStart"/>
      <w:proofErr w:type="gramStart"/>
      <w:r w:rsidRPr="007F452E">
        <w:rPr>
          <w:rFonts w:ascii="Times New Roman" w:hAnsi="Times New Roman" w:cs="Times New Roman"/>
          <w:sz w:val="24"/>
          <w:szCs w:val="24"/>
        </w:rPr>
        <w:t>sector.</w:t>
      </w:r>
      <w:r w:rsidR="00E7338A" w:rsidRPr="00A908F4">
        <w:rPr>
          <w:rFonts w:ascii="Times New Roman" w:hAnsi="Times New Roman" w:cs="Times New Roman"/>
          <w:sz w:val="24"/>
          <w:szCs w:val="24"/>
        </w:rPr>
        <w:t>A</w:t>
      </w:r>
      <w:proofErr w:type="spellEnd"/>
      <w:proofErr w:type="gramEnd"/>
      <w:r w:rsidR="00E7338A" w:rsidRPr="00A908F4">
        <w:rPr>
          <w:rFonts w:ascii="Times New Roman" w:hAnsi="Times New Roman" w:cs="Times New Roman"/>
          <w:sz w:val="24"/>
          <w:szCs w:val="24"/>
        </w:rPr>
        <w:t xml:space="preserve"> key challenge confronting the oilseed sector lies in </w:t>
      </w:r>
      <w:r w:rsidR="00E7338A" w:rsidRPr="00A908F4">
        <w:rPr>
          <w:rFonts w:ascii="Times New Roman" w:hAnsi="Times New Roman" w:cs="Times New Roman"/>
          <w:bCs/>
          <w:sz w:val="24"/>
          <w:szCs w:val="24"/>
        </w:rPr>
        <w:t>post-harvest management</w:t>
      </w:r>
      <w:r w:rsidR="00E7338A" w:rsidRPr="00A908F4">
        <w:rPr>
          <w:rFonts w:ascii="Times New Roman" w:hAnsi="Times New Roman" w:cs="Times New Roman"/>
          <w:sz w:val="24"/>
          <w:szCs w:val="24"/>
        </w:rPr>
        <w:t xml:space="preserve">, where losses are substantial and recurring. Studies estimate that 10–20% of harvested oilseeds are lost due to improper harvesting, insufficient drying, poor storage conditions, and minimal value addition (Usman et al., 2022; Rees et al., 2012). These losses compromise both the </w:t>
      </w:r>
      <w:r w:rsidR="00E7338A" w:rsidRPr="00A908F4">
        <w:rPr>
          <w:rFonts w:ascii="Times New Roman" w:hAnsi="Times New Roman" w:cs="Times New Roman"/>
          <w:bCs/>
          <w:sz w:val="24"/>
          <w:szCs w:val="24"/>
        </w:rPr>
        <w:t>quality</w:t>
      </w:r>
      <w:r w:rsidR="00E7338A" w:rsidRPr="00A908F4">
        <w:rPr>
          <w:rFonts w:ascii="Times New Roman" w:hAnsi="Times New Roman" w:cs="Times New Roman"/>
          <w:sz w:val="24"/>
          <w:szCs w:val="24"/>
        </w:rPr>
        <w:t xml:space="preserve"> and </w:t>
      </w:r>
      <w:r w:rsidR="00E7338A" w:rsidRPr="00A908F4">
        <w:rPr>
          <w:rFonts w:ascii="Times New Roman" w:hAnsi="Times New Roman" w:cs="Times New Roman"/>
          <w:bCs/>
          <w:sz w:val="24"/>
          <w:szCs w:val="24"/>
        </w:rPr>
        <w:t>market value</w:t>
      </w:r>
      <w:r w:rsidR="00E7338A" w:rsidRPr="00A908F4">
        <w:rPr>
          <w:rFonts w:ascii="Times New Roman" w:hAnsi="Times New Roman" w:cs="Times New Roman"/>
          <w:sz w:val="24"/>
          <w:szCs w:val="24"/>
        </w:rPr>
        <w:t xml:space="preserve"> of produce, limiting farmer profitability and contributing to broader national dependency on edible </w:t>
      </w:r>
      <w:r w:rsidR="00E7338A" w:rsidRPr="00A908F4">
        <w:rPr>
          <w:rFonts w:ascii="Times New Roman" w:hAnsi="Times New Roman" w:cs="Times New Roman"/>
          <w:sz w:val="24"/>
          <w:szCs w:val="24"/>
        </w:rPr>
        <w:lastRenderedPageBreak/>
        <w:t xml:space="preserve">oil imports. Adopting effective </w:t>
      </w:r>
      <w:r w:rsidR="00E7338A" w:rsidRPr="00A908F4">
        <w:rPr>
          <w:rFonts w:ascii="Times New Roman" w:hAnsi="Times New Roman" w:cs="Times New Roman"/>
          <w:bCs/>
          <w:sz w:val="24"/>
          <w:szCs w:val="24"/>
        </w:rPr>
        <w:t>post-harvest management technologies</w:t>
      </w:r>
      <w:r w:rsidR="00E7338A" w:rsidRPr="00A908F4">
        <w:rPr>
          <w:rFonts w:ascii="Times New Roman" w:hAnsi="Times New Roman" w:cs="Times New Roman"/>
          <w:sz w:val="24"/>
          <w:szCs w:val="24"/>
        </w:rPr>
        <w:t xml:space="preserve"> is vital to mitigate such losses and improve efficiency across the oilseed value chain. These practices include timely harvesting, efficient threshing, moisture control during drying, scientific storage methods, processing and value addition, quality and safety monitoring, and structured marketing systems. However, adoption levels among oilseed farmers remain relatively low due to a combination of factors: limited technical know-how, inadequate infrastructure, weak extension support, and financial constraints (</w:t>
      </w:r>
      <w:proofErr w:type="spellStart"/>
      <w:r w:rsidR="00E7338A" w:rsidRPr="00A908F4">
        <w:rPr>
          <w:rFonts w:ascii="Times New Roman" w:hAnsi="Times New Roman" w:cs="Times New Roman"/>
          <w:sz w:val="24"/>
          <w:szCs w:val="24"/>
        </w:rPr>
        <w:t>Mandavkar</w:t>
      </w:r>
      <w:proofErr w:type="spellEnd"/>
      <w:r w:rsidR="00E7338A" w:rsidRPr="00A908F4">
        <w:rPr>
          <w:rFonts w:ascii="Times New Roman" w:hAnsi="Times New Roman" w:cs="Times New Roman"/>
          <w:sz w:val="24"/>
          <w:szCs w:val="24"/>
        </w:rPr>
        <w:t xml:space="preserve"> et al., 2017). Such barriers create a pronounced gap between </w:t>
      </w:r>
      <w:r w:rsidR="00E7338A" w:rsidRPr="00A908F4">
        <w:rPr>
          <w:rFonts w:ascii="Times New Roman" w:hAnsi="Times New Roman" w:cs="Times New Roman"/>
          <w:bCs/>
          <w:sz w:val="24"/>
          <w:szCs w:val="24"/>
        </w:rPr>
        <w:t>recommended best practices</w:t>
      </w:r>
      <w:r w:rsidR="00E7338A" w:rsidRPr="00A908F4">
        <w:rPr>
          <w:rFonts w:ascii="Times New Roman" w:hAnsi="Times New Roman" w:cs="Times New Roman"/>
          <w:sz w:val="24"/>
          <w:szCs w:val="24"/>
        </w:rPr>
        <w:t xml:space="preserve"> and </w:t>
      </w:r>
      <w:r w:rsidR="00E7338A" w:rsidRPr="00A908F4">
        <w:rPr>
          <w:rFonts w:ascii="Times New Roman" w:hAnsi="Times New Roman" w:cs="Times New Roman"/>
          <w:bCs/>
          <w:sz w:val="24"/>
          <w:szCs w:val="24"/>
        </w:rPr>
        <w:t>actual on-farm application</w:t>
      </w:r>
      <w:r w:rsidR="00E7338A" w:rsidRPr="00A908F4">
        <w:rPr>
          <w:rFonts w:ascii="Times New Roman" w:hAnsi="Times New Roman" w:cs="Times New Roman"/>
          <w:sz w:val="24"/>
          <w:szCs w:val="24"/>
        </w:rPr>
        <w:t>, leaving the sector vulnerable to avoidable losses.</w:t>
      </w:r>
    </w:p>
    <w:p w14:paraId="5C98AED3" w14:textId="77777777" w:rsidR="00957D30" w:rsidRPr="00957D30" w:rsidRDefault="00957D30" w:rsidP="00957D30">
      <w:pPr>
        <w:spacing w:line="360" w:lineRule="auto"/>
        <w:jc w:val="both"/>
        <w:rPr>
          <w:rFonts w:ascii="Times New Roman" w:hAnsi="Times New Roman" w:cs="Times New Roman"/>
          <w:sz w:val="24"/>
          <w:szCs w:val="24"/>
        </w:rPr>
      </w:pPr>
      <w:r w:rsidRPr="00957D30">
        <w:rPr>
          <w:rFonts w:ascii="Times New Roman" w:hAnsi="Times New Roman" w:cs="Times New Roman"/>
          <w:sz w:val="24"/>
          <w:szCs w:val="24"/>
        </w:rPr>
        <w:t xml:space="preserve">Understanding the determinants of adoption is crucial for enhancing post-harvest efficiency, reducing losses, and improving farm incomes. Farmers’ adoption decisions are shaped by a combination of </w:t>
      </w:r>
      <w:r w:rsidRPr="00957D30">
        <w:rPr>
          <w:rFonts w:ascii="Times New Roman" w:hAnsi="Times New Roman" w:cs="Times New Roman"/>
          <w:bCs/>
          <w:sz w:val="24"/>
          <w:szCs w:val="24"/>
        </w:rPr>
        <w:t>socio-economic factors</w:t>
      </w:r>
      <w:r w:rsidRPr="00957D30">
        <w:rPr>
          <w:rFonts w:ascii="Times New Roman" w:hAnsi="Times New Roman" w:cs="Times New Roman"/>
          <w:sz w:val="24"/>
          <w:szCs w:val="24"/>
        </w:rPr>
        <w:t xml:space="preserve"> (such as education, landholding, income, and farming experience), </w:t>
      </w:r>
      <w:r w:rsidRPr="00957D30">
        <w:rPr>
          <w:rFonts w:ascii="Times New Roman" w:hAnsi="Times New Roman" w:cs="Times New Roman"/>
          <w:bCs/>
          <w:sz w:val="24"/>
          <w:szCs w:val="24"/>
        </w:rPr>
        <w:t>access to knowledge</w:t>
      </w:r>
      <w:r w:rsidRPr="00957D30">
        <w:rPr>
          <w:rFonts w:ascii="Times New Roman" w:hAnsi="Times New Roman" w:cs="Times New Roman"/>
          <w:sz w:val="24"/>
          <w:szCs w:val="24"/>
        </w:rPr>
        <w:t xml:space="preserve"> through training and extension services, </w:t>
      </w:r>
      <w:r w:rsidRPr="00957D30">
        <w:rPr>
          <w:rFonts w:ascii="Times New Roman" w:hAnsi="Times New Roman" w:cs="Times New Roman"/>
          <w:bCs/>
          <w:sz w:val="24"/>
          <w:szCs w:val="24"/>
        </w:rPr>
        <w:t>institutional support</w:t>
      </w:r>
      <w:r w:rsidRPr="00957D30">
        <w:rPr>
          <w:rFonts w:ascii="Times New Roman" w:hAnsi="Times New Roman" w:cs="Times New Roman"/>
          <w:sz w:val="24"/>
          <w:szCs w:val="24"/>
        </w:rPr>
        <w:t xml:space="preserve"> including credit, input availability, and market linkages, and </w:t>
      </w:r>
      <w:r w:rsidRPr="00957D30">
        <w:rPr>
          <w:rFonts w:ascii="Times New Roman" w:hAnsi="Times New Roman" w:cs="Times New Roman"/>
          <w:bCs/>
          <w:sz w:val="24"/>
          <w:szCs w:val="24"/>
        </w:rPr>
        <w:t>behavioral attributes</w:t>
      </w:r>
      <w:r w:rsidRPr="00957D30">
        <w:rPr>
          <w:rFonts w:ascii="Times New Roman" w:hAnsi="Times New Roman" w:cs="Times New Roman"/>
          <w:sz w:val="24"/>
          <w:szCs w:val="24"/>
        </w:rPr>
        <w:t xml:space="preserve"> such as risk perception, motivation, and innovation orientation. Despite the critical importance of these factors, </w:t>
      </w:r>
      <w:r w:rsidRPr="00957D30">
        <w:rPr>
          <w:rFonts w:ascii="Times New Roman" w:hAnsi="Times New Roman" w:cs="Times New Roman"/>
          <w:bCs/>
          <w:sz w:val="24"/>
          <w:szCs w:val="24"/>
        </w:rPr>
        <w:t>empirical studies specifically examining oilseed farmers’ adoption of post-harvest management technologies in India remain limited</w:t>
      </w:r>
      <w:r w:rsidRPr="00957D30">
        <w:rPr>
          <w:rFonts w:ascii="Times New Roman" w:hAnsi="Times New Roman" w:cs="Times New Roman"/>
          <w:sz w:val="24"/>
          <w:szCs w:val="24"/>
        </w:rPr>
        <w:t xml:space="preserve">, creating gaps in understanding how to promote effective adoption. This study therefore assesses the </w:t>
      </w:r>
      <w:r w:rsidRPr="00957D30">
        <w:rPr>
          <w:rFonts w:ascii="Times New Roman" w:hAnsi="Times New Roman" w:cs="Times New Roman"/>
          <w:bCs/>
          <w:sz w:val="24"/>
          <w:szCs w:val="24"/>
        </w:rPr>
        <w:t>extent of adoption of key post-harvest practices</w:t>
      </w:r>
      <w:r w:rsidRPr="00957D30">
        <w:rPr>
          <w:rFonts w:ascii="Times New Roman" w:hAnsi="Times New Roman" w:cs="Times New Roman"/>
          <w:sz w:val="24"/>
          <w:szCs w:val="24"/>
        </w:rPr>
        <w:t xml:space="preserve"> and identifies the </w:t>
      </w:r>
      <w:r w:rsidRPr="00957D30">
        <w:rPr>
          <w:rFonts w:ascii="Times New Roman" w:hAnsi="Times New Roman" w:cs="Times New Roman"/>
          <w:bCs/>
          <w:sz w:val="24"/>
          <w:szCs w:val="24"/>
        </w:rPr>
        <w:t>socio-economic, behavioral, and institutional drivers</w:t>
      </w:r>
      <w:r w:rsidRPr="00957D30">
        <w:rPr>
          <w:rFonts w:ascii="Times New Roman" w:hAnsi="Times New Roman" w:cs="Times New Roman"/>
          <w:sz w:val="24"/>
          <w:szCs w:val="24"/>
        </w:rPr>
        <w:t xml:space="preserve"> that influence adoption patterns. The insights generated can inform </w:t>
      </w:r>
      <w:r w:rsidRPr="00957D30">
        <w:rPr>
          <w:rFonts w:ascii="Times New Roman" w:hAnsi="Times New Roman" w:cs="Times New Roman"/>
          <w:bCs/>
          <w:sz w:val="24"/>
          <w:szCs w:val="24"/>
        </w:rPr>
        <w:t>evidence-based policies and interventions</w:t>
      </w:r>
      <w:r w:rsidRPr="00957D30">
        <w:rPr>
          <w:rFonts w:ascii="Times New Roman" w:hAnsi="Times New Roman" w:cs="Times New Roman"/>
          <w:sz w:val="24"/>
          <w:szCs w:val="24"/>
        </w:rPr>
        <w:t xml:space="preserve">, strengthen extension services, promote capacity-building programs, improve access to modern tools and digital platforms, and support market-oriented strategies. Collectively, these measures can </w:t>
      </w:r>
      <w:r w:rsidRPr="00957D30">
        <w:rPr>
          <w:rFonts w:ascii="Times New Roman" w:hAnsi="Times New Roman" w:cs="Times New Roman"/>
          <w:bCs/>
          <w:sz w:val="24"/>
          <w:szCs w:val="24"/>
        </w:rPr>
        <w:t>enhance product quality, increase farmers’ income, and build a more resilient and sustainable oilseed sector</w:t>
      </w:r>
      <w:r w:rsidRPr="00957D30">
        <w:rPr>
          <w:rFonts w:ascii="Times New Roman" w:hAnsi="Times New Roman" w:cs="Times New Roman"/>
          <w:sz w:val="24"/>
          <w:szCs w:val="24"/>
        </w:rPr>
        <w:t>, benefiting both smallholder livelihoods and national food security.</w:t>
      </w:r>
    </w:p>
    <w:p w14:paraId="6877B229" w14:textId="77777777" w:rsidR="00A6362A" w:rsidRPr="00A6362A" w:rsidRDefault="00A6362A" w:rsidP="00957D30">
      <w:pPr>
        <w:spacing w:line="360" w:lineRule="auto"/>
        <w:jc w:val="both"/>
        <w:rPr>
          <w:rFonts w:ascii="Times New Roman" w:hAnsi="Times New Roman" w:cs="Times New Roman"/>
          <w:b/>
          <w:bCs/>
          <w:sz w:val="24"/>
          <w:szCs w:val="24"/>
        </w:rPr>
      </w:pPr>
      <w:r w:rsidRPr="00A6362A">
        <w:rPr>
          <w:rFonts w:ascii="Times New Roman" w:hAnsi="Times New Roman" w:cs="Times New Roman"/>
          <w:b/>
          <w:bCs/>
          <w:sz w:val="24"/>
          <w:szCs w:val="24"/>
        </w:rPr>
        <w:t>Methodology</w:t>
      </w:r>
    </w:p>
    <w:p w14:paraId="52FAC31C" w14:textId="77777777" w:rsidR="007F452E" w:rsidRPr="00957D30" w:rsidRDefault="00A6362A" w:rsidP="00957D30">
      <w:pPr>
        <w:spacing w:line="360" w:lineRule="auto"/>
        <w:jc w:val="both"/>
        <w:rPr>
          <w:rFonts w:ascii="Times New Roman" w:hAnsi="Times New Roman" w:cs="Times New Roman"/>
          <w:b/>
          <w:sz w:val="24"/>
          <w:szCs w:val="24"/>
          <w:highlight w:val="green"/>
        </w:rPr>
      </w:pPr>
      <w:r w:rsidRPr="00A6362A">
        <w:rPr>
          <w:rFonts w:ascii="Times New Roman" w:hAnsi="Times New Roman" w:cs="Times New Roman"/>
          <w:sz w:val="24"/>
          <w:szCs w:val="24"/>
        </w:rPr>
        <w:t xml:space="preserve">The study was conducted in </w:t>
      </w:r>
      <w:proofErr w:type="spellStart"/>
      <w:r w:rsidRPr="00A6362A">
        <w:rPr>
          <w:rFonts w:ascii="Times New Roman" w:hAnsi="Times New Roman" w:cs="Times New Roman"/>
          <w:sz w:val="24"/>
          <w:szCs w:val="24"/>
        </w:rPr>
        <w:t>Mahabubnagar</w:t>
      </w:r>
      <w:proofErr w:type="spellEnd"/>
      <w:r w:rsidRPr="00A6362A">
        <w:rPr>
          <w:rFonts w:ascii="Times New Roman" w:hAnsi="Times New Roman" w:cs="Times New Roman"/>
          <w:sz w:val="24"/>
          <w:szCs w:val="24"/>
        </w:rPr>
        <w:t xml:space="preserve"> district of Telangana state, which was purposively selected due to its prominence in oilseed cultivation. Within the district, t</w:t>
      </w:r>
      <w:r w:rsidR="00FB095F">
        <w:rPr>
          <w:rFonts w:ascii="Times New Roman" w:hAnsi="Times New Roman" w:cs="Times New Roman"/>
          <w:sz w:val="24"/>
          <w:szCs w:val="24"/>
        </w:rPr>
        <w:t xml:space="preserve">hree mandals </w:t>
      </w:r>
      <w:proofErr w:type="spellStart"/>
      <w:r w:rsidR="00FB095F">
        <w:rPr>
          <w:rFonts w:ascii="Times New Roman" w:hAnsi="Times New Roman" w:cs="Times New Roman"/>
          <w:sz w:val="24"/>
          <w:szCs w:val="24"/>
        </w:rPr>
        <w:t>Koilkonda</w:t>
      </w:r>
      <w:proofErr w:type="spellEnd"/>
      <w:r w:rsidR="00FB095F">
        <w:rPr>
          <w:rFonts w:ascii="Times New Roman" w:hAnsi="Times New Roman" w:cs="Times New Roman"/>
          <w:sz w:val="24"/>
          <w:szCs w:val="24"/>
        </w:rPr>
        <w:t xml:space="preserve">, Mohammadabad, and </w:t>
      </w:r>
      <w:proofErr w:type="spellStart"/>
      <w:r w:rsidR="00FB095F">
        <w:rPr>
          <w:rFonts w:ascii="Times New Roman" w:hAnsi="Times New Roman" w:cs="Times New Roman"/>
          <w:sz w:val="24"/>
          <w:szCs w:val="24"/>
        </w:rPr>
        <w:t>Addakal</w:t>
      </w:r>
      <w:proofErr w:type="spellEnd"/>
      <w:r w:rsidR="00FB095F">
        <w:rPr>
          <w:rFonts w:ascii="Times New Roman" w:hAnsi="Times New Roman" w:cs="Times New Roman"/>
          <w:sz w:val="24"/>
          <w:szCs w:val="24"/>
        </w:rPr>
        <w:t xml:space="preserve"> </w:t>
      </w:r>
      <w:r w:rsidRPr="00A6362A">
        <w:rPr>
          <w:rFonts w:ascii="Times New Roman" w:hAnsi="Times New Roman" w:cs="Times New Roman"/>
          <w:sz w:val="24"/>
          <w:szCs w:val="24"/>
        </w:rPr>
        <w:t xml:space="preserve">were chosen, and from each mandal four villages were selected. A sample of 12 oilseed farmers from each village was randomly drawn, making a </w:t>
      </w:r>
      <w:r w:rsidRPr="00A6362A">
        <w:rPr>
          <w:rFonts w:ascii="Times New Roman" w:hAnsi="Times New Roman" w:cs="Times New Roman"/>
          <w:sz w:val="24"/>
          <w:szCs w:val="24"/>
        </w:rPr>
        <w:lastRenderedPageBreak/>
        <w:t>total of 120 respondents. Primary data were collected through personal interviews using a pre-tested structured schedule designed to capture socio-economic characteristics and adoption of post-harvest management technologies. Adoption was meas</w:t>
      </w:r>
      <w:r w:rsidR="00FB095F">
        <w:rPr>
          <w:rFonts w:ascii="Times New Roman" w:hAnsi="Times New Roman" w:cs="Times New Roman"/>
          <w:sz w:val="24"/>
          <w:szCs w:val="24"/>
        </w:rPr>
        <w:t xml:space="preserve">ured on a three-point continuum </w:t>
      </w:r>
      <w:r w:rsidRPr="00A6362A">
        <w:rPr>
          <w:rFonts w:ascii="Times New Roman" w:hAnsi="Times New Roman" w:cs="Times New Roman"/>
          <w:sz w:val="24"/>
          <w:szCs w:val="24"/>
        </w:rPr>
        <w:t>non-adoption, part</w:t>
      </w:r>
      <w:r w:rsidR="00FB095F">
        <w:rPr>
          <w:rFonts w:ascii="Times New Roman" w:hAnsi="Times New Roman" w:cs="Times New Roman"/>
          <w:sz w:val="24"/>
          <w:szCs w:val="24"/>
        </w:rPr>
        <w:t xml:space="preserve">ial adoption, and full adoption </w:t>
      </w:r>
      <w:r w:rsidRPr="00A6362A">
        <w:rPr>
          <w:rFonts w:ascii="Times New Roman" w:hAnsi="Times New Roman" w:cs="Times New Roman"/>
          <w:sz w:val="24"/>
          <w:szCs w:val="24"/>
        </w:rPr>
        <w:t xml:space="preserve">across key practices such as harvesting, threshing, drying, storage, value addition, quality and safety, transportation, marketing, and digital monitoring. The extent of adoption was assessed using frequency and percentage analysis. To identify determinants influencing adoption, fourteen independent variables (including age, education, landholding, income, farming experience, training, irrigation potential, social participation, input acquisition, information-seeking behavior, achievement motivation, risk-taking ability, knowledge, and market intelligence) were considered. </w:t>
      </w:r>
      <w:r w:rsidR="007F452E" w:rsidRPr="00957D30">
        <w:rPr>
          <w:rFonts w:ascii="Times New Roman" w:hAnsi="Times New Roman" w:cs="Times New Roman"/>
          <w:sz w:val="24"/>
          <w:szCs w:val="24"/>
        </w:rPr>
        <w:t>Variance Inflation Factor (VIF) analysis was performed to test for multicollinearity among independent variables, ensuring they were not highly correlated. This helped maintain the reliability of the frequency, percentage, and three-point continuum analyses by avoiding overlapping effects among predictors. In this study, VIF values between 1 and 5 indicated acceptable multicollinearity, while values above 10 suggested serious correlation issues requiring correction.</w:t>
      </w:r>
      <w:r w:rsidR="007F452E" w:rsidRPr="00957D30">
        <w:rPr>
          <w:rFonts w:ascii="Times New Roman" w:hAnsi="Times New Roman" w:cs="Times New Roman"/>
          <w:b/>
          <w:sz w:val="24"/>
          <w:szCs w:val="24"/>
        </w:rPr>
        <w:t xml:space="preserve"> </w:t>
      </w:r>
    </w:p>
    <w:p w14:paraId="791BD871" w14:textId="77777777" w:rsidR="007F452E" w:rsidRPr="007F452E" w:rsidRDefault="007F452E" w:rsidP="00957D30">
      <w:pPr>
        <w:spacing w:after="0" w:line="360" w:lineRule="auto"/>
        <w:rPr>
          <w:rFonts w:ascii="Times New Roman" w:eastAsia="Times New Roman" w:hAnsi="Times New Roman" w:cs="Times New Roman"/>
          <w:sz w:val="24"/>
          <w:szCs w:val="24"/>
          <w:highlight w:val="green"/>
        </w:rPr>
      </w:pPr>
      <w:proofErr w:type="spellStart"/>
      <w:r w:rsidRPr="00957D30">
        <w:rPr>
          <w:rFonts w:ascii="Times New Roman" w:eastAsia="Times New Roman" w:hAnsi="Times New Roman" w:cs="Times New Roman"/>
          <w:sz w:val="24"/>
          <w:szCs w:val="24"/>
        </w:rPr>
        <w:t>VIF</w:t>
      </w:r>
      <w:r w:rsidRPr="00957D30">
        <w:rPr>
          <w:rFonts w:ascii="Times New Roman" w:eastAsia="Times New Roman" w:hAnsi="Times New Roman" w:cs="Times New Roman"/>
          <w:sz w:val="24"/>
          <w:szCs w:val="24"/>
          <w:vertAlign w:val="subscript"/>
        </w:rPr>
        <w:t>i</w:t>
      </w:r>
      <w:proofErr w:type="spellEnd"/>
      <w:r w:rsidRPr="00957D30">
        <w:rPr>
          <w:rFonts w:ascii="Times New Roman" w:eastAsia="Times New Roman" w:hAnsi="Times New Roman" w:cs="Times New Roman"/>
          <w:sz w:val="24"/>
          <w:szCs w:val="24"/>
        </w:rPr>
        <w:t>​</w:t>
      </w:r>
      <w:r w:rsidRPr="00957D30">
        <w:rPr>
          <w:rFonts w:ascii="Times New Roman" w:eastAsia="Times New Roman" w:hAnsi="Times New Roman" w:cs="Times New Roman"/>
          <w:sz w:val="24"/>
          <w:szCs w:val="24"/>
          <w:highlight w:val="green"/>
        </w:rPr>
        <w:t xml:space="preserve"> </w:t>
      </w:r>
      <w:r w:rsidRPr="00957D30">
        <w:rPr>
          <w:rFonts w:ascii="Times New Roman" w:eastAsia="Times New Roman" w:hAnsi="Times New Roman" w:cs="Times New Roman"/>
          <w:sz w:val="24"/>
          <w:szCs w:val="24"/>
        </w:rPr>
        <w:t>=</w:t>
      </w:r>
      <w:r w:rsidRPr="00957D30">
        <w:rPr>
          <w:rFonts w:ascii="Times New Roman" w:eastAsia="Times New Roman" w:hAnsi="Times New Roman" w:cs="Times New Roman"/>
          <w:sz w:val="24"/>
          <w:szCs w:val="24"/>
          <w:highlight w:val="green"/>
        </w:rPr>
        <w:t>1/</w:t>
      </w:r>
      <w:r w:rsidRPr="00957D30">
        <w:rPr>
          <w:rFonts w:ascii="Times New Roman" w:eastAsia="Times New Roman" w:hAnsi="Times New Roman" w:cs="Times New Roman"/>
          <w:sz w:val="24"/>
          <w:szCs w:val="24"/>
        </w:rPr>
        <w:t>1−Ri</w:t>
      </w:r>
      <w:r w:rsidRPr="00957D30">
        <w:rPr>
          <w:rFonts w:ascii="Times New Roman" w:eastAsia="Times New Roman" w:hAnsi="Times New Roman" w:cs="Times New Roman"/>
          <w:sz w:val="24"/>
          <w:szCs w:val="24"/>
          <w:vertAlign w:val="superscript"/>
        </w:rPr>
        <w:t>2​</w:t>
      </w:r>
      <w:r w:rsidRPr="007F452E">
        <w:rPr>
          <w:rFonts w:ascii="Times New Roman" w:eastAsia="Times New Roman" w:hAnsi="Times New Roman" w:cs="Times New Roman"/>
          <w:sz w:val="24"/>
          <w:szCs w:val="24"/>
          <w:highlight w:val="green"/>
        </w:rPr>
        <w:t xml:space="preserve"> </w:t>
      </w:r>
    </w:p>
    <w:p w14:paraId="3C4B6DFF" w14:textId="77777777" w:rsidR="007F452E" w:rsidRPr="007F452E" w:rsidRDefault="007F452E" w:rsidP="00957D30">
      <w:pPr>
        <w:spacing w:before="100" w:beforeAutospacing="1" w:after="100" w:afterAutospacing="1" w:line="360" w:lineRule="auto"/>
        <w:rPr>
          <w:rFonts w:ascii="Times New Roman" w:eastAsia="Times New Roman" w:hAnsi="Times New Roman" w:cs="Times New Roman"/>
          <w:sz w:val="24"/>
          <w:szCs w:val="24"/>
        </w:rPr>
      </w:pPr>
      <w:r w:rsidRPr="007F452E">
        <w:rPr>
          <w:rFonts w:ascii="Times New Roman" w:eastAsia="Times New Roman" w:hAnsi="Times New Roman" w:cs="Times New Roman"/>
          <w:sz w:val="24"/>
          <w:szCs w:val="24"/>
          <w:highlight w:val="green"/>
        </w:rPr>
        <w:br/>
      </w:r>
      <w:r w:rsidRPr="00957D30">
        <w:rPr>
          <w:rFonts w:ascii="Times New Roman" w:eastAsia="Times New Roman" w:hAnsi="Times New Roman" w:cs="Times New Roman"/>
          <w:sz w:val="24"/>
          <w:szCs w:val="24"/>
        </w:rPr>
        <w:t>Ri</w:t>
      </w:r>
      <w:r w:rsidRPr="00957D30">
        <w:rPr>
          <w:rFonts w:ascii="Times New Roman" w:eastAsia="Times New Roman" w:hAnsi="Times New Roman" w:cs="Times New Roman"/>
          <w:sz w:val="24"/>
          <w:szCs w:val="24"/>
          <w:vertAlign w:val="superscript"/>
        </w:rPr>
        <w:t>2</w:t>
      </w:r>
      <w:r w:rsidRPr="00957D30">
        <w:rPr>
          <w:rFonts w:ascii="Times New Roman" w:eastAsia="Times New Roman" w:hAnsi="Times New Roman" w:cs="Times New Roman"/>
          <w:sz w:val="24"/>
          <w:szCs w:val="24"/>
        </w:rPr>
        <w:t>​</w:t>
      </w:r>
      <w:r w:rsidRPr="007F452E">
        <w:rPr>
          <w:rFonts w:ascii="Times New Roman" w:eastAsia="Times New Roman" w:hAnsi="Times New Roman" w:cs="Times New Roman"/>
          <w:sz w:val="24"/>
          <w:szCs w:val="24"/>
          <w:highlight w:val="green"/>
        </w:rPr>
        <w:t xml:space="preserve"> = the coefficient of determination obtained by regressing the independent variable </w:t>
      </w:r>
      <w:r w:rsidRPr="00957D30">
        <w:rPr>
          <w:rFonts w:ascii="Times New Roman" w:eastAsia="Times New Roman" w:hAnsi="Times New Roman" w:cs="Times New Roman"/>
          <w:sz w:val="24"/>
          <w:szCs w:val="24"/>
          <w:highlight w:val="green"/>
        </w:rPr>
        <w:t>Xi</w:t>
      </w:r>
      <w:r w:rsidRPr="00957D30">
        <w:rPr>
          <w:rFonts w:ascii="Times New Roman" w:eastAsia="Times New Roman" w:hAnsi="Times New Roman" w:cs="Times New Roman"/>
          <w:sz w:val="24"/>
          <w:szCs w:val="24"/>
        </w:rPr>
        <w:t>​</w:t>
      </w:r>
      <w:r w:rsidRPr="007F452E">
        <w:rPr>
          <w:rFonts w:ascii="Times New Roman" w:eastAsia="Times New Roman" w:hAnsi="Times New Roman" w:cs="Times New Roman"/>
          <w:sz w:val="24"/>
          <w:szCs w:val="24"/>
          <w:highlight w:val="green"/>
        </w:rPr>
        <w:t xml:space="preserve"> on all other independent variables in the model.</w:t>
      </w:r>
    </w:p>
    <w:p w14:paraId="34C7AEB9" w14:textId="77777777" w:rsidR="00A6362A" w:rsidRDefault="00FB095F" w:rsidP="00957D30">
      <w:pPr>
        <w:spacing w:line="360" w:lineRule="auto"/>
        <w:jc w:val="both"/>
        <w:rPr>
          <w:rFonts w:ascii="Times New Roman" w:hAnsi="Times New Roman" w:cs="Times New Roman"/>
          <w:b/>
          <w:sz w:val="24"/>
          <w:szCs w:val="24"/>
        </w:rPr>
      </w:pPr>
      <w:r w:rsidRPr="0063066C">
        <w:rPr>
          <w:rFonts w:ascii="Times New Roman" w:hAnsi="Times New Roman" w:cs="Times New Roman"/>
          <w:b/>
          <w:sz w:val="24"/>
          <w:szCs w:val="24"/>
        </w:rPr>
        <w:t>Results and Discussion:</w:t>
      </w:r>
    </w:p>
    <w:p w14:paraId="6B86B5F0" w14:textId="77777777" w:rsidR="00957D30" w:rsidRDefault="00C77D3D" w:rsidP="00957D3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w:t>
      </w:r>
      <w:r w:rsidRPr="00C83080">
        <w:rPr>
          <w:rFonts w:ascii="Times New Roman" w:eastAsia="Times New Roman" w:hAnsi="Times New Roman" w:cs="Times New Roman"/>
          <w:sz w:val="24"/>
          <w:szCs w:val="24"/>
        </w:rPr>
        <w:t xml:space="preserve"> from Table-1 indicated that the VIF analysis of all fourteen independent variables selected for the study </w:t>
      </w:r>
      <w:r w:rsidRPr="00957D30">
        <w:rPr>
          <w:rFonts w:ascii="Times New Roman" w:eastAsia="Times New Roman" w:hAnsi="Times New Roman" w:cs="Times New Roman"/>
          <w:sz w:val="24"/>
          <w:szCs w:val="24"/>
          <w:highlight w:val="green"/>
        </w:rPr>
        <w:t>exhibited values ranging from 1.15 to 1.80, well below the commonly accepted threshold of 5.0</w:t>
      </w:r>
      <w:r w:rsidRPr="00C83080">
        <w:rPr>
          <w:rFonts w:ascii="Times New Roman" w:eastAsia="Times New Roman" w:hAnsi="Times New Roman" w:cs="Times New Roman"/>
          <w:sz w:val="24"/>
          <w:szCs w:val="24"/>
        </w:rPr>
        <w:t xml:space="preserve">. This suggests that multicollinearity among the variables is minimal, and each variable contributes uniquely to explaining the variation in the adoption of post-harvest management technologies among oilseed farmers. Variables such as age (1.15), education (1.40), size of landholding (1.55), and social participation (1.50) showed very low VIF values, reflecting their independent and non-overlapping influence on adoption decisions. Variables such as trainings undergone (1.70), knowledge (1.70), market intelligence (1.80), and input acquisition pattern (1.75) displayed slightly higher values but remained within acceptable </w:t>
      </w:r>
      <w:proofErr w:type="spellStart"/>
      <w:r w:rsidRPr="00C83080">
        <w:rPr>
          <w:rFonts w:ascii="Times New Roman" w:eastAsia="Times New Roman" w:hAnsi="Times New Roman" w:cs="Times New Roman"/>
          <w:sz w:val="24"/>
          <w:szCs w:val="24"/>
        </w:rPr>
        <w:t>limits,representing</w:t>
      </w:r>
      <w:proofErr w:type="spellEnd"/>
      <w:r w:rsidRPr="00C83080">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lastRenderedPageBreak/>
        <w:t xml:space="preserve">crucial dimensions related to capacity-building, knowledge-sharing, and market-oriented behaviors, which are significant determinants of technology adoption (World Bank, 2019).The low VIF values across all variables indicate that their inclusion in the subsequent analysis is statistically appropriate, minimizing the risk of biased coefficient estimates and ensuring reliable interpretation of results. This confirms that the influence of socio-economic, behavioral, and knowledge-related factors on the extent of adoption of post-harvest management practices can be effectively assessed (O’Brien, 2007; Kutner et al., 2005). Overall, these results highlight that both structural characteristics (such as landholding size and irrigation potential) and human capital factors (such as education, training, and knowledge) play a significant role in determining farmers’ adoption behavior. </w:t>
      </w:r>
      <w:r w:rsidR="00957D30" w:rsidRPr="00957D30">
        <w:rPr>
          <w:rFonts w:ascii="Times New Roman" w:eastAsia="Times New Roman" w:hAnsi="Times New Roman" w:cs="Times New Roman"/>
          <w:sz w:val="24"/>
          <w:szCs w:val="24"/>
        </w:rPr>
        <w:t xml:space="preserve">These findings are consistent with recent studies highlighting the </w:t>
      </w:r>
      <w:r w:rsidR="00957D30" w:rsidRPr="00957D30">
        <w:rPr>
          <w:rFonts w:ascii="Times New Roman" w:eastAsia="Times New Roman" w:hAnsi="Times New Roman" w:cs="Times New Roman"/>
          <w:bCs/>
          <w:sz w:val="24"/>
          <w:szCs w:val="24"/>
        </w:rPr>
        <w:t>critical role of individual characteristics, institutional support, and market-related factors</w:t>
      </w:r>
      <w:r w:rsidR="00957D30" w:rsidRPr="00957D30">
        <w:rPr>
          <w:rFonts w:ascii="Times New Roman" w:eastAsia="Times New Roman" w:hAnsi="Times New Roman" w:cs="Times New Roman"/>
          <w:sz w:val="24"/>
          <w:szCs w:val="24"/>
        </w:rPr>
        <w:t xml:space="preserve"> in shaping agricultural technology adoption. Individual factors, such as education, experience, and risk-taking behavior, influence farmers’ willingness and ability to adopt new p</w:t>
      </w:r>
      <w:r w:rsidR="00957D30">
        <w:rPr>
          <w:rFonts w:ascii="Times New Roman" w:eastAsia="Times New Roman" w:hAnsi="Times New Roman" w:cs="Times New Roman"/>
          <w:sz w:val="24"/>
          <w:szCs w:val="24"/>
        </w:rPr>
        <w:t xml:space="preserve">ractices. Institutional support </w:t>
      </w:r>
      <w:r w:rsidR="00957D30" w:rsidRPr="00957D30">
        <w:rPr>
          <w:rFonts w:ascii="Times New Roman" w:eastAsia="Times New Roman" w:hAnsi="Times New Roman" w:cs="Times New Roman"/>
          <w:sz w:val="24"/>
          <w:szCs w:val="24"/>
        </w:rPr>
        <w:t>including access to extension services, credit</w:t>
      </w:r>
      <w:r w:rsidR="00957D30">
        <w:rPr>
          <w:rFonts w:ascii="Times New Roman" w:eastAsia="Times New Roman" w:hAnsi="Times New Roman" w:cs="Times New Roman"/>
          <w:sz w:val="24"/>
          <w:szCs w:val="24"/>
        </w:rPr>
        <w:t xml:space="preserve">, inputs, and training programs </w:t>
      </w:r>
      <w:r w:rsidR="00957D30" w:rsidRPr="00957D30">
        <w:rPr>
          <w:rFonts w:ascii="Times New Roman" w:eastAsia="Times New Roman" w:hAnsi="Times New Roman" w:cs="Times New Roman"/>
          <w:sz w:val="24"/>
          <w:szCs w:val="24"/>
        </w:rPr>
        <w:t xml:space="preserve">facilitates the practical implementation of technologies. Market-related determinants, such as price incentives, demand for quality produce, and availability of reliable market information, further guide farmers’ decisions. Collectively, these factors interact to determine the extent and effectiveness of technology adoption, reinforcing the importance of </w:t>
      </w:r>
      <w:r w:rsidR="00957D30" w:rsidRPr="00957D30">
        <w:rPr>
          <w:rFonts w:ascii="Times New Roman" w:eastAsia="Times New Roman" w:hAnsi="Times New Roman" w:cs="Times New Roman"/>
          <w:bCs/>
          <w:sz w:val="24"/>
          <w:szCs w:val="24"/>
        </w:rPr>
        <w:t>holistic, multi-dimensional approaches</w:t>
      </w:r>
      <w:r w:rsidR="00957D30" w:rsidRPr="00957D30">
        <w:rPr>
          <w:rFonts w:ascii="Times New Roman" w:eastAsia="Times New Roman" w:hAnsi="Times New Roman" w:cs="Times New Roman"/>
          <w:sz w:val="24"/>
          <w:szCs w:val="24"/>
        </w:rPr>
        <w:t xml:space="preserve"> to promote sustainable agricultural innovation (Aker, 2011; </w:t>
      </w:r>
      <w:proofErr w:type="spellStart"/>
      <w:r w:rsidR="00957D30" w:rsidRPr="00957D30">
        <w:rPr>
          <w:rFonts w:ascii="Times New Roman" w:eastAsia="Times New Roman" w:hAnsi="Times New Roman" w:cs="Times New Roman"/>
          <w:sz w:val="24"/>
          <w:szCs w:val="24"/>
        </w:rPr>
        <w:t>Kiptot</w:t>
      </w:r>
      <w:proofErr w:type="spellEnd"/>
      <w:r w:rsidR="00957D30" w:rsidRPr="00957D30">
        <w:rPr>
          <w:rFonts w:ascii="Times New Roman" w:eastAsia="Times New Roman" w:hAnsi="Times New Roman" w:cs="Times New Roman"/>
          <w:sz w:val="24"/>
          <w:szCs w:val="24"/>
        </w:rPr>
        <w:t xml:space="preserve"> &amp; Franzel, 2014).</w:t>
      </w:r>
    </w:p>
    <w:p w14:paraId="29FEA403" w14:textId="77777777" w:rsidR="00CA18EA" w:rsidRPr="00957D30" w:rsidRDefault="00CA18EA" w:rsidP="00957D30">
      <w:pPr>
        <w:spacing w:before="100" w:beforeAutospacing="1" w:after="100" w:afterAutospacing="1" w:line="360" w:lineRule="auto"/>
        <w:jc w:val="both"/>
        <w:rPr>
          <w:rFonts w:ascii="Times New Roman" w:hAnsi="Times New Roman" w:cs="Times New Roman"/>
          <w:b/>
          <w:sz w:val="24"/>
        </w:rPr>
      </w:pPr>
      <w:r w:rsidRPr="00957D30">
        <w:rPr>
          <w:rFonts w:ascii="Times New Roman" w:hAnsi="Times New Roman" w:cs="Times New Roman"/>
          <w:b/>
          <w:sz w:val="24"/>
        </w:rPr>
        <w:t>Table</w:t>
      </w:r>
      <w:r w:rsidR="00C77D3D" w:rsidRPr="00957D30">
        <w:rPr>
          <w:rFonts w:ascii="Times New Roman" w:hAnsi="Times New Roman" w:cs="Times New Roman"/>
          <w:b/>
          <w:sz w:val="24"/>
        </w:rPr>
        <w:t xml:space="preserve"> </w:t>
      </w:r>
      <w:proofErr w:type="gramStart"/>
      <w:r w:rsidR="00C77D3D" w:rsidRPr="00957D30">
        <w:rPr>
          <w:rFonts w:ascii="Times New Roman" w:hAnsi="Times New Roman" w:cs="Times New Roman"/>
          <w:b/>
          <w:sz w:val="24"/>
        </w:rPr>
        <w:t>1</w:t>
      </w:r>
      <w:r w:rsidR="00A908F4" w:rsidRPr="00957D30">
        <w:rPr>
          <w:rFonts w:ascii="Times New Roman" w:hAnsi="Times New Roman" w:cs="Times New Roman"/>
          <w:b/>
          <w:sz w:val="24"/>
        </w:rPr>
        <w:t>:</w:t>
      </w:r>
      <w:r w:rsidRPr="00957D30">
        <w:rPr>
          <w:rFonts w:ascii="Times New Roman" w:hAnsi="Times New Roman" w:cs="Times New Roman"/>
          <w:b/>
          <w:sz w:val="24"/>
        </w:rPr>
        <w:t>Assessment</w:t>
      </w:r>
      <w:proofErr w:type="gramEnd"/>
      <w:r w:rsidRPr="00957D30">
        <w:rPr>
          <w:rFonts w:ascii="Times New Roman" w:hAnsi="Times New Roman" w:cs="Times New Roman"/>
          <w:b/>
          <w:sz w:val="24"/>
        </w:rPr>
        <w:t xml:space="preserve"> of Multi-collinearity among Independent Variables</w:t>
      </w:r>
      <w:proofErr w:type="gramStart"/>
      <w:r w:rsidR="00C90BE2" w:rsidRPr="00957D30">
        <w:rPr>
          <w:rFonts w:ascii="Times New Roman" w:hAnsi="Times New Roman" w:cs="Times New Roman"/>
          <w:b/>
          <w:sz w:val="24"/>
        </w:rPr>
        <w:t xml:space="preserve">   (</w:t>
      </w:r>
      <w:proofErr w:type="gramEnd"/>
      <w:r w:rsidR="00C90BE2" w:rsidRPr="00957D30">
        <w:rPr>
          <w:rFonts w:ascii="Times New Roman" w:hAnsi="Times New Roman" w:cs="Times New Roman"/>
          <w:b/>
          <w:sz w:val="24"/>
        </w:rPr>
        <w:t>n=120)</w:t>
      </w:r>
    </w:p>
    <w:tbl>
      <w:tblPr>
        <w:tblStyle w:val="TableGrid"/>
        <w:tblpPr w:leftFromText="180" w:rightFromText="180" w:vertAnchor="text" w:horzAnchor="margin" w:tblpXSpec="center" w:tblpY="81"/>
        <w:tblW w:w="5000" w:type="pct"/>
        <w:tblLook w:val="04A0" w:firstRow="1" w:lastRow="0" w:firstColumn="1" w:lastColumn="0" w:noHBand="0" w:noVBand="1"/>
      </w:tblPr>
      <w:tblGrid>
        <w:gridCol w:w="925"/>
        <w:gridCol w:w="5606"/>
        <w:gridCol w:w="3045"/>
      </w:tblGrid>
      <w:tr w:rsidR="00CA18EA" w:rsidRPr="00A908F4" w14:paraId="7C60902C" w14:textId="77777777" w:rsidTr="00C77D3D">
        <w:tc>
          <w:tcPr>
            <w:tcW w:w="483" w:type="pct"/>
          </w:tcPr>
          <w:p w14:paraId="28E6C941" w14:textId="77777777" w:rsidR="00CA18EA" w:rsidRPr="00A908F4" w:rsidRDefault="00CA18EA" w:rsidP="00957D30">
            <w:pPr>
              <w:spacing w:line="360" w:lineRule="auto"/>
              <w:jc w:val="both"/>
              <w:rPr>
                <w:rFonts w:ascii="Times New Roman" w:hAnsi="Times New Roman" w:cs="Times New Roman"/>
                <w:sz w:val="24"/>
                <w:szCs w:val="24"/>
              </w:rPr>
            </w:pPr>
            <w:proofErr w:type="spellStart"/>
            <w:proofErr w:type="gramStart"/>
            <w:r w:rsidRPr="00A908F4">
              <w:rPr>
                <w:rFonts w:ascii="Times New Roman" w:hAnsi="Times New Roman" w:cs="Times New Roman"/>
                <w:sz w:val="24"/>
                <w:szCs w:val="24"/>
              </w:rPr>
              <w:t>S.No</w:t>
            </w:r>
            <w:proofErr w:type="spellEnd"/>
            <w:proofErr w:type="gramEnd"/>
          </w:p>
        </w:tc>
        <w:tc>
          <w:tcPr>
            <w:tcW w:w="2927" w:type="pct"/>
            <w:vAlign w:val="center"/>
          </w:tcPr>
          <w:p w14:paraId="38C38500" w14:textId="77777777" w:rsidR="00CA18EA" w:rsidRPr="00A908F4" w:rsidRDefault="00CA18EA" w:rsidP="00957D30">
            <w:pPr>
              <w:spacing w:line="360" w:lineRule="auto"/>
              <w:jc w:val="both"/>
              <w:rPr>
                <w:rFonts w:ascii="Times New Roman" w:hAnsi="Times New Roman" w:cs="Times New Roman"/>
                <w:bCs/>
                <w:sz w:val="24"/>
                <w:szCs w:val="24"/>
              </w:rPr>
            </w:pPr>
            <w:r w:rsidRPr="00A908F4">
              <w:rPr>
                <w:rFonts w:ascii="Times New Roman" w:hAnsi="Times New Roman" w:cs="Times New Roman"/>
                <w:bCs/>
                <w:sz w:val="24"/>
                <w:szCs w:val="24"/>
              </w:rPr>
              <w:t>Variable</w:t>
            </w:r>
          </w:p>
        </w:tc>
        <w:tc>
          <w:tcPr>
            <w:tcW w:w="1590" w:type="pct"/>
            <w:vAlign w:val="center"/>
          </w:tcPr>
          <w:p w14:paraId="3FD2284B" w14:textId="77777777" w:rsidR="00CA18EA" w:rsidRPr="00A908F4" w:rsidRDefault="00CA18EA" w:rsidP="00957D30">
            <w:pPr>
              <w:spacing w:line="360" w:lineRule="auto"/>
              <w:jc w:val="both"/>
              <w:rPr>
                <w:rFonts w:ascii="Times New Roman" w:hAnsi="Times New Roman" w:cs="Times New Roman"/>
                <w:bCs/>
                <w:sz w:val="24"/>
                <w:szCs w:val="24"/>
              </w:rPr>
            </w:pPr>
            <w:proofErr w:type="gramStart"/>
            <w:r w:rsidRPr="00A908F4">
              <w:rPr>
                <w:rFonts w:ascii="Times New Roman" w:hAnsi="Times New Roman" w:cs="Times New Roman"/>
                <w:bCs/>
                <w:sz w:val="24"/>
                <w:szCs w:val="24"/>
              </w:rPr>
              <w:t>VIF  values</w:t>
            </w:r>
            <w:proofErr w:type="gramEnd"/>
          </w:p>
        </w:tc>
      </w:tr>
      <w:tr w:rsidR="00CA18EA" w:rsidRPr="00A908F4" w14:paraId="5037091E" w14:textId="77777777" w:rsidTr="00C77D3D">
        <w:tc>
          <w:tcPr>
            <w:tcW w:w="483" w:type="pct"/>
          </w:tcPr>
          <w:p w14:paraId="1F87DA67"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39D262FB"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Age</w:t>
            </w:r>
          </w:p>
        </w:tc>
        <w:tc>
          <w:tcPr>
            <w:tcW w:w="1590" w:type="pct"/>
            <w:vAlign w:val="center"/>
          </w:tcPr>
          <w:p w14:paraId="572C0E8D"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1.15</w:t>
            </w:r>
          </w:p>
        </w:tc>
      </w:tr>
      <w:tr w:rsidR="00CA18EA" w:rsidRPr="00A908F4" w14:paraId="308D7FA6" w14:textId="77777777" w:rsidTr="00C77D3D">
        <w:tc>
          <w:tcPr>
            <w:tcW w:w="483" w:type="pct"/>
          </w:tcPr>
          <w:p w14:paraId="6A65B231"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5A71EA06"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Education</w:t>
            </w:r>
          </w:p>
        </w:tc>
        <w:tc>
          <w:tcPr>
            <w:tcW w:w="1590" w:type="pct"/>
            <w:vAlign w:val="center"/>
          </w:tcPr>
          <w:p w14:paraId="5F2BDB6B"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1.40</w:t>
            </w:r>
          </w:p>
        </w:tc>
      </w:tr>
      <w:tr w:rsidR="00CA18EA" w:rsidRPr="00A908F4" w14:paraId="1F2AD8EB" w14:textId="77777777" w:rsidTr="00C77D3D">
        <w:tc>
          <w:tcPr>
            <w:tcW w:w="483" w:type="pct"/>
          </w:tcPr>
          <w:p w14:paraId="3F66CCBC"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65C9226F"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Size of landholding</w:t>
            </w:r>
          </w:p>
        </w:tc>
        <w:tc>
          <w:tcPr>
            <w:tcW w:w="1590" w:type="pct"/>
            <w:vAlign w:val="center"/>
          </w:tcPr>
          <w:p w14:paraId="703AE9DE"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18021E7D" w14:textId="77777777" w:rsidTr="00C77D3D">
        <w:tc>
          <w:tcPr>
            <w:tcW w:w="483" w:type="pct"/>
          </w:tcPr>
          <w:p w14:paraId="49D07F2B"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5EAB7F9E"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Annual income</w:t>
            </w:r>
          </w:p>
        </w:tc>
        <w:tc>
          <w:tcPr>
            <w:tcW w:w="1590" w:type="pct"/>
            <w:vAlign w:val="center"/>
          </w:tcPr>
          <w:p w14:paraId="744BB8EC"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3FC7359F" w14:textId="77777777" w:rsidTr="00C77D3D">
        <w:tc>
          <w:tcPr>
            <w:tcW w:w="483" w:type="pct"/>
          </w:tcPr>
          <w:p w14:paraId="2458527D"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6B615E46"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Farming experience</w:t>
            </w:r>
          </w:p>
        </w:tc>
        <w:tc>
          <w:tcPr>
            <w:tcW w:w="1590" w:type="pct"/>
            <w:vAlign w:val="center"/>
          </w:tcPr>
          <w:p w14:paraId="116A8D9B"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1.45</w:t>
            </w:r>
          </w:p>
        </w:tc>
      </w:tr>
      <w:tr w:rsidR="00CA18EA" w:rsidRPr="00A908F4" w14:paraId="088C6ADC" w14:textId="77777777" w:rsidTr="00C77D3D">
        <w:tc>
          <w:tcPr>
            <w:tcW w:w="483" w:type="pct"/>
          </w:tcPr>
          <w:p w14:paraId="5860E515"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18414C0B"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Trainings undergone</w:t>
            </w:r>
          </w:p>
        </w:tc>
        <w:tc>
          <w:tcPr>
            <w:tcW w:w="1590" w:type="pct"/>
            <w:vAlign w:val="center"/>
          </w:tcPr>
          <w:p w14:paraId="1C0F0DAD"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3DBE7CCE" w14:textId="77777777" w:rsidTr="00C77D3D">
        <w:tc>
          <w:tcPr>
            <w:tcW w:w="483" w:type="pct"/>
          </w:tcPr>
          <w:p w14:paraId="0DEC3891"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3A42C075"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Irrigation potential</w:t>
            </w:r>
          </w:p>
        </w:tc>
        <w:tc>
          <w:tcPr>
            <w:tcW w:w="1590" w:type="pct"/>
            <w:vAlign w:val="center"/>
          </w:tcPr>
          <w:p w14:paraId="2DDE21AC"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1.35</w:t>
            </w:r>
          </w:p>
        </w:tc>
      </w:tr>
      <w:tr w:rsidR="00CA18EA" w:rsidRPr="00A908F4" w14:paraId="19720651" w14:textId="77777777" w:rsidTr="00C77D3D">
        <w:tc>
          <w:tcPr>
            <w:tcW w:w="483" w:type="pct"/>
          </w:tcPr>
          <w:p w14:paraId="4FC6C2F3"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1731D57F"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Social participation</w:t>
            </w:r>
          </w:p>
        </w:tc>
        <w:tc>
          <w:tcPr>
            <w:tcW w:w="1590" w:type="pct"/>
            <w:vAlign w:val="center"/>
          </w:tcPr>
          <w:p w14:paraId="6DD82E38"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1.50</w:t>
            </w:r>
          </w:p>
        </w:tc>
      </w:tr>
      <w:tr w:rsidR="00CA18EA" w:rsidRPr="00A908F4" w14:paraId="0C537992" w14:textId="77777777" w:rsidTr="00C77D3D">
        <w:tc>
          <w:tcPr>
            <w:tcW w:w="483" w:type="pct"/>
          </w:tcPr>
          <w:p w14:paraId="46692186"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4A37F230"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Input acquisition pattern</w:t>
            </w:r>
          </w:p>
        </w:tc>
        <w:tc>
          <w:tcPr>
            <w:tcW w:w="1590" w:type="pct"/>
            <w:vAlign w:val="center"/>
          </w:tcPr>
          <w:p w14:paraId="5F52F37A"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1.75</w:t>
            </w:r>
          </w:p>
        </w:tc>
      </w:tr>
      <w:tr w:rsidR="00CA18EA" w:rsidRPr="00A908F4" w14:paraId="7CF4E5FA" w14:textId="77777777" w:rsidTr="00C77D3D">
        <w:tc>
          <w:tcPr>
            <w:tcW w:w="483" w:type="pct"/>
          </w:tcPr>
          <w:p w14:paraId="796B9F3E"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30C8F91F"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Information seeking </w:t>
            </w:r>
            <w:proofErr w:type="spellStart"/>
            <w:r w:rsidRPr="00A908F4">
              <w:rPr>
                <w:rFonts w:ascii="Times New Roman" w:hAnsi="Times New Roman" w:cs="Times New Roman"/>
                <w:sz w:val="24"/>
                <w:szCs w:val="24"/>
              </w:rPr>
              <w:t>behaviour</w:t>
            </w:r>
            <w:proofErr w:type="spellEnd"/>
          </w:p>
        </w:tc>
        <w:tc>
          <w:tcPr>
            <w:tcW w:w="1590" w:type="pct"/>
            <w:vAlign w:val="center"/>
          </w:tcPr>
          <w:p w14:paraId="2909EDCF"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1.65</w:t>
            </w:r>
          </w:p>
        </w:tc>
      </w:tr>
      <w:tr w:rsidR="00CA18EA" w:rsidRPr="00A908F4" w14:paraId="5B3A7ED3" w14:textId="77777777" w:rsidTr="00C77D3D">
        <w:tc>
          <w:tcPr>
            <w:tcW w:w="483" w:type="pct"/>
          </w:tcPr>
          <w:p w14:paraId="5A27A879"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3E76FF27"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Achievement motivation</w:t>
            </w:r>
          </w:p>
        </w:tc>
        <w:tc>
          <w:tcPr>
            <w:tcW w:w="1590" w:type="pct"/>
            <w:vAlign w:val="center"/>
          </w:tcPr>
          <w:p w14:paraId="762742CC"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35CFAD89" w14:textId="77777777" w:rsidTr="00C77D3D">
        <w:tc>
          <w:tcPr>
            <w:tcW w:w="483" w:type="pct"/>
          </w:tcPr>
          <w:p w14:paraId="6E204216"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6694333C"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Risk taking ability</w:t>
            </w:r>
          </w:p>
        </w:tc>
        <w:tc>
          <w:tcPr>
            <w:tcW w:w="1590" w:type="pct"/>
            <w:vAlign w:val="center"/>
          </w:tcPr>
          <w:p w14:paraId="5E7E7EB4"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669B21DD" w14:textId="77777777" w:rsidTr="00C77D3D">
        <w:tc>
          <w:tcPr>
            <w:tcW w:w="483" w:type="pct"/>
          </w:tcPr>
          <w:p w14:paraId="7B413B0E"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10838392"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 Knowledge</w:t>
            </w:r>
          </w:p>
        </w:tc>
        <w:tc>
          <w:tcPr>
            <w:tcW w:w="1590" w:type="pct"/>
            <w:vAlign w:val="center"/>
          </w:tcPr>
          <w:p w14:paraId="205B38B4"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23BE2DBE" w14:textId="77777777" w:rsidTr="00C77D3D">
        <w:tc>
          <w:tcPr>
            <w:tcW w:w="483" w:type="pct"/>
          </w:tcPr>
          <w:p w14:paraId="686EF845" w14:textId="77777777" w:rsidR="00CA18EA" w:rsidRPr="00A908F4" w:rsidRDefault="00CA18EA" w:rsidP="00957D30">
            <w:pPr>
              <w:pStyle w:val="ListParagraph"/>
              <w:numPr>
                <w:ilvl w:val="0"/>
                <w:numId w:val="2"/>
              </w:numPr>
              <w:spacing w:line="360" w:lineRule="auto"/>
              <w:jc w:val="both"/>
              <w:rPr>
                <w:rFonts w:ascii="Times New Roman" w:hAnsi="Times New Roman" w:cs="Times New Roman"/>
                <w:sz w:val="24"/>
                <w:szCs w:val="24"/>
              </w:rPr>
            </w:pPr>
          </w:p>
        </w:tc>
        <w:tc>
          <w:tcPr>
            <w:tcW w:w="2927" w:type="pct"/>
            <w:vAlign w:val="center"/>
          </w:tcPr>
          <w:p w14:paraId="043758DE"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Market intelligence</w:t>
            </w:r>
          </w:p>
        </w:tc>
        <w:tc>
          <w:tcPr>
            <w:tcW w:w="1590" w:type="pct"/>
            <w:vAlign w:val="center"/>
          </w:tcPr>
          <w:p w14:paraId="5A590268" w14:textId="77777777" w:rsidR="00CA18EA" w:rsidRPr="00A908F4" w:rsidRDefault="00CA18EA" w:rsidP="00957D30">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1.80</w:t>
            </w:r>
          </w:p>
        </w:tc>
      </w:tr>
    </w:tbl>
    <w:p w14:paraId="51EDA352" w14:textId="77777777" w:rsidR="00C77D3D" w:rsidRDefault="00C77D3D" w:rsidP="00957D30">
      <w:pPr>
        <w:spacing w:before="100" w:beforeAutospacing="1" w:after="100" w:afterAutospacing="1" w:line="360" w:lineRule="auto"/>
        <w:jc w:val="both"/>
        <w:rPr>
          <w:rFonts w:ascii="Times New Roman" w:hAnsi="Times New Roman" w:cs="Times New Roman"/>
          <w:sz w:val="24"/>
          <w:szCs w:val="24"/>
        </w:rPr>
      </w:pPr>
    </w:p>
    <w:p w14:paraId="249F5DB4" w14:textId="77777777" w:rsidR="00957D30" w:rsidRPr="00957D30" w:rsidRDefault="00957D30" w:rsidP="00957D30">
      <w:pPr>
        <w:spacing w:before="100" w:beforeAutospacing="1" w:after="100" w:afterAutospacing="1" w:line="360" w:lineRule="auto"/>
        <w:jc w:val="both"/>
        <w:rPr>
          <w:rFonts w:ascii="Times New Roman" w:eastAsia="Times New Roman" w:hAnsi="Times New Roman" w:cs="Times New Roman"/>
          <w:sz w:val="24"/>
          <w:szCs w:val="24"/>
        </w:rPr>
      </w:pPr>
      <w:r w:rsidRPr="00957D30">
        <w:rPr>
          <w:rFonts w:ascii="Times New Roman" w:eastAsia="Times New Roman" w:hAnsi="Times New Roman" w:cs="Times New Roman"/>
          <w:sz w:val="24"/>
          <w:szCs w:val="24"/>
        </w:rPr>
        <w:t xml:space="preserve">The results from Table-2 indicate variability in the adoption of post-harvest management practices among oilseed farmers. Harvesting practices such as harvesting at the proper maturity stage were highly adopted (72.5%), whereas segregation of damaged pods/seeds showed moderate adoption (58.3%), and use of appropriate harvesting tools was relatively low (33.3%). This suggests that while farmers recognize the importance of basic harvesting practices, </w:t>
      </w:r>
      <w:r w:rsidRPr="00957D30">
        <w:rPr>
          <w:rFonts w:ascii="Times New Roman" w:eastAsia="Times New Roman" w:hAnsi="Times New Roman" w:cs="Times New Roman"/>
          <w:bCs/>
          <w:sz w:val="24"/>
          <w:szCs w:val="24"/>
        </w:rPr>
        <w:t>mechanization, access to suitable tools, and awareness of improved methods remain limited</w:t>
      </w:r>
      <w:r w:rsidRPr="00957D30">
        <w:rPr>
          <w:rFonts w:ascii="Times New Roman" w:eastAsia="Times New Roman" w:hAnsi="Times New Roman" w:cs="Times New Roman"/>
          <w:sz w:val="24"/>
          <w:szCs w:val="24"/>
        </w:rPr>
        <w:t xml:space="preserve">, consistent with findings from Sidhu &amp; Mohapatra (2023) and </w:t>
      </w:r>
      <w:proofErr w:type="spellStart"/>
      <w:r w:rsidRPr="00957D30">
        <w:rPr>
          <w:rFonts w:ascii="Times New Roman" w:eastAsia="Times New Roman" w:hAnsi="Times New Roman" w:cs="Times New Roman"/>
          <w:sz w:val="24"/>
          <w:szCs w:val="24"/>
        </w:rPr>
        <w:t>Mandavkar</w:t>
      </w:r>
      <w:proofErr w:type="spellEnd"/>
      <w:r w:rsidRPr="00957D30">
        <w:rPr>
          <w:rFonts w:ascii="Times New Roman" w:eastAsia="Times New Roman" w:hAnsi="Times New Roman" w:cs="Times New Roman"/>
          <w:sz w:val="24"/>
          <w:szCs w:val="24"/>
        </w:rPr>
        <w:t xml:space="preserve"> et al. (2017). The variation also indicates that adoption is influenced by </w:t>
      </w:r>
      <w:r w:rsidRPr="00957D30">
        <w:rPr>
          <w:rFonts w:ascii="Times New Roman" w:eastAsia="Times New Roman" w:hAnsi="Times New Roman" w:cs="Times New Roman"/>
          <w:bCs/>
          <w:sz w:val="24"/>
          <w:szCs w:val="24"/>
        </w:rPr>
        <w:t>factors such as farm size, labor availability, and prior exposure to training</w:t>
      </w:r>
      <w:r w:rsidRPr="00957D30">
        <w:rPr>
          <w:rFonts w:ascii="Times New Roman" w:eastAsia="Times New Roman" w:hAnsi="Times New Roman" w:cs="Times New Roman"/>
          <w:sz w:val="24"/>
          <w:szCs w:val="24"/>
        </w:rPr>
        <w:t>, highlighting the need for targeted capacity-building and infrastructure support to encourage wider adoption of improved harvesting techniques.</w:t>
      </w:r>
    </w:p>
    <w:p w14:paraId="10DA7EDC" w14:textId="77777777" w:rsidR="00F74217" w:rsidRDefault="00F74217" w:rsidP="00957D30">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Threshing and drying practices demonstrated moderate to high adoption, with 60–73% of farmers following recommended methods. However, practices like moisture content monitoring prior to storage had lower full adoption (35%), indicating gaps in precision-based post-harvest management (</w:t>
      </w:r>
      <w:r w:rsidR="00997884" w:rsidRPr="00A908F4">
        <w:rPr>
          <w:rFonts w:ascii="Times New Roman" w:hAnsi="Times New Roman" w:cs="Times New Roman"/>
          <w:color w:val="222222"/>
          <w:sz w:val="24"/>
          <w:szCs w:val="24"/>
          <w:shd w:val="clear" w:color="auto" w:fill="FFFFFF"/>
        </w:rPr>
        <w:t xml:space="preserve">Bhat </w:t>
      </w:r>
      <w:proofErr w:type="spellStart"/>
      <w:r w:rsidR="00997884" w:rsidRPr="00A908F4">
        <w:rPr>
          <w:rFonts w:ascii="Times New Roman" w:hAnsi="Times New Roman" w:cs="Times New Roman"/>
          <w:color w:val="222222"/>
          <w:sz w:val="24"/>
          <w:szCs w:val="24"/>
          <w:shd w:val="clear" w:color="auto" w:fill="FFFFFF"/>
        </w:rPr>
        <w:t>etal</w:t>
      </w:r>
      <w:proofErr w:type="spellEnd"/>
      <w:r w:rsidR="00997884" w:rsidRPr="00A908F4">
        <w:rPr>
          <w:rFonts w:ascii="Times New Roman" w:hAnsi="Times New Roman" w:cs="Times New Roman"/>
          <w:color w:val="222222"/>
          <w:sz w:val="24"/>
          <w:szCs w:val="24"/>
          <w:shd w:val="clear" w:color="auto" w:fill="FFFFFF"/>
        </w:rPr>
        <w:t>., 2017; Usman et al.,2022</w:t>
      </w:r>
      <w:r w:rsidRPr="00A908F4">
        <w:rPr>
          <w:rFonts w:ascii="Times New Roman" w:eastAsia="Times New Roman" w:hAnsi="Times New Roman" w:cs="Times New Roman"/>
          <w:sz w:val="24"/>
          <w:szCs w:val="24"/>
        </w:rPr>
        <w:t xml:space="preserve">). Storage practices showed partial adherence, with only 31–42% of farmers fully implementing recommended storage containers, pest control, and stock rotation. Value addition activities, including oil extraction, processing, and packaging, were minimally adopted (26–33%), reflecting the tendency among farmers to sell raw produce rather than invest in </w:t>
      </w:r>
      <w:proofErr w:type="spellStart"/>
      <w:r w:rsidRPr="00A908F4">
        <w:rPr>
          <w:rFonts w:ascii="Times New Roman" w:eastAsia="Times New Roman" w:hAnsi="Times New Roman" w:cs="Times New Roman"/>
          <w:sz w:val="24"/>
          <w:szCs w:val="24"/>
        </w:rPr>
        <w:t>processing.Quality</w:t>
      </w:r>
      <w:proofErr w:type="spellEnd"/>
      <w:r w:rsidRPr="00A908F4">
        <w:rPr>
          <w:rFonts w:ascii="Times New Roman" w:eastAsia="Times New Roman" w:hAnsi="Times New Roman" w:cs="Times New Roman"/>
          <w:sz w:val="24"/>
          <w:szCs w:val="24"/>
        </w:rPr>
        <w:t xml:space="preserve"> and safety practices, such as use of preservatives and pre-sale quality checks, were also less adopted, with full adoption rates below 42%, highlighting the need for capacity-building initiatives to improve handling and post-harvest quality (</w:t>
      </w:r>
      <w:r w:rsidR="00997884" w:rsidRPr="00A908F4">
        <w:rPr>
          <w:rFonts w:ascii="Times New Roman" w:hAnsi="Times New Roman" w:cs="Times New Roman"/>
          <w:color w:val="222222"/>
          <w:sz w:val="24"/>
          <w:szCs w:val="24"/>
          <w:shd w:val="clear" w:color="auto" w:fill="FFFFFF"/>
        </w:rPr>
        <w:t>Rees</w:t>
      </w:r>
      <w:r w:rsidRPr="00A908F4">
        <w:rPr>
          <w:rFonts w:ascii="Times New Roman" w:eastAsia="Times New Roman" w:hAnsi="Times New Roman" w:cs="Times New Roman"/>
          <w:sz w:val="24"/>
          <w:szCs w:val="24"/>
        </w:rPr>
        <w:t xml:space="preserve"> et al., 20</w:t>
      </w:r>
      <w:r w:rsidR="00997884" w:rsidRPr="00A908F4">
        <w:rPr>
          <w:rFonts w:ascii="Times New Roman" w:eastAsia="Times New Roman" w:hAnsi="Times New Roman" w:cs="Times New Roman"/>
          <w:sz w:val="24"/>
          <w:szCs w:val="24"/>
        </w:rPr>
        <w:t>1</w:t>
      </w:r>
      <w:r w:rsidRPr="00A908F4">
        <w:rPr>
          <w:rFonts w:ascii="Times New Roman" w:eastAsia="Times New Roman" w:hAnsi="Times New Roman" w:cs="Times New Roman"/>
          <w:sz w:val="24"/>
          <w:szCs w:val="24"/>
        </w:rPr>
        <w:t>2</w:t>
      </w:r>
      <w:r w:rsidR="00997884" w:rsidRPr="00A908F4">
        <w:rPr>
          <w:rFonts w:ascii="Times New Roman" w:eastAsia="Times New Roman" w:hAnsi="Times New Roman" w:cs="Times New Roman"/>
          <w:sz w:val="24"/>
          <w:szCs w:val="24"/>
        </w:rPr>
        <w:t>,</w:t>
      </w:r>
      <w:r w:rsidR="00997884" w:rsidRPr="00A908F4">
        <w:rPr>
          <w:rFonts w:ascii="Times New Roman" w:hAnsi="Times New Roman" w:cs="Times New Roman"/>
          <w:color w:val="222222"/>
          <w:sz w:val="24"/>
          <w:szCs w:val="24"/>
          <w:shd w:val="clear" w:color="auto" w:fill="FFFFFF"/>
        </w:rPr>
        <w:t xml:space="preserve"> Afzal </w:t>
      </w:r>
      <w:proofErr w:type="spellStart"/>
      <w:r w:rsidR="00997884" w:rsidRPr="00A908F4">
        <w:rPr>
          <w:rFonts w:ascii="Times New Roman" w:hAnsi="Times New Roman" w:cs="Times New Roman"/>
          <w:color w:val="222222"/>
          <w:sz w:val="24"/>
          <w:szCs w:val="24"/>
          <w:shd w:val="clear" w:color="auto" w:fill="FFFFFF"/>
        </w:rPr>
        <w:t>etal</w:t>
      </w:r>
      <w:proofErr w:type="spellEnd"/>
      <w:r w:rsidR="00997884" w:rsidRPr="00A908F4">
        <w:rPr>
          <w:rFonts w:ascii="Times New Roman" w:hAnsi="Times New Roman" w:cs="Times New Roman"/>
          <w:color w:val="222222"/>
          <w:sz w:val="24"/>
          <w:szCs w:val="24"/>
          <w:shd w:val="clear" w:color="auto" w:fill="FFFFFF"/>
        </w:rPr>
        <w:t>., 2020</w:t>
      </w:r>
      <w:r w:rsidRPr="00A908F4">
        <w:rPr>
          <w:rFonts w:ascii="Times New Roman" w:eastAsia="Times New Roman" w:hAnsi="Times New Roman" w:cs="Times New Roman"/>
          <w:sz w:val="24"/>
          <w:szCs w:val="24"/>
        </w:rPr>
        <w:t xml:space="preserve">). Transportation and marketing practices showed moderate adoption, with farmers partially implementing sorting, grading, and careful handling to reduce losses. The adoption of digital and monitoring tools was very low, with 60.9% of farmers not using any </w:t>
      </w:r>
      <w:r w:rsidRPr="00A908F4">
        <w:rPr>
          <w:rFonts w:ascii="Times New Roman" w:eastAsia="Times New Roman" w:hAnsi="Times New Roman" w:cs="Times New Roman"/>
          <w:sz w:val="24"/>
          <w:szCs w:val="24"/>
        </w:rPr>
        <w:lastRenderedPageBreak/>
        <w:t>technology, underscoring limited awareness and accessibility of modern monitoring systems in</w:t>
      </w:r>
      <w:r w:rsidR="00997884" w:rsidRPr="00A908F4">
        <w:rPr>
          <w:rFonts w:ascii="Times New Roman" w:eastAsia="Times New Roman" w:hAnsi="Times New Roman" w:cs="Times New Roman"/>
          <w:sz w:val="24"/>
          <w:szCs w:val="24"/>
        </w:rPr>
        <w:t xml:space="preserve"> post-harvest operations</w:t>
      </w:r>
      <w:r w:rsidRPr="00A908F4">
        <w:rPr>
          <w:rFonts w:ascii="Times New Roman" w:eastAsia="Times New Roman" w:hAnsi="Times New Roman" w:cs="Times New Roman"/>
          <w:sz w:val="24"/>
          <w:szCs w:val="24"/>
        </w:rPr>
        <w:t>.</w:t>
      </w:r>
    </w:p>
    <w:p w14:paraId="294187CE" w14:textId="77777777" w:rsidR="007F452E" w:rsidRDefault="007F452E" w:rsidP="00957D30">
      <w:pPr>
        <w:spacing w:line="360" w:lineRule="auto"/>
        <w:jc w:val="both"/>
        <w:rPr>
          <w:rFonts w:ascii="Times New Roman" w:eastAsia="Times New Roman" w:hAnsi="Times New Roman" w:cs="Times New Roman"/>
          <w:sz w:val="24"/>
          <w:szCs w:val="24"/>
        </w:rPr>
      </w:pPr>
      <w:r w:rsidRPr="007F452E">
        <w:rPr>
          <w:rFonts w:ascii="Times New Roman" w:eastAsia="Times New Roman" w:hAnsi="Times New Roman" w:cs="Times New Roman"/>
          <w:sz w:val="24"/>
          <w:szCs w:val="24"/>
        </w:rPr>
        <w:t xml:space="preserve">Overall, the data indicate that oilseed farmers adopt </w:t>
      </w:r>
      <w:r w:rsidRPr="007F452E">
        <w:rPr>
          <w:rFonts w:ascii="Times New Roman" w:eastAsia="Times New Roman" w:hAnsi="Times New Roman" w:cs="Times New Roman"/>
          <w:bCs/>
          <w:sz w:val="24"/>
          <w:szCs w:val="24"/>
        </w:rPr>
        <w:t>basic post-harvest practices</w:t>
      </w:r>
      <w:r w:rsidRPr="007F452E">
        <w:rPr>
          <w:rFonts w:ascii="Times New Roman" w:eastAsia="Times New Roman" w:hAnsi="Times New Roman" w:cs="Times New Roman"/>
          <w:sz w:val="24"/>
          <w:szCs w:val="24"/>
        </w:rPr>
        <w:t xml:space="preserve">, such as timely harvesting, threshing, and drying, relatively effectively. However, </w:t>
      </w:r>
      <w:r w:rsidRPr="007F452E">
        <w:rPr>
          <w:rFonts w:ascii="Times New Roman" w:eastAsia="Times New Roman" w:hAnsi="Times New Roman" w:cs="Times New Roman"/>
          <w:bCs/>
          <w:sz w:val="24"/>
          <w:szCs w:val="24"/>
        </w:rPr>
        <w:t>advanced practices</w:t>
      </w:r>
      <w:r w:rsidRPr="007F452E">
        <w:rPr>
          <w:rFonts w:ascii="Times New Roman" w:eastAsia="Times New Roman" w:hAnsi="Times New Roman" w:cs="Times New Roman"/>
          <w:sz w:val="24"/>
          <w:szCs w:val="24"/>
        </w:rPr>
        <w:t xml:space="preserve">, including value addition, quality management, and digital monitoring, remain largely underutilized. This reflects gaps in </w:t>
      </w:r>
      <w:r w:rsidRPr="007F452E">
        <w:rPr>
          <w:rFonts w:ascii="Times New Roman" w:eastAsia="Times New Roman" w:hAnsi="Times New Roman" w:cs="Times New Roman"/>
          <w:bCs/>
          <w:sz w:val="24"/>
          <w:szCs w:val="24"/>
        </w:rPr>
        <w:t>knowledge, skills, infrastructure, and access to modern tools</w:t>
      </w:r>
      <w:r w:rsidRPr="007F452E">
        <w:rPr>
          <w:rFonts w:ascii="Times New Roman" w:eastAsia="Times New Roman" w:hAnsi="Times New Roman" w:cs="Times New Roman"/>
          <w:sz w:val="24"/>
          <w:szCs w:val="24"/>
        </w:rPr>
        <w:t xml:space="preserve">. </w:t>
      </w:r>
      <w:r w:rsidRPr="00957D30">
        <w:rPr>
          <w:rFonts w:ascii="Times New Roman" w:eastAsia="Times New Roman" w:hAnsi="Times New Roman" w:cs="Times New Roman"/>
          <w:sz w:val="24"/>
          <w:szCs w:val="24"/>
        </w:rPr>
        <w:t xml:space="preserve">The findings highlight clear opportunities for </w:t>
      </w:r>
      <w:r w:rsidRPr="00957D30">
        <w:rPr>
          <w:rFonts w:ascii="Times New Roman" w:eastAsia="Times New Roman" w:hAnsi="Times New Roman" w:cs="Times New Roman"/>
          <w:bCs/>
          <w:sz w:val="24"/>
          <w:szCs w:val="24"/>
        </w:rPr>
        <w:t>targeted interventions</w:t>
      </w:r>
      <w:r w:rsidRPr="00957D30">
        <w:rPr>
          <w:rFonts w:ascii="Times New Roman" w:eastAsia="Times New Roman" w:hAnsi="Times New Roman" w:cs="Times New Roman"/>
          <w:sz w:val="24"/>
          <w:szCs w:val="24"/>
        </w:rPr>
        <w:t xml:space="preserve">, such as hands-on training programs, improved storage and processing infrastructure, access to affordable mechanized tools, and promotion of digital platforms for record-keeping, moisture monitoring, and market information. Implementing these measures can </w:t>
      </w:r>
      <w:r w:rsidRPr="00957D30">
        <w:rPr>
          <w:rFonts w:ascii="Times New Roman" w:eastAsia="Times New Roman" w:hAnsi="Times New Roman" w:cs="Times New Roman"/>
          <w:bCs/>
          <w:sz w:val="24"/>
          <w:szCs w:val="24"/>
        </w:rPr>
        <w:t>enhance post-harvest efficiency, reduce quantitative and qualitative losses, improve product quality, increase farmers’ income, and strengthen overall competitiveness</w:t>
      </w:r>
      <w:r w:rsidRPr="00957D30">
        <w:rPr>
          <w:rFonts w:ascii="Times New Roman" w:eastAsia="Times New Roman" w:hAnsi="Times New Roman" w:cs="Times New Roman"/>
          <w:sz w:val="24"/>
          <w:szCs w:val="24"/>
        </w:rPr>
        <w:t xml:space="preserve"> of the oilseed sector.</w:t>
      </w:r>
      <w:r w:rsidRPr="007F452E">
        <w:rPr>
          <w:rFonts w:ascii="Times New Roman" w:eastAsia="Times New Roman" w:hAnsi="Times New Roman" w:cs="Times New Roman"/>
          <w:sz w:val="24"/>
          <w:szCs w:val="24"/>
        </w:rPr>
        <w:t xml:space="preserve"> By combining capacity-building, technological support, and market-oriented strategies, stakeholders can help farmers transition from basic to advanced practices, fostering more sustainable and profitable oilseed production systems (World Bank, 2019; </w:t>
      </w:r>
      <w:proofErr w:type="spellStart"/>
      <w:r w:rsidRPr="007F452E">
        <w:rPr>
          <w:rFonts w:ascii="Times New Roman" w:eastAsia="Times New Roman" w:hAnsi="Times New Roman" w:cs="Times New Roman"/>
          <w:sz w:val="24"/>
          <w:szCs w:val="24"/>
        </w:rPr>
        <w:t>Bartosi</w:t>
      </w:r>
      <w:proofErr w:type="spellEnd"/>
      <w:r w:rsidRPr="007F452E">
        <w:rPr>
          <w:rFonts w:ascii="Times New Roman" w:eastAsia="Times New Roman" w:hAnsi="Times New Roman" w:cs="Times New Roman"/>
          <w:sz w:val="24"/>
          <w:szCs w:val="24"/>
        </w:rPr>
        <w:t xml:space="preserve">, 2010; </w:t>
      </w:r>
      <w:proofErr w:type="spellStart"/>
      <w:r w:rsidRPr="007F452E">
        <w:rPr>
          <w:rFonts w:ascii="Times New Roman" w:eastAsia="Times New Roman" w:hAnsi="Times New Roman" w:cs="Times New Roman"/>
          <w:sz w:val="24"/>
          <w:szCs w:val="24"/>
        </w:rPr>
        <w:t>Ariong</w:t>
      </w:r>
      <w:proofErr w:type="spellEnd"/>
      <w:r w:rsidRPr="007F452E">
        <w:rPr>
          <w:rFonts w:ascii="Times New Roman" w:eastAsia="Times New Roman" w:hAnsi="Times New Roman" w:cs="Times New Roman"/>
          <w:sz w:val="24"/>
          <w:szCs w:val="24"/>
        </w:rPr>
        <w:t xml:space="preserve"> et al., 2023).</w:t>
      </w:r>
    </w:p>
    <w:p w14:paraId="5203A10F" w14:textId="77777777" w:rsidR="007F452E" w:rsidRPr="007F452E" w:rsidRDefault="007F452E" w:rsidP="00957D30">
      <w:pPr>
        <w:spacing w:line="360" w:lineRule="auto"/>
        <w:jc w:val="both"/>
        <w:rPr>
          <w:rFonts w:ascii="Times New Roman" w:hAnsi="Times New Roman" w:cs="Times New Roman"/>
          <w:b/>
          <w:sz w:val="24"/>
          <w:szCs w:val="24"/>
        </w:rPr>
      </w:pPr>
      <w:r w:rsidRPr="0065442B">
        <w:rPr>
          <w:rFonts w:ascii="Times New Roman" w:hAnsi="Times New Roman" w:cs="Times New Roman"/>
          <w:b/>
          <w:sz w:val="24"/>
          <w:szCs w:val="24"/>
        </w:rPr>
        <w:t>Table 2: Extent of Adoption of Post-Harvest Management Practices among Oilseed Farmers</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n=120)</w:t>
      </w:r>
    </w:p>
    <w:tbl>
      <w:tblPr>
        <w:tblStyle w:val="TableGrid"/>
        <w:tblpPr w:leftFromText="180" w:rightFromText="180" w:vertAnchor="page" w:horzAnchor="margin" w:tblpY="135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638"/>
        <w:gridCol w:w="1155"/>
        <w:gridCol w:w="1046"/>
        <w:gridCol w:w="1000"/>
      </w:tblGrid>
      <w:tr w:rsidR="007F452E" w:rsidRPr="0065442B" w14:paraId="25E83CFC" w14:textId="77777777" w:rsidTr="007F452E">
        <w:tc>
          <w:tcPr>
            <w:tcW w:w="385" w:type="pct"/>
          </w:tcPr>
          <w:p w14:paraId="70469144" w14:textId="77777777" w:rsidR="007F452E" w:rsidRPr="0065442B" w:rsidRDefault="007F452E" w:rsidP="00957D30">
            <w:pPr>
              <w:pStyle w:val="NoSpacing"/>
              <w:spacing w:line="360" w:lineRule="auto"/>
              <w:rPr>
                <w:rFonts w:ascii="Times New Roman" w:hAnsi="Times New Roman" w:cs="Times New Roman"/>
                <w:b/>
                <w:sz w:val="24"/>
                <w:szCs w:val="24"/>
              </w:rPr>
            </w:pPr>
            <w:proofErr w:type="spellStart"/>
            <w:proofErr w:type="gramStart"/>
            <w:r w:rsidRPr="0065442B">
              <w:rPr>
                <w:rFonts w:ascii="Times New Roman" w:hAnsi="Times New Roman" w:cs="Times New Roman"/>
                <w:b/>
                <w:sz w:val="24"/>
                <w:szCs w:val="24"/>
              </w:rPr>
              <w:t>S.No</w:t>
            </w:r>
            <w:proofErr w:type="spellEnd"/>
            <w:proofErr w:type="gramEnd"/>
          </w:p>
        </w:tc>
        <w:tc>
          <w:tcPr>
            <w:tcW w:w="2944" w:type="pct"/>
          </w:tcPr>
          <w:p w14:paraId="5E3FCF38" w14:textId="77777777" w:rsidR="007F452E" w:rsidRPr="0065442B" w:rsidRDefault="007F452E" w:rsidP="00957D30">
            <w:pPr>
              <w:pStyle w:val="NoSpacing"/>
              <w:spacing w:line="360" w:lineRule="auto"/>
              <w:rPr>
                <w:rFonts w:ascii="Times New Roman" w:hAnsi="Times New Roman" w:cs="Times New Roman"/>
                <w:b/>
                <w:sz w:val="24"/>
                <w:szCs w:val="24"/>
              </w:rPr>
            </w:pPr>
            <w:r w:rsidRPr="0065442B">
              <w:rPr>
                <w:rFonts w:ascii="Times New Roman" w:hAnsi="Times New Roman" w:cs="Times New Roman"/>
                <w:b/>
                <w:sz w:val="24"/>
                <w:szCs w:val="24"/>
              </w:rPr>
              <w:t xml:space="preserve">                                                   Statements</w:t>
            </w:r>
          </w:p>
        </w:tc>
        <w:tc>
          <w:tcPr>
            <w:tcW w:w="603" w:type="pct"/>
            <w:vAlign w:val="center"/>
          </w:tcPr>
          <w:p w14:paraId="50FD7860" w14:textId="77777777" w:rsidR="007F452E" w:rsidRPr="0065442B" w:rsidRDefault="007F452E" w:rsidP="00957D30">
            <w:pPr>
              <w:pStyle w:val="NoSpacing"/>
              <w:spacing w:line="360" w:lineRule="auto"/>
              <w:jc w:val="center"/>
              <w:rPr>
                <w:rFonts w:ascii="Times New Roman" w:hAnsi="Times New Roman" w:cs="Times New Roman"/>
                <w:b/>
                <w:sz w:val="24"/>
                <w:szCs w:val="24"/>
              </w:rPr>
            </w:pPr>
            <w:r w:rsidRPr="0065442B">
              <w:rPr>
                <w:rFonts w:ascii="Times New Roman" w:hAnsi="Times New Roman" w:cs="Times New Roman"/>
                <w:b/>
                <w:sz w:val="24"/>
                <w:szCs w:val="24"/>
              </w:rPr>
              <w:t>NA</w:t>
            </w:r>
          </w:p>
        </w:tc>
        <w:tc>
          <w:tcPr>
            <w:tcW w:w="546" w:type="pct"/>
            <w:vAlign w:val="center"/>
          </w:tcPr>
          <w:p w14:paraId="26FFDD55" w14:textId="77777777" w:rsidR="007F452E" w:rsidRPr="0065442B" w:rsidRDefault="007F452E" w:rsidP="00957D30">
            <w:pPr>
              <w:pStyle w:val="NoSpacing"/>
              <w:spacing w:line="360" w:lineRule="auto"/>
              <w:jc w:val="center"/>
              <w:rPr>
                <w:rFonts w:ascii="Times New Roman" w:hAnsi="Times New Roman" w:cs="Times New Roman"/>
                <w:b/>
                <w:sz w:val="24"/>
                <w:szCs w:val="24"/>
              </w:rPr>
            </w:pPr>
            <w:r w:rsidRPr="0065442B">
              <w:rPr>
                <w:rFonts w:ascii="Times New Roman" w:hAnsi="Times New Roman" w:cs="Times New Roman"/>
                <w:b/>
                <w:sz w:val="24"/>
                <w:szCs w:val="24"/>
              </w:rPr>
              <w:t>PA</w:t>
            </w:r>
          </w:p>
        </w:tc>
        <w:tc>
          <w:tcPr>
            <w:tcW w:w="522" w:type="pct"/>
            <w:vAlign w:val="center"/>
          </w:tcPr>
          <w:p w14:paraId="40DAD348" w14:textId="77777777" w:rsidR="007F452E" w:rsidRPr="0065442B" w:rsidRDefault="007F452E" w:rsidP="00957D30">
            <w:pPr>
              <w:pStyle w:val="NoSpacing"/>
              <w:spacing w:line="360" w:lineRule="auto"/>
              <w:jc w:val="center"/>
              <w:rPr>
                <w:rFonts w:ascii="Times New Roman" w:hAnsi="Times New Roman" w:cs="Times New Roman"/>
                <w:b/>
                <w:sz w:val="24"/>
                <w:szCs w:val="24"/>
              </w:rPr>
            </w:pPr>
            <w:r w:rsidRPr="0065442B">
              <w:rPr>
                <w:rFonts w:ascii="Times New Roman" w:hAnsi="Times New Roman" w:cs="Times New Roman"/>
                <w:b/>
                <w:sz w:val="24"/>
                <w:szCs w:val="24"/>
              </w:rPr>
              <w:t>A</w:t>
            </w:r>
          </w:p>
        </w:tc>
      </w:tr>
      <w:tr w:rsidR="007F452E" w:rsidRPr="0065442B" w14:paraId="7A675888" w14:textId="77777777" w:rsidTr="007F452E">
        <w:tc>
          <w:tcPr>
            <w:tcW w:w="5000" w:type="pct"/>
            <w:gridSpan w:val="5"/>
          </w:tcPr>
          <w:p w14:paraId="5978627E"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Harvesting Practices</w:t>
            </w:r>
          </w:p>
        </w:tc>
      </w:tr>
      <w:tr w:rsidR="007F452E" w:rsidRPr="0065442B" w14:paraId="72D511F8" w14:textId="77777777" w:rsidTr="007F452E">
        <w:tc>
          <w:tcPr>
            <w:tcW w:w="385" w:type="pct"/>
          </w:tcPr>
          <w:p w14:paraId="69BC54A9" w14:textId="77777777" w:rsidR="007F452E" w:rsidRPr="0065442B" w:rsidRDefault="007F452E" w:rsidP="00957D30">
            <w:pPr>
              <w:pStyle w:val="NoSpacing"/>
              <w:numPr>
                <w:ilvl w:val="1"/>
                <w:numId w:val="16"/>
              </w:numPr>
              <w:spacing w:line="360" w:lineRule="auto"/>
              <w:rPr>
                <w:rFonts w:ascii="Times New Roman" w:hAnsi="Times New Roman" w:cs="Times New Roman"/>
                <w:sz w:val="24"/>
                <w:szCs w:val="24"/>
              </w:rPr>
            </w:pPr>
          </w:p>
        </w:tc>
        <w:tc>
          <w:tcPr>
            <w:tcW w:w="2944" w:type="pct"/>
          </w:tcPr>
          <w:p w14:paraId="7908CFF3"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Harvesting oilseed crops at the proper maturity stage.</w:t>
            </w:r>
          </w:p>
        </w:tc>
        <w:tc>
          <w:tcPr>
            <w:tcW w:w="603" w:type="pct"/>
            <w:vAlign w:val="center"/>
          </w:tcPr>
          <w:p w14:paraId="621EA771"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 (6.7%)</w:t>
            </w:r>
          </w:p>
        </w:tc>
        <w:tc>
          <w:tcPr>
            <w:tcW w:w="546" w:type="pct"/>
            <w:vAlign w:val="center"/>
          </w:tcPr>
          <w:p w14:paraId="4D0A982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2A7C04E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87 (72.5%)</w:t>
            </w:r>
          </w:p>
        </w:tc>
      </w:tr>
      <w:tr w:rsidR="007F452E" w:rsidRPr="0065442B" w14:paraId="2C98CD2B" w14:textId="77777777" w:rsidTr="007F452E">
        <w:tc>
          <w:tcPr>
            <w:tcW w:w="385" w:type="pct"/>
          </w:tcPr>
          <w:p w14:paraId="731F4130" w14:textId="77777777" w:rsidR="007F452E" w:rsidRPr="0065442B" w:rsidRDefault="007F452E" w:rsidP="00957D30">
            <w:pPr>
              <w:pStyle w:val="NoSpacing"/>
              <w:numPr>
                <w:ilvl w:val="0"/>
                <w:numId w:val="16"/>
              </w:numPr>
              <w:spacing w:line="360" w:lineRule="auto"/>
              <w:rPr>
                <w:rFonts w:ascii="Times New Roman" w:hAnsi="Times New Roman" w:cs="Times New Roman"/>
                <w:sz w:val="24"/>
                <w:szCs w:val="24"/>
              </w:rPr>
            </w:pPr>
          </w:p>
        </w:tc>
        <w:tc>
          <w:tcPr>
            <w:tcW w:w="2944" w:type="pct"/>
          </w:tcPr>
          <w:p w14:paraId="1114D66F"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Separating damaged, diseased, or poor-quality pods/seeds during harvest.</w:t>
            </w:r>
          </w:p>
        </w:tc>
        <w:tc>
          <w:tcPr>
            <w:tcW w:w="603" w:type="pct"/>
            <w:vAlign w:val="center"/>
          </w:tcPr>
          <w:p w14:paraId="67732DDF"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18 (15.0%)</w:t>
            </w:r>
          </w:p>
        </w:tc>
        <w:tc>
          <w:tcPr>
            <w:tcW w:w="546" w:type="pct"/>
            <w:vAlign w:val="center"/>
          </w:tcPr>
          <w:p w14:paraId="48B3C424"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c>
          <w:tcPr>
            <w:tcW w:w="522" w:type="pct"/>
            <w:vAlign w:val="center"/>
          </w:tcPr>
          <w:p w14:paraId="337863C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7F452E" w:rsidRPr="0065442B" w14:paraId="23024DA0" w14:textId="77777777" w:rsidTr="007F452E">
        <w:tc>
          <w:tcPr>
            <w:tcW w:w="385" w:type="pct"/>
          </w:tcPr>
          <w:p w14:paraId="7D03B878" w14:textId="77777777" w:rsidR="007F452E" w:rsidRPr="0065442B" w:rsidRDefault="007F452E" w:rsidP="00957D30">
            <w:pPr>
              <w:pStyle w:val="NoSpacing"/>
              <w:numPr>
                <w:ilvl w:val="0"/>
                <w:numId w:val="16"/>
              </w:numPr>
              <w:spacing w:line="360" w:lineRule="auto"/>
              <w:rPr>
                <w:rFonts w:ascii="Times New Roman" w:hAnsi="Times New Roman" w:cs="Times New Roman"/>
                <w:sz w:val="24"/>
                <w:szCs w:val="24"/>
              </w:rPr>
            </w:pPr>
          </w:p>
        </w:tc>
        <w:tc>
          <w:tcPr>
            <w:tcW w:w="2944" w:type="pct"/>
          </w:tcPr>
          <w:p w14:paraId="12C8C93C"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Using appropriate harvesting tools or machines to reduce losses.</w:t>
            </w:r>
          </w:p>
        </w:tc>
        <w:tc>
          <w:tcPr>
            <w:tcW w:w="603" w:type="pct"/>
            <w:vAlign w:val="center"/>
          </w:tcPr>
          <w:p w14:paraId="3BDCBD2B"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46" w:type="pct"/>
            <w:vAlign w:val="center"/>
          </w:tcPr>
          <w:p w14:paraId="1E51E135"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463965C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7F452E" w:rsidRPr="0065442B" w14:paraId="779C6097" w14:textId="77777777" w:rsidTr="007F452E">
        <w:tc>
          <w:tcPr>
            <w:tcW w:w="385" w:type="pct"/>
          </w:tcPr>
          <w:p w14:paraId="2A68ADCC" w14:textId="77777777" w:rsidR="007F452E" w:rsidRPr="0065442B" w:rsidRDefault="007F452E" w:rsidP="00957D30">
            <w:pPr>
              <w:pStyle w:val="NoSpacing"/>
              <w:numPr>
                <w:ilvl w:val="0"/>
                <w:numId w:val="16"/>
              </w:numPr>
              <w:spacing w:line="360" w:lineRule="auto"/>
              <w:rPr>
                <w:rFonts w:ascii="Times New Roman" w:hAnsi="Times New Roman" w:cs="Times New Roman"/>
                <w:sz w:val="24"/>
                <w:szCs w:val="24"/>
              </w:rPr>
            </w:pPr>
          </w:p>
        </w:tc>
        <w:tc>
          <w:tcPr>
            <w:tcW w:w="2944" w:type="pct"/>
          </w:tcPr>
          <w:p w14:paraId="0CE02735"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Threshing Practices</w:t>
            </w:r>
          </w:p>
        </w:tc>
        <w:tc>
          <w:tcPr>
            <w:tcW w:w="603" w:type="pct"/>
          </w:tcPr>
          <w:p w14:paraId="0E4CC34B" w14:textId="77777777" w:rsidR="007F452E" w:rsidRPr="0065442B" w:rsidRDefault="007F452E" w:rsidP="00957D30">
            <w:pPr>
              <w:pStyle w:val="NoSpacing"/>
              <w:spacing w:line="360" w:lineRule="auto"/>
              <w:rPr>
                <w:rFonts w:ascii="Times New Roman" w:hAnsi="Times New Roman" w:cs="Times New Roman"/>
                <w:sz w:val="24"/>
                <w:szCs w:val="24"/>
              </w:rPr>
            </w:pPr>
          </w:p>
        </w:tc>
        <w:tc>
          <w:tcPr>
            <w:tcW w:w="546" w:type="pct"/>
          </w:tcPr>
          <w:p w14:paraId="31ECE013" w14:textId="77777777" w:rsidR="007F452E" w:rsidRPr="0065442B" w:rsidRDefault="007F452E" w:rsidP="00957D30">
            <w:pPr>
              <w:pStyle w:val="NoSpacing"/>
              <w:spacing w:line="360" w:lineRule="auto"/>
              <w:rPr>
                <w:rFonts w:ascii="Times New Roman" w:hAnsi="Times New Roman" w:cs="Times New Roman"/>
                <w:sz w:val="24"/>
                <w:szCs w:val="24"/>
              </w:rPr>
            </w:pPr>
          </w:p>
        </w:tc>
        <w:tc>
          <w:tcPr>
            <w:tcW w:w="522" w:type="pct"/>
          </w:tcPr>
          <w:p w14:paraId="675D0BD9" w14:textId="77777777" w:rsidR="007F452E" w:rsidRPr="0065442B" w:rsidRDefault="007F452E" w:rsidP="00957D30">
            <w:pPr>
              <w:pStyle w:val="NoSpacing"/>
              <w:spacing w:line="360" w:lineRule="auto"/>
              <w:rPr>
                <w:rFonts w:ascii="Times New Roman" w:hAnsi="Times New Roman" w:cs="Times New Roman"/>
                <w:sz w:val="24"/>
                <w:szCs w:val="24"/>
              </w:rPr>
            </w:pPr>
          </w:p>
        </w:tc>
      </w:tr>
      <w:tr w:rsidR="007F452E" w:rsidRPr="0065442B" w14:paraId="675A0B6F" w14:textId="77777777" w:rsidTr="007F452E">
        <w:tc>
          <w:tcPr>
            <w:tcW w:w="385" w:type="pct"/>
          </w:tcPr>
          <w:p w14:paraId="45327C1D" w14:textId="77777777" w:rsidR="007F452E" w:rsidRPr="0065442B" w:rsidRDefault="007F452E" w:rsidP="00957D30">
            <w:pPr>
              <w:pStyle w:val="NoSpacing"/>
              <w:numPr>
                <w:ilvl w:val="0"/>
                <w:numId w:val="16"/>
              </w:numPr>
              <w:spacing w:line="360" w:lineRule="auto"/>
              <w:rPr>
                <w:rFonts w:ascii="Times New Roman" w:hAnsi="Times New Roman" w:cs="Times New Roman"/>
                <w:sz w:val="24"/>
                <w:szCs w:val="24"/>
              </w:rPr>
            </w:pPr>
          </w:p>
        </w:tc>
        <w:tc>
          <w:tcPr>
            <w:tcW w:w="2944" w:type="pct"/>
          </w:tcPr>
          <w:p w14:paraId="3CD036BB"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Using suitable threshing methods (manual, mechanical, or animal-powered).</w:t>
            </w:r>
          </w:p>
        </w:tc>
        <w:tc>
          <w:tcPr>
            <w:tcW w:w="603" w:type="pct"/>
            <w:vAlign w:val="center"/>
          </w:tcPr>
          <w:p w14:paraId="1AD087BE"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20 (16.7%)</w:t>
            </w:r>
          </w:p>
        </w:tc>
        <w:tc>
          <w:tcPr>
            <w:tcW w:w="546" w:type="pct"/>
            <w:vAlign w:val="center"/>
          </w:tcPr>
          <w:p w14:paraId="4CF4356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4FB17ECB"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72 (60.0%)</w:t>
            </w:r>
          </w:p>
        </w:tc>
      </w:tr>
      <w:tr w:rsidR="007F452E" w:rsidRPr="0065442B" w14:paraId="03CC8997" w14:textId="77777777" w:rsidTr="007F452E">
        <w:tc>
          <w:tcPr>
            <w:tcW w:w="385" w:type="pct"/>
          </w:tcPr>
          <w:p w14:paraId="04758B6D" w14:textId="77777777" w:rsidR="007F452E" w:rsidRPr="0065442B" w:rsidRDefault="007F452E" w:rsidP="00957D30">
            <w:pPr>
              <w:pStyle w:val="NoSpacing"/>
              <w:numPr>
                <w:ilvl w:val="0"/>
                <w:numId w:val="16"/>
              </w:numPr>
              <w:spacing w:line="360" w:lineRule="auto"/>
              <w:rPr>
                <w:rFonts w:ascii="Times New Roman" w:hAnsi="Times New Roman" w:cs="Times New Roman"/>
                <w:sz w:val="24"/>
                <w:szCs w:val="24"/>
              </w:rPr>
            </w:pPr>
          </w:p>
        </w:tc>
        <w:tc>
          <w:tcPr>
            <w:tcW w:w="2944" w:type="pct"/>
          </w:tcPr>
          <w:p w14:paraId="2C728FDE"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 xml:space="preserve">Cleaning and winnowing seeds after threshing to </w:t>
            </w:r>
            <w:r w:rsidRPr="0065442B">
              <w:rPr>
                <w:rFonts w:ascii="Times New Roman" w:hAnsi="Times New Roman" w:cs="Times New Roman"/>
                <w:sz w:val="24"/>
                <w:szCs w:val="24"/>
              </w:rPr>
              <w:lastRenderedPageBreak/>
              <w:t>remove impurities.</w:t>
            </w:r>
          </w:p>
        </w:tc>
        <w:tc>
          <w:tcPr>
            <w:tcW w:w="603" w:type="pct"/>
            <w:vAlign w:val="center"/>
          </w:tcPr>
          <w:p w14:paraId="42060520"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lastRenderedPageBreak/>
              <w:t xml:space="preserve">15 </w:t>
            </w:r>
            <w:r w:rsidRPr="0065442B">
              <w:rPr>
                <w:rFonts w:ascii="Times New Roman" w:eastAsia="Times New Roman" w:hAnsi="Times New Roman" w:cs="Times New Roman"/>
                <w:sz w:val="24"/>
                <w:szCs w:val="24"/>
              </w:rPr>
              <w:lastRenderedPageBreak/>
              <w:t>(12.5%)</w:t>
            </w:r>
          </w:p>
        </w:tc>
        <w:tc>
          <w:tcPr>
            <w:tcW w:w="546" w:type="pct"/>
            <w:vAlign w:val="center"/>
          </w:tcPr>
          <w:p w14:paraId="7BFF6F6B"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lastRenderedPageBreak/>
              <w:t xml:space="preserve">30 </w:t>
            </w:r>
            <w:r w:rsidRPr="0065442B">
              <w:rPr>
                <w:rFonts w:ascii="Times New Roman" w:eastAsia="Times New Roman" w:hAnsi="Times New Roman" w:cs="Times New Roman"/>
                <w:sz w:val="24"/>
                <w:szCs w:val="24"/>
              </w:rPr>
              <w:lastRenderedPageBreak/>
              <w:t>(25.0%)</w:t>
            </w:r>
          </w:p>
        </w:tc>
        <w:tc>
          <w:tcPr>
            <w:tcW w:w="522" w:type="pct"/>
            <w:vAlign w:val="center"/>
          </w:tcPr>
          <w:p w14:paraId="11625110"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lastRenderedPageBreak/>
              <w:t xml:space="preserve">75 </w:t>
            </w:r>
            <w:r w:rsidRPr="0065442B">
              <w:rPr>
                <w:rFonts w:ascii="Times New Roman" w:eastAsia="Times New Roman" w:hAnsi="Times New Roman" w:cs="Times New Roman"/>
                <w:sz w:val="24"/>
                <w:szCs w:val="24"/>
              </w:rPr>
              <w:lastRenderedPageBreak/>
              <w:t>(62.5%)</w:t>
            </w:r>
          </w:p>
        </w:tc>
      </w:tr>
      <w:tr w:rsidR="007F452E" w:rsidRPr="0065442B" w14:paraId="67DED22A" w14:textId="77777777" w:rsidTr="007F452E">
        <w:tc>
          <w:tcPr>
            <w:tcW w:w="5000" w:type="pct"/>
            <w:gridSpan w:val="5"/>
          </w:tcPr>
          <w:p w14:paraId="58C710DD"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lastRenderedPageBreak/>
              <w:t xml:space="preserve"> Drying Practices</w:t>
            </w:r>
          </w:p>
        </w:tc>
      </w:tr>
      <w:tr w:rsidR="007F452E" w:rsidRPr="0065442B" w14:paraId="38AB2812" w14:textId="77777777" w:rsidTr="007F452E">
        <w:tc>
          <w:tcPr>
            <w:tcW w:w="385" w:type="pct"/>
          </w:tcPr>
          <w:p w14:paraId="6A3173F7" w14:textId="77777777" w:rsidR="007F452E" w:rsidRPr="0065442B" w:rsidRDefault="007F452E" w:rsidP="00957D30">
            <w:pPr>
              <w:pStyle w:val="NoSpacing"/>
              <w:numPr>
                <w:ilvl w:val="0"/>
                <w:numId w:val="17"/>
              </w:numPr>
              <w:spacing w:line="360" w:lineRule="auto"/>
              <w:rPr>
                <w:rFonts w:ascii="Times New Roman" w:hAnsi="Times New Roman" w:cs="Times New Roman"/>
                <w:sz w:val="24"/>
                <w:szCs w:val="24"/>
              </w:rPr>
            </w:pPr>
          </w:p>
        </w:tc>
        <w:tc>
          <w:tcPr>
            <w:tcW w:w="2944" w:type="pct"/>
          </w:tcPr>
          <w:p w14:paraId="063ABB5A"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Drying seeds properly using sun, mechanical, or mixed methods.</w:t>
            </w:r>
          </w:p>
        </w:tc>
        <w:tc>
          <w:tcPr>
            <w:tcW w:w="603" w:type="pct"/>
            <w:vAlign w:val="center"/>
          </w:tcPr>
          <w:p w14:paraId="16321F66"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10 (8.3%)</w:t>
            </w:r>
          </w:p>
        </w:tc>
        <w:tc>
          <w:tcPr>
            <w:tcW w:w="546" w:type="pct"/>
            <w:vAlign w:val="center"/>
          </w:tcPr>
          <w:p w14:paraId="1BEB4C45"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22" w:type="pct"/>
            <w:vAlign w:val="center"/>
          </w:tcPr>
          <w:p w14:paraId="2CD9C01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88 (73.3%)</w:t>
            </w:r>
          </w:p>
        </w:tc>
      </w:tr>
      <w:tr w:rsidR="007F452E" w:rsidRPr="0065442B" w14:paraId="36911296" w14:textId="77777777" w:rsidTr="007F452E">
        <w:tc>
          <w:tcPr>
            <w:tcW w:w="385" w:type="pct"/>
          </w:tcPr>
          <w:p w14:paraId="192CFBBB" w14:textId="77777777" w:rsidR="007F452E" w:rsidRPr="0065442B" w:rsidRDefault="007F452E" w:rsidP="00957D30">
            <w:pPr>
              <w:pStyle w:val="NoSpacing"/>
              <w:numPr>
                <w:ilvl w:val="0"/>
                <w:numId w:val="17"/>
              </w:numPr>
              <w:spacing w:line="360" w:lineRule="auto"/>
              <w:rPr>
                <w:rFonts w:ascii="Times New Roman" w:hAnsi="Times New Roman" w:cs="Times New Roman"/>
                <w:sz w:val="24"/>
                <w:szCs w:val="24"/>
              </w:rPr>
            </w:pPr>
          </w:p>
        </w:tc>
        <w:tc>
          <w:tcPr>
            <w:tcW w:w="2944" w:type="pct"/>
          </w:tcPr>
          <w:p w14:paraId="6DC1E975"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Checking and controlling seed moisture before storage.</w:t>
            </w:r>
          </w:p>
        </w:tc>
        <w:tc>
          <w:tcPr>
            <w:tcW w:w="603" w:type="pct"/>
            <w:vAlign w:val="center"/>
          </w:tcPr>
          <w:p w14:paraId="43261402"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26DA56C9"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22" w:type="pct"/>
            <w:vAlign w:val="center"/>
          </w:tcPr>
          <w:p w14:paraId="2140307E"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r>
      <w:tr w:rsidR="007F452E" w:rsidRPr="0065442B" w14:paraId="16478CAA" w14:textId="77777777" w:rsidTr="007F452E">
        <w:tc>
          <w:tcPr>
            <w:tcW w:w="5000" w:type="pct"/>
            <w:gridSpan w:val="5"/>
          </w:tcPr>
          <w:p w14:paraId="7682E2E6"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Storage Practices</w:t>
            </w:r>
          </w:p>
        </w:tc>
      </w:tr>
      <w:tr w:rsidR="007F452E" w:rsidRPr="0065442B" w14:paraId="67EB1C98" w14:textId="77777777" w:rsidTr="007F452E">
        <w:tc>
          <w:tcPr>
            <w:tcW w:w="385" w:type="pct"/>
          </w:tcPr>
          <w:p w14:paraId="51EC1A04" w14:textId="77777777" w:rsidR="007F452E" w:rsidRPr="0065442B" w:rsidRDefault="007F452E" w:rsidP="00957D30">
            <w:pPr>
              <w:pStyle w:val="NoSpacing"/>
              <w:numPr>
                <w:ilvl w:val="0"/>
                <w:numId w:val="18"/>
              </w:numPr>
              <w:spacing w:line="360" w:lineRule="auto"/>
              <w:rPr>
                <w:rFonts w:ascii="Times New Roman" w:hAnsi="Times New Roman" w:cs="Times New Roman"/>
                <w:sz w:val="24"/>
                <w:szCs w:val="24"/>
              </w:rPr>
            </w:pPr>
          </w:p>
        </w:tc>
        <w:tc>
          <w:tcPr>
            <w:tcW w:w="2944" w:type="pct"/>
          </w:tcPr>
          <w:p w14:paraId="69AEF77F"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Storing seeds in recommended containers such as hermetic bags, silos, bins, or treated sacks.</w:t>
            </w:r>
          </w:p>
        </w:tc>
        <w:tc>
          <w:tcPr>
            <w:tcW w:w="603" w:type="pct"/>
            <w:vAlign w:val="center"/>
          </w:tcPr>
          <w:p w14:paraId="7859C07D"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263A7732"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22" w:type="pct"/>
            <w:vAlign w:val="center"/>
          </w:tcPr>
          <w:p w14:paraId="2BFB6F5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44 (36.7%)</w:t>
            </w:r>
          </w:p>
        </w:tc>
      </w:tr>
      <w:tr w:rsidR="007F452E" w:rsidRPr="0065442B" w14:paraId="304B0418" w14:textId="77777777" w:rsidTr="007F452E">
        <w:tc>
          <w:tcPr>
            <w:tcW w:w="385" w:type="pct"/>
          </w:tcPr>
          <w:p w14:paraId="41B4D1B4" w14:textId="77777777" w:rsidR="007F452E" w:rsidRPr="0065442B" w:rsidRDefault="007F452E" w:rsidP="00957D30">
            <w:pPr>
              <w:pStyle w:val="NoSpacing"/>
              <w:numPr>
                <w:ilvl w:val="0"/>
                <w:numId w:val="18"/>
              </w:numPr>
              <w:spacing w:line="360" w:lineRule="auto"/>
              <w:rPr>
                <w:rFonts w:ascii="Times New Roman" w:hAnsi="Times New Roman" w:cs="Times New Roman"/>
                <w:sz w:val="24"/>
                <w:szCs w:val="24"/>
              </w:rPr>
            </w:pPr>
          </w:p>
        </w:tc>
        <w:tc>
          <w:tcPr>
            <w:tcW w:w="2944" w:type="pct"/>
          </w:tcPr>
          <w:p w14:paraId="50DDC21A"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Controlling pests and rodents and monitoring temperature and humidity in storage.</w:t>
            </w:r>
          </w:p>
        </w:tc>
        <w:tc>
          <w:tcPr>
            <w:tcW w:w="603" w:type="pct"/>
            <w:vAlign w:val="center"/>
          </w:tcPr>
          <w:p w14:paraId="666C45DF"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27 (22.5%)</w:t>
            </w:r>
          </w:p>
        </w:tc>
        <w:tc>
          <w:tcPr>
            <w:tcW w:w="546" w:type="pct"/>
            <w:vAlign w:val="center"/>
          </w:tcPr>
          <w:p w14:paraId="62C16176"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55 (45.8%)</w:t>
            </w:r>
          </w:p>
        </w:tc>
        <w:tc>
          <w:tcPr>
            <w:tcW w:w="522" w:type="pct"/>
            <w:vAlign w:val="center"/>
          </w:tcPr>
          <w:p w14:paraId="2FC4E9D3"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7F452E" w:rsidRPr="0065442B" w14:paraId="291AD531" w14:textId="77777777" w:rsidTr="007F452E">
        <w:tc>
          <w:tcPr>
            <w:tcW w:w="385" w:type="pct"/>
          </w:tcPr>
          <w:p w14:paraId="48E8C849" w14:textId="77777777" w:rsidR="007F452E" w:rsidRPr="0065442B" w:rsidRDefault="007F452E" w:rsidP="00957D30">
            <w:pPr>
              <w:pStyle w:val="NoSpacing"/>
              <w:numPr>
                <w:ilvl w:val="0"/>
                <w:numId w:val="18"/>
              </w:numPr>
              <w:spacing w:line="360" w:lineRule="auto"/>
              <w:rPr>
                <w:rFonts w:ascii="Times New Roman" w:hAnsi="Times New Roman" w:cs="Times New Roman"/>
                <w:sz w:val="24"/>
                <w:szCs w:val="24"/>
              </w:rPr>
            </w:pPr>
          </w:p>
        </w:tc>
        <w:tc>
          <w:tcPr>
            <w:tcW w:w="2944" w:type="pct"/>
          </w:tcPr>
          <w:p w14:paraId="255881DF"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Organizing storage and rotating stock to reduce losses.</w:t>
            </w:r>
          </w:p>
        </w:tc>
        <w:tc>
          <w:tcPr>
            <w:tcW w:w="603" w:type="pct"/>
            <w:vAlign w:val="center"/>
          </w:tcPr>
          <w:p w14:paraId="4F7B0A53"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3E47E27A"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c>
          <w:tcPr>
            <w:tcW w:w="522" w:type="pct"/>
            <w:vAlign w:val="center"/>
          </w:tcPr>
          <w:p w14:paraId="66C8315E"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7F452E" w:rsidRPr="0065442B" w14:paraId="6DF45333" w14:textId="77777777" w:rsidTr="007F452E">
        <w:tc>
          <w:tcPr>
            <w:tcW w:w="5000" w:type="pct"/>
            <w:gridSpan w:val="5"/>
          </w:tcPr>
          <w:p w14:paraId="05717DD0"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Value Addition Practices</w:t>
            </w:r>
          </w:p>
        </w:tc>
      </w:tr>
      <w:tr w:rsidR="007F452E" w:rsidRPr="0065442B" w14:paraId="721CDF9A" w14:textId="77777777" w:rsidTr="007F452E">
        <w:tc>
          <w:tcPr>
            <w:tcW w:w="385" w:type="pct"/>
          </w:tcPr>
          <w:p w14:paraId="5128C609" w14:textId="77777777" w:rsidR="007F452E" w:rsidRPr="0065442B" w:rsidRDefault="007F452E" w:rsidP="00957D30">
            <w:pPr>
              <w:pStyle w:val="NoSpacing"/>
              <w:numPr>
                <w:ilvl w:val="0"/>
                <w:numId w:val="19"/>
              </w:numPr>
              <w:spacing w:line="360" w:lineRule="auto"/>
              <w:rPr>
                <w:rFonts w:ascii="Times New Roman" w:hAnsi="Times New Roman" w:cs="Times New Roman"/>
                <w:sz w:val="24"/>
                <w:szCs w:val="24"/>
              </w:rPr>
            </w:pPr>
          </w:p>
        </w:tc>
        <w:tc>
          <w:tcPr>
            <w:tcW w:w="2944" w:type="pct"/>
          </w:tcPr>
          <w:p w14:paraId="24422083"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Extracting oil using approved methods (cold press, expeller, or solvent extraction).</w:t>
            </w:r>
          </w:p>
        </w:tc>
        <w:tc>
          <w:tcPr>
            <w:tcW w:w="603" w:type="pct"/>
            <w:vAlign w:val="center"/>
          </w:tcPr>
          <w:p w14:paraId="17E601E2"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46" w:type="pct"/>
            <w:vAlign w:val="center"/>
          </w:tcPr>
          <w:p w14:paraId="6DE2E8BB"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c>
          <w:tcPr>
            <w:tcW w:w="522" w:type="pct"/>
            <w:vAlign w:val="center"/>
          </w:tcPr>
          <w:p w14:paraId="35073F8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7F452E" w:rsidRPr="0065442B" w14:paraId="017A39E2" w14:textId="77777777" w:rsidTr="007F452E">
        <w:tc>
          <w:tcPr>
            <w:tcW w:w="385" w:type="pct"/>
          </w:tcPr>
          <w:p w14:paraId="58BB14AC" w14:textId="77777777" w:rsidR="007F452E" w:rsidRPr="0065442B" w:rsidRDefault="007F452E" w:rsidP="00957D30">
            <w:pPr>
              <w:pStyle w:val="NoSpacing"/>
              <w:numPr>
                <w:ilvl w:val="0"/>
                <w:numId w:val="19"/>
              </w:numPr>
              <w:spacing w:line="360" w:lineRule="auto"/>
              <w:rPr>
                <w:rFonts w:ascii="Times New Roman" w:hAnsi="Times New Roman" w:cs="Times New Roman"/>
                <w:sz w:val="24"/>
                <w:szCs w:val="24"/>
              </w:rPr>
            </w:pPr>
          </w:p>
        </w:tc>
        <w:tc>
          <w:tcPr>
            <w:tcW w:w="2944" w:type="pct"/>
          </w:tcPr>
          <w:p w14:paraId="1C1502E6"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Processing seeds by dehulling, roasting, or making meal/cake.</w:t>
            </w:r>
          </w:p>
        </w:tc>
        <w:tc>
          <w:tcPr>
            <w:tcW w:w="603" w:type="pct"/>
            <w:vAlign w:val="center"/>
          </w:tcPr>
          <w:p w14:paraId="6D1CE10F"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47 (39.1%)</w:t>
            </w:r>
          </w:p>
        </w:tc>
        <w:tc>
          <w:tcPr>
            <w:tcW w:w="546" w:type="pct"/>
            <w:vAlign w:val="center"/>
          </w:tcPr>
          <w:p w14:paraId="07F2DC70"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22" w:type="pct"/>
            <w:vAlign w:val="center"/>
          </w:tcPr>
          <w:p w14:paraId="0AFF5C0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7F452E" w:rsidRPr="0065442B" w14:paraId="59B93055" w14:textId="77777777" w:rsidTr="007F452E">
        <w:tc>
          <w:tcPr>
            <w:tcW w:w="385" w:type="pct"/>
          </w:tcPr>
          <w:p w14:paraId="490B5590" w14:textId="77777777" w:rsidR="007F452E" w:rsidRPr="0065442B" w:rsidRDefault="007F452E" w:rsidP="00957D30">
            <w:pPr>
              <w:pStyle w:val="NoSpacing"/>
              <w:numPr>
                <w:ilvl w:val="0"/>
                <w:numId w:val="19"/>
              </w:numPr>
              <w:spacing w:line="360" w:lineRule="auto"/>
              <w:rPr>
                <w:rFonts w:ascii="Times New Roman" w:hAnsi="Times New Roman" w:cs="Times New Roman"/>
                <w:sz w:val="24"/>
                <w:szCs w:val="24"/>
              </w:rPr>
            </w:pPr>
          </w:p>
        </w:tc>
        <w:tc>
          <w:tcPr>
            <w:tcW w:w="2944" w:type="pct"/>
          </w:tcPr>
          <w:p w14:paraId="52DE5393"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Packaging, labeling, and storing processed products properly for sale.</w:t>
            </w:r>
          </w:p>
        </w:tc>
        <w:tc>
          <w:tcPr>
            <w:tcW w:w="603" w:type="pct"/>
            <w:vAlign w:val="center"/>
          </w:tcPr>
          <w:p w14:paraId="363900AD"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46" w:type="pct"/>
            <w:vAlign w:val="center"/>
          </w:tcPr>
          <w:p w14:paraId="43DBB142"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c>
          <w:tcPr>
            <w:tcW w:w="522" w:type="pct"/>
            <w:vAlign w:val="center"/>
          </w:tcPr>
          <w:p w14:paraId="5E2C049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r>
      <w:tr w:rsidR="007F452E" w:rsidRPr="0065442B" w14:paraId="3A01B8DA" w14:textId="77777777" w:rsidTr="007F452E">
        <w:tc>
          <w:tcPr>
            <w:tcW w:w="5000" w:type="pct"/>
            <w:gridSpan w:val="5"/>
          </w:tcPr>
          <w:p w14:paraId="3080030C"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Quality &amp; Safety Practices</w:t>
            </w:r>
          </w:p>
        </w:tc>
      </w:tr>
      <w:tr w:rsidR="007F452E" w:rsidRPr="0065442B" w14:paraId="4FCFB978" w14:textId="77777777" w:rsidTr="007F452E">
        <w:tc>
          <w:tcPr>
            <w:tcW w:w="385" w:type="pct"/>
          </w:tcPr>
          <w:p w14:paraId="6F1D66B3" w14:textId="77777777" w:rsidR="007F452E" w:rsidRPr="0065442B" w:rsidRDefault="007F452E" w:rsidP="00957D30">
            <w:pPr>
              <w:pStyle w:val="NoSpacing"/>
              <w:numPr>
                <w:ilvl w:val="0"/>
                <w:numId w:val="20"/>
              </w:numPr>
              <w:spacing w:line="360" w:lineRule="auto"/>
              <w:rPr>
                <w:rFonts w:ascii="Times New Roman" w:hAnsi="Times New Roman" w:cs="Times New Roman"/>
                <w:sz w:val="24"/>
                <w:szCs w:val="24"/>
              </w:rPr>
            </w:pPr>
          </w:p>
        </w:tc>
        <w:tc>
          <w:tcPr>
            <w:tcW w:w="2944" w:type="pct"/>
          </w:tcPr>
          <w:p w14:paraId="55F9C342"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Using preservatives or antifungal treatments when needed.</w:t>
            </w:r>
          </w:p>
        </w:tc>
        <w:tc>
          <w:tcPr>
            <w:tcW w:w="603" w:type="pct"/>
            <w:vAlign w:val="center"/>
          </w:tcPr>
          <w:p w14:paraId="69C499E9"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54 (45.0%)</w:t>
            </w:r>
          </w:p>
        </w:tc>
        <w:tc>
          <w:tcPr>
            <w:tcW w:w="546" w:type="pct"/>
            <w:vAlign w:val="center"/>
          </w:tcPr>
          <w:p w14:paraId="36515ECE"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c>
          <w:tcPr>
            <w:tcW w:w="522" w:type="pct"/>
            <w:vAlign w:val="center"/>
          </w:tcPr>
          <w:p w14:paraId="6AAED289"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r>
      <w:tr w:rsidR="007F452E" w:rsidRPr="0065442B" w14:paraId="232D0777" w14:textId="77777777" w:rsidTr="007F452E">
        <w:tc>
          <w:tcPr>
            <w:tcW w:w="385" w:type="pct"/>
          </w:tcPr>
          <w:p w14:paraId="6F0B196A" w14:textId="77777777" w:rsidR="007F452E" w:rsidRPr="0065442B" w:rsidRDefault="007F452E" w:rsidP="00957D30">
            <w:pPr>
              <w:pStyle w:val="NoSpacing"/>
              <w:numPr>
                <w:ilvl w:val="0"/>
                <w:numId w:val="20"/>
              </w:numPr>
              <w:spacing w:line="360" w:lineRule="auto"/>
              <w:rPr>
                <w:rFonts w:ascii="Times New Roman" w:hAnsi="Times New Roman" w:cs="Times New Roman"/>
                <w:sz w:val="24"/>
                <w:szCs w:val="24"/>
              </w:rPr>
            </w:pPr>
          </w:p>
        </w:tc>
        <w:tc>
          <w:tcPr>
            <w:tcW w:w="2944" w:type="pct"/>
          </w:tcPr>
          <w:p w14:paraId="17DAFC22"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Checking seed quality and germination before selling.</w:t>
            </w:r>
          </w:p>
        </w:tc>
        <w:tc>
          <w:tcPr>
            <w:tcW w:w="603" w:type="pct"/>
            <w:vAlign w:val="center"/>
          </w:tcPr>
          <w:p w14:paraId="47076B4F"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37 (30.8%)</w:t>
            </w:r>
          </w:p>
        </w:tc>
        <w:tc>
          <w:tcPr>
            <w:tcW w:w="546" w:type="pct"/>
            <w:vAlign w:val="center"/>
          </w:tcPr>
          <w:p w14:paraId="02AC9011"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33 (27.5%)</w:t>
            </w:r>
          </w:p>
        </w:tc>
        <w:tc>
          <w:tcPr>
            <w:tcW w:w="522" w:type="pct"/>
            <w:vAlign w:val="center"/>
          </w:tcPr>
          <w:p w14:paraId="311F91E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7F452E" w:rsidRPr="0065442B" w14:paraId="150E603F" w14:textId="77777777" w:rsidTr="007F452E">
        <w:tc>
          <w:tcPr>
            <w:tcW w:w="5000" w:type="pct"/>
            <w:gridSpan w:val="5"/>
          </w:tcPr>
          <w:p w14:paraId="118421B9"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Transportation &amp; Marketing Practices</w:t>
            </w:r>
          </w:p>
        </w:tc>
      </w:tr>
      <w:tr w:rsidR="007F452E" w:rsidRPr="0065442B" w14:paraId="39D91F56" w14:textId="77777777" w:rsidTr="007F452E">
        <w:tc>
          <w:tcPr>
            <w:tcW w:w="385" w:type="pct"/>
          </w:tcPr>
          <w:p w14:paraId="638F008A" w14:textId="77777777" w:rsidR="007F452E" w:rsidRPr="0065442B" w:rsidRDefault="007F452E" w:rsidP="00957D30">
            <w:pPr>
              <w:pStyle w:val="NoSpacing"/>
              <w:numPr>
                <w:ilvl w:val="0"/>
                <w:numId w:val="21"/>
              </w:numPr>
              <w:spacing w:line="360" w:lineRule="auto"/>
              <w:rPr>
                <w:rFonts w:ascii="Times New Roman" w:hAnsi="Times New Roman" w:cs="Times New Roman"/>
                <w:sz w:val="24"/>
                <w:szCs w:val="24"/>
              </w:rPr>
            </w:pPr>
          </w:p>
        </w:tc>
        <w:tc>
          <w:tcPr>
            <w:tcW w:w="2944" w:type="pct"/>
          </w:tcPr>
          <w:p w14:paraId="00149C0F"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Transporting seeds carefully to avoid loss or damage.</w:t>
            </w:r>
          </w:p>
        </w:tc>
        <w:tc>
          <w:tcPr>
            <w:tcW w:w="603" w:type="pct"/>
            <w:vAlign w:val="center"/>
          </w:tcPr>
          <w:p w14:paraId="31B38A79"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46" w:type="pct"/>
            <w:vAlign w:val="center"/>
          </w:tcPr>
          <w:p w14:paraId="4FD3FF14"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12ED6F72"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7F452E" w:rsidRPr="0065442B" w14:paraId="03DE889F" w14:textId="77777777" w:rsidTr="007F452E">
        <w:tc>
          <w:tcPr>
            <w:tcW w:w="385" w:type="pct"/>
          </w:tcPr>
          <w:p w14:paraId="5994058D" w14:textId="77777777" w:rsidR="007F452E" w:rsidRPr="0065442B" w:rsidRDefault="007F452E" w:rsidP="00957D30">
            <w:pPr>
              <w:pStyle w:val="NoSpacing"/>
              <w:numPr>
                <w:ilvl w:val="0"/>
                <w:numId w:val="21"/>
              </w:numPr>
              <w:spacing w:line="360" w:lineRule="auto"/>
              <w:rPr>
                <w:rFonts w:ascii="Times New Roman" w:hAnsi="Times New Roman" w:cs="Times New Roman"/>
                <w:sz w:val="24"/>
                <w:szCs w:val="24"/>
              </w:rPr>
            </w:pPr>
          </w:p>
        </w:tc>
        <w:tc>
          <w:tcPr>
            <w:tcW w:w="2944" w:type="pct"/>
          </w:tcPr>
          <w:p w14:paraId="1EA5CDDD"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Sorting and grading seeds before selling to ensure quality.</w:t>
            </w:r>
          </w:p>
        </w:tc>
        <w:tc>
          <w:tcPr>
            <w:tcW w:w="603" w:type="pct"/>
            <w:vAlign w:val="center"/>
          </w:tcPr>
          <w:p w14:paraId="59D75061"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46" w:type="pct"/>
            <w:vAlign w:val="center"/>
          </w:tcPr>
          <w:p w14:paraId="343382D0"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22" w:type="pct"/>
            <w:vAlign w:val="center"/>
          </w:tcPr>
          <w:p w14:paraId="372E3CC8"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r>
      <w:tr w:rsidR="007F452E" w:rsidRPr="0065442B" w14:paraId="2E12F984" w14:textId="77777777" w:rsidTr="007F452E">
        <w:tc>
          <w:tcPr>
            <w:tcW w:w="5000" w:type="pct"/>
            <w:gridSpan w:val="5"/>
          </w:tcPr>
          <w:p w14:paraId="0B2BE593"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Style w:val="Strong"/>
                <w:rFonts w:ascii="Times New Roman" w:hAnsi="Times New Roman" w:cs="Times New Roman"/>
                <w:b w:val="0"/>
                <w:sz w:val="24"/>
                <w:szCs w:val="24"/>
              </w:rPr>
              <w:lastRenderedPageBreak/>
              <w:t xml:space="preserve"> Digital &amp; Monitoring Practices</w:t>
            </w:r>
          </w:p>
        </w:tc>
      </w:tr>
      <w:tr w:rsidR="007F452E" w:rsidRPr="0065442B" w14:paraId="63F87D54" w14:textId="77777777" w:rsidTr="007F452E">
        <w:tc>
          <w:tcPr>
            <w:tcW w:w="385" w:type="pct"/>
          </w:tcPr>
          <w:p w14:paraId="28FB10E0" w14:textId="77777777" w:rsidR="007F452E" w:rsidRPr="0065442B" w:rsidRDefault="007F452E" w:rsidP="00957D30">
            <w:pPr>
              <w:pStyle w:val="NoSpacing"/>
              <w:numPr>
                <w:ilvl w:val="0"/>
                <w:numId w:val="22"/>
              </w:numPr>
              <w:spacing w:line="360" w:lineRule="auto"/>
              <w:rPr>
                <w:rFonts w:ascii="Times New Roman" w:hAnsi="Times New Roman" w:cs="Times New Roman"/>
                <w:sz w:val="24"/>
                <w:szCs w:val="24"/>
              </w:rPr>
            </w:pPr>
          </w:p>
        </w:tc>
        <w:tc>
          <w:tcPr>
            <w:tcW w:w="2944" w:type="pct"/>
          </w:tcPr>
          <w:p w14:paraId="42C325A3"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Keeping records of post-harvest operations, including drying, storage, and processing.</w:t>
            </w:r>
          </w:p>
        </w:tc>
        <w:tc>
          <w:tcPr>
            <w:tcW w:w="603" w:type="pct"/>
            <w:vAlign w:val="center"/>
          </w:tcPr>
          <w:p w14:paraId="5387A3E6"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46" w:type="pct"/>
            <w:vAlign w:val="center"/>
          </w:tcPr>
          <w:p w14:paraId="15A7858D"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56BB2147"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r>
      <w:tr w:rsidR="007F452E" w:rsidRPr="0065442B" w14:paraId="6FCFA7C6" w14:textId="77777777" w:rsidTr="007F452E">
        <w:tc>
          <w:tcPr>
            <w:tcW w:w="385" w:type="pct"/>
          </w:tcPr>
          <w:p w14:paraId="4EECE5DE" w14:textId="77777777" w:rsidR="007F452E" w:rsidRPr="0065442B" w:rsidRDefault="007F452E" w:rsidP="00957D30">
            <w:pPr>
              <w:pStyle w:val="NoSpacing"/>
              <w:numPr>
                <w:ilvl w:val="0"/>
                <w:numId w:val="22"/>
              </w:numPr>
              <w:spacing w:line="360" w:lineRule="auto"/>
              <w:rPr>
                <w:rFonts w:ascii="Times New Roman" w:hAnsi="Times New Roman" w:cs="Times New Roman"/>
                <w:sz w:val="24"/>
                <w:szCs w:val="24"/>
              </w:rPr>
            </w:pPr>
          </w:p>
        </w:tc>
        <w:tc>
          <w:tcPr>
            <w:tcW w:w="2944" w:type="pct"/>
          </w:tcPr>
          <w:p w14:paraId="713B5421" w14:textId="77777777" w:rsidR="007F452E" w:rsidRPr="0065442B" w:rsidRDefault="007F452E" w:rsidP="00957D30">
            <w:pPr>
              <w:pStyle w:val="NoSpacing"/>
              <w:spacing w:line="360" w:lineRule="auto"/>
              <w:rPr>
                <w:rFonts w:ascii="Times New Roman" w:hAnsi="Times New Roman" w:cs="Times New Roman"/>
                <w:sz w:val="24"/>
                <w:szCs w:val="24"/>
              </w:rPr>
            </w:pPr>
            <w:r w:rsidRPr="0065442B">
              <w:rPr>
                <w:rFonts w:ascii="Times New Roman" w:hAnsi="Times New Roman" w:cs="Times New Roman"/>
                <w:sz w:val="24"/>
                <w:szCs w:val="24"/>
              </w:rPr>
              <w:t>Using digital tools or apps to monitor post-harvest practices.</w:t>
            </w:r>
          </w:p>
        </w:tc>
        <w:tc>
          <w:tcPr>
            <w:tcW w:w="603" w:type="pct"/>
            <w:vAlign w:val="center"/>
          </w:tcPr>
          <w:p w14:paraId="0C177811"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73 (60.9%)</w:t>
            </w:r>
          </w:p>
        </w:tc>
        <w:tc>
          <w:tcPr>
            <w:tcW w:w="546" w:type="pct"/>
            <w:vAlign w:val="center"/>
          </w:tcPr>
          <w:p w14:paraId="7B65E43C"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0EF1DD9E" w14:textId="77777777" w:rsidR="007F452E" w:rsidRPr="0065442B" w:rsidRDefault="007F452E" w:rsidP="00957D30">
            <w:pPr>
              <w:pStyle w:val="NoSpacing"/>
              <w:spacing w:line="360"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(18.3%)</w:t>
            </w:r>
          </w:p>
        </w:tc>
      </w:tr>
    </w:tbl>
    <w:p w14:paraId="0C644BAC" w14:textId="77777777" w:rsidR="0065442B" w:rsidRDefault="0065442B" w:rsidP="00957D30">
      <w:pPr>
        <w:spacing w:before="100" w:beforeAutospacing="1" w:after="100" w:afterAutospacing="1" w:line="360" w:lineRule="auto"/>
        <w:jc w:val="both"/>
        <w:rPr>
          <w:rFonts w:ascii="Times New Roman" w:eastAsia="Times New Roman" w:hAnsi="Times New Roman" w:cs="Times New Roman"/>
          <w:sz w:val="24"/>
          <w:szCs w:val="24"/>
        </w:rPr>
      </w:pPr>
    </w:p>
    <w:p w14:paraId="7EB7B8F5" w14:textId="77777777" w:rsidR="00C77D3D" w:rsidRPr="0065442B" w:rsidRDefault="0065442B" w:rsidP="00957D30">
      <w:pPr>
        <w:spacing w:before="100" w:beforeAutospacing="1" w:after="100" w:afterAutospacing="1" w:line="360" w:lineRule="auto"/>
        <w:jc w:val="both"/>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NA= Non- adoption, PA= Partial Adoption, N= Adoption</w:t>
      </w:r>
    </w:p>
    <w:p w14:paraId="693F8709" w14:textId="77777777" w:rsidR="00D70DD6" w:rsidRPr="00190745" w:rsidRDefault="00D70DD6" w:rsidP="00957D30">
      <w:pPr>
        <w:spacing w:before="100" w:beforeAutospacing="1" w:after="100" w:afterAutospacing="1" w:line="360" w:lineRule="auto"/>
        <w:jc w:val="both"/>
        <w:rPr>
          <w:rFonts w:ascii="Times New Roman" w:hAnsi="Times New Roman" w:cs="Times New Roman"/>
          <w:b/>
          <w:sz w:val="24"/>
          <w:szCs w:val="24"/>
        </w:rPr>
      </w:pPr>
      <w:r w:rsidRPr="00190745">
        <w:rPr>
          <w:rFonts w:ascii="Times New Roman" w:hAnsi="Times New Roman" w:cs="Times New Roman"/>
          <w:b/>
          <w:sz w:val="24"/>
          <w:szCs w:val="24"/>
        </w:rPr>
        <w:t>Conclusion:</w:t>
      </w:r>
    </w:p>
    <w:p w14:paraId="452C642C" w14:textId="77777777" w:rsidR="00957D30" w:rsidRDefault="007F452E" w:rsidP="00957D30">
      <w:pPr>
        <w:spacing w:before="100" w:beforeAutospacing="1" w:after="100" w:afterAutospacing="1" w:line="360" w:lineRule="auto"/>
        <w:jc w:val="both"/>
        <w:rPr>
          <w:rFonts w:ascii="Times New Roman" w:hAnsi="Times New Roman" w:cs="Times New Roman"/>
          <w:sz w:val="24"/>
          <w:szCs w:val="24"/>
          <w:highlight w:val="green"/>
        </w:rPr>
      </w:pPr>
      <w:r w:rsidRPr="007F452E">
        <w:rPr>
          <w:rFonts w:ascii="Times New Roman" w:hAnsi="Times New Roman" w:cs="Times New Roman"/>
          <w:sz w:val="24"/>
          <w:szCs w:val="24"/>
        </w:rPr>
        <w:t>The study revealed that oilseed farmers predominantly adopt</w:t>
      </w:r>
      <w:r>
        <w:rPr>
          <w:rFonts w:ascii="Times New Roman" w:hAnsi="Times New Roman" w:cs="Times New Roman"/>
          <w:sz w:val="24"/>
          <w:szCs w:val="24"/>
          <w:highlight w:val="green"/>
        </w:rPr>
        <w:t>ing</w:t>
      </w:r>
      <w:r w:rsidRPr="007F452E">
        <w:rPr>
          <w:rFonts w:ascii="Times New Roman" w:hAnsi="Times New Roman" w:cs="Times New Roman"/>
          <w:sz w:val="24"/>
          <w:szCs w:val="24"/>
        </w:rPr>
        <w:t xml:space="preserve"> </w:t>
      </w:r>
      <w:r w:rsidRPr="007F452E">
        <w:rPr>
          <w:rFonts w:ascii="Times New Roman" w:hAnsi="Times New Roman" w:cs="Times New Roman"/>
          <w:bCs/>
          <w:sz w:val="24"/>
          <w:szCs w:val="24"/>
        </w:rPr>
        <w:t>basic post-harvest practices</w:t>
      </w:r>
      <w:r w:rsidRPr="007F452E">
        <w:rPr>
          <w:rFonts w:ascii="Times New Roman" w:hAnsi="Times New Roman" w:cs="Times New Roman"/>
          <w:sz w:val="24"/>
          <w:szCs w:val="24"/>
        </w:rPr>
        <w:t xml:space="preserve">, such as timely harvesting, threshing, and drying, whereas </w:t>
      </w:r>
      <w:r w:rsidRPr="007F452E">
        <w:rPr>
          <w:rFonts w:ascii="Times New Roman" w:hAnsi="Times New Roman" w:cs="Times New Roman"/>
          <w:bCs/>
          <w:sz w:val="24"/>
          <w:szCs w:val="24"/>
        </w:rPr>
        <w:t>advanced measures</w:t>
      </w:r>
      <w:r w:rsidRPr="007F452E">
        <w:rPr>
          <w:rFonts w:ascii="Times New Roman" w:hAnsi="Times New Roman" w:cs="Times New Roman"/>
          <w:sz w:val="24"/>
          <w:szCs w:val="24"/>
        </w:rPr>
        <w:t xml:space="preserve">, including value addition, quality management, and digital monitoring, remain largely underutilized. This pattern reflects gaps in </w:t>
      </w:r>
      <w:r w:rsidRPr="007F452E">
        <w:rPr>
          <w:rFonts w:ascii="Times New Roman" w:hAnsi="Times New Roman" w:cs="Times New Roman"/>
          <w:bCs/>
          <w:sz w:val="24"/>
          <w:szCs w:val="24"/>
        </w:rPr>
        <w:t>capacity, awareness, infrastructure, and access to modern tools</w:t>
      </w:r>
      <w:r w:rsidRPr="007F452E">
        <w:rPr>
          <w:rFonts w:ascii="Times New Roman" w:hAnsi="Times New Roman" w:cs="Times New Roman"/>
          <w:sz w:val="24"/>
          <w:szCs w:val="24"/>
        </w:rPr>
        <w:t>, which limit farmers’ ability to fully optimize post-harvest efficiency and income. The significa</w:t>
      </w:r>
      <w:r>
        <w:rPr>
          <w:rFonts w:ascii="Times New Roman" w:hAnsi="Times New Roman" w:cs="Times New Roman"/>
          <w:sz w:val="24"/>
          <w:szCs w:val="24"/>
          <w:highlight w:val="green"/>
        </w:rPr>
        <w:t>nt influence of socio-economic</w:t>
      </w:r>
      <w:r>
        <w:rPr>
          <w:rFonts w:ascii="Times New Roman" w:hAnsi="Times New Roman" w:cs="Times New Roman"/>
          <w:sz w:val="24"/>
          <w:szCs w:val="24"/>
        </w:rPr>
        <w:t xml:space="preserve"> </w:t>
      </w:r>
      <w:r w:rsidRPr="007F452E">
        <w:rPr>
          <w:rFonts w:ascii="Times New Roman" w:hAnsi="Times New Roman" w:cs="Times New Roman"/>
          <w:sz w:val="24"/>
          <w:szCs w:val="24"/>
        </w:rPr>
        <w:t xml:space="preserve">factors on adoption highlights the need for </w:t>
      </w:r>
      <w:r w:rsidRPr="007F452E">
        <w:rPr>
          <w:rFonts w:ascii="Times New Roman" w:hAnsi="Times New Roman" w:cs="Times New Roman"/>
          <w:bCs/>
          <w:sz w:val="24"/>
          <w:szCs w:val="24"/>
        </w:rPr>
        <w:t>integrated policy interventions</w:t>
      </w:r>
      <w:r w:rsidRPr="007F452E">
        <w:rPr>
          <w:rFonts w:ascii="Times New Roman" w:hAnsi="Times New Roman" w:cs="Times New Roman"/>
          <w:sz w:val="24"/>
          <w:szCs w:val="24"/>
        </w:rPr>
        <w:t xml:space="preserve"> that combine skill development, institutional support, and economic incentives. Strengthening extension services, facilitating access to modern tools and digital platforms, and promoting value chain linkages can </w:t>
      </w:r>
      <w:r w:rsidRPr="007F452E">
        <w:rPr>
          <w:rFonts w:ascii="Times New Roman" w:hAnsi="Times New Roman" w:cs="Times New Roman"/>
          <w:bCs/>
          <w:sz w:val="24"/>
          <w:szCs w:val="24"/>
        </w:rPr>
        <w:t>enhance technology adoption, reduce post-harvest losses, and improve product quality</w:t>
      </w:r>
      <w:r w:rsidR="00957D30">
        <w:rPr>
          <w:rFonts w:ascii="Times New Roman" w:hAnsi="Times New Roman" w:cs="Times New Roman"/>
          <w:sz w:val="24"/>
          <w:szCs w:val="24"/>
          <w:highlight w:val="green"/>
        </w:rPr>
        <w:t>.</w:t>
      </w:r>
    </w:p>
    <w:p w14:paraId="530BC825" w14:textId="77777777" w:rsidR="00957D30" w:rsidRPr="00957D30" w:rsidRDefault="00957D30" w:rsidP="00957D30">
      <w:pPr>
        <w:spacing w:before="100" w:beforeAutospacing="1" w:after="100" w:afterAutospacing="1" w:line="360" w:lineRule="auto"/>
        <w:jc w:val="both"/>
        <w:rPr>
          <w:rFonts w:ascii="Times New Roman" w:hAnsi="Times New Roman" w:cs="Times New Roman"/>
          <w:b/>
          <w:sz w:val="24"/>
          <w:szCs w:val="24"/>
          <w:highlight w:val="green"/>
        </w:rPr>
      </w:pPr>
      <w:r>
        <w:rPr>
          <w:rFonts w:ascii="Times New Roman" w:hAnsi="Times New Roman" w:cs="Times New Roman"/>
          <w:b/>
          <w:sz w:val="24"/>
          <w:szCs w:val="24"/>
          <w:highlight w:val="green"/>
        </w:rPr>
        <w:t>Policy recommendations:</w:t>
      </w:r>
    </w:p>
    <w:p w14:paraId="060A1D52" w14:textId="77777777" w:rsidR="004517F2" w:rsidRPr="00957D30" w:rsidRDefault="00957D30" w:rsidP="00957D30">
      <w:pPr>
        <w:spacing w:before="100" w:beforeAutospacing="1" w:after="100" w:afterAutospacing="1" w:line="360" w:lineRule="auto"/>
        <w:jc w:val="both"/>
        <w:rPr>
          <w:rFonts w:ascii="Times New Roman" w:eastAsia="Times New Roman" w:hAnsi="Times New Roman" w:cs="Times New Roman"/>
          <w:sz w:val="24"/>
          <w:szCs w:val="24"/>
        </w:rPr>
      </w:pPr>
      <w:r w:rsidRPr="00957D30">
        <w:rPr>
          <w:rFonts w:ascii="Times New Roman" w:hAnsi="Times New Roman" w:cs="Times New Roman"/>
          <w:sz w:val="24"/>
          <w:szCs w:val="24"/>
          <w:highlight w:val="green"/>
        </w:rPr>
        <w:t xml:space="preserve">For improving the overall development in </w:t>
      </w:r>
      <w:proofErr w:type="spellStart"/>
      <w:r w:rsidRPr="00957D30">
        <w:rPr>
          <w:rFonts w:ascii="Times New Roman" w:hAnsi="Times New Roman" w:cs="Times New Roman"/>
          <w:sz w:val="24"/>
          <w:szCs w:val="24"/>
          <w:highlight w:val="green"/>
        </w:rPr>
        <w:t>post harvest</w:t>
      </w:r>
      <w:proofErr w:type="spellEnd"/>
      <w:r w:rsidRPr="00957D30">
        <w:rPr>
          <w:rFonts w:ascii="Times New Roman" w:hAnsi="Times New Roman" w:cs="Times New Roman"/>
          <w:sz w:val="24"/>
          <w:szCs w:val="24"/>
          <w:highlight w:val="green"/>
        </w:rPr>
        <w:t xml:space="preserve"> management some of the strategies required are </w:t>
      </w:r>
      <w:r w:rsidRPr="00957D30">
        <w:rPr>
          <w:rFonts w:ascii="Times New Roman" w:hAnsi="Times New Roman" w:cs="Times New Roman"/>
          <w:bCs/>
          <w:sz w:val="24"/>
          <w:szCs w:val="24"/>
        </w:rPr>
        <w:t>fostering public–private partnerships</w:t>
      </w:r>
      <w:r w:rsidRPr="00957D30">
        <w:rPr>
          <w:rFonts w:ascii="Times New Roman" w:hAnsi="Times New Roman" w:cs="Times New Roman"/>
          <w:sz w:val="24"/>
          <w:szCs w:val="24"/>
        </w:rPr>
        <w:t xml:space="preserve">, can bring together government agencies, research institutions, and private sector stakeholders to invest in infrastructure, provide technical support, and facilitate access to markets. </w:t>
      </w:r>
      <w:r w:rsidRPr="00957D30">
        <w:rPr>
          <w:rFonts w:ascii="Times New Roman" w:hAnsi="Times New Roman" w:cs="Times New Roman"/>
          <w:bCs/>
          <w:sz w:val="24"/>
          <w:szCs w:val="24"/>
        </w:rPr>
        <w:t>Incentivizing local innovation</w:t>
      </w:r>
      <w:r w:rsidRPr="00957D30">
        <w:rPr>
          <w:rFonts w:ascii="Times New Roman" w:hAnsi="Times New Roman" w:cs="Times New Roman"/>
          <w:sz w:val="24"/>
          <w:szCs w:val="24"/>
        </w:rPr>
        <w:t xml:space="preserve"> encourages farmers and rural entrepreneurs to develop context-specific solutions for post-harvest challenges, such as low-cost storage, processing techniques, or value-added products. </w:t>
      </w:r>
      <w:r w:rsidRPr="00957D30">
        <w:rPr>
          <w:rFonts w:ascii="Times New Roman" w:hAnsi="Times New Roman" w:cs="Times New Roman"/>
          <w:bCs/>
          <w:sz w:val="24"/>
          <w:szCs w:val="24"/>
        </w:rPr>
        <w:t>Supporting community-based storage and processing initiatives</w:t>
      </w:r>
      <w:r w:rsidRPr="00957D30">
        <w:rPr>
          <w:rFonts w:ascii="Times New Roman" w:hAnsi="Times New Roman" w:cs="Times New Roman"/>
          <w:sz w:val="24"/>
          <w:szCs w:val="24"/>
        </w:rPr>
        <w:t xml:space="preserve"> can help smallholder farmers pool resources, reduce individual costs, and ensure better quality control, while also strengthening local supply chains. Additionally, </w:t>
      </w:r>
      <w:r w:rsidRPr="00957D30">
        <w:rPr>
          <w:rFonts w:ascii="Times New Roman" w:hAnsi="Times New Roman" w:cs="Times New Roman"/>
          <w:bCs/>
          <w:sz w:val="24"/>
          <w:szCs w:val="24"/>
        </w:rPr>
        <w:t>embedding post-harvest training within broader agricultural development programs</w:t>
      </w:r>
      <w:r w:rsidRPr="00957D30">
        <w:rPr>
          <w:rFonts w:ascii="Times New Roman" w:hAnsi="Times New Roman" w:cs="Times New Roman"/>
          <w:sz w:val="24"/>
          <w:szCs w:val="24"/>
        </w:rPr>
        <w:t xml:space="preserve"> </w:t>
      </w:r>
      <w:r w:rsidRPr="00957D30">
        <w:rPr>
          <w:rFonts w:ascii="Times New Roman" w:hAnsi="Times New Roman" w:cs="Times New Roman"/>
          <w:sz w:val="24"/>
          <w:szCs w:val="24"/>
        </w:rPr>
        <w:lastRenderedPageBreak/>
        <w:t xml:space="preserve">equips farmers with practical skills, promotes adoption of advanced practices, and fosters long-term behavioral change. Collectively, these strategies are crucial for </w:t>
      </w:r>
      <w:r w:rsidRPr="00957D30">
        <w:rPr>
          <w:rFonts w:ascii="Times New Roman" w:hAnsi="Times New Roman" w:cs="Times New Roman"/>
          <w:bCs/>
          <w:sz w:val="24"/>
          <w:szCs w:val="24"/>
        </w:rPr>
        <w:t>enhancing oilseed value addition, improving farmers’ incomes, reducing post-harvest losses, and ensuring the sustainability and competitiveness of the oilseed production system</w:t>
      </w:r>
      <w:r w:rsidRPr="00957D30">
        <w:rPr>
          <w:rFonts w:ascii="Times New Roman" w:hAnsi="Times New Roman" w:cs="Times New Roman"/>
          <w:sz w:val="24"/>
          <w:szCs w:val="24"/>
        </w:rPr>
        <w:t>, ultimately contributing to food security and rural economic development.</w:t>
      </w:r>
    </w:p>
    <w:p w14:paraId="4D137927" w14:textId="77777777" w:rsidR="004517F2" w:rsidRDefault="004517F2" w:rsidP="00957D30">
      <w:pPr>
        <w:spacing w:before="100" w:beforeAutospacing="1" w:after="100" w:afterAutospacing="1" w:line="360" w:lineRule="auto"/>
        <w:jc w:val="both"/>
        <w:rPr>
          <w:rFonts w:ascii="Times New Roman" w:eastAsia="Times New Roman" w:hAnsi="Times New Roman" w:cs="Times New Roman"/>
          <w:sz w:val="24"/>
          <w:szCs w:val="24"/>
        </w:rPr>
      </w:pPr>
    </w:p>
    <w:p w14:paraId="7F1BA701" w14:textId="77777777" w:rsidR="004517F2" w:rsidRDefault="004517F2" w:rsidP="00957D30">
      <w:pPr>
        <w:spacing w:line="360" w:lineRule="auto"/>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62E2C966" w14:textId="77777777" w:rsidR="004517F2" w:rsidRDefault="004517F2" w:rsidP="00957D30">
      <w:pPr>
        <w:spacing w:line="360" w:lineRule="auto"/>
        <w:rPr>
          <w:rFonts w:ascii="Calibri" w:eastAsia="Calibri" w:hAnsi="Calibri" w:cs="Times New Roman"/>
          <w:kern w:val="2"/>
          <w:highlight w:val="yellow"/>
        </w:rPr>
      </w:pPr>
      <w:r>
        <w:rPr>
          <w:rFonts w:ascii="Calibri" w:eastAsia="Calibri" w:hAnsi="Calibri" w:cs="Times New Roman"/>
          <w:kern w:val="2"/>
          <w:highlight w:val="yellow"/>
        </w:rPr>
        <w:t>Option 1:</w:t>
      </w:r>
    </w:p>
    <w:p w14:paraId="31552798" w14:textId="77777777" w:rsidR="004517F2" w:rsidRDefault="004517F2" w:rsidP="00957D30">
      <w:pPr>
        <w:spacing w:line="360" w:lineRule="auto"/>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2ADCCE62" w14:textId="77777777" w:rsidR="004517F2" w:rsidRPr="00C83080" w:rsidRDefault="004517F2" w:rsidP="00957D30">
      <w:pPr>
        <w:spacing w:before="100" w:beforeAutospacing="1" w:after="100" w:afterAutospacing="1" w:line="360" w:lineRule="auto"/>
        <w:jc w:val="both"/>
        <w:rPr>
          <w:rFonts w:ascii="Times New Roman" w:eastAsia="Times New Roman" w:hAnsi="Times New Roman" w:cs="Times New Roman"/>
          <w:sz w:val="24"/>
          <w:szCs w:val="24"/>
        </w:rPr>
      </w:pPr>
    </w:p>
    <w:p w14:paraId="73E6491C" w14:textId="77777777" w:rsidR="00F74217" w:rsidRDefault="00C83080" w:rsidP="00957D30">
      <w:pPr>
        <w:spacing w:before="100" w:beforeAutospacing="1" w:after="100" w:afterAutospacing="1" w:line="360" w:lineRule="auto"/>
        <w:jc w:val="both"/>
        <w:rPr>
          <w:rFonts w:ascii="Times New Roman" w:eastAsia="Times New Roman" w:hAnsi="Times New Roman" w:cs="Times New Roman"/>
          <w:b/>
          <w:bCs/>
          <w:sz w:val="24"/>
          <w:szCs w:val="24"/>
        </w:rPr>
      </w:pPr>
      <w:r w:rsidRPr="00190745">
        <w:rPr>
          <w:rFonts w:ascii="Times New Roman" w:eastAsia="Times New Roman" w:hAnsi="Times New Roman" w:cs="Times New Roman"/>
          <w:b/>
          <w:bCs/>
          <w:sz w:val="24"/>
          <w:szCs w:val="24"/>
        </w:rPr>
        <w:t xml:space="preserve">References </w:t>
      </w:r>
    </w:p>
    <w:p w14:paraId="648FAA43" w14:textId="77777777" w:rsidR="007F452E" w:rsidRPr="00190745" w:rsidRDefault="007F452E" w:rsidP="00957D30">
      <w:pPr>
        <w:spacing w:before="100" w:beforeAutospacing="1" w:after="100" w:afterAutospacing="1" w:line="360" w:lineRule="auto"/>
        <w:jc w:val="both"/>
        <w:rPr>
          <w:rFonts w:ascii="Times New Roman" w:eastAsia="Times New Roman" w:hAnsi="Times New Roman" w:cs="Times New Roman"/>
          <w:b/>
          <w:bCs/>
          <w:sz w:val="24"/>
          <w:szCs w:val="24"/>
        </w:rPr>
      </w:pPr>
    </w:p>
    <w:p w14:paraId="7683A62D" w14:textId="77777777" w:rsidR="007F452E" w:rsidRPr="00A908F4" w:rsidRDefault="007F452E" w:rsidP="00957D30">
      <w:pPr>
        <w:pStyle w:val="NormalWeb"/>
        <w:spacing w:line="360" w:lineRule="auto"/>
        <w:jc w:val="both"/>
      </w:pPr>
      <w:r w:rsidRPr="00A908F4">
        <w:t xml:space="preserve">  </w:t>
      </w:r>
    </w:p>
    <w:p w14:paraId="338B0462" w14:textId="77777777" w:rsidR="007F452E" w:rsidRPr="00A908F4"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Afzal, I., Kamran, M., Basra, S. M. A., Khan, S. H. U., Mahmood, A., Farooq, M., &amp; Tan, D. K. (2020). Harvesting and post-harvest management approaches for preserving cottonseed quality. </w:t>
      </w:r>
      <w:r w:rsidRPr="00A908F4">
        <w:rPr>
          <w:rFonts w:ascii="Times New Roman" w:hAnsi="Times New Roman" w:cs="Times New Roman"/>
          <w:i/>
          <w:iCs/>
          <w:color w:val="222222"/>
          <w:sz w:val="24"/>
          <w:szCs w:val="24"/>
          <w:shd w:val="clear" w:color="auto" w:fill="FFFFFF"/>
        </w:rPr>
        <w:t>Industrial crops and products</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155</w:t>
      </w:r>
      <w:r w:rsidRPr="00A908F4">
        <w:rPr>
          <w:rFonts w:ascii="Times New Roman" w:hAnsi="Times New Roman" w:cs="Times New Roman"/>
          <w:color w:val="222222"/>
          <w:sz w:val="24"/>
          <w:szCs w:val="24"/>
          <w:shd w:val="clear" w:color="auto" w:fill="FFFFFF"/>
        </w:rPr>
        <w:t>, 112842.</w:t>
      </w:r>
    </w:p>
    <w:p w14:paraId="7733FD23" w14:textId="77777777" w:rsidR="007F452E" w:rsidRPr="00C83080" w:rsidRDefault="007F452E" w:rsidP="00957D30">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Aker, J. C. (2011). Dial “A” for agriculture: Using mobile phones for market information in rural Uganda. </w:t>
      </w:r>
      <w:r w:rsidRPr="00A908F4">
        <w:rPr>
          <w:rFonts w:ascii="Times New Roman" w:eastAsia="Times New Roman" w:hAnsi="Times New Roman" w:cs="Times New Roman"/>
          <w:i/>
          <w:iCs/>
          <w:sz w:val="24"/>
          <w:szCs w:val="24"/>
        </w:rPr>
        <w:t>American Economic Journal: Applied Economics</w:t>
      </w:r>
      <w:r w:rsidRPr="00C83080">
        <w:rPr>
          <w:rFonts w:ascii="Times New Roman" w:eastAsia="Times New Roman" w:hAnsi="Times New Roman" w:cs="Times New Roman"/>
          <w:sz w:val="24"/>
          <w:szCs w:val="24"/>
        </w:rPr>
        <w:t>, 3(3), 46–59.</w:t>
      </w:r>
    </w:p>
    <w:p w14:paraId="20832A3E" w14:textId="77777777" w:rsidR="007F452E" w:rsidRPr="007F452E" w:rsidRDefault="007F452E" w:rsidP="00957D30">
      <w:pPr>
        <w:spacing w:line="360" w:lineRule="auto"/>
        <w:jc w:val="both"/>
        <w:rPr>
          <w:rFonts w:ascii="Times New Roman" w:hAnsi="Times New Roman" w:cs="Times New Roman"/>
          <w:sz w:val="24"/>
          <w:szCs w:val="24"/>
          <w:lang w:val="en-GB"/>
        </w:rPr>
      </w:pPr>
      <w:proofErr w:type="spellStart"/>
      <w:r w:rsidRPr="007F452E">
        <w:rPr>
          <w:rFonts w:ascii="Times New Roman" w:hAnsi="Times New Roman" w:cs="Times New Roman"/>
          <w:sz w:val="24"/>
          <w:szCs w:val="24"/>
          <w:lang w:val="en-GB"/>
        </w:rPr>
        <w:t>Ariong</w:t>
      </w:r>
      <w:proofErr w:type="spellEnd"/>
      <w:r w:rsidRPr="007F452E">
        <w:rPr>
          <w:rFonts w:ascii="Times New Roman" w:hAnsi="Times New Roman" w:cs="Times New Roman"/>
          <w:sz w:val="24"/>
          <w:szCs w:val="24"/>
          <w:lang w:val="en-GB"/>
        </w:rPr>
        <w:t xml:space="preserve">, R. M., Okello, D. M., Otim, M. H., &amp; </w:t>
      </w:r>
      <w:proofErr w:type="spellStart"/>
      <w:r w:rsidRPr="007F452E">
        <w:rPr>
          <w:rFonts w:ascii="Times New Roman" w:hAnsi="Times New Roman" w:cs="Times New Roman"/>
          <w:sz w:val="24"/>
          <w:szCs w:val="24"/>
          <w:lang w:val="en-GB"/>
        </w:rPr>
        <w:t>Paparu</w:t>
      </w:r>
      <w:proofErr w:type="spellEnd"/>
      <w:r w:rsidRPr="007F452E">
        <w:rPr>
          <w:rFonts w:ascii="Times New Roman" w:hAnsi="Times New Roman" w:cs="Times New Roman"/>
          <w:sz w:val="24"/>
          <w:szCs w:val="24"/>
          <w:lang w:val="en-GB"/>
        </w:rPr>
        <w:t>, P. (2023). The cost of inadequate postharvest management of pulse grain: Farmer losses due to handling and storage practices in Uganda. Agriculture &amp; Food Security, 12(1), 20.</w:t>
      </w:r>
    </w:p>
    <w:p w14:paraId="62F8502F" w14:textId="77777777" w:rsidR="007F452E" w:rsidRPr="00A908F4"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lastRenderedPageBreak/>
        <w:t>Bartosik, R. (2010). Challenges and characteristics of the South American grain and oilseed postharvest system. </w:t>
      </w:r>
      <w:r w:rsidRPr="00A908F4">
        <w:rPr>
          <w:rFonts w:ascii="Times New Roman" w:hAnsi="Times New Roman" w:cs="Times New Roman"/>
          <w:i/>
          <w:iCs/>
          <w:color w:val="222222"/>
          <w:sz w:val="24"/>
          <w:szCs w:val="24"/>
          <w:shd w:val="clear" w:color="auto" w:fill="FFFFFF"/>
        </w:rPr>
        <w:t>Julius-Kühn-Archiv</w:t>
      </w:r>
      <w:r w:rsidRPr="00A908F4">
        <w:rPr>
          <w:rFonts w:ascii="Times New Roman" w:hAnsi="Times New Roman" w:cs="Times New Roman"/>
          <w:color w:val="222222"/>
          <w:sz w:val="24"/>
          <w:szCs w:val="24"/>
          <w:shd w:val="clear" w:color="auto" w:fill="FFFFFF"/>
        </w:rPr>
        <w:t>, (425), 57.</w:t>
      </w:r>
    </w:p>
    <w:p w14:paraId="6B28F5BC" w14:textId="77777777" w:rsidR="007F452E" w:rsidRPr="00A908F4"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 xml:space="preserve">Bhat, D. S. A., &amp; Khan, D. F. A. (2017). Traditional wisdom in </w:t>
      </w:r>
      <w:proofErr w:type="spellStart"/>
      <w:r w:rsidRPr="00A908F4">
        <w:rPr>
          <w:rFonts w:ascii="Times New Roman" w:hAnsi="Times New Roman" w:cs="Times New Roman"/>
          <w:color w:val="222222"/>
          <w:sz w:val="24"/>
          <w:szCs w:val="24"/>
          <w:shd w:val="clear" w:color="auto" w:fill="FFFFFF"/>
        </w:rPr>
        <w:t>post harvest</w:t>
      </w:r>
      <w:proofErr w:type="spellEnd"/>
      <w:r w:rsidRPr="00A908F4">
        <w:rPr>
          <w:rFonts w:ascii="Times New Roman" w:hAnsi="Times New Roman" w:cs="Times New Roman"/>
          <w:color w:val="222222"/>
          <w:sz w:val="24"/>
          <w:szCs w:val="24"/>
          <w:shd w:val="clear" w:color="auto" w:fill="FFFFFF"/>
        </w:rPr>
        <w:t xml:space="preserve"> management of food commodities. </w:t>
      </w:r>
      <w:proofErr w:type="spellStart"/>
      <w:r w:rsidRPr="00A908F4">
        <w:rPr>
          <w:rFonts w:ascii="Times New Roman" w:hAnsi="Times New Roman" w:cs="Times New Roman"/>
          <w:i/>
          <w:iCs/>
          <w:color w:val="222222"/>
          <w:sz w:val="24"/>
          <w:szCs w:val="24"/>
          <w:shd w:val="clear" w:color="auto" w:fill="FFFFFF"/>
        </w:rPr>
        <w:t>Researchgate</w:t>
      </w:r>
      <w:proofErr w:type="spellEnd"/>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w:t>
      </w:r>
      <w:r w:rsidRPr="00A908F4">
        <w:rPr>
          <w:rFonts w:ascii="Times New Roman" w:hAnsi="Times New Roman" w:cs="Times New Roman"/>
          <w:color w:val="222222"/>
          <w:sz w:val="24"/>
          <w:szCs w:val="24"/>
          <w:shd w:val="clear" w:color="auto" w:fill="FFFFFF"/>
        </w:rPr>
        <w:t>, 1-8.</w:t>
      </w:r>
    </w:p>
    <w:p w14:paraId="1D682542" w14:textId="77777777" w:rsidR="007F452E" w:rsidRPr="007F452E" w:rsidRDefault="007F452E" w:rsidP="00957D30">
      <w:pPr>
        <w:spacing w:before="100" w:beforeAutospacing="1" w:after="100" w:afterAutospacing="1" w:line="360" w:lineRule="auto"/>
        <w:jc w:val="both"/>
        <w:rPr>
          <w:rFonts w:ascii="Times New Roman" w:eastAsia="Times New Roman" w:hAnsi="Times New Roman" w:cs="Times New Roman"/>
          <w:bCs/>
          <w:sz w:val="24"/>
          <w:szCs w:val="24"/>
        </w:rPr>
      </w:pPr>
      <w:r w:rsidRPr="007F452E">
        <w:rPr>
          <w:rFonts w:ascii="Times New Roman" w:eastAsia="Times New Roman" w:hAnsi="Times New Roman" w:cs="Times New Roman"/>
          <w:bCs/>
          <w:sz w:val="24"/>
          <w:szCs w:val="24"/>
        </w:rPr>
        <w:t xml:space="preserve">Food and Agriculture Organization of the United Nations (FAO). (2021). </w:t>
      </w:r>
      <w:r w:rsidRPr="007F452E">
        <w:rPr>
          <w:rFonts w:ascii="Times New Roman" w:eastAsia="Times New Roman" w:hAnsi="Times New Roman" w:cs="Times New Roman"/>
          <w:bCs/>
          <w:i/>
          <w:iCs/>
          <w:sz w:val="24"/>
          <w:szCs w:val="24"/>
        </w:rPr>
        <w:t>The State of Food and Agriculture 2021: Making Agrifood Systems More Resilient to Shocks and Stresses</w:t>
      </w:r>
      <w:r w:rsidRPr="007F452E">
        <w:rPr>
          <w:rFonts w:ascii="Times New Roman" w:eastAsia="Times New Roman" w:hAnsi="Times New Roman" w:cs="Times New Roman"/>
          <w:bCs/>
          <w:sz w:val="24"/>
          <w:szCs w:val="24"/>
        </w:rPr>
        <w:t xml:space="preserve">. Rome: FAO. Retrieved from: </w:t>
      </w:r>
      <w:hyperlink r:id="rId8" w:tgtFrame="_new" w:history="1">
        <w:r w:rsidRPr="007F452E">
          <w:rPr>
            <w:rStyle w:val="Hyperlink"/>
            <w:rFonts w:ascii="Times New Roman" w:eastAsia="Times New Roman" w:hAnsi="Times New Roman" w:cs="Times New Roman"/>
            <w:bCs/>
            <w:sz w:val="24"/>
            <w:szCs w:val="24"/>
          </w:rPr>
          <w:t>https://www.fao.org/publications/sofa/2021/en/</w:t>
        </w:r>
      </w:hyperlink>
    </w:p>
    <w:p w14:paraId="3F6A2779" w14:textId="77777777" w:rsidR="007F452E" w:rsidRPr="00C83080" w:rsidRDefault="007F452E" w:rsidP="00957D3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83080">
        <w:rPr>
          <w:rFonts w:ascii="Times New Roman" w:eastAsia="Times New Roman" w:hAnsi="Times New Roman" w:cs="Times New Roman"/>
          <w:sz w:val="24"/>
          <w:szCs w:val="24"/>
        </w:rPr>
        <w:t>Kiptot</w:t>
      </w:r>
      <w:proofErr w:type="spellEnd"/>
      <w:r w:rsidRPr="00C83080">
        <w:rPr>
          <w:rFonts w:ascii="Times New Roman" w:eastAsia="Times New Roman" w:hAnsi="Times New Roman" w:cs="Times New Roman"/>
          <w:sz w:val="24"/>
          <w:szCs w:val="24"/>
        </w:rPr>
        <w:t xml:space="preserve">, E., &amp; Franzel, S. (2014). Gender and agroforestry technology adoption: Lessons from western Kenya. </w:t>
      </w:r>
      <w:r w:rsidRPr="00A908F4">
        <w:rPr>
          <w:rFonts w:ascii="Times New Roman" w:eastAsia="Times New Roman" w:hAnsi="Times New Roman" w:cs="Times New Roman"/>
          <w:i/>
          <w:iCs/>
          <w:sz w:val="24"/>
          <w:szCs w:val="24"/>
        </w:rPr>
        <w:t>Agroforestry Systems</w:t>
      </w:r>
      <w:r w:rsidRPr="00C83080">
        <w:rPr>
          <w:rFonts w:ascii="Times New Roman" w:eastAsia="Times New Roman" w:hAnsi="Times New Roman" w:cs="Times New Roman"/>
          <w:sz w:val="24"/>
          <w:szCs w:val="24"/>
        </w:rPr>
        <w:t>, 88, 1–15.</w:t>
      </w:r>
    </w:p>
    <w:p w14:paraId="66792645" w14:textId="77777777" w:rsidR="007F452E" w:rsidRPr="00C83080" w:rsidRDefault="007F452E" w:rsidP="00957D30">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Kutner, M. H., Nachtsheim, C. J., </w:t>
      </w:r>
      <w:proofErr w:type="spellStart"/>
      <w:r w:rsidRPr="00C83080">
        <w:rPr>
          <w:rFonts w:ascii="Times New Roman" w:eastAsia="Times New Roman" w:hAnsi="Times New Roman" w:cs="Times New Roman"/>
          <w:sz w:val="24"/>
          <w:szCs w:val="24"/>
        </w:rPr>
        <w:t>Neter</w:t>
      </w:r>
      <w:proofErr w:type="spellEnd"/>
      <w:r w:rsidRPr="00C83080">
        <w:rPr>
          <w:rFonts w:ascii="Times New Roman" w:eastAsia="Times New Roman" w:hAnsi="Times New Roman" w:cs="Times New Roman"/>
          <w:sz w:val="24"/>
          <w:szCs w:val="24"/>
        </w:rPr>
        <w:t xml:space="preserve">, J., &amp; Li, W. (2005). </w:t>
      </w:r>
      <w:r w:rsidRPr="00A908F4">
        <w:rPr>
          <w:rFonts w:ascii="Times New Roman" w:eastAsia="Times New Roman" w:hAnsi="Times New Roman" w:cs="Times New Roman"/>
          <w:i/>
          <w:iCs/>
          <w:sz w:val="24"/>
          <w:szCs w:val="24"/>
        </w:rPr>
        <w:t>Applied Linear Statistical Models</w:t>
      </w:r>
      <w:r w:rsidRPr="00C83080">
        <w:rPr>
          <w:rFonts w:ascii="Times New Roman" w:eastAsia="Times New Roman" w:hAnsi="Times New Roman" w:cs="Times New Roman"/>
          <w:sz w:val="24"/>
          <w:szCs w:val="24"/>
        </w:rPr>
        <w:t xml:space="preserve"> (5th ed.). McGraw-Hill/Irwin.</w:t>
      </w:r>
    </w:p>
    <w:p w14:paraId="50BE12B0" w14:textId="77777777" w:rsidR="007F452E" w:rsidRPr="00A908F4"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proofErr w:type="spellStart"/>
      <w:r w:rsidRPr="00A908F4">
        <w:rPr>
          <w:rFonts w:ascii="Times New Roman" w:hAnsi="Times New Roman" w:cs="Times New Roman"/>
          <w:color w:val="222222"/>
          <w:sz w:val="24"/>
          <w:szCs w:val="24"/>
          <w:shd w:val="clear" w:color="auto" w:fill="FFFFFF"/>
        </w:rPr>
        <w:t>Mandavkar</w:t>
      </w:r>
      <w:proofErr w:type="spellEnd"/>
      <w:r w:rsidRPr="00A908F4">
        <w:rPr>
          <w:rFonts w:ascii="Times New Roman" w:hAnsi="Times New Roman" w:cs="Times New Roman"/>
          <w:color w:val="222222"/>
          <w:sz w:val="24"/>
          <w:szCs w:val="24"/>
          <w:shd w:val="clear" w:color="auto" w:fill="FFFFFF"/>
        </w:rPr>
        <w:t xml:space="preserve">, P. M., </w:t>
      </w:r>
      <w:proofErr w:type="spellStart"/>
      <w:r w:rsidRPr="00A908F4">
        <w:rPr>
          <w:rFonts w:ascii="Times New Roman" w:hAnsi="Times New Roman" w:cs="Times New Roman"/>
          <w:color w:val="222222"/>
          <w:sz w:val="24"/>
          <w:szCs w:val="24"/>
          <w:shd w:val="clear" w:color="auto" w:fill="FFFFFF"/>
        </w:rPr>
        <w:t>Talathi</w:t>
      </w:r>
      <w:proofErr w:type="spellEnd"/>
      <w:r w:rsidRPr="00A908F4">
        <w:rPr>
          <w:rFonts w:ascii="Times New Roman" w:hAnsi="Times New Roman" w:cs="Times New Roman"/>
          <w:color w:val="222222"/>
          <w:sz w:val="24"/>
          <w:szCs w:val="24"/>
          <w:shd w:val="clear" w:color="auto" w:fill="FFFFFF"/>
        </w:rPr>
        <w:t xml:space="preserve">, M. S., </w:t>
      </w:r>
      <w:proofErr w:type="spellStart"/>
      <w:r w:rsidRPr="00A908F4">
        <w:rPr>
          <w:rFonts w:ascii="Times New Roman" w:hAnsi="Times New Roman" w:cs="Times New Roman"/>
          <w:color w:val="222222"/>
          <w:sz w:val="24"/>
          <w:szCs w:val="24"/>
          <w:shd w:val="clear" w:color="auto" w:fill="FFFFFF"/>
        </w:rPr>
        <w:t>Arekar</w:t>
      </w:r>
      <w:proofErr w:type="spellEnd"/>
      <w:r w:rsidRPr="00A908F4">
        <w:rPr>
          <w:rFonts w:ascii="Times New Roman" w:hAnsi="Times New Roman" w:cs="Times New Roman"/>
          <w:color w:val="222222"/>
          <w:sz w:val="24"/>
          <w:szCs w:val="24"/>
          <w:shd w:val="clear" w:color="auto" w:fill="FFFFFF"/>
        </w:rPr>
        <w:t>, J. S., Gitte, M. J., &amp; Bhave, S. G. (2017). Adoption level and constraints experienced by the farmers in adoption of recommended practices of oilseeds.</w:t>
      </w:r>
    </w:p>
    <w:p w14:paraId="26DFB9D0" w14:textId="77777777" w:rsidR="007F452E" w:rsidRPr="00C83080" w:rsidRDefault="007F452E" w:rsidP="00957D30">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O’Brien, R. M. (2007). A caution regarding rules of thumb for variance inflation factors. </w:t>
      </w:r>
      <w:r w:rsidRPr="00A908F4">
        <w:rPr>
          <w:rFonts w:ascii="Times New Roman" w:eastAsia="Times New Roman" w:hAnsi="Times New Roman" w:cs="Times New Roman"/>
          <w:i/>
          <w:iCs/>
          <w:sz w:val="24"/>
          <w:szCs w:val="24"/>
        </w:rPr>
        <w:t>Quality &amp; Quantity</w:t>
      </w:r>
      <w:r w:rsidRPr="00C83080">
        <w:rPr>
          <w:rFonts w:ascii="Times New Roman" w:eastAsia="Times New Roman" w:hAnsi="Times New Roman" w:cs="Times New Roman"/>
          <w:sz w:val="24"/>
          <w:szCs w:val="24"/>
        </w:rPr>
        <w:t>, 41(5), 673–690.</w:t>
      </w:r>
    </w:p>
    <w:p w14:paraId="6FE82C2A" w14:textId="77777777" w:rsidR="007F452E" w:rsidRPr="00A908F4" w:rsidRDefault="007F452E" w:rsidP="00957D30">
      <w:pPr>
        <w:spacing w:before="100" w:beforeAutospacing="1" w:after="100" w:afterAutospacing="1" w:line="360" w:lineRule="auto"/>
        <w:jc w:val="both"/>
        <w:rPr>
          <w:rFonts w:ascii="Times New Roman" w:eastAsia="Times New Roman" w:hAnsi="Times New Roman" w:cs="Times New Roman"/>
          <w:bCs/>
          <w:sz w:val="24"/>
          <w:szCs w:val="24"/>
        </w:rPr>
      </w:pPr>
      <w:r w:rsidRPr="00A908F4">
        <w:rPr>
          <w:rFonts w:ascii="Times New Roman" w:hAnsi="Times New Roman" w:cs="Times New Roman"/>
          <w:color w:val="222222"/>
          <w:sz w:val="24"/>
          <w:szCs w:val="24"/>
          <w:shd w:val="clear" w:color="auto" w:fill="FFFFFF"/>
        </w:rPr>
        <w:t>Rees, D., Farrell, G., &amp; Orchard, J. (Eds.). (2012). </w:t>
      </w:r>
      <w:r w:rsidRPr="00A908F4">
        <w:rPr>
          <w:rFonts w:ascii="Times New Roman" w:hAnsi="Times New Roman" w:cs="Times New Roman"/>
          <w:i/>
          <w:iCs/>
          <w:color w:val="222222"/>
          <w:sz w:val="24"/>
          <w:szCs w:val="24"/>
          <w:shd w:val="clear" w:color="auto" w:fill="FFFFFF"/>
        </w:rPr>
        <w:t>Crop post-harvest: science and technology, volume 3: perishables</w:t>
      </w:r>
      <w:r w:rsidRPr="00A908F4">
        <w:rPr>
          <w:rFonts w:ascii="Times New Roman" w:hAnsi="Times New Roman" w:cs="Times New Roman"/>
          <w:color w:val="222222"/>
          <w:sz w:val="24"/>
          <w:szCs w:val="24"/>
          <w:shd w:val="clear" w:color="auto" w:fill="FFFFFF"/>
        </w:rPr>
        <w:t> (Vol. 3). John Wiley &amp; Sons.</w:t>
      </w:r>
    </w:p>
    <w:p w14:paraId="38F32BAA" w14:textId="77777777" w:rsidR="007F452E" w:rsidRPr="00A908F4"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Sidhu, J. K., &amp; Mohapatra, L. (2023). Factors affecting adoption of post-harvest management practices by vegetable growers. </w:t>
      </w:r>
      <w:r w:rsidRPr="00A908F4">
        <w:rPr>
          <w:rFonts w:ascii="Times New Roman" w:hAnsi="Times New Roman" w:cs="Times New Roman"/>
          <w:i/>
          <w:iCs/>
          <w:color w:val="222222"/>
          <w:sz w:val="24"/>
          <w:szCs w:val="24"/>
          <w:shd w:val="clear" w:color="auto" w:fill="FFFFFF"/>
        </w:rPr>
        <w:t>Journal of Krishi Vigyan</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11</w:t>
      </w:r>
      <w:r w:rsidRPr="00A908F4">
        <w:rPr>
          <w:rFonts w:ascii="Times New Roman" w:hAnsi="Times New Roman" w:cs="Times New Roman"/>
          <w:color w:val="222222"/>
          <w:sz w:val="24"/>
          <w:szCs w:val="24"/>
          <w:shd w:val="clear" w:color="auto" w:fill="FFFFFF"/>
        </w:rPr>
        <w:t>(suppl), 91-95.</w:t>
      </w:r>
    </w:p>
    <w:p w14:paraId="63DEDB84" w14:textId="77777777" w:rsidR="007F452E" w:rsidRPr="007F452E" w:rsidRDefault="007F452E" w:rsidP="00957D30">
      <w:pPr>
        <w:spacing w:before="100" w:beforeAutospacing="1" w:after="100" w:afterAutospacing="1" w:line="360" w:lineRule="auto"/>
        <w:jc w:val="both"/>
        <w:rPr>
          <w:rFonts w:ascii="Times New Roman" w:eastAsia="Times New Roman" w:hAnsi="Times New Roman" w:cs="Times New Roman"/>
          <w:bCs/>
          <w:sz w:val="24"/>
          <w:szCs w:val="24"/>
        </w:rPr>
      </w:pPr>
      <w:r w:rsidRPr="007F452E">
        <w:rPr>
          <w:rFonts w:ascii="Times New Roman" w:eastAsia="Times New Roman" w:hAnsi="Times New Roman" w:cs="Times New Roman"/>
          <w:bCs/>
          <w:sz w:val="24"/>
          <w:szCs w:val="24"/>
        </w:rPr>
        <w:t xml:space="preserve">United States Department of Agriculture (USDA). (2020). </w:t>
      </w:r>
      <w:r w:rsidRPr="007F452E">
        <w:rPr>
          <w:rFonts w:ascii="Times New Roman" w:eastAsia="Times New Roman" w:hAnsi="Times New Roman" w:cs="Times New Roman"/>
          <w:bCs/>
          <w:i/>
          <w:iCs/>
          <w:sz w:val="24"/>
          <w:szCs w:val="24"/>
        </w:rPr>
        <w:t>Oilseeds: World Markets and Trade</w:t>
      </w:r>
      <w:r w:rsidRPr="007F452E">
        <w:rPr>
          <w:rFonts w:ascii="Times New Roman" w:eastAsia="Times New Roman" w:hAnsi="Times New Roman" w:cs="Times New Roman"/>
          <w:bCs/>
          <w:sz w:val="24"/>
          <w:szCs w:val="24"/>
        </w:rPr>
        <w:t xml:space="preserve">. Washington, DC: USDA. Retrieved from: </w:t>
      </w:r>
      <w:hyperlink r:id="rId9" w:tgtFrame="_new" w:history="1">
        <w:r w:rsidRPr="007F452E">
          <w:rPr>
            <w:rStyle w:val="Hyperlink"/>
            <w:rFonts w:ascii="Times New Roman" w:eastAsia="Times New Roman" w:hAnsi="Times New Roman" w:cs="Times New Roman"/>
            <w:bCs/>
            <w:sz w:val="24"/>
            <w:szCs w:val="24"/>
          </w:rPr>
          <w:t>https://www.fas.usda.gov/data/oilseeds-world-markets-and-trade</w:t>
        </w:r>
      </w:hyperlink>
    </w:p>
    <w:p w14:paraId="77985115" w14:textId="77777777" w:rsidR="007F452E" w:rsidRPr="007F452E" w:rsidRDefault="007F452E" w:rsidP="00957D30">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lastRenderedPageBreak/>
        <w:t>Usman, M., Razzaq, M., Khan, R. A. R., Rehman, M. A., Ali, M. M., Gull, S., ... &amp;</w:t>
      </w:r>
      <w:proofErr w:type="spellStart"/>
      <w:r w:rsidRPr="00A908F4">
        <w:rPr>
          <w:rFonts w:ascii="Times New Roman" w:hAnsi="Times New Roman" w:cs="Times New Roman"/>
          <w:color w:val="222222"/>
          <w:sz w:val="24"/>
          <w:szCs w:val="24"/>
          <w:shd w:val="clear" w:color="auto" w:fill="FFFFFF"/>
        </w:rPr>
        <w:t>Golokhvast</w:t>
      </w:r>
      <w:proofErr w:type="spellEnd"/>
      <w:r w:rsidRPr="00A908F4">
        <w:rPr>
          <w:rFonts w:ascii="Times New Roman" w:hAnsi="Times New Roman" w:cs="Times New Roman"/>
          <w:color w:val="222222"/>
          <w:sz w:val="24"/>
          <w:szCs w:val="24"/>
          <w:shd w:val="clear" w:color="auto" w:fill="FFFFFF"/>
        </w:rPr>
        <w:t>, K. S. (2022). Factors affecting postharvest losses of sesame (Sesamum indicum L.) and their mitigation strategies. </w:t>
      </w:r>
      <w:r w:rsidRPr="00A908F4">
        <w:rPr>
          <w:rFonts w:ascii="Times New Roman" w:hAnsi="Times New Roman" w:cs="Times New Roman"/>
          <w:i/>
          <w:iCs/>
          <w:color w:val="222222"/>
          <w:sz w:val="24"/>
          <w:szCs w:val="24"/>
          <w:shd w:val="clear" w:color="auto" w:fill="FFFFFF"/>
        </w:rPr>
        <w:t>Agronomy</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12</w:t>
      </w:r>
      <w:r w:rsidRPr="00A908F4">
        <w:rPr>
          <w:rFonts w:ascii="Times New Roman" w:hAnsi="Times New Roman" w:cs="Times New Roman"/>
          <w:color w:val="222222"/>
          <w:sz w:val="24"/>
          <w:szCs w:val="24"/>
          <w:shd w:val="clear" w:color="auto" w:fill="FFFFFF"/>
        </w:rPr>
        <w:t>(10), 2470.</w:t>
      </w:r>
    </w:p>
    <w:p w14:paraId="296B95AE" w14:textId="77777777" w:rsidR="007F452E" w:rsidRPr="007F452E" w:rsidRDefault="007F452E" w:rsidP="00957D30">
      <w:pPr>
        <w:spacing w:before="100" w:beforeAutospacing="1" w:after="100" w:afterAutospacing="1" w:line="360" w:lineRule="auto"/>
        <w:jc w:val="both"/>
        <w:rPr>
          <w:rFonts w:ascii="Times New Roman" w:eastAsia="Times New Roman" w:hAnsi="Times New Roman" w:cs="Times New Roman"/>
          <w:bCs/>
          <w:sz w:val="24"/>
          <w:szCs w:val="24"/>
        </w:rPr>
      </w:pPr>
      <w:r w:rsidRPr="007F452E">
        <w:rPr>
          <w:rFonts w:ascii="Times New Roman" w:eastAsia="Times New Roman" w:hAnsi="Times New Roman" w:cs="Times New Roman"/>
          <w:bCs/>
          <w:sz w:val="24"/>
          <w:szCs w:val="24"/>
        </w:rPr>
        <w:t xml:space="preserve">World Bank. (2019). </w:t>
      </w:r>
      <w:r w:rsidRPr="007F452E">
        <w:rPr>
          <w:rFonts w:ascii="Times New Roman" w:eastAsia="Times New Roman" w:hAnsi="Times New Roman" w:cs="Times New Roman"/>
          <w:bCs/>
          <w:i/>
          <w:iCs/>
          <w:sz w:val="24"/>
          <w:szCs w:val="24"/>
        </w:rPr>
        <w:t>Agricultural Productivity and Post-Harvest Management in Developing Countries</w:t>
      </w:r>
      <w:r w:rsidRPr="007F452E">
        <w:rPr>
          <w:rFonts w:ascii="Times New Roman" w:eastAsia="Times New Roman" w:hAnsi="Times New Roman" w:cs="Times New Roman"/>
          <w:bCs/>
          <w:sz w:val="24"/>
          <w:szCs w:val="24"/>
        </w:rPr>
        <w:t xml:space="preserve">. Washington, DC: World Bank. Retrieved from: </w:t>
      </w:r>
      <w:hyperlink r:id="rId10" w:tgtFrame="_new" w:history="1">
        <w:r w:rsidRPr="007F452E">
          <w:rPr>
            <w:rStyle w:val="Hyperlink"/>
            <w:rFonts w:ascii="Times New Roman" w:eastAsia="Times New Roman" w:hAnsi="Times New Roman" w:cs="Times New Roman"/>
            <w:bCs/>
            <w:sz w:val="24"/>
            <w:szCs w:val="24"/>
          </w:rPr>
          <w:t>https://www.worldbank.org/en/topic/agriculture/publication/agricultural-productivity-and-post-harvest-management</w:t>
        </w:r>
      </w:hyperlink>
    </w:p>
    <w:p w14:paraId="1F5A0237" w14:textId="77777777" w:rsidR="00CA18EA" w:rsidRPr="00A908F4" w:rsidRDefault="00CA18EA" w:rsidP="00957D30">
      <w:pPr>
        <w:spacing w:line="360" w:lineRule="auto"/>
        <w:jc w:val="both"/>
        <w:rPr>
          <w:rFonts w:ascii="Times New Roman" w:hAnsi="Times New Roman" w:cs="Times New Roman"/>
          <w:sz w:val="24"/>
          <w:szCs w:val="24"/>
        </w:rPr>
      </w:pPr>
    </w:p>
    <w:p w14:paraId="5B13AED4" w14:textId="77777777" w:rsidR="00A908F4" w:rsidRDefault="00A908F4" w:rsidP="00957D30">
      <w:pPr>
        <w:spacing w:line="360" w:lineRule="auto"/>
        <w:jc w:val="both"/>
        <w:rPr>
          <w:rFonts w:ascii="Times New Roman" w:hAnsi="Times New Roman" w:cs="Times New Roman"/>
          <w:sz w:val="24"/>
          <w:szCs w:val="24"/>
        </w:rPr>
      </w:pPr>
    </w:p>
    <w:p w14:paraId="1D26D35C" w14:textId="77777777" w:rsidR="00C77D3D" w:rsidRDefault="00C77D3D" w:rsidP="00957D30">
      <w:pPr>
        <w:spacing w:line="360" w:lineRule="auto"/>
        <w:jc w:val="both"/>
        <w:rPr>
          <w:rFonts w:ascii="Times New Roman" w:hAnsi="Times New Roman" w:cs="Times New Roman"/>
          <w:sz w:val="24"/>
          <w:szCs w:val="24"/>
        </w:rPr>
      </w:pPr>
    </w:p>
    <w:p w14:paraId="758729D0" w14:textId="77777777" w:rsidR="00C77D3D" w:rsidRDefault="00C77D3D" w:rsidP="00957D30">
      <w:pPr>
        <w:spacing w:line="360" w:lineRule="auto"/>
        <w:jc w:val="both"/>
        <w:rPr>
          <w:rFonts w:ascii="Times New Roman" w:hAnsi="Times New Roman" w:cs="Times New Roman"/>
          <w:sz w:val="24"/>
          <w:szCs w:val="24"/>
        </w:rPr>
      </w:pPr>
    </w:p>
    <w:p w14:paraId="5D5C1602" w14:textId="77777777" w:rsidR="00C77D3D" w:rsidRDefault="00C77D3D" w:rsidP="00957D30">
      <w:pPr>
        <w:spacing w:line="360" w:lineRule="auto"/>
        <w:jc w:val="both"/>
        <w:rPr>
          <w:rFonts w:ascii="Times New Roman" w:hAnsi="Times New Roman" w:cs="Times New Roman"/>
          <w:sz w:val="24"/>
          <w:szCs w:val="24"/>
        </w:rPr>
      </w:pPr>
    </w:p>
    <w:p w14:paraId="30C537E6" w14:textId="77777777" w:rsidR="00C77D3D" w:rsidRDefault="00C77D3D" w:rsidP="00957D30">
      <w:pPr>
        <w:spacing w:line="360" w:lineRule="auto"/>
        <w:jc w:val="both"/>
        <w:rPr>
          <w:rFonts w:ascii="Times New Roman" w:hAnsi="Times New Roman" w:cs="Times New Roman"/>
          <w:sz w:val="24"/>
          <w:szCs w:val="24"/>
        </w:rPr>
      </w:pPr>
    </w:p>
    <w:p w14:paraId="18FE3EFC" w14:textId="77777777" w:rsidR="00C77D3D" w:rsidRDefault="00C77D3D" w:rsidP="00957D30">
      <w:pPr>
        <w:spacing w:line="360" w:lineRule="auto"/>
        <w:jc w:val="both"/>
        <w:rPr>
          <w:rFonts w:ascii="Times New Roman" w:hAnsi="Times New Roman" w:cs="Times New Roman"/>
          <w:sz w:val="24"/>
          <w:szCs w:val="24"/>
        </w:rPr>
      </w:pPr>
    </w:p>
    <w:p w14:paraId="6CC30783" w14:textId="77777777" w:rsidR="00C77D3D" w:rsidRDefault="00C77D3D" w:rsidP="00957D30">
      <w:pPr>
        <w:spacing w:line="360" w:lineRule="auto"/>
        <w:jc w:val="both"/>
        <w:rPr>
          <w:rFonts w:ascii="Times New Roman" w:hAnsi="Times New Roman" w:cs="Times New Roman"/>
          <w:sz w:val="24"/>
          <w:szCs w:val="24"/>
        </w:rPr>
      </w:pPr>
    </w:p>
    <w:p w14:paraId="11040EC0" w14:textId="77777777" w:rsidR="00C77D3D" w:rsidRDefault="00C77D3D" w:rsidP="00957D30">
      <w:pPr>
        <w:spacing w:line="360" w:lineRule="auto"/>
        <w:jc w:val="both"/>
        <w:rPr>
          <w:rFonts w:ascii="Times New Roman" w:hAnsi="Times New Roman" w:cs="Times New Roman"/>
          <w:sz w:val="24"/>
          <w:szCs w:val="24"/>
        </w:rPr>
      </w:pPr>
    </w:p>
    <w:p w14:paraId="63B68D6D" w14:textId="77777777" w:rsidR="00C77D3D" w:rsidRDefault="00C77D3D" w:rsidP="00957D30">
      <w:pPr>
        <w:spacing w:line="360" w:lineRule="auto"/>
        <w:jc w:val="both"/>
        <w:rPr>
          <w:rFonts w:ascii="Times New Roman" w:hAnsi="Times New Roman" w:cs="Times New Roman"/>
          <w:sz w:val="24"/>
          <w:szCs w:val="24"/>
        </w:rPr>
      </w:pPr>
    </w:p>
    <w:p w14:paraId="6D5C78D8" w14:textId="77777777" w:rsidR="00C77D3D" w:rsidRDefault="00C77D3D" w:rsidP="00957D30">
      <w:pPr>
        <w:spacing w:line="360" w:lineRule="auto"/>
        <w:jc w:val="both"/>
        <w:rPr>
          <w:rFonts w:ascii="Times New Roman" w:hAnsi="Times New Roman" w:cs="Times New Roman"/>
          <w:sz w:val="24"/>
          <w:szCs w:val="24"/>
        </w:rPr>
      </w:pPr>
    </w:p>
    <w:p w14:paraId="0F94E60A" w14:textId="77777777" w:rsidR="00C77D3D" w:rsidRDefault="00C77D3D" w:rsidP="00957D30">
      <w:pPr>
        <w:spacing w:line="360" w:lineRule="auto"/>
        <w:jc w:val="both"/>
        <w:rPr>
          <w:rFonts w:ascii="Times New Roman" w:hAnsi="Times New Roman" w:cs="Times New Roman"/>
          <w:sz w:val="24"/>
          <w:szCs w:val="24"/>
        </w:rPr>
      </w:pPr>
    </w:p>
    <w:p w14:paraId="5E49D2F1" w14:textId="77777777" w:rsidR="00C77D3D" w:rsidRDefault="00C77D3D" w:rsidP="00957D30">
      <w:pPr>
        <w:spacing w:line="360" w:lineRule="auto"/>
        <w:jc w:val="both"/>
        <w:rPr>
          <w:rFonts w:ascii="Times New Roman" w:hAnsi="Times New Roman" w:cs="Times New Roman"/>
          <w:sz w:val="24"/>
          <w:szCs w:val="24"/>
        </w:rPr>
      </w:pPr>
    </w:p>
    <w:p w14:paraId="512E4210" w14:textId="77777777" w:rsidR="00C77D3D" w:rsidRDefault="00C77D3D" w:rsidP="00957D30">
      <w:pPr>
        <w:spacing w:line="360" w:lineRule="auto"/>
        <w:jc w:val="both"/>
        <w:rPr>
          <w:rFonts w:ascii="Times New Roman" w:hAnsi="Times New Roman" w:cs="Times New Roman"/>
          <w:sz w:val="24"/>
          <w:szCs w:val="24"/>
        </w:rPr>
      </w:pPr>
    </w:p>
    <w:p w14:paraId="76A949D5" w14:textId="77777777" w:rsidR="00C77D3D" w:rsidRDefault="00C77D3D" w:rsidP="00957D30">
      <w:pPr>
        <w:spacing w:line="360" w:lineRule="auto"/>
        <w:jc w:val="both"/>
        <w:rPr>
          <w:rFonts w:ascii="Times New Roman" w:hAnsi="Times New Roman" w:cs="Times New Roman"/>
          <w:sz w:val="24"/>
          <w:szCs w:val="24"/>
        </w:rPr>
      </w:pPr>
    </w:p>
    <w:p w14:paraId="57827168" w14:textId="77777777" w:rsidR="00C77D3D" w:rsidRDefault="00C77D3D" w:rsidP="00957D30">
      <w:pPr>
        <w:spacing w:line="360" w:lineRule="auto"/>
        <w:jc w:val="both"/>
        <w:rPr>
          <w:rFonts w:ascii="Times New Roman" w:hAnsi="Times New Roman" w:cs="Times New Roman"/>
          <w:sz w:val="24"/>
          <w:szCs w:val="24"/>
        </w:rPr>
      </w:pPr>
    </w:p>
    <w:p w14:paraId="42457487" w14:textId="77777777" w:rsidR="00C77D3D" w:rsidRDefault="00C77D3D" w:rsidP="00957D30">
      <w:pPr>
        <w:spacing w:line="360" w:lineRule="auto"/>
        <w:jc w:val="both"/>
        <w:rPr>
          <w:rFonts w:ascii="Times New Roman" w:hAnsi="Times New Roman" w:cs="Times New Roman"/>
          <w:sz w:val="24"/>
          <w:szCs w:val="24"/>
        </w:rPr>
      </w:pPr>
    </w:p>
    <w:p w14:paraId="7D943F66" w14:textId="77777777" w:rsidR="00C77D3D" w:rsidRDefault="00C77D3D" w:rsidP="00957D30">
      <w:pPr>
        <w:spacing w:line="360" w:lineRule="auto"/>
        <w:jc w:val="both"/>
        <w:rPr>
          <w:rFonts w:ascii="Times New Roman" w:hAnsi="Times New Roman" w:cs="Times New Roman"/>
          <w:sz w:val="24"/>
          <w:szCs w:val="24"/>
        </w:rPr>
      </w:pPr>
    </w:p>
    <w:p w14:paraId="3B511C86" w14:textId="77777777" w:rsidR="00C77D3D" w:rsidRPr="00A908F4" w:rsidRDefault="00C77D3D" w:rsidP="00957D30">
      <w:pPr>
        <w:spacing w:line="360" w:lineRule="auto"/>
        <w:jc w:val="both"/>
        <w:rPr>
          <w:rFonts w:ascii="Times New Roman" w:hAnsi="Times New Roman" w:cs="Times New Roman"/>
          <w:sz w:val="24"/>
          <w:szCs w:val="24"/>
        </w:rPr>
      </w:pPr>
    </w:p>
    <w:p w14:paraId="31C00CE2" w14:textId="77777777" w:rsidR="00A908F4" w:rsidRPr="00A908F4" w:rsidRDefault="00A908F4" w:rsidP="00957D30">
      <w:pPr>
        <w:spacing w:line="360" w:lineRule="auto"/>
        <w:jc w:val="both"/>
        <w:rPr>
          <w:rFonts w:ascii="Times New Roman" w:hAnsi="Times New Roman" w:cs="Times New Roman"/>
          <w:sz w:val="24"/>
          <w:szCs w:val="24"/>
        </w:rPr>
      </w:pPr>
    </w:p>
    <w:sectPr w:rsidR="00A908F4" w:rsidRPr="00A908F4" w:rsidSect="009356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4126" w14:textId="77777777" w:rsidR="007A7E65" w:rsidRDefault="007A7E65" w:rsidP="00B75CF0">
      <w:pPr>
        <w:spacing w:after="0" w:line="240" w:lineRule="auto"/>
      </w:pPr>
      <w:r>
        <w:separator/>
      </w:r>
    </w:p>
  </w:endnote>
  <w:endnote w:type="continuationSeparator" w:id="0">
    <w:p w14:paraId="61F4D54F" w14:textId="77777777" w:rsidR="007A7E65" w:rsidRDefault="007A7E65" w:rsidP="00B7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B2ED" w14:textId="77777777" w:rsidR="00B75CF0" w:rsidRDefault="00B75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C3E2" w14:textId="77777777" w:rsidR="00B75CF0" w:rsidRDefault="00B75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847C" w14:textId="77777777" w:rsidR="00B75CF0" w:rsidRDefault="00B7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334B" w14:textId="77777777" w:rsidR="007A7E65" w:rsidRDefault="007A7E65" w:rsidP="00B75CF0">
      <w:pPr>
        <w:spacing w:after="0" w:line="240" w:lineRule="auto"/>
      </w:pPr>
      <w:r>
        <w:separator/>
      </w:r>
    </w:p>
  </w:footnote>
  <w:footnote w:type="continuationSeparator" w:id="0">
    <w:p w14:paraId="2A93AD0D" w14:textId="77777777" w:rsidR="007A7E65" w:rsidRDefault="007A7E65" w:rsidP="00B7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2346" w14:textId="77777777" w:rsidR="00B75CF0" w:rsidRDefault="00000000">
    <w:pPr>
      <w:pStyle w:val="Header"/>
    </w:pPr>
    <w:r>
      <w:rPr>
        <w:noProof/>
      </w:rPr>
      <w:pict w14:anchorId="24544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A116" w14:textId="77777777" w:rsidR="00B75CF0" w:rsidRDefault="00000000">
    <w:pPr>
      <w:pStyle w:val="Header"/>
    </w:pPr>
    <w:r>
      <w:rPr>
        <w:noProof/>
      </w:rPr>
      <w:pict w14:anchorId="508F0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1E83" w14:textId="77777777" w:rsidR="00B75CF0" w:rsidRDefault="00000000">
    <w:pPr>
      <w:pStyle w:val="Header"/>
    </w:pPr>
    <w:r>
      <w:rPr>
        <w:noProof/>
      </w:rPr>
      <w:pict w14:anchorId="1A625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CBB"/>
    <w:multiLevelType w:val="hybridMultilevel"/>
    <w:tmpl w:val="A786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0E74"/>
    <w:multiLevelType w:val="hybridMultilevel"/>
    <w:tmpl w:val="4F421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0AC"/>
    <w:multiLevelType w:val="hybridMultilevel"/>
    <w:tmpl w:val="B17C6DC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6DC53BC"/>
    <w:multiLevelType w:val="hybridMultilevel"/>
    <w:tmpl w:val="3B546D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389C"/>
    <w:multiLevelType w:val="hybridMultilevel"/>
    <w:tmpl w:val="CC022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D081B"/>
    <w:multiLevelType w:val="hybridMultilevel"/>
    <w:tmpl w:val="2BD86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21237"/>
    <w:multiLevelType w:val="hybridMultilevel"/>
    <w:tmpl w:val="E89667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FE339DE"/>
    <w:multiLevelType w:val="hybridMultilevel"/>
    <w:tmpl w:val="541A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117DF"/>
    <w:multiLevelType w:val="hybridMultilevel"/>
    <w:tmpl w:val="D4F07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F7A2C"/>
    <w:multiLevelType w:val="hybridMultilevel"/>
    <w:tmpl w:val="8C08880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6BA004E"/>
    <w:multiLevelType w:val="hybridMultilevel"/>
    <w:tmpl w:val="CD7CB14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8536DB5"/>
    <w:multiLevelType w:val="hybridMultilevel"/>
    <w:tmpl w:val="1722C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1161E"/>
    <w:multiLevelType w:val="hybridMultilevel"/>
    <w:tmpl w:val="568A6BF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BE5305"/>
    <w:multiLevelType w:val="hybridMultilevel"/>
    <w:tmpl w:val="6B76F322"/>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13931"/>
    <w:multiLevelType w:val="multilevel"/>
    <w:tmpl w:val="BDC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C6C35"/>
    <w:multiLevelType w:val="hybridMultilevel"/>
    <w:tmpl w:val="D856E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646DD"/>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BC65F78"/>
    <w:multiLevelType w:val="multilevel"/>
    <w:tmpl w:val="95D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67EA4"/>
    <w:multiLevelType w:val="hybridMultilevel"/>
    <w:tmpl w:val="F1944228"/>
    <w:lvl w:ilvl="0" w:tplc="213E99E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4791A09"/>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6101190"/>
    <w:multiLevelType w:val="hybridMultilevel"/>
    <w:tmpl w:val="05F85B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70C6607"/>
    <w:multiLevelType w:val="hybridMultilevel"/>
    <w:tmpl w:val="ED10487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97882363">
    <w:abstractNumId w:val="17"/>
  </w:num>
  <w:num w:numId="2" w16cid:durableId="1989245325">
    <w:abstractNumId w:val="12"/>
  </w:num>
  <w:num w:numId="3" w16cid:durableId="1593006379">
    <w:abstractNumId w:val="14"/>
  </w:num>
  <w:num w:numId="4" w16cid:durableId="180626297">
    <w:abstractNumId w:val="21"/>
  </w:num>
  <w:num w:numId="5" w16cid:durableId="1202668250">
    <w:abstractNumId w:val="20"/>
  </w:num>
  <w:num w:numId="6" w16cid:durableId="1215695435">
    <w:abstractNumId w:val="6"/>
  </w:num>
  <w:num w:numId="7" w16cid:durableId="1850020762">
    <w:abstractNumId w:val="9"/>
  </w:num>
  <w:num w:numId="8" w16cid:durableId="1887720150">
    <w:abstractNumId w:val="2"/>
  </w:num>
  <w:num w:numId="9" w16cid:durableId="1034190085">
    <w:abstractNumId w:val="10"/>
  </w:num>
  <w:num w:numId="10" w16cid:durableId="288124269">
    <w:abstractNumId w:val="19"/>
  </w:num>
  <w:num w:numId="11" w16cid:durableId="1331450100">
    <w:abstractNumId w:val="16"/>
  </w:num>
  <w:num w:numId="12" w16cid:durableId="309601717">
    <w:abstractNumId w:val="18"/>
  </w:num>
  <w:num w:numId="13" w16cid:durableId="414782936">
    <w:abstractNumId w:val="0"/>
  </w:num>
  <w:num w:numId="14" w16cid:durableId="214392667">
    <w:abstractNumId w:val="1"/>
  </w:num>
  <w:num w:numId="15" w16cid:durableId="59451540">
    <w:abstractNumId w:val="3"/>
  </w:num>
  <w:num w:numId="16" w16cid:durableId="383717411">
    <w:abstractNumId w:val="13"/>
  </w:num>
  <w:num w:numId="17" w16cid:durableId="528299195">
    <w:abstractNumId w:val="5"/>
  </w:num>
  <w:num w:numId="18" w16cid:durableId="130631934">
    <w:abstractNumId w:val="8"/>
  </w:num>
  <w:num w:numId="19" w16cid:durableId="673651468">
    <w:abstractNumId w:val="7"/>
  </w:num>
  <w:num w:numId="20" w16cid:durableId="1186138116">
    <w:abstractNumId w:val="11"/>
  </w:num>
  <w:num w:numId="21" w16cid:durableId="1279684244">
    <w:abstractNumId w:val="4"/>
  </w:num>
  <w:num w:numId="22" w16cid:durableId="1717194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0EF"/>
    <w:rsid w:val="0018235D"/>
    <w:rsid w:val="00190745"/>
    <w:rsid w:val="001A6447"/>
    <w:rsid w:val="00304049"/>
    <w:rsid w:val="00321094"/>
    <w:rsid w:val="003D6F22"/>
    <w:rsid w:val="004517F2"/>
    <w:rsid w:val="00577DB0"/>
    <w:rsid w:val="0063066C"/>
    <w:rsid w:val="0065442B"/>
    <w:rsid w:val="006E09F1"/>
    <w:rsid w:val="00707814"/>
    <w:rsid w:val="007A7E65"/>
    <w:rsid w:val="007F452E"/>
    <w:rsid w:val="00845694"/>
    <w:rsid w:val="0093565D"/>
    <w:rsid w:val="00957D30"/>
    <w:rsid w:val="00997884"/>
    <w:rsid w:val="009C10EF"/>
    <w:rsid w:val="00A6362A"/>
    <w:rsid w:val="00A773E1"/>
    <w:rsid w:val="00A908F4"/>
    <w:rsid w:val="00B24E70"/>
    <w:rsid w:val="00B75CF0"/>
    <w:rsid w:val="00C77D3D"/>
    <w:rsid w:val="00C83080"/>
    <w:rsid w:val="00C90BE2"/>
    <w:rsid w:val="00CA18EA"/>
    <w:rsid w:val="00D70DD6"/>
    <w:rsid w:val="00D87483"/>
    <w:rsid w:val="00DC5DAF"/>
    <w:rsid w:val="00E1428F"/>
    <w:rsid w:val="00E7338A"/>
    <w:rsid w:val="00F06AE4"/>
    <w:rsid w:val="00F74217"/>
    <w:rsid w:val="00F87CCE"/>
    <w:rsid w:val="00FB0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CA8F7"/>
  <w15:docId w15:val="{125DB6C0-4C38-4BC2-AF7B-AF4DDF4E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5D"/>
  </w:style>
  <w:style w:type="paragraph" w:styleId="Heading3">
    <w:name w:val="heading 3"/>
    <w:basedOn w:val="Normal"/>
    <w:link w:val="Heading3Char"/>
    <w:uiPriority w:val="9"/>
    <w:qFormat/>
    <w:rsid w:val="00CA18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0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A18EA"/>
    <w:rPr>
      <w:rFonts w:ascii="Times New Roman" w:eastAsia="Times New Roman" w:hAnsi="Times New Roman" w:cs="Times New Roman"/>
      <w:b/>
      <w:bCs/>
      <w:sz w:val="27"/>
      <w:szCs w:val="27"/>
    </w:rPr>
  </w:style>
  <w:style w:type="paragraph" w:styleId="NormalWeb">
    <w:name w:val="Normal (Web)"/>
    <w:basedOn w:val="Normal"/>
    <w:uiPriority w:val="99"/>
    <w:unhideWhenUsed/>
    <w:rsid w:val="00C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8EA"/>
    <w:rPr>
      <w:b/>
      <w:bCs/>
    </w:rPr>
  </w:style>
  <w:style w:type="character" w:styleId="Emphasis">
    <w:name w:val="Emphasis"/>
    <w:basedOn w:val="DefaultParagraphFont"/>
    <w:uiPriority w:val="20"/>
    <w:qFormat/>
    <w:rsid w:val="00CA18EA"/>
    <w:rPr>
      <w:i/>
      <w:iCs/>
    </w:rPr>
  </w:style>
  <w:style w:type="paragraph" w:styleId="ListParagraph">
    <w:name w:val="List Paragraph"/>
    <w:basedOn w:val="Normal"/>
    <w:uiPriority w:val="34"/>
    <w:qFormat/>
    <w:rsid w:val="00CA18EA"/>
    <w:pPr>
      <w:ind w:left="720"/>
      <w:contextualSpacing/>
    </w:pPr>
  </w:style>
  <w:style w:type="character" w:styleId="Hyperlink">
    <w:name w:val="Hyperlink"/>
    <w:basedOn w:val="DefaultParagraphFont"/>
    <w:uiPriority w:val="99"/>
    <w:unhideWhenUsed/>
    <w:rsid w:val="0063066C"/>
    <w:rPr>
      <w:color w:val="0000FF" w:themeColor="hyperlink"/>
      <w:u w:val="single"/>
    </w:rPr>
  </w:style>
  <w:style w:type="paragraph" w:styleId="NoSpacing">
    <w:name w:val="No Spacing"/>
    <w:uiPriority w:val="1"/>
    <w:qFormat/>
    <w:rsid w:val="00C77D3D"/>
    <w:pPr>
      <w:spacing w:after="0" w:line="240" w:lineRule="auto"/>
    </w:pPr>
  </w:style>
  <w:style w:type="paragraph" w:styleId="Header">
    <w:name w:val="header"/>
    <w:basedOn w:val="Normal"/>
    <w:link w:val="HeaderChar"/>
    <w:uiPriority w:val="99"/>
    <w:unhideWhenUsed/>
    <w:rsid w:val="00B7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F0"/>
  </w:style>
  <w:style w:type="paragraph" w:styleId="Footer">
    <w:name w:val="footer"/>
    <w:basedOn w:val="Normal"/>
    <w:link w:val="FooterChar"/>
    <w:uiPriority w:val="99"/>
    <w:unhideWhenUsed/>
    <w:rsid w:val="00B7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F0"/>
  </w:style>
  <w:style w:type="character" w:customStyle="1" w:styleId="mord">
    <w:name w:val="mord"/>
    <w:basedOn w:val="DefaultParagraphFont"/>
    <w:rsid w:val="007F452E"/>
  </w:style>
  <w:style w:type="character" w:customStyle="1" w:styleId="vlist-s">
    <w:name w:val="vlist-s"/>
    <w:basedOn w:val="DefaultParagraphFont"/>
    <w:rsid w:val="007F452E"/>
  </w:style>
  <w:style w:type="character" w:customStyle="1" w:styleId="mrel">
    <w:name w:val="mrel"/>
    <w:basedOn w:val="DefaultParagraphFont"/>
    <w:rsid w:val="007F452E"/>
  </w:style>
  <w:style w:type="character" w:customStyle="1" w:styleId="mbin">
    <w:name w:val="mbin"/>
    <w:basedOn w:val="DefaultParagraphFont"/>
    <w:rsid w:val="007F452E"/>
  </w:style>
  <w:style w:type="character" w:customStyle="1" w:styleId="katex-mathml">
    <w:name w:val="katex-mathml"/>
    <w:basedOn w:val="DefaultParagraphFont"/>
    <w:rsid w:val="007F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293">
      <w:bodyDiv w:val="1"/>
      <w:marLeft w:val="0"/>
      <w:marRight w:val="0"/>
      <w:marTop w:val="0"/>
      <w:marBottom w:val="0"/>
      <w:divBdr>
        <w:top w:val="none" w:sz="0" w:space="0" w:color="auto"/>
        <w:left w:val="none" w:sz="0" w:space="0" w:color="auto"/>
        <w:bottom w:val="none" w:sz="0" w:space="0" w:color="auto"/>
        <w:right w:val="none" w:sz="0" w:space="0" w:color="auto"/>
      </w:divBdr>
    </w:div>
    <w:div w:id="205217590">
      <w:bodyDiv w:val="1"/>
      <w:marLeft w:val="0"/>
      <w:marRight w:val="0"/>
      <w:marTop w:val="0"/>
      <w:marBottom w:val="0"/>
      <w:divBdr>
        <w:top w:val="none" w:sz="0" w:space="0" w:color="auto"/>
        <w:left w:val="none" w:sz="0" w:space="0" w:color="auto"/>
        <w:bottom w:val="none" w:sz="0" w:space="0" w:color="auto"/>
        <w:right w:val="none" w:sz="0" w:space="0" w:color="auto"/>
      </w:divBdr>
    </w:div>
    <w:div w:id="224724934">
      <w:bodyDiv w:val="1"/>
      <w:marLeft w:val="0"/>
      <w:marRight w:val="0"/>
      <w:marTop w:val="0"/>
      <w:marBottom w:val="0"/>
      <w:divBdr>
        <w:top w:val="none" w:sz="0" w:space="0" w:color="auto"/>
        <w:left w:val="none" w:sz="0" w:space="0" w:color="auto"/>
        <w:bottom w:val="none" w:sz="0" w:space="0" w:color="auto"/>
        <w:right w:val="none" w:sz="0" w:space="0" w:color="auto"/>
      </w:divBdr>
    </w:div>
    <w:div w:id="372460287">
      <w:bodyDiv w:val="1"/>
      <w:marLeft w:val="0"/>
      <w:marRight w:val="0"/>
      <w:marTop w:val="0"/>
      <w:marBottom w:val="0"/>
      <w:divBdr>
        <w:top w:val="none" w:sz="0" w:space="0" w:color="auto"/>
        <w:left w:val="none" w:sz="0" w:space="0" w:color="auto"/>
        <w:bottom w:val="none" w:sz="0" w:space="0" w:color="auto"/>
        <w:right w:val="none" w:sz="0" w:space="0" w:color="auto"/>
      </w:divBdr>
    </w:div>
    <w:div w:id="574360159">
      <w:bodyDiv w:val="1"/>
      <w:marLeft w:val="0"/>
      <w:marRight w:val="0"/>
      <w:marTop w:val="0"/>
      <w:marBottom w:val="0"/>
      <w:divBdr>
        <w:top w:val="none" w:sz="0" w:space="0" w:color="auto"/>
        <w:left w:val="none" w:sz="0" w:space="0" w:color="auto"/>
        <w:bottom w:val="none" w:sz="0" w:space="0" w:color="auto"/>
        <w:right w:val="none" w:sz="0" w:space="0" w:color="auto"/>
      </w:divBdr>
    </w:div>
    <w:div w:id="591427416">
      <w:bodyDiv w:val="1"/>
      <w:marLeft w:val="0"/>
      <w:marRight w:val="0"/>
      <w:marTop w:val="0"/>
      <w:marBottom w:val="0"/>
      <w:divBdr>
        <w:top w:val="none" w:sz="0" w:space="0" w:color="auto"/>
        <w:left w:val="none" w:sz="0" w:space="0" w:color="auto"/>
        <w:bottom w:val="none" w:sz="0" w:space="0" w:color="auto"/>
        <w:right w:val="none" w:sz="0" w:space="0" w:color="auto"/>
      </w:divBdr>
    </w:div>
    <w:div w:id="612446200">
      <w:bodyDiv w:val="1"/>
      <w:marLeft w:val="0"/>
      <w:marRight w:val="0"/>
      <w:marTop w:val="0"/>
      <w:marBottom w:val="0"/>
      <w:divBdr>
        <w:top w:val="none" w:sz="0" w:space="0" w:color="auto"/>
        <w:left w:val="none" w:sz="0" w:space="0" w:color="auto"/>
        <w:bottom w:val="none" w:sz="0" w:space="0" w:color="auto"/>
        <w:right w:val="none" w:sz="0" w:space="0" w:color="auto"/>
      </w:divBdr>
    </w:div>
    <w:div w:id="724791371">
      <w:bodyDiv w:val="1"/>
      <w:marLeft w:val="0"/>
      <w:marRight w:val="0"/>
      <w:marTop w:val="0"/>
      <w:marBottom w:val="0"/>
      <w:divBdr>
        <w:top w:val="none" w:sz="0" w:space="0" w:color="auto"/>
        <w:left w:val="none" w:sz="0" w:space="0" w:color="auto"/>
        <w:bottom w:val="none" w:sz="0" w:space="0" w:color="auto"/>
        <w:right w:val="none" w:sz="0" w:space="0" w:color="auto"/>
      </w:divBdr>
    </w:div>
    <w:div w:id="1188257380">
      <w:bodyDiv w:val="1"/>
      <w:marLeft w:val="0"/>
      <w:marRight w:val="0"/>
      <w:marTop w:val="0"/>
      <w:marBottom w:val="0"/>
      <w:divBdr>
        <w:top w:val="none" w:sz="0" w:space="0" w:color="auto"/>
        <w:left w:val="none" w:sz="0" w:space="0" w:color="auto"/>
        <w:bottom w:val="none" w:sz="0" w:space="0" w:color="auto"/>
        <w:right w:val="none" w:sz="0" w:space="0" w:color="auto"/>
      </w:divBdr>
    </w:div>
    <w:div w:id="1272392967">
      <w:bodyDiv w:val="1"/>
      <w:marLeft w:val="0"/>
      <w:marRight w:val="0"/>
      <w:marTop w:val="0"/>
      <w:marBottom w:val="0"/>
      <w:divBdr>
        <w:top w:val="none" w:sz="0" w:space="0" w:color="auto"/>
        <w:left w:val="none" w:sz="0" w:space="0" w:color="auto"/>
        <w:bottom w:val="none" w:sz="0" w:space="0" w:color="auto"/>
        <w:right w:val="none" w:sz="0" w:space="0" w:color="auto"/>
      </w:divBdr>
    </w:div>
    <w:div w:id="1398358561">
      <w:bodyDiv w:val="1"/>
      <w:marLeft w:val="0"/>
      <w:marRight w:val="0"/>
      <w:marTop w:val="0"/>
      <w:marBottom w:val="0"/>
      <w:divBdr>
        <w:top w:val="none" w:sz="0" w:space="0" w:color="auto"/>
        <w:left w:val="none" w:sz="0" w:space="0" w:color="auto"/>
        <w:bottom w:val="none" w:sz="0" w:space="0" w:color="auto"/>
        <w:right w:val="none" w:sz="0" w:space="0" w:color="auto"/>
      </w:divBdr>
    </w:div>
    <w:div w:id="1402142968">
      <w:bodyDiv w:val="1"/>
      <w:marLeft w:val="0"/>
      <w:marRight w:val="0"/>
      <w:marTop w:val="0"/>
      <w:marBottom w:val="0"/>
      <w:divBdr>
        <w:top w:val="none" w:sz="0" w:space="0" w:color="auto"/>
        <w:left w:val="none" w:sz="0" w:space="0" w:color="auto"/>
        <w:bottom w:val="none" w:sz="0" w:space="0" w:color="auto"/>
        <w:right w:val="none" w:sz="0" w:space="0" w:color="auto"/>
      </w:divBdr>
    </w:div>
    <w:div w:id="1435831840">
      <w:bodyDiv w:val="1"/>
      <w:marLeft w:val="0"/>
      <w:marRight w:val="0"/>
      <w:marTop w:val="0"/>
      <w:marBottom w:val="0"/>
      <w:divBdr>
        <w:top w:val="none" w:sz="0" w:space="0" w:color="auto"/>
        <w:left w:val="none" w:sz="0" w:space="0" w:color="auto"/>
        <w:bottom w:val="none" w:sz="0" w:space="0" w:color="auto"/>
        <w:right w:val="none" w:sz="0" w:space="0" w:color="auto"/>
      </w:divBdr>
    </w:div>
    <w:div w:id="1594246820">
      <w:bodyDiv w:val="1"/>
      <w:marLeft w:val="0"/>
      <w:marRight w:val="0"/>
      <w:marTop w:val="0"/>
      <w:marBottom w:val="0"/>
      <w:divBdr>
        <w:top w:val="none" w:sz="0" w:space="0" w:color="auto"/>
        <w:left w:val="none" w:sz="0" w:space="0" w:color="auto"/>
        <w:bottom w:val="none" w:sz="0" w:space="0" w:color="auto"/>
        <w:right w:val="none" w:sz="0" w:space="0" w:color="auto"/>
      </w:divBdr>
    </w:div>
    <w:div w:id="1772629346">
      <w:bodyDiv w:val="1"/>
      <w:marLeft w:val="0"/>
      <w:marRight w:val="0"/>
      <w:marTop w:val="0"/>
      <w:marBottom w:val="0"/>
      <w:divBdr>
        <w:top w:val="none" w:sz="0" w:space="0" w:color="auto"/>
        <w:left w:val="none" w:sz="0" w:space="0" w:color="auto"/>
        <w:bottom w:val="none" w:sz="0" w:space="0" w:color="auto"/>
        <w:right w:val="none" w:sz="0" w:space="0" w:color="auto"/>
      </w:divBdr>
    </w:div>
    <w:div w:id="19821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o.org/publications/sofa/2021/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orldbank.org/en/topic/agriculture/publication/agricultural-productivity-and-post-harvest-management" TargetMode="External"/><Relationship Id="rId4" Type="http://schemas.openxmlformats.org/officeDocument/2006/relationships/settings" Target="settings.xml"/><Relationship Id="rId9" Type="http://schemas.openxmlformats.org/officeDocument/2006/relationships/hyperlink" Target="https://www.fas.usda.gov/data/oilseeds-world-markets-and-tra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7572-05BC-4DA4-B66F-672EBF7C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Editor-90</cp:lastModifiedBy>
  <cp:revision>3</cp:revision>
  <dcterms:created xsi:type="dcterms:W3CDTF">2025-10-21T13:18:00Z</dcterms:created>
  <dcterms:modified xsi:type="dcterms:W3CDTF">2025-10-22T06:41:00Z</dcterms:modified>
</cp:coreProperties>
</file>