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0D19" w14:textId="38FBA166" w:rsidR="00754C9A" w:rsidRDefault="00CB05BF" w:rsidP="00441B6F">
      <w:pPr>
        <w:pStyle w:val="Ttulo"/>
        <w:spacing w:after="0"/>
        <w:jc w:val="both"/>
        <w:rPr>
          <w:rFonts w:ascii="Arial" w:hAnsi="Arial" w:cs="Arial"/>
        </w:rPr>
      </w:pPr>
      <w:r w:rsidRPr="00CB05BF">
        <w:rPr>
          <w:rFonts w:ascii="Arial" w:hAnsi="Arial" w:cs="Arial"/>
        </w:rPr>
        <w:t>Review Article</w:t>
      </w:r>
    </w:p>
    <w:p w14:paraId="10202F28" w14:textId="77777777" w:rsidR="00CB05BF" w:rsidRDefault="00CB05BF" w:rsidP="00441B6F">
      <w:pPr>
        <w:pStyle w:val="Ttulo"/>
        <w:spacing w:after="0"/>
        <w:jc w:val="both"/>
        <w:rPr>
          <w:rFonts w:ascii="Arial" w:hAnsi="Arial" w:cs="Arial"/>
        </w:rPr>
      </w:pPr>
    </w:p>
    <w:p w14:paraId="5CB05952" w14:textId="05D6C1A2" w:rsidR="0071736A" w:rsidRPr="00163BC4" w:rsidRDefault="0071736A" w:rsidP="0071736A">
      <w:pPr>
        <w:pStyle w:val="Author"/>
        <w:spacing w:line="240" w:lineRule="auto"/>
        <w:rPr>
          <w:rFonts w:ascii="Arial" w:hAnsi="Arial" w:cs="Arial"/>
          <w:bCs/>
          <w:iCs/>
          <w:kern w:val="28"/>
          <w:sz w:val="36"/>
        </w:rPr>
      </w:pPr>
      <w:r w:rsidRPr="0071736A">
        <w:rPr>
          <w:rFonts w:ascii="Arial" w:hAnsi="Arial" w:cs="Arial"/>
          <w:bCs/>
          <w:iCs/>
          <w:kern w:val="28"/>
          <w:sz w:val="36"/>
        </w:rPr>
        <w:t>Cervical margin elevation procedures and their impact on the periodontium</w:t>
      </w:r>
    </w:p>
    <w:p w14:paraId="060C19B6" w14:textId="77777777" w:rsidR="00A258C3" w:rsidRPr="00790ADA" w:rsidRDefault="00A258C3" w:rsidP="00441B6F">
      <w:pPr>
        <w:pStyle w:val="Author"/>
        <w:spacing w:line="240" w:lineRule="auto"/>
        <w:jc w:val="both"/>
        <w:rPr>
          <w:rFonts w:ascii="Arial" w:hAnsi="Arial" w:cs="Arial"/>
          <w:sz w:val="36"/>
        </w:rPr>
      </w:pPr>
    </w:p>
    <w:p w14:paraId="6F4B8C36" w14:textId="7881B2F0" w:rsidR="00790ADA" w:rsidRDefault="00790ADA" w:rsidP="00441B6F">
      <w:pPr>
        <w:pStyle w:val="Affiliation"/>
        <w:spacing w:after="0" w:line="240" w:lineRule="auto"/>
        <w:jc w:val="both"/>
        <w:rPr>
          <w:rFonts w:ascii="Arial" w:hAnsi="Arial" w:cs="Arial"/>
        </w:rPr>
      </w:pPr>
    </w:p>
    <w:p w14:paraId="22BAA9A2" w14:textId="77777777" w:rsidR="00CC3F35" w:rsidRDefault="00CC3F35" w:rsidP="00441B6F">
      <w:pPr>
        <w:pStyle w:val="Affiliation"/>
        <w:spacing w:after="0" w:line="240" w:lineRule="auto"/>
        <w:jc w:val="both"/>
        <w:rPr>
          <w:rFonts w:ascii="Arial" w:hAnsi="Arial" w:cs="Arial"/>
        </w:rPr>
      </w:pPr>
    </w:p>
    <w:p w14:paraId="404EEDAD" w14:textId="77777777" w:rsidR="002C57D2" w:rsidRPr="00FB3A86" w:rsidRDefault="002C57D2" w:rsidP="00441B6F">
      <w:pPr>
        <w:pStyle w:val="Affiliation"/>
        <w:spacing w:after="0" w:line="240" w:lineRule="auto"/>
        <w:jc w:val="both"/>
        <w:rPr>
          <w:rFonts w:ascii="Arial" w:hAnsi="Arial" w:cs="Arial"/>
        </w:rPr>
      </w:pPr>
    </w:p>
    <w:p w14:paraId="2F00DBA4" w14:textId="77777777" w:rsidR="00B01FCD" w:rsidRPr="00FB3A86" w:rsidRDefault="0046131E" w:rsidP="00441B6F">
      <w:pPr>
        <w:pStyle w:val="Copyright"/>
        <w:spacing w:after="0" w:line="240" w:lineRule="auto"/>
        <w:jc w:val="both"/>
        <w:rPr>
          <w:rFonts w:ascii="Arial" w:hAnsi="Arial" w:cs="Arial"/>
        </w:rPr>
        <w:sectPr w:rsidR="00B01FCD" w:rsidRPr="00FB3A86" w:rsidSect="00CC3F3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8A40465" wp14:editId="77498848">
                <wp:extent cx="5303520" cy="635"/>
                <wp:effectExtent l="0" t="12700" r="5080" b="12065"/>
                <wp:docPr id="119476006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D8FA7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BJyNK31gAAAAIBAAAPAAAAZHJzL2Rvd25yZXYueG1sTI/BSsRAEETv&#10;gv8wtOBF3IkrLiFmsojgyYNx1w/oZNokmOkJmclm/Ht7veiloKmi6nW5T25UJ5rD4NnA3SYDRdx6&#10;O3Bn4OP4cpuDChHZ4uiZDHxTgH11eVFiYf3K73Q6xE5JCYcCDfQxToXWoe3JYdj4iVi8Tz87jHLO&#10;nbYzrlLuRr3Nsp12OLAs9DjRc0/t12FxBtLbjmOq89SsvLyG/KZO6Gpjrq/S0yOoSCn+heGML+hQ&#10;CVPjF7ZBjQbkkfir4uX3D1tQzTmkq1L/R69+AAAA//8DAFBLAQItABQABgAIAAAAIQC2gziS/gAA&#10;AOEBAAATAAAAAAAAAAAAAAAAAAAAAABbQ29udGVudF9UeXBlc10ueG1sUEsBAi0AFAAGAAgAAAAh&#10;ADj9If/WAAAAlAEAAAsAAAAAAAAAAAAAAAAALwEAAF9yZWxzLy5yZWxzUEsBAi0AFAAGAAgAAAAh&#10;AF1SEb2rAQAAQQMAAA4AAAAAAAAAAAAAAAAALgIAAGRycy9lMm9Eb2MueG1sUEsBAi0AFAAGAAgA&#10;AAAhAEnI0rfWAAAAAgEAAA8AAAAAAAAAAAAAAAAABQQAAGRycy9kb3ducmV2LnhtbFBLBQYAAAAA&#10;BAAEAPMAAAAIBQAAAAA=&#10;" strokeweight="1.5pt">
                <o:lock v:ext="edit" shapetype="f"/>
                <w10:anchorlock/>
              </v:shape>
            </w:pict>
          </mc:Fallback>
        </mc:AlternateContent>
      </w:r>
      <w:r w:rsidR="00FB3A86">
        <w:rPr>
          <w:rFonts w:ascii="Arial" w:hAnsi="Arial" w:cs="Arial"/>
        </w:rPr>
        <w:t>.</w:t>
      </w:r>
    </w:p>
    <w:p w14:paraId="4EF6FB98" w14:textId="404244A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41EC7F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B118AA" w14:paraId="384689AC" w14:textId="77777777" w:rsidTr="00B118AA">
        <w:tc>
          <w:tcPr>
            <w:tcW w:w="9576" w:type="dxa"/>
            <w:shd w:val="clear" w:color="auto" w:fill="F2F2F2"/>
          </w:tcPr>
          <w:p w14:paraId="3F446392" w14:textId="16D3E0C5" w:rsidR="00B118AA" w:rsidRDefault="00B118AA" w:rsidP="00B118AA">
            <w:pPr>
              <w:pStyle w:val="NormalWeb"/>
              <w:spacing w:before="0" w:beforeAutospacing="0" w:after="0" w:afterAutospacing="0"/>
              <w:jc w:val="both"/>
              <w:rPr>
                <w:rFonts w:ascii="Arial" w:hAnsi="Arial" w:cs="Arial"/>
                <w:color w:val="000000"/>
                <w:sz w:val="20"/>
                <w:szCs w:val="20"/>
              </w:rPr>
            </w:pPr>
            <w:proofErr w:type="spellStart"/>
            <w:r w:rsidRPr="00B118AA">
              <w:rPr>
                <w:rStyle w:val="Forte"/>
                <w:rFonts w:ascii="Arial" w:hAnsi="Arial" w:cs="Arial"/>
                <w:color w:val="000000"/>
                <w:sz w:val="20"/>
                <w:szCs w:val="20"/>
              </w:rPr>
              <w:t>Aims</w:t>
            </w:r>
            <w:proofErr w:type="spellEnd"/>
            <w:r w:rsidRPr="00B118AA">
              <w:rPr>
                <w:rStyle w:val="Forte"/>
                <w:rFonts w:ascii="Arial" w:hAnsi="Arial" w:cs="Arial"/>
                <w:color w:val="000000"/>
                <w:sz w:val="20"/>
                <w:szCs w:val="20"/>
              </w:rPr>
              <w:t>:</w:t>
            </w:r>
            <w:r w:rsidRPr="00B118AA">
              <w:rPr>
                <w:rStyle w:val="apple-converted-space"/>
                <w:rFonts w:ascii="Arial" w:hAnsi="Arial" w:cs="Arial"/>
                <w:color w:val="000000"/>
                <w:sz w:val="20"/>
                <w:szCs w:val="20"/>
              </w:rPr>
              <w:t> </w:t>
            </w:r>
            <w:r w:rsidRPr="00B118AA">
              <w:rPr>
                <w:rFonts w:ascii="Arial" w:hAnsi="Arial" w:cs="Arial"/>
                <w:color w:val="000000"/>
                <w:sz w:val="20"/>
                <w:szCs w:val="20"/>
              </w:rPr>
              <w:t xml:space="preserve">Cervical </w:t>
            </w:r>
            <w:proofErr w:type="spellStart"/>
            <w:r w:rsidRPr="00B118AA">
              <w:rPr>
                <w:rFonts w:ascii="Arial" w:hAnsi="Arial" w:cs="Arial"/>
                <w:color w:val="000000"/>
                <w:sz w:val="20"/>
                <w:szCs w:val="20"/>
              </w:rPr>
              <w:t>margin</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relocation</w:t>
            </w:r>
            <w:proofErr w:type="spellEnd"/>
            <w:r w:rsidRPr="00B118AA">
              <w:rPr>
                <w:rFonts w:ascii="Arial" w:hAnsi="Arial" w:cs="Arial"/>
                <w:color w:val="000000"/>
                <w:sz w:val="20"/>
                <w:szCs w:val="20"/>
              </w:rPr>
              <w:t xml:space="preserve"> (CMR) </w:t>
            </w:r>
            <w:proofErr w:type="spellStart"/>
            <w:r w:rsidRPr="00B118AA">
              <w:rPr>
                <w:rFonts w:ascii="Arial" w:hAnsi="Arial" w:cs="Arial"/>
                <w:color w:val="000000"/>
                <w:sz w:val="20"/>
                <w:szCs w:val="20"/>
              </w:rPr>
              <w:t>is</w:t>
            </w:r>
            <w:proofErr w:type="spellEnd"/>
            <w:r w:rsidRPr="00B118AA">
              <w:rPr>
                <w:rFonts w:ascii="Arial" w:hAnsi="Arial" w:cs="Arial"/>
                <w:color w:val="000000"/>
                <w:sz w:val="20"/>
                <w:szCs w:val="20"/>
              </w:rPr>
              <w:t xml:space="preserve"> a </w:t>
            </w:r>
            <w:proofErr w:type="spellStart"/>
            <w:r w:rsidRPr="00B118AA">
              <w:rPr>
                <w:rFonts w:ascii="Arial" w:hAnsi="Arial" w:cs="Arial"/>
                <w:color w:val="000000"/>
                <w:sz w:val="20"/>
                <w:szCs w:val="20"/>
              </w:rPr>
              <w:t>restorative</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technique</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that</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repositions</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subgingival</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margins</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to</w:t>
            </w:r>
            <w:proofErr w:type="spellEnd"/>
            <w:r w:rsidRPr="00B118AA">
              <w:rPr>
                <w:rFonts w:ascii="Arial" w:hAnsi="Arial" w:cs="Arial"/>
                <w:color w:val="000000"/>
                <w:sz w:val="20"/>
                <w:szCs w:val="20"/>
              </w:rPr>
              <w:t xml:space="preserve"> a </w:t>
            </w:r>
            <w:proofErr w:type="spellStart"/>
            <w:r w:rsidRPr="00B118AA">
              <w:rPr>
                <w:rFonts w:ascii="Arial" w:hAnsi="Arial" w:cs="Arial"/>
                <w:color w:val="000000"/>
                <w:sz w:val="20"/>
                <w:szCs w:val="20"/>
              </w:rPr>
              <w:t>supragingival</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level</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using</w:t>
            </w:r>
            <w:proofErr w:type="spellEnd"/>
            <w:r w:rsidRPr="00B118AA">
              <w:rPr>
                <w:rFonts w:ascii="Arial" w:hAnsi="Arial" w:cs="Arial"/>
                <w:color w:val="000000"/>
                <w:sz w:val="20"/>
                <w:szCs w:val="20"/>
              </w:rPr>
              <w:t xml:space="preserve"> a </w:t>
            </w:r>
            <w:proofErr w:type="spellStart"/>
            <w:r w:rsidRPr="00B118AA">
              <w:rPr>
                <w:rFonts w:ascii="Arial" w:hAnsi="Arial" w:cs="Arial"/>
                <w:color w:val="000000"/>
                <w:sz w:val="20"/>
                <w:szCs w:val="20"/>
              </w:rPr>
              <w:t>matrix</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and</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composite</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resin</w:t>
            </w:r>
            <w:proofErr w:type="spellEnd"/>
            <w:r w:rsidRPr="00B118AA">
              <w:rPr>
                <w:rFonts w:ascii="Arial" w:hAnsi="Arial" w:cs="Arial"/>
                <w:color w:val="000000"/>
                <w:sz w:val="20"/>
                <w:szCs w:val="20"/>
              </w:rPr>
              <w:t xml:space="preserve">. It </w:t>
            </w:r>
            <w:proofErr w:type="spellStart"/>
            <w:r w:rsidRPr="00B118AA">
              <w:rPr>
                <w:rFonts w:ascii="Arial" w:hAnsi="Arial" w:cs="Arial"/>
                <w:color w:val="000000"/>
                <w:sz w:val="20"/>
                <w:szCs w:val="20"/>
              </w:rPr>
              <w:t>offers</w:t>
            </w:r>
            <w:proofErr w:type="spellEnd"/>
            <w:r w:rsidRPr="00B118AA">
              <w:rPr>
                <w:rFonts w:ascii="Arial" w:hAnsi="Arial" w:cs="Arial"/>
                <w:color w:val="000000"/>
                <w:sz w:val="20"/>
                <w:szCs w:val="20"/>
              </w:rPr>
              <w:t xml:space="preserve"> a </w:t>
            </w:r>
            <w:proofErr w:type="spellStart"/>
            <w:r w:rsidRPr="00B118AA">
              <w:rPr>
                <w:rFonts w:ascii="Arial" w:hAnsi="Arial" w:cs="Arial"/>
                <w:color w:val="000000"/>
                <w:sz w:val="20"/>
                <w:szCs w:val="20"/>
              </w:rPr>
              <w:t>less</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invasive</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alternative</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to</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surgical</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crown</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lengthening</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This</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study</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aimed</w:t>
            </w:r>
            <w:proofErr w:type="spellEnd"/>
            <w:r w:rsidRPr="00B118AA">
              <w:rPr>
                <w:rFonts w:ascii="Arial" w:hAnsi="Arial" w:cs="Arial"/>
                <w:color w:val="000000"/>
                <w:sz w:val="20"/>
                <w:szCs w:val="20"/>
              </w:rPr>
              <w:t xml:space="preserve"> </w:t>
            </w:r>
            <w:proofErr w:type="spellStart"/>
            <w:r w:rsidR="007210C6" w:rsidRPr="00C818B6">
              <w:rPr>
                <w:rFonts w:ascii="Arial" w:hAnsi="Arial" w:cs="Arial"/>
                <w:color w:val="000000"/>
                <w:sz w:val="20"/>
                <w:szCs w:val="20"/>
                <w:highlight w:val="yellow"/>
              </w:rPr>
              <w:t>to</w:t>
            </w:r>
            <w:proofErr w:type="spellEnd"/>
            <w:r w:rsidR="007210C6" w:rsidRPr="00C818B6">
              <w:rPr>
                <w:rFonts w:ascii="Arial" w:hAnsi="Arial" w:cs="Arial"/>
                <w:color w:val="000000"/>
                <w:sz w:val="20"/>
                <w:szCs w:val="20"/>
                <w:highlight w:val="yellow"/>
              </w:rPr>
              <w:t xml:space="preserve"> </w:t>
            </w:r>
            <w:proofErr w:type="spellStart"/>
            <w:r w:rsidR="007210C6" w:rsidRPr="00C818B6">
              <w:rPr>
                <w:rFonts w:ascii="Arial" w:hAnsi="Arial" w:cs="Arial"/>
                <w:color w:val="000000"/>
                <w:sz w:val="20"/>
                <w:szCs w:val="20"/>
                <w:highlight w:val="yellow"/>
              </w:rPr>
              <w:t>conduct</w:t>
            </w:r>
            <w:proofErr w:type="spellEnd"/>
            <w:r w:rsidR="007210C6" w:rsidRPr="00C818B6">
              <w:rPr>
                <w:rFonts w:ascii="Arial" w:hAnsi="Arial" w:cs="Arial"/>
                <w:color w:val="000000"/>
                <w:sz w:val="20"/>
                <w:szCs w:val="20"/>
                <w:highlight w:val="yellow"/>
              </w:rPr>
              <w:t xml:space="preserve"> a </w:t>
            </w:r>
            <w:proofErr w:type="spellStart"/>
            <w:r w:rsidR="007210C6" w:rsidRPr="00C818B6">
              <w:rPr>
                <w:rFonts w:ascii="Arial" w:hAnsi="Arial" w:cs="Arial"/>
                <w:color w:val="000000"/>
                <w:sz w:val="20"/>
                <w:szCs w:val="20"/>
                <w:highlight w:val="yellow"/>
              </w:rPr>
              <w:t>narrative</w:t>
            </w:r>
            <w:proofErr w:type="spellEnd"/>
            <w:r w:rsidR="007210C6" w:rsidRPr="00C818B6">
              <w:rPr>
                <w:rFonts w:ascii="Arial" w:hAnsi="Arial" w:cs="Arial"/>
                <w:color w:val="000000"/>
                <w:sz w:val="20"/>
                <w:szCs w:val="20"/>
                <w:highlight w:val="yellow"/>
              </w:rPr>
              <w:t xml:space="preserve"> review </w:t>
            </w:r>
            <w:proofErr w:type="spellStart"/>
            <w:r w:rsidR="007210C6" w:rsidRPr="00C818B6">
              <w:rPr>
                <w:rFonts w:ascii="Arial" w:hAnsi="Arial" w:cs="Arial"/>
                <w:color w:val="000000"/>
                <w:sz w:val="20"/>
                <w:szCs w:val="20"/>
                <w:highlight w:val="yellow"/>
              </w:rPr>
              <w:t>of</w:t>
            </w:r>
            <w:proofErr w:type="spellEnd"/>
            <w:r w:rsidR="007210C6" w:rsidRPr="00C818B6">
              <w:rPr>
                <w:rFonts w:ascii="Arial" w:hAnsi="Arial" w:cs="Arial"/>
                <w:color w:val="000000"/>
                <w:sz w:val="20"/>
                <w:szCs w:val="20"/>
                <w:highlight w:val="yellow"/>
              </w:rPr>
              <w:t xml:space="preserve"> </w:t>
            </w:r>
            <w:proofErr w:type="spellStart"/>
            <w:r w:rsidR="007210C6" w:rsidRPr="00C818B6">
              <w:rPr>
                <w:rFonts w:ascii="Arial" w:hAnsi="Arial" w:cs="Arial"/>
                <w:color w:val="000000"/>
                <w:sz w:val="20"/>
                <w:szCs w:val="20"/>
                <w:highlight w:val="yellow"/>
              </w:rPr>
              <w:t>the</w:t>
            </w:r>
            <w:proofErr w:type="spellEnd"/>
            <w:r w:rsidR="007210C6" w:rsidRPr="00C818B6">
              <w:rPr>
                <w:rFonts w:ascii="Arial" w:hAnsi="Arial" w:cs="Arial"/>
                <w:color w:val="000000"/>
                <w:sz w:val="20"/>
                <w:szCs w:val="20"/>
                <w:highlight w:val="yellow"/>
              </w:rPr>
              <w:t xml:space="preserve"> </w:t>
            </w:r>
            <w:proofErr w:type="spellStart"/>
            <w:r w:rsidR="007210C6" w:rsidRPr="00C818B6">
              <w:rPr>
                <w:rFonts w:ascii="Arial" w:hAnsi="Arial" w:cs="Arial"/>
                <w:color w:val="000000"/>
                <w:sz w:val="20"/>
                <w:szCs w:val="20"/>
                <w:highlight w:val="yellow"/>
              </w:rPr>
              <w:t>literature</w:t>
            </w:r>
            <w:proofErr w:type="spellEnd"/>
            <w:r w:rsidR="007210C6" w:rsidRPr="00C818B6">
              <w:rPr>
                <w:rFonts w:ascii="Arial" w:hAnsi="Arial" w:cs="Arial"/>
                <w:color w:val="000000"/>
                <w:sz w:val="20"/>
                <w:szCs w:val="20"/>
                <w:highlight w:val="yellow"/>
              </w:rPr>
              <w:t xml:space="preserve"> </w:t>
            </w:r>
            <w:proofErr w:type="spellStart"/>
            <w:r w:rsidR="007210C6" w:rsidRPr="00C818B6">
              <w:rPr>
                <w:rFonts w:ascii="Arial" w:hAnsi="Arial" w:cs="Arial"/>
                <w:color w:val="000000"/>
                <w:sz w:val="20"/>
                <w:szCs w:val="20"/>
                <w:highlight w:val="yellow"/>
              </w:rPr>
              <w:t>on</w:t>
            </w:r>
            <w:proofErr w:type="spellEnd"/>
            <w:r w:rsidR="007210C6" w:rsidRPr="007210C6">
              <w:rPr>
                <w:rFonts w:ascii="Arial" w:hAnsi="Arial" w:cs="Arial"/>
                <w:color w:val="000000"/>
                <w:sz w:val="20"/>
                <w:szCs w:val="20"/>
              </w:rPr>
              <w:t xml:space="preserve"> </w:t>
            </w:r>
            <w:proofErr w:type="spellStart"/>
            <w:r w:rsidR="007210C6" w:rsidRPr="007210C6">
              <w:rPr>
                <w:rFonts w:ascii="Arial" w:hAnsi="Arial" w:cs="Arial"/>
                <w:color w:val="000000"/>
                <w:sz w:val="20"/>
                <w:szCs w:val="20"/>
              </w:rPr>
              <w:t>how</w:t>
            </w:r>
            <w:proofErr w:type="spellEnd"/>
            <w:r w:rsidR="007210C6" w:rsidRPr="007210C6">
              <w:rPr>
                <w:rFonts w:ascii="Arial" w:hAnsi="Arial" w:cs="Arial"/>
                <w:color w:val="000000"/>
                <w:sz w:val="20"/>
                <w:szCs w:val="20"/>
              </w:rPr>
              <w:t xml:space="preserve"> periodontal </w:t>
            </w:r>
            <w:proofErr w:type="spellStart"/>
            <w:r w:rsidR="007210C6" w:rsidRPr="007210C6">
              <w:rPr>
                <w:rFonts w:ascii="Arial" w:hAnsi="Arial" w:cs="Arial"/>
                <w:color w:val="000000"/>
                <w:sz w:val="20"/>
                <w:szCs w:val="20"/>
              </w:rPr>
              <w:t>conditions</w:t>
            </w:r>
            <w:proofErr w:type="spellEnd"/>
            <w:r w:rsidR="007210C6" w:rsidRPr="007210C6">
              <w:rPr>
                <w:rFonts w:ascii="Arial" w:hAnsi="Arial" w:cs="Arial"/>
                <w:color w:val="000000"/>
                <w:sz w:val="20"/>
                <w:szCs w:val="20"/>
              </w:rPr>
              <w:t xml:space="preserve"> </w:t>
            </w:r>
            <w:proofErr w:type="spellStart"/>
            <w:r w:rsidR="009B6851" w:rsidRPr="009B6851">
              <w:rPr>
                <w:rFonts w:ascii="Arial" w:hAnsi="Arial" w:cs="Arial"/>
                <w:color w:val="000000"/>
                <w:sz w:val="20"/>
                <w:szCs w:val="20"/>
                <w:highlight w:val="yellow"/>
              </w:rPr>
              <w:t>were</w:t>
            </w:r>
            <w:proofErr w:type="spellEnd"/>
            <w:r w:rsidR="007210C6" w:rsidRPr="007210C6">
              <w:rPr>
                <w:rFonts w:ascii="Arial" w:hAnsi="Arial" w:cs="Arial"/>
                <w:color w:val="000000"/>
                <w:sz w:val="20"/>
                <w:szCs w:val="20"/>
              </w:rPr>
              <w:t xml:space="preserve"> </w:t>
            </w:r>
            <w:proofErr w:type="spellStart"/>
            <w:r w:rsidR="007210C6" w:rsidRPr="007210C6">
              <w:rPr>
                <w:rFonts w:ascii="Arial" w:hAnsi="Arial" w:cs="Arial"/>
                <w:color w:val="000000"/>
                <w:sz w:val="20"/>
                <w:szCs w:val="20"/>
              </w:rPr>
              <w:t>investigated</w:t>
            </w:r>
            <w:proofErr w:type="spellEnd"/>
            <w:r w:rsidR="007210C6" w:rsidRPr="007210C6">
              <w:rPr>
                <w:rFonts w:ascii="Arial" w:hAnsi="Arial" w:cs="Arial"/>
                <w:color w:val="000000"/>
                <w:sz w:val="20"/>
                <w:szCs w:val="20"/>
              </w:rPr>
              <w:t xml:space="preserve"> in CMR procedures </w:t>
            </w:r>
            <w:proofErr w:type="spellStart"/>
            <w:r w:rsidR="007210C6" w:rsidRPr="007210C6">
              <w:rPr>
                <w:rFonts w:ascii="Arial" w:hAnsi="Arial" w:cs="Arial"/>
                <w:color w:val="000000"/>
                <w:sz w:val="20"/>
                <w:szCs w:val="20"/>
              </w:rPr>
              <w:t>and</w:t>
            </w:r>
            <w:proofErr w:type="spellEnd"/>
            <w:r w:rsidR="007210C6" w:rsidRPr="007210C6">
              <w:rPr>
                <w:rFonts w:ascii="Arial" w:hAnsi="Arial" w:cs="Arial"/>
                <w:color w:val="000000"/>
                <w:sz w:val="20"/>
                <w:szCs w:val="20"/>
              </w:rPr>
              <w:t xml:space="preserve"> </w:t>
            </w:r>
            <w:proofErr w:type="spellStart"/>
            <w:r w:rsidR="007210C6" w:rsidRPr="007210C6">
              <w:rPr>
                <w:rFonts w:ascii="Arial" w:hAnsi="Arial" w:cs="Arial"/>
                <w:color w:val="000000"/>
                <w:sz w:val="20"/>
                <w:szCs w:val="20"/>
              </w:rPr>
              <w:t>their</w:t>
            </w:r>
            <w:proofErr w:type="spellEnd"/>
            <w:r w:rsidR="007210C6" w:rsidRPr="007210C6">
              <w:rPr>
                <w:rFonts w:ascii="Arial" w:hAnsi="Arial" w:cs="Arial"/>
                <w:color w:val="000000"/>
                <w:sz w:val="20"/>
                <w:szCs w:val="20"/>
              </w:rPr>
              <w:t xml:space="preserve"> </w:t>
            </w:r>
            <w:proofErr w:type="spellStart"/>
            <w:r w:rsidR="007210C6" w:rsidRPr="007210C6">
              <w:rPr>
                <w:rFonts w:ascii="Arial" w:hAnsi="Arial" w:cs="Arial"/>
                <w:color w:val="000000"/>
                <w:sz w:val="20"/>
                <w:szCs w:val="20"/>
              </w:rPr>
              <w:t>impact</w:t>
            </w:r>
            <w:proofErr w:type="spellEnd"/>
            <w:r w:rsidR="007210C6" w:rsidRPr="007210C6">
              <w:rPr>
                <w:rFonts w:ascii="Arial" w:hAnsi="Arial" w:cs="Arial"/>
                <w:color w:val="000000"/>
                <w:sz w:val="20"/>
                <w:szCs w:val="20"/>
              </w:rPr>
              <w:t xml:space="preserve"> </w:t>
            </w:r>
            <w:proofErr w:type="spellStart"/>
            <w:r w:rsidR="007210C6" w:rsidRPr="007210C6">
              <w:rPr>
                <w:rFonts w:ascii="Arial" w:hAnsi="Arial" w:cs="Arial"/>
                <w:color w:val="000000"/>
                <w:sz w:val="20"/>
                <w:szCs w:val="20"/>
              </w:rPr>
              <w:t>on</w:t>
            </w:r>
            <w:proofErr w:type="spellEnd"/>
            <w:r w:rsidR="007210C6" w:rsidRPr="007210C6">
              <w:rPr>
                <w:rFonts w:ascii="Arial" w:hAnsi="Arial" w:cs="Arial"/>
                <w:color w:val="000000"/>
                <w:sz w:val="20"/>
                <w:szCs w:val="20"/>
              </w:rPr>
              <w:t xml:space="preserve"> periodontal </w:t>
            </w:r>
            <w:proofErr w:type="spellStart"/>
            <w:r w:rsidR="007210C6" w:rsidRPr="007210C6">
              <w:rPr>
                <w:rFonts w:ascii="Arial" w:hAnsi="Arial" w:cs="Arial"/>
                <w:color w:val="000000"/>
                <w:sz w:val="20"/>
                <w:szCs w:val="20"/>
              </w:rPr>
              <w:t>tissues</w:t>
            </w:r>
            <w:proofErr w:type="spellEnd"/>
            <w:r w:rsidR="007210C6" w:rsidRPr="007210C6">
              <w:rPr>
                <w:rFonts w:ascii="Arial" w:hAnsi="Arial" w:cs="Arial"/>
                <w:color w:val="000000"/>
                <w:sz w:val="20"/>
                <w:szCs w:val="20"/>
              </w:rPr>
              <w:t>.</w:t>
            </w:r>
          </w:p>
          <w:p w14:paraId="07EC6FE8" w14:textId="69DC30AE" w:rsidR="00B118AA" w:rsidRPr="00B118AA" w:rsidRDefault="00B118AA" w:rsidP="00B118AA">
            <w:pPr>
              <w:pStyle w:val="NormalWeb"/>
              <w:spacing w:before="0" w:beforeAutospacing="0" w:after="0" w:afterAutospacing="0"/>
              <w:jc w:val="both"/>
              <w:rPr>
                <w:rFonts w:ascii="Arial" w:hAnsi="Arial" w:cs="Arial"/>
                <w:color w:val="000000"/>
                <w:sz w:val="20"/>
                <w:szCs w:val="20"/>
              </w:rPr>
            </w:pPr>
            <w:proofErr w:type="spellStart"/>
            <w:r w:rsidRPr="00B118AA">
              <w:rPr>
                <w:rStyle w:val="Forte"/>
                <w:rFonts w:ascii="Arial" w:hAnsi="Arial" w:cs="Arial"/>
                <w:color w:val="000000"/>
                <w:sz w:val="20"/>
                <w:szCs w:val="20"/>
              </w:rPr>
              <w:t>Materials</w:t>
            </w:r>
            <w:proofErr w:type="spellEnd"/>
            <w:r w:rsidRPr="00B118AA">
              <w:rPr>
                <w:rStyle w:val="Forte"/>
                <w:rFonts w:ascii="Arial" w:hAnsi="Arial" w:cs="Arial"/>
                <w:color w:val="000000"/>
                <w:sz w:val="20"/>
                <w:szCs w:val="20"/>
              </w:rPr>
              <w:t xml:space="preserve"> </w:t>
            </w:r>
            <w:proofErr w:type="spellStart"/>
            <w:r w:rsidRPr="00B118AA">
              <w:rPr>
                <w:rStyle w:val="Forte"/>
                <w:rFonts w:ascii="Arial" w:hAnsi="Arial" w:cs="Arial"/>
                <w:color w:val="000000"/>
                <w:sz w:val="20"/>
                <w:szCs w:val="20"/>
              </w:rPr>
              <w:t>and</w:t>
            </w:r>
            <w:proofErr w:type="spellEnd"/>
            <w:r w:rsidRPr="00B118AA">
              <w:rPr>
                <w:rStyle w:val="Forte"/>
                <w:rFonts w:ascii="Arial" w:hAnsi="Arial" w:cs="Arial"/>
                <w:color w:val="000000"/>
                <w:sz w:val="20"/>
                <w:szCs w:val="20"/>
              </w:rPr>
              <w:t xml:space="preserve"> </w:t>
            </w:r>
            <w:proofErr w:type="spellStart"/>
            <w:r w:rsidRPr="00B118AA">
              <w:rPr>
                <w:rStyle w:val="Forte"/>
                <w:rFonts w:ascii="Arial" w:hAnsi="Arial" w:cs="Arial"/>
                <w:color w:val="000000"/>
                <w:sz w:val="20"/>
                <w:szCs w:val="20"/>
              </w:rPr>
              <w:t>Methods</w:t>
            </w:r>
            <w:proofErr w:type="spellEnd"/>
            <w:r w:rsidRPr="00B118AA">
              <w:rPr>
                <w:rStyle w:val="Forte"/>
                <w:rFonts w:ascii="Arial" w:hAnsi="Arial" w:cs="Arial"/>
                <w:color w:val="000000"/>
                <w:sz w:val="20"/>
                <w:szCs w:val="20"/>
              </w:rPr>
              <w:t>:</w:t>
            </w:r>
            <w:r w:rsidRPr="00B118AA">
              <w:rPr>
                <w:rStyle w:val="apple-converted-space"/>
                <w:rFonts w:ascii="Arial" w:hAnsi="Arial" w:cs="Arial"/>
                <w:color w:val="000000"/>
                <w:sz w:val="20"/>
                <w:szCs w:val="20"/>
              </w:rPr>
              <w:t> </w:t>
            </w:r>
            <w:r w:rsidRPr="00B118AA">
              <w:rPr>
                <w:rFonts w:ascii="Arial" w:hAnsi="Arial" w:cs="Arial"/>
                <w:color w:val="000000"/>
                <w:sz w:val="20"/>
                <w:szCs w:val="20"/>
              </w:rPr>
              <w:t xml:space="preserve">A </w:t>
            </w:r>
            <w:proofErr w:type="spellStart"/>
            <w:r w:rsidRPr="00B118AA">
              <w:rPr>
                <w:rFonts w:ascii="Arial" w:hAnsi="Arial" w:cs="Arial"/>
                <w:color w:val="000000"/>
                <w:sz w:val="20"/>
                <w:szCs w:val="20"/>
              </w:rPr>
              <w:t>search</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was</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conducted</w:t>
            </w:r>
            <w:proofErr w:type="spellEnd"/>
            <w:r w:rsidRPr="00B118AA">
              <w:rPr>
                <w:rFonts w:ascii="Arial" w:hAnsi="Arial" w:cs="Arial"/>
                <w:color w:val="000000"/>
                <w:sz w:val="20"/>
                <w:szCs w:val="20"/>
              </w:rPr>
              <w:t xml:space="preserve"> in </w:t>
            </w:r>
            <w:proofErr w:type="spellStart"/>
            <w:r w:rsidRPr="00B118AA">
              <w:rPr>
                <w:rFonts w:ascii="Arial" w:hAnsi="Arial" w:cs="Arial"/>
                <w:color w:val="000000"/>
                <w:sz w:val="20"/>
                <w:szCs w:val="20"/>
              </w:rPr>
              <w:t>PubMed</w:t>
            </w:r>
            <w:proofErr w:type="spellEnd"/>
            <w:r w:rsidRPr="00B118AA">
              <w:rPr>
                <w:rFonts w:ascii="Arial" w:hAnsi="Arial" w:cs="Arial"/>
                <w:color w:val="000000"/>
                <w:sz w:val="20"/>
                <w:szCs w:val="20"/>
              </w:rPr>
              <w:t>, CAPES-</w:t>
            </w:r>
            <w:proofErr w:type="spellStart"/>
            <w:r w:rsidRPr="00B118AA">
              <w:rPr>
                <w:rFonts w:ascii="Arial" w:hAnsi="Arial" w:cs="Arial"/>
                <w:color w:val="000000"/>
                <w:sz w:val="20"/>
                <w:szCs w:val="20"/>
              </w:rPr>
              <w:t>indexed</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journals</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and</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Lilacs</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using</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the</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descriptors</w:t>
            </w:r>
            <w:proofErr w:type="spellEnd"/>
            <w:r w:rsidRPr="00B118AA">
              <w:rPr>
                <w:rFonts w:ascii="Arial" w:hAnsi="Arial" w:cs="Arial"/>
                <w:color w:val="000000"/>
                <w:sz w:val="20"/>
                <w:szCs w:val="20"/>
              </w:rPr>
              <w:t xml:space="preserve"> “cervical </w:t>
            </w:r>
            <w:proofErr w:type="spellStart"/>
            <w:r w:rsidRPr="00B118AA">
              <w:rPr>
                <w:rFonts w:ascii="Arial" w:hAnsi="Arial" w:cs="Arial"/>
                <w:color w:val="000000"/>
                <w:sz w:val="20"/>
                <w:szCs w:val="20"/>
              </w:rPr>
              <w:t>margin</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relocation</w:t>
            </w:r>
            <w:proofErr w:type="spellEnd"/>
            <w:r w:rsidRPr="00B118AA">
              <w:rPr>
                <w:rFonts w:ascii="Arial" w:hAnsi="Arial" w:cs="Arial"/>
                <w:color w:val="000000"/>
                <w:sz w:val="20"/>
                <w:szCs w:val="20"/>
              </w:rPr>
              <w:t>,” “</w:t>
            </w:r>
            <w:proofErr w:type="spellStart"/>
            <w:r w:rsidRPr="00B118AA">
              <w:rPr>
                <w:rFonts w:ascii="Arial" w:hAnsi="Arial" w:cs="Arial"/>
                <w:color w:val="000000"/>
                <w:sz w:val="20"/>
                <w:szCs w:val="20"/>
              </w:rPr>
              <w:t>deep</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margin</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elevation</w:t>
            </w:r>
            <w:proofErr w:type="spellEnd"/>
            <w:r w:rsidRPr="00B118AA">
              <w:rPr>
                <w:rFonts w:ascii="Arial" w:hAnsi="Arial" w:cs="Arial"/>
                <w:color w:val="000000"/>
                <w:sz w:val="20"/>
                <w:szCs w:val="20"/>
              </w:rPr>
              <w:t>,” “</w:t>
            </w:r>
            <w:proofErr w:type="spellStart"/>
            <w:r w:rsidRPr="00B118AA">
              <w:rPr>
                <w:rFonts w:ascii="Arial" w:hAnsi="Arial" w:cs="Arial"/>
                <w:color w:val="000000"/>
                <w:sz w:val="20"/>
                <w:szCs w:val="20"/>
              </w:rPr>
              <w:t>subgingival</w:t>
            </w:r>
            <w:proofErr w:type="spellEnd"/>
            <w:r w:rsidRPr="00B118AA">
              <w:rPr>
                <w:rFonts w:ascii="Arial" w:hAnsi="Arial" w:cs="Arial"/>
                <w:color w:val="000000"/>
                <w:sz w:val="20"/>
                <w:szCs w:val="20"/>
              </w:rPr>
              <w:t xml:space="preserve"> cervical </w:t>
            </w:r>
            <w:proofErr w:type="spellStart"/>
            <w:r w:rsidRPr="00B118AA">
              <w:rPr>
                <w:rFonts w:ascii="Arial" w:hAnsi="Arial" w:cs="Arial"/>
                <w:color w:val="000000"/>
                <w:sz w:val="20"/>
                <w:szCs w:val="20"/>
              </w:rPr>
              <w:t>margin</w:t>
            </w:r>
            <w:proofErr w:type="spellEnd"/>
            <w:r w:rsidRPr="00B118AA">
              <w:rPr>
                <w:rFonts w:ascii="Arial" w:hAnsi="Arial" w:cs="Arial"/>
                <w:color w:val="000000"/>
                <w:sz w:val="20"/>
                <w:szCs w:val="20"/>
              </w:rPr>
              <w:t xml:space="preserve">,” “periodontal </w:t>
            </w:r>
            <w:proofErr w:type="spellStart"/>
            <w:r w:rsidRPr="00B118AA">
              <w:rPr>
                <w:rFonts w:ascii="Arial" w:hAnsi="Arial" w:cs="Arial"/>
                <w:color w:val="000000"/>
                <w:sz w:val="20"/>
                <w:szCs w:val="20"/>
              </w:rPr>
              <w:t>health</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and</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periodontium</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combined</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with</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Boolean</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operators</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Thirteen</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articles</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were</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retrieved</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after</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removing</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duplicates</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and</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screening</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eight</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clinical</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studies</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published</w:t>
            </w:r>
            <w:proofErr w:type="spellEnd"/>
            <w:r w:rsidRPr="00B118AA">
              <w:rPr>
                <w:rFonts w:ascii="Arial" w:hAnsi="Arial" w:cs="Arial"/>
                <w:color w:val="000000"/>
                <w:sz w:val="20"/>
                <w:szCs w:val="20"/>
              </w:rPr>
              <w:t xml:space="preserve"> in </w:t>
            </w:r>
            <w:proofErr w:type="spellStart"/>
            <w:r w:rsidRPr="00B118AA">
              <w:rPr>
                <w:rFonts w:ascii="Arial" w:hAnsi="Arial" w:cs="Arial"/>
                <w:color w:val="000000"/>
                <w:sz w:val="20"/>
                <w:szCs w:val="20"/>
              </w:rPr>
              <w:t>the</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last</w:t>
            </w:r>
            <w:proofErr w:type="spellEnd"/>
            <w:r w:rsidRPr="00B118AA">
              <w:rPr>
                <w:rFonts w:ascii="Arial" w:hAnsi="Arial" w:cs="Arial"/>
                <w:color w:val="000000"/>
                <w:sz w:val="20"/>
                <w:szCs w:val="20"/>
              </w:rPr>
              <w:t xml:space="preserve"> 10 </w:t>
            </w:r>
            <w:proofErr w:type="spellStart"/>
            <w:r w:rsidRPr="00B118AA">
              <w:rPr>
                <w:rFonts w:ascii="Arial" w:hAnsi="Arial" w:cs="Arial"/>
                <w:color w:val="000000"/>
                <w:sz w:val="20"/>
                <w:szCs w:val="20"/>
              </w:rPr>
              <w:t>years</w:t>
            </w:r>
            <w:proofErr w:type="spellEnd"/>
            <w:r w:rsidRPr="00B118AA">
              <w:rPr>
                <w:rFonts w:ascii="Arial" w:hAnsi="Arial" w:cs="Arial"/>
                <w:color w:val="000000"/>
                <w:sz w:val="20"/>
                <w:szCs w:val="20"/>
              </w:rPr>
              <w:t xml:space="preserve"> in </w:t>
            </w:r>
            <w:proofErr w:type="spellStart"/>
            <w:r w:rsidRPr="00B118AA">
              <w:rPr>
                <w:rFonts w:ascii="Arial" w:hAnsi="Arial" w:cs="Arial"/>
                <w:color w:val="000000"/>
                <w:sz w:val="20"/>
                <w:szCs w:val="20"/>
              </w:rPr>
              <w:t>Portuguese</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English</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or</w:t>
            </w:r>
            <w:proofErr w:type="spellEnd"/>
            <w:r w:rsidRPr="00B118AA">
              <w:rPr>
                <w:rFonts w:ascii="Arial" w:hAnsi="Arial" w:cs="Arial"/>
                <w:color w:val="000000"/>
                <w:sz w:val="20"/>
                <w:szCs w:val="20"/>
              </w:rPr>
              <w:t xml:space="preserve"> Spanish </w:t>
            </w:r>
            <w:proofErr w:type="spellStart"/>
            <w:r w:rsidRPr="00B118AA">
              <w:rPr>
                <w:rFonts w:ascii="Arial" w:hAnsi="Arial" w:cs="Arial"/>
                <w:color w:val="000000"/>
                <w:sz w:val="20"/>
                <w:szCs w:val="20"/>
              </w:rPr>
              <w:t>were</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included</w:t>
            </w:r>
            <w:proofErr w:type="spellEnd"/>
            <w:r w:rsidRPr="00B118AA">
              <w:rPr>
                <w:rFonts w:ascii="Arial" w:hAnsi="Arial" w:cs="Arial"/>
                <w:color w:val="000000"/>
                <w:sz w:val="20"/>
                <w:szCs w:val="20"/>
              </w:rPr>
              <w:t>.</w:t>
            </w:r>
          </w:p>
          <w:p w14:paraId="148DCE0F" w14:textId="77777777" w:rsidR="00B118AA" w:rsidRPr="00B118AA" w:rsidRDefault="00B118AA" w:rsidP="00B118AA">
            <w:pPr>
              <w:pStyle w:val="NormalWeb"/>
              <w:spacing w:before="0" w:beforeAutospacing="0" w:after="0" w:afterAutospacing="0"/>
              <w:jc w:val="both"/>
              <w:rPr>
                <w:rFonts w:ascii="Arial" w:hAnsi="Arial" w:cs="Arial"/>
                <w:color w:val="000000"/>
                <w:sz w:val="20"/>
                <w:szCs w:val="20"/>
              </w:rPr>
            </w:pPr>
            <w:proofErr w:type="spellStart"/>
            <w:r w:rsidRPr="00B118AA">
              <w:rPr>
                <w:rStyle w:val="Forte"/>
                <w:rFonts w:ascii="Arial" w:hAnsi="Arial" w:cs="Arial"/>
                <w:color w:val="000000"/>
                <w:sz w:val="20"/>
                <w:szCs w:val="20"/>
              </w:rPr>
              <w:t>Results</w:t>
            </w:r>
            <w:proofErr w:type="spellEnd"/>
            <w:r w:rsidRPr="00B118AA">
              <w:rPr>
                <w:rStyle w:val="Forte"/>
                <w:rFonts w:ascii="Arial" w:hAnsi="Arial" w:cs="Arial"/>
                <w:color w:val="000000"/>
                <w:sz w:val="20"/>
                <w:szCs w:val="20"/>
              </w:rPr>
              <w:t>:</w:t>
            </w:r>
            <w:r w:rsidRPr="00B118AA">
              <w:rPr>
                <w:rStyle w:val="apple-converted-space"/>
                <w:rFonts w:ascii="Arial" w:hAnsi="Arial" w:cs="Arial"/>
                <w:color w:val="000000"/>
                <w:sz w:val="20"/>
                <w:szCs w:val="20"/>
              </w:rPr>
              <w:t> </w:t>
            </w:r>
            <w:r w:rsidRPr="00B118AA">
              <w:rPr>
                <w:rFonts w:ascii="Arial" w:hAnsi="Arial" w:cs="Arial"/>
                <w:color w:val="000000"/>
                <w:sz w:val="20"/>
                <w:szCs w:val="20"/>
              </w:rPr>
              <w:t xml:space="preserve">Six </w:t>
            </w:r>
            <w:proofErr w:type="spellStart"/>
            <w:r w:rsidRPr="00B118AA">
              <w:rPr>
                <w:rFonts w:ascii="Arial" w:hAnsi="Arial" w:cs="Arial"/>
                <w:color w:val="000000"/>
                <w:sz w:val="20"/>
                <w:szCs w:val="20"/>
              </w:rPr>
              <w:t>studies</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assessed</w:t>
            </w:r>
            <w:proofErr w:type="spellEnd"/>
            <w:r w:rsidRPr="00B118AA">
              <w:rPr>
                <w:rFonts w:ascii="Arial" w:hAnsi="Arial" w:cs="Arial"/>
                <w:color w:val="000000"/>
                <w:sz w:val="20"/>
                <w:szCs w:val="20"/>
              </w:rPr>
              <w:t xml:space="preserve"> periodontal </w:t>
            </w:r>
            <w:proofErr w:type="spellStart"/>
            <w:r w:rsidRPr="00B118AA">
              <w:rPr>
                <w:rFonts w:ascii="Arial" w:hAnsi="Arial" w:cs="Arial"/>
                <w:color w:val="000000"/>
                <w:sz w:val="20"/>
                <w:szCs w:val="20"/>
              </w:rPr>
              <w:t>parameters</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such</w:t>
            </w:r>
            <w:proofErr w:type="spellEnd"/>
            <w:r w:rsidRPr="00B118AA">
              <w:rPr>
                <w:rFonts w:ascii="Arial" w:hAnsi="Arial" w:cs="Arial"/>
                <w:color w:val="000000"/>
                <w:sz w:val="20"/>
                <w:szCs w:val="20"/>
              </w:rPr>
              <w:t xml:space="preserve"> as plaque index (PI), </w:t>
            </w:r>
            <w:proofErr w:type="spellStart"/>
            <w:r w:rsidRPr="00B118AA">
              <w:rPr>
                <w:rFonts w:ascii="Arial" w:hAnsi="Arial" w:cs="Arial"/>
                <w:color w:val="000000"/>
                <w:sz w:val="20"/>
                <w:szCs w:val="20"/>
              </w:rPr>
              <w:t>bleeding</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on</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probing</w:t>
            </w:r>
            <w:proofErr w:type="spellEnd"/>
            <w:r w:rsidRPr="00B118AA">
              <w:rPr>
                <w:rFonts w:ascii="Arial" w:hAnsi="Arial" w:cs="Arial"/>
                <w:color w:val="000000"/>
                <w:sz w:val="20"/>
                <w:szCs w:val="20"/>
              </w:rPr>
              <w:t xml:space="preserve"> (BOP), </w:t>
            </w:r>
            <w:proofErr w:type="spellStart"/>
            <w:r w:rsidRPr="00B118AA">
              <w:rPr>
                <w:rFonts w:ascii="Arial" w:hAnsi="Arial" w:cs="Arial"/>
                <w:color w:val="000000"/>
                <w:sz w:val="20"/>
                <w:szCs w:val="20"/>
              </w:rPr>
              <w:t>gingival</w:t>
            </w:r>
            <w:proofErr w:type="spellEnd"/>
            <w:r w:rsidRPr="00B118AA">
              <w:rPr>
                <w:rFonts w:ascii="Arial" w:hAnsi="Arial" w:cs="Arial"/>
                <w:color w:val="000000"/>
                <w:sz w:val="20"/>
                <w:szCs w:val="20"/>
              </w:rPr>
              <w:t xml:space="preserve"> index (GI), </w:t>
            </w:r>
            <w:proofErr w:type="spellStart"/>
            <w:r w:rsidRPr="00B118AA">
              <w:rPr>
                <w:rFonts w:ascii="Arial" w:hAnsi="Arial" w:cs="Arial"/>
                <w:color w:val="000000"/>
                <w:sz w:val="20"/>
                <w:szCs w:val="20"/>
              </w:rPr>
              <w:t>and</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probing</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depth</w:t>
            </w:r>
            <w:proofErr w:type="spellEnd"/>
            <w:r w:rsidRPr="00B118AA">
              <w:rPr>
                <w:rFonts w:ascii="Arial" w:hAnsi="Arial" w:cs="Arial"/>
                <w:color w:val="000000"/>
                <w:sz w:val="20"/>
                <w:szCs w:val="20"/>
              </w:rPr>
              <w:t xml:space="preserve"> (PD). No </w:t>
            </w:r>
            <w:proofErr w:type="spellStart"/>
            <w:r w:rsidRPr="00B118AA">
              <w:rPr>
                <w:rFonts w:ascii="Arial" w:hAnsi="Arial" w:cs="Arial"/>
                <w:color w:val="000000"/>
                <w:sz w:val="20"/>
                <w:szCs w:val="20"/>
              </w:rPr>
              <w:t>significant</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differences</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were</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observed</w:t>
            </w:r>
            <w:proofErr w:type="spellEnd"/>
            <w:r w:rsidRPr="00B118AA">
              <w:rPr>
                <w:rFonts w:ascii="Arial" w:hAnsi="Arial" w:cs="Arial"/>
                <w:color w:val="000000"/>
                <w:sz w:val="20"/>
                <w:szCs w:val="20"/>
              </w:rPr>
              <w:t xml:space="preserve"> in PI </w:t>
            </w:r>
            <w:proofErr w:type="spellStart"/>
            <w:r w:rsidRPr="00B118AA">
              <w:rPr>
                <w:rFonts w:ascii="Arial" w:hAnsi="Arial" w:cs="Arial"/>
                <w:color w:val="000000"/>
                <w:sz w:val="20"/>
                <w:szCs w:val="20"/>
              </w:rPr>
              <w:t>and</w:t>
            </w:r>
            <w:proofErr w:type="spellEnd"/>
            <w:r w:rsidRPr="00B118AA">
              <w:rPr>
                <w:rFonts w:ascii="Arial" w:hAnsi="Arial" w:cs="Arial"/>
                <w:color w:val="000000"/>
                <w:sz w:val="20"/>
                <w:szCs w:val="20"/>
              </w:rPr>
              <w:t xml:space="preserve"> GI </w:t>
            </w:r>
            <w:proofErr w:type="spellStart"/>
            <w:r w:rsidRPr="00B118AA">
              <w:rPr>
                <w:rFonts w:ascii="Arial" w:hAnsi="Arial" w:cs="Arial"/>
                <w:color w:val="000000"/>
                <w:sz w:val="20"/>
                <w:szCs w:val="20"/>
              </w:rPr>
              <w:t>between</w:t>
            </w:r>
            <w:proofErr w:type="spellEnd"/>
            <w:r w:rsidRPr="00B118AA">
              <w:rPr>
                <w:rFonts w:ascii="Arial" w:hAnsi="Arial" w:cs="Arial"/>
                <w:color w:val="000000"/>
                <w:sz w:val="20"/>
                <w:szCs w:val="20"/>
              </w:rPr>
              <w:t xml:space="preserve"> CMR </w:t>
            </w:r>
            <w:proofErr w:type="spellStart"/>
            <w:r w:rsidRPr="00B118AA">
              <w:rPr>
                <w:rFonts w:ascii="Arial" w:hAnsi="Arial" w:cs="Arial"/>
                <w:color w:val="000000"/>
                <w:sz w:val="20"/>
                <w:szCs w:val="20"/>
              </w:rPr>
              <w:t>and</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control</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groups</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However</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two</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studies</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reported</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increased</w:t>
            </w:r>
            <w:proofErr w:type="spellEnd"/>
            <w:r w:rsidRPr="00B118AA">
              <w:rPr>
                <w:rFonts w:ascii="Arial" w:hAnsi="Arial" w:cs="Arial"/>
                <w:color w:val="000000"/>
                <w:sz w:val="20"/>
                <w:szCs w:val="20"/>
              </w:rPr>
              <w:t xml:space="preserve"> BOP, </w:t>
            </w:r>
            <w:proofErr w:type="spellStart"/>
            <w:r w:rsidRPr="00B118AA">
              <w:rPr>
                <w:rFonts w:ascii="Arial" w:hAnsi="Arial" w:cs="Arial"/>
                <w:color w:val="000000"/>
                <w:sz w:val="20"/>
                <w:szCs w:val="20"/>
              </w:rPr>
              <w:t>and</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one</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reported</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higher</w:t>
            </w:r>
            <w:proofErr w:type="spellEnd"/>
            <w:r w:rsidRPr="00B118AA">
              <w:rPr>
                <w:rFonts w:ascii="Arial" w:hAnsi="Arial" w:cs="Arial"/>
                <w:color w:val="000000"/>
                <w:sz w:val="20"/>
                <w:szCs w:val="20"/>
              </w:rPr>
              <w:t xml:space="preserve"> PD </w:t>
            </w:r>
            <w:proofErr w:type="spellStart"/>
            <w:r w:rsidRPr="00B118AA">
              <w:rPr>
                <w:rFonts w:ascii="Arial" w:hAnsi="Arial" w:cs="Arial"/>
                <w:color w:val="000000"/>
                <w:sz w:val="20"/>
                <w:szCs w:val="20"/>
              </w:rPr>
              <w:t>after</w:t>
            </w:r>
            <w:proofErr w:type="spellEnd"/>
            <w:r w:rsidRPr="00B118AA">
              <w:rPr>
                <w:rFonts w:ascii="Arial" w:hAnsi="Arial" w:cs="Arial"/>
                <w:color w:val="000000"/>
                <w:sz w:val="20"/>
                <w:szCs w:val="20"/>
              </w:rPr>
              <w:t xml:space="preserve"> CMR. </w:t>
            </w:r>
            <w:proofErr w:type="spellStart"/>
            <w:r w:rsidRPr="00B118AA">
              <w:rPr>
                <w:rFonts w:ascii="Arial" w:hAnsi="Arial" w:cs="Arial"/>
                <w:color w:val="000000"/>
                <w:sz w:val="20"/>
                <w:szCs w:val="20"/>
              </w:rPr>
              <w:t>Findings</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highlight</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the</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importance</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of</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avoiding</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biological</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width</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invasion</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to</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prevent</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inflammatory</w:t>
            </w:r>
            <w:proofErr w:type="spellEnd"/>
            <w:r w:rsidRPr="00B118AA">
              <w:rPr>
                <w:rFonts w:ascii="Arial" w:hAnsi="Arial" w:cs="Arial"/>
                <w:color w:val="000000"/>
                <w:sz w:val="20"/>
                <w:szCs w:val="20"/>
              </w:rPr>
              <w:t xml:space="preserve"> responses.</w:t>
            </w:r>
          </w:p>
          <w:p w14:paraId="3DC13622" w14:textId="3647EB4D" w:rsidR="00505F06" w:rsidRPr="00B118AA" w:rsidRDefault="00B118AA" w:rsidP="00B118AA">
            <w:pPr>
              <w:pStyle w:val="NormalWeb"/>
              <w:spacing w:before="0" w:beforeAutospacing="0" w:after="0" w:afterAutospacing="0"/>
              <w:jc w:val="both"/>
              <w:rPr>
                <w:rFonts w:ascii="Arial" w:hAnsi="Arial" w:cs="Arial"/>
                <w:color w:val="000000"/>
                <w:sz w:val="20"/>
                <w:szCs w:val="20"/>
              </w:rPr>
            </w:pPr>
            <w:proofErr w:type="spellStart"/>
            <w:r w:rsidRPr="00B118AA">
              <w:rPr>
                <w:rStyle w:val="Forte"/>
                <w:rFonts w:ascii="Arial" w:hAnsi="Arial" w:cs="Arial"/>
                <w:color w:val="000000"/>
                <w:sz w:val="20"/>
                <w:szCs w:val="20"/>
              </w:rPr>
              <w:t>Conclusion</w:t>
            </w:r>
            <w:proofErr w:type="spellEnd"/>
            <w:r w:rsidRPr="00B118AA">
              <w:rPr>
                <w:rStyle w:val="Forte"/>
                <w:rFonts w:ascii="Arial" w:hAnsi="Arial" w:cs="Arial"/>
                <w:color w:val="000000"/>
                <w:sz w:val="20"/>
                <w:szCs w:val="20"/>
              </w:rPr>
              <w:t>:</w:t>
            </w:r>
            <w:r w:rsidRPr="00B118AA">
              <w:rPr>
                <w:rStyle w:val="apple-converted-space"/>
                <w:rFonts w:ascii="Arial" w:hAnsi="Arial" w:cs="Arial"/>
                <w:color w:val="000000"/>
                <w:sz w:val="20"/>
                <w:szCs w:val="20"/>
              </w:rPr>
              <w:t> </w:t>
            </w:r>
            <w:proofErr w:type="spellStart"/>
            <w:r w:rsidRPr="00B118AA">
              <w:rPr>
                <w:rFonts w:ascii="Arial" w:hAnsi="Arial" w:cs="Arial"/>
                <w:color w:val="000000"/>
                <w:sz w:val="20"/>
                <w:szCs w:val="20"/>
              </w:rPr>
              <w:t>Available</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studies</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indicate</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that</w:t>
            </w:r>
            <w:proofErr w:type="spellEnd"/>
            <w:r w:rsidRPr="00B118AA">
              <w:rPr>
                <w:rFonts w:ascii="Arial" w:hAnsi="Arial" w:cs="Arial"/>
                <w:color w:val="000000"/>
                <w:sz w:val="20"/>
                <w:szCs w:val="20"/>
              </w:rPr>
              <w:t xml:space="preserve"> CMR </w:t>
            </w:r>
            <w:proofErr w:type="spellStart"/>
            <w:r w:rsidRPr="00B118AA">
              <w:rPr>
                <w:rFonts w:ascii="Arial" w:hAnsi="Arial" w:cs="Arial"/>
                <w:color w:val="000000"/>
                <w:sz w:val="20"/>
                <w:szCs w:val="20"/>
              </w:rPr>
              <w:t>is</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not</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associated</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with</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worsening</w:t>
            </w:r>
            <w:proofErr w:type="spellEnd"/>
            <w:r w:rsidRPr="00B118AA">
              <w:rPr>
                <w:rFonts w:ascii="Arial" w:hAnsi="Arial" w:cs="Arial"/>
                <w:color w:val="000000"/>
                <w:sz w:val="20"/>
                <w:szCs w:val="20"/>
              </w:rPr>
              <w:t xml:space="preserve"> periodontal plaque </w:t>
            </w:r>
            <w:proofErr w:type="spellStart"/>
            <w:r w:rsidRPr="00B118AA">
              <w:rPr>
                <w:rFonts w:ascii="Arial" w:hAnsi="Arial" w:cs="Arial"/>
                <w:color w:val="000000"/>
                <w:sz w:val="20"/>
                <w:szCs w:val="20"/>
              </w:rPr>
              <w:t>and</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inflammation</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indices</w:t>
            </w:r>
            <w:proofErr w:type="spellEnd"/>
            <w:r w:rsidRPr="00B118AA">
              <w:rPr>
                <w:rFonts w:ascii="Arial" w:hAnsi="Arial" w:cs="Arial"/>
                <w:color w:val="000000"/>
                <w:sz w:val="20"/>
                <w:szCs w:val="20"/>
              </w:rPr>
              <w:t xml:space="preserve">. When </w:t>
            </w:r>
            <w:proofErr w:type="spellStart"/>
            <w:r w:rsidRPr="00B118AA">
              <w:rPr>
                <w:rFonts w:ascii="Arial" w:hAnsi="Arial" w:cs="Arial"/>
                <w:color w:val="000000"/>
                <w:sz w:val="20"/>
                <w:szCs w:val="20"/>
              </w:rPr>
              <w:t>biological</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principles</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of</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the</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periodontium</w:t>
            </w:r>
            <w:proofErr w:type="spellEnd"/>
            <w:r w:rsidRPr="00B118AA">
              <w:rPr>
                <w:rFonts w:ascii="Arial" w:hAnsi="Arial" w:cs="Arial"/>
                <w:color w:val="000000"/>
                <w:sz w:val="20"/>
                <w:szCs w:val="20"/>
              </w:rPr>
              <w:t xml:space="preserve"> are </w:t>
            </w:r>
            <w:proofErr w:type="spellStart"/>
            <w:r w:rsidRPr="00B118AA">
              <w:rPr>
                <w:rFonts w:ascii="Arial" w:hAnsi="Arial" w:cs="Arial"/>
                <w:color w:val="000000"/>
                <w:sz w:val="20"/>
                <w:szCs w:val="20"/>
              </w:rPr>
              <w:t>respected</w:t>
            </w:r>
            <w:proofErr w:type="spellEnd"/>
            <w:r w:rsidRPr="00B118AA">
              <w:rPr>
                <w:rFonts w:ascii="Arial" w:hAnsi="Arial" w:cs="Arial"/>
                <w:color w:val="000000"/>
                <w:sz w:val="20"/>
                <w:szCs w:val="20"/>
              </w:rPr>
              <w:t xml:space="preserve">, CMR </w:t>
            </w:r>
            <w:proofErr w:type="spellStart"/>
            <w:r w:rsidRPr="00B118AA">
              <w:rPr>
                <w:rFonts w:ascii="Arial" w:hAnsi="Arial" w:cs="Arial"/>
                <w:color w:val="000000"/>
                <w:sz w:val="20"/>
                <w:szCs w:val="20"/>
              </w:rPr>
              <w:t>represents</w:t>
            </w:r>
            <w:proofErr w:type="spellEnd"/>
            <w:r w:rsidRPr="00B118AA">
              <w:rPr>
                <w:rFonts w:ascii="Arial" w:hAnsi="Arial" w:cs="Arial"/>
                <w:color w:val="000000"/>
                <w:sz w:val="20"/>
                <w:szCs w:val="20"/>
              </w:rPr>
              <w:t xml:space="preserve"> a </w:t>
            </w:r>
            <w:proofErr w:type="spellStart"/>
            <w:r w:rsidRPr="00B118AA">
              <w:rPr>
                <w:rFonts w:ascii="Arial" w:hAnsi="Arial" w:cs="Arial"/>
                <w:color w:val="000000"/>
                <w:sz w:val="20"/>
                <w:szCs w:val="20"/>
              </w:rPr>
              <w:t>promising</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alternative</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to</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surgical</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crown</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lengthening</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ensuring</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favorable</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clinical</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outcomes</w:t>
            </w:r>
            <w:proofErr w:type="spellEnd"/>
            <w:r w:rsidRPr="00B118AA">
              <w:rPr>
                <w:rFonts w:ascii="Arial" w:hAnsi="Arial" w:cs="Arial"/>
                <w:color w:val="000000"/>
                <w:sz w:val="20"/>
                <w:szCs w:val="20"/>
              </w:rPr>
              <w:t>.</w:t>
            </w:r>
          </w:p>
        </w:tc>
      </w:tr>
    </w:tbl>
    <w:p w14:paraId="051C64BA" w14:textId="77777777" w:rsidR="00636EB2" w:rsidRDefault="00636EB2" w:rsidP="00441B6F">
      <w:pPr>
        <w:pStyle w:val="Body"/>
        <w:spacing w:after="0"/>
        <w:rPr>
          <w:rFonts w:ascii="Arial" w:hAnsi="Arial" w:cs="Arial"/>
          <w:i/>
        </w:rPr>
      </w:pPr>
    </w:p>
    <w:p w14:paraId="2D50F3DC" w14:textId="4656AF68" w:rsidR="00A24E7E" w:rsidRDefault="00A24E7E" w:rsidP="00441B6F">
      <w:pPr>
        <w:pStyle w:val="Body"/>
        <w:spacing w:after="0"/>
        <w:rPr>
          <w:rFonts w:ascii="Arial" w:hAnsi="Arial" w:cs="Arial"/>
          <w:i/>
        </w:rPr>
      </w:pPr>
      <w:r>
        <w:rPr>
          <w:rFonts w:ascii="Arial" w:hAnsi="Arial" w:cs="Arial"/>
          <w:i/>
        </w:rPr>
        <w:t>Keywords</w:t>
      </w:r>
      <w:r w:rsidR="009D2C97">
        <w:rPr>
          <w:rFonts w:ascii="Arial" w:hAnsi="Arial" w:cs="Arial"/>
          <w:i/>
        </w:rPr>
        <w:t xml:space="preserve">: </w:t>
      </w:r>
      <w:r w:rsidR="009D2C97" w:rsidRPr="009D2C97">
        <w:rPr>
          <w:rFonts w:ascii="Arial" w:hAnsi="Arial" w:cs="Arial"/>
          <w:i/>
        </w:rPr>
        <w:t>Cervical margin relocation, deep margin elevation, subgingival cervical margin, periodontal health and periodontium.</w:t>
      </w:r>
    </w:p>
    <w:p w14:paraId="15A812EB" w14:textId="77777777" w:rsidR="00790ADA" w:rsidRDefault="00790ADA" w:rsidP="00441B6F">
      <w:pPr>
        <w:pStyle w:val="Body"/>
        <w:spacing w:after="0"/>
        <w:rPr>
          <w:rFonts w:ascii="Arial" w:hAnsi="Arial" w:cs="Arial"/>
          <w:i/>
        </w:rPr>
      </w:pPr>
    </w:p>
    <w:p w14:paraId="21A4A772" w14:textId="6D07550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4B889C5" w14:textId="77777777" w:rsidR="00790ADA" w:rsidRPr="00FB3A86" w:rsidRDefault="00790ADA" w:rsidP="00441B6F">
      <w:pPr>
        <w:pStyle w:val="AbstHead"/>
        <w:spacing w:after="0"/>
        <w:jc w:val="both"/>
        <w:rPr>
          <w:rFonts w:ascii="Arial" w:hAnsi="Arial" w:cs="Arial"/>
        </w:rPr>
      </w:pPr>
    </w:p>
    <w:p w14:paraId="75263668" w14:textId="7A08CA27" w:rsidR="00692BF0" w:rsidRPr="00692BF0" w:rsidRDefault="00692BF0" w:rsidP="00801D07">
      <w:pPr>
        <w:pStyle w:val="Body"/>
        <w:spacing w:after="0"/>
        <w:rPr>
          <w:rFonts w:ascii="Arial" w:hAnsi="Arial" w:cs="Arial"/>
        </w:rPr>
      </w:pPr>
      <w:r w:rsidRPr="00692BF0">
        <w:rPr>
          <w:rFonts w:ascii="Arial" w:hAnsi="Arial" w:cs="Arial"/>
        </w:rPr>
        <w:t xml:space="preserve">Extensive cervical margins located </w:t>
      </w:r>
      <w:proofErr w:type="spellStart"/>
      <w:r w:rsidRPr="00692BF0">
        <w:rPr>
          <w:rFonts w:ascii="Arial" w:hAnsi="Arial" w:cs="Arial"/>
        </w:rPr>
        <w:t>subgingivally</w:t>
      </w:r>
      <w:proofErr w:type="spellEnd"/>
      <w:r w:rsidRPr="00692BF0">
        <w:rPr>
          <w:rFonts w:ascii="Arial" w:hAnsi="Arial" w:cs="Arial"/>
        </w:rPr>
        <w:t xml:space="preserve"> are common in clinical practice, usually resulting from the removal of carious tissue, replacement of large restorations, or dental fractures. Cervical </w:t>
      </w:r>
      <w:r w:rsidR="00A5709B" w:rsidRPr="00A5709B">
        <w:rPr>
          <w:rFonts w:ascii="Arial" w:hAnsi="Arial" w:cs="Arial"/>
          <w:highlight w:val="yellow"/>
        </w:rPr>
        <w:t>m</w:t>
      </w:r>
      <w:r w:rsidRPr="00A5709B">
        <w:rPr>
          <w:rFonts w:ascii="Arial" w:hAnsi="Arial" w:cs="Arial"/>
          <w:highlight w:val="yellow"/>
        </w:rPr>
        <w:t xml:space="preserve">argin </w:t>
      </w:r>
      <w:r w:rsidR="00A5709B" w:rsidRPr="00A5709B">
        <w:rPr>
          <w:rFonts w:ascii="Arial" w:hAnsi="Arial" w:cs="Arial"/>
          <w:highlight w:val="yellow"/>
        </w:rPr>
        <w:t>r</w:t>
      </w:r>
      <w:r w:rsidRPr="00A5709B">
        <w:rPr>
          <w:rFonts w:ascii="Arial" w:hAnsi="Arial" w:cs="Arial"/>
          <w:highlight w:val="yellow"/>
        </w:rPr>
        <w:t>elocation</w:t>
      </w:r>
      <w:r w:rsidRPr="00692BF0">
        <w:rPr>
          <w:rFonts w:ascii="Arial" w:hAnsi="Arial" w:cs="Arial"/>
        </w:rPr>
        <w:t xml:space="preserve"> (CMR), proposed by </w:t>
      </w:r>
      <w:proofErr w:type="spellStart"/>
      <w:r w:rsidRPr="00692BF0">
        <w:rPr>
          <w:rFonts w:ascii="Arial" w:hAnsi="Arial" w:cs="Arial"/>
        </w:rPr>
        <w:t>Dietschi</w:t>
      </w:r>
      <w:proofErr w:type="spellEnd"/>
      <w:r w:rsidRPr="00692BF0">
        <w:rPr>
          <w:rFonts w:ascii="Arial" w:hAnsi="Arial" w:cs="Arial"/>
        </w:rPr>
        <w:t xml:space="preserve"> and </w:t>
      </w:r>
      <w:proofErr w:type="spellStart"/>
      <w:r w:rsidRPr="00692BF0">
        <w:rPr>
          <w:rFonts w:ascii="Arial" w:hAnsi="Arial" w:cs="Arial"/>
        </w:rPr>
        <w:t>Spreafico</w:t>
      </w:r>
      <w:proofErr w:type="spellEnd"/>
      <w:r w:rsidRPr="00692BF0">
        <w:rPr>
          <w:rFonts w:ascii="Arial" w:hAnsi="Arial" w:cs="Arial"/>
        </w:rPr>
        <w:t xml:space="preserve"> [1] in 1998, consists of the elevation or coronal repositioning of subgingival margins to a supragingival level using a metal matrix and composite resin</w:t>
      </w:r>
      <w:r w:rsidR="00B9153C">
        <w:rPr>
          <w:rFonts w:ascii="Arial" w:hAnsi="Arial" w:cs="Arial"/>
        </w:rPr>
        <w:t xml:space="preserve"> </w:t>
      </w:r>
      <w:r w:rsidRPr="00692BF0">
        <w:rPr>
          <w:rFonts w:ascii="Arial" w:hAnsi="Arial" w:cs="Arial"/>
        </w:rPr>
        <w:t>[2-4]. This approach has been extensively studied as a viable alternative to facilitate restorative procedures and minimize the biological impact of subgingival margins.</w:t>
      </w:r>
    </w:p>
    <w:p w14:paraId="4E69EB11" w14:textId="77777777" w:rsidR="00801D07" w:rsidRDefault="00801D07" w:rsidP="00801D07">
      <w:pPr>
        <w:pStyle w:val="Body"/>
        <w:spacing w:after="0"/>
        <w:rPr>
          <w:rFonts w:ascii="Arial" w:hAnsi="Arial" w:cs="Arial"/>
        </w:rPr>
      </w:pPr>
    </w:p>
    <w:p w14:paraId="5602364E" w14:textId="2EB450AB" w:rsidR="00692BF0" w:rsidRPr="00692BF0" w:rsidRDefault="00692BF0" w:rsidP="00801D07">
      <w:pPr>
        <w:pStyle w:val="Body"/>
        <w:spacing w:after="0"/>
        <w:rPr>
          <w:rFonts w:ascii="Arial" w:hAnsi="Arial" w:cs="Arial"/>
        </w:rPr>
      </w:pPr>
      <w:r w:rsidRPr="00692BF0">
        <w:rPr>
          <w:rFonts w:ascii="Arial" w:hAnsi="Arial" w:cs="Arial"/>
        </w:rPr>
        <w:t>CMR has gained popularity among clinicians [5.6], as it represents a less invasive alternative to surgical crown lengthening and orthodontic extrusion [3]. Moreover, studies have demonstrated favorable clinical and laboratory outcomes [3].</w:t>
      </w:r>
      <w:r w:rsidR="00B9153C">
        <w:rPr>
          <w:rFonts w:ascii="Arial" w:hAnsi="Arial" w:cs="Arial"/>
        </w:rPr>
        <w:t xml:space="preserve"> </w:t>
      </w:r>
      <w:r w:rsidRPr="00692BF0">
        <w:rPr>
          <w:rFonts w:ascii="Arial" w:hAnsi="Arial" w:cs="Arial"/>
        </w:rPr>
        <w:t xml:space="preserve">However, despite promising </w:t>
      </w:r>
      <w:r w:rsidRPr="00692BF0">
        <w:rPr>
          <w:rFonts w:ascii="Arial" w:hAnsi="Arial" w:cs="Arial"/>
        </w:rPr>
        <w:lastRenderedPageBreak/>
        <w:t>results from in vitro research, there is still a lack of longitudinal clinical studies assessing the periodontal impacts and long-term durability of CMR [7].</w:t>
      </w:r>
    </w:p>
    <w:p w14:paraId="07432543" w14:textId="77777777" w:rsidR="00801D07" w:rsidRDefault="00801D07" w:rsidP="00801D07">
      <w:pPr>
        <w:pStyle w:val="Body"/>
        <w:spacing w:after="0"/>
        <w:rPr>
          <w:rFonts w:ascii="Arial" w:hAnsi="Arial" w:cs="Arial"/>
        </w:rPr>
      </w:pPr>
    </w:p>
    <w:p w14:paraId="2DEA3836" w14:textId="1CFF3FE6" w:rsidR="00692BF0" w:rsidRPr="00692BF0" w:rsidRDefault="00692BF0" w:rsidP="00801D07">
      <w:pPr>
        <w:pStyle w:val="Body"/>
        <w:spacing w:after="0"/>
        <w:rPr>
          <w:rFonts w:ascii="Arial" w:hAnsi="Arial" w:cs="Arial"/>
        </w:rPr>
      </w:pPr>
      <w:r w:rsidRPr="00692BF0">
        <w:rPr>
          <w:rFonts w:ascii="Arial" w:hAnsi="Arial" w:cs="Arial"/>
        </w:rPr>
        <w:t xml:space="preserve">The procedure occurs in two stages: first, the elevation of the cervical margin to a supragingival level, followed by either </w:t>
      </w:r>
      <w:proofErr w:type="gramStart"/>
      <w:r w:rsidRPr="00692BF0">
        <w:rPr>
          <w:rFonts w:ascii="Arial" w:hAnsi="Arial" w:cs="Arial"/>
        </w:rPr>
        <w:t>a direct</w:t>
      </w:r>
      <w:proofErr w:type="gramEnd"/>
      <w:r w:rsidRPr="00692BF0">
        <w:rPr>
          <w:rFonts w:ascii="Arial" w:hAnsi="Arial" w:cs="Arial"/>
        </w:rPr>
        <w:t xml:space="preserve"> or indirect restoration [8,9]. CMR is particularly indicated for cavities with subgingival cervical walls, where reduced visibility hinders the adaptation and finishing of the restoration. Additionally, subgingival margins pose challenges for cavity preparation, absolute isolation, impression taking, digital scanning, adhesive cementation, and final finishing, including polishing [3].</w:t>
      </w:r>
    </w:p>
    <w:p w14:paraId="3449330E" w14:textId="77777777" w:rsidR="00801D07" w:rsidRDefault="00801D07" w:rsidP="00801D07">
      <w:pPr>
        <w:pStyle w:val="Body"/>
        <w:spacing w:after="0"/>
        <w:rPr>
          <w:rFonts w:ascii="Arial" w:hAnsi="Arial" w:cs="Arial"/>
        </w:rPr>
      </w:pPr>
    </w:p>
    <w:p w14:paraId="0D7B3C59" w14:textId="1B935580" w:rsidR="00692BF0" w:rsidRPr="00692BF0" w:rsidRDefault="00692BF0" w:rsidP="00801D07">
      <w:pPr>
        <w:pStyle w:val="Body"/>
        <w:spacing w:after="0"/>
        <w:rPr>
          <w:rFonts w:ascii="Arial" w:hAnsi="Arial" w:cs="Arial"/>
        </w:rPr>
      </w:pPr>
      <w:r w:rsidRPr="00692BF0">
        <w:rPr>
          <w:rFonts w:ascii="Arial" w:hAnsi="Arial" w:cs="Arial"/>
        </w:rPr>
        <w:t xml:space="preserve">The main challenge associated with CMR </w:t>
      </w:r>
      <w:r w:rsidR="00220D36" w:rsidRPr="00220D36">
        <w:rPr>
          <w:rFonts w:ascii="Arial" w:hAnsi="Arial" w:cs="Arial"/>
          <w:highlight w:val="yellow"/>
        </w:rPr>
        <w:t>is</w:t>
      </w:r>
      <w:r w:rsidR="00220D36">
        <w:rPr>
          <w:rFonts w:ascii="Arial" w:hAnsi="Arial" w:cs="Arial"/>
        </w:rPr>
        <w:t xml:space="preserve"> </w:t>
      </w:r>
      <w:r w:rsidRPr="00692BF0">
        <w:rPr>
          <w:rFonts w:ascii="Arial" w:hAnsi="Arial" w:cs="Arial"/>
        </w:rPr>
        <w:t>its periodontal implications. Restorations with extensive cervical margins can compromise periodontal health by promoting biofilm accumulation, causing gingival inflammation, and invading the biological width [10]. Furthermore, adhesion of restorative materials in such cavities may be compromised, resulting in overhangs, deficiencies, or inadequate finishing [3].</w:t>
      </w:r>
    </w:p>
    <w:p w14:paraId="25399CA9" w14:textId="77777777" w:rsidR="00801D07" w:rsidRDefault="00801D07" w:rsidP="00801D07">
      <w:pPr>
        <w:pStyle w:val="Body"/>
        <w:spacing w:after="0"/>
        <w:rPr>
          <w:rFonts w:ascii="Arial" w:hAnsi="Arial" w:cs="Arial"/>
        </w:rPr>
      </w:pPr>
    </w:p>
    <w:p w14:paraId="4BC6D5CF" w14:textId="74B9FB56" w:rsidR="00692BF0" w:rsidRPr="00692BF0" w:rsidRDefault="00692BF0" w:rsidP="00801D07">
      <w:pPr>
        <w:pStyle w:val="Body"/>
        <w:spacing w:after="0"/>
        <w:rPr>
          <w:rFonts w:ascii="Arial" w:hAnsi="Arial" w:cs="Arial"/>
        </w:rPr>
      </w:pPr>
      <w:r w:rsidRPr="00692BF0">
        <w:rPr>
          <w:rFonts w:ascii="Arial" w:hAnsi="Arial" w:cs="Arial"/>
        </w:rPr>
        <w:t>According to Lima et al.</w:t>
      </w:r>
      <w:r w:rsidR="00915011">
        <w:rPr>
          <w:rFonts w:ascii="Arial" w:hAnsi="Arial" w:cs="Arial"/>
        </w:rPr>
        <w:t xml:space="preserve"> </w:t>
      </w:r>
      <w:r w:rsidR="00915011" w:rsidRPr="00915011">
        <w:rPr>
          <w:rFonts w:ascii="Arial" w:hAnsi="Arial" w:cs="Arial"/>
          <w:highlight w:val="yellow"/>
        </w:rPr>
        <w:t>(2023)</w:t>
      </w:r>
      <w:r w:rsidRPr="00692BF0">
        <w:rPr>
          <w:rFonts w:ascii="Arial" w:hAnsi="Arial" w:cs="Arial"/>
        </w:rPr>
        <w:t>, subgingival restorations are associated with the development of gingival inflammation, particularly when they invade the biological width by penetrating the gingival sulcus or reaching the junctional epithelium [11]. This invasion may lead to persistent inflammation and bone resorption, resulting in gingival recession, impaired hygiene, root exposure, gingival margin displacement, gingival bleeding, and increased probing depth [11</w:t>
      </w:r>
      <w:r w:rsidR="00D4775D">
        <w:rPr>
          <w:rFonts w:ascii="Arial" w:hAnsi="Arial" w:cs="Arial"/>
        </w:rPr>
        <w:t>,</w:t>
      </w:r>
      <w:r w:rsidR="00D4775D" w:rsidRPr="00D4775D">
        <w:rPr>
          <w:rFonts w:ascii="Arial" w:hAnsi="Arial" w:cs="Arial"/>
          <w:highlight w:val="yellow"/>
        </w:rPr>
        <w:t>12</w:t>
      </w:r>
      <w:r w:rsidRPr="00692BF0">
        <w:rPr>
          <w:rFonts w:ascii="Arial" w:hAnsi="Arial" w:cs="Arial"/>
        </w:rPr>
        <w:t>].</w:t>
      </w:r>
    </w:p>
    <w:p w14:paraId="5F8B61F1" w14:textId="77777777" w:rsidR="00801D07" w:rsidRDefault="00801D07" w:rsidP="00801D07">
      <w:pPr>
        <w:pStyle w:val="Body"/>
        <w:spacing w:after="0"/>
        <w:rPr>
          <w:rFonts w:ascii="Arial" w:hAnsi="Arial" w:cs="Arial"/>
        </w:rPr>
      </w:pPr>
    </w:p>
    <w:p w14:paraId="260537DF" w14:textId="49C6828E" w:rsidR="00692BF0" w:rsidRPr="00692BF0" w:rsidRDefault="00692BF0" w:rsidP="00801D07">
      <w:pPr>
        <w:pStyle w:val="Body"/>
        <w:spacing w:after="0"/>
        <w:rPr>
          <w:rFonts w:ascii="Arial" w:hAnsi="Arial" w:cs="Arial"/>
        </w:rPr>
      </w:pPr>
      <w:r w:rsidRPr="00692BF0">
        <w:rPr>
          <w:rFonts w:ascii="Arial" w:hAnsi="Arial" w:cs="Arial"/>
        </w:rPr>
        <w:t xml:space="preserve">The concept of the periodontal biological width, currently referred to as the </w:t>
      </w:r>
      <w:proofErr w:type="spellStart"/>
      <w:r w:rsidRPr="00692BF0">
        <w:rPr>
          <w:rFonts w:ascii="Arial" w:hAnsi="Arial" w:cs="Arial"/>
        </w:rPr>
        <w:t>supracrestal</w:t>
      </w:r>
      <w:proofErr w:type="spellEnd"/>
      <w:r w:rsidRPr="00692BF0">
        <w:rPr>
          <w:rFonts w:ascii="Arial" w:hAnsi="Arial" w:cs="Arial"/>
        </w:rPr>
        <w:t xml:space="preserve"> tissue attachment, was described by Gargiulo et al. [13], in 1961. It refers to the region between the base of the gingival sulcus and the crest of the alveolar bone. When invaded by restorative materials, this space can trigger a significant inflammatory response. Its integrity is essential for the attachment of the junctional epithelium and connective tissue to the tooth surface [14]. Studies suggest that a minimum distance of 2.5 to 3 mm between the restorative margin and the alveolar crest is crucial to maintain the balance of </w:t>
      </w:r>
      <w:proofErr w:type="spellStart"/>
      <w:r w:rsidRPr="00692BF0">
        <w:rPr>
          <w:rFonts w:ascii="Arial" w:hAnsi="Arial" w:cs="Arial"/>
        </w:rPr>
        <w:t>supracrestal</w:t>
      </w:r>
      <w:proofErr w:type="spellEnd"/>
      <w:r w:rsidRPr="00692BF0">
        <w:rPr>
          <w:rFonts w:ascii="Arial" w:hAnsi="Arial" w:cs="Arial"/>
        </w:rPr>
        <w:t xml:space="preserve"> gingival tissues and to prevent their apical migration [15].</w:t>
      </w:r>
    </w:p>
    <w:p w14:paraId="231D04DD" w14:textId="77777777" w:rsidR="00801D07" w:rsidRDefault="00801D07" w:rsidP="00801D07">
      <w:pPr>
        <w:pStyle w:val="Body"/>
        <w:spacing w:after="0"/>
        <w:rPr>
          <w:rFonts w:ascii="Arial" w:hAnsi="Arial" w:cs="Arial"/>
        </w:rPr>
      </w:pPr>
    </w:p>
    <w:p w14:paraId="313D3F67" w14:textId="5E133D21" w:rsidR="00692BF0" w:rsidRPr="00692BF0" w:rsidRDefault="00692BF0" w:rsidP="00801D07">
      <w:pPr>
        <w:pStyle w:val="Body"/>
        <w:spacing w:after="0"/>
        <w:rPr>
          <w:rFonts w:ascii="Arial" w:hAnsi="Arial" w:cs="Arial"/>
        </w:rPr>
      </w:pPr>
      <w:r w:rsidRPr="00692BF0">
        <w:rPr>
          <w:rFonts w:ascii="Arial" w:hAnsi="Arial" w:cs="Arial"/>
        </w:rPr>
        <w:t>Clinical success in restorative and prosthetic dentistry depends on factors such as esthetics, marginal adaptation, occlusal function, pulp vitality, and fracture resistance [5]. Additionally, periodontal health is fundamental, characterized by probing depths up to 3 mm, no attachment loss, less than 10% bleeding on probing, and no radiographic evidence of bone loss [16]. To avoid adverse periodontal impacts, it is recommended that restorative margins be positioned at least 3 mm from the alveolar crest [11].</w:t>
      </w:r>
    </w:p>
    <w:p w14:paraId="64FB46ED" w14:textId="77777777" w:rsidR="00801D07" w:rsidRDefault="00801D07" w:rsidP="00801D07">
      <w:pPr>
        <w:pStyle w:val="Body"/>
        <w:rPr>
          <w:rFonts w:ascii="Arial" w:hAnsi="Arial" w:cs="Arial"/>
        </w:rPr>
      </w:pPr>
    </w:p>
    <w:p w14:paraId="15B620A5" w14:textId="7F75CB0A" w:rsidR="00692BF0" w:rsidRPr="00692BF0" w:rsidRDefault="00692BF0" w:rsidP="00801D07">
      <w:pPr>
        <w:pStyle w:val="Body"/>
        <w:rPr>
          <w:rFonts w:ascii="Arial" w:hAnsi="Arial" w:cs="Arial"/>
        </w:rPr>
      </w:pPr>
      <w:r w:rsidRPr="00692BF0">
        <w:rPr>
          <w:rFonts w:ascii="Arial" w:hAnsi="Arial" w:cs="Arial"/>
        </w:rPr>
        <w:t xml:space="preserve">To preserve this biological space, surgical crown lengthening has traditionally been employed to protect the </w:t>
      </w:r>
      <w:proofErr w:type="spellStart"/>
      <w:r w:rsidRPr="00692BF0">
        <w:rPr>
          <w:rFonts w:ascii="Arial" w:hAnsi="Arial" w:cs="Arial"/>
        </w:rPr>
        <w:t>supracrestal</w:t>
      </w:r>
      <w:proofErr w:type="spellEnd"/>
      <w:r w:rsidRPr="00692BF0">
        <w:rPr>
          <w:rFonts w:ascii="Arial" w:hAnsi="Arial" w:cs="Arial"/>
        </w:rPr>
        <w:t xml:space="preserve"> attachment. However, this procedure has certain drawbacks, including prolonged treatment time, increased costs, esthetic compromises, loss of attachment, and proximity to critical anatomical areas such as root concavities and furcation regions [15]. In this context, CMR has emerged as a viable alternative.</w:t>
      </w:r>
    </w:p>
    <w:p w14:paraId="4F842F75" w14:textId="284B6B1F" w:rsidR="00790ADA" w:rsidRDefault="00692BF0" w:rsidP="00801D07">
      <w:pPr>
        <w:pStyle w:val="Body"/>
        <w:spacing w:after="0"/>
        <w:rPr>
          <w:rFonts w:ascii="Arial" w:hAnsi="Arial" w:cs="Arial"/>
        </w:rPr>
      </w:pPr>
      <w:r w:rsidRPr="00692BF0">
        <w:rPr>
          <w:rFonts w:ascii="Arial" w:hAnsi="Arial" w:cs="Arial"/>
        </w:rPr>
        <w:t xml:space="preserve">Given the increasing adoption of CMR in clinical practice and the need for a stronger scientific foundation regarding </w:t>
      </w:r>
      <w:r w:rsidR="003924F6" w:rsidRPr="003924F6">
        <w:rPr>
          <w:rFonts w:ascii="Arial" w:hAnsi="Arial" w:cs="Arial"/>
          <w:highlight w:val="yellow"/>
        </w:rPr>
        <w:t>the</w:t>
      </w:r>
      <w:r w:rsidRPr="00692BF0">
        <w:rPr>
          <w:rFonts w:ascii="Arial" w:hAnsi="Arial" w:cs="Arial"/>
        </w:rPr>
        <w:t xml:space="preserve"> periodontal implications, this study aims to review the literature to assess how periodontal conditions have been investigated in cervical margin relocation procedures and to analyze their repercussions on the periodontium.</w:t>
      </w:r>
    </w:p>
    <w:p w14:paraId="78599379" w14:textId="77777777" w:rsidR="00692BF0" w:rsidRPr="00FB3A86" w:rsidRDefault="00692BF0" w:rsidP="00692BF0">
      <w:pPr>
        <w:pStyle w:val="Body"/>
        <w:spacing w:after="0"/>
        <w:ind w:firstLine="720"/>
        <w:rPr>
          <w:rFonts w:ascii="Arial" w:hAnsi="Arial" w:cs="Arial"/>
        </w:rPr>
      </w:pPr>
    </w:p>
    <w:p w14:paraId="1D1D69A8" w14:textId="461B1369"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0C6B16D2" w14:textId="77777777" w:rsidR="00790ADA" w:rsidRPr="00FB3A86" w:rsidRDefault="00790ADA" w:rsidP="00441B6F">
      <w:pPr>
        <w:pStyle w:val="AbstHead"/>
        <w:spacing w:after="0"/>
        <w:jc w:val="both"/>
        <w:rPr>
          <w:rFonts w:ascii="Arial" w:hAnsi="Arial" w:cs="Arial"/>
        </w:rPr>
      </w:pPr>
    </w:p>
    <w:p w14:paraId="399F3456" w14:textId="55B7685C" w:rsidR="00692BF0" w:rsidRPr="00692BF0" w:rsidRDefault="00692BF0" w:rsidP="00801D07">
      <w:pPr>
        <w:pStyle w:val="Body"/>
        <w:spacing w:after="0"/>
        <w:rPr>
          <w:rFonts w:ascii="Arial" w:hAnsi="Arial" w:cs="Arial"/>
        </w:rPr>
      </w:pPr>
      <w:r w:rsidRPr="00692BF0">
        <w:rPr>
          <w:rFonts w:ascii="Arial" w:hAnsi="Arial" w:cs="Arial"/>
        </w:rPr>
        <w:t>To investigate this topic, exploratory searches were conducted across various databases and research modalities. These preliminary searches allowed for the final selection of articles from the PubMed, Journals indexed in the CAPES portal, and Lilacs databases. A combination of delimiters was used, including: “cervical margin relocation” OR “deep margin elevation” OR “subgingival cervical margin” AND “periodontal health” OR “periodontium”.</w:t>
      </w:r>
    </w:p>
    <w:p w14:paraId="08E57CB4" w14:textId="77777777" w:rsidR="00801D07" w:rsidRDefault="00801D07" w:rsidP="00801D07">
      <w:pPr>
        <w:pStyle w:val="Body"/>
        <w:spacing w:after="0"/>
        <w:rPr>
          <w:rFonts w:ascii="Arial" w:hAnsi="Arial" w:cs="Arial"/>
        </w:rPr>
      </w:pPr>
    </w:p>
    <w:p w14:paraId="6483B7F9" w14:textId="008D924F" w:rsidR="00692BF0" w:rsidRDefault="00692BF0" w:rsidP="00801D07">
      <w:pPr>
        <w:pStyle w:val="Body"/>
        <w:spacing w:after="0"/>
        <w:rPr>
          <w:rFonts w:ascii="Arial" w:hAnsi="Arial" w:cs="Arial"/>
        </w:rPr>
      </w:pPr>
      <w:r w:rsidRPr="00692BF0">
        <w:rPr>
          <w:rFonts w:ascii="Arial" w:hAnsi="Arial" w:cs="Arial"/>
        </w:rPr>
        <w:t xml:space="preserve">The search retrieved </w:t>
      </w:r>
      <w:r w:rsidR="006F3044" w:rsidRPr="006F3044">
        <w:rPr>
          <w:rFonts w:ascii="Arial" w:hAnsi="Arial" w:cs="Arial"/>
          <w:highlight w:val="yellow"/>
        </w:rPr>
        <w:t>thirteen</w:t>
      </w:r>
      <w:r w:rsidRPr="00692BF0">
        <w:rPr>
          <w:rFonts w:ascii="Arial" w:hAnsi="Arial" w:cs="Arial"/>
        </w:rPr>
        <w:t xml:space="preserve"> articles related to the topic, of which 2 were duplicates. The inclusion criteria adopted </w:t>
      </w:r>
      <w:proofErr w:type="gramStart"/>
      <w:r w:rsidRPr="00692BF0">
        <w:rPr>
          <w:rFonts w:ascii="Arial" w:hAnsi="Arial" w:cs="Arial"/>
        </w:rPr>
        <w:t>were:</w:t>
      </w:r>
      <w:proofErr w:type="gramEnd"/>
      <w:r w:rsidRPr="00692BF0">
        <w:rPr>
          <w:rFonts w:ascii="Arial" w:hAnsi="Arial" w:cs="Arial"/>
        </w:rPr>
        <w:t xml:space="preserve"> articles published within the last 10 years; randomized clinical trials, case reports, and case series; written in Portuguese, English, or Spanish. Review articles and those that, after title and abstract screening, were found not to be aligned with the study's subject were excluded</w:t>
      </w:r>
      <w:r w:rsidR="00DB46D0">
        <w:rPr>
          <w:rFonts w:ascii="Arial" w:hAnsi="Arial" w:cs="Arial"/>
        </w:rPr>
        <w:t xml:space="preserve"> </w:t>
      </w:r>
      <w:r w:rsidR="00DB46D0" w:rsidRPr="00DB46D0">
        <w:rPr>
          <w:rFonts w:ascii="Arial" w:hAnsi="Arial" w:cs="Arial"/>
          <w:highlight w:val="yellow"/>
        </w:rPr>
        <w:t>[17]</w:t>
      </w:r>
      <w:r w:rsidRPr="00DB46D0">
        <w:rPr>
          <w:rFonts w:ascii="Arial" w:hAnsi="Arial" w:cs="Arial"/>
          <w:highlight w:val="yellow"/>
        </w:rPr>
        <w:t>.</w:t>
      </w:r>
    </w:p>
    <w:p w14:paraId="0E44BDCA" w14:textId="77777777" w:rsidR="00801D07" w:rsidRDefault="00801D07" w:rsidP="00801D07">
      <w:pPr>
        <w:pStyle w:val="Body"/>
        <w:rPr>
          <w:rFonts w:ascii="Arial" w:hAnsi="Arial" w:cs="Arial"/>
        </w:rPr>
      </w:pPr>
    </w:p>
    <w:p w14:paraId="407466B0" w14:textId="22BD9324" w:rsidR="00790ADA" w:rsidRDefault="00692BF0" w:rsidP="00801D07">
      <w:pPr>
        <w:pStyle w:val="Body"/>
        <w:rPr>
          <w:rFonts w:ascii="Arial" w:hAnsi="Arial" w:cs="Arial"/>
        </w:rPr>
      </w:pPr>
      <w:r w:rsidRPr="00692BF0">
        <w:rPr>
          <w:rFonts w:ascii="Arial" w:hAnsi="Arial" w:cs="Arial"/>
        </w:rPr>
        <w:t xml:space="preserve">After applying the inclusion and exclusion criteria, </w:t>
      </w:r>
      <w:r w:rsidR="006F3044" w:rsidRPr="006F3044">
        <w:rPr>
          <w:rFonts w:ascii="Arial" w:hAnsi="Arial" w:cs="Arial"/>
          <w:highlight w:val="yellow"/>
        </w:rPr>
        <w:t>eight</w:t>
      </w:r>
      <w:r w:rsidRPr="00692BF0">
        <w:rPr>
          <w:rFonts w:ascii="Arial" w:hAnsi="Arial" w:cs="Arial"/>
        </w:rPr>
        <w:t xml:space="preserve"> articles were selected to compose this review.</w:t>
      </w:r>
    </w:p>
    <w:tbl>
      <w:tblPr>
        <w:tblStyle w:val="Tabelacomgrade"/>
        <w:tblW w:w="0" w:type="auto"/>
        <w:tblLook w:val="04A0" w:firstRow="1" w:lastRow="0" w:firstColumn="1" w:lastColumn="0" w:noHBand="0" w:noVBand="1"/>
      </w:tblPr>
      <w:tblGrid>
        <w:gridCol w:w="8198"/>
      </w:tblGrid>
      <w:tr w:rsidR="00AD4D02" w14:paraId="16F91C5D" w14:textId="77777777" w:rsidTr="00AD4D02">
        <w:tc>
          <w:tcPr>
            <w:tcW w:w="8198" w:type="dxa"/>
          </w:tcPr>
          <w:p w14:paraId="639CF1E7" w14:textId="0B460831" w:rsidR="00AD4D02" w:rsidRDefault="00AD4D02" w:rsidP="00801D07">
            <w:pPr>
              <w:pStyle w:val="Body"/>
              <w:rPr>
                <w:rFonts w:ascii="Arial" w:hAnsi="Arial" w:cs="Arial"/>
              </w:rPr>
            </w:pPr>
            <w:r>
              <w:rPr>
                <w:rFonts w:ascii="Arial" w:hAnsi="Arial" w:cs="Arial"/>
                <w:noProof/>
              </w:rPr>
              <w:lastRenderedPageBreak/>
              <w:drawing>
                <wp:inline distT="0" distB="0" distL="0" distR="0" wp14:anchorId="18B50530" wp14:editId="7E49C33C">
                  <wp:extent cx="5212080" cy="5128260"/>
                  <wp:effectExtent l="0" t="0" r="0" b="2540"/>
                  <wp:docPr id="533130973" name="Imagem 2"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130973" name="Imagem 2" descr="Diagrama&#10;&#10;O conteúdo gerado por IA pode estar incorre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2080" cy="5128260"/>
                          </a:xfrm>
                          <a:prstGeom prst="rect">
                            <a:avLst/>
                          </a:prstGeom>
                        </pic:spPr>
                      </pic:pic>
                    </a:graphicData>
                  </a:graphic>
                </wp:inline>
              </w:drawing>
            </w:r>
          </w:p>
        </w:tc>
      </w:tr>
    </w:tbl>
    <w:p w14:paraId="7EED43D0" w14:textId="77777777" w:rsidR="00692BF0" w:rsidRPr="00692BF0" w:rsidRDefault="00692BF0" w:rsidP="00AD4D02">
      <w:pPr>
        <w:spacing w:line="360" w:lineRule="auto"/>
        <w:jc w:val="both"/>
        <w:rPr>
          <w:rFonts w:ascii="Arial" w:hAnsi="Arial" w:cs="Arial"/>
          <w:color w:val="000000"/>
        </w:rPr>
      </w:pPr>
      <w:r w:rsidRPr="00AD4D02">
        <w:rPr>
          <w:rFonts w:ascii="Arial" w:hAnsi="Arial" w:cs="Arial"/>
          <w:color w:val="000000"/>
          <w:highlight w:val="yellow"/>
        </w:rPr>
        <w:t>Figure 1. Flowchart of study selection.</w:t>
      </w:r>
    </w:p>
    <w:p w14:paraId="44B3A63E" w14:textId="77777777" w:rsidR="00790ADA" w:rsidRDefault="00790ADA" w:rsidP="00441B6F">
      <w:pPr>
        <w:pStyle w:val="Body"/>
        <w:spacing w:after="0"/>
        <w:rPr>
          <w:rFonts w:ascii="Arial" w:hAnsi="Arial" w:cs="Arial"/>
        </w:rPr>
      </w:pPr>
    </w:p>
    <w:p w14:paraId="4CBE9951" w14:textId="77777777" w:rsidR="00692BF0" w:rsidRPr="00FB3A86" w:rsidRDefault="00692BF0" w:rsidP="00441B6F">
      <w:pPr>
        <w:pStyle w:val="Body"/>
        <w:spacing w:after="0"/>
        <w:rPr>
          <w:rFonts w:ascii="Arial" w:hAnsi="Arial" w:cs="Arial"/>
        </w:rPr>
      </w:pPr>
    </w:p>
    <w:p w14:paraId="3AFD78BB" w14:textId="1362E9FE"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3576C0A7" w14:textId="77777777" w:rsidR="00790ADA" w:rsidRDefault="00790ADA" w:rsidP="00441B6F">
      <w:pPr>
        <w:pStyle w:val="Body"/>
        <w:spacing w:after="0"/>
        <w:rPr>
          <w:rFonts w:ascii="Arial" w:hAnsi="Arial" w:cs="Arial"/>
        </w:rPr>
      </w:pPr>
    </w:p>
    <w:p w14:paraId="4E14FC49" w14:textId="512C8301" w:rsidR="00801D07" w:rsidRDefault="00801D07" w:rsidP="00801D07">
      <w:pPr>
        <w:pStyle w:val="Body"/>
        <w:spacing w:after="0"/>
        <w:rPr>
          <w:rFonts w:ascii="Arial" w:hAnsi="Arial" w:cs="Arial"/>
        </w:rPr>
      </w:pPr>
      <w:r w:rsidRPr="00801D07">
        <w:rPr>
          <w:rFonts w:ascii="Arial" w:hAnsi="Arial" w:cs="Arial"/>
        </w:rPr>
        <w:t>According to the proposed topic, eight articles were selected, including five clinical trials, one case series study, and two case reports (Table 1). Six of these studies investigated the relationship between the cervical margin relocation (CMR) technique and periodontal health, using parameters such as the gingival index (GI), plaque index (PI), bleeding on probing (BOP), and probing depth (PD) (Table 1).</w:t>
      </w:r>
    </w:p>
    <w:p w14:paraId="171951BC" w14:textId="77777777" w:rsidR="00801D07" w:rsidRPr="00801D07" w:rsidRDefault="00801D07" w:rsidP="00801D07">
      <w:pPr>
        <w:pStyle w:val="Body"/>
        <w:spacing w:after="0"/>
        <w:rPr>
          <w:rFonts w:ascii="Arial" w:hAnsi="Arial" w:cs="Arial"/>
        </w:rPr>
      </w:pPr>
    </w:p>
    <w:p w14:paraId="161F625A" w14:textId="3D4139CD" w:rsidR="00801D07" w:rsidRPr="00801D07" w:rsidRDefault="00801D07" w:rsidP="00801D07">
      <w:pPr>
        <w:pStyle w:val="Body"/>
        <w:rPr>
          <w:rFonts w:ascii="Arial" w:hAnsi="Arial" w:cs="Arial"/>
        </w:rPr>
      </w:pPr>
      <w:r w:rsidRPr="00801D07">
        <w:rPr>
          <w:rFonts w:ascii="Arial" w:hAnsi="Arial" w:cs="Arial"/>
        </w:rPr>
        <w:t>However, two studies did not directly assess periodontal parameters after performing CMR. Bresser et al. (2019) analyzed only the survival rate of restorations without addressing their impact on periodontal health</w:t>
      </w:r>
      <w:r w:rsidR="003E080A">
        <w:rPr>
          <w:rFonts w:ascii="Arial" w:hAnsi="Arial" w:cs="Arial"/>
        </w:rPr>
        <w:t xml:space="preserve"> </w:t>
      </w:r>
      <w:r w:rsidR="003E080A" w:rsidRPr="003E080A">
        <w:rPr>
          <w:rFonts w:ascii="Arial" w:hAnsi="Arial" w:cs="Arial"/>
          <w:highlight w:val="yellow"/>
        </w:rPr>
        <w:t>[7]</w:t>
      </w:r>
      <w:r w:rsidRPr="003E080A">
        <w:rPr>
          <w:rFonts w:ascii="Arial" w:hAnsi="Arial" w:cs="Arial"/>
          <w:highlight w:val="yellow"/>
        </w:rPr>
        <w:t>.</w:t>
      </w:r>
      <w:r w:rsidRPr="00801D07">
        <w:rPr>
          <w:rFonts w:ascii="Arial" w:hAnsi="Arial" w:cs="Arial"/>
        </w:rPr>
        <w:t xml:space="preserve"> Prado et al. (2022) published a case report structured based on the technical protocol and literature recommendations, emphasizing success criteria related to restorative outcomes</w:t>
      </w:r>
      <w:r w:rsidR="003E080A">
        <w:rPr>
          <w:rFonts w:ascii="Arial" w:hAnsi="Arial" w:cs="Arial"/>
        </w:rPr>
        <w:t xml:space="preserve"> </w:t>
      </w:r>
      <w:r w:rsidR="003E080A" w:rsidRPr="003E080A">
        <w:rPr>
          <w:rFonts w:ascii="Arial" w:hAnsi="Arial" w:cs="Arial"/>
          <w:highlight w:val="yellow"/>
        </w:rPr>
        <w:t>[3]</w:t>
      </w:r>
      <w:r w:rsidRPr="003E080A">
        <w:rPr>
          <w:rFonts w:ascii="Arial" w:hAnsi="Arial" w:cs="Arial"/>
          <w:highlight w:val="yellow"/>
        </w:rPr>
        <w:t>.</w:t>
      </w:r>
    </w:p>
    <w:p w14:paraId="4D0CC467" w14:textId="289A520F" w:rsidR="00801D07" w:rsidRPr="00801D07" w:rsidRDefault="00801D07" w:rsidP="00801D07">
      <w:pPr>
        <w:pStyle w:val="Body"/>
        <w:rPr>
          <w:rFonts w:ascii="Arial" w:hAnsi="Arial" w:cs="Arial"/>
        </w:rPr>
      </w:pPr>
      <w:r w:rsidRPr="00801D07">
        <w:rPr>
          <w:rFonts w:ascii="Arial" w:hAnsi="Arial" w:cs="Arial"/>
        </w:rPr>
        <w:lastRenderedPageBreak/>
        <w:t>The studies were conducted in different countries: Germany [15], Brazil [3], Egypt [</w:t>
      </w:r>
      <w:r w:rsidRPr="005917F8">
        <w:rPr>
          <w:rFonts w:ascii="Arial" w:hAnsi="Arial" w:cs="Arial"/>
          <w:highlight w:val="yellow"/>
        </w:rPr>
        <w:t>18</w:t>
      </w:r>
      <w:r w:rsidRPr="00801D07">
        <w:rPr>
          <w:rFonts w:ascii="Arial" w:hAnsi="Arial" w:cs="Arial"/>
        </w:rPr>
        <w:t xml:space="preserve">,19], Italy [2,5,10], and the Netherlands [7]. The participants' age range varied from 18 to 70 years, and sample sizes ranged from 1 to 120 patients, with the total number of restorations ranging from 1 to 197. The follow-up periods varied between 3 months and 12 years after the </w:t>
      </w:r>
      <w:r w:rsidR="00C42738" w:rsidRPr="00C42738">
        <w:rPr>
          <w:rFonts w:ascii="Arial" w:hAnsi="Arial" w:cs="Arial"/>
          <w:highlight w:val="yellow"/>
        </w:rPr>
        <w:t>procedure</w:t>
      </w:r>
      <w:r w:rsidRPr="00801D07">
        <w:rPr>
          <w:rFonts w:ascii="Arial" w:hAnsi="Arial" w:cs="Arial"/>
        </w:rPr>
        <w:t xml:space="preserve"> of CMR (Table 1).</w:t>
      </w:r>
    </w:p>
    <w:p w14:paraId="7DD7759C" w14:textId="40C7CDFF" w:rsidR="00801D07" w:rsidRPr="00801D07" w:rsidRDefault="00801D07" w:rsidP="00801D07">
      <w:pPr>
        <w:pStyle w:val="Body"/>
        <w:rPr>
          <w:rFonts w:ascii="Arial" w:hAnsi="Arial" w:cs="Arial"/>
        </w:rPr>
      </w:pPr>
      <w:r w:rsidRPr="00801D07">
        <w:rPr>
          <w:rFonts w:ascii="Arial" w:hAnsi="Arial" w:cs="Arial"/>
        </w:rPr>
        <w:t>The inclusion criteria of the selected studies involved adult patients indicated for subgingival restorations, in vital or non-vital teeth, with or without endodontic treatment. Additionally, the presence of carious lesions on proximal surfaces with the cervical margin positioned below the cementoenamel junction (CEJ) was an established criterion. Three studies reported that the restorative margins were positioned at least 2 mm above the alveolar crest [10</w:t>
      </w:r>
      <w:r w:rsidR="00344C49">
        <w:rPr>
          <w:rFonts w:ascii="Arial" w:hAnsi="Arial" w:cs="Arial"/>
        </w:rPr>
        <w:t>,</w:t>
      </w:r>
      <w:r w:rsidRPr="00801D07">
        <w:rPr>
          <w:rFonts w:ascii="Arial" w:hAnsi="Arial" w:cs="Arial"/>
        </w:rPr>
        <w:t>15</w:t>
      </w:r>
      <w:r w:rsidR="00344C49">
        <w:rPr>
          <w:rFonts w:ascii="Arial" w:hAnsi="Arial" w:cs="Arial"/>
        </w:rPr>
        <w:t>,</w:t>
      </w:r>
      <w:r w:rsidRPr="00801D07">
        <w:rPr>
          <w:rFonts w:ascii="Arial" w:hAnsi="Arial" w:cs="Arial"/>
        </w:rPr>
        <w:t>17</w:t>
      </w:r>
      <w:r w:rsidR="00344C49">
        <w:rPr>
          <w:rFonts w:ascii="Arial" w:hAnsi="Arial" w:cs="Arial"/>
        </w:rPr>
        <w:t>,</w:t>
      </w:r>
      <w:r w:rsidRPr="00801D07">
        <w:rPr>
          <w:rFonts w:ascii="Arial" w:hAnsi="Arial" w:cs="Arial"/>
        </w:rPr>
        <w:t>19].</w:t>
      </w:r>
    </w:p>
    <w:p w14:paraId="29F4BAA7" w14:textId="05E74DB5" w:rsidR="00801D07" w:rsidRPr="00801D07" w:rsidRDefault="00801D07" w:rsidP="00801D07">
      <w:pPr>
        <w:pStyle w:val="Body"/>
        <w:rPr>
          <w:rFonts w:ascii="Arial" w:hAnsi="Arial" w:cs="Arial"/>
        </w:rPr>
      </w:pPr>
      <w:r w:rsidRPr="00801D07">
        <w:rPr>
          <w:rFonts w:ascii="Arial" w:hAnsi="Arial" w:cs="Arial"/>
        </w:rPr>
        <w:t xml:space="preserve">The maintenance of stable periodontal health was an inclusion criterion in four studies [1,3,5,10,19]. Additionally, four studies reported that, prior to the restorative procedure, oral hygiene instructions, scaling, root </w:t>
      </w:r>
      <w:proofErr w:type="spellStart"/>
      <w:r w:rsidRPr="00801D07">
        <w:rPr>
          <w:rFonts w:ascii="Arial" w:hAnsi="Arial" w:cs="Arial"/>
        </w:rPr>
        <w:t>planing</w:t>
      </w:r>
      <w:proofErr w:type="spellEnd"/>
      <w:r w:rsidRPr="00801D07">
        <w:rPr>
          <w:rFonts w:ascii="Arial" w:hAnsi="Arial" w:cs="Arial"/>
        </w:rPr>
        <w:t>, and prophylaxis were performed [5,15,18,19].</w:t>
      </w:r>
    </w:p>
    <w:p w14:paraId="23805374" w14:textId="2CA953F0" w:rsidR="00801D07" w:rsidRDefault="00801D07" w:rsidP="00801D07">
      <w:pPr>
        <w:pStyle w:val="Body"/>
        <w:spacing w:after="0"/>
        <w:rPr>
          <w:rFonts w:ascii="Arial" w:hAnsi="Arial" w:cs="Arial"/>
        </w:rPr>
      </w:pPr>
      <w:r w:rsidRPr="00801D07">
        <w:rPr>
          <w:rFonts w:ascii="Arial" w:hAnsi="Arial" w:cs="Arial"/>
          <w:b/>
          <w:bCs/>
        </w:rPr>
        <w:t>Table 1.</w:t>
      </w:r>
      <w:r w:rsidRPr="00801D07">
        <w:rPr>
          <w:rFonts w:ascii="Arial" w:hAnsi="Arial" w:cs="Arial"/>
        </w:rPr>
        <w:t xml:space="preserve"> Type of study, evaluated parameters, follow-up period, and sample characteristics.</w:t>
      </w:r>
    </w:p>
    <w:tbl>
      <w:tblPr>
        <w:tblStyle w:val="SimplesTabela3"/>
        <w:tblW w:w="8080" w:type="dxa"/>
        <w:tblLayout w:type="fixed"/>
        <w:tblLook w:val="04A0" w:firstRow="1" w:lastRow="0" w:firstColumn="1" w:lastColumn="0" w:noHBand="0" w:noVBand="1"/>
      </w:tblPr>
      <w:tblGrid>
        <w:gridCol w:w="1985"/>
        <w:gridCol w:w="1417"/>
        <w:gridCol w:w="1701"/>
        <w:gridCol w:w="1560"/>
        <w:gridCol w:w="1417"/>
      </w:tblGrid>
      <w:tr w:rsidR="00801D07" w:rsidRPr="001C503C" w14:paraId="252DF048" w14:textId="77777777" w:rsidTr="004A1312">
        <w:trPr>
          <w:cnfStyle w:val="100000000000" w:firstRow="1" w:lastRow="0" w:firstColumn="0" w:lastColumn="0" w:oddVBand="0" w:evenVBand="0" w:oddHBand="0" w:evenHBand="0" w:firstRowFirstColumn="0" w:firstRowLastColumn="0" w:lastRowFirstColumn="0" w:lastRowLastColumn="0"/>
          <w:trHeight w:val="687"/>
        </w:trPr>
        <w:tc>
          <w:tcPr>
            <w:cnfStyle w:val="001000000100" w:firstRow="0" w:lastRow="0" w:firstColumn="1" w:lastColumn="0" w:oddVBand="0" w:evenVBand="0" w:oddHBand="0" w:evenHBand="0" w:firstRowFirstColumn="1" w:firstRowLastColumn="0" w:lastRowFirstColumn="0" w:lastRowLastColumn="0"/>
            <w:tcW w:w="1985" w:type="dxa"/>
            <w:tcBorders>
              <w:top w:val="single" w:sz="12" w:space="0" w:color="auto"/>
              <w:bottom w:val="single" w:sz="4" w:space="0" w:color="auto"/>
            </w:tcBorders>
            <w:vAlign w:val="center"/>
          </w:tcPr>
          <w:p w14:paraId="3D2E1995" w14:textId="77777777" w:rsidR="00801D07" w:rsidRPr="002B712C" w:rsidRDefault="00801D07" w:rsidP="00DA41BF">
            <w:pPr>
              <w:pStyle w:val="Corpodetexto"/>
              <w:jc w:val="center"/>
              <w:rPr>
                <w:rFonts w:ascii="Arial" w:hAnsi="Arial" w:cs="Arial"/>
                <w:iCs/>
                <w:sz w:val="20"/>
                <w:szCs w:val="20"/>
                <w:highlight w:val="yellow"/>
                <w:lang w:val="en-US"/>
              </w:rPr>
            </w:pPr>
            <w:r w:rsidRPr="002B712C">
              <w:rPr>
                <w:rFonts w:ascii="Arial" w:hAnsi="Arial" w:cs="Arial"/>
                <w:iCs/>
                <w:caps w:val="0"/>
                <w:sz w:val="20"/>
                <w:szCs w:val="20"/>
                <w:highlight w:val="yellow"/>
                <w:lang w:val="en-US"/>
              </w:rPr>
              <w:t>Author</w:t>
            </w:r>
          </w:p>
        </w:tc>
        <w:tc>
          <w:tcPr>
            <w:tcW w:w="1417" w:type="dxa"/>
            <w:tcBorders>
              <w:top w:val="single" w:sz="12" w:space="0" w:color="auto"/>
            </w:tcBorders>
            <w:vAlign w:val="center"/>
          </w:tcPr>
          <w:p w14:paraId="2C984AE9" w14:textId="77777777" w:rsidR="00801D07" w:rsidRPr="002B712C" w:rsidRDefault="00801D07" w:rsidP="00DA41BF">
            <w:pPr>
              <w:pStyle w:val="Corpodetex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20"/>
                <w:szCs w:val="20"/>
                <w:highlight w:val="yellow"/>
                <w:lang w:val="en-US"/>
              </w:rPr>
            </w:pPr>
            <w:r w:rsidRPr="002B712C">
              <w:rPr>
                <w:rFonts w:ascii="Arial" w:hAnsi="Arial" w:cs="Arial"/>
                <w:iCs/>
                <w:caps w:val="0"/>
                <w:sz w:val="20"/>
                <w:szCs w:val="20"/>
                <w:highlight w:val="yellow"/>
                <w:lang w:val="en-US"/>
              </w:rPr>
              <w:t>Type of study</w:t>
            </w:r>
          </w:p>
        </w:tc>
        <w:tc>
          <w:tcPr>
            <w:tcW w:w="1701" w:type="dxa"/>
            <w:tcBorders>
              <w:top w:val="single" w:sz="12" w:space="0" w:color="auto"/>
            </w:tcBorders>
            <w:vAlign w:val="center"/>
          </w:tcPr>
          <w:p w14:paraId="697EA80E" w14:textId="77777777" w:rsidR="00801D07" w:rsidRPr="002B712C" w:rsidRDefault="00801D07" w:rsidP="00DA41BF">
            <w:pPr>
              <w:pStyle w:val="Corpodetex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20"/>
                <w:szCs w:val="20"/>
                <w:highlight w:val="yellow"/>
                <w:lang w:val="en-US"/>
              </w:rPr>
            </w:pPr>
            <w:r w:rsidRPr="002B712C">
              <w:rPr>
                <w:rFonts w:ascii="Arial" w:hAnsi="Arial" w:cs="Arial"/>
                <w:iCs/>
                <w:caps w:val="0"/>
                <w:sz w:val="20"/>
                <w:szCs w:val="20"/>
                <w:highlight w:val="yellow"/>
                <w:lang w:val="en-US"/>
              </w:rPr>
              <w:t>Periodontal parameters</w:t>
            </w:r>
          </w:p>
        </w:tc>
        <w:tc>
          <w:tcPr>
            <w:tcW w:w="1560" w:type="dxa"/>
            <w:tcBorders>
              <w:top w:val="single" w:sz="12" w:space="0" w:color="auto"/>
            </w:tcBorders>
            <w:vAlign w:val="center"/>
          </w:tcPr>
          <w:p w14:paraId="3B021201" w14:textId="66365172" w:rsidR="00801D07" w:rsidRPr="002B712C" w:rsidRDefault="00801D07" w:rsidP="00DA41BF">
            <w:pPr>
              <w:pStyle w:val="Corpodetex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20"/>
                <w:szCs w:val="20"/>
                <w:highlight w:val="yellow"/>
                <w:lang w:val="en-US"/>
              </w:rPr>
            </w:pPr>
            <w:r w:rsidRPr="002B712C">
              <w:rPr>
                <w:rFonts w:ascii="Arial" w:hAnsi="Arial" w:cs="Arial"/>
                <w:iCs/>
                <w:caps w:val="0"/>
                <w:sz w:val="20"/>
                <w:szCs w:val="20"/>
                <w:highlight w:val="yellow"/>
                <w:lang w:val="en-US"/>
              </w:rPr>
              <w:t>Follow-</w:t>
            </w:r>
            <w:r w:rsidR="007227E5">
              <w:rPr>
                <w:rFonts w:ascii="Arial" w:hAnsi="Arial" w:cs="Arial"/>
                <w:iCs/>
                <w:caps w:val="0"/>
                <w:sz w:val="20"/>
                <w:szCs w:val="20"/>
                <w:highlight w:val="yellow"/>
                <w:lang w:val="en-US"/>
              </w:rPr>
              <w:t>up</w:t>
            </w:r>
            <w:r w:rsidRPr="002B712C">
              <w:rPr>
                <w:rFonts w:ascii="Arial" w:hAnsi="Arial" w:cs="Arial"/>
                <w:iCs/>
                <w:caps w:val="0"/>
                <w:sz w:val="20"/>
                <w:szCs w:val="20"/>
                <w:highlight w:val="yellow"/>
                <w:lang w:val="en-US"/>
              </w:rPr>
              <w:t xml:space="preserve"> period</w:t>
            </w:r>
          </w:p>
        </w:tc>
        <w:tc>
          <w:tcPr>
            <w:tcW w:w="1417" w:type="dxa"/>
            <w:tcBorders>
              <w:top w:val="single" w:sz="12" w:space="0" w:color="auto"/>
            </w:tcBorders>
            <w:vAlign w:val="center"/>
          </w:tcPr>
          <w:p w14:paraId="59797FF0" w14:textId="77777777" w:rsidR="00801D07" w:rsidRPr="002B712C" w:rsidRDefault="00801D07" w:rsidP="00DA41BF">
            <w:pPr>
              <w:pStyle w:val="Corpodetex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20"/>
                <w:szCs w:val="20"/>
                <w:highlight w:val="yellow"/>
                <w:lang w:val="en-US"/>
              </w:rPr>
            </w:pPr>
            <w:r w:rsidRPr="002B712C">
              <w:rPr>
                <w:rFonts w:ascii="Arial" w:hAnsi="Arial" w:cs="Arial"/>
                <w:iCs/>
                <w:caps w:val="0"/>
                <w:sz w:val="20"/>
                <w:szCs w:val="20"/>
                <w:highlight w:val="yellow"/>
                <w:lang w:val="en-US"/>
              </w:rPr>
              <w:t>Sample size</w:t>
            </w:r>
          </w:p>
        </w:tc>
      </w:tr>
      <w:tr w:rsidR="00801D07" w:rsidRPr="001C503C" w14:paraId="78775568" w14:textId="77777777" w:rsidTr="004A13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right w:val="none" w:sz="0" w:space="0" w:color="auto"/>
            </w:tcBorders>
            <w:vAlign w:val="center"/>
          </w:tcPr>
          <w:p w14:paraId="6E67C8AE" w14:textId="77777777" w:rsidR="00801D07" w:rsidRPr="002B712C" w:rsidRDefault="00801D07" w:rsidP="00DA41BF">
            <w:pPr>
              <w:pStyle w:val="Corpodetexto"/>
              <w:jc w:val="center"/>
              <w:rPr>
                <w:rFonts w:ascii="Arial" w:hAnsi="Arial" w:cs="Arial"/>
                <w:sz w:val="20"/>
                <w:szCs w:val="20"/>
                <w:highlight w:val="yellow"/>
                <w:lang w:val="en-US"/>
              </w:rPr>
            </w:pPr>
            <w:proofErr w:type="spellStart"/>
            <w:r w:rsidRPr="002B712C">
              <w:rPr>
                <w:rFonts w:ascii="Arial" w:hAnsi="Arial" w:cs="Arial"/>
                <w:caps w:val="0"/>
                <w:sz w:val="20"/>
                <w:szCs w:val="20"/>
                <w:highlight w:val="yellow"/>
                <w:lang w:val="en-US"/>
              </w:rPr>
              <w:t>Hausdörfer</w:t>
            </w:r>
            <w:proofErr w:type="spellEnd"/>
            <w:r w:rsidRPr="002B712C">
              <w:rPr>
                <w:rFonts w:ascii="Arial" w:hAnsi="Arial" w:cs="Arial"/>
                <w:i/>
                <w:iCs/>
                <w:sz w:val="20"/>
                <w:szCs w:val="20"/>
                <w:highlight w:val="yellow"/>
                <w:lang w:val="en-US"/>
              </w:rPr>
              <w:t xml:space="preserve"> </w:t>
            </w:r>
            <w:r w:rsidRPr="002B712C">
              <w:rPr>
                <w:rFonts w:ascii="Arial" w:hAnsi="Arial" w:cs="Arial"/>
                <w:i/>
                <w:iCs/>
                <w:caps w:val="0"/>
                <w:sz w:val="20"/>
                <w:szCs w:val="20"/>
                <w:highlight w:val="yellow"/>
                <w:lang w:val="en-US"/>
              </w:rPr>
              <w:t>et. al.,</w:t>
            </w:r>
            <w:r w:rsidRPr="002B712C">
              <w:rPr>
                <w:rFonts w:ascii="Arial" w:hAnsi="Arial" w:cs="Arial"/>
                <w:i/>
                <w:iCs/>
                <w:sz w:val="20"/>
                <w:szCs w:val="20"/>
                <w:highlight w:val="yellow"/>
                <w:lang w:val="en-US"/>
              </w:rPr>
              <w:t xml:space="preserve"> </w:t>
            </w:r>
            <w:r w:rsidRPr="002B712C">
              <w:rPr>
                <w:rFonts w:ascii="Arial" w:hAnsi="Arial" w:cs="Arial"/>
                <w:sz w:val="20"/>
                <w:szCs w:val="20"/>
                <w:highlight w:val="yellow"/>
                <w:lang w:val="en-US"/>
              </w:rPr>
              <w:t>2024</w:t>
            </w:r>
            <w:r w:rsidRPr="002B712C">
              <w:rPr>
                <w:rFonts w:ascii="Arial" w:hAnsi="Arial" w:cs="Arial"/>
                <w:sz w:val="20"/>
                <w:szCs w:val="20"/>
                <w:highlight w:val="yellow"/>
                <w:vertAlign w:val="superscript"/>
                <w:lang w:val="en-US"/>
              </w:rPr>
              <w:t>15</w:t>
            </w:r>
          </w:p>
        </w:tc>
        <w:tc>
          <w:tcPr>
            <w:tcW w:w="1417" w:type="dxa"/>
            <w:tcBorders>
              <w:left w:val="nil"/>
            </w:tcBorders>
            <w:vAlign w:val="center"/>
          </w:tcPr>
          <w:p w14:paraId="1E8AA2D7" w14:textId="77777777" w:rsidR="00801D07" w:rsidRPr="002B712C" w:rsidRDefault="00801D07" w:rsidP="00DA41BF">
            <w:pPr>
              <w:pStyle w:val="Corpodetex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Clinical trial</w:t>
            </w:r>
          </w:p>
        </w:tc>
        <w:tc>
          <w:tcPr>
            <w:tcW w:w="1701" w:type="dxa"/>
            <w:vAlign w:val="center"/>
          </w:tcPr>
          <w:p w14:paraId="4795CDAC" w14:textId="77777777" w:rsidR="00801D07" w:rsidRPr="002B712C" w:rsidRDefault="00801D07" w:rsidP="00DA41BF">
            <w:pPr>
              <w:pStyle w:val="Corpodetex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PI, PD e BOP</w:t>
            </w:r>
          </w:p>
        </w:tc>
        <w:tc>
          <w:tcPr>
            <w:tcW w:w="1560" w:type="dxa"/>
            <w:vAlign w:val="center"/>
          </w:tcPr>
          <w:p w14:paraId="590028D5" w14:textId="77777777" w:rsidR="00801D07" w:rsidRPr="002B712C" w:rsidRDefault="00801D07" w:rsidP="00DA41BF">
            <w:pPr>
              <w:pStyle w:val="Corpodetex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12 months</w:t>
            </w:r>
          </w:p>
        </w:tc>
        <w:tc>
          <w:tcPr>
            <w:tcW w:w="1417" w:type="dxa"/>
            <w:vAlign w:val="center"/>
          </w:tcPr>
          <w:p w14:paraId="762B5C0D" w14:textId="77777777" w:rsidR="00801D07" w:rsidRPr="002B712C" w:rsidRDefault="00801D07" w:rsidP="00DA41BF">
            <w:pPr>
              <w:pStyle w:val="Corpodetex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62 patients</w:t>
            </w:r>
          </w:p>
        </w:tc>
      </w:tr>
      <w:tr w:rsidR="00801D07" w:rsidRPr="001C503C" w14:paraId="11126125" w14:textId="77777777" w:rsidTr="004A1312">
        <w:trPr>
          <w:trHeight w:val="624"/>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vAlign w:val="center"/>
          </w:tcPr>
          <w:p w14:paraId="15146C32" w14:textId="77777777" w:rsidR="00801D07" w:rsidRPr="002B712C" w:rsidRDefault="00801D07" w:rsidP="00DA41BF">
            <w:pPr>
              <w:pStyle w:val="Corpodetexto"/>
              <w:jc w:val="center"/>
              <w:rPr>
                <w:rFonts w:ascii="Arial" w:hAnsi="Arial" w:cs="Arial"/>
                <w:sz w:val="20"/>
                <w:szCs w:val="20"/>
                <w:highlight w:val="yellow"/>
                <w:lang w:val="en-US"/>
              </w:rPr>
            </w:pPr>
            <w:r w:rsidRPr="002B712C">
              <w:rPr>
                <w:rFonts w:ascii="Arial" w:hAnsi="Arial" w:cs="Arial"/>
                <w:sz w:val="20"/>
                <w:szCs w:val="20"/>
                <w:highlight w:val="yellow"/>
                <w:lang w:val="en-US"/>
              </w:rPr>
              <w:t>I</w:t>
            </w:r>
            <w:r w:rsidRPr="002B712C">
              <w:rPr>
                <w:rFonts w:ascii="Arial" w:hAnsi="Arial" w:cs="Arial"/>
                <w:caps w:val="0"/>
                <w:sz w:val="20"/>
                <w:szCs w:val="20"/>
                <w:highlight w:val="yellow"/>
                <w:lang w:val="en-US"/>
              </w:rPr>
              <w:t>smail</w:t>
            </w:r>
            <w:r w:rsidRPr="002B712C">
              <w:rPr>
                <w:rFonts w:ascii="Arial" w:hAnsi="Arial" w:cs="Arial"/>
                <w:sz w:val="20"/>
                <w:szCs w:val="20"/>
                <w:highlight w:val="yellow"/>
                <w:lang w:val="en-US"/>
              </w:rPr>
              <w:t xml:space="preserve"> </w:t>
            </w:r>
            <w:r w:rsidRPr="002B712C">
              <w:rPr>
                <w:rFonts w:ascii="Arial" w:hAnsi="Arial" w:cs="Arial"/>
                <w:i/>
                <w:iCs/>
                <w:caps w:val="0"/>
                <w:sz w:val="20"/>
                <w:szCs w:val="20"/>
                <w:highlight w:val="yellow"/>
                <w:lang w:val="en-US"/>
              </w:rPr>
              <w:t>et. al</w:t>
            </w:r>
            <w:r w:rsidRPr="002B712C">
              <w:rPr>
                <w:rFonts w:ascii="Arial" w:hAnsi="Arial" w:cs="Arial"/>
                <w:i/>
                <w:iCs/>
                <w:sz w:val="20"/>
                <w:szCs w:val="20"/>
                <w:highlight w:val="yellow"/>
                <w:lang w:val="en-US"/>
              </w:rPr>
              <w:t>.,</w:t>
            </w:r>
            <w:r w:rsidRPr="002B712C">
              <w:rPr>
                <w:rFonts w:ascii="Arial" w:hAnsi="Arial" w:cs="Arial"/>
                <w:sz w:val="20"/>
                <w:szCs w:val="20"/>
                <w:highlight w:val="yellow"/>
                <w:lang w:val="en-US"/>
              </w:rPr>
              <w:t xml:space="preserve"> 2023</w:t>
            </w:r>
            <w:r w:rsidRPr="002B712C">
              <w:rPr>
                <w:rFonts w:ascii="Arial" w:hAnsi="Arial" w:cs="Arial"/>
                <w:sz w:val="20"/>
                <w:szCs w:val="20"/>
                <w:highlight w:val="yellow"/>
                <w:vertAlign w:val="superscript"/>
                <w:lang w:val="en-US"/>
              </w:rPr>
              <w:t>19</w:t>
            </w:r>
          </w:p>
        </w:tc>
        <w:tc>
          <w:tcPr>
            <w:tcW w:w="1417" w:type="dxa"/>
            <w:tcBorders>
              <w:left w:val="nil"/>
            </w:tcBorders>
            <w:vAlign w:val="center"/>
          </w:tcPr>
          <w:p w14:paraId="4B8785EB" w14:textId="77777777" w:rsidR="00801D07" w:rsidRPr="002B712C" w:rsidRDefault="00801D07" w:rsidP="00DA41BF">
            <w:pPr>
              <w:pStyle w:val="Corpodetex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Clinical trial</w:t>
            </w:r>
          </w:p>
        </w:tc>
        <w:tc>
          <w:tcPr>
            <w:tcW w:w="1701" w:type="dxa"/>
            <w:vAlign w:val="center"/>
          </w:tcPr>
          <w:p w14:paraId="2929545A" w14:textId="77777777" w:rsidR="00801D07" w:rsidRPr="002B712C" w:rsidRDefault="00801D07" w:rsidP="00DA41BF">
            <w:pPr>
              <w:pStyle w:val="Corpodetex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PI, GI, BOP, PD e radiographic</w:t>
            </w:r>
          </w:p>
        </w:tc>
        <w:tc>
          <w:tcPr>
            <w:tcW w:w="1560" w:type="dxa"/>
            <w:vAlign w:val="center"/>
          </w:tcPr>
          <w:p w14:paraId="3195BB37" w14:textId="77777777" w:rsidR="00801D07" w:rsidRPr="002B712C" w:rsidRDefault="00801D07" w:rsidP="00DA41BF">
            <w:pPr>
              <w:pStyle w:val="Corpodetex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3 years</w:t>
            </w:r>
          </w:p>
        </w:tc>
        <w:tc>
          <w:tcPr>
            <w:tcW w:w="1417" w:type="dxa"/>
            <w:vAlign w:val="center"/>
          </w:tcPr>
          <w:p w14:paraId="583C0180" w14:textId="77777777" w:rsidR="00801D07" w:rsidRPr="002B712C" w:rsidRDefault="00801D07" w:rsidP="00DA41BF">
            <w:pPr>
              <w:pStyle w:val="Corpodetex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95 patients</w:t>
            </w:r>
          </w:p>
        </w:tc>
      </w:tr>
      <w:tr w:rsidR="00801D07" w:rsidRPr="001C503C" w14:paraId="5856614E" w14:textId="77777777" w:rsidTr="004A13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vAlign w:val="center"/>
          </w:tcPr>
          <w:p w14:paraId="09259386" w14:textId="77777777" w:rsidR="00801D07" w:rsidRPr="002B712C" w:rsidRDefault="00801D07" w:rsidP="00DA41BF">
            <w:pPr>
              <w:pStyle w:val="Corpodetexto"/>
              <w:jc w:val="center"/>
              <w:rPr>
                <w:rFonts w:ascii="Arial" w:hAnsi="Arial" w:cs="Arial"/>
                <w:sz w:val="20"/>
                <w:szCs w:val="20"/>
                <w:highlight w:val="yellow"/>
                <w:lang w:val="en-US"/>
              </w:rPr>
            </w:pPr>
            <w:r w:rsidRPr="002B712C">
              <w:rPr>
                <w:rFonts w:ascii="Arial" w:hAnsi="Arial" w:cs="Arial"/>
                <w:caps w:val="0"/>
                <w:sz w:val="20"/>
                <w:szCs w:val="20"/>
                <w:highlight w:val="yellow"/>
                <w:lang w:val="en-US"/>
              </w:rPr>
              <w:t>Prado</w:t>
            </w:r>
            <w:r w:rsidRPr="002B712C">
              <w:rPr>
                <w:rFonts w:ascii="Arial" w:hAnsi="Arial" w:cs="Arial"/>
                <w:sz w:val="20"/>
                <w:szCs w:val="20"/>
                <w:highlight w:val="yellow"/>
                <w:lang w:val="en-US"/>
              </w:rPr>
              <w:t xml:space="preserve"> </w:t>
            </w:r>
            <w:r w:rsidRPr="002B712C">
              <w:rPr>
                <w:rFonts w:ascii="Arial" w:hAnsi="Arial" w:cs="Arial"/>
                <w:i/>
                <w:iCs/>
                <w:caps w:val="0"/>
                <w:sz w:val="20"/>
                <w:szCs w:val="20"/>
                <w:highlight w:val="yellow"/>
                <w:lang w:val="en-US"/>
              </w:rPr>
              <w:t>et. al</w:t>
            </w:r>
            <w:r w:rsidRPr="002B712C">
              <w:rPr>
                <w:rFonts w:ascii="Arial" w:hAnsi="Arial" w:cs="Arial"/>
                <w:i/>
                <w:iCs/>
                <w:sz w:val="20"/>
                <w:szCs w:val="20"/>
                <w:highlight w:val="yellow"/>
                <w:lang w:val="en-US"/>
              </w:rPr>
              <w:t>.,</w:t>
            </w:r>
            <w:r w:rsidRPr="002B712C">
              <w:rPr>
                <w:rFonts w:ascii="Arial" w:hAnsi="Arial" w:cs="Arial"/>
                <w:sz w:val="20"/>
                <w:szCs w:val="20"/>
                <w:highlight w:val="yellow"/>
                <w:lang w:val="en-US"/>
              </w:rPr>
              <w:t xml:space="preserve"> 2022</w:t>
            </w:r>
            <w:r w:rsidRPr="002B712C">
              <w:rPr>
                <w:rFonts w:ascii="Arial" w:hAnsi="Arial" w:cs="Arial"/>
                <w:sz w:val="20"/>
                <w:szCs w:val="20"/>
                <w:highlight w:val="yellow"/>
                <w:vertAlign w:val="superscript"/>
                <w:lang w:val="en-US"/>
              </w:rPr>
              <w:t>3</w:t>
            </w:r>
          </w:p>
        </w:tc>
        <w:tc>
          <w:tcPr>
            <w:tcW w:w="1417" w:type="dxa"/>
            <w:tcBorders>
              <w:left w:val="nil"/>
            </w:tcBorders>
            <w:vAlign w:val="center"/>
          </w:tcPr>
          <w:p w14:paraId="01992F4F" w14:textId="77777777" w:rsidR="00801D07" w:rsidRPr="002B712C" w:rsidRDefault="00801D07" w:rsidP="00DA41BF">
            <w:pPr>
              <w:pStyle w:val="Corpodetex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Case report</w:t>
            </w:r>
          </w:p>
        </w:tc>
        <w:tc>
          <w:tcPr>
            <w:tcW w:w="1701" w:type="dxa"/>
            <w:vAlign w:val="center"/>
          </w:tcPr>
          <w:p w14:paraId="6CB8A2F1" w14:textId="77777777" w:rsidR="00801D07" w:rsidRPr="002B712C" w:rsidRDefault="00801D07" w:rsidP="00DA41BF">
            <w:pPr>
              <w:pStyle w:val="Corpodetex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0"/>
                <w:szCs w:val="20"/>
                <w:highlight w:val="yellow"/>
                <w:lang w:val="en-US"/>
              </w:rPr>
            </w:pPr>
            <w:r w:rsidRPr="002B712C">
              <w:rPr>
                <w:rFonts w:ascii="Arial" w:hAnsi="Arial" w:cs="Arial"/>
                <w:sz w:val="20"/>
                <w:szCs w:val="20"/>
                <w:highlight w:val="yellow"/>
                <w:lang w:val="en-US"/>
              </w:rPr>
              <w:t>None evaluated</w:t>
            </w:r>
          </w:p>
        </w:tc>
        <w:tc>
          <w:tcPr>
            <w:tcW w:w="1560" w:type="dxa"/>
            <w:vAlign w:val="center"/>
          </w:tcPr>
          <w:p w14:paraId="024FEF11" w14:textId="77777777" w:rsidR="00801D07" w:rsidRPr="002B712C" w:rsidRDefault="00801D07" w:rsidP="00DA41BF">
            <w:pPr>
              <w:pStyle w:val="Corpodetex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12 months</w:t>
            </w:r>
          </w:p>
        </w:tc>
        <w:tc>
          <w:tcPr>
            <w:tcW w:w="1417" w:type="dxa"/>
            <w:vAlign w:val="center"/>
          </w:tcPr>
          <w:p w14:paraId="4F931340" w14:textId="77777777" w:rsidR="00801D07" w:rsidRPr="002B712C" w:rsidRDefault="00801D07" w:rsidP="00DA41BF">
            <w:pPr>
              <w:pStyle w:val="Corpodetex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1 patient</w:t>
            </w:r>
          </w:p>
        </w:tc>
      </w:tr>
      <w:tr w:rsidR="00801D07" w:rsidRPr="001C503C" w14:paraId="0161E1C5" w14:textId="77777777" w:rsidTr="004A1312">
        <w:trPr>
          <w:trHeight w:val="624"/>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vAlign w:val="center"/>
          </w:tcPr>
          <w:p w14:paraId="04DFE321" w14:textId="77777777" w:rsidR="00801D07" w:rsidRPr="002B712C" w:rsidRDefault="00801D07" w:rsidP="00DA41BF">
            <w:pPr>
              <w:pStyle w:val="Corpodetexto"/>
              <w:jc w:val="center"/>
              <w:rPr>
                <w:rFonts w:ascii="Arial" w:hAnsi="Arial" w:cs="Arial"/>
                <w:sz w:val="20"/>
                <w:szCs w:val="20"/>
                <w:highlight w:val="yellow"/>
                <w:lang w:val="en-US"/>
              </w:rPr>
            </w:pPr>
            <w:r w:rsidRPr="002B712C">
              <w:rPr>
                <w:rFonts w:ascii="Arial" w:hAnsi="Arial" w:cs="Arial"/>
                <w:caps w:val="0"/>
                <w:sz w:val="20"/>
                <w:szCs w:val="20"/>
                <w:highlight w:val="yellow"/>
                <w:lang w:val="en-US"/>
              </w:rPr>
              <w:t>Ismail</w:t>
            </w:r>
            <w:r w:rsidRPr="002B712C">
              <w:rPr>
                <w:rFonts w:ascii="Arial" w:hAnsi="Arial" w:cs="Arial"/>
                <w:sz w:val="20"/>
                <w:szCs w:val="20"/>
                <w:highlight w:val="yellow"/>
                <w:lang w:val="en-US"/>
              </w:rPr>
              <w:t xml:space="preserve"> </w:t>
            </w:r>
            <w:r w:rsidRPr="002B712C">
              <w:rPr>
                <w:rFonts w:ascii="Arial" w:hAnsi="Arial" w:cs="Arial"/>
                <w:i/>
                <w:iCs/>
                <w:caps w:val="0"/>
                <w:sz w:val="20"/>
                <w:szCs w:val="20"/>
                <w:highlight w:val="yellow"/>
                <w:lang w:val="en-US"/>
              </w:rPr>
              <w:t>et.al.,</w:t>
            </w:r>
            <w:r w:rsidRPr="002B712C">
              <w:rPr>
                <w:rFonts w:ascii="Arial" w:hAnsi="Arial" w:cs="Arial"/>
                <w:caps w:val="0"/>
                <w:sz w:val="20"/>
                <w:szCs w:val="20"/>
                <w:highlight w:val="yellow"/>
                <w:lang w:val="en-US"/>
              </w:rPr>
              <w:t xml:space="preserve"> </w:t>
            </w:r>
            <w:r w:rsidRPr="002B712C">
              <w:rPr>
                <w:rFonts w:ascii="Arial" w:hAnsi="Arial" w:cs="Arial"/>
                <w:sz w:val="20"/>
                <w:szCs w:val="20"/>
                <w:highlight w:val="yellow"/>
                <w:lang w:val="en-US"/>
              </w:rPr>
              <w:t>2021</w:t>
            </w:r>
            <w:r w:rsidRPr="002B712C">
              <w:rPr>
                <w:rFonts w:ascii="Arial" w:hAnsi="Arial" w:cs="Arial"/>
                <w:sz w:val="20"/>
                <w:szCs w:val="20"/>
                <w:highlight w:val="yellow"/>
                <w:vertAlign w:val="superscript"/>
                <w:lang w:val="en-US"/>
              </w:rPr>
              <w:t>18</w:t>
            </w:r>
          </w:p>
        </w:tc>
        <w:tc>
          <w:tcPr>
            <w:tcW w:w="1417" w:type="dxa"/>
            <w:tcBorders>
              <w:left w:val="nil"/>
            </w:tcBorders>
            <w:vAlign w:val="center"/>
          </w:tcPr>
          <w:p w14:paraId="1C190AC9" w14:textId="77777777" w:rsidR="00801D07" w:rsidRPr="002B712C" w:rsidRDefault="00801D07" w:rsidP="00DA41BF">
            <w:pPr>
              <w:pStyle w:val="Corpodetex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Case report</w:t>
            </w:r>
          </w:p>
        </w:tc>
        <w:tc>
          <w:tcPr>
            <w:tcW w:w="1701" w:type="dxa"/>
            <w:vAlign w:val="center"/>
          </w:tcPr>
          <w:p w14:paraId="07BF716D" w14:textId="77777777" w:rsidR="00801D07" w:rsidRPr="002B712C" w:rsidRDefault="00801D07" w:rsidP="00DA41BF">
            <w:pPr>
              <w:pStyle w:val="Corpodetex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PI, GI, BOP, PD and radiographic</w:t>
            </w:r>
          </w:p>
        </w:tc>
        <w:tc>
          <w:tcPr>
            <w:tcW w:w="1560" w:type="dxa"/>
            <w:vAlign w:val="center"/>
          </w:tcPr>
          <w:p w14:paraId="566F231C" w14:textId="77777777" w:rsidR="00801D07" w:rsidRPr="002B712C" w:rsidRDefault="00801D07" w:rsidP="00DA41BF">
            <w:pPr>
              <w:pStyle w:val="Corpodetex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6 months</w:t>
            </w:r>
          </w:p>
        </w:tc>
        <w:tc>
          <w:tcPr>
            <w:tcW w:w="1417" w:type="dxa"/>
            <w:vAlign w:val="center"/>
          </w:tcPr>
          <w:p w14:paraId="00A2D213" w14:textId="77777777" w:rsidR="00801D07" w:rsidRPr="002B712C" w:rsidRDefault="00801D07" w:rsidP="00DA41BF">
            <w:pPr>
              <w:pStyle w:val="Corpodetex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1 patient</w:t>
            </w:r>
          </w:p>
        </w:tc>
      </w:tr>
      <w:tr w:rsidR="00801D07" w:rsidRPr="001C503C" w14:paraId="5B10AA9B" w14:textId="77777777" w:rsidTr="004A13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vAlign w:val="center"/>
          </w:tcPr>
          <w:p w14:paraId="231F0541" w14:textId="77777777" w:rsidR="00801D07" w:rsidRPr="002B712C" w:rsidRDefault="00801D07" w:rsidP="00DA41BF">
            <w:pPr>
              <w:pStyle w:val="Corpodetexto"/>
              <w:jc w:val="center"/>
              <w:rPr>
                <w:rFonts w:ascii="Arial" w:hAnsi="Arial" w:cs="Arial"/>
                <w:sz w:val="20"/>
                <w:szCs w:val="20"/>
                <w:highlight w:val="yellow"/>
                <w:lang w:val="en-US"/>
              </w:rPr>
            </w:pPr>
            <w:r w:rsidRPr="002B712C">
              <w:rPr>
                <w:rFonts w:ascii="Arial" w:hAnsi="Arial" w:cs="Arial"/>
                <w:caps w:val="0"/>
                <w:sz w:val="20"/>
                <w:szCs w:val="20"/>
                <w:highlight w:val="yellow"/>
                <w:lang w:val="en-US"/>
              </w:rPr>
              <w:t>Bertoldi</w:t>
            </w:r>
            <w:r w:rsidRPr="002B712C">
              <w:rPr>
                <w:rFonts w:ascii="Arial" w:hAnsi="Arial" w:cs="Arial"/>
                <w:sz w:val="20"/>
                <w:szCs w:val="20"/>
                <w:highlight w:val="yellow"/>
                <w:lang w:val="en-US"/>
              </w:rPr>
              <w:t xml:space="preserve"> </w:t>
            </w:r>
            <w:r w:rsidRPr="002B712C">
              <w:rPr>
                <w:rFonts w:ascii="Arial" w:hAnsi="Arial" w:cs="Arial"/>
                <w:i/>
                <w:iCs/>
                <w:caps w:val="0"/>
                <w:sz w:val="20"/>
                <w:szCs w:val="20"/>
                <w:highlight w:val="yellow"/>
                <w:lang w:val="en-US"/>
              </w:rPr>
              <w:t xml:space="preserve">et. </w:t>
            </w:r>
            <w:proofErr w:type="gramStart"/>
            <w:r w:rsidRPr="002B712C">
              <w:rPr>
                <w:rFonts w:ascii="Arial" w:hAnsi="Arial" w:cs="Arial"/>
                <w:i/>
                <w:iCs/>
                <w:caps w:val="0"/>
                <w:sz w:val="20"/>
                <w:szCs w:val="20"/>
                <w:highlight w:val="yellow"/>
                <w:lang w:val="en-US"/>
              </w:rPr>
              <w:t>al</w:t>
            </w:r>
            <w:proofErr w:type="gramEnd"/>
            <w:r w:rsidRPr="002B712C">
              <w:rPr>
                <w:rFonts w:ascii="Arial" w:hAnsi="Arial" w:cs="Arial"/>
                <w:caps w:val="0"/>
                <w:sz w:val="20"/>
                <w:szCs w:val="20"/>
                <w:highlight w:val="yellow"/>
                <w:lang w:val="en-US"/>
              </w:rPr>
              <w:t xml:space="preserve">., </w:t>
            </w:r>
            <w:r w:rsidRPr="002B712C">
              <w:rPr>
                <w:rFonts w:ascii="Arial" w:hAnsi="Arial" w:cs="Arial"/>
                <w:sz w:val="20"/>
                <w:szCs w:val="20"/>
                <w:highlight w:val="yellow"/>
                <w:lang w:val="en-US"/>
              </w:rPr>
              <w:t>2020</w:t>
            </w:r>
            <w:r w:rsidRPr="002B712C">
              <w:rPr>
                <w:rFonts w:ascii="Arial" w:hAnsi="Arial" w:cs="Arial"/>
                <w:sz w:val="20"/>
                <w:szCs w:val="20"/>
                <w:highlight w:val="yellow"/>
                <w:vertAlign w:val="superscript"/>
                <w:lang w:val="en-US"/>
              </w:rPr>
              <w:t>10</w:t>
            </w:r>
          </w:p>
        </w:tc>
        <w:tc>
          <w:tcPr>
            <w:tcW w:w="1417" w:type="dxa"/>
            <w:tcBorders>
              <w:left w:val="nil"/>
            </w:tcBorders>
            <w:vAlign w:val="center"/>
          </w:tcPr>
          <w:p w14:paraId="781966E9" w14:textId="77777777" w:rsidR="00801D07" w:rsidRPr="002B712C" w:rsidRDefault="00801D07" w:rsidP="00DA41BF">
            <w:pPr>
              <w:pStyle w:val="Corpodetex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Clinical trial</w:t>
            </w:r>
          </w:p>
        </w:tc>
        <w:tc>
          <w:tcPr>
            <w:tcW w:w="1701" w:type="dxa"/>
            <w:vAlign w:val="center"/>
          </w:tcPr>
          <w:p w14:paraId="018DF777" w14:textId="77777777" w:rsidR="00801D07" w:rsidRPr="002B712C" w:rsidRDefault="00801D07" w:rsidP="00DA41BF">
            <w:pPr>
              <w:pStyle w:val="Corpodetex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PI, BPO, PD e HS</w:t>
            </w:r>
          </w:p>
        </w:tc>
        <w:tc>
          <w:tcPr>
            <w:tcW w:w="1560" w:type="dxa"/>
            <w:vAlign w:val="center"/>
          </w:tcPr>
          <w:p w14:paraId="3E5B40DC" w14:textId="77777777" w:rsidR="00801D07" w:rsidRPr="002B712C" w:rsidRDefault="00801D07" w:rsidP="00DA41BF">
            <w:pPr>
              <w:pStyle w:val="Corpodetex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3 months</w:t>
            </w:r>
          </w:p>
        </w:tc>
        <w:tc>
          <w:tcPr>
            <w:tcW w:w="1417" w:type="dxa"/>
            <w:vAlign w:val="center"/>
          </w:tcPr>
          <w:p w14:paraId="4DD40D57" w14:textId="77777777" w:rsidR="00801D07" w:rsidRPr="002B712C" w:rsidRDefault="00801D07" w:rsidP="00DA41BF">
            <w:pPr>
              <w:pStyle w:val="Corpodetex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48 patients</w:t>
            </w:r>
          </w:p>
        </w:tc>
      </w:tr>
      <w:tr w:rsidR="00801D07" w:rsidRPr="001C503C" w14:paraId="7B613675" w14:textId="77777777" w:rsidTr="004A1312">
        <w:trPr>
          <w:trHeight w:val="624"/>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vAlign w:val="center"/>
          </w:tcPr>
          <w:p w14:paraId="296DDAA5" w14:textId="77777777" w:rsidR="00801D07" w:rsidRPr="002B712C" w:rsidRDefault="00801D07" w:rsidP="00DA41BF">
            <w:pPr>
              <w:pStyle w:val="Corpodetexto"/>
              <w:jc w:val="center"/>
              <w:rPr>
                <w:rFonts w:ascii="Arial" w:hAnsi="Arial" w:cs="Arial"/>
                <w:sz w:val="20"/>
                <w:szCs w:val="20"/>
                <w:highlight w:val="yellow"/>
                <w:lang w:val="en-US"/>
              </w:rPr>
            </w:pPr>
            <w:r w:rsidRPr="002B712C">
              <w:rPr>
                <w:rFonts w:ascii="Arial" w:hAnsi="Arial" w:cs="Arial"/>
                <w:caps w:val="0"/>
                <w:sz w:val="20"/>
                <w:szCs w:val="20"/>
                <w:highlight w:val="yellow"/>
                <w:lang w:val="en-US"/>
              </w:rPr>
              <w:t xml:space="preserve">Ghezzi </w:t>
            </w:r>
            <w:r w:rsidRPr="002B712C">
              <w:rPr>
                <w:rFonts w:ascii="Arial" w:hAnsi="Arial" w:cs="Arial"/>
                <w:i/>
                <w:iCs/>
                <w:caps w:val="0"/>
                <w:sz w:val="20"/>
                <w:szCs w:val="20"/>
                <w:highlight w:val="yellow"/>
                <w:lang w:val="en-US"/>
              </w:rPr>
              <w:t>et. al</w:t>
            </w:r>
            <w:r w:rsidRPr="002B712C">
              <w:rPr>
                <w:rFonts w:ascii="Arial" w:hAnsi="Arial" w:cs="Arial"/>
                <w:sz w:val="20"/>
                <w:szCs w:val="20"/>
                <w:highlight w:val="yellow"/>
                <w:lang w:val="en-US"/>
              </w:rPr>
              <w:t>., 2019</w:t>
            </w:r>
            <w:r w:rsidRPr="002B712C">
              <w:rPr>
                <w:rFonts w:ascii="Arial" w:hAnsi="Arial" w:cs="Arial"/>
                <w:sz w:val="20"/>
                <w:szCs w:val="20"/>
                <w:highlight w:val="yellow"/>
                <w:vertAlign w:val="superscript"/>
                <w:lang w:val="en-US"/>
              </w:rPr>
              <w:t>2</w:t>
            </w:r>
          </w:p>
        </w:tc>
        <w:tc>
          <w:tcPr>
            <w:tcW w:w="1417" w:type="dxa"/>
            <w:tcBorders>
              <w:left w:val="nil"/>
            </w:tcBorders>
            <w:vAlign w:val="center"/>
          </w:tcPr>
          <w:p w14:paraId="7669B9B7" w14:textId="77777777" w:rsidR="00801D07" w:rsidRPr="002B712C" w:rsidRDefault="00801D07" w:rsidP="00DA41BF">
            <w:pPr>
              <w:pStyle w:val="Corpodetex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Case series</w:t>
            </w:r>
          </w:p>
        </w:tc>
        <w:tc>
          <w:tcPr>
            <w:tcW w:w="1701" w:type="dxa"/>
            <w:vAlign w:val="center"/>
          </w:tcPr>
          <w:p w14:paraId="51069026" w14:textId="77777777" w:rsidR="00801D07" w:rsidRPr="002B712C" w:rsidRDefault="00801D07" w:rsidP="00DA41BF">
            <w:pPr>
              <w:pStyle w:val="Corpodetex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BOP e PD</w:t>
            </w:r>
          </w:p>
        </w:tc>
        <w:tc>
          <w:tcPr>
            <w:tcW w:w="1560" w:type="dxa"/>
            <w:vAlign w:val="center"/>
          </w:tcPr>
          <w:p w14:paraId="03D4E696" w14:textId="77777777" w:rsidR="00801D07" w:rsidRPr="002B712C" w:rsidRDefault="00801D07" w:rsidP="00DA41BF">
            <w:pPr>
              <w:pStyle w:val="Corpodetex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8 years</w:t>
            </w:r>
          </w:p>
        </w:tc>
        <w:tc>
          <w:tcPr>
            <w:tcW w:w="1417" w:type="dxa"/>
            <w:vAlign w:val="center"/>
          </w:tcPr>
          <w:p w14:paraId="199EC7BC" w14:textId="77777777" w:rsidR="00801D07" w:rsidRPr="002B712C" w:rsidRDefault="00801D07" w:rsidP="00DA41BF">
            <w:pPr>
              <w:pStyle w:val="Corpodetex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15 patients</w:t>
            </w:r>
          </w:p>
        </w:tc>
      </w:tr>
      <w:tr w:rsidR="00801D07" w:rsidRPr="001C503C" w14:paraId="2C942DAE" w14:textId="77777777" w:rsidTr="004A13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vAlign w:val="center"/>
          </w:tcPr>
          <w:p w14:paraId="5B732B6D" w14:textId="77777777" w:rsidR="00801D07" w:rsidRPr="002B712C" w:rsidRDefault="00801D07" w:rsidP="00DA41BF">
            <w:pPr>
              <w:pStyle w:val="Corpodetexto"/>
              <w:jc w:val="center"/>
              <w:rPr>
                <w:rFonts w:ascii="Arial" w:hAnsi="Arial" w:cs="Arial"/>
                <w:sz w:val="20"/>
                <w:szCs w:val="20"/>
                <w:highlight w:val="yellow"/>
                <w:lang w:val="en-US"/>
              </w:rPr>
            </w:pPr>
            <w:r w:rsidRPr="002B712C">
              <w:rPr>
                <w:rFonts w:ascii="Arial" w:hAnsi="Arial" w:cs="Arial"/>
                <w:caps w:val="0"/>
                <w:sz w:val="20"/>
                <w:szCs w:val="20"/>
                <w:highlight w:val="yellow"/>
                <w:lang w:val="en-US"/>
              </w:rPr>
              <w:t>Bresser</w:t>
            </w:r>
            <w:r w:rsidRPr="002B712C">
              <w:rPr>
                <w:rFonts w:ascii="Arial" w:hAnsi="Arial" w:cs="Arial"/>
                <w:sz w:val="20"/>
                <w:szCs w:val="20"/>
                <w:highlight w:val="yellow"/>
                <w:lang w:val="en-US"/>
              </w:rPr>
              <w:t xml:space="preserve"> </w:t>
            </w:r>
            <w:r w:rsidRPr="002B712C">
              <w:rPr>
                <w:rFonts w:ascii="Arial" w:hAnsi="Arial" w:cs="Arial"/>
                <w:i/>
                <w:iCs/>
                <w:caps w:val="0"/>
                <w:sz w:val="20"/>
                <w:szCs w:val="20"/>
                <w:highlight w:val="yellow"/>
                <w:lang w:val="en-US"/>
              </w:rPr>
              <w:t>et. al.,</w:t>
            </w:r>
            <w:r w:rsidRPr="002B712C">
              <w:rPr>
                <w:rFonts w:ascii="Arial" w:hAnsi="Arial" w:cs="Arial"/>
                <w:sz w:val="20"/>
                <w:szCs w:val="20"/>
                <w:highlight w:val="yellow"/>
                <w:lang w:val="en-US"/>
              </w:rPr>
              <w:t xml:space="preserve"> 2019</w:t>
            </w:r>
            <w:r w:rsidRPr="002B712C">
              <w:rPr>
                <w:rFonts w:ascii="Arial" w:hAnsi="Arial" w:cs="Arial"/>
                <w:sz w:val="20"/>
                <w:szCs w:val="20"/>
                <w:highlight w:val="yellow"/>
                <w:vertAlign w:val="superscript"/>
                <w:lang w:val="en-US"/>
              </w:rPr>
              <w:t>7</w:t>
            </w:r>
          </w:p>
        </w:tc>
        <w:tc>
          <w:tcPr>
            <w:tcW w:w="1417" w:type="dxa"/>
            <w:tcBorders>
              <w:left w:val="nil"/>
            </w:tcBorders>
            <w:vAlign w:val="center"/>
          </w:tcPr>
          <w:p w14:paraId="6C55D747" w14:textId="77777777" w:rsidR="00801D07" w:rsidRPr="002B712C" w:rsidRDefault="00801D07" w:rsidP="00DA41BF">
            <w:pPr>
              <w:pStyle w:val="Corpodetex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Clinical trial</w:t>
            </w:r>
          </w:p>
        </w:tc>
        <w:tc>
          <w:tcPr>
            <w:tcW w:w="1701" w:type="dxa"/>
            <w:vAlign w:val="center"/>
          </w:tcPr>
          <w:p w14:paraId="3430A11A" w14:textId="77777777" w:rsidR="00801D07" w:rsidRPr="002B712C" w:rsidRDefault="00801D07" w:rsidP="00DA41BF">
            <w:pPr>
              <w:pStyle w:val="Corpodetex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None evaluated</w:t>
            </w:r>
          </w:p>
        </w:tc>
        <w:tc>
          <w:tcPr>
            <w:tcW w:w="1560" w:type="dxa"/>
            <w:vAlign w:val="center"/>
          </w:tcPr>
          <w:p w14:paraId="48A121E9" w14:textId="77777777" w:rsidR="00801D07" w:rsidRPr="002B712C" w:rsidRDefault="00801D07" w:rsidP="00DA41BF">
            <w:pPr>
              <w:pStyle w:val="Corpodetex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12 years</w:t>
            </w:r>
          </w:p>
        </w:tc>
        <w:tc>
          <w:tcPr>
            <w:tcW w:w="1417" w:type="dxa"/>
            <w:vAlign w:val="center"/>
          </w:tcPr>
          <w:p w14:paraId="689EBBB6" w14:textId="77777777" w:rsidR="00801D07" w:rsidRPr="002B712C" w:rsidRDefault="00801D07" w:rsidP="00DA41BF">
            <w:pPr>
              <w:pStyle w:val="Corpodetex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120 patients</w:t>
            </w:r>
          </w:p>
        </w:tc>
      </w:tr>
      <w:tr w:rsidR="00801D07" w:rsidRPr="001C503C" w14:paraId="72F72D5E" w14:textId="77777777" w:rsidTr="004A1312">
        <w:trPr>
          <w:trHeight w:val="624"/>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auto"/>
              <w:right w:val="none" w:sz="0" w:space="0" w:color="auto"/>
            </w:tcBorders>
            <w:vAlign w:val="center"/>
          </w:tcPr>
          <w:p w14:paraId="4BA929A7" w14:textId="77777777" w:rsidR="00801D07" w:rsidRPr="002B712C" w:rsidRDefault="00801D07" w:rsidP="00DA41BF">
            <w:pPr>
              <w:pStyle w:val="Corpodetexto"/>
              <w:jc w:val="center"/>
              <w:rPr>
                <w:rFonts w:ascii="Arial" w:hAnsi="Arial" w:cs="Arial"/>
                <w:sz w:val="20"/>
                <w:szCs w:val="20"/>
                <w:highlight w:val="yellow"/>
                <w:lang w:val="en-US"/>
              </w:rPr>
            </w:pPr>
            <w:r w:rsidRPr="002B712C">
              <w:rPr>
                <w:rFonts w:ascii="Arial" w:hAnsi="Arial" w:cs="Arial"/>
                <w:caps w:val="0"/>
                <w:sz w:val="20"/>
                <w:szCs w:val="20"/>
                <w:highlight w:val="yellow"/>
                <w:lang w:val="en-US"/>
              </w:rPr>
              <w:t xml:space="preserve">Ferrari </w:t>
            </w:r>
            <w:r w:rsidRPr="002B712C">
              <w:rPr>
                <w:rFonts w:ascii="Arial" w:hAnsi="Arial" w:cs="Arial"/>
                <w:i/>
                <w:iCs/>
                <w:caps w:val="0"/>
                <w:sz w:val="20"/>
                <w:szCs w:val="20"/>
                <w:highlight w:val="yellow"/>
                <w:lang w:val="en-US"/>
              </w:rPr>
              <w:t>et. al</w:t>
            </w:r>
            <w:r w:rsidRPr="002B712C">
              <w:rPr>
                <w:rFonts w:ascii="Arial" w:hAnsi="Arial" w:cs="Arial"/>
                <w:caps w:val="0"/>
                <w:sz w:val="20"/>
                <w:szCs w:val="20"/>
                <w:highlight w:val="yellow"/>
                <w:lang w:val="en-US"/>
              </w:rPr>
              <w:t xml:space="preserve">., </w:t>
            </w:r>
            <w:r w:rsidRPr="002B712C">
              <w:rPr>
                <w:rFonts w:ascii="Arial" w:hAnsi="Arial" w:cs="Arial"/>
                <w:sz w:val="20"/>
                <w:szCs w:val="20"/>
                <w:highlight w:val="yellow"/>
                <w:lang w:val="en-US"/>
              </w:rPr>
              <w:t>2018</w:t>
            </w:r>
            <w:r w:rsidRPr="002B712C">
              <w:rPr>
                <w:rFonts w:ascii="Arial" w:hAnsi="Arial" w:cs="Arial"/>
                <w:sz w:val="20"/>
                <w:szCs w:val="20"/>
                <w:highlight w:val="yellow"/>
                <w:vertAlign w:val="superscript"/>
                <w:lang w:val="en-US"/>
              </w:rPr>
              <w:t>5</w:t>
            </w:r>
          </w:p>
        </w:tc>
        <w:tc>
          <w:tcPr>
            <w:tcW w:w="1417" w:type="dxa"/>
            <w:tcBorders>
              <w:left w:val="nil"/>
              <w:bottom w:val="single" w:sz="4" w:space="0" w:color="auto"/>
            </w:tcBorders>
            <w:vAlign w:val="center"/>
          </w:tcPr>
          <w:p w14:paraId="33AFC369" w14:textId="3FA9842F" w:rsidR="00801D07" w:rsidRPr="002B712C" w:rsidRDefault="007B3164" w:rsidP="00DA41BF">
            <w:pPr>
              <w:pStyle w:val="Corpodetex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Clinical trial</w:t>
            </w:r>
          </w:p>
        </w:tc>
        <w:tc>
          <w:tcPr>
            <w:tcW w:w="1701" w:type="dxa"/>
            <w:tcBorders>
              <w:bottom w:val="single" w:sz="4" w:space="0" w:color="auto"/>
            </w:tcBorders>
            <w:vAlign w:val="center"/>
          </w:tcPr>
          <w:p w14:paraId="78E86184" w14:textId="77777777" w:rsidR="00801D07" w:rsidRPr="002B712C" w:rsidRDefault="00801D07" w:rsidP="00DA41BF">
            <w:pPr>
              <w:pStyle w:val="Corpodetex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PI, GI, BOP e PD</w:t>
            </w:r>
          </w:p>
        </w:tc>
        <w:tc>
          <w:tcPr>
            <w:tcW w:w="1560" w:type="dxa"/>
            <w:tcBorders>
              <w:bottom w:val="single" w:sz="4" w:space="0" w:color="auto"/>
            </w:tcBorders>
            <w:vAlign w:val="center"/>
          </w:tcPr>
          <w:p w14:paraId="05F20502" w14:textId="77777777" w:rsidR="00801D07" w:rsidRPr="002B712C" w:rsidRDefault="00801D07" w:rsidP="00DA41BF">
            <w:pPr>
              <w:pStyle w:val="Corpodetex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12 months</w:t>
            </w:r>
          </w:p>
        </w:tc>
        <w:tc>
          <w:tcPr>
            <w:tcW w:w="1417" w:type="dxa"/>
            <w:tcBorders>
              <w:bottom w:val="single" w:sz="4" w:space="0" w:color="auto"/>
            </w:tcBorders>
            <w:vAlign w:val="center"/>
          </w:tcPr>
          <w:p w14:paraId="30B6E18A" w14:textId="77777777" w:rsidR="00801D07" w:rsidRPr="002B712C" w:rsidRDefault="00801D07" w:rsidP="00DA41BF">
            <w:pPr>
              <w:pStyle w:val="Corpodetex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US"/>
              </w:rPr>
            </w:pPr>
            <w:r w:rsidRPr="002B712C">
              <w:rPr>
                <w:rFonts w:ascii="Arial" w:hAnsi="Arial" w:cs="Arial"/>
                <w:sz w:val="20"/>
                <w:szCs w:val="20"/>
                <w:highlight w:val="yellow"/>
                <w:lang w:val="en-US"/>
              </w:rPr>
              <w:t>35 patients</w:t>
            </w:r>
          </w:p>
        </w:tc>
      </w:tr>
    </w:tbl>
    <w:p w14:paraId="453A0ADE" w14:textId="77777777" w:rsidR="00801D07" w:rsidRPr="00801D07" w:rsidRDefault="00801D07" w:rsidP="00801D07">
      <w:pPr>
        <w:jc w:val="both"/>
        <w:rPr>
          <w:rFonts w:ascii="Arial" w:hAnsi="Arial" w:cs="Arial"/>
        </w:rPr>
      </w:pPr>
      <w:r w:rsidRPr="00801D07">
        <w:rPr>
          <w:rFonts w:ascii="Arial" w:hAnsi="Arial" w:cs="Arial"/>
          <w:b/>
          <w:bCs/>
        </w:rPr>
        <w:t>Legend:</w:t>
      </w:r>
      <w:r w:rsidRPr="00801D07">
        <w:rPr>
          <w:rFonts w:ascii="Arial" w:hAnsi="Arial" w:cs="Arial"/>
        </w:rPr>
        <w:t xml:space="preserve"> PI: Plaque Index; GI: Gingival Index; BOP: Bleeding on Probing; PD: Probing Depth; HS: Histological Samples; Radiographic.</w:t>
      </w:r>
    </w:p>
    <w:p w14:paraId="7C255825" w14:textId="77777777" w:rsidR="00790ADA" w:rsidRDefault="00790ADA" w:rsidP="00441B6F">
      <w:pPr>
        <w:pStyle w:val="Body"/>
        <w:spacing w:after="0"/>
        <w:rPr>
          <w:rFonts w:ascii="Arial" w:hAnsi="Arial" w:cs="Arial"/>
        </w:rPr>
      </w:pPr>
    </w:p>
    <w:p w14:paraId="1196EF0E" w14:textId="77777777" w:rsidR="00801D07" w:rsidRPr="00801D07" w:rsidRDefault="00801D07" w:rsidP="00801D07">
      <w:pPr>
        <w:pStyle w:val="Body"/>
        <w:rPr>
          <w:rFonts w:ascii="Arial" w:hAnsi="Arial" w:cs="Arial"/>
        </w:rPr>
      </w:pPr>
      <w:r w:rsidRPr="00801D07">
        <w:rPr>
          <w:rFonts w:ascii="Arial" w:hAnsi="Arial" w:cs="Arial"/>
        </w:rPr>
        <w:t>The results of the periodontal evaluation conducted by the six analyzed studies are presented in Table 2. Regarding the plaque index (PI), five studies evaluated this parameter. Among them, three studies reported an increase in PI over the follow-up period, regardless of the procedure performed, particularly at 6 months and 1 year after the initial assessment [5,15,19].</w:t>
      </w:r>
    </w:p>
    <w:p w14:paraId="665DB4D7" w14:textId="77777777" w:rsidR="00801D07" w:rsidRPr="00801D07" w:rsidRDefault="00801D07" w:rsidP="00801D07">
      <w:pPr>
        <w:pStyle w:val="Body"/>
        <w:rPr>
          <w:rFonts w:ascii="Arial" w:hAnsi="Arial" w:cs="Arial"/>
        </w:rPr>
      </w:pPr>
      <w:r w:rsidRPr="00801D07">
        <w:rPr>
          <w:rFonts w:ascii="Arial" w:hAnsi="Arial" w:cs="Arial"/>
        </w:rPr>
        <w:t xml:space="preserve">Additionally, Ismail et al.¹⁸ (2021), when comparing CMR performed on two teeth, observed an increase in PI after 6 months. Conversely, Bertoldi et al. (2020) [10] indicated that PI was </w:t>
      </w:r>
      <w:r w:rsidRPr="00801D07">
        <w:rPr>
          <w:rFonts w:ascii="Arial" w:hAnsi="Arial" w:cs="Arial"/>
        </w:rPr>
        <w:lastRenderedPageBreak/>
        <w:t>lower at 3 months compared to baseline values. Regarding group comparisons, three studies analyzed the influence of the technique or restorative material used, concluding that there were no statistically significant differences between groups [5,15,19].</w:t>
      </w:r>
    </w:p>
    <w:p w14:paraId="33EF8442" w14:textId="5816AA8B" w:rsidR="00801D07" w:rsidRPr="00801D07" w:rsidRDefault="00801D07" w:rsidP="00801D07">
      <w:pPr>
        <w:pStyle w:val="Body"/>
        <w:rPr>
          <w:rFonts w:ascii="Arial" w:hAnsi="Arial" w:cs="Arial"/>
        </w:rPr>
      </w:pPr>
      <w:r w:rsidRPr="00801D07">
        <w:rPr>
          <w:rFonts w:ascii="Arial" w:hAnsi="Arial" w:cs="Arial"/>
        </w:rPr>
        <w:t xml:space="preserve">Six studies evaluated bleeding on probing (BOP). Among them, two studies reported an increase in BOP after 1 year, both in the CMR group [15] and in </w:t>
      </w:r>
      <w:r w:rsidR="00172825" w:rsidRPr="00172825">
        <w:rPr>
          <w:rFonts w:ascii="Arial" w:hAnsi="Arial" w:cs="Arial"/>
          <w:highlight w:val="yellow"/>
        </w:rPr>
        <w:t>the</w:t>
      </w:r>
      <w:r w:rsidR="00172825">
        <w:rPr>
          <w:rFonts w:ascii="Arial" w:hAnsi="Arial" w:cs="Arial"/>
        </w:rPr>
        <w:t xml:space="preserve"> </w:t>
      </w:r>
      <w:r w:rsidRPr="00801D07">
        <w:rPr>
          <w:rFonts w:ascii="Arial" w:hAnsi="Arial" w:cs="Arial"/>
        </w:rPr>
        <w:t>groups with and without CMR [5]. However, Ferrari et al. (2018) identified a significantly greater increase in BOP in the CMR group compared to the control group without CMR</w:t>
      </w:r>
      <w:r w:rsidR="00937BD0">
        <w:rPr>
          <w:rFonts w:ascii="Arial" w:hAnsi="Arial" w:cs="Arial"/>
        </w:rPr>
        <w:t xml:space="preserve"> </w:t>
      </w:r>
      <w:r w:rsidR="00937BD0" w:rsidRPr="00937BD0">
        <w:rPr>
          <w:rFonts w:ascii="Arial" w:hAnsi="Arial" w:cs="Arial"/>
          <w:highlight w:val="yellow"/>
        </w:rPr>
        <w:t>[5]</w:t>
      </w:r>
      <w:r w:rsidRPr="00937BD0">
        <w:rPr>
          <w:rFonts w:ascii="Arial" w:hAnsi="Arial" w:cs="Arial"/>
          <w:highlight w:val="yellow"/>
        </w:rPr>
        <w:t>.</w:t>
      </w:r>
      <w:r w:rsidRPr="00801D07">
        <w:rPr>
          <w:rFonts w:ascii="Arial" w:hAnsi="Arial" w:cs="Arial"/>
        </w:rPr>
        <w:t xml:space="preserve"> Conversely, three studies described a reduction in BOP during follow-up periods of 3 months, 6 months, or 1 year. [2,10,18] Ismail et al. [19], however, found no significant differences in this parameter.</w:t>
      </w:r>
    </w:p>
    <w:p w14:paraId="06B19DE3" w14:textId="77777777" w:rsidR="00801D07" w:rsidRPr="00801D07" w:rsidRDefault="00801D07" w:rsidP="00801D07">
      <w:pPr>
        <w:pStyle w:val="Body"/>
        <w:rPr>
          <w:rFonts w:ascii="Arial" w:hAnsi="Arial" w:cs="Arial"/>
        </w:rPr>
      </w:pPr>
      <w:r w:rsidRPr="00801D07">
        <w:rPr>
          <w:rFonts w:ascii="Arial" w:hAnsi="Arial" w:cs="Arial"/>
        </w:rPr>
        <w:t xml:space="preserve">Six studies evaluated probing depth (PD). Ferrari et al. (2028) [5] and Ismail et al. (2023) [19] reported an increase in PD at 6 months and 1 year, except in the GH group, where values remained stable compared to baseline. Conversely, three studies indicated a reduction in PD over time, ranging from 3 months to 8 years [2,10.18]. </w:t>
      </w:r>
      <w:proofErr w:type="spellStart"/>
      <w:r w:rsidRPr="00801D07">
        <w:rPr>
          <w:rFonts w:ascii="Arial" w:hAnsi="Arial" w:cs="Arial"/>
        </w:rPr>
        <w:t>Hausdörfer</w:t>
      </w:r>
      <w:proofErr w:type="spellEnd"/>
      <w:r w:rsidRPr="00801D07">
        <w:rPr>
          <w:rFonts w:ascii="Arial" w:hAnsi="Arial" w:cs="Arial"/>
        </w:rPr>
        <w:t xml:space="preserve"> et al. [15], however, found no significant differences in PD throughout the study. Regarding comparisons between groups and restorative materials, three studies observed no statistically significant differences between groups [2,5,15]. Conversely, Bertoldi et al. [10] reported that the group undergoing CMR presented significantly greater PD compared to the control group without CMR.</w:t>
      </w:r>
    </w:p>
    <w:p w14:paraId="6702D2FF" w14:textId="77777777" w:rsidR="00801D07" w:rsidRPr="00801D07" w:rsidRDefault="00801D07" w:rsidP="00801D07">
      <w:pPr>
        <w:pStyle w:val="Body"/>
        <w:rPr>
          <w:rFonts w:ascii="Arial" w:hAnsi="Arial" w:cs="Arial"/>
        </w:rPr>
      </w:pPr>
      <w:r w:rsidRPr="00801D07">
        <w:rPr>
          <w:rFonts w:ascii="Arial" w:hAnsi="Arial" w:cs="Arial"/>
        </w:rPr>
        <w:t>Three studies evaluated the gingival index (GI), of which one article demonstrated no significant differences over a 3-year period [19]. Furthermore, two articles presented results at 6 months and 1 year, observing an increase in GI during the study [5,18] In two articles, no significant differences were found between groups, which compared the CMR group and the supragingival restoration group [5], and the CMR group and the control group [19]. The study by Ismail et al. (2021) [18] did not compare groups for this parameter.</w:t>
      </w:r>
    </w:p>
    <w:p w14:paraId="7265700D" w14:textId="6FFA4C17" w:rsidR="00801D07" w:rsidRPr="00801D07" w:rsidRDefault="00801D07" w:rsidP="00801D07">
      <w:pPr>
        <w:pStyle w:val="Body"/>
        <w:rPr>
          <w:rFonts w:ascii="Arial" w:hAnsi="Arial" w:cs="Arial"/>
        </w:rPr>
      </w:pPr>
      <w:r w:rsidRPr="00801D07">
        <w:rPr>
          <w:rFonts w:ascii="Arial" w:hAnsi="Arial" w:cs="Arial"/>
        </w:rPr>
        <w:t>Three studies analyzed radiographic indices to complement the clinical findings [5,18,19]. Of these, two studies observed no significant differences over 6 months or 1 year</w:t>
      </w:r>
      <w:r w:rsidR="000D2757">
        <w:rPr>
          <w:rFonts w:ascii="Arial" w:hAnsi="Arial" w:cs="Arial"/>
        </w:rPr>
        <w:t xml:space="preserve"> </w:t>
      </w:r>
      <w:r w:rsidR="000D2757" w:rsidRPr="00801D07">
        <w:rPr>
          <w:rFonts w:ascii="Arial" w:hAnsi="Arial" w:cs="Arial"/>
        </w:rPr>
        <w:t>[</w:t>
      </w:r>
      <w:r w:rsidR="000D2757" w:rsidRPr="000D2757">
        <w:rPr>
          <w:rFonts w:ascii="Arial" w:hAnsi="Arial" w:cs="Arial"/>
          <w:highlight w:val="yellow"/>
        </w:rPr>
        <w:t>5,19</w:t>
      </w:r>
      <w:r w:rsidR="000D2757" w:rsidRPr="00801D07">
        <w:rPr>
          <w:rFonts w:ascii="Arial" w:hAnsi="Arial" w:cs="Arial"/>
        </w:rPr>
        <w:t>]</w:t>
      </w:r>
      <w:r w:rsidRPr="00801D07">
        <w:rPr>
          <w:rFonts w:ascii="Arial" w:hAnsi="Arial" w:cs="Arial"/>
        </w:rPr>
        <w:t xml:space="preserve">. Additionally, Ismail et al. (2021) [18] evaluated the marginal adaptation between the restorative material and dentin/cementum using different restorative materials in two teeth. The study demonstrated that Group 1 showed a lower radiographic index score after 6 months, while Group 2 maintained values </w:t>
      </w:r>
      <w:proofErr w:type="gramStart"/>
      <w:r w:rsidRPr="00801D07">
        <w:rPr>
          <w:rFonts w:ascii="Arial" w:hAnsi="Arial" w:cs="Arial"/>
        </w:rPr>
        <w:t>similar to</w:t>
      </w:r>
      <w:proofErr w:type="gramEnd"/>
      <w:r w:rsidRPr="00801D07">
        <w:rPr>
          <w:rFonts w:ascii="Arial" w:hAnsi="Arial" w:cs="Arial"/>
        </w:rPr>
        <w:t xml:space="preserve"> baseline.</w:t>
      </w:r>
    </w:p>
    <w:p w14:paraId="413F8A61" w14:textId="11C78CC2" w:rsidR="00801D07" w:rsidRPr="00801D07" w:rsidRDefault="00801D07" w:rsidP="00801D07">
      <w:pPr>
        <w:pStyle w:val="Body"/>
        <w:rPr>
          <w:rFonts w:ascii="Arial" w:hAnsi="Arial" w:cs="Arial"/>
        </w:rPr>
      </w:pPr>
      <w:r w:rsidRPr="00801D07">
        <w:rPr>
          <w:rFonts w:ascii="Arial" w:hAnsi="Arial" w:cs="Arial"/>
        </w:rPr>
        <w:t>Only one study analyzed histological parameters [10]. The results indicated no significant differences in the degree of tissue inflammation between the control and CMR groups. Inflammatory cells such as macrophages, lymphocytes, and mast cells were identified and distributed similarly between groups.</w:t>
      </w:r>
    </w:p>
    <w:p w14:paraId="4D4AB44F" w14:textId="3DAC8C92" w:rsidR="00801D07" w:rsidRDefault="00801D07" w:rsidP="00801D07">
      <w:pPr>
        <w:pStyle w:val="Body"/>
        <w:spacing w:after="0"/>
        <w:rPr>
          <w:rFonts w:ascii="Arial" w:hAnsi="Arial" w:cs="Arial"/>
        </w:rPr>
      </w:pPr>
      <w:r w:rsidRPr="00801D07">
        <w:rPr>
          <w:rFonts w:ascii="Arial" w:hAnsi="Arial" w:cs="Arial"/>
          <w:b/>
          <w:bCs/>
        </w:rPr>
        <w:t>Table 2.</w:t>
      </w:r>
      <w:r w:rsidRPr="00801D07">
        <w:rPr>
          <w:rFonts w:ascii="Arial" w:hAnsi="Arial" w:cs="Arial"/>
        </w:rPr>
        <w:t xml:space="preserve"> Evaluated periodontal parameters.</w:t>
      </w:r>
    </w:p>
    <w:tbl>
      <w:tblPr>
        <w:tblStyle w:val="SimplesTabela3"/>
        <w:tblW w:w="0" w:type="auto"/>
        <w:tblLook w:val="04A0" w:firstRow="1" w:lastRow="0" w:firstColumn="1" w:lastColumn="0" w:noHBand="0" w:noVBand="1"/>
      </w:tblPr>
      <w:tblGrid>
        <w:gridCol w:w="2056"/>
        <w:gridCol w:w="2053"/>
        <w:gridCol w:w="2047"/>
        <w:gridCol w:w="2052"/>
      </w:tblGrid>
      <w:tr w:rsidR="00801D07" w:rsidRPr="001C503C" w14:paraId="66E09373" w14:textId="77777777" w:rsidTr="00827B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56" w:type="dxa"/>
            <w:tcBorders>
              <w:top w:val="single" w:sz="4" w:space="0" w:color="auto"/>
              <w:bottom w:val="single" w:sz="4" w:space="0" w:color="auto"/>
              <w:right w:val="none" w:sz="0" w:space="0" w:color="auto"/>
            </w:tcBorders>
          </w:tcPr>
          <w:p w14:paraId="55ADC1A7" w14:textId="77777777" w:rsidR="00801D07" w:rsidRPr="00512CE3" w:rsidRDefault="00801D07" w:rsidP="00DA41BF">
            <w:pPr>
              <w:jc w:val="center"/>
              <w:rPr>
                <w:rFonts w:ascii="Arial" w:hAnsi="Arial" w:cs="Arial"/>
                <w:b w:val="0"/>
                <w:bCs w:val="0"/>
                <w:sz w:val="20"/>
                <w:szCs w:val="20"/>
                <w:highlight w:val="yellow"/>
              </w:rPr>
            </w:pPr>
            <w:r w:rsidRPr="00512CE3">
              <w:rPr>
                <w:rFonts w:ascii="Arial" w:hAnsi="Arial" w:cs="Arial"/>
                <w:sz w:val="20"/>
                <w:szCs w:val="20"/>
                <w:highlight w:val="yellow"/>
              </w:rPr>
              <w:t>Author</w:t>
            </w:r>
          </w:p>
        </w:tc>
        <w:tc>
          <w:tcPr>
            <w:tcW w:w="2053" w:type="dxa"/>
            <w:tcBorders>
              <w:top w:val="single" w:sz="4" w:space="0" w:color="auto"/>
              <w:bottom w:val="single" w:sz="4" w:space="0" w:color="auto"/>
            </w:tcBorders>
          </w:tcPr>
          <w:p w14:paraId="05EB10D8" w14:textId="77777777" w:rsidR="00801D07" w:rsidRPr="00512CE3" w:rsidRDefault="00801D07" w:rsidP="00DA41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highlight w:val="yellow"/>
              </w:rPr>
            </w:pPr>
            <w:r w:rsidRPr="00512CE3">
              <w:rPr>
                <w:rFonts w:ascii="Arial" w:hAnsi="Arial" w:cs="Arial"/>
                <w:sz w:val="20"/>
                <w:szCs w:val="20"/>
                <w:highlight w:val="yellow"/>
              </w:rPr>
              <w:t>Evaluated Parameters</w:t>
            </w:r>
          </w:p>
        </w:tc>
        <w:tc>
          <w:tcPr>
            <w:tcW w:w="2047" w:type="dxa"/>
            <w:tcBorders>
              <w:top w:val="single" w:sz="4" w:space="0" w:color="auto"/>
              <w:bottom w:val="single" w:sz="4" w:space="0" w:color="auto"/>
            </w:tcBorders>
          </w:tcPr>
          <w:p w14:paraId="25F1D489" w14:textId="77777777" w:rsidR="00801D07" w:rsidRPr="00512CE3" w:rsidRDefault="00801D07" w:rsidP="00DA41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highlight w:val="yellow"/>
              </w:rPr>
            </w:pPr>
            <w:r w:rsidRPr="00512CE3">
              <w:rPr>
                <w:rFonts w:ascii="Arial" w:hAnsi="Arial" w:cs="Arial"/>
                <w:sz w:val="20"/>
                <w:szCs w:val="20"/>
                <w:highlight w:val="yellow"/>
              </w:rPr>
              <w:t>Groups</w:t>
            </w:r>
          </w:p>
        </w:tc>
        <w:tc>
          <w:tcPr>
            <w:tcW w:w="2052" w:type="dxa"/>
            <w:tcBorders>
              <w:top w:val="single" w:sz="4" w:space="0" w:color="auto"/>
              <w:bottom w:val="single" w:sz="4" w:space="0" w:color="auto"/>
            </w:tcBorders>
          </w:tcPr>
          <w:p w14:paraId="497349BC" w14:textId="77777777" w:rsidR="00801D07" w:rsidRPr="00512CE3" w:rsidRDefault="00801D07" w:rsidP="00DA41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highlight w:val="yellow"/>
              </w:rPr>
            </w:pPr>
            <w:r w:rsidRPr="00512CE3">
              <w:rPr>
                <w:rFonts w:ascii="Arial" w:hAnsi="Arial" w:cs="Arial"/>
                <w:sz w:val="20"/>
                <w:szCs w:val="20"/>
                <w:highlight w:val="yellow"/>
              </w:rPr>
              <w:t>Results</w:t>
            </w:r>
          </w:p>
        </w:tc>
      </w:tr>
      <w:tr w:rsidR="00801D07" w:rsidRPr="001C503C" w14:paraId="5A8B7B05" w14:textId="77777777" w:rsidTr="00827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dxa"/>
            <w:tcBorders>
              <w:top w:val="single" w:sz="4" w:space="0" w:color="auto"/>
              <w:right w:val="none" w:sz="0" w:space="0" w:color="auto"/>
            </w:tcBorders>
          </w:tcPr>
          <w:p w14:paraId="5085A108" w14:textId="77777777" w:rsidR="00801D07" w:rsidRPr="00512CE3" w:rsidRDefault="00801D07" w:rsidP="00DA41BF">
            <w:pPr>
              <w:rPr>
                <w:rFonts w:ascii="Arial" w:hAnsi="Arial" w:cs="Arial"/>
                <w:b w:val="0"/>
                <w:bCs w:val="0"/>
                <w:sz w:val="20"/>
                <w:szCs w:val="20"/>
                <w:highlight w:val="yellow"/>
              </w:rPr>
            </w:pPr>
            <w:r w:rsidRPr="00512CE3">
              <w:rPr>
                <w:rFonts w:ascii="Arial" w:hAnsi="Arial" w:cs="Arial"/>
                <w:sz w:val="20"/>
                <w:szCs w:val="20"/>
                <w:highlight w:val="yellow"/>
              </w:rPr>
              <w:t>Hausdörfer et al. 2024</w:t>
            </w:r>
            <w:r w:rsidRPr="00512CE3">
              <w:rPr>
                <w:rFonts w:ascii="Arial" w:hAnsi="Arial" w:cs="Arial"/>
                <w:sz w:val="20"/>
                <w:szCs w:val="20"/>
                <w:highlight w:val="yellow"/>
                <w:vertAlign w:val="superscript"/>
              </w:rPr>
              <w:t>15</w:t>
            </w:r>
          </w:p>
        </w:tc>
        <w:tc>
          <w:tcPr>
            <w:tcW w:w="2053" w:type="dxa"/>
            <w:tcBorders>
              <w:top w:val="single" w:sz="4" w:space="0" w:color="auto"/>
            </w:tcBorders>
          </w:tcPr>
          <w:p w14:paraId="317F8C38" w14:textId="77777777" w:rsidR="00801D07" w:rsidRPr="00512CE3" w:rsidRDefault="00801D07" w:rsidP="00DA41B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512CE3">
              <w:rPr>
                <w:rFonts w:ascii="Arial" w:hAnsi="Arial" w:cs="Arial"/>
                <w:sz w:val="20"/>
                <w:szCs w:val="20"/>
                <w:highlight w:val="yellow"/>
              </w:rPr>
              <w:t>PI, PD, BOP</w:t>
            </w:r>
          </w:p>
        </w:tc>
        <w:tc>
          <w:tcPr>
            <w:tcW w:w="2047" w:type="dxa"/>
            <w:tcBorders>
              <w:top w:val="single" w:sz="4" w:space="0" w:color="auto"/>
            </w:tcBorders>
          </w:tcPr>
          <w:p w14:paraId="053311CB" w14:textId="77777777" w:rsidR="00801D07" w:rsidRPr="00512CE3" w:rsidRDefault="00801D07" w:rsidP="00DA41B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512CE3">
              <w:rPr>
                <w:rFonts w:ascii="Arial" w:hAnsi="Arial" w:cs="Arial"/>
                <w:sz w:val="20"/>
                <w:szCs w:val="20"/>
                <w:highlight w:val="yellow"/>
              </w:rPr>
              <w:t xml:space="preserve">1. </w:t>
            </w:r>
            <w:proofErr w:type="spellStart"/>
            <w:r w:rsidRPr="00512CE3">
              <w:rPr>
                <w:rFonts w:ascii="Arial" w:hAnsi="Arial" w:cs="Arial"/>
                <w:sz w:val="20"/>
                <w:szCs w:val="20"/>
                <w:highlight w:val="yellow"/>
              </w:rPr>
              <w:t>Control</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Supragingival</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restorations</w:t>
            </w:r>
            <w:proofErr w:type="spellEnd"/>
            <w:r w:rsidRPr="00512CE3">
              <w:rPr>
                <w:rFonts w:ascii="Arial" w:hAnsi="Arial" w:cs="Arial"/>
                <w:sz w:val="20"/>
                <w:szCs w:val="20"/>
                <w:highlight w:val="yellow"/>
              </w:rPr>
              <w:t>;</w:t>
            </w:r>
            <w:r w:rsidRPr="00512CE3">
              <w:rPr>
                <w:rFonts w:ascii="Arial" w:hAnsi="Arial" w:cs="Arial"/>
                <w:sz w:val="20"/>
                <w:szCs w:val="20"/>
                <w:highlight w:val="yellow"/>
              </w:rPr>
              <w:br/>
              <w:t xml:space="preserve">2. Test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Restorations</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with</w:t>
            </w:r>
            <w:proofErr w:type="spellEnd"/>
            <w:r w:rsidRPr="00512CE3">
              <w:rPr>
                <w:rFonts w:ascii="Arial" w:hAnsi="Arial" w:cs="Arial"/>
                <w:sz w:val="20"/>
                <w:szCs w:val="20"/>
                <w:highlight w:val="yellow"/>
              </w:rPr>
              <w:t xml:space="preserve"> CMR</w:t>
            </w:r>
          </w:p>
        </w:tc>
        <w:tc>
          <w:tcPr>
            <w:tcW w:w="2052" w:type="dxa"/>
            <w:tcBorders>
              <w:top w:val="single" w:sz="4" w:space="0" w:color="auto"/>
            </w:tcBorders>
          </w:tcPr>
          <w:p w14:paraId="133E5D3C" w14:textId="77777777" w:rsidR="00801D07" w:rsidRPr="00512CE3" w:rsidRDefault="00801D07" w:rsidP="00DA41B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512CE3">
              <w:rPr>
                <w:rFonts w:ascii="Arial" w:hAnsi="Arial" w:cs="Arial"/>
                <w:sz w:val="20"/>
                <w:szCs w:val="20"/>
                <w:highlight w:val="yellow"/>
              </w:rPr>
              <w:t xml:space="preserve">PI: Baseline &lt; 1 </w:t>
            </w:r>
            <w:proofErr w:type="spellStart"/>
            <w:r w:rsidRPr="00512CE3">
              <w:rPr>
                <w:rFonts w:ascii="Arial" w:hAnsi="Arial" w:cs="Arial"/>
                <w:sz w:val="20"/>
                <w:szCs w:val="20"/>
                <w:highlight w:val="yellow"/>
              </w:rPr>
              <w:t>year</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1 =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2;</w:t>
            </w:r>
            <w:r w:rsidRPr="00512CE3">
              <w:rPr>
                <w:rFonts w:ascii="Arial" w:hAnsi="Arial" w:cs="Arial"/>
                <w:sz w:val="20"/>
                <w:szCs w:val="20"/>
                <w:highlight w:val="yellow"/>
              </w:rPr>
              <w:br/>
              <w:t xml:space="preserve">PD: No </w:t>
            </w:r>
            <w:proofErr w:type="spellStart"/>
            <w:r w:rsidRPr="00512CE3">
              <w:rPr>
                <w:rFonts w:ascii="Arial" w:hAnsi="Arial" w:cs="Arial"/>
                <w:sz w:val="20"/>
                <w:szCs w:val="20"/>
                <w:highlight w:val="yellow"/>
              </w:rPr>
              <w:t>differences</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between</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groups</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and</w:t>
            </w:r>
            <w:proofErr w:type="spellEnd"/>
            <w:r w:rsidRPr="00512CE3">
              <w:rPr>
                <w:rFonts w:ascii="Arial" w:hAnsi="Arial" w:cs="Arial"/>
                <w:sz w:val="20"/>
                <w:szCs w:val="20"/>
                <w:highlight w:val="yellow"/>
              </w:rPr>
              <w:t xml:space="preserve"> follow-up;</w:t>
            </w:r>
            <w:r w:rsidRPr="00512CE3">
              <w:rPr>
                <w:rFonts w:ascii="Arial" w:hAnsi="Arial" w:cs="Arial"/>
                <w:sz w:val="20"/>
                <w:szCs w:val="20"/>
                <w:highlight w:val="yellow"/>
              </w:rPr>
              <w:br/>
              <w:t xml:space="preserve">BOP: Baseline = 1 </w:t>
            </w:r>
            <w:proofErr w:type="spellStart"/>
            <w:r w:rsidRPr="00512CE3">
              <w:rPr>
                <w:rFonts w:ascii="Arial" w:hAnsi="Arial" w:cs="Arial"/>
                <w:sz w:val="20"/>
                <w:szCs w:val="20"/>
                <w:highlight w:val="yellow"/>
              </w:rPr>
              <w:t>year</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1); Baseline &lt; 1 </w:t>
            </w:r>
            <w:proofErr w:type="spellStart"/>
            <w:r w:rsidRPr="00512CE3">
              <w:rPr>
                <w:rFonts w:ascii="Arial" w:hAnsi="Arial" w:cs="Arial"/>
                <w:sz w:val="20"/>
                <w:szCs w:val="20"/>
                <w:highlight w:val="yellow"/>
              </w:rPr>
              <w:t>year</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2);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1 &lt;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2.</w:t>
            </w:r>
          </w:p>
        </w:tc>
      </w:tr>
      <w:tr w:rsidR="00801D07" w:rsidRPr="001C503C" w14:paraId="53DA2CDF" w14:textId="77777777" w:rsidTr="00827BC5">
        <w:tc>
          <w:tcPr>
            <w:cnfStyle w:val="001000000000" w:firstRow="0" w:lastRow="0" w:firstColumn="1" w:lastColumn="0" w:oddVBand="0" w:evenVBand="0" w:oddHBand="0" w:evenHBand="0" w:firstRowFirstColumn="0" w:firstRowLastColumn="0" w:lastRowFirstColumn="0" w:lastRowLastColumn="0"/>
            <w:tcW w:w="2056" w:type="dxa"/>
            <w:tcBorders>
              <w:right w:val="none" w:sz="0" w:space="0" w:color="auto"/>
            </w:tcBorders>
          </w:tcPr>
          <w:p w14:paraId="33FB5FCF" w14:textId="77777777" w:rsidR="00801D07" w:rsidRPr="00512CE3" w:rsidRDefault="00801D07" w:rsidP="00DA41BF">
            <w:pPr>
              <w:rPr>
                <w:rFonts w:ascii="Arial" w:hAnsi="Arial" w:cs="Arial"/>
                <w:b w:val="0"/>
                <w:bCs w:val="0"/>
                <w:sz w:val="20"/>
                <w:szCs w:val="20"/>
                <w:highlight w:val="yellow"/>
              </w:rPr>
            </w:pPr>
            <w:r w:rsidRPr="00512CE3">
              <w:rPr>
                <w:rFonts w:ascii="Arial" w:hAnsi="Arial" w:cs="Arial"/>
                <w:sz w:val="20"/>
                <w:szCs w:val="20"/>
                <w:highlight w:val="yellow"/>
              </w:rPr>
              <w:lastRenderedPageBreak/>
              <w:t>Ismail et al. 2023</w:t>
            </w:r>
            <w:r w:rsidRPr="00512CE3">
              <w:rPr>
                <w:rFonts w:ascii="Arial" w:hAnsi="Arial" w:cs="Arial"/>
                <w:sz w:val="20"/>
                <w:szCs w:val="20"/>
                <w:highlight w:val="yellow"/>
                <w:vertAlign w:val="superscript"/>
              </w:rPr>
              <w:t>19</w:t>
            </w:r>
          </w:p>
        </w:tc>
        <w:tc>
          <w:tcPr>
            <w:tcW w:w="2053" w:type="dxa"/>
          </w:tcPr>
          <w:p w14:paraId="4D975EBE" w14:textId="77777777" w:rsidR="00801D07" w:rsidRPr="00512CE3" w:rsidRDefault="00801D07" w:rsidP="00DA41B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512CE3">
              <w:rPr>
                <w:rFonts w:ascii="Arial" w:hAnsi="Arial" w:cs="Arial"/>
                <w:sz w:val="20"/>
                <w:szCs w:val="20"/>
                <w:highlight w:val="yellow"/>
              </w:rPr>
              <w:t xml:space="preserve">PI, GI, BOP, PD, </w:t>
            </w:r>
            <w:proofErr w:type="spellStart"/>
            <w:r w:rsidRPr="00512CE3">
              <w:rPr>
                <w:rFonts w:ascii="Arial" w:hAnsi="Arial" w:cs="Arial"/>
                <w:sz w:val="20"/>
                <w:szCs w:val="20"/>
                <w:highlight w:val="yellow"/>
              </w:rPr>
              <w:t>Radiographic</w:t>
            </w:r>
            <w:proofErr w:type="spellEnd"/>
          </w:p>
        </w:tc>
        <w:tc>
          <w:tcPr>
            <w:tcW w:w="2047" w:type="dxa"/>
          </w:tcPr>
          <w:p w14:paraId="431A70FF" w14:textId="77777777" w:rsidR="00801D07" w:rsidRPr="00512CE3" w:rsidRDefault="00801D07" w:rsidP="00DA41B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512CE3">
              <w:rPr>
                <w:rFonts w:ascii="Arial" w:hAnsi="Arial" w:cs="Arial"/>
                <w:sz w:val="20"/>
                <w:szCs w:val="20"/>
                <w:highlight w:val="yellow"/>
              </w:rPr>
              <w:t xml:space="preserve">1. RMGI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br/>
              <w:t xml:space="preserve">2. GH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br/>
              <w:t xml:space="preserve">3. BULK FLOW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br/>
              <w:t xml:space="preserve">4. ACTIVA </w:t>
            </w:r>
            <w:proofErr w:type="spellStart"/>
            <w:r w:rsidRPr="00512CE3">
              <w:rPr>
                <w:rFonts w:ascii="Arial" w:hAnsi="Arial" w:cs="Arial"/>
                <w:sz w:val="20"/>
                <w:szCs w:val="20"/>
                <w:highlight w:val="yellow"/>
              </w:rPr>
              <w:t>group</w:t>
            </w:r>
            <w:proofErr w:type="spellEnd"/>
          </w:p>
        </w:tc>
        <w:tc>
          <w:tcPr>
            <w:tcW w:w="2052" w:type="dxa"/>
          </w:tcPr>
          <w:p w14:paraId="686DB589" w14:textId="77777777" w:rsidR="00801D07" w:rsidRPr="00512CE3" w:rsidRDefault="00801D07" w:rsidP="00DA41B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512CE3">
              <w:rPr>
                <w:rFonts w:ascii="Arial" w:hAnsi="Arial" w:cs="Arial"/>
                <w:sz w:val="20"/>
                <w:szCs w:val="20"/>
                <w:highlight w:val="yellow"/>
              </w:rPr>
              <w:t xml:space="preserve">PI: RMGI = GH = BULK FLOW = ACTIVA; Baseline &lt; 6 </w:t>
            </w:r>
            <w:proofErr w:type="spellStart"/>
            <w:r w:rsidRPr="00512CE3">
              <w:rPr>
                <w:rFonts w:ascii="Arial" w:hAnsi="Arial" w:cs="Arial"/>
                <w:sz w:val="20"/>
                <w:szCs w:val="20"/>
                <w:highlight w:val="yellow"/>
              </w:rPr>
              <w:t>months</w:t>
            </w:r>
            <w:proofErr w:type="spellEnd"/>
            <w:r w:rsidRPr="00512CE3">
              <w:rPr>
                <w:rFonts w:ascii="Arial" w:hAnsi="Arial" w:cs="Arial"/>
                <w:sz w:val="20"/>
                <w:szCs w:val="20"/>
                <w:highlight w:val="yellow"/>
              </w:rPr>
              <w:t xml:space="preserve"> &lt; 1 </w:t>
            </w:r>
            <w:proofErr w:type="spellStart"/>
            <w:r w:rsidRPr="00512CE3">
              <w:rPr>
                <w:rFonts w:ascii="Arial" w:hAnsi="Arial" w:cs="Arial"/>
                <w:sz w:val="20"/>
                <w:szCs w:val="20"/>
                <w:highlight w:val="yellow"/>
              </w:rPr>
              <w:t>year</w:t>
            </w:r>
            <w:proofErr w:type="spellEnd"/>
            <w:r w:rsidRPr="00512CE3">
              <w:rPr>
                <w:rFonts w:ascii="Arial" w:hAnsi="Arial" w:cs="Arial"/>
                <w:sz w:val="20"/>
                <w:szCs w:val="20"/>
                <w:highlight w:val="yellow"/>
              </w:rPr>
              <w:t xml:space="preserve">; 1 </w:t>
            </w:r>
            <w:proofErr w:type="spellStart"/>
            <w:r w:rsidRPr="00512CE3">
              <w:rPr>
                <w:rFonts w:ascii="Arial" w:hAnsi="Arial" w:cs="Arial"/>
                <w:sz w:val="20"/>
                <w:szCs w:val="20"/>
                <w:highlight w:val="yellow"/>
              </w:rPr>
              <w:t>year</w:t>
            </w:r>
            <w:proofErr w:type="spellEnd"/>
            <w:r w:rsidRPr="00512CE3">
              <w:rPr>
                <w:rFonts w:ascii="Arial" w:hAnsi="Arial" w:cs="Arial"/>
                <w:sz w:val="20"/>
                <w:szCs w:val="20"/>
                <w:highlight w:val="yellow"/>
              </w:rPr>
              <w:t xml:space="preserve"> = 2 </w:t>
            </w:r>
            <w:proofErr w:type="spellStart"/>
            <w:r w:rsidRPr="00512CE3">
              <w:rPr>
                <w:rFonts w:ascii="Arial" w:hAnsi="Arial" w:cs="Arial"/>
                <w:sz w:val="20"/>
                <w:szCs w:val="20"/>
                <w:highlight w:val="yellow"/>
              </w:rPr>
              <w:t>years</w:t>
            </w:r>
            <w:proofErr w:type="spellEnd"/>
            <w:r w:rsidRPr="00512CE3">
              <w:rPr>
                <w:rFonts w:ascii="Arial" w:hAnsi="Arial" w:cs="Arial"/>
                <w:sz w:val="20"/>
                <w:szCs w:val="20"/>
                <w:highlight w:val="yellow"/>
              </w:rPr>
              <w:t xml:space="preserve"> = 3 </w:t>
            </w:r>
            <w:proofErr w:type="spellStart"/>
            <w:r w:rsidRPr="00512CE3">
              <w:rPr>
                <w:rFonts w:ascii="Arial" w:hAnsi="Arial" w:cs="Arial"/>
                <w:sz w:val="20"/>
                <w:szCs w:val="20"/>
                <w:highlight w:val="yellow"/>
              </w:rPr>
              <w:t>years</w:t>
            </w:r>
            <w:proofErr w:type="spellEnd"/>
            <w:r w:rsidRPr="00512CE3">
              <w:rPr>
                <w:rFonts w:ascii="Arial" w:hAnsi="Arial" w:cs="Arial"/>
                <w:sz w:val="20"/>
                <w:szCs w:val="20"/>
                <w:highlight w:val="yellow"/>
              </w:rPr>
              <w:t>.</w:t>
            </w:r>
            <w:r w:rsidRPr="00512CE3">
              <w:rPr>
                <w:rFonts w:ascii="Arial" w:hAnsi="Arial" w:cs="Arial"/>
                <w:sz w:val="20"/>
                <w:szCs w:val="20"/>
                <w:highlight w:val="yellow"/>
              </w:rPr>
              <w:br/>
              <w:t xml:space="preserve">GI: No </w:t>
            </w:r>
            <w:proofErr w:type="spellStart"/>
            <w:r w:rsidRPr="00512CE3">
              <w:rPr>
                <w:rFonts w:ascii="Arial" w:hAnsi="Arial" w:cs="Arial"/>
                <w:sz w:val="20"/>
                <w:szCs w:val="20"/>
                <w:highlight w:val="yellow"/>
              </w:rPr>
              <w:t>statistical</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differences</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between</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groups</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or</w:t>
            </w:r>
            <w:proofErr w:type="spellEnd"/>
            <w:r w:rsidRPr="00512CE3">
              <w:rPr>
                <w:rFonts w:ascii="Arial" w:hAnsi="Arial" w:cs="Arial"/>
                <w:sz w:val="20"/>
                <w:szCs w:val="20"/>
                <w:highlight w:val="yellow"/>
              </w:rPr>
              <w:t xml:space="preserve"> over time.</w:t>
            </w:r>
            <w:r w:rsidRPr="00512CE3">
              <w:rPr>
                <w:rFonts w:ascii="Arial" w:hAnsi="Arial" w:cs="Arial"/>
                <w:sz w:val="20"/>
                <w:szCs w:val="20"/>
                <w:highlight w:val="yellow"/>
              </w:rPr>
              <w:br/>
              <w:t xml:space="preserve">BOP: No </w:t>
            </w:r>
            <w:proofErr w:type="spellStart"/>
            <w:r w:rsidRPr="00512CE3">
              <w:rPr>
                <w:rFonts w:ascii="Arial" w:hAnsi="Arial" w:cs="Arial"/>
                <w:sz w:val="20"/>
                <w:szCs w:val="20"/>
                <w:highlight w:val="yellow"/>
              </w:rPr>
              <w:t>statistical</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differences</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between</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groups</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or</w:t>
            </w:r>
            <w:proofErr w:type="spellEnd"/>
            <w:r w:rsidRPr="00512CE3">
              <w:rPr>
                <w:rFonts w:ascii="Arial" w:hAnsi="Arial" w:cs="Arial"/>
                <w:sz w:val="20"/>
                <w:szCs w:val="20"/>
                <w:highlight w:val="yellow"/>
              </w:rPr>
              <w:t xml:space="preserve"> over time.</w:t>
            </w:r>
            <w:r w:rsidRPr="00512CE3">
              <w:rPr>
                <w:rFonts w:ascii="Arial" w:hAnsi="Arial" w:cs="Arial"/>
                <w:sz w:val="20"/>
                <w:szCs w:val="20"/>
                <w:highlight w:val="yellow"/>
              </w:rPr>
              <w:br/>
              <w:t xml:space="preserve">PD: </w:t>
            </w:r>
            <w:proofErr w:type="spellStart"/>
            <w:r w:rsidRPr="00512CE3">
              <w:rPr>
                <w:rFonts w:ascii="Arial" w:hAnsi="Arial" w:cs="Arial"/>
                <w:sz w:val="20"/>
                <w:szCs w:val="20"/>
                <w:highlight w:val="yellow"/>
              </w:rPr>
              <w:t>All</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groups</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except</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2: Baseline &lt; 6 </w:t>
            </w:r>
            <w:proofErr w:type="spellStart"/>
            <w:r w:rsidRPr="00512CE3">
              <w:rPr>
                <w:rFonts w:ascii="Arial" w:hAnsi="Arial" w:cs="Arial"/>
                <w:sz w:val="20"/>
                <w:szCs w:val="20"/>
                <w:highlight w:val="yellow"/>
              </w:rPr>
              <w:t>months</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all</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groups</w:t>
            </w:r>
            <w:proofErr w:type="spellEnd"/>
            <w:r w:rsidRPr="00512CE3">
              <w:rPr>
                <w:rFonts w:ascii="Arial" w:hAnsi="Arial" w:cs="Arial"/>
                <w:sz w:val="20"/>
                <w:szCs w:val="20"/>
                <w:highlight w:val="yellow"/>
              </w:rPr>
              <w:t xml:space="preserve">: 6 </w:t>
            </w:r>
            <w:proofErr w:type="spellStart"/>
            <w:r w:rsidRPr="00512CE3">
              <w:rPr>
                <w:rFonts w:ascii="Arial" w:hAnsi="Arial" w:cs="Arial"/>
                <w:sz w:val="20"/>
                <w:szCs w:val="20"/>
                <w:highlight w:val="yellow"/>
              </w:rPr>
              <w:t>months</w:t>
            </w:r>
            <w:proofErr w:type="spellEnd"/>
            <w:r w:rsidRPr="00512CE3">
              <w:rPr>
                <w:rFonts w:ascii="Arial" w:hAnsi="Arial" w:cs="Arial"/>
                <w:sz w:val="20"/>
                <w:szCs w:val="20"/>
                <w:highlight w:val="yellow"/>
              </w:rPr>
              <w:t xml:space="preserve"> &lt; 1 </w:t>
            </w:r>
            <w:proofErr w:type="spellStart"/>
            <w:r w:rsidRPr="00512CE3">
              <w:rPr>
                <w:rFonts w:ascii="Arial" w:hAnsi="Arial" w:cs="Arial"/>
                <w:sz w:val="20"/>
                <w:szCs w:val="20"/>
                <w:highlight w:val="yellow"/>
              </w:rPr>
              <w:t>year</w:t>
            </w:r>
            <w:proofErr w:type="spellEnd"/>
            <w:r w:rsidRPr="00512CE3">
              <w:rPr>
                <w:rFonts w:ascii="Arial" w:hAnsi="Arial" w:cs="Arial"/>
                <w:sz w:val="20"/>
                <w:szCs w:val="20"/>
                <w:highlight w:val="yellow"/>
              </w:rPr>
              <w:t xml:space="preserve">; 1 </w:t>
            </w:r>
            <w:proofErr w:type="spellStart"/>
            <w:r w:rsidRPr="00512CE3">
              <w:rPr>
                <w:rFonts w:ascii="Arial" w:hAnsi="Arial" w:cs="Arial"/>
                <w:sz w:val="20"/>
                <w:szCs w:val="20"/>
                <w:highlight w:val="yellow"/>
              </w:rPr>
              <w:t>year</w:t>
            </w:r>
            <w:proofErr w:type="spellEnd"/>
            <w:r w:rsidRPr="00512CE3">
              <w:rPr>
                <w:rFonts w:ascii="Arial" w:hAnsi="Arial" w:cs="Arial"/>
                <w:sz w:val="20"/>
                <w:szCs w:val="20"/>
                <w:highlight w:val="yellow"/>
              </w:rPr>
              <w:t xml:space="preserve"> = 2 </w:t>
            </w:r>
            <w:proofErr w:type="spellStart"/>
            <w:r w:rsidRPr="00512CE3">
              <w:rPr>
                <w:rFonts w:ascii="Arial" w:hAnsi="Arial" w:cs="Arial"/>
                <w:sz w:val="20"/>
                <w:szCs w:val="20"/>
                <w:highlight w:val="yellow"/>
              </w:rPr>
              <w:t>years</w:t>
            </w:r>
            <w:proofErr w:type="spellEnd"/>
            <w:r w:rsidRPr="00512CE3">
              <w:rPr>
                <w:rFonts w:ascii="Arial" w:hAnsi="Arial" w:cs="Arial"/>
                <w:sz w:val="20"/>
                <w:szCs w:val="20"/>
                <w:highlight w:val="yellow"/>
              </w:rPr>
              <w:t xml:space="preserve"> = 3 </w:t>
            </w:r>
            <w:proofErr w:type="spellStart"/>
            <w:r w:rsidRPr="00512CE3">
              <w:rPr>
                <w:rFonts w:ascii="Arial" w:hAnsi="Arial" w:cs="Arial"/>
                <w:sz w:val="20"/>
                <w:szCs w:val="20"/>
                <w:highlight w:val="yellow"/>
              </w:rPr>
              <w:t>years</w:t>
            </w:r>
            <w:proofErr w:type="spellEnd"/>
            <w:r w:rsidRPr="00512CE3">
              <w:rPr>
                <w:rFonts w:ascii="Arial" w:hAnsi="Arial" w:cs="Arial"/>
                <w:sz w:val="20"/>
                <w:szCs w:val="20"/>
                <w:highlight w:val="yellow"/>
              </w:rPr>
              <w:t>.</w:t>
            </w:r>
            <w:r w:rsidRPr="00512CE3">
              <w:rPr>
                <w:rFonts w:ascii="Arial" w:hAnsi="Arial" w:cs="Arial"/>
                <w:sz w:val="20"/>
                <w:szCs w:val="20"/>
                <w:highlight w:val="yellow"/>
              </w:rPr>
              <w:br/>
            </w:r>
            <w:proofErr w:type="spellStart"/>
            <w:r w:rsidRPr="00512CE3">
              <w:rPr>
                <w:rFonts w:ascii="Arial" w:hAnsi="Arial" w:cs="Arial"/>
                <w:sz w:val="20"/>
                <w:szCs w:val="20"/>
                <w:highlight w:val="yellow"/>
              </w:rPr>
              <w:t>Radiographic</w:t>
            </w:r>
            <w:proofErr w:type="spellEnd"/>
            <w:r w:rsidRPr="00512CE3">
              <w:rPr>
                <w:rFonts w:ascii="Arial" w:hAnsi="Arial" w:cs="Arial"/>
                <w:sz w:val="20"/>
                <w:szCs w:val="20"/>
                <w:highlight w:val="yellow"/>
              </w:rPr>
              <w:t xml:space="preserve">: No </w:t>
            </w:r>
            <w:proofErr w:type="spellStart"/>
            <w:r w:rsidRPr="00512CE3">
              <w:rPr>
                <w:rFonts w:ascii="Arial" w:hAnsi="Arial" w:cs="Arial"/>
                <w:sz w:val="20"/>
                <w:szCs w:val="20"/>
                <w:highlight w:val="yellow"/>
              </w:rPr>
              <w:t>statistical</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differences</w:t>
            </w:r>
            <w:proofErr w:type="spellEnd"/>
            <w:r w:rsidRPr="00512CE3">
              <w:rPr>
                <w:rFonts w:ascii="Arial" w:hAnsi="Arial" w:cs="Arial"/>
                <w:sz w:val="20"/>
                <w:szCs w:val="20"/>
                <w:highlight w:val="yellow"/>
              </w:rPr>
              <w:t>.</w:t>
            </w:r>
          </w:p>
        </w:tc>
      </w:tr>
      <w:tr w:rsidR="00801D07" w:rsidRPr="001C503C" w14:paraId="107A5D9D" w14:textId="77777777" w:rsidTr="00827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dxa"/>
            <w:tcBorders>
              <w:right w:val="none" w:sz="0" w:space="0" w:color="auto"/>
            </w:tcBorders>
          </w:tcPr>
          <w:p w14:paraId="73F85AA0" w14:textId="77777777" w:rsidR="00801D07" w:rsidRPr="00512CE3" w:rsidRDefault="00801D07" w:rsidP="00DA41BF">
            <w:pPr>
              <w:rPr>
                <w:rFonts w:ascii="Arial" w:hAnsi="Arial" w:cs="Arial"/>
                <w:b w:val="0"/>
                <w:bCs w:val="0"/>
                <w:sz w:val="20"/>
                <w:szCs w:val="20"/>
                <w:highlight w:val="yellow"/>
              </w:rPr>
            </w:pPr>
            <w:r w:rsidRPr="00512CE3">
              <w:rPr>
                <w:rFonts w:ascii="Arial" w:hAnsi="Arial" w:cs="Arial"/>
                <w:sz w:val="20"/>
                <w:szCs w:val="20"/>
                <w:highlight w:val="yellow"/>
              </w:rPr>
              <w:t>Ismail et al. 2021</w:t>
            </w:r>
            <w:r w:rsidRPr="00512CE3">
              <w:rPr>
                <w:rFonts w:ascii="Arial" w:hAnsi="Arial" w:cs="Arial"/>
                <w:sz w:val="20"/>
                <w:szCs w:val="20"/>
                <w:highlight w:val="yellow"/>
                <w:vertAlign w:val="superscript"/>
              </w:rPr>
              <w:t>18</w:t>
            </w:r>
          </w:p>
        </w:tc>
        <w:tc>
          <w:tcPr>
            <w:tcW w:w="2053" w:type="dxa"/>
          </w:tcPr>
          <w:p w14:paraId="19B99062" w14:textId="77777777" w:rsidR="00801D07" w:rsidRPr="00512CE3" w:rsidRDefault="00801D07" w:rsidP="00DA41B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512CE3">
              <w:rPr>
                <w:rFonts w:ascii="Arial" w:hAnsi="Arial" w:cs="Arial"/>
                <w:sz w:val="20"/>
                <w:szCs w:val="20"/>
                <w:highlight w:val="yellow"/>
              </w:rPr>
              <w:t xml:space="preserve">PI, GI, BOP, PD, </w:t>
            </w:r>
            <w:proofErr w:type="spellStart"/>
            <w:r w:rsidRPr="00512CE3">
              <w:rPr>
                <w:rFonts w:ascii="Arial" w:hAnsi="Arial" w:cs="Arial"/>
                <w:sz w:val="20"/>
                <w:szCs w:val="20"/>
                <w:highlight w:val="yellow"/>
              </w:rPr>
              <w:t>Radiographic</w:t>
            </w:r>
            <w:proofErr w:type="spellEnd"/>
          </w:p>
        </w:tc>
        <w:tc>
          <w:tcPr>
            <w:tcW w:w="2047" w:type="dxa"/>
          </w:tcPr>
          <w:p w14:paraId="7EE4B46C" w14:textId="77777777" w:rsidR="00801D07" w:rsidRPr="00512CE3" w:rsidRDefault="00801D07" w:rsidP="00DA41B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512CE3">
              <w:rPr>
                <w:rFonts w:ascii="Arial" w:hAnsi="Arial" w:cs="Arial"/>
                <w:sz w:val="20"/>
                <w:szCs w:val="20"/>
                <w:highlight w:val="yellow"/>
              </w:rPr>
              <w:t xml:space="preserve">1.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1: </w:t>
            </w:r>
            <w:proofErr w:type="spellStart"/>
            <w:r w:rsidRPr="00512CE3">
              <w:rPr>
                <w:rFonts w:ascii="Arial" w:hAnsi="Arial" w:cs="Arial"/>
                <w:sz w:val="20"/>
                <w:szCs w:val="20"/>
                <w:highlight w:val="yellow"/>
              </w:rPr>
              <w:t>Tooth</w:t>
            </w:r>
            <w:proofErr w:type="spellEnd"/>
            <w:r w:rsidRPr="00512CE3">
              <w:rPr>
                <w:rFonts w:ascii="Arial" w:hAnsi="Arial" w:cs="Arial"/>
                <w:sz w:val="20"/>
                <w:szCs w:val="20"/>
                <w:highlight w:val="yellow"/>
              </w:rPr>
              <w:t xml:space="preserve"> 26 - </w:t>
            </w:r>
            <w:proofErr w:type="spellStart"/>
            <w:r w:rsidRPr="00512CE3">
              <w:rPr>
                <w:rFonts w:ascii="Arial" w:hAnsi="Arial" w:cs="Arial"/>
                <w:sz w:val="20"/>
                <w:szCs w:val="20"/>
                <w:highlight w:val="yellow"/>
              </w:rPr>
              <w:t>Activa</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bioactive</w:t>
            </w:r>
            <w:proofErr w:type="spellEnd"/>
            <w:r w:rsidRPr="00512CE3">
              <w:rPr>
                <w:rFonts w:ascii="Arial" w:hAnsi="Arial" w:cs="Arial"/>
                <w:sz w:val="20"/>
                <w:szCs w:val="20"/>
                <w:highlight w:val="yellow"/>
              </w:rPr>
              <w:br/>
              <w:t xml:space="preserve">2.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2: </w:t>
            </w:r>
            <w:proofErr w:type="spellStart"/>
            <w:r w:rsidRPr="00512CE3">
              <w:rPr>
                <w:rFonts w:ascii="Arial" w:hAnsi="Arial" w:cs="Arial"/>
                <w:sz w:val="20"/>
                <w:szCs w:val="20"/>
                <w:highlight w:val="yellow"/>
              </w:rPr>
              <w:t>Tooth</w:t>
            </w:r>
            <w:proofErr w:type="spellEnd"/>
            <w:r w:rsidRPr="00512CE3">
              <w:rPr>
                <w:rFonts w:ascii="Arial" w:hAnsi="Arial" w:cs="Arial"/>
                <w:sz w:val="20"/>
                <w:szCs w:val="20"/>
                <w:highlight w:val="yellow"/>
              </w:rPr>
              <w:t xml:space="preserve"> 27 - </w:t>
            </w:r>
            <w:proofErr w:type="spellStart"/>
            <w:r w:rsidRPr="00512CE3">
              <w:rPr>
                <w:rFonts w:ascii="Arial" w:hAnsi="Arial" w:cs="Arial"/>
                <w:sz w:val="20"/>
                <w:szCs w:val="20"/>
                <w:highlight w:val="yellow"/>
              </w:rPr>
              <w:t>Flowable</w:t>
            </w:r>
            <w:proofErr w:type="spellEnd"/>
            <w:r w:rsidRPr="00512CE3">
              <w:rPr>
                <w:rFonts w:ascii="Arial" w:hAnsi="Arial" w:cs="Arial"/>
                <w:sz w:val="20"/>
                <w:szCs w:val="20"/>
                <w:highlight w:val="yellow"/>
              </w:rPr>
              <w:t xml:space="preserve"> Bulk </w:t>
            </w:r>
            <w:proofErr w:type="spellStart"/>
            <w:r w:rsidRPr="00512CE3">
              <w:rPr>
                <w:rFonts w:ascii="Arial" w:hAnsi="Arial" w:cs="Arial"/>
                <w:sz w:val="20"/>
                <w:szCs w:val="20"/>
                <w:highlight w:val="yellow"/>
              </w:rPr>
              <w:t>Fill</w:t>
            </w:r>
            <w:proofErr w:type="spellEnd"/>
          </w:p>
        </w:tc>
        <w:tc>
          <w:tcPr>
            <w:tcW w:w="2052" w:type="dxa"/>
          </w:tcPr>
          <w:p w14:paraId="26EA959D" w14:textId="77777777" w:rsidR="00801D07" w:rsidRPr="00512CE3" w:rsidRDefault="00801D07" w:rsidP="00DA41B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512CE3">
              <w:rPr>
                <w:rFonts w:ascii="Arial" w:hAnsi="Arial" w:cs="Arial"/>
                <w:sz w:val="20"/>
                <w:szCs w:val="20"/>
                <w:highlight w:val="yellow"/>
              </w:rPr>
              <w:t xml:space="preserve">Both </w:t>
            </w:r>
            <w:proofErr w:type="spellStart"/>
            <w:r w:rsidRPr="00512CE3">
              <w:rPr>
                <w:rFonts w:ascii="Arial" w:hAnsi="Arial" w:cs="Arial"/>
                <w:sz w:val="20"/>
                <w:szCs w:val="20"/>
                <w:highlight w:val="yellow"/>
              </w:rPr>
              <w:t>teeth</w:t>
            </w:r>
            <w:proofErr w:type="spellEnd"/>
            <w:r w:rsidRPr="00512CE3">
              <w:rPr>
                <w:rFonts w:ascii="Arial" w:hAnsi="Arial" w:cs="Arial"/>
                <w:sz w:val="20"/>
                <w:szCs w:val="20"/>
                <w:highlight w:val="yellow"/>
              </w:rPr>
              <w:t xml:space="preserve"> (26 </w:t>
            </w:r>
            <w:proofErr w:type="spellStart"/>
            <w:r w:rsidRPr="00512CE3">
              <w:rPr>
                <w:rFonts w:ascii="Arial" w:hAnsi="Arial" w:cs="Arial"/>
                <w:sz w:val="20"/>
                <w:szCs w:val="20"/>
                <w:highlight w:val="yellow"/>
              </w:rPr>
              <w:t>and</w:t>
            </w:r>
            <w:proofErr w:type="spellEnd"/>
            <w:r w:rsidRPr="00512CE3">
              <w:rPr>
                <w:rFonts w:ascii="Arial" w:hAnsi="Arial" w:cs="Arial"/>
                <w:sz w:val="20"/>
                <w:szCs w:val="20"/>
                <w:highlight w:val="yellow"/>
              </w:rPr>
              <w:t xml:space="preserve"> 27):</w:t>
            </w:r>
            <w:r w:rsidRPr="00512CE3">
              <w:rPr>
                <w:rFonts w:ascii="Arial" w:hAnsi="Arial" w:cs="Arial"/>
                <w:sz w:val="20"/>
                <w:szCs w:val="20"/>
                <w:highlight w:val="yellow"/>
              </w:rPr>
              <w:br/>
              <w:t xml:space="preserve">PI: Baseline &lt; 6 </w:t>
            </w:r>
            <w:proofErr w:type="spellStart"/>
            <w:r w:rsidRPr="00512CE3">
              <w:rPr>
                <w:rFonts w:ascii="Arial" w:hAnsi="Arial" w:cs="Arial"/>
                <w:sz w:val="20"/>
                <w:szCs w:val="20"/>
                <w:highlight w:val="yellow"/>
              </w:rPr>
              <w:t>months</w:t>
            </w:r>
            <w:proofErr w:type="spellEnd"/>
            <w:r w:rsidRPr="00512CE3">
              <w:rPr>
                <w:rFonts w:ascii="Arial" w:hAnsi="Arial" w:cs="Arial"/>
                <w:sz w:val="20"/>
                <w:szCs w:val="20"/>
                <w:highlight w:val="yellow"/>
              </w:rPr>
              <w:br/>
              <w:t xml:space="preserve">GI: Baseline &lt; 6 </w:t>
            </w:r>
            <w:proofErr w:type="spellStart"/>
            <w:r w:rsidRPr="00512CE3">
              <w:rPr>
                <w:rFonts w:ascii="Arial" w:hAnsi="Arial" w:cs="Arial"/>
                <w:sz w:val="20"/>
                <w:szCs w:val="20"/>
                <w:highlight w:val="yellow"/>
              </w:rPr>
              <w:t>months</w:t>
            </w:r>
            <w:proofErr w:type="spellEnd"/>
            <w:r w:rsidRPr="00512CE3">
              <w:rPr>
                <w:rFonts w:ascii="Arial" w:hAnsi="Arial" w:cs="Arial"/>
                <w:sz w:val="20"/>
                <w:szCs w:val="20"/>
                <w:highlight w:val="yellow"/>
              </w:rPr>
              <w:br/>
              <w:t xml:space="preserve">BOP: Baseline &gt; 6 </w:t>
            </w:r>
            <w:proofErr w:type="spellStart"/>
            <w:r w:rsidRPr="00512CE3">
              <w:rPr>
                <w:rFonts w:ascii="Arial" w:hAnsi="Arial" w:cs="Arial"/>
                <w:sz w:val="20"/>
                <w:szCs w:val="20"/>
                <w:highlight w:val="yellow"/>
              </w:rPr>
              <w:t>months</w:t>
            </w:r>
            <w:proofErr w:type="spellEnd"/>
            <w:r w:rsidRPr="00512CE3">
              <w:rPr>
                <w:rFonts w:ascii="Arial" w:hAnsi="Arial" w:cs="Arial"/>
                <w:sz w:val="20"/>
                <w:szCs w:val="20"/>
                <w:highlight w:val="yellow"/>
              </w:rPr>
              <w:br/>
              <w:t xml:space="preserve">PD: Baseline &gt; 6 </w:t>
            </w:r>
            <w:proofErr w:type="spellStart"/>
            <w:r w:rsidRPr="00512CE3">
              <w:rPr>
                <w:rFonts w:ascii="Arial" w:hAnsi="Arial" w:cs="Arial"/>
                <w:sz w:val="20"/>
                <w:szCs w:val="20"/>
                <w:highlight w:val="yellow"/>
              </w:rPr>
              <w:t>months</w:t>
            </w:r>
            <w:proofErr w:type="spellEnd"/>
            <w:r w:rsidRPr="00512CE3">
              <w:rPr>
                <w:rFonts w:ascii="Arial" w:hAnsi="Arial" w:cs="Arial"/>
                <w:sz w:val="20"/>
                <w:szCs w:val="20"/>
                <w:highlight w:val="yellow"/>
              </w:rPr>
              <w:br/>
            </w:r>
            <w:proofErr w:type="spellStart"/>
            <w:r w:rsidRPr="00512CE3">
              <w:rPr>
                <w:rFonts w:ascii="Arial" w:hAnsi="Arial" w:cs="Arial"/>
                <w:sz w:val="20"/>
                <w:szCs w:val="20"/>
                <w:highlight w:val="yellow"/>
              </w:rPr>
              <w:t>Radiographic</w:t>
            </w:r>
            <w:proofErr w:type="spellEnd"/>
            <w:r w:rsidRPr="00512CE3">
              <w:rPr>
                <w:rFonts w:ascii="Arial" w:hAnsi="Arial" w:cs="Arial"/>
                <w:sz w:val="20"/>
                <w:szCs w:val="20"/>
                <w:highlight w:val="yellow"/>
              </w:rPr>
              <w:t xml:space="preserve">: Baseline &gt; 6 </w:t>
            </w:r>
            <w:proofErr w:type="spellStart"/>
            <w:r w:rsidRPr="00512CE3">
              <w:rPr>
                <w:rFonts w:ascii="Arial" w:hAnsi="Arial" w:cs="Arial"/>
                <w:sz w:val="20"/>
                <w:szCs w:val="20"/>
                <w:highlight w:val="yellow"/>
              </w:rPr>
              <w:t>months</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1); Baseline = 6 </w:t>
            </w:r>
            <w:proofErr w:type="spellStart"/>
            <w:r w:rsidRPr="00512CE3">
              <w:rPr>
                <w:rFonts w:ascii="Arial" w:hAnsi="Arial" w:cs="Arial"/>
                <w:sz w:val="20"/>
                <w:szCs w:val="20"/>
                <w:highlight w:val="yellow"/>
              </w:rPr>
              <w:t>months</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2).</w:t>
            </w:r>
          </w:p>
        </w:tc>
      </w:tr>
      <w:tr w:rsidR="00801D07" w:rsidRPr="001C503C" w14:paraId="5B103E2A" w14:textId="77777777" w:rsidTr="00827BC5">
        <w:tc>
          <w:tcPr>
            <w:cnfStyle w:val="001000000000" w:firstRow="0" w:lastRow="0" w:firstColumn="1" w:lastColumn="0" w:oddVBand="0" w:evenVBand="0" w:oddHBand="0" w:evenHBand="0" w:firstRowFirstColumn="0" w:firstRowLastColumn="0" w:lastRowFirstColumn="0" w:lastRowLastColumn="0"/>
            <w:tcW w:w="2056" w:type="dxa"/>
            <w:tcBorders>
              <w:right w:val="none" w:sz="0" w:space="0" w:color="auto"/>
            </w:tcBorders>
          </w:tcPr>
          <w:p w14:paraId="4165FEA4" w14:textId="77777777" w:rsidR="00801D07" w:rsidRPr="00512CE3" w:rsidRDefault="00801D07" w:rsidP="00DA41BF">
            <w:pPr>
              <w:rPr>
                <w:rFonts w:ascii="Arial" w:hAnsi="Arial" w:cs="Arial"/>
                <w:b w:val="0"/>
                <w:bCs w:val="0"/>
                <w:sz w:val="20"/>
                <w:szCs w:val="20"/>
                <w:highlight w:val="yellow"/>
              </w:rPr>
            </w:pPr>
            <w:r w:rsidRPr="00512CE3">
              <w:rPr>
                <w:rFonts w:ascii="Arial" w:hAnsi="Arial" w:cs="Arial"/>
                <w:sz w:val="20"/>
                <w:szCs w:val="20"/>
                <w:highlight w:val="yellow"/>
              </w:rPr>
              <w:t>Bertoldi et al. 2020</w:t>
            </w:r>
            <w:r w:rsidRPr="00512CE3">
              <w:rPr>
                <w:rFonts w:ascii="Arial" w:hAnsi="Arial" w:cs="Arial"/>
                <w:sz w:val="20"/>
                <w:szCs w:val="20"/>
                <w:highlight w:val="yellow"/>
                <w:vertAlign w:val="superscript"/>
              </w:rPr>
              <w:t>10</w:t>
            </w:r>
          </w:p>
        </w:tc>
        <w:tc>
          <w:tcPr>
            <w:tcW w:w="2053" w:type="dxa"/>
          </w:tcPr>
          <w:p w14:paraId="00E6B2AC" w14:textId="77777777" w:rsidR="00801D07" w:rsidRPr="00512CE3" w:rsidRDefault="00801D07" w:rsidP="00DA41B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512CE3">
              <w:rPr>
                <w:rFonts w:ascii="Arial" w:hAnsi="Arial" w:cs="Arial"/>
                <w:sz w:val="20"/>
                <w:szCs w:val="20"/>
                <w:highlight w:val="yellow"/>
              </w:rPr>
              <w:t>PI, BOP, PD, HS</w:t>
            </w:r>
          </w:p>
        </w:tc>
        <w:tc>
          <w:tcPr>
            <w:tcW w:w="2047" w:type="dxa"/>
          </w:tcPr>
          <w:p w14:paraId="2D6122D6" w14:textId="77777777" w:rsidR="00801D07" w:rsidRPr="00512CE3" w:rsidRDefault="00801D07" w:rsidP="00DA41B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512CE3">
              <w:rPr>
                <w:rFonts w:ascii="Arial" w:hAnsi="Arial" w:cs="Arial"/>
                <w:sz w:val="20"/>
                <w:szCs w:val="20"/>
                <w:highlight w:val="yellow"/>
              </w:rPr>
              <w:t xml:space="preserve">1.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A: </w:t>
            </w:r>
            <w:proofErr w:type="spellStart"/>
            <w:r w:rsidRPr="00512CE3">
              <w:rPr>
                <w:rFonts w:ascii="Arial" w:hAnsi="Arial" w:cs="Arial"/>
                <w:sz w:val="20"/>
                <w:szCs w:val="20"/>
                <w:highlight w:val="yellow"/>
              </w:rPr>
              <w:t>Control</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tooth</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substrates</w:t>
            </w:r>
            <w:proofErr w:type="spellEnd"/>
            <w:r w:rsidRPr="00512CE3">
              <w:rPr>
                <w:rFonts w:ascii="Arial" w:hAnsi="Arial" w:cs="Arial"/>
                <w:sz w:val="20"/>
                <w:szCs w:val="20"/>
                <w:highlight w:val="yellow"/>
              </w:rPr>
              <w:t>)</w:t>
            </w:r>
            <w:r w:rsidRPr="00512CE3">
              <w:rPr>
                <w:rFonts w:ascii="Arial" w:hAnsi="Arial" w:cs="Arial"/>
                <w:sz w:val="20"/>
                <w:szCs w:val="20"/>
                <w:highlight w:val="yellow"/>
              </w:rPr>
              <w:br/>
              <w:t xml:space="preserve">2.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B: Test (CMR </w:t>
            </w:r>
            <w:proofErr w:type="spellStart"/>
            <w:r w:rsidRPr="00512CE3">
              <w:rPr>
                <w:rFonts w:ascii="Arial" w:hAnsi="Arial" w:cs="Arial"/>
                <w:sz w:val="20"/>
                <w:szCs w:val="20"/>
                <w:highlight w:val="yellow"/>
              </w:rPr>
              <w:t>restorations</w:t>
            </w:r>
            <w:proofErr w:type="spellEnd"/>
            <w:r w:rsidRPr="00512CE3">
              <w:rPr>
                <w:rFonts w:ascii="Arial" w:hAnsi="Arial" w:cs="Arial"/>
                <w:sz w:val="20"/>
                <w:szCs w:val="20"/>
                <w:highlight w:val="yellow"/>
              </w:rPr>
              <w:t>)</w:t>
            </w:r>
          </w:p>
        </w:tc>
        <w:tc>
          <w:tcPr>
            <w:tcW w:w="2052" w:type="dxa"/>
          </w:tcPr>
          <w:p w14:paraId="028247FC" w14:textId="77777777" w:rsidR="00801D07" w:rsidRPr="00512CE3" w:rsidRDefault="00801D07" w:rsidP="00DA41B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512CE3">
              <w:rPr>
                <w:rFonts w:ascii="Arial" w:hAnsi="Arial" w:cs="Arial"/>
                <w:sz w:val="20"/>
                <w:szCs w:val="20"/>
                <w:highlight w:val="yellow"/>
              </w:rPr>
              <w:t xml:space="preserve">PI: Baseline &gt; 3 </w:t>
            </w:r>
            <w:proofErr w:type="spellStart"/>
            <w:r w:rsidRPr="00512CE3">
              <w:rPr>
                <w:rFonts w:ascii="Arial" w:hAnsi="Arial" w:cs="Arial"/>
                <w:sz w:val="20"/>
                <w:szCs w:val="20"/>
                <w:highlight w:val="yellow"/>
              </w:rPr>
              <w:t>months</w:t>
            </w:r>
            <w:proofErr w:type="spellEnd"/>
            <w:r w:rsidRPr="00512CE3">
              <w:rPr>
                <w:rFonts w:ascii="Arial" w:hAnsi="Arial" w:cs="Arial"/>
                <w:sz w:val="20"/>
                <w:szCs w:val="20"/>
                <w:highlight w:val="yellow"/>
              </w:rPr>
              <w:t xml:space="preserve"> (no </w:t>
            </w:r>
            <w:proofErr w:type="spellStart"/>
            <w:r w:rsidRPr="00512CE3">
              <w:rPr>
                <w:rFonts w:ascii="Arial" w:hAnsi="Arial" w:cs="Arial"/>
                <w:sz w:val="20"/>
                <w:szCs w:val="20"/>
                <w:highlight w:val="yellow"/>
              </w:rPr>
              <w:t>intergroup</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comparison</w:t>
            </w:r>
            <w:proofErr w:type="spellEnd"/>
            <w:r w:rsidRPr="00512CE3">
              <w:rPr>
                <w:rFonts w:ascii="Arial" w:hAnsi="Arial" w:cs="Arial"/>
                <w:sz w:val="20"/>
                <w:szCs w:val="20"/>
                <w:highlight w:val="yellow"/>
              </w:rPr>
              <w:t>);</w:t>
            </w:r>
            <w:r w:rsidRPr="00512CE3">
              <w:rPr>
                <w:rFonts w:ascii="Arial" w:hAnsi="Arial" w:cs="Arial"/>
                <w:sz w:val="20"/>
                <w:szCs w:val="20"/>
                <w:highlight w:val="yellow"/>
              </w:rPr>
              <w:br/>
              <w:t xml:space="preserve">BOP: Baseline &gt; 3 </w:t>
            </w:r>
            <w:proofErr w:type="spellStart"/>
            <w:r w:rsidRPr="00512CE3">
              <w:rPr>
                <w:rFonts w:ascii="Arial" w:hAnsi="Arial" w:cs="Arial"/>
                <w:sz w:val="20"/>
                <w:szCs w:val="20"/>
                <w:highlight w:val="yellow"/>
              </w:rPr>
              <w:t>months</w:t>
            </w:r>
            <w:proofErr w:type="spellEnd"/>
            <w:r w:rsidRPr="00512CE3">
              <w:rPr>
                <w:rFonts w:ascii="Arial" w:hAnsi="Arial" w:cs="Arial"/>
                <w:sz w:val="20"/>
                <w:szCs w:val="20"/>
                <w:highlight w:val="yellow"/>
              </w:rPr>
              <w:t xml:space="preserve"> (no </w:t>
            </w:r>
            <w:proofErr w:type="spellStart"/>
            <w:r w:rsidRPr="00512CE3">
              <w:rPr>
                <w:rFonts w:ascii="Arial" w:hAnsi="Arial" w:cs="Arial"/>
                <w:sz w:val="20"/>
                <w:szCs w:val="20"/>
                <w:highlight w:val="yellow"/>
              </w:rPr>
              <w:t>intergroup</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comparison</w:t>
            </w:r>
            <w:proofErr w:type="spellEnd"/>
            <w:r w:rsidRPr="00512CE3">
              <w:rPr>
                <w:rFonts w:ascii="Arial" w:hAnsi="Arial" w:cs="Arial"/>
                <w:sz w:val="20"/>
                <w:szCs w:val="20"/>
                <w:highlight w:val="yellow"/>
              </w:rPr>
              <w:t>);</w:t>
            </w:r>
            <w:r w:rsidRPr="00512CE3">
              <w:rPr>
                <w:rFonts w:ascii="Arial" w:hAnsi="Arial" w:cs="Arial"/>
                <w:sz w:val="20"/>
                <w:szCs w:val="20"/>
                <w:highlight w:val="yellow"/>
              </w:rPr>
              <w:br/>
              <w:t xml:space="preserve">PD: </w:t>
            </w:r>
            <w:proofErr w:type="spellStart"/>
            <w:r w:rsidRPr="00512CE3">
              <w:rPr>
                <w:rFonts w:ascii="Arial" w:hAnsi="Arial" w:cs="Arial"/>
                <w:sz w:val="20"/>
                <w:szCs w:val="20"/>
                <w:highlight w:val="yellow"/>
              </w:rPr>
              <w:t>Groups</w:t>
            </w:r>
            <w:proofErr w:type="spellEnd"/>
            <w:r w:rsidRPr="00512CE3">
              <w:rPr>
                <w:rFonts w:ascii="Arial" w:hAnsi="Arial" w:cs="Arial"/>
                <w:sz w:val="20"/>
                <w:szCs w:val="20"/>
                <w:highlight w:val="yellow"/>
              </w:rPr>
              <w:t xml:space="preserve"> A </w:t>
            </w:r>
            <w:proofErr w:type="spellStart"/>
            <w:r w:rsidRPr="00512CE3">
              <w:rPr>
                <w:rFonts w:ascii="Arial" w:hAnsi="Arial" w:cs="Arial"/>
                <w:sz w:val="20"/>
                <w:szCs w:val="20"/>
                <w:highlight w:val="yellow"/>
              </w:rPr>
              <w:t>and</w:t>
            </w:r>
            <w:proofErr w:type="spellEnd"/>
            <w:r w:rsidRPr="00512CE3">
              <w:rPr>
                <w:rFonts w:ascii="Arial" w:hAnsi="Arial" w:cs="Arial"/>
                <w:sz w:val="20"/>
                <w:szCs w:val="20"/>
                <w:highlight w:val="yellow"/>
              </w:rPr>
              <w:t xml:space="preserve"> B: Baseline &gt; 3 </w:t>
            </w:r>
            <w:proofErr w:type="spellStart"/>
            <w:r w:rsidRPr="00512CE3">
              <w:rPr>
                <w:rFonts w:ascii="Arial" w:hAnsi="Arial" w:cs="Arial"/>
                <w:sz w:val="20"/>
                <w:szCs w:val="20"/>
                <w:highlight w:val="yellow"/>
              </w:rPr>
              <w:t>months</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A &lt;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B.</w:t>
            </w:r>
            <w:r w:rsidRPr="00512CE3">
              <w:rPr>
                <w:rFonts w:ascii="Arial" w:hAnsi="Arial" w:cs="Arial"/>
                <w:sz w:val="20"/>
                <w:szCs w:val="20"/>
                <w:highlight w:val="yellow"/>
              </w:rPr>
              <w:br/>
              <w:t xml:space="preserve">HS: No </w:t>
            </w:r>
            <w:proofErr w:type="spellStart"/>
            <w:r w:rsidRPr="00512CE3">
              <w:rPr>
                <w:rFonts w:ascii="Arial" w:hAnsi="Arial" w:cs="Arial"/>
                <w:sz w:val="20"/>
                <w:szCs w:val="20"/>
                <w:highlight w:val="yellow"/>
              </w:rPr>
              <w:t>significant</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differences</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between</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groups</w:t>
            </w:r>
            <w:proofErr w:type="spellEnd"/>
            <w:r w:rsidRPr="00512CE3">
              <w:rPr>
                <w:rFonts w:ascii="Arial" w:hAnsi="Arial" w:cs="Arial"/>
                <w:sz w:val="20"/>
                <w:szCs w:val="20"/>
                <w:highlight w:val="yellow"/>
              </w:rPr>
              <w:t>.</w:t>
            </w:r>
          </w:p>
        </w:tc>
      </w:tr>
      <w:tr w:rsidR="00801D07" w:rsidRPr="001C503C" w14:paraId="24450D07" w14:textId="77777777" w:rsidTr="00827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dxa"/>
            <w:tcBorders>
              <w:right w:val="none" w:sz="0" w:space="0" w:color="auto"/>
            </w:tcBorders>
          </w:tcPr>
          <w:p w14:paraId="192DA884" w14:textId="77777777" w:rsidR="00801D07" w:rsidRPr="00512CE3" w:rsidRDefault="00801D07" w:rsidP="00DA41BF">
            <w:pPr>
              <w:rPr>
                <w:rFonts w:ascii="Arial" w:hAnsi="Arial" w:cs="Arial"/>
                <w:b w:val="0"/>
                <w:bCs w:val="0"/>
                <w:sz w:val="20"/>
                <w:szCs w:val="20"/>
                <w:highlight w:val="yellow"/>
              </w:rPr>
            </w:pPr>
            <w:r w:rsidRPr="00512CE3">
              <w:rPr>
                <w:rFonts w:ascii="Arial" w:hAnsi="Arial" w:cs="Arial"/>
                <w:sz w:val="20"/>
                <w:szCs w:val="20"/>
                <w:highlight w:val="yellow"/>
              </w:rPr>
              <w:lastRenderedPageBreak/>
              <w:t>Ghezzi et al. 2019</w:t>
            </w:r>
            <w:r w:rsidRPr="00512CE3">
              <w:rPr>
                <w:rFonts w:ascii="Arial" w:hAnsi="Arial" w:cs="Arial"/>
                <w:sz w:val="20"/>
                <w:szCs w:val="20"/>
                <w:highlight w:val="yellow"/>
                <w:vertAlign w:val="superscript"/>
              </w:rPr>
              <w:t>2</w:t>
            </w:r>
          </w:p>
        </w:tc>
        <w:tc>
          <w:tcPr>
            <w:tcW w:w="2053" w:type="dxa"/>
          </w:tcPr>
          <w:p w14:paraId="07A69B2F" w14:textId="77777777" w:rsidR="00801D07" w:rsidRPr="00512CE3" w:rsidRDefault="00801D07" w:rsidP="00DA41B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512CE3">
              <w:rPr>
                <w:rFonts w:ascii="Arial" w:hAnsi="Arial" w:cs="Arial"/>
                <w:sz w:val="20"/>
                <w:szCs w:val="20"/>
                <w:highlight w:val="yellow"/>
              </w:rPr>
              <w:t>BOP, PD</w:t>
            </w:r>
          </w:p>
        </w:tc>
        <w:tc>
          <w:tcPr>
            <w:tcW w:w="2047" w:type="dxa"/>
          </w:tcPr>
          <w:p w14:paraId="1D9C1BA4" w14:textId="77777777" w:rsidR="00801D07" w:rsidRPr="00512CE3" w:rsidRDefault="00801D07" w:rsidP="00DA41B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512CE3">
              <w:rPr>
                <w:rFonts w:ascii="Arial" w:hAnsi="Arial" w:cs="Arial"/>
                <w:sz w:val="20"/>
                <w:szCs w:val="20"/>
                <w:highlight w:val="yellow"/>
              </w:rPr>
              <w:t xml:space="preserve">1.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1: CMR </w:t>
            </w:r>
            <w:proofErr w:type="spellStart"/>
            <w:r w:rsidRPr="00512CE3">
              <w:rPr>
                <w:rFonts w:ascii="Arial" w:hAnsi="Arial" w:cs="Arial"/>
                <w:sz w:val="20"/>
                <w:szCs w:val="20"/>
                <w:highlight w:val="yellow"/>
              </w:rPr>
              <w:t>without</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surgery</w:t>
            </w:r>
            <w:proofErr w:type="spellEnd"/>
            <w:r w:rsidRPr="00512CE3">
              <w:rPr>
                <w:rFonts w:ascii="Arial" w:hAnsi="Arial" w:cs="Arial"/>
                <w:sz w:val="20"/>
                <w:szCs w:val="20"/>
                <w:highlight w:val="yellow"/>
              </w:rPr>
              <w:br/>
              <w:t xml:space="preserve">2.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2a: CMR </w:t>
            </w:r>
            <w:proofErr w:type="spellStart"/>
            <w:r w:rsidRPr="00512CE3">
              <w:rPr>
                <w:rFonts w:ascii="Arial" w:hAnsi="Arial" w:cs="Arial"/>
                <w:sz w:val="20"/>
                <w:szCs w:val="20"/>
                <w:highlight w:val="yellow"/>
              </w:rPr>
              <w:t>with</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gingival</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surgery</w:t>
            </w:r>
            <w:proofErr w:type="spellEnd"/>
            <w:r w:rsidRPr="00512CE3">
              <w:rPr>
                <w:rFonts w:ascii="Arial" w:hAnsi="Arial" w:cs="Arial"/>
                <w:sz w:val="20"/>
                <w:szCs w:val="20"/>
                <w:highlight w:val="yellow"/>
              </w:rPr>
              <w:br/>
              <w:t xml:space="preserve">3.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2b: CMR </w:t>
            </w:r>
            <w:proofErr w:type="spellStart"/>
            <w:r w:rsidRPr="00512CE3">
              <w:rPr>
                <w:rFonts w:ascii="Arial" w:hAnsi="Arial" w:cs="Arial"/>
                <w:sz w:val="20"/>
                <w:szCs w:val="20"/>
                <w:highlight w:val="yellow"/>
              </w:rPr>
              <w:t>with</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osseous</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surgery</w:t>
            </w:r>
            <w:proofErr w:type="spellEnd"/>
          </w:p>
        </w:tc>
        <w:tc>
          <w:tcPr>
            <w:tcW w:w="2052" w:type="dxa"/>
          </w:tcPr>
          <w:p w14:paraId="08DD1396" w14:textId="77777777" w:rsidR="00801D07" w:rsidRPr="00512CE3" w:rsidRDefault="00801D07" w:rsidP="00DA41B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512CE3">
              <w:rPr>
                <w:rFonts w:ascii="Arial" w:hAnsi="Arial" w:cs="Arial"/>
                <w:sz w:val="20"/>
                <w:szCs w:val="20"/>
                <w:highlight w:val="yellow"/>
              </w:rPr>
              <w:t xml:space="preserve">BOP: Baseline &gt; 1 </w:t>
            </w:r>
            <w:proofErr w:type="spellStart"/>
            <w:r w:rsidRPr="00512CE3">
              <w:rPr>
                <w:rFonts w:ascii="Arial" w:hAnsi="Arial" w:cs="Arial"/>
                <w:sz w:val="20"/>
                <w:szCs w:val="20"/>
                <w:highlight w:val="yellow"/>
              </w:rPr>
              <w:t>year</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1 =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2a =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2b.</w:t>
            </w:r>
            <w:r w:rsidRPr="00512CE3">
              <w:rPr>
                <w:rFonts w:ascii="Arial" w:hAnsi="Arial" w:cs="Arial"/>
                <w:sz w:val="20"/>
                <w:szCs w:val="20"/>
                <w:highlight w:val="yellow"/>
              </w:rPr>
              <w:br/>
              <w:t xml:space="preserve">PD: Baseline &gt; 1 </w:t>
            </w:r>
            <w:proofErr w:type="spellStart"/>
            <w:r w:rsidRPr="00512CE3">
              <w:rPr>
                <w:rFonts w:ascii="Arial" w:hAnsi="Arial" w:cs="Arial"/>
                <w:sz w:val="20"/>
                <w:szCs w:val="20"/>
                <w:highlight w:val="yellow"/>
              </w:rPr>
              <w:t>year</w:t>
            </w:r>
            <w:proofErr w:type="spellEnd"/>
            <w:r w:rsidRPr="00512CE3">
              <w:rPr>
                <w:rFonts w:ascii="Arial" w:hAnsi="Arial" w:cs="Arial"/>
                <w:sz w:val="20"/>
                <w:szCs w:val="20"/>
                <w:highlight w:val="yellow"/>
              </w:rPr>
              <w:t xml:space="preserve"> &gt; 8 </w:t>
            </w:r>
            <w:proofErr w:type="spellStart"/>
            <w:r w:rsidRPr="00512CE3">
              <w:rPr>
                <w:rFonts w:ascii="Arial" w:hAnsi="Arial" w:cs="Arial"/>
                <w:sz w:val="20"/>
                <w:szCs w:val="20"/>
                <w:highlight w:val="yellow"/>
              </w:rPr>
              <w:t>years</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1 =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2a =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2b.</w:t>
            </w:r>
          </w:p>
        </w:tc>
      </w:tr>
      <w:tr w:rsidR="00801D07" w:rsidRPr="001C503C" w14:paraId="6AEECA83" w14:textId="77777777" w:rsidTr="00827BC5">
        <w:tc>
          <w:tcPr>
            <w:cnfStyle w:val="001000000000" w:firstRow="0" w:lastRow="0" w:firstColumn="1" w:lastColumn="0" w:oddVBand="0" w:evenVBand="0" w:oddHBand="0" w:evenHBand="0" w:firstRowFirstColumn="0" w:firstRowLastColumn="0" w:lastRowFirstColumn="0" w:lastRowLastColumn="0"/>
            <w:tcW w:w="2056" w:type="dxa"/>
            <w:tcBorders>
              <w:bottom w:val="single" w:sz="4" w:space="0" w:color="auto"/>
              <w:right w:val="none" w:sz="0" w:space="0" w:color="auto"/>
            </w:tcBorders>
          </w:tcPr>
          <w:p w14:paraId="08118D7A" w14:textId="77777777" w:rsidR="00801D07" w:rsidRPr="00512CE3" w:rsidRDefault="00801D07" w:rsidP="00DA41BF">
            <w:pPr>
              <w:rPr>
                <w:rFonts w:ascii="Arial" w:hAnsi="Arial" w:cs="Arial"/>
                <w:b w:val="0"/>
                <w:bCs w:val="0"/>
                <w:sz w:val="20"/>
                <w:szCs w:val="20"/>
                <w:highlight w:val="yellow"/>
              </w:rPr>
            </w:pPr>
            <w:r w:rsidRPr="00512CE3">
              <w:rPr>
                <w:rFonts w:ascii="Arial" w:hAnsi="Arial" w:cs="Arial"/>
                <w:sz w:val="20"/>
                <w:szCs w:val="20"/>
                <w:highlight w:val="yellow"/>
              </w:rPr>
              <w:t>Ferrari et al. 2018</w:t>
            </w:r>
            <w:r w:rsidRPr="00512CE3">
              <w:rPr>
                <w:rFonts w:ascii="Arial" w:hAnsi="Arial" w:cs="Arial"/>
                <w:sz w:val="20"/>
                <w:szCs w:val="20"/>
                <w:highlight w:val="yellow"/>
                <w:vertAlign w:val="superscript"/>
              </w:rPr>
              <w:t>5</w:t>
            </w:r>
          </w:p>
        </w:tc>
        <w:tc>
          <w:tcPr>
            <w:tcW w:w="2053" w:type="dxa"/>
            <w:tcBorders>
              <w:bottom w:val="single" w:sz="4" w:space="0" w:color="auto"/>
            </w:tcBorders>
          </w:tcPr>
          <w:p w14:paraId="246D432F" w14:textId="77777777" w:rsidR="00801D07" w:rsidRPr="00512CE3" w:rsidRDefault="00801D07" w:rsidP="00DA41B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512CE3">
              <w:rPr>
                <w:rFonts w:ascii="Arial" w:hAnsi="Arial" w:cs="Arial"/>
                <w:sz w:val="20"/>
                <w:szCs w:val="20"/>
                <w:highlight w:val="yellow"/>
              </w:rPr>
              <w:t xml:space="preserve">PI, GI, BOP, PD, </w:t>
            </w:r>
            <w:proofErr w:type="spellStart"/>
            <w:r w:rsidRPr="00512CE3">
              <w:rPr>
                <w:rFonts w:ascii="Arial" w:hAnsi="Arial" w:cs="Arial"/>
                <w:sz w:val="20"/>
                <w:szCs w:val="20"/>
                <w:highlight w:val="yellow"/>
              </w:rPr>
              <w:t>Radiographic</w:t>
            </w:r>
            <w:proofErr w:type="spellEnd"/>
          </w:p>
        </w:tc>
        <w:tc>
          <w:tcPr>
            <w:tcW w:w="2047" w:type="dxa"/>
            <w:tcBorders>
              <w:bottom w:val="single" w:sz="4" w:space="0" w:color="auto"/>
            </w:tcBorders>
          </w:tcPr>
          <w:p w14:paraId="0EB72EF4" w14:textId="77777777" w:rsidR="00801D07" w:rsidRPr="00512CE3" w:rsidRDefault="00801D07" w:rsidP="00DA41B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512CE3">
              <w:rPr>
                <w:rFonts w:ascii="Arial" w:hAnsi="Arial" w:cs="Arial"/>
                <w:sz w:val="20"/>
                <w:szCs w:val="20"/>
                <w:highlight w:val="yellow"/>
              </w:rPr>
              <w:t xml:space="preserve">1.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1: Test (CMR </w:t>
            </w:r>
            <w:proofErr w:type="spellStart"/>
            <w:r w:rsidRPr="00512CE3">
              <w:rPr>
                <w:rFonts w:ascii="Arial" w:hAnsi="Arial" w:cs="Arial"/>
                <w:sz w:val="20"/>
                <w:szCs w:val="20"/>
                <w:highlight w:val="yellow"/>
              </w:rPr>
              <w:t>restorations</w:t>
            </w:r>
            <w:proofErr w:type="spellEnd"/>
            <w:r w:rsidRPr="00512CE3">
              <w:rPr>
                <w:rFonts w:ascii="Arial" w:hAnsi="Arial" w:cs="Arial"/>
                <w:sz w:val="20"/>
                <w:szCs w:val="20"/>
                <w:highlight w:val="yellow"/>
              </w:rPr>
              <w:t>)</w:t>
            </w:r>
            <w:r w:rsidRPr="00512CE3">
              <w:rPr>
                <w:rFonts w:ascii="Arial" w:hAnsi="Arial" w:cs="Arial"/>
                <w:sz w:val="20"/>
                <w:szCs w:val="20"/>
                <w:highlight w:val="yellow"/>
              </w:rPr>
              <w:br/>
              <w:t xml:space="preserve">2.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2: </w:t>
            </w:r>
            <w:proofErr w:type="spellStart"/>
            <w:r w:rsidRPr="00512CE3">
              <w:rPr>
                <w:rFonts w:ascii="Arial" w:hAnsi="Arial" w:cs="Arial"/>
                <w:sz w:val="20"/>
                <w:szCs w:val="20"/>
                <w:highlight w:val="yellow"/>
              </w:rPr>
              <w:t>Control</w:t>
            </w:r>
            <w:proofErr w:type="spellEnd"/>
          </w:p>
        </w:tc>
        <w:tc>
          <w:tcPr>
            <w:tcW w:w="2052" w:type="dxa"/>
            <w:tcBorders>
              <w:bottom w:val="single" w:sz="4" w:space="0" w:color="auto"/>
            </w:tcBorders>
          </w:tcPr>
          <w:p w14:paraId="2491080E" w14:textId="77777777" w:rsidR="00801D07" w:rsidRPr="00512CE3" w:rsidRDefault="00801D07" w:rsidP="00DA41B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512CE3">
              <w:rPr>
                <w:rFonts w:ascii="Arial" w:hAnsi="Arial" w:cs="Arial"/>
                <w:sz w:val="20"/>
                <w:szCs w:val="20"/>
                <w:highlight w:val="yellow"/>
              </w:rPr>
              <w:t xml:space="preserve">PI: Baseline &lt; 12 </w:t>
            </w:r>
            <w:proofErr w:type="spellStart"/>
            <w:r w:rsidRPr="00512CE3">
              <w:rPr>
                <w:rFonts w:ascii="Arial" w:hAnsi="Arial" w:cs="Arial"/>
                <w:sz w:val="20"/>
                <w:szCs w:val="20"/>
                <w:highlight w:val="yellow"/>
              </w:rPr>
              <w:t>months</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1 =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2.</w:t>
            </w:r>
            <w:r w:rsidRPr="00512CE3">
              <w:rPr>
                <w:rFonts w:ascii="Arial" w:hAnsi="Arial" w:cs="Arial"/>
                <w:sz w:val="20"/>
                <w:szCs w:val="20"/>
                <w:highlight w:val="yellow"/>
              </w:rPr>
              <w:br/>
              <w:t xml:space="preserve">GI: Baseline &lt; 12 </w:t>
            </w:r>
            <w:proofErr w:type="spellStart"/>
            <w:r w:rsidRPr="00512CE3">
              <w:rPr>
                <w:rFonts w:ascii="Arial" w:hAnsi="Arial" w:cs="Arial"/>
                <w:sz w:val="20"/>
                <w:szCs w:val="20"/>
                <w:highlight w:val="yellow"/>
              </w:rPr>
              <w:t>months</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1 =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2.</w:t>
            </w:r>
            <w:r w:rsidRPr="00512CE3">
              <w:rPr>
                <w:rFonts w:ascii="Arial" w:hAnsi="Arial" w:cs="Arial"/>
                <w:sz w:val="20"/>
                <w:szCs w:val="20"/>
                <w:highlight w:val="yellow"/>
              </w:rPr>
              <w:br/>
              <w:t xml:space="preserve">BOP: Baseline &lt; 12 </w:t>
            </w:r>
            <w:proofErr w:type="spellStart"/>
            <w:r w:rsidRPr="00512CE3">
              <w:rPr>
                <w:rFonts w:ascii="Arial" w:hAnsi="Arial" w:cs="Arial"/>
                <w:sz w:val="20"/>
                <w:szCs w:val="20"/>
                <w:highlight w:val="yellow"/>
              </w:rPr>
              <w:t>months</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1 &gt;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2.</w:t>
            </w:r>
            <w:r w:rsidRPr="00512CE3">
              <w:rPr>
                <w:rFonts w:ascii="Arial" w:hAnsi="Arial" w:cs="Arial"/>
                <w:sz w:val="20"/>
                <w:szCs w:val="20"/>
                <w:highlight w:val="yellow"/>
              </w:rPr>
              <w:br/>
              <w:t xml:space="preserve">PD: Baseline &lt; 12 </w:t>
            </w:r>
            <w:proofErr w:type="spellStart"/>
            <w:r w:rsidRPr="00512CE3">
              <w:rPr>
                <w:rFonts w:ascii="Arial" w:hAnsi="Arial" w:cs="Arial"/>
                <w:sz w:val="20"/>
                <w:szCs w:val="20"/>
                <w:highlight w:val="yellow"/>
              </w:rPr>
              <w:t>months</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1 = </w:t>
            </w:r>
            <w:proofErr w:type="spellStart"/>
            <w:r w:rsidRPr="00512CE3">
              <w:rPr>
                <w:rFonts w:ascii="Arial" w:hAnsi="Arial" w:cs="Arial"/>
                <w:sz w:val="20"/>
                <w:szCs w:val="20"/>
                <w:highlight w:val="yellow"/>
              </w:rPr>
              <w:t>Group</w:t>
            </w:r>
            <w:proofErr w:type="spellEnd"/>
            <w:r w:rsidRPr="00512CE3">
              <w:rPr>
                <w:rFonts w:ascii="Arial" w:hAnsi="Arial" w:cs="Arial"/>
                <w:sz w:val="20"/>
                <w:szCs w:val="20"/>
                <w:highlight w:val="yellow"/>
              </w:rPr>
              <w:t xml:space="preserve"> 2.</w:t>
            </w:r>
            <w:r w:rsidRPr="00512CE3">
              <w:rPr>
                <w:rFonts w:ascii="Arial" w:hAnsi="Arial" w:cs="Arial"/>
                <w:sz w:val="20"/>
                <w:szCs w:val="20"/>
                <w:highlight w:val="yellow"/>
              </w:rPr>
              <w:br/>
            </w:r>
            <w:proofErr w:type="spellStart"/>
            <w:r w:rsidRPr="00512CE3">
              <w:rPr>
                <w:rFonts w:ascii="Arial" w:hAnsi="Arial" w:cs="Arial"/>
                <w:sz w:val="20"/>
                <w:szCs w:val="20"/>
                <w:highlight w:val="yellow"/>
              </w:rPr>
              <w:t>Radiographic</w:t>
            </w:r>
            <w:proofErr w:type="spellEnd"/>
            <w:r w:rsidRPr="00512CE3">
              <w:rPr>
                <w:rFonts w:ascii="Arial" w:hAnsi="Arial" w:cs="Arial"/>
                <w:sz w:val="20"/>
                <w:szCs w:val="20"/>
                <w:highlight w:val="yellow"/>
              </w:rPr>
              <w:t xml:space="preserve">: No </w:t>
            </w:r>
            <w:proofErr w:type="spellStart"/>
            <w:r w:rsidRPr="00512CE3">
              <w:rPr>
                <w:rFonts w:ascii="Arial" w:hAnsi="Arial" w:cs="Arial"/>
                <w:sz w:val="20"/>
                <w:szCs w:val="20"/>
                <w:highlight w:val="yellow"/>
              </w:rPr>
              <w:t>significant</w:t>
            </w:r>
            <w:proofErr w:type="spellEnd"/>
            <w:r w:rsidRPr="00512CE3">
              <w:rPr>
                <w:rFonts w:ascii="Arial" w:hAnsi="Arial" w:cs="Arial"/>
                <w:sz w:val="20"/>
                <w:szCs w:val="20"/>
                <w:highlight w:val="yellow"/>
              </w:rPr>
              <w:t xml:space="preserve"> </w:t>
            </w:r>
            <w:proofErr w:type="spellStart"/>
            <w:r w:rsidRPr="00512CE3">
              <w:rPr>
                <w:rFonts w:ascii="Arial" w:hAnsi="Arial" w:cs="Arial"/>
                <w:sz w:val="20"/>
                <w:szCs w:val="20"/>
                <w:highlight w:val="yellow"/>
              </w:rPr>
              <w:t>differences</w:t>
            </w:r>
            <w:proofErr w:type="spellEnd"/>
            <w:r w:rsidRPr="00512CE3">
              <w:rPr>
                <w:rFonts w:ascii="Arial" w:hAnsi="Arial" w:cs="Arial"/>
                <w:sz w:val="20"/>
                <w:szCs w:val="20"/>
                <w:highlight w:val="yellow"/>
              </w:rPr>
              <w:t>.</w:t>
            </w:r>
          </w:p>
        </w:tc>
      </w:tr>
    </w:tbl>
    <w:p w14:paraId="1E37D44D" w14:textId="49FAA928" w:rsidR="00801D07" w:rsidRPr="00502516" w:rsidRDefault="00801D07" w:rsidP="00801D07">
      <w:pPr>
        <w:pStyle w:val="Body"/>
        <w:spacing w:after="0"/>
        <w:rPr>
          <w:rFonts w:ascii="Arial" w:hAnsi="Arial" w:cs="Arial"/>
        </w:rPr>
      </w:pPr>
      <w:r w:rsidRPr="00801D07">
        <w:rPr>
          <w:rFonts w:ascii="Arial" w:hAnsi="Arial" w:cs="Arial"/>
        </w:rPr>
        <w:t>Legend: PI: Plaque Index; GI: Gingival Index; BOP: Bleeding on Probing; PD: Probing Depth; HS: Histological Samples; Radiographic; RMGI: Resin-Modified Glass Ionomer; GH: Glass Hybrid; BULK FLOW: Flowable Composite Resin; ACTIVA: Ion-releasing dental resin.</w:t>
      </w:r>
    </w:p>
    <w:p w14:paraId="4FB30954" w14:textId="77777777" w:rsidR="00801D07" w:rsidRDefault="00801D07" w:rsidP="00441B6F">
      <w:pPr>
        <w:pStyle w:val="Body"/>
        <w:spacing w:after="0"/>
        <w:rPr>
          <w:rFonts w:ascii="Arial" w:hAnsi="Arial" w:cs="Arial"/>
        </w:rPr>
      </w:pPr>
    </w:p>
    <w:p w14:paraId="33C918A4" w14:textId="77777777" w:rsidR="00790ADA" w:rsidRPr="00FB3A86" w:rsidRDefault="00790ADA" w:rsidP="00441B6F">
      <w:pPr>
        <w:pStyle w:val="Body"/>
        <w:spacing w:after="0"/>
        <w:rPr>
          <w:rFonts w:ascii="Arial" w:hAnsi="Arial" w:cs="Arial"/>
        </w:rPr>
      </w:pPr>
    </w:p>
    <w:p w14:paraId="44C32019" w14:textId="3DECCF85" w:rsidR="00B01FCD" w:rsidRDefault="00000F8F" w:rsidP="00441B6F">
      <w:pPr>
        <w:pStyle w:val="ConcHead"/>
        <w:spacing w:after="0"/>
        <w:jc w:val="both"/>
        <w:rPr>
          <w:rFonts w:ascii="Arial" w:hAnsi="Arial" w:cs="Arial"/>
        </w:rPr>
      </w:pPr>
      <w:r>
        <w:rPr>
          <w:rFonts w:ascii="Arial" w:hAnsi="Arial" w:cs="Arial"/>
        </w:rPr>
        <w:t xml:space="preserve">4. </w:t>
      </w:r>
      <w:r w:rsidR="00801D07" w:rsidRPr="00801D07">
        <w:rPr>
          <w:rFonts w:ascii="Arial" w:hAnsi="Arial" w:cs="Arial"/>
        </w:rPr>
        <w:t>DISCUSSION</w:t>
      </w:r>
    </w:p>
    <w:p w14:paraId="7CF61468" w14:textId="77777777" w:rsidR="00801D07" w:rsidRDefault="00801D07" w:rsidP="00441B6F">
      <w:pPr>
        <w:pStyle w:val="ConcHead"/>
        <w:spacing w:after="0"/>
        <w:jc w:val="both"/>
        <w:rPr>
          <w:rFonts w:ascii="Arial" w:hAnsi="Arial" w:cs="Arial"/>
        </w:rPr>
      </w:pPr>
    </w:p>
    <w:p w14:paraId="5118F108" w14:textId="6339CA37" w:rsidR="00801D07" w:rsidRDefault="00435990" w:rsidP="00801D07">
      <w:pPr>
        <w:pStyle w:val="Body"/>
        <w:rPr>
          <w:rFonts w:ascii="Arial" w:hAnsi="Arial" w:cs="Arial"/>
        </w:rPr>
      </w:pPr>
      <w:r w:rsidRPr="00055DCF">
        <w:rPr>
          <w:rFonts w:ascii="Arial" w:hAnsi="Arial" w:cs="Arial"/>
          <w:color w:val="000000"/>
        </w:rPr>
        <w:t>Cervical margin relocation (CMR) has been extensively studied as an alternative to surgical crown lengthening (SCL), offering a minimally invasive approach for the restoration of teeth with subgingival margins. However, the findings of the present review suggest that the impact of CMR on periodontal health still raises concerns, particularly regarding its influence on periodontal parameters over time</w:t>
      </w:r>
      <w:r w:rsidR="00801D07" w:rsidRPr="00801D07">
        <w:rPr>
          <w:rFonts w:ascii="Arial" w:hAnsi="Arial" w:cs="Arial"/>
        </w:rPr>
        <w:t>.</w:t>
      </w:r>
      <w:r w:rsidR="00801D07">
        <w:rPr>
          <w:rFonts w:ascii="Arial" w:hAnsi="Arial" w:cs="Arial"/>
        </w:rPr>
        <w:t xml:space="preserve"> </w:t>
      </w:r>
    </w:p>
    <w:p w14:paraId="64100B73" w14:textId="77777777" w:rsidR="00086B46" w:rsidRDefault="00086B46" w:rsidP="00801D07">
      <w:pPr>
        <w:pStyle w:val="Body"/>
        <w:rPr>
          <w:rFonts w:ascii="Arial" w:hAnsi="Arial" w:cs="Arial"/>
          <w:color w:val="000000"/>
        </w:rPr>
      </w:pPr>
      <w:r w:rsidRPr="00055DCF">
        <w:rPr>
          <w:rFonts w:ascii="Arial" w:hAnsi="Arial" w:cs="Arial"/>
          <w:color w:val="000000"/>
        </w:rPr>
        <w:t xml:space="preserve">The results of the </w:t>
      </w:r>
      <w:proofErr w:type="gramStart"/>
      <w:r w:rsidRPr="00055DCF">
        <w:rPr>
          <w:rFonts w:ascii="Arial" w:hAnsi="Arial" w:cs="Arial"/>
          <w:color w:val="000000"/>
        </w:rPr>
        <w:t>analyzed studies</w:t>
      </w:r>
      <w:proofErr w:type="gramEnd"/>
      <w:r w:rsidRPr="00055DCF">
        <w:rPr>
          <w:rFonts w:ascii="Arial" w:hAnsi="Arial" w:cs="Arial"/>
          <w:color w:val="000000"/>
        </w:rPr>
        <w:t xml:space="preserve"> indicate that CMR was not associated with a significant worsening of the plaque index (PI) or gingival index (GI). This finding is relevant as it suggests that, when properly performed and combined with adequate oral hygiene control, the technique does not promote excessive biofilm accumulation or exacerbate gingival inflammatory processes [10]. Nevertheless, regarding bleeding on probing (BOP), the results are conflicting. While three studies reported a reduction in BOP over time, two studies pointed to an increase in BOP in the CMR groups, possibly due to marginal adaptation irregularities, restorative material retention, or invasion of the </w:t>
      </w:r>
      <w:proofErr w:type="gramStart"/>
      <w:r w:rsidRPr="00055DCF">
        <w:rPr>
          <w:rFonts w:ascii="Arial" w:hAnsi="Arial" w:cs="Arial"/>
          <w:color w:val="000000"/>
        </w:rPr>
        <w:t>biologic</w:t>
      </w:r>
      <w:proofErr w:type="gramEnd"/>
      <w:r w:rsidRPr="00055DCF">
        <w:rPr>
          <w:rFonts w:ascii="Arial" w:hAnsi="Arial" w:cs="Arial"/>
          <w:color w:val="000000"/>
        </w:rPr>
        <w:t xml:space="preserve"> width [10,19].</w:t>
      </w:r>
    </w:p>
    <w:p w14:paraId="63AD6BB5" w14:textId="3AA3011E" w:rsidR="00801D07" w:rsidRPr="00801D07" w:rsidRDefault="009F0B34" w:rsidP="00801D07">
      <w:pPr>
        <w:pStyle w:val="Body"/>
        <w:rPr>
          <w:rFonts w:ascii="Arial" w:hAnsi="Arial" w:cs="Arial"/>
        </w:rPr>
      </w:pPr>
      <w:r w:rsidRPr="00055DCF">
        <w:rPr>
          <w:rFonts w:ascii="Arial" w:hAnsi="Arial" w:cs="Arial"/>
          <w:color w:val="000000"/>
        </w:rPr>
        <w:t>Probing depth (PD) also exhibited variations among the studies analyzed. Most investigations indicated either a reduction or maintenance of PD during clinical follow-up, suggesting that CMR does not significantly alter the stability of periodontal tissues. However, Bertoldi et al. (2023) [10] reported a significant increase in PD in the CMR group, which may be explained by marginal adaptation failures, the presence of chronic inflammation, or difficulties in removing cement excess. These findings reinforce the need for rigorous technical and clinical control to ensure the biocompatibility of the technique</w:t>
      </w:r>
      <w:r w:rsidR="00801D07" w:rsidRPr="00801D07">
        <w:rPr>
          <w:rFonts w:ascii="Arial" w:hAnsi="Arial" w:cs="Arial"/>
        </w:rPr>
        <w:t>.</w:t>
      </w:r>
    </w:p>
    <w:p w14:paraId="0F09E76F" w14:textId="788E87E6" w:rsidR="00801D07" w:rsidRPr="00801D07" w:rsidRDefault="00B953A4" w:rsidP="00801D07">
      <w:pPr>
        <w:pStyle w:val="Body"/>
        <w:rPr>
          <w:rFonts w:ascii="Arial" w:hAnsi="Arial" w:cs="Arial"/>
        </w:rPr>
      </w:pPr>
      <w:r w:rsidRPr="00055DCF">
        <w:rPr>
          <w:rFonts w:ascii="Arial" w:hAnsi="Arial" w:cs="Arial"/>
          <w:color w:val="000000"/>
        </w:rPr>
        <w:lastRenderedPageBreak/>
        <w:t>The marginal adaptation of the restoration plays a fundamental role in periodontal health. When CMR is performed inadequately, with restorative material excess or marginal irregularities, there is an increased risk of biofilm retention and persistent gingival inflammation. This factor explains why some studies reported an increase in BOP and PD in CMR groups, while others found no significant differences compared to control groups [4,5,15]</w:t>
      </w:r>
      <w:r w:rsidR="00801D07" w:rsidRPr="00801D07">
        <w:rPr>
          <w:rFonts w:ascii="Arial" w:hAnsi="Arial" w:cs="Arial"/>
        </w:rPr>
        <w:t>.</w:t>
      </w:r>
    </w:p>
    <w:p w14:paraId="0A00374A" w14:textId="49BC4AED" w:rsidR="00801D07" w:rsidRPr="00801D07" w:rsidRDefault="00C74E5C" w:rsidP="00801D07">
      <w:pPr>
        <w:pStyle w:val="Body"/>
        <w:rPr>
          <w:rFonts w:ascii="Arial" w:hAnsi="Arial" w:cs="Arial"/>
        </w:rPr>
      </w:pPr>
      <w:r w:rsidRPr="00055DCF">
        <w:rPr>
          <w:rFonts w:ascii="Arial" w:hAnsi="Arial" w:cs="Arial"/>
          <w:color w:val="000000"/>
        </w:rPr>
        <w:t xml:space="preserve">Another essential aspect for the success of the technique is the preservation of the </w:t>
      </w:r>
      <w:proofErr w:type="spellStart"/>
      <w:r w:rsidRPr="00055DCF">
        <w:rPr>
          <w:rFonts w:ascii="Arial" w:hAnsi="Arial" w:cs="Arial"/>
          <w:color w:val="000000"/>
        </w:rPr>
        <w:t>supracrestal</w:t>
      </w:r>
      <w:proofErr w:type="spellEnd"/>
      <w:r w:rsidRPr="00055DCF">
        <w:rPr>
          <w:rFonts w:ascii="Arial" w:hAnsi="Arial" w:cs="Arial"/>
          <w:color w:val="000000"/>
        </w:rPr>
        <w:t xml:space="preserve"> tissue attachment. Studies have demonstrated that the distance between the cervical margin of the restoration and the alveolar bone crest should be at least 2 to 3 mm </w:t>
      </w:r>
      <w:proofErr w:type="gramStart"/>
      <w:r w:rsidRPr="00055DCF">
        <w:rPr>
          <w:rFonts w:ascii="Arial" w:hAnsi="Arial" w:cs="Arial"/>
          <w:color w:val="000000"/>
        </w:rPr>
        <w:t>in order to</w:t>
      </w:r>
      <w:proofErr w:type="gramEnd"/>
      <w:r w:rsidRPr="00055DCF">
        <w:rPr>
          <w:rFonts w:ascii="Arial" w:hAnsi="Arial" w:cs="Arial"/>
          <w:color w:val="000000"/>
        </w:rPr>
        <w:t xml:space="preserve"> minimize the inflammatory response of the periodontal tissues [2,19]. Invasion of this critical zone may result in persistent bleeding, gingival recession, and periodontal pocket formation, negatively impacting the longevity of the restoration and the health of the periodontium [19]</w:t>
      </w:r>
      <w:r w:rsidR="00801D07" w:rsidRPr="00801D07">
        <w:rPr>
          <w:rFonts w:ascii="Arial" w:hAnsi="Arial" w:cs="Arial"/>
        </w:rPr>
        <w:t>.</w:t>
      </w:r>
    </w:p>
    <w:p w14:paraId="4555BA92" w14:textId="0AD5394D" w:rsidR="00801D07" w:rsidRPr="00801D07" w:rsidRDefault="00801D07" w:rsidP="00801D07">
      <w:pPr>
        <w:pStyle w:val="Body"/>
        <w:rPr>
          <w:rFonts w:ascii="Arial" w:hAnsi="Arial" w:cs="Arial"/>
        </w:rPr>
      </w:pPr>
      <w:r w:rsidRPr="00801D07">
        <w:rPr>
          <w:rFonts w:ascii="Arial" w:hAnsi="Arial" w:cs="Arial"/>
        </w:rPr>
        <w:t xml:space="preserve">The comparison between different restorative materials used in CMR revealed similar results, regardless of the material employed, provided that the margins were maintained at least 2 mm above the alveolar crest and were adequately polished [4,18,19]. Materials such as composite resin, resin-modified glass ionomer (RMGI), glass hybrid (GH), bulk flow/bulk fill, and Activa Bioactive were analyzed and did not show significant differences in periodontal parameters. These findings reinforce the notion that technique and marginal adaptation are </w:t>
      </w:r>
      <w:r w:rsidR="00921861" w:rsidRPr="00921861">
        <w:rPr>
          <w:rFonts w:ascii="Arial" w:hAnsi="Arial" w:cs="Arial"/>
          <w:highlight w:val="yellow"/>
        </w:rPr>
        <w:t xml:space="preserve">the </w:t>
      </w:r>
      <w:r w:rsidRPr="00921861">
        <w:rPr>
          <w:rFonts w:ascii="Arial" w:hAnsi="Arial" w:cs="Arial"/>
          <w:highlight w:val="yellow"/>
        </w:rPr>
        <w:t xml:space="preserve">more </w:t>
      </w:r>
      <w:r w:rsidR="00921861" w:rsidRPr="00921861">
        <w:rPr>
          <w:rFonts w:ascii="Arial" w:hAnsi="Arial" w:cs="Arial"/>
          <w:highlight w:val="yellow"/>
        </w:rPr>
        <w:t xml:space="preserve">important </w:t>
      </w:r>
      <w:r w:rsidRPr="00921861">
        <w:rPr>
          <w:rFonts w:ascii="Arial" w:hAnsi="Arial" w:cs="Arial"/>
          <w:highlight w:val="yellow"/>
        </w:rPr>
        <w:t>determinant</w:t>
      </w:r>
      <w:r w:rsidRPr="00801D07">
        <w:rPr>
          <w:rFonts w:ascii="Arial" w:hAnsi="Arial" w:cs="Arial"/>
        </w:rPr>
        <w:t xml:space="preserve"> factors for the success of CMR than the choice of restorative material itself.</w:t>
      </w:r>
    </w:p>
    <w:p w14:paraId="2E142CD7" w14:textId="77777777" w:rsidR="00D458F1" w:rsidRPr="00055DCF" w:rsidRDefault="00D458F1" w:rsidP="00D458F1">
      <w:pPr>
        <w:pStyle w:val="NormalWeb"/>
        <w:jc w:val="both"/>
        <w:rPr>
          <w:rFonts w:ascii="Arial" w:hAnsi="Arial" w:cs="Arial"/>
          <w:color w:val="000000"/>
          <w:sz w:val="20"/>
          <w:szCs w:val="20"/>
        </w:rPr>
      </w:pPr>
      <w:r w:rsidRPr="00055DCF">
        <w:rPr>
          <w:rFonts w:ascii="Arial" w:hAnsi="Arial" w:cs="Arial"/>
          <w:color w:val="000000"/>
          <w:sz w:val="20"/>
          <w:szCs w:val="20"/>
        </w:rPr>
        <w:t xml:space="preserve">The use </w:t>
      </w:r>
      <w:proofErr w:type="spellStart"/>
      <w:r w:rsidRPr="00055DCF">
        <w:rPr>
          <w:rFonts w:ascii="Arial" w:hAnsi="Arial" w:cs="Arial"/>
          <w:color w:val="000000"/>
          <w:sz w:val="20"/>
          <w:szCs w:val="20"/>
        </w:rPr>
        <w:t>of</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refined</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techniques</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such</w:t>
      </w:r>
      <w:proofErr w:type="spellEnd"/>
      <w:r w:rsidRPr="00055DCF">
        <w:rPr>
          <w:rFonts w:ascii="Arial" w:hAnsi="Arial" w:cs="Arial"/>
          <w:color w:val="000000"/>
          <w:sz w:val="20"/>
          <w:szCs w:val="20"/>
        </w:rPr>
        <w:t xml:space="preserve"> as </w:t>
      </w:r>
      <w:proofErr w:type="spellStart"/>
      <w:r w:rsidRPr="00055DCF">
        <w:rPr>
          <w:rFonts w:ascii="Arial" w:hAnsi="Arial" w:cs="Arial"/>
          <w:color w:val="000000"/>
          <w:sz w:val="20"/>
          <w:szCs w:val="20"/>
        </w:rPr>
        <w:t>the</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snowplow</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technique</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has</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been</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shown</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to</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be</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effective</w:t>
      </w:r>
      <w:proofErr w:type="spellEnd"/>
      <w:r w:rsidRPr="00055DCF">
        <w:rPr>
          <w:rFonts w:ascii="Arial" w:hAnsi="Arial" w:cs="Arial"/>
          <w:color w:val="000000"/>
          <w:sz w:val="20"/>
          <w:szCs w:val="20"/>
        </w:rPr>
        <w:t xml:space="preserve"> in </w:t>
      </w:r>
      <w:proofErr w:type="spellStart"/>
      <w:r w:rsidRPr="00055DCF">
        <w:rPr>
          <w:rFonts w:ascii="Arial" w:hAnsi="Arial" w:cs="Arial"/>
          <w:color w:val="000000"/>
          <w:sz w:val="20"/>
          <w:szCs w:val="20"/>
        </w:rPr>
        <w:t>optimizing</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the</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distribution</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of</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restorative</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materials</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and</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preventing</w:t>
      </w:r>
      <w:proofErr w:type="spellEnd"/>
      <w:r w:rsidRPr="00055DCF">
        <w:rPr>
          <w:rFonts w:ascii="Arial" w:hAnsi="Arial" w:cs="Arial"/>
          <w:color w:val="000000"/>
          <w:sz w:val="20"/>
          <w:szCs w:val="20"/>
        </w:rPr>
        <w:t xml:space="preserve"> marginal </w:t>
      </w:r>
      <w:proofErr w:type="spellStart"/>
      <w:r w:rsidRPr="00055DCF">
        <w:rPr>
          <w:rFonts w:ascii="Arial" w:hAnsi="Arial" w:cs="Arial"/>
          <w:color w:val="000000"/>
          <w:sz w:val="20"/>
          <w:szCs w:val="20"/>
        </w:rPr>
        <w:t>failures</w:t>
      </w:r>
      <w:proofErr w:type="spellEnd"/>
      <w:r w:rsidRPr="00055DCF">
        <w:rPr>
          <w:rFonts w:ascii="Arial" w:hAnsi="Arial" w:cs="Arial"/>
          <w:color w:val="000000"/>
          <w:sz w:val="20"/>
          <w:szCs w:val="20"/>
        </w:rPr>
        <w:t xml:space="preserve"> [9]. </w:t>
      </w:r>
      <w:proofErr w:type="spellStart"/>
      <w:r w:rsidRPr="00055DCF">
        <w:rPr>
          <w:rFonts w:ascii="Arial" w:hAnsi="Arial" w:cs="Arial"/>
          <w:color w:val="000000"/>
          <w:sz w:val="20"/>
          <w:szCs w:val="20"/>
        </w:rPr>
        <w:t>Additionally</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studies</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emphasize</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the</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importance</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of</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selecting</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effective</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adhesive</w:t>
      </w:r>
      <w:proofErr w:type="spellEnd"/>
      <w:r w:rsidRPr="00055DCF">
        <w:rPr>
          <w:rFonts w:ascii="Arial" w:hAnsi="Arial" w:cs="Arial"/>
          <w:color w:val="000000"/>
          <w:sz w:val="20"/>
          <w:szCs w:val="20"/>
        </w:rPr>
        <w:t xml:space="preserve"> systems, </w:t>
      </w:r>
      <w:proofErr w:type="spellStart"/>
      <w:r w:rsidRPr="00055DCF">
        <w:rPr>
          <w:rFonts w:ascii="Arial" w:hAnsi="Arial" w:cs="Arial"/>
          <w:color w:val="000000"/>
          <w:sz w:val="20"/>
          <w:szCs w:val="20"/>
        </w:rPr>
        <w:t>highlighting</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three</w:t>
      </w:r>
      <w:proofErr w:type="spellEnd"/>
      <w:r w:rsidRPr="00055DCF">
        <w:rPr>
          <w:rFonts w:ascii="Arial" w:hAnsi="Arial" w:cs="Arial"/>
          <w:color w:val="000000"/>
          <w:sz w:val="20"/>
          <w:szCs w:val="20"/>
        </w:rPr>
        <w:t xml:space="preserve">-step </w:t>
      </w:r>
      <w:proofErr w:type="spellStart"/>
      <w:r w:rsidRPr="00055DCF">
        <w:rPr>
          <w:rFonts w:ascii="Arial" w:hAnsi="Arial" w:cs="Arial"/>
          <w:color w:val="000000"/>
          <w:sz w:val="20"/>
          <w:szCs w:val="20"/>
        </w:rPr>
        <w:t>etch-and-rinse</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and</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two</w:t>
      </w:r>
      <w:proofErr w:type="spellEnd"/>
      <w:r w:rsidRPr="00055DCF">
        <w:rPr>
          <w:rFonts w:ascii="Arial" w:hAnsi="Arial" w:cs="Arial"/>
          <w:color w:val="000000"/>
          <w:sz w:val="20"/>
          <w:szCs w:val="20"/>
        </w:rPr>
        <w:t>-step self-</w:t>
      </w:r>
      <w:proofErr w:type="spellStart"/>
      <w:r w:rsidRPr="00055DCF">
        <w:rPr>
          <w:rFonts w:ascii="Arial" w:hAnsi="Arial" w:cs="Arial"/>
          <w:color w:val="000000"/>
          <w:sz w:val="20"/>
          <w:szCs w:val="20"/>
        </w:rPr>
        <w:t>etch</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protocols</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which</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ensure</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better</w:t>
      </w:r>
      <w:proofErr w:type="spellEnd"/>
      <w:r w:rsidRPr="00055DCF">
        <w:rPr>
          <w:rFonts w:ascii="Arial" w:hAnsi="Arial" w:cs="Arial"/>
          <w:color w:val="000000"/>
          <w:sz w:val="20"/>
          <w:szCs w:val="20"/>
        </w:rPr>
        <w:t xml:space="preserve"> marginal </w:t>
      </w:r>
      <w:proofErr w:type="spellStart"/>
      <w:r w:rsidRPr="00055DCF">
        <w:rPr>
          <w:rFonts w:ascii="Arial" w:hAnsi="Arial" w:cs="Arial"/>
          <w:color w:val="000000"/>
          <w:sz w:val="20"/>
          <w:szCs w:val="20"/>
        </w:rPr>
        <w:t>sealing</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and</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higher</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adhesive</w:t>
      </w:r>
      <w:proofErr w:type="spellEnd"/>
      <w:r w:rsidRPr="00055DCF">
        <w:rPr>
          <w:rFonts w:ascii="Arial" w:hAnsi="Arial" w:cs="Arial"/>
          <w:color w:val="000000"/>
          <w:sz w:val="20"/>
          <w:szCs w:val="20"/>
        </w:rPr>
        <w:t xml:space="preserve"> </w:t>
      </w:r>
      <w:proofErr w:type="spellStart"/>
      <w:r w:rsidRPr="00055DCF">
        <w:rPr>
          <w:rFonts w:ascii="Arial" w:hAnsi="Arial" w:cs="Arial"/>
          <w:color w:val="000000"/>
          <w:sz w:val="20"/>
          <w:szCs w:val="20"/>
        </w:rPr>
        <w:t>strength</w:t>
      </w:r>
      <w:proofErr w:type="spellEnd"/>
      <w:r w:rsidRPr="00055DCF">
        <w:rPr>
          <w:rFonts w:ascii="Arial" w:hAnsi="Arial" w:cs="Arial"/>
          <w:color w:val="000000"/>
          <w:sz w:val="20"/>
          <w:szCs w:val="20"/>
        </w:rPr>
        <w:t xml:space="preserve"> [20].</w:t>
      </w:r>
    </w:p>
    <w:p w14:paraId="1CE9DDDB" w14:textId="77777777" w:rsidR="00801D07" w:rsidRPr="00801D07" w:rsidRDefault="00801D07" w:rsidP="00801D07">
      <w:pPr>
        <w:pStyle w:val="Body"/>
        <w:rPr>
          <w:rFonts w:ascii="Arial" w:hAnsi="Arial" w:cs="Arial"/>
        </w:rPr>
      </w:pPr>
      <w:r w:rsidRPr="00801D07">
        <w:rPr>
          <w:rFonts w:ascii="Arial" w:hAnsi="Arial" w:cs="Arial"/>
        </w:rPr>
        <w:t>Some studies included in this review applied the World Dental Federation (FDI) criteria to assess the durability and clinical performance of indirect restorations combined with CMR [15,19,21]. Esthetic, functional, and biological parameters such as gloss, color stability, marginal adaptation, fracture resistance, and patient perception were evaluated. No statistically significant differences were found between the materials compared, suggesting that correct execution of CMR is the critical factor for its longevity.</w:t>
      </w:r>
    </w:p>
    <w:p w14:paraId="52F0D933" w14:textId="5D876624" w:rsidR="00801D07" w:rsidRPr="00801D07" w:rsidRDefault="00801D07" w:rsidP="00801D07">
      <w:pPr>
        <w:pStyle w:val="Body"/>
        <w:rPr>
          <w:rFonts w:ascii="Arial" w:hAnsi="Arial" w:cs="Arial"/>
        </w:rPr>
      </w:pPr>
      <w:r w:rsidRPr="00801D07">
        <w:rPr>
          <w:rFonts w:ascii="Arial" w:hAnsi="Arial" w:cs="Arial"/>
        </w:rPr>
        <w:t xml:space="preserve">The literature also highlights the importance of proper removal of </w:t>
      </w:r>
      <w:r w:rsidRPr="000045B9">
        <w:rPr>
          <w:rFonts w:ascii="Arial" w:hAnsi="Arial" w:cs="Arial"/>
          <w:highlight w:val="yellow"/>
        </w:rPr>
        <w:t>excess</w:t>
      </w:r>
      <w:r w:rsidR="000045B9" w:rsidRPr="000045B9">
        <w:rPr>
          <w:rFonts w:ascii="Arial" w:hAnsi="Arial" w:cs="Arial"/>
          <w:highlight w:val="yellow"/>
        </w:rPr>
        <w:t xml:space="preserve"> cement</w:t>
      </w:r>
      <w:r w:rsidRPr="00801D07">
        <w:rPr>
          <w:rFonts w:ascii="Arial" w:hAnsi="Arial" w:cs="Arial"/>
        </w:rPr>
        <w:t>, as its retention can compromise periodontal tissues and lead to persistent inflammation. Studies emphasize that the cementation technique and restorative finishing directly influence the biological response of periodontal tissues [10].</w:t>
      </w:r>
    </w:p>
    <w:p w14:paraId="7CC94DAB" w14:textId="61EDC567" w:rsidR="00801D07" w:rsidRPr="00801D07" w:rsidRDefault="00801D07" w:rsidP="00801D07">
      <w:pPr>
        <w:pStyle w:val="Body"/>
        <w:rPr>
          <w:rFonts w:ascii="Arial" w:hAnsi="Arial" w:cs="Arial"/>
        </w:rPr>
      </w:pPr>
      <w:r w:rsidRPr="00801D07">
        <w:rPr>
          <w:rFonts w:ascii="Arial" w:hAnsi="Arial" w:cs="Arial"/>
        </w:rPr>
        <w:t>Periodontal phenotype is another important biological condition that should be evaluated before restorative procedures, although this parameter was not included in any of the studies analyzed. The placement of the cervical margin of restorations or prostheses within the sulcus area has been associated with the development of gingival recession, particularly in cases with thin</w:t>
      </w:r>
      <w:r w:rsidR="004D67A6">
        <w:rPr>
          <w:rFonts w:ascii="Arial" w:hAnsi="Arial" w:cs="Arial"/>
        </w:rPr>
        <w:t xml:space="preserve"> </w:t>
      </w:r>
      <w:r w:rsidR="004D67A6" w:rsidRPr="004D67A6">
        <w:rPr>
          <w:rFonts w:ascii="Arial" w:hAnsi="Arial" w:cs="Arial"/>
          <w:highlight w:val="yellow"/>
        </w:rPr>
        <w:t>gingival</w:t>
      </w:r>
      <w:r w:rsidRPr="00801D07">
        <w:rPr>
          <w:rFonts w:ascii="Arial" w:hAnsi="Arial" w:cs="Arial"/>
        </w:rPr>
        <w:t xml:space="preserve"> phenotype [</w:t>
      </w:r>
      <w:proofErr w:type="gramStart"/>
      <w:r w:rsidRPr="00801D07">
        <w:rPr>
          <w:rFonts w:ascii="Arial" w:hAnsi="Arial" w:cs="Arial"/>
        </w:rPr>
        <w:t>22</w:t>
      </w:r>
      <w:proofErr w:type="gramEnd"/>
      <w:r w:rsidRPr="00801D07">
        <w:rPr>
          <w:rFonts w:ascii="Arial" w:hAnsi="Arial" w:cs="Arial"/>
        </w:rPr>
        <w:t>].</w:t>
      </w:r>
    </w:p>
    <w:p w14:paraId="51B598A6" w14:textId="77777777" w:rsidR="00801D07" w:rsidRPr="00801D07" w:rsidRDefault="00801D07" w:rsidP="00801D07">
      <w:pPr>
        <w:pStyle w:val="Body"/>
        <w:rPr>
          <w:rFonts w:ascii="Arial" w:hAnsi="Arial" w:cs="Arial"/>
        </w:rPr>
      </w:pPr>
      <w:r w:rsidRPr="00801D07">
        <w:rPr>
          <w:rFonts w:ascii="Arial" w:hAnsi="Arial" w:cs="Arial"/>
        </w:rPr>
        <w:t>Although the findings of this review reinforce the feasibility of CMR, some methodological limitations must be considered. Most available studies present relatively short follow-up periods, ranging from 3 months to 3 years, with only one study evaluating the impact of the technique after 8 years [2]. Therefore, long-term follow-up studies are necessary to assess the periodontal stability and durability of restorations associated with CMR.</w:t>
      </w:r>
    </w:p>
    <w:p w14:paraId="3EADF7FD" w14:textId="77777777" w:rsidR="00801D07" w:rsidRPr="00801D07" w:rsidRDefault="00801D07" w:rsidP="00801D07">
      <w:pPr>
        <w:pStyle w:val="Body"/>
        <w:rPr>
          <w:rFonts w:ascii="Arial" w:hAnsi="Arial" w:cs="Arial"/>
        </w:rPr>
      </w:pPr>
      <w:r w:rsidRPr="00801D07">
        <w:rPr>
          <w:rFonts w:ascii="Arial" w:hAnsi="Arial" w:cs="Arial"/>
        </w:rPr>
        <w:lastRenderedPageBreak/>
        <w:t>Additionally, randomized controlled trials are still scarce, making it difficult to reach a definitive consensus regarding the periodontal impacts of CMR. Variables such as the type of restorative material, patient profile, operative technique, and oral hygiene control need to be better explored in future investigations.</w:t>
      </w:r>
    </w:p>
    <w:p w14:paraId="7280ECFE" w14:textId="77777777" w:rsidR="00A27CFD" w:rsidRPr="00A27CFD" w:rsidRDefault="00A27CFD" w:rsidP="00A27CFD">
      <w:pPr>
        <w:pStyle w:val="Body"/>
        <w:rPr>
          <w:rFonts w:ascii="Arial" w:hAnsi="Arial" w:cs="Arial"/>
          <w:lang w:val="pt-BR"/>
        </w:rPr>
      </w:pPr>
      <w:r w:rsidRPr="00A27CFD">
        <w:rPr>
          <w:rFonts w:ascii="Arial" w:hAnsi="Arial" w:cs="Arial"/>
          <w:highlight w:val="yellow"/>
          <w:lang w:val="pt-BR"/>
        </w:rPr>
        <w:t xml:space="preserve">Cervical </w:t>
      </w:r>
      <w:proofErr w:type="spellStart"/>
      <w:r w:rsidRPr="00A27CFD">
        <w:rPr>
          <w:rFonts w:ascii="Arial" w:hAnsi="Arial" w:cs="Arial"/>
          <w:highlight w:val="yellow"/>
          <w:lang w:val="pt-BR"/>
        </w:rPr>
        <w:t>margin</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relocation</w:t>
      </w:r>
      <w:proofErr w:type="spellEnd"/>
      <w:r w:rsidRPr="00A27CFD">
        <w:rPr>
          <w:rFonts w:ascii="Arial" w:hAnsi="Arial" w:cs="Arial"/>
          <w:highlight w:val="yellow"/>
          <w:lang w:val="pt-BR"/>
        </w:rPr>
        <w:t xml:space="preserve"> (CMR) </w:t>
      </w:r>
      <w:proofErr w:type="spellStart"/>
      <w:r w:rsidRPr="00A27CFD">
        <w:rPr>
          <w:rFonts w:ascii="Arial" w:hAnsi="Arial" w:cs="Arial"/>
          <w:highlight w:val="yellow"/>
          <w:lang w:val="pt-BR"/>
        </w:rPr>
        <w:t>is</w:t>
      </w:r>
      <w:proofErr w:type="spellEnd"/>
      <w:r w:rsidRPr="00A27CFD">
        <w:rPr>
          <w:rFonts w:ascii="Arial" w:hAnsi="Arial" w:cs="Arial"/>
          <w:highlight w:val="yellow"/>
          <w:lang w:val="pt-BR"/>
        </w:rPr>
        <w:t xml:space="preserve"> a </w:t>
      </w:r>
      <w:proofErr w:type="spellStart"/>
      <w:r w:rsidRPr="00A27CFD">
        <w:rPr>
          <w:rFonts w:ascii="Arial" w:hAnsi="Arial" w:cs="Arial"/>
          <w:highlight w:val="yellow"/>
          <w:lang w:val="pt-BR"/>
        </w:rPr>
        <w:t>minimally</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invasive</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alternative</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to</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crown</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lengthening</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that</w:t>
      </w:r>
      <w:proofErr w:type="spellEnd"/>
      <w:r w:rsidRPr="00A27CFD">
        <w:rPr>
          <w:rFonts w:ascii="Arial" w:hAnsi="Arial" w:cs="Arial"/>
          <w:highlight w:val="yellow"/>
          <w:lang w:val="pt-BR"/>
        </w:rPr>
        <w:t xml:space="preserve"> preserves </w:t>
      </w:r>
      <w:proofErr w:type="spellStart"/>
      <w:r w:rsidRPr="00A27CFD">
        <w:rPr>
          <w:rFonts w:ascii="Arial" w:hAnsi="Arial" w:cs="Arial"/>
          <w:highlight w:val="yellow"/>
          <w:lang w:val="pt-BR"/>
        </w:rPr>
        <w:t>both</w:t>
      </w:r>
      <w:proofErr w:type="spellEnd"/>
      <w:r w:rsidRPr="00A27CFD">
        <w:rPr>
          <w:rFonts w:ascii="Arial" w:hAnsi="Arial" w:cs="Arial"/>
          <w:highlight w:val="yellow"/>
          <w:lang w:val="pt-BR"/>
        </w:rPr>
        <w:t xml:space="preserve"> dental </w:t>
      </w:r>
      <w:proofErr w:type="spellStart"/>
      <w:r w:rsidRPr="00A27CFD">
        <w:rPr>
          <w:rFonts w:ascii="Arial" w:hAnsi="Arial" w:cs="Arial"/>
          <w:highlight w:val="yellow"/>
          <w:lang w:val="pt-BR"/>
        </w:rPr>
        <w:t>and</w:t>
      </w:r>
      <w:proofErr w:type="spellEnd"/>
      <w:r w:rsidRPr="00A27CFD">
        <w:rPr>
          <w:rFonts w:ascii="Arial" w:hAnsi="Arial" w:cs="Arial"/>
          <w:highlight w:val="yellow"/>
          <w:lang w:val="pt-BR"/>
        </w:rPr>
        <w:t xml:space="preserve"> periodontal </w:t>
      </w:r>
      <w:proofErr w:type="spellStart"/>
      <w:r w:rsidRPr="00A27CFD">
        <w:rPr>
          <w:rFonts w:ascii="Arial" w:hAnsi="Arial" w:cs="Arial"/>
          <w:highlight w:val="yellow"/>
          <w:lang w:val="pt-BR"/>
        </w:rPr>
        <w:t>structures</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when</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executed</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with</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precision</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and</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proper</w:t>
      </w:r>
      <w:proofErr w:type="spellEnd"/>
      <w:r w:rsidRPr="00A27CFD">
        <w:rPr>
          <w:rFonts w:ascii="Arial" w:hAnsi="Arial" w:cs="Arial"/>
          <w:highlight w:val="yellow"/>
          <w:lang w:val="pt-BR"/>
        </w:rPr>
        <w:t xml:space="preserve"> follow-up [6]. </w:t>
      </w:r>
      <w:proofErr w:type="spellStart"/>
      <w:r w:rsidRPr="00A27CFD">
        <w:rPr>
          <w:rFonts w:ascii="Arial" w:hAnsi="Arial" w:cs="Arial"/>
          <w:highlight w:val="yellow"/>
          <w:lang w:val="pt-BR"/>
        </w:rPr>
        <w:t>However</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successful</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application</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of</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this</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technique</w:t>
      </w:r>
      <w:proofErr w:type="spellEnd"/>
      <w:r w:rsidRPr="00A27CFD">
        <w:rPr>
          <w:rFonts w:ascii="Arial" w:hAnsi="Arial" w:cs="Arial"/>
          <w:highlight w:val="yellow"/>
          <w:lang w:val="pt-BR"/>
        </w:rPr>
        <w:t xml:space="preserve"> requires </w:t>
      </w:r>
      <w:proofErr w:type="spellStart"/>
      <w:r w:rsidRPr="00A27CFD">
        <w:rPr>
          <w:rFonts w:ascii="Arial" w:hAnsi="Arial" w:cs="Arial"/>
          <w:highlight w:val="yellow"/>
          <w:lang w:val="pt-BR"/>
        </w:rPr>
        <w:t>strict</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technical</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control</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adherence</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to</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biologic</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limits</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and</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careful</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selection</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of</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restorative</w:t>
      </w:r>
      <w:proofErr w:type="spellEnd"/>
      <w:r w:rsidRPr="00A27CFD">
        <w:rPr>
          <w:rFonts w:ascii="Arial" w:hAnsi="Arial" w:cs="Arial"/>
          <w:highlight w:val="yellow"/>
          <w:lang w:val="pt-BR"/>
        </w:rPr>
        <w:t xml:space="preserve"> </w:t>
      </w:r>
      <w:proofErr w:type="spellStart"/>
      <w:r w:rsidRPr="00A27CFD">
        <w:rPr>
          <w:rFonts w:ascii="Arial" w:hAnsi="Arial" w:cs="Arial"/>
          <w:highlight w:val="yellow"/>
          <w:lang w:val="pt-BR"/>
        </w:rPr>
        <w:t>materials</w:t>
      </w:r>
      <w:proofErr w:type="spellEnd"/>
      <w:r w:rsidRPr="00A27CFD">
        <w:rPr>
          <w:rFonts w:ascii="Arial" w:hAnsi="Arial" w:cs="Arial"/>
          <w:highlight w:val="yellow"/>
          <w:lang w:val="pt-BR"/>
        </w:rPr>
        <w:t>.</w:t>
      </w:r>
    </w:p>
    <w:p w14:paraId="64E76D3A" w14:textId="743C4065" w:rsidR="00801D07" w:rsidRDefault="00801D07" w:rsidP="007B6621">
      <w:pPr>
        <w:pStyle w:val="Body"/>
        <w:rPr>
          <w:rFonts w:ascii="Arial" w:hAnsi="Arial" w:cs="Arial"/>
        </w:rPr>
      </w:pPr>
      <w:r w:rsidRPr="00801D07">
        <w:rPr>
          <w:rFonts w:ascii="Arial" w:hAnsi="Arial" w:cs="Arial"/>
        </w:rPr>
        <w:t>Future research should continue to investigate the long-term effects of CMR, exploring new restorative materials, cementation strategies, and technical refinements to maximize the biocompatibility and periodontal safety of the technique.</w:t>
      </w:r>
    </w:p>
    <w:p w14:paraId="67A09275" w14:textId="77777777" w:rsidR="00801D07" w:rsidRDefault="00801D07" w:rsidP="00801D07">
      <w:pPr>
        <w:pStyle w:val="Body"/>
        <w:spacing w:after="0"/>
        <w:rPr>
          <w:rFonts w:ascii="Arial" w:hAnsi="Arial" w:cs="Arial"/>
        </w:rPr>
      </w:pPr>
    </w:p>
    <w:p w14:paraId="4234A226" w14:textId="77777777" w:rsidR="00801D07" w:rsidRDefault="00801D07" w:rsidP="00441B6F">
      <w:pPr>
        <w:pStyle w:val="ConcHead"/>
        <w:spacing w:after="0"/>
        <w:jc w:val="both"/>
        <w:rPr>
          <w:rFonts w:ascii="Arial" w:hAnsi="Arial" w:cs="Arial"/>
        </w:rPr>
      </w:pPr>
    </w:p>
    <w:p w14:paraId="407C9AA3" w14:textId="77777777" w:rsidR="00801D07" w:rsidRDefault="00801D07" w:rsidP="00441B6F">
      <w:pPr>
        <w:pStyle w:val="ConcHead"/>
        <w:spacing w:after="0"/>
        <w:jc w:val="both"/>
        <w:rPr>
          <w:rFonts w:ascii="Arial" w:hAnsi="Arial" w:cs="Arial"/>
        </w:rPr>
      </w:pPr>
    </w:p>
    <w:p w14:paraId="36BA7A49" w14:textId="05E7D97C" w:rsidR="00801D07" w:rsidRDefault="00801D07" w:rsidP="00801D07">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68FBC4AD" w14:textId="77777777" w:rsidR="00801D07" w:rsidRDefault="00801D07" w:rsidP="00441B6F">
      <w:pPr>
        <w:pStyle w:val="ConcHead"/>
        <w:spacing w:after="0"/>
        <w:jc w:val="both"/>
        <w:rPr>
          <w:rFonts w:ascii="Arial" w:hAnsi="Arial" w:cs="Arial"/>
        </w:rPr>
      </w:pPr>
    </w:p>
    <w:p w14:paraId="6310131B" w14:textId="77777777" w:rsidR="00801D07" w:rsidRPr="00801D07" w:rsidRDefault="00801D07" w:rsidP="00801D07">
      <w:pPr>
        <w:pStyle w:val="Body"/>
        <w:rPr>
          <w:rFonts w:ascii="Arial" w:hAnsi="Arial" w:cs="Arial"/>
        </w:rPr>
      </w:pPr>
      <w:r w:rsidRPr="00801D07">
        <w:rPr>
          <w:rFonts w:ascii="Arial" w:hAnsi="Arial" w:cs="Arial"/>
        </w:rPr>
        <w:t>The analyzed studies indicate that cervical margin relocation (CMR), when properly executed, does not compromise periodontal indices, representing a viable alternative to crown lengthening. However, the success of the technique depends on respecting the biological width, ensuring that the cervical margin is positioned at least 2 mm away from the alveolar bone crest.</w:t>
      </w:r>
    </w:p>
    <w:p w14:paraId="461D8045" w14:textId="1D5D0EA7" w:rsidR="00801D07" w:rsidRPr="00801D07" w:rsidRDefault="00801D07" w:rsidP="00801D07">
      <w:pPr>
        <w:pStyle w:val="Body"/>
        <w:rPr>
          <w:rFonts w:ascii="Arial" w:hAnsi="Arial" w:cs="Arial"/>
        </w:rPr>
      </w:pPr>
      <w:r w:rsidRPr="00801D07">
        <w:rPr>
          <w:rFonts w:ascii="Arial" w:hAnsi="Arial" w:cs="Arial"/>
        </w:rPr>
        <w:t>In addition, the patient's oral hygiene and regular periodontal maintenance are essential to minimize inflammation and preserve gingival health. Clinicians must master the technique and regularly monitor bleeding on probing (BOP) and probing depth (PD) to prevent invasion of the biological width.</w:t>
      </w:r>
    </w:p>
    <w:p w14:paraId="3D34ADFD" w14:textId="029AFF39" w:rsidR="00801D07" w:rsidRDefault="00801D07" w:rsidP="00801D07">
      <w:pPr>
        <w:pStyle w:val="Body"/>
        <w:spacing w:after="0"/>
        <w:rPr>
          <w:rFonts w:ascii="Arial" w:hAnsi="Arial" w:cs="Arial"/>
        </w:rPr>
      </w:pPr>
      <w:r w:rsidRPr="00801D07">
        <w:rPr>
          <w:rFonts w:ascii="Arial" w:hAnsi="Arial" w:cs="Arial"/>
        </w:rPr>
        <w:t>Finally, the selection of biocompatible materials and precise marginal adaptation are crucial to avoid plaque retention and restorative failures, ensuring periodontal stability and the longevity of the restorations.</w:t>
      </w:r>
    </w:p>
    <w:p w14:paraId="0F3DD319" w14:textId="51D83210" w:rsidR="00E90F4F" w:rsidRDefault="00E90F4F" w:rsidP="00801D07">
      <w:pPr>
        <w:pStyle w:val="Body"/>
        <w:spacing w:after="0"/>
        <w:rPr>
          <w:rFonts w:ascii="Arial" w:hAnsi="Arial" w:cs="Arial"/>
        </w:rPr>
      </w:pPr>
    </w:p>
    <w:p w14:paraId="5F73EBB2" w14:textId="77777777" w:rsidR="00E90F4F" w:rsidRDefault="00E90F4F" w:rsidP="00E90F4F">
      <w:pPr>
        <w:rPr>
          <w:rFonts w:ascii="Calibri" w:eastAsia="Calibri" w:hAnsi="Calibri"/>
          <w:kern w:val="2"/>
          <w:highlight w:val="yellow"/>
        </w:rPr>
      </w:pPr>
      <w:bookmarkStart w:id="0" w:name="_Hlk204003461"/>
      <w:bookmarkStart w:id="1" w:name="_Hlk209007716"/>
      <w:r>
        <w:rPr>
          <w:rFonts w:ascii="Calibri" w:eastAsia="Calibri" w:hAnsi="Calibri"/>
          <w:kern w:val="2"/>
          <w:highlight w:val="yellow"/>
        </w:rPr>
        <w:t>Disclaimer (Artificial intelligence)</w:t>
      </w:r>
    </w:p>
    <w:p w14:paraId="7D25E234" w14:textId="77777777" w:rsidR="00E90F4F" w:rsidRDefault="00E90F4F" w:rsidP="00E90F4F">
      <w:pPr>
        <w:rPr>
          <w:rFonts w:ascii="Calibri" w:eastAsia="Calibri" w:hAnsi="Calibri"/>
          <w:kern w:val="2"/>
          <w:highlight w:val="yellow"/>
        </w:rPr>
      </w:pPr>
      <w:r>
        <w:rPr>
          <w:rFonts w:ascii="Calibri" w:eastAsia="Calibri" w:hAnsi="Calibri"/>
          <w:kern w:val="2"/>
          <w:highlight w:val="yellow"/>
        </w:rPr>
        <w:t>Option 1:</w:t>
      </w:r>
    </w:p>
    <w:p w14:paraId="3163DD3A" w14:textId="77777777" w:rsidR="00E90F4F" w:rsidRDefault="00E90F4F" w:rsidP="00E90F4F">
      <w:pPr>
        <w:rPr>
          <w:rFonts w:ascii="Calibri" w:eastAsia="Calibri" w:hAnsi="Calibri"/>
          <w:kern w:val="2"/>
          <w:highlight w:val="yellow"/>
        </w:rPr>
      </w:pPr>
      <w:r>
        <w:rPr>
          <w:rFonts w:ascii="Calibri" w:eastAsia="Calibri" w:hAnsi="Calibri"/>
          <w:kern w:val="2"/>
          <w:highlight w:val="yellow"/>
        </w:rPr>
        <w:t xml:space="preserve">Author(s) hereby </w:t>
      </w:r>
      <w:proofErr w:type="gramStart"/>
      <w:r>
        <w:rPr>
          <w:rFonts w:ascii="Calibri" w:eastAsia="Calibri" w:hAnsi="Calibri"/>
          <w:kern w:val="2"/>
          <w:highlight w:val="yellow"/>
        </w:rPr>
        <w:t>declare</w:t>
      </w:r>
      <w:proofErr w:type="gramEnd"/>
      <w:r>
        <w:rPr>
          <w:rFonts w:ascii="Calibri" w:eastAsia="Calibri" w:hAnsi="Calibri"/>
          <w:kern w:val="2"/>
          <w:highlight w:val="yellow"/>
        </w:rPr>
        <w:t xml:space="preserve"> that NO generative AI technologies such as Large Language Models (ChatGPT, COPILOT, etc.) and text-to-image generators have been used during the writing or editing of this manuscript. </w:t>
      </w:r>
    </w:p>
    <w:p w14:paraId="5F2AC91E" w14:textId="77777777" w:rsidR="00E90F4F" w:rsidRDefault="00E90F4F" w:rsidP="00E90F4F">
      <w:pPr>
        <w:rPr>
          <w:rFonts w:ascii="Calibri" w:eastAsia="Calibri" w:hAnsi="Calibri"/>
          <w:kern w:val="2"/>
          <w:highlight w:val="yellow"/>
        </w:rPr>
      </w:pPr>
      <w:r>
        <w:rPr>
          <w:rFonts w:ascii="Calibri" w:eastAsia="Calibri" w:hAnsi="Calibri"/>
          <w:kern w:val="2"/>
          <w:highlight w:val="yellow"/>
        </w:rPr>
        <w:t xml:space="preserve">Option 2: </w:t>
      </w:r>
    </w:p>
    <w:p w14:paraId="077275F1" w14:textId="77777777" w:rsidR="00E90F4F" w:rsidRDefault="00E90F4F" w:rsidP="00E90F4F">
      <w:pPr>
        <w:rPr>
          <w:rFonts w:ascii="Calibri" w:eastAsia="Calibri" w:hAnsi="Calibri"/>
          <w:kern w:val="2"/>
          <w:highlight w:val="yellow"/>
        </w:rPr>
      </w:pPr>
      <w:r>
        <w:rPr>
          <w:rFonts w:ascii="Calibri" w:eastAsia="Calibri" w:hAnsi="Calibri"/>
          <w:kern w:val="2"/>
          <w:highlight w:val="yellow"/>
        </w:rPr>
        <w:t xml:space="preserve">Author(s) hereby </w:t>
      </w:r>
      <w:proofErr w:type="gramStart"/>
      <w:r>
        <w:rPr>
          <w:rFonts w:ascii="Calibri" w:eastAsia="Calibri" w:hAnsi="Calibri"/>
          <w:kern w:val="2"/>
          <w:highlight w:val="yellow"/>
        </w:rPr>
        <w:t>declare</w:t>
      </w:r>
      <w:proofErr w:type="gramEnd"/>
      <w:r>
        <w:rPr>
          <w:rFonts w:ascii="Calibri" w:eastAsia="Calibri" w:hAnsi="Calibri"/>
          <w:kern w:val="2"/>
          <w:highlight w:val="yellow"/>
        </w:rPr>
        <w:t xml:space="preserve"> that </w:t>
      </w:r>
      <w:proofErr w:type="spellStart"/>
      <w:r>
        <w:rPr>
          <w:rFonts w:ascii="Calibri" w:eastAsia="Calibri" w:hAnsi="Calibri"/>
          <w:kern w:val="2"/>
          <w:highlight w:val="yellow"/>
        </w:rPr>
        <w:t>generativ</w:t>
      </w:r>
      <w:proofErr w:type="spellEnd"/>
      <w:r>
        <w:rPr>
          <w:rFonts w:ascii="Calibri" w:eastAsia="Calibri" w:hAnsi="Calibri"/>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D23638F" w14:textId="77777777" w:rsidR="00E90F4F" w:rsidRDefault="00E90F4F" w:rsidP="00E90F4F">
      <w:pPr>
        <w:rPr>
          <w:rFonts w:ascii="Calibri" w:eastAsia="Calibri" w:hAnsi="Calibri"/>
          <w:kern w:val="2"/>
          <w:highlight w:val="yellow"/>
        </w:rPr>
      </w:pPr>
      <w:r>
        <w:rPr>
          <w:rFonts w:ascii="Calibri" w:eastAsia="Calibri" w:hAnsi="Calibri"/>
          <w:kern w:val="2"/>
          <w:highlight w:val="yellow"/>
        </w:rPr>
        <w:t>Details of the AI usage are given below:</w:t>
      </w:r>
    </w:p>
    <w:p w14:paraId="61AF49F3" w14:textId="77777777" w:rsidR="00E90F4F" w:rsidRDefault="00E90F4F" w:rsidP="00E90F4F">
      <w:pPr>
        <w:rPr>
          <w:rFonts w:ascii="Calibri" w:eastAsia="Calibri" w:hAnsi="Calibri"/>
          <w:kern w:val="2"/>
          <w:highlight w:val="yellow"/>
        </w:rPr>
      </w:pPr>
      <w:r>
        <w:rPr>
          <w:rFonts w:ascii="Calibri" w:eastAsia="Calibri" w:hAnsi="Calibri"/>
          <w:kern w:val="2"/>
          <w:highlight w:val="yellow"/>
        </w:rPr>
        <w:t>1.</w:t>
      </w:r>
    </w:p>
    <w:p w14:paraId="1CB4E9CA" w14:textId="77777777" w:rsidR="00E90F4F" w:rsidRDefault="00E90F4F" w:rsidP="00E90F4F">
      <w:pPr>
        <w:rPr>
          <w:rFonts w:ascii="Calibri" w:eastAsia="Calibri" w:hAnsi="Calibri"/>
          <w:kern w:val="2"/>
          <w:highlight w:val="yellow"/>
        </w:rPr>
      </w:pPr>
      <w:r>
        <w:rPr>
          <w:rFonts w:ascii="Calibri" w:eastAsia="Calibri" w:hAnsi="Calibri"/>
          <w:kern w:val="2"/>
          <w:highlight w:val="yellow"/>
        </w:rPr>
        <w:t>2.</w:t>
      </w:r>
    </w:p>
    <w:p w14:paraId="63799D2F" w14:textId="77777777" w:rsidR="00E90F4F" w:rsidRDefault="00E90F4F" w:rsidP="00E90F4F">
      <w:pPr>
        <w:rPr>
          <w:rFonts w:ascii="Calibri" w:eastAsia="Calibri" w:hAnsi="Calibri"/>
          <w:kern w:val="2"/>
          <w:highlight w:val="yellow"/>
        </w:rPr>
      </w:pPr>
      <w:r>
        <w:rPr>
          <w:rFonts w:ascii="Calibri" w:eastAsia="Calibri" w:hAnsi="Calibri"/>
          <w:kern w:val="2"/>
          <w:highlight w:val="yellow"/>
        </w:rPr>
        <w:t>3.</w:t>
      </w:r>
      <w:bookmarkEnd w:id="0"/>
    </w:p>
    <w:bookmarkEnd w:id="1"/>
    <w:p w14:paraId="6E056155" w14:textId="77777777" w:rsidR="00E90F4F" w:rsidRDefault="00E90F4F" w:rsidP="00801D07">
      <w:pPr>
        <w:pStyle w:val="Body"/>
        <w:spacing w:after="0"/>
        <w:rPr>
          <w:rFonts w:ascii="Arial" w:hAnsi="Arial" w:cs="Arial"/>
        </w:rPr>
      </w:pPr>
    </w:p>
    <w:p w14:paraId="143F504C" w14:textId="77777777" w:rsidR="00790ADA" w:rsidRPr="00FB3A86" w:rsidRDefault="00790ADA" w:rsidP="00441B6F">
      <w:pPr>
        <w:pStyle w:val="Body"/>
        <w:spacing w:after="0"/>
        <w:rPr>
          <w:rFonts w:ascii="Arial" w:hAnsi="Arial" w:cs="Arial"/>
        </w:rPr>
      </w:pPr>
    </w:p>
    <w:p w14:paraId="5CAEB787" w14:textId="77777777" w:rsidR="006966A5" w:rsidRPr="0071736A" w:rsidRDefault="006966A5" w:rsidP="0071736A">
      <w:pPr>
        <w:pStyle w:val="ReferHead"/>
        <w:spacing w:after="0"/>
        <w:ind w:left="720"/>
        <w:jc w:val="both"/>
        <w:rPr>
          <w:rFonts w:ascii="Arial" w:hAnsi="Arial" w:cs="Arial"/>
          <w:b w:val="0"/>
          <w:caps w:val="0"/>
          <w:color w:val="000000"/>
          <w:sz w:val="20"/>
          <w:lang w:val="pt-BR" w:eastAsia="pt-BR"/>
        </w:rPr>
      </w:pPr>
    </w:p>
    <w:p w14:paraId="63E93EBF" w14:textId="77777777" w:rsidR="00860000" w:rsidRDefault="00860000" w:rsidP="00441B6F">
      <w:pPr>
        <w:pStyle w:val="ReferHead"/>
        <w:spacing w:after="0"/>
        <w:jc w:val="both"/>
        <w:rPr>
          <w:rFonts w:ascii="Arial" w:hAnsi="Arial" w:cs="Arial"/>
        </w:rPr>
      </w:pPr>
    </w:p>
    <w:p w14:paraId="06191EC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CBE4F4D" w14:textId="77777777" w:rsidR="00790ADA" w:rsidRPr="00FB3A86" w:rsidRDefault="00790ADA" w:rsidP="00441B6F">
      <w:pPr>
        <w:pStyle w:val="ReferHead"/>
        <w:spacing w:after="0"/>
        <w:jc w:val="both"/>
        <w:rPr>
          <w:rFonts w:ascii="Arial" w:hAnsi="Arial" w:cs="Arial"/>
        </w:rPr>
      </w:pPr>
    </w:p>
    <w:p w14:paraId="74C9B629" w14:textId="77777777" w:rsidR="00B118AA" w:rsidRPr="00B118AA" w:rsidRDefault="00B118AA" w:rsidP="00B118AA">
      <w:pPr>
        <w:pStyle w:val="PargrafodaLista"/>
        <w:numPr>
          <w:ilvl w:val="0"/>
          <w:numId w:val="31"/>
        </w:numPr>
        <w:spacing w:line="360" w:lineRule="auto"/>
        <w:ind w:left="284"/>
        <w:jc w:val="both"/>
        <w:rPr>
          <w:rFonts w:ascii="Arial" w:hAnsi="Arial" w:cs="Arial"/>
          <w:sz w:val="20"/>
          <w:szCs w:val="20"/>
          <w:lang w:val="en-US"/>
        </w:rPr>
      </w:pPr>
      <w:proofErr w:type="spellStart"/>
      <w:r w:rsidRPr="00B118AA">
        <w:rPr>
          <w:rFonts w:ascii="Arial" w:hAnsi="Arial" w:cs="Arial"/>
          <w:sz w:val="20"/>
          <w:szCs w:val="20"/>
          <w:lang w:val="en-US"/>
        </w:rPr>
        <w:t>Dietschi</w:t>
      </w:r>
      <w:proofErr w:type="spellEnd"/>
      <w:r w:rsidRPr="00B118AA">
        <w:rPr>
          <w:rFonts w:ascii="Arial" w:hAnsi="Arial" w:cs="Arial"/>
          <w:sz w:val="20"/>
          <w:szCs w:val="20"/>
          <w:lang w:val="en-US"/>
        </w:rPr>
        <w:t xml:space="preserve"> D, </w:t>
      </w:r>
      <w:proofErr w:type="spellStart"/>
      <w:r w:rsidRPr="00B118AA">
        <w:rPr>
          <w:rFonts w:ascii="Arial" w:hAnsi="Arial" w:cs="Arial"/>
          <w:sz w:val="20"/>
          <w:szCs w:val="20"/>
          <w:lang w:val="en-US"/>
        </w:rPr>
        <w:t>Spreafico</w:t>
      </w:r>
      <w:proofErr w:type="spellEnd"/>
      <w:r w:rsidRPr="00B118AA">
        <w:rPr>
          <w:rFonts w:ascii="Arial" w:hAnsi="Arial" w:cs="Arial"/>
          <w:sz w:val="20"/>
          <w:szCs w:val="20"/>
          <w:lang w:val="en-US"/>
        </w:rPr>
        <w:t xml:space="preserve"> R. Current clinical concepts for adhesive cementation of tooth-colored posterior restorations. </w:t>
      </w:r>
      <w:proofErr w:type="spellStart"/>
      <w:r w:rsidRPr="00B118AA">
        <w:rPr>
          <w:rFonts w:ascii="Arial" w:hAnsi="Arial" w:cs="Arial"/>
          <w:i/>
          <w:iCs/>
          <w:sz w:val="20"/>
          <w:szCs w:val="20"/>
          <w:lang w:val="en-US"/>
        </w:rPr>
        <w:t>Pract</w:t>
      </w:r>
      <w:proofErr w:type="spellEnd"/>
      <w:r w:rsidRPr="00B118AA">
        <w:rPr>
          <w:rFonts w:ascii="Arial" w:hAnsi="Arial" w:cs="Arial"/>
          <w:i/>
          <w:iCs/>
          <w:sz w:val="20"/>
          <w:szCs w:val="20"/>
          <w:lang w:val="en-US"/>
        </w:rPr>
        <w:t xml:space="preserve"> </w:t>
      </w:r>
      <w:proofErr w:type="spellStart"/>
      <w:r w:rsidRPr="00B118AA">
        <w:rPr>
          <w:rFonts w:ascii="Arial" w:hAnsi="Arial" w:cs="Arial"/>
          <w:i/>
          <w:iCs/>
          <w:sz w:val="20"/>
          <w:szCs w:val="20"/>
          <w:lang w:val="en-US"/>
        </w:rPr>
        <w:t>Periodont</w:t>
      </w:r>
      <w:proofErr w:type="spellEnd"/>
      <w:r w:rsidRPr="00B118AA">
        <w:rPr>
          <w:rFonts w:ascii="Arial" w:hAnsi="Arial" w:cs="Arial"/>
          <w:i/>
          <w:iCs/>
          <w:sz w:val="20"/>
          <w:szCs w:val="20"/>
          <w:lang w:val="en-US"/>
        </w:rPr>
        <w:t xml:space="preserve"> </w:t>
      </w:r>
      <w:proofErr w:type="spellStart"/>
      <w:r w:rsidRPr="00B118AA">
        <w:rPr>
          <w:rFonts w:ascii="Arial" w:hAnsi="Arial" w:cs="Arial"/>
          <w:i/>
          <w:iCs/>
          <w:sz w:val="20"/>
          <w:szCs w:val="20"/>
          <w:lang w:val="en-US"/>
        </w:rPr>
        <w:t>Aesthet</w:t>
      </w:r>
      <w:proofErr w:type="spellEnd"/>
      <w:r w:rsidRPr="00B118AA">
        <w:rPr>
          <w:rFonts w:ascii="Arial" w:hAnsi="Arial" w:cs="Arial"/>
          <w:i/>
          <w:iCs/>
          <w:sz w:val="20"/>
          <w:szCs w:val="20"/>
          <w:lang w:val="en-US"/>
        </w:rPr>
        <w:t xml:space="preserve"> Dent</w:t>
      </w:r>
      <w:r w:rsidRPr="00B118AA">
        <w:rPr>
          <w:rFonts w:ascii="Arial" w:hAnsi="Arial" w:cs="Arial"/>
          <w:sz w:val="20"/>
          <w:szCs w:val="20"/>
          <w:lang w:val="en-US"/>
        </w:rPr>
        <w:t xml:space="preserve">. </w:t>
      </w:r>
      <w:proofErr w:type="gramStart"/>
      <w:r w:rsidRPr="00B118AA">
        <w:rPr>
          <w:rFonts w:ascii="Arial" w:hAnsi="Arial" w:cs="Arial"/>
          <w:sz w:val="20"/>
          <w:szCs w:val="20"/>
          <w:lang w:val="en-US"/>
        </w:rPr>
        <w:t>1998;10:47</w:t>
      </w:r>
      <w:proofErr w:type="gramEnd"/>
    </w:p>
    <w:p w14:paraId="795E4172" w14:textId="77777777" w:rsidR="00B118AA" w:rsidRPr="00B118AA" w:rsidRDefault="00B118AA" w:rsidP="00B118AA">
      <w:pPr>
        <w:pStyle w:val="PargrafodaLista"/>
        <w:numPr>
          <w:ilvl w:val="0"/>
          <w:numId w:val="31"/>
        </w:numPr>
        <w:spacing w:line="360" w:lineRule="auto"/>
        <w:ind w:left="284"/>
        <w:jc w:val="both"/>
        <w:rPr>
          <w:rFonts w:ascii="Arial" w:hAnsi="Arial" w:cs="Arial"/>
          <w:sz w:val="20"/>
          <w:szCs w:val="20"/>
          <w:lang w:val="en-US"/>
        </w:rPr>
      </w:pPr>
      <w:r w:rsidRPr="00B118AA">
        <w:rPr>
          <w:rFonts w:ascii="Arial" w:hAnsi="Arial" w:cs="Arial"/>
          <w:sz w:val="20"/>
          <w:szCs w:val="20"/>
          <w:lang w:val="en-US"/>
        </w:rPr>
        <w:t xml:space="preserve"> Ghezzi C, Brambilla G, Conti A, </w:t>
      </w:r>
      <w:proofErr w:type="spellStart"/>
      <w:r w:rsidRPr="00B118AA">
        <w:rPr>
          <w:rFonts w:ascii="Arial" w:hAnsi="Arial" w:cs="Arial"/>
          <w:sz w:val="20"/>
          <w:szCs w:val="20"/>
          <w:lang w:val="en-US"/>
        </w:rPr>
        <w:t>Dosoli</w:t>
      </w:r>
      <w:proofErr w:type="spellEnd"/>
      <w:r w:rsidRPr="00B118AA">
        <w:rPr>
          <w:rFonts w:ascii="Arial" w:hAnsi="Arial" w:cs="Arial"/>
          <w:sz w:val="20"/>
          <w:szCs w:val="20"/>
          <w:lang w:val="en-US"/>
        </w:rPr>
        <w:t xml:space="preserve"> R, Ceroni F, Ferrantino L. Cervical margin relocation: case series and new classification system. </w:t>
      </w:r>
      <w:r w:rsidRPr="00B118AA">
        <w:rPr>
          <w:rFonts w:ascii="Arial" w:hAnsi="Arial" w:cs="Arial"/>
          <w:i/>
          <w:iCs/>
          <w:sz w:val="20"/>
          <w:szCs w:val="20"/>
          <w:lang w:val="en-US"/>
        </w:rPr>
        <w:t xml:space="preserve">Int J </w:t>
      </w:r>
      <w:proofErr w:type="spellStart"/>
      <w:r w:rsidRPr="00B118AA">
        <w:rPr>
          <w:rFonts w:ascii="Arial" w:hAnsi="Arial" w:cs="Arial"/>
          <w:i/>
          <w:iCs/>
          <w:sz w:val="20"/>
          <w:szCs w:val="20"/>
          <w:lang w:val="en-US"/>
        </w:rPr>
        <w:t>Esthet</w:t>
      </w:r>
      <w:proofErr w:type="spellEnd"/>
      <w:r w:rsidRPr="00B118AA">
        <w:rPr>
          <w:rFonts w:ascii="Arial" w:hAnsi="Arial" w:cs="Arial"/>
          <w:i/>
          <w:iCs/>
          <w:sz w:val="20"/>
          <w:szCs w:val="20"/>
          <w:lang w:val="en-US"/>
        </w:rPr>
        <w:t xml:space="preserve"> Dent</w:t>
      </w:r>
      <w:r w:rsidRPr="00B118AA">
        <w:rPr>
          <w:rFonts w:ascii="Arial" w:hAnsi="Arial" w:cs="Arial"/>
          <w:sz w:val="20"/>
          <w:szCs w:val="20"/>
          <w:lang w:val="en-US"/>
        </w:rPr>
        <w:t>. 2019;14(3):272-84.</w:t>
      </w:r>
    </w:p>
    <w:p w14:paraId="3001AAAD" w14:textId="77777777" w:rsidR="00B118AA" w:rsidRPr="00B118AA" w:rsidRDefault="00B118AA" w:rsidP="00B118AA">
      <w:pPr>
        <w:pStyle w:val="PargrafodaLista"/>
        <w:numPr>
          <w:ilvl w:val="0"/>
          <w:numId w:val="31"/>
        </w:numPr>
        <w:spacing w:line="360" w:lineRule="auto"/>
        <w:ind w:left="284"/>
        <w:jc w:val="both"/>
        <w:rPr>
          <w:rFonts w:ascii="Arial" w:hAnsi="Arial" w:cs="Arial"/>
          <w:sz w:val="20"/>
          <w:szCs w:val="20"/>
          <w:lang w:val="en-US"/>
        </w:rPr>
      </w:pPr>
      <w:r w:rsidRPr="00B118AA">
        <w:rPr>
          <w:rFonts w:ascii="Arial" w:hAnsi="Arial" w:cs="Arial"/>
          <w:sz w:val="20"/>
          <w:szCs w:val="20"/>
        </w:rPr>
        <w:t xml:space="preserve"> Prado TP, Chun EP, Augusto MG, </w:t>
      </w:r>
      <w:proofErr w:type="spellStart"/>
      <w:r w:rsidRPr="00B118AA">
        <w:rPr>
          <w:rFonts w:ascii="Arial" w:hAnsi="Arial" w:cs="Arial"/>
          <w:sz w:val="20"/>
          <w:szCs w:val="20"/>
        </w:rPr>
        <w:t>Bernardon</w:t>
      </w:r>
      <w:proofErr w:type="spellEnd"/>
      <w:r w:rsidRPr="00B118AA">
        <w:rPr>
          <w:rFonts w:ascii="Arial" w:hAnsi="Arial" w:cs="Arial"/>
          <w:sz w:val="20"/>
          <w:szCs w:val="20"/>
        </w:rPr>
        <w:t xml:space="preserve"> P, Grassi EDA, Saavedra GSF, Mathias-</w:t>
      </w:r>
      <w:proofErr w:type="spellStart"/>
      <w:r w:rsidRPr="00B118AA">
        <w:rPr>
          <w:rFonts w:ascii="Arial" w:hAnsi="Arial" w:cs="Arial"/>
          <w:sz w:val="20"/>
          <w:szCs w:val="20"/>
        </w:rPr>
        <w:t>Santamaria</w:t>
      </w:r>
      <w:proofErr w:type="spellEnd"/>
      <w:r w:rsidRPr="00B118AA">
        <w:rPr>
          <w:rFonts w:ascii="Arial" w:hAnsi="Arial" w:cs="Arial"/>
          <w:sz w:val="20"/>
          <w:szCs w:val="20"/>
        </w:rPr>
        <w:t xml:space="preserve"> IF, </w:t>
      </w:r>
      <w:proofErr w:type="spellStart"/>
      <w:r w:rsidRPr="00B118AA">
        <w:rPr>
          <w:rFonts w:ascii="Arial" w:hAnsi="Arial" w:cs="Arial"/>
          <w:sz w:val="20"/>
          <w:szCs w:val="20"/>
        </w:rPr>
        <w:t>Santamaria</w:t>
      </w:r>
      <w:proofErr w:type="spellEnd"/>
      <w:r w:rsidRPr="00B118AA">
        <w:rPr>
          <w:rFonts w:ascii="Arial" w:hAnsi="Arial" w:cs="Arial"/>
          <w:sz w:val="20"/>
          <w:szCs w:val="20"/>
        </w:rPr>
        <w:t xml:space="preserve"> MP, Andrade GS. </w:t>
      </w:r>
      <w:r w:rsidRPr="00B118AA">
        <w:rPr>
          <w:rFonts w:ascii="Arial" w:hAnsi="Arial" w:cs="Arial"/>
          <w:sz w:val="20"/>
          <w:szCs w:val="20"/>
          <w:lang w:val="en-US"/>
        </w:rPr>
        <w:t>Biomechanical, operative and biological aspects of the cervical margin relocation: a case report. </w:t>
      </w:r>
      <w:r w:rsidRPr="00B118AA">
        <w:rPr>
          <w:rFonts w:ascii="Arial" w:hAnsi="Arial" w:cs="Arial"/>
          <w:i/>
          <w:iCs/>
          <w:sz w:val="20"/>
          <w:szCs w:val="20"/>
          <w:lang w:val="en-US"/>
        </w:rPr>
        <w:t>Braz Dent Sci</w:t>
      </w:r>
      <w:r w:rsidRPr="00B118AA">
        <w:rPr>
          <w:rFonts w:ascii="Arial" w:hAnsi="Arial" w:cs="Arial"/>
          <w:sz w:val="20"/>
          <w:szCs w:val="20"/>
          <w:lang w:val="en-US"/>
        </w:rPr>
        <w:t>. 2022;25(3</w:t>
      </w:r>
      <w:proofErr w:type="gramStart"/>
      <w:r w:rsidRPr="00B118AA">
        <w:rPr>
          <w:rFonts w:ascii="Arial" w:hAnsi="Arial" w:cs="Arial"/>
          <w:sz w:val="20"/>
          <w:szCs w:val="20"/>
          <w:lang w:val="en-US"/>
        </w:rPr>
        <w:t>):e</w:t>
      </w:r>
      <w:proofErr w:type="gramEnd"/>
      <w:r w:rsidRPr="00B118AA">
        <w:rPr>
          <w:rFonts w:ascii="Arial" w:hAnsi="Arial" w:cs="Arial"/>
          <w:sz w:val="20"/>
          <w:szCs w:val="20"/>
          <w:lang w:val="en-US"/>
        </w:rPr>
        <w:t xml:space="preserve">3158.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10.4322/bds.2022.e3158.</w:t>
      </w:r>
    </w:p>
    <w:p w14:paraId="4AFD76DA" w14:textId="77777777" w:rsidR="00B118AA" w:rsidRPr="00B118AA" w:rsidRDefault="00B118AA" w:rsidP="00B118AA">
      <w:pPr>
        <w:pStyle w:val="PargrafodaLista"/>
        <w:numPr>
          <w:ilvl w:val="0"/>
          <w:numId w:val="31"/>
        </w:numPr>
        <w:tabs>
          <w:tab w:val="left" w:pos="142"/>
          <w:tab w:val="left" w:pos="284"/>
        </w:tabs>
        <w:spacing w:line="360" w:lineRule="auto"/>
        <w:ind w:left="284"/>
        <w:jc w:val="both"/>
        <w:rPr>
          <w:rFonts w:ascii="Arial" w:hAnsi="Arial" w:cs="Arial"/>
          <w:sz w:val="20"/>
          <w:szCs w:val="20"/>
          <w:lang w:val="en-US"/>
        </w:rPr>
      </w:pPr>
      <w:proofErr w:type="spellStart"/>
      <w:r w:rsidRPr="00B118AA">
        <w:rPr>
          <w:rFonts w:ascii="Arial" w:hAnsi="Arial" w:cs="Arial"/>
          <w:sz w:val="20"/>
          <w:szCs w:val="20"/>
          <w:lang w:val="en-US"/>
        </w:rPr>
        <w:t>Samartzi</w:t>
      </w:r>
      <w:proofErr w:type="spellEnd"/>
      <w:r w:rsidRPr="00B118AA">
        <w:rPr>
          <w:rFonts w:ascii="Arial" w:hAnsi="Arial" w:cs="Arial"/>
          <w:sz w:val="20"/>
          <w:szCs w:val="20"/>
          <w:lang w:val="en-US"/>
        </w:rPr>
        <w:t xml:space="preserve"> TK, </w:t>
      </w:r>
      <w:proofErr w:type="spellStart"/>
      <w:r w:rsidRPr="00B118AA">
        <w:rPr>
          <w:rFonts w:ascii="Arial" w:hAnsi="Arial" w:cs="Arial"/>
          <w:sz w:val="20"/>
          <w:szCs w:val="20"/>
          <w:lang w:val="en-US"/>
        </w:rPr>
        <w:t>Papalexopoulos</w:t>
      </w:r>
      <w:proofErr w:type="spellEnd"/>
      <w:r w:rsidRPr="00B118AA">
        <w:rPr>
          <w:rFonts w:ascii="Arial" w:hAnsi="Arial" w:cs="Arial"/>
          <w:sz w:val="20"/>
          <w:szCs w:val="20"/>
          <w:lang w:val="en-US"/>
        </w:rPr>
        <w:t xml:space="preserve"> D, </w:t>
      </w:r>
      <w:proofErr w:type="spellStart"/>
      <w:r w:rsidRPr="00B118AA">
        <w:rPr>
          <w:rFonts w:ascii="Arial" w:hAnsi="Arial" w:cs="Arial"/>
          <w:sz w:val="20"/>
          <w:szCs w:val="20"/>
          <w:lang w:val="en-US"/>
        </w:rPr>
        <w:t>Ntovas</w:t>
      </w:r>
      <w:proofErr w:type="spellEnd"/>
      <w:r w:rsidRPr="00B118AA">
        <w:rPr>
          <w:rFonts w:ascii="Arial" w:hAnsi="Arial" w:cs="Arial"/>
          <w:sz w:val="20"/>
          <w:szCs w:val="20"/>
          <w:lang w:val="en-US"/>
        </w:rPr>
        <w:t xml:space="preserve"> P, </w:t>
      </w:r>
      <w:proofErr w:type="spellStart"/>
      <w:r w:rsidRPr="00B118AA">
        <w:rPr>
          <w:rFonts w:ascii="Arial" w:hAnsi="Arial" w:cs="Arial"/>
          <w:sz w:val="20"/>
          <w:szCs w:val="20"/>
          <w:lang w:val="en-US"/>
        </w:rPr>
        <w:t>Rahiotis</w:t>
      </w:r>
      <w:proofErr w:type="spellEnd"/>
      <w:r w:rsidRPr="00B118AA">
        <w:rPr>
          <w:rFonts w:ascii="Arial" w:hAnsi="Arial" w:cs="Arial"/>
          <w:sz w:val="20"/>
          <w:szCs w:val="20"/>
          <w:lang w:val="en-US"/>
        </w:rPr>
        <w:t xml:space="preserve"> C, Blatz MB. Deep margin elevation: a literature review. </w:t>
      </w:r>
      <w:r w:rsidRPr="00B118AA">
        <w:rPr>
          <w:rFonts w:ascii="Arial" w:hAnsi="Arial" w:cs="Arial"/>
          <w:i/>
          <w:iCs/>
          <w:sz w:val="20"/>
          <w:szCs w:val="20"/>
          <w:lang w:val="en-US"/>
        </w:rPr>
        <w:t>Dent J (Basel)</w:t>
      </w:r>
      <w:r w:rsidRPr="00B118AA">
        <w:rPr>
          <w:rFonts w:ascii="Arial" w:hAnsi="Arial" w:cs="Arial"/>
          <w:sz w:val="20"/>
          <w:szCs w:val="20"/>
          <w:lang w:val="en-US"/>
        </w:rPr>
        <w:t>. 2022;10(3):48.</w:t>
      </w:r>
    </w:p>
    <w:p w14:paraId="78C57863" w14:textId="77777777" w:rsidR="00B118AA" w:rsidRPr="00B118AA" w:rsidRDefault="00B118AA" w:rsidP="00B118AA">
      <w:pPr>
        <w:pStyle w:val="PargrafodaLista"/>
        <w:numPr>
          <w:ilvl w:val="0"/>
          <w:numId w:val="31"/>
        </w:numPr>
        <w:spacing w:line="360" w:lineRule="auto"/>
        <w:ind w:left="284"/>
        <w:jc w:val="both"/>
        <w:rPr>
          <w:rFonts w:ascii="Arial" w:hAnsi="Arial" w:cs="Arial"/>
          <w:sz w:val="20"/>
          <w:szCs w:val="20"/>
          <w:lang w:val="en-US"/>
        </w:rPr>
      </w:pPr>
      <w:r w:rsidRPr="00B118AA">
        <w:rPr>
          <w:rFonts w:ascii="Arial" w:hAnsi="Arial" w:cs="Arial"/>
          <w:sz w:val="20"/>
          <w:szCs w:val="20"/>
          <w:lang w:val="en-US"/>
        </w:rPr>
        <w:t xml:space="preserve"> Ferrari M, Koken S, </w:t>
      </w:r>
      <w:proofErr w:type="spellStart"/>
      <w:r w:rsidRPr="00B118AA">
        <w:rPr>
          <w:rFonts w:ascii="Arial" w:hAnsi="Arial" w:cs="Arial"/>
          <w:sz w:val="20"/>
          <w:szCs w:val="20"/>
          <w:lang w:val="en-US"/>
        </w:rPr>
        <w:t>Grandini</w:t>
      </w:r>
      <w:proofErr w:type="spellEnd"/>
      <w:r w:rsidRPr="00B118AA">
        <w:rPr>
          <w:rFonts w:ascii="Arial" w:hAnsi="Arial" w:cs="Arial"/>
          <w:sz w:val="20"/>
          <w:szCs w:val="20"/>
          <w:lang w:val="en-US"/>
        </w:rPr>
        <w:t xml:space="preserve"> S, Ferrari </w:t>
      </w:r>
      <w:proofErr w:type="spellStart"/>
      <w:r w:rsidRPr="00B118AA">
        <w:rPr>
          <w:rFonts w:ascii="Arial" w:hAnsi="Arial" w:cs="Arial"/>
          <w:sz w:val="20"/>
          <w:szCs w:val="20"/>
          <w:lang w:val="en-US"/>
        </w:rPr>
        <w:t>Cagidiaco</w:t>
      </w:r>
      <w:proofErr w:type="spellEnd"/>
      <w:r w:rsidRPr="00B118AA">
        <w:rPr>
          <w:rFonts w:ascii="Arial" w:hAnsi="Arial" w:cs="Arial"/>
          <w:sz w:val="20"/>
          <w:szCs w:val="20"/>
          <w:lang w:val="en-US"/>
        </w:rPr>
        <w:t xml:space="preserve"> E, Joda T, </w:t>
      </w:r>
      <w:proofErr w:type="spellStart"/>
      <w:r w:rsidRPr="00B118AA">
        <w:rPr>
          <w:rFonts w:ascii="Arial" w:hAnsi="Arial" w:cs="Arial"/>
          <w:sz w:val="20"/>
          <w:szCs w:val="20"/>
          <w:lang w:val="en-US"/>
        </w:rPr>
        <w:t>Discepoli</w:t>
      </w:r>
      <w:proofErr w:type="spellEnd"/>
      <w:r w:rsidRPr="00B118AA">
        <w:rPr>
          <w:rFonts w:ascii="Arial" w:hAnsi="Arial" w:cs="Arial"/>
          <w:sz w:val="20"/>
          <w:szCs w:val="20"/>
          <w:lang w:val="en-US"/>
        </w:rPr>
        <w:t xml:space="preserve"> N. Influence of cervical margin relocation (CMR) on periodontal health: 12-month results of a controlled trial. </w:t>
      </w:r>
      <w:r w:rsidRPr="00B118AA">
        <w:rPr>
          <w:rFonts w:ascii="Arial" w:hAnsi="Arial" w:cs="Arial"/>
          <w:i/>
          <w:iCs/>
          <w:sz w:val="20"/>
          <w:szCs w:val="20"/>
          <w:lang w:val="en-US"/>
        </w:rPr>
        <w:t>J Dent</w:t>
      </w:r>
      <w:r w:rsidRPr="00B118AA">
        <w:rPr>
          <w:rFonts w:ascii="Arial" w:hAnsi="Arial" w:cs="Arial"/>
          <w:sz w:val="20"/>
          <w:szCs w:val="20"/>
          <w:lang w:val="en-US"/>
        </w:rPr>
        <w:t xml:space="preserve">. </w:t>
      </w:r>
      <w:proofErr w:type="gramStart"/>
      <w:r w:rsidRPr="00B118AA">
        <w:rPr>
          <w:rFonts w:ascii="Arial" w:hAnsi="Arial" w:cs="Arial"/>
          <w:sz w:val="20"/>
          <w:szCs w:val="20"/>
          <w:lang w:val="en-US"/>
        </w:rPr>
        <w:t>2018;69:70</w:t>
      </w:r>
      <w:proofErr w:type="gramEnd"/>
      <w:r w:rsidRPr="00B118AA">
        <w:rPr>
          <w:rFonts w:ascii="Arial" w:hAnsi="Arial" w:cs="Arial"/>
          <w:sz w:val="20"/>
          <w:szCs w:val="20"/>
          <w:lang w:val="en-US"/>
        </w:rPr>
        <w:t xml:space="preserve">-6.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10.1016/j.jdent.2017.10.008.</w:t>
      </w:r>
    </w:p>
    <w:p w14:paraId="4AA85D15" w14:textId="77777777" w:rsidR="00B118AA" w:rsidRPr="00B118AA" w:rsidRDefault="00B118AA" w:rsidP="00B118AA">
      <w:pPr>
        <w:pStyle w:val="PargrafodaLista"/>
        <w:numPr>
          <w:ilvl w:val="0"/>
          <w:numId w:val="31"/>
        </w:numPr>
        <w:spacing w:line="360" w:lineRule="auto"/>
        <w:ind w:left="284"/>
        <w:jc w:val="both"/>
        <w:rPr>
          <w:rFonts w:ascii="Arial" w:hAnsi="Arial" w:cs="Arial"/>
          <w:sz w:val="20"/>
          <w:szCs w:val="20"/>
          <w:lang w:val="en-US"/>
        </w:rPr>
      </w:pPr>
      <w:r w:rsidRPr="00B118AA">
        <w:rPr>
          <w:rFonts w:ascii="Arial" w:hAnsi="Arial" w:cs="Arial"/>
          <w:sz w:val="20"/>
          <w:szCs w:val="20"/>
          <w:lang w:val="en-US"/>
        </w:rPr>
        <w:t xml:space="preserve">Farouk AT, Hassanein OE, Fahmy OI, Elkady AM, </w:t>
      </w:r>
      <w:proofErr w:type="spellStart"/>
      <w:r w:rsidRPr="00B118AA">
        <w:rPr>
          <w:rFonts w:ascii="Arial" w:hAnsi="Arial" w:cs="Arial"/>
          <w:sz w:val="20"/>
          <w:szCs w:val="20"/>
          <w:lang w:val="en-US"/>
        </w:rPr>
        <w:t>Elnahass</w:t>
      </w:r>
      <w:proofErr w:type="spellEnd"/>
      <w:r w:rsidRPr="00B118AA">
        <w:rPr>
          <w:rFonts w:ascii="Arial" w:hAnsi="Arial" w:cs="Arial"/>
          <w:sz w:val="20"/>
          <w:szCs w:val="20"/>
          <w:lang w:val="en-US"/>
        </w:rPr>
        <w:t xml:space="preserve"> H. Biological evaluation of indirect restorations in endodontically treated posterior teeth with deeply located proximal margins following deep margin elevation versus surgical crown lengthening: a randomized controlled trial. </w:t>
      </w:r>
      <w:r w:rsidRPr="00B118AA">
        <w:rPr>
          <w:rFonts w:ascii="Arial" w:hAnsi="Arial" w:cs="Arial"/>
          <w:i/>
          <w:iCs/>
          <w:sz w:val="20"/>
          <w:szCs w:val="20"/>
          <w:lang w:val="en-US"/>
        </w:rPr>
        <w:t xml:space="preserve">Clin Oral </w:t>
      </w:r>
      <w:proofErr w:type="spellStart"/>
      <w:r w:rsidRPr="00B118AA">
        <w:rPr>
          <w:rFonts w:ascii="Arial" w:hAnsi="Arial" w:cs="Arial"/>
          <w:i/>
          <w:iCs/>
          <w:sz w:val="20"/>
          <w:szCs w:val="20"/>
          <w:lang w:val="en-US"/>
        </w:rPr>
        <w:t>Investig</w:t>
      </w:r>
      <w:proofErr w:type="spellEnd"/>
      <w:r w:rsidRPr="00B118AA">
        <w:rPr>
          <w:rFonts w:ascii="Arial" w:hAnsi="Arial" w:cs="Arial"/>
          <w:sz w:val="20"/>
          <w:szCs w:val="20"/>
          <w:lang w:val="en-US"/>
        </w:rPr>
        <w:t xml:space="preserve">. </w:t>
      </w:r>
      <w:proofErr w:type="gramStart"/>
      <w:r w:rsidRPr="00B118AA">
        <w:rPr>
          <w:rFonts w:ascii="Arial" w:hAnsi="Arial" w:cs="Arial"/>
          <w:sz w:val="20"/>
          <w:szCs w:val="20"/>
          <w:lang w:val="en-US"/>
        </w:rPr>
        <w:t>2024;28:24</w:t>
      </w:r>
      <w:proofErr w:type="gramEnd"/>
      <w:r w:rsidRPr="00B118AA">
        <w:rPr>
          <w:rFonts w:ascii="Arial" w:hAnsi="Arial" w:cs="Arial"/>
          <w:sz w:val="20"/>
          <w:szCs w:val="20"/>
          <w:lang w:val="en-US"/>
        </w:rPr>
        <w:t xml:space="preserve">.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10.1007/s00784-023-05434-z.</w:t>
      </w:r>
    </w:p>
    <w:p w14:paraId="3807D6DB" w14:textId="77777777" w:rsidR="00B118AA" w:rsidRPr="00B118AA" w:rsidRDefault="00B118AA" w:rsidP="00B118AA">
      <w:pPr>
        <w:pStyle w:val="PargrafodaLista"/>
        <w:numPr>
          <w:ilvl w:val="0"/>
          <w:numId w:val="31"/>
        </w:numPr>
        <w:spacing w:line="360" w:lineRule="auto"/>
        <w:ind w:left="284"/>
        <w:jc w:val="both"/>
        <w:rPr>
          <w:rFonts w:ascii="Arial" w:hAnsi="Arial" w:cs="Arial"/>
          <w:sz w:val="20"/>
          <w:szCs w:val="20"/>
          <w:lang w:val="en-US"/>
        </w:rPr>
      </w:pPr>
      <w:r w:rsidRPr="00B118AA">
        <w:rPr>
          <w:rFonts w:ascii="Arial" w:hAnsi="Arial" w:cs="Arial"/>
          <w:sz w:val="20"/>
          <w:szCs w:val="20"/>
          <w:lang w:val="en-US"/>
        </w:rPr>
        <w:t xml:space="preserve">Bresser RA, </w:t>
      </w:r>
      <w:proofErr w:type="spellStart"/>
      <w:r w:rsidRPr="00B118AA">
        <w:rPr>
          <w:rFonts w:ascii="Arial" w:hAnsi="Arial" w:cs="Arial"/>
          <w:sz w:val="20"/>
          <w:szCs w:val="20"/>
          <w:lang w:val="en-US"/>
        </w:rPr>
        <w:t>Gerdolle</w:t>
      </w:r>
      <w:proofErr w:type="spellEnd"/>
      <w:r w:rsidRPr="00B118AA">
        <w:rPr>
          <w:rFonts w:ascii="Arial" w:hAnsi="Arial" w:cs="Arial"/>
          <w:sz w:val="20"/>
          <w:szCs w:val="20"/>
          <w:lang w:val="en-US"/>
        </w:rPr>
        <w:t xml:space="preserve"> D, Van den </w:t>
      </w:r>
      <w:proofErr w:type="spellStart"/>
      <w:r w:rsidRPr="00B118AA">
        <w:rPr>
          <w:rFonts w:ascii="Arial" w:hAnsi="Arial" w:cs="Arial"/>
          <w:sz w:val="20"/>
          <w:szCs w:val="20"/>
          <w:lang w:val="en-US"/>
        </w:rPr>
        <w:t>Heijkant</w:t>
      </w:r>
      <w:proofErr w:type="spellEnd"/>
      <w:r w:rsidRPr="00B118AA">
        <w:rPr>
          <w:rFonts w:ascii="Arial" w:hAnsi="Arial" w:cs="Arial"/>
          <w:sz w:val="20"/>
          <w:szCs w:val="20"/>
          <w:lang w:val="en-US"/>
        </w:rPr>
        <w:t xml:space="preserve"> IA, Sluiter-</w:t>
      </w:r>
      <w:proofErr w:type="spellStart"/>
      <w:r w:rsidRPr="00B118AA">
        <w:rPr>
          <w:rFonts w:ascii="Arial" w:hAnsi="Arial" w:cs="Arial"/>
          <w:sz w:val="20"/>
          <w:szCs w:val="20"/>
          <w:lang w:val="en-US"/>
        </w:rPr>
        <w:t>Pouwels</w:t>
      </w:r>
      <w:proofErr w:type="spellEnd"/>
      <w:r w:rsidRPr="00B118AA">
        <w:rPr>
          <w:rFonts w:ascii="Arial" w:hAnsi="Arial" w:cs="Arial"/>
          <w:sz w:val="20"/>
          <w:szCs w:val="20"/>
          <w:lang w:val="en-US"/>
        </w:rPr>
        <w:t xml:space="preserve"> LMA, Cune MS, </w:t>
      </w:r>
      <w:proofErr w:type="spellStart"/>
      <w:r w:rsidRPr="00B118AA">
        <w:rPr>
          <w:rFonts w:ascii="Arial" w:hAnsi="Arial" w:cs="Arial"/>
          <w:sz w:val="20"/>
          <w:szCs w:val="20"/>
          <w:lang w:val="en-US"/>
        </w:rPr>
        <w:t>Gresnigt</w:t>
      </w:r>
      <w:proofErr w:type="spellEnd"/>
      <w:r w:rsidRPr="00B118AA">
        <w:rPr>
          <w:rFonts w:ascii="Arial" w:hAnsi="Arial" w:cs="Arial"/>
          <w:sz w:val="20"/>
          <w:szCs w:val="20"/>
          <w:lang w:val="en-US"/>
        </w:rPr>
        <w:t xml:space="preserve"> MMM. Clinical evaluation of 197 partial indirect restorations with deep margin elevation in the posterior region: up to 12 years evaluation. </w:t>
      </w:r>
      <w:r w:rsidRPr="00B118AA">
        <w:rPr>
          <w:rFonts w:ascii="Arial" w:hAnsi="Arial" w:cs="Arial"/>
          <w:i/>
          <w:iCs/>
          <w:sz w:val="20"/>
          <w:szCs w:val="20"/>
        </w:rPr>
        <w:t>J Dent</w:t>
      </w:r>
      <w:r w:rsidRPr="00B118AA">
        <w:rPr>
          <w:rFonts w:ascii="Arial" w:hAnsi="Arial" w:cs="Arial"/>
          <w:sz w:val="20"/>
          <w:szCs w:val="20"/>
        </w:rPr>
        <w:t xml:space="preserve">. 2019;103227. </w:t>
      </w:r>
      <w:proofErr w:type="spellStart"/>
      <w:r w:rsidRPr="00B118AA">
        <w:rPr>
          <w:rFonts w:ascii="Arial" w:hAnsi="Arial" w:cs="Arial"/>
          <w:sz w:val="20"/>
          <w:szCs w:val="20"/>
        </w:rPr>
        <w:t>doi</w:t>
      </w:r>
      <w:proofErr w:type="spellEnd"/>
      <w:r w:rsidRPr="00B118AA">
        <w:rPr>
          <w:rFonts w:ascii="Arial" w:hAnsi="Arial" w:cs="Arial"/>
          <w:sz w:val="20"/>
          <w:szCs w:val="20"/>
        </w:rPr>
        <w:t>: 10.1016/j.jdent.2019.103227.</w:t>
      </w:r>
    </w:p>
    <w:p w14:paraId="1FCA5C70" w14:textId="77777777" w:rsidR="00B118AA" w:rsidRPr="00B118AA" w:rsidRDefault="00B118AA" w:rsidP="00B118AA">
      <w:pPr>
        <w:pStyle w:val="PargrafodaLista"/>
        <w:numPr>
          <w:ilvl w:val="0"/>
          <w:numId w:val="31"/>
        </w:numPr>
        <w:spacing w:line="360" w:lineRule="auto"/>
        <w:ind w:left="284"/>
        <w:jc w:val="both"/>
        <w:rPr>
          <w:rFonts w:ascii="Arial" w:hAnsi="Arial" w:cs="Arial"/>
          <w:sz w:val="20"/>
          <w:szCs w:val="20"/>
          <w:lang w:val="en-US"/>
        </w:rPr>
      </w:pPr>
      <w:r w:rsidRPr="00B118AA">
        <w:rPr>
          <w:rFonts w:ascii="Arial" w:hAnsi="Arial" w:cs="Arial"/>
          <w:sz w:val="20"/>
          <w:szCs w:val="20"/>
          <w:lang w:val="en-US"/>
        </w:rPr>
        <w:t> </w:t>
      </w:r>
      <w:proofErr w:type="spellStart"/>
      <w:r w:rsidRPr="00B118AA">
        <w:rPr>
          <w:rFonts w:ascii="Arial" w:hAnsi="Arial" w:cs="Arial"/>
          <w:sz w:val="20"/>
          <w:szCs w:val="20"/>
          <w:lang w:val="en-US"/>
        </w:rPr>
        <w:t>Kielbassa</w:t>
      </w:r>
      <w:proofErr w:type="spellEnd"/>
      <w:r w:rsidRPr="00B118AA">
        <w:rPr>
          <w:rFonts w:ascii="Arial" w:hAnsi="Arial" w:cs="Arial"/>
          <w:sz w:val="20"/>
          <w:szCs w:val="20"/>
          <w:lang w:val="en-US"/>
        </w:rPr>
        <w:t xml:space="preserve"> AM, Philipp F. Restoring proximal cavities of molars using the proximal box elevation technique: systematic review and report of a case. </w:t>
      </w:r>
      <w:r w:rsidRPr="00B118AA">
        <w:rPr>
          <w:rFonts w:ascii="Arial" w:hAnsi="Arial" w:cs="Arial"/>
          <w:i/>
          <w:iCs/>
          <w:sz w:val="20"/>
          <w:szCs w:val="20"/>
          <w:lang w:val="en-US"/>
        </w:rPr>
        <w:t>Quintessence Int</w:t>
      </w:r>
      <w:r w:rsidRPr="00B118AA">
        <w:rPr>
          <w:rFonts w:ascii="Arial" w:hAnsi="Arial" w:cs="Arial"/>
          <w:sz w:val="20"/>
          <w:szCs w:val="20"/>
          <w:lang w:val="en-US"/>
        </w:rPr>
        <w:t xml:space="preserve">. 2015;46(7):547–55.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10.3290/j.</w:t>
      </w:r>
      <w:proofErr w:type="gramStart"/>
      <w:r w:rsidRPr="00B118AA">
        <w:rPr>
          <w:rFonts w:ascii="Arial" w:hAnsi="Arial" w:cs="Arial"/>
          <w:sz w:val="20"/>
          <w:szCs w:val="20"/>
          <w:lang w:val="en-US"/>
        </w:rPr>
        <w:t>qi.a</w:t>
      </w:r>
      <w:proofErr w:type="gramEnd"/>
      <w:r w:rsidRPr="00B118AA">
        <w:rPr>
          <w:rFonts w:ascii="Arial" w:hAnsi="Arial" w:cs="Arial"/>
          <w:sz w:val="20"/>
          <w:szCs w:val="20"/>
          <w:lang w:val="en-US"/>
        </w:rPr>
        <w:t>34459.</w:t>
      </w:r>
    </w:p>
    <w:p w14:paraId="3148F61A" w14:textId="77777777" w:rsidR="00B118AA" w:rsidRPr="00B118AA" w:rsidRDefault="00B118AA" w:rsidP="00B118AA">
      <w:pPr>
        <w:pStyle w:val="PargrafodaLista"/>
        <w:numPr>
          <w:ilvl w:val="0"/>
          <w:numId w:val="31"/>
        </w:numPr>
        <w:spacing w:line="360" w:lineRule="auto"/>
        <w:ind w:left="284"/>
        <w:jc w:val="both"/>
        <w:rPr>
          <w:rFonts w:ascii="Arial" w:hAnsi="Arial" w:cs="Arial"/>
          <w:sz w:val="20"/>
          <w:szCs w:val="20"/>
          <w:lang w:val="en-US"/>
        </w:rPr>
      </w:pPr>
      <w:proofErr w:type="spellStart"/>
      <w:r w:rsidRPr="00B118AA">
        <w:rPr>
          <w:rFonts w:ascii="Arial" w:hAnsi="Arial" w:cs="Arial"/>
          <w:sz w:val="20"/>
          <w:szCs w:val="20"/>
          <w:lang w:val="en-US"/>
        </w:rPr>
        <w:t>Muscholl</w:t>
      </w:r>
      <w:proofErr w:type="spellEnd"/>
      <w:r w:rsidRPr="00B118AA">
        <w:rPr>
          <w:rFonts w:ascii="Arial" w:hAnsi="Arial" w:cs="Arial"/>
          <w:sz w:val="20"/>
          <w:szCs w:val="20"/>
          <w:lang w:val="en-US"/>
        </w:rPr>
        <w:t xml:space="preserve"> C, Zamorska N, </w:t>
      </w:r>
      <w:proofErr w:type="spellStart"/>
      <w:r w:rsidRPr="00B118AA">
        <w:rPr>
          <w:rFonts w:ascii="Arial" w:hAnsi="Arial" w:cs="Arial"/>
          <w:sz w:val="20"/>
          <w:szCs w:val="20"/>
          <w:lang w:val="en-US"/>
        </w:rPr>
        <w:t>Schoilew</w:t>
      </w:r>
      <w:proofErr w:type="spellEnd"/>
      <w:r w:rsidRPr="00B118AA">
        <w:rPr>
          <w:rFonts w:ascii="Arial" w:hAnsi="Arial" w:cs="Arial"/>
          <w:sz w:val="20"/>
          <w:szCs w:val="20"/>
          <w:lang w:val="en-US"/>
        </w:rPr>
        <w:t xml:space="preserve"> K, </w:t>
      </w:r>
      <w:proofErr w:type="spellStart"/>
      <w:r w:rsidRPr="00B118AA">
        <w:rPr>
          <w:rFonts w:ascii="Arial" w:hAnsi="Arial" w:cs="Arial"/>
          <w:sz w:val="20"/>
          <w:szCs w:val="20"/>
          <w:lang w:val="en-US"/>
        </w:rPr>
        <w:t>Sekundo</w:t>
      </w:r>
      <w:proofErr w:type="spellEnd"/>
      <w:r w:rsidRPr="00B118AA">
        <w:rPr>
          <w:rFonts w:ascii="Arial" w:hAnsi="Arial" w:cs="Arial"/>
          <w:sz w:val="20"/>
          <w:szCs w:val="20"/>
          <w:lang w:val="en-US"/>
        </w:rPr>
        <w:t xml:space="preserve"> C, Meller C, </w:t>
      </w:r>
      <w:proofErr w:type="spellStart"/>
      <w:r w:rsidRPr="00B118AA">
        <w:rPr>
          <w:rFonts w:ascii="Arial" w:hAnsi="Arial" w:cs="Arial"/>
          <w:sz w:val="20"/>
          <w:szCs w:val="20"/>
          <w:lang w:val="en-US"/>
        </w:rPr>
        <w:t>Büsch</w:t>
      </w:r>
      <w:proofErr w:type="spellEnd"/>
      <w:r w:rsidRPr="00B118AA">
        <w:rPr>
          <w:rFonts w:ascii="Arial" w:hAnsi="Arial" w:cs="Arial"/>
          <w:sz w:val="20"/>
          <w:szCs w:val="20"/>
          <w:lang w:val="en-US"/>
        </w:rPr>
        <w:t xml:space="preserve"> C, Wolff D, Frese C. Retrospective clinical evaluation of subgingival composite resin restorations with deep-margin elevation. </w:t>
      </w:r>
      <w:r w:rsidRPr="00B118AA">
        <w:rPr>
          <w:rFonts w:ascii="Arial" w:hAnsi="Arial" w:cs="Arial"/>
          <w:i/>
          <w:iCs/>
          <w:sz w:val="20"/>
          <w:szCs w:val="20"/>
          <w:lang w:val="en-US"/>
        </w:rPr>
        <w:t>J Adhes Dent</w:t>
      </w:r>
      <w:r w:rsidRPr="00B118AA">
        <w:rPr>
          <w:rFonts w:ascii="Arial" w:hAnsi="Arial" w:cs="Arial"/>
          <w:sz w:val="20"/>
          <w:szCs w:val="20"/>
          <w:lang w:val="en-US"/>
        </w:rPr>
        <w:t xml:space="preserve">. </w:t>
      </w:r>
      <w:proofErr w:type="gramStart"/>
      <w:r w:rsidRPr="00B118AA">
        <w:rPr>
          <w:rFonts w:ascii="Arial" w:hAnsi="Arial" w:cs="Arial"/>
          <w:sz w:val="20"/>
          <w:szCs w:val="20"/>
          <w:lang w:val="en-US"/>
        </w:rPr>
        <w:t>2022;24:335</w:t>
      </w:r>
      <w:proofErr w:type="gramEnd"/>
      <w:r w:rsidRPr="00B118AA">
        <w:rPr>
          <w:rFonts w:ascii="Arial" w:hAnsi="Arial" w:cs="Arial"/>
          <w:sz w:val="20"/>
          <w:szCs w:val="20"/>
          <w:lang w:val="en-US"/>
        </w:rPr>
        <w:t xml:space="preserve">–44.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10.3290/j.jad.b3240665.</w:t>
      </w:r>
    </w:p>
    <w:p w14:paraId="57160CE0" w14:textId="77777777" w:rsidR="00B118AA" w:rsidRPr="00B118AA" w:rsidRDefault="00B118AA" w:rsidP="00B118AA">
      <w:pPr>
        <w:pStyle w:val="PargrafodaLista"/>
        <w:numPr>
          <w:ilvl w:val="0"/>
          <w:numId w:val="31"/>
        </w:numPr>
        <w:tabs>
          <w:tab w:val="left" w:pos="284"/>
        </w:tabs>
        <w:spacing w:line="360" w:lineRule="auto"/>
        <w:ind w:left="284"/>
        <w:jc w:val="both"/>
        <w:rPr>
          <w:rFonts w:ascii="Arial" w:hAnsi="Arial" w:cs="Arial"/>
          <w:sz w:val="20"/>
          <w:szCs w:val="20"/>
        </w:rPr>
      </w:pPr>
      <w:r w:rsidRPr="00B118AA">
        <w:rPr>
          <w:rFonts w:ascii="Arial" w:hAnsi="Arial" w:cs="Arial"/>
          <w:sz w:val="20"/>
          <w:szCs w:val="20"/>
          <w:lang w:val="en-US"/>
        </w:rPr>
        <w:t xml:space="preserve"> Bertoldi C, Monari E, </w:t>
      </w:r>
      <w:proofErr w:type="spellStart"/>
      <w:r w:rsidRPr="00B118AA">
        <w:rPr>
          <w:rFonts w:ascii="Arial" w:hAnsi="Arial" w:cs="Arial"/>
          <w:sz w:val="20"/>
          <w:szCs w:val="20"/>
          <w:lang w:val="en-US"/>
        </w:rPr>
        <w:t>Cortellini</w:t>
      </w:r>
      <w:proofErr w:type="spellEnd"/>
      <w:r w:rsidRPr="00B118AA">
        <w:rPr>
          <w:rFonts w:ascii="Arial" w:hAnsi="Arial" w:cs="Arial"/>
          <w:sz w:val="20"/>
          <w:szCs w:val="20"/>
          <w:lang w:val="en-US"/>
        </w:rPr>
        <w:t xml:space="preserve"> P, Generali L, Lucchi A, Spinato S, </w:t>
      </w:r>
      <w:proofErr w:type="spellStart"/>
      <w:r w:rsidRPr="00B118AA">
        <w:rPr>
          <w:rFonts w:ascii="Arial" w:hAnsi="Arial" w:cs="Arial"/>
          <w:sz w:val="20"/>
          <w:szCs w:val="20"/>
          <w:lang w:val="en-US"/>
        </w:rPr>
        <w:t>Zaffe</w:t>
      </w:r>
      <w:proofErr w:type="spellEnd"/>
      <w:r w:rsidRPr="00B118AA">
        <w:rPr>
          <w:rFonts w:ascii="Arial" w:hAnsi="Arial" w:cs="Arial"/>
          <w:sz w:val="20"/>
          <w:szCs w:val="20"/>
          <w:lang w:val="en-US"/>
        </w:rPr>
        <w:t xml:space="preserve"> D. Clinical and histological reaction of periodontal tissues to subgingival resin composite restorations. </w:t>
      </w:r>
      <w:r w:rsidRPr="00B118AA">
        <w:rPr>
          <w:rFonts w:ascii="Arial" w:hAnsi="Arial" w:cs="Arial"/>
          <w:i/>
          <w:iCs/>
          <w:sz w:val="20"/>
          <w:szCs w:val="20"/>
          <w:lang w:val="en-US"/>
        </w:rPr>
        <w:t xml:space="preserve">Clin Oral </w:t>
      </w:r>
      <w:proofErr w:type="spellStart"/>
      <w:r w:rsidRPr="00B118AA">
        <w:rPr>
          <w:rFonts w:ascii="Arial" w:hAnsi="Arial" w:cs="Arial"/>
          <w:i/>
          <w:iCs/>
          <w:sz w:val="20"/>
          <w:szCs w:val="20"/>
          <w:lang w:val="en-US"/>
        </w:rPr>
        <w:t>Investig</w:t>
      </w:r>
      <w:proofErr w:type="spellEnd"/>
      <w:r w:rsidRPr="00B118AA">
        <w:rPr>
          <w:rFonts w:ascii="Arial" w:hAnsi="Arial" w:cs="Arial"/>
          <w:sz w:val="20"/>
          <w:szCs w:val="20"/>
          <w:lang w:val="en-US"/>
        </w:rPr>
        <w:t xml:space="preserve">. </w:t>
      </w:r>
      <w:proofErr w:type="gramStart"/>
      <w:r w:rsidRPr="00B118AA">
        <w:rPr>
          <w:rFonts w:ascii="Arial" w:hAnsi="Arial" w:cs="Arial"/>
          <w:sz w:val="20"/>
          <w:szCs w:val="20"/>
          <w:lang w:val="en-US"/>
        </w:rPr>
        <w:t>2020;24:1001</w:t>
      </w:r>
      <w:proofErr w:type="gramEnd"/>
      <w:r w:rsidRPr="00B118AA">
        <w:rPr>
          <w:rFonts w:ascii="Arial" w:hAnsi="Arial" w:cs="Arial"/>
          <w:sz w:val="20"/>
          <w:szCs w:val="20"/>
          <w:lang w:val="en-US"/>
        </w:rPr>
        <w:t xml:space="preserve">-11.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10.1007/s00784-019-02998-7.</w:t>
      </w:r>
    </w:p>
    <w:p w14:paraId="03F8C785" w14:textId="77777777" w:rsidR="00B118AA" w:rsidRPr="00B118AA" w:rsidRDefault="00B118AA" w:rsidP="00B118AA">
      <w:pPr>
        <w:pStyle w:val="PargrafodaLista"/>
        <w:numPr>
          <w:ilvl w:val="0"/>
          <w:numId w:val="31"/>
        </w:numPr>
        <w:tabs>
          <w:tab w:val="left" w:pos="284"/>
        </w:tabs>
        <w:spacing w:line="360" w:lineRule="auto"/>
        <w:ind w:left="284"/>
        <w:jc w:val="both"/>
        <w:rPr>
          <w:rFonts w:ascii="Arial" w:hAnsi="Arial" w:cs="Arial"/>
          <w:sz w:val="20"/>
          <w:szCs w:val="20"/>
        </w:rPr>
      </w:pPr>
      <w:r w:rsidRPr="00B118AA">
        <w:rPr>
          <w:rFonts w:ascii="Arial" w:hAnsi="Arial" w:cs="Arial"/>
          <w:sz w:val="20"/>
          <w:szCs w:val="20"/>
        </w:rPr>
        <w:lastRenderedPageBreak/>
        <w:t>Lima MLDF, Teles MCT. Levantamento da margem gengival associado à invasão do espaço biológico – revisão de literatura. </w:t>
      </w:r>
      <w:r w:rsidRPr="00B118AA">
        <w:rPr>
          <w:rFonts w:ascii="Arial" w:hAnsi="Arial" w:cs="Arial"/>
          <w:i/>
          <w:iCs/>
          <w:sz w:val="20"/>
          <w:szCs w:val="20"/>
          <w:lang w:val="en-US"/>
        </w:rPr>
        <w:t xml:space="preserve">Rev </w:t>
      </w:r>
      <w:proofErr w:type="spellStart"/>
      <w:r w:rsidRPr="00B118AA">
        <w:rPr>
          <w:rFonts w:ascii="Arial" w:hAnsi="Arial" w:cs="Arial"/>
          <w:i/>
          <w:iCs/>
          <w:sz w:val="20"/>
          <w:szCs w:val="20"/>
          <w:lang w:val="en-US"/>
        </w:rPr>
        <w:t>Iberoam</w:t>
      </w:r>
      <w:proofErr w:type="spellEnd"/>
      <w:r w:rsidRPr="00B118AA">
        <w:rPr>
          <w:rFonts w:ascii="Arial" w:hAnsi="Arial" w:cs="Arial"/>
          <w:i/>
          <w:iCs/>
          <w:sz w:val="20"/>
          <w:szCs w:val="20"/>
          <w:lang w:val="en-US"/>
        </w:rPr>
        <w:t xml:space="preserve"> </w:t>
      </w:r>
      <w:proofErr w:type="spellStart"/>
      <w:r w:rsidRPr="00B118AA">
        <w:rPr>
          <w:rFonts w:ascii="Arial" w:hAnsi="Arial" w:cs="Arial"/>
          <w:i/>
          <w:iCs/>
          <w:sz w:val="20"/>
          <w:szCs w:val="20"/>
          <w:lang w:val="en-US"/>
        </w:rPr>
        <w:t>Humanid</w:t>
      </w:r>
      <w:proofErr w:type="spellEnd"/>
      <w:r w:rsidRPr="00B118AA">
        <w:rPr>
          <w:rFonts w:ascii="Arial" w:hAnsi="Arial" w:cs="Arial"/>
          <w:i/>
          <w:iCs/>
          <w:sz w:val="20"/>
          <w:szCs w:val="20"/>
          <w:lang w:val="en-US"/>
        </w:rPr>
        <w:t xml:space="preserve"> </w:t>
      </w:r>
      <w:proofErr w:type="spellStart"/>
      <w:r w:rsidRPr="00B118AA">
        <w:rPr>
          <w:rFonts w:ascii="Arial" w:hAnsi="Arial" w:cs="Arial"/>
          <w:i/>
          <w:iCs/>
          <w:sz w:val="20"/>
          <w:szCs w:val="20"/>
          <w:lang w:val="en-US"/>
        </w:rPr>
        <w:t>Ciênc</w:t>
      </w:r>
      <w:proofErr w:type="spellEnd"/>
      <w:r w:rsidRPr="00B118AA">
        <w:rPr>
          <w:rFonts w:ascii="Arial" w:hAnsi="Arial" w:cs="Arial"/>
          <w:i/>
          <w:iCs/>
          <w:sz w:val="20"/>
          <w:szCs w:val="20"/>
          <w:lang w:val="en-US"/>
        </w:rPr>
        <w:t xml:space="preserve"> Educ</w:t>
      </w:r>
      <w:r w:rsidRPr="00B118AA">
        <w:rPr>
          <w:rFonts w:ascii="Arial" w:hAnsi="Arial" w:cs="Arial"/>
          <w:sz w:val="20"/>
          <w:szCs w:val="20"/>
          <w:lang w:val="en-US"/>
        </w:rPr>
        <w:t xml:space="preserve">. 2023;9(10):4970-8.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10.51891/</w:t>
      </w:r>
      <w:proofErr w:type="gramStart"/>
      <w:r w:rsidRPr="00B118AA">
        <w:rPr>
          <w:rFonts w:ascii="Arial" w:hAnsi="Arial" w:cs="Arial"/>
          <w:sz w:val="20"/>
          <w:szCs w:val="20"/>
          <w:lang w:val="en-US"/>
        </w:rPr>
        <w:t>rease.v</w:t>
      </w:r>
      <w:proofErr w:type="gramEnd"/>
      <w:r w:rsidRPr="00B118AA">
        <w:rPr>
          <w:rFonts w:ascii="Arial" w:hAnsi="Arial" w:cs="Arial"/>
          <w:sz w:val="20"/>
          <w:szCs w:val="20"/>
          <w:lang w:val="en-US"/>
        </w:rPr>
        <w:t>9i10.11879.</w:t>
      </w:r>
    </w:p>
    <w:p w14:paraId="7A0ADA22" w14:textId="77777777" w:rsidR="00B118AA" w:rsidRPr="00B118AA" w:rsidRDefault="00B118AA" w:rsidP="00B118AA">
      <w:pPr>
        <w:pStyle w:val="PargrafodaLista"/>
        <w:numPr>
          <w:ilvl w:val="0"/>
          <w:numId w:val="31"/>
        </w:numPr>
        <w:tabs>
          <w:tab w:val="left" w:pos="284"/>
        </w:tabs>
        <w:spacing w:line="360" w:lineRule="auto"/>
        <w:ind w:left="284"/>
        <w:jc w:val="both"/>
        <w:rPr>
          <w:rFonts w:ascii="Arial" w:hAnsi="Arial" w:cs="Arial"/>
          <w:sz w:val="20"/>
          <w:szCs w:val="20"/>
          <w:lang w:val="en-US"/>
        </w:rPr>
      </w:pPr>
      <w:proofErr w:type="spellStart"/>
      <w:r w:rsidRPr="00B118AA">
        <w:rPr>
          <w:rFonts w:ascii="Arial" w:hAnsi="Arial" w:cs="Arial"/>
          <w:sz w:val="20"/>
          <w:szCs w:val="20"/>
          <w:lang w:val="en-US"/>
        </w:rPr>
        <w:t>Schätzle</w:t>
      </w:r>
      <w:proofErr w:type="spellEnd"/>
      <w:r w:rsidRPr="00B118AA">
        <w:rPr>
          <w:rFonts w:ascii="Arial" w:hAnsi="Arial" w:cs="Arial"/>
          <w:sz w:val="20"/>
          <w:szCs w:val="20"/>
          <w:lang w:val="en-US"/>
        </w:rPr>
        <w:t xml:space="preserve"> M, Lang NP, </w:t>
      </w:r>
      <w:proofErr w:type="spellStart"/>
      <w:r w:rsidRPr="00B118AA">
        <w:rPr>
          <w:rFonts w:ascii="Arial" w:hAnsi="Arial" w:cs="Arial"/>
          <w:sz w:val="20"/>
          <w:szCs w:val="20"/>
          <w:lang w:val="en-US"/>
        </w:rPr>
        <w:t>Ånerud</w:t>
      </w:r>
      <w:proofErr w:type="spellEnd"/>
      <w:r w:rsidRPr="00B118AA">
        <w:rPr>
          <w:rFonts w:ascii="Arial" w:hAnsi="Arial" w:cs="Arial"/>
          <w:sz w:val="20"/>
          <w:szCs w:val="20"/>
          <w:lang w:val="en-US"/>
        </w:rPr>
        <w:t xml:space="preserve"> Å, Boysen H, Bürgin W, </w:t>
      </w:r>
      <w:proofErr w:type="spellStart"/>
      <w:r w:rsidRPr="00B118AA">
        <w:rPr>
          <w:rFonts w:ascii="Arial" w:hAnsi="Arial" w:cs="Arial"/>
          <w:sz w:val="20"/>
          <w:szCs w:val="20"/>
          <w:lang w:val="en-US"/>
        </w:rPr>
        <w:t>Löe</w:t>
      </w:r>
      <w:proofErr w:type="spellEnd"/>
      <w:r w:rsidRPr="00B118AA">
        <w:rPr>
          <w:rFonts w:ascii="Arial" w:hAnsi="Arial" w:cs="Arial"/>
          <w:sz w:val="20"/>
          <w:szCs w:val="20"/>
          <w:lang w:val="en-US"/>
        </w:rPr>
        <w:t xml:space="preserve"> H. The influence of margins of restorations on the periodontal tissues over 26 years: filling margin and periodontal condition. </w:t>
      </w:r>
      <w:r w:rsidRPr="00B118AA">
        <w:rPr>
          <w:rFonts w:ascii="Arial" w:hAnsi="Arial" w:cs="Arial"/>
          <w:i/>
          <w:iCs/>
          <w:sz w:val="20"/>
          <w:szCs w:val="20"/>
          <w:lang w:val="en-US"/>
        </w:rPr>
        <w:t>J Clin Periodontol</w:t>
      </w:r>
      <w:r w:rsidRPr="00B118AA">
        <w:rPr>
          <w:rFonts w:ascii="Arial" w:hAnsi="Arial" w:cs="Arial"/>
          <w:sz w:val="20"/>
          <w:szCs w:val="20"/>
          <w:lang w:val="en-US"/>
        </w:rPr>
        <w:t xml:space="preserve">. </w:t>
      </w:r>
      <w:proofErr w:type="gramStart"/>
      <w:r w:rsidRPr="00B118AA">
        <w:rPr>
          <w:rFonts w:ascii="Arial" w:hAnsi="Arial" w:cs="Arial"/>
          <w:sz w:val="20"/>
          <w:szCs w:val="20"/>
          <w:lang w:val="en-US"/>
        </w:rPr>
        <w:t>2001;28:57</w:t>
      </w:r>
      <w:proofErr w:type="gramEnd"/>
      <w:r w:rsidRPr="00B118AA">
        <w:rPr>
          <w:rFonts w:ascii="Arial" w:hAnsi="Arial" w:cs="Arial"/>
          <w:sz w:val="20"/>
          <w:szCs w:val="20"/>
          <w:lang w:val="en-US"/>
        </w:rPr>
        <w:t xml:space="preserve">–64.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10.1111/j.1600-051X.2001.</w:t>
      </w:r>
      <w:proofErr w:type="gramStart"/>
      <w:r w:rsidRPr="00B118AA">
        <w:rPr>
          <w:rFonts w:ascii="Arial" w:hAnsi="Arial" w:cs="Arial"/>
          <w:sz w:val="20"/>
          <w:szCs w:val="20"/>
          <w:lang w:val="en-US"/>
        </w:rPr>
        <w:t>280109.x.</w:t>
      </w:r>
      <w:proofErr w:type="gramEnd"/>
    </w:p>
    <w:p w14:paraId="0D5F39A0" w14:textId="77777777" w:rsidR="00B118AA" w:rsidRPr="00B118AA" w:rsidRDefault="00B118AA" w:rsidP="00B118AA">
      <w:pPr>
        <w:pStyle w:val="PargrafodaLista"/>
        <w:numPr>
          <w:ilvl w:val="0"/>
          <w:numId w:val="31"/>
        </w:numPr>
        <w:tabs>
          <w:tab w:val="left" w:pos="284"/>
        </w:tabs>
        <w:spacing w:line="360" w:lineRule="auto"/>
        <w:ind w:left="284"/>
        <w:jc w:val="both"/>
        <w:rPr>
          <w:rFonts w:ascii="Arial" w:hAnsi="Arial" w:cs="Arial"/>
          <w:sz w:val="20"/>
          <w:szCs w:val="20"/>
          <w:lang w:val="en-US"/>
        </w:rPr>
      </w:pPr>
      <w:r w:rsidRPr="00B118AA">
        <w:rPr>
          <w:rFonts w:ascii="Arial" w:hAnsi="Arial" w:cs="Arial"/>
          <w:sz w:val="20"/>
          <w:szCs w:val="20"/>
          <w:lang w:val="en-US"/>
        </w:rPr>
        <w:t xml:space="preserve">Gargiulo AW, Wentz FM, Orban B. Dimensions and relations of the </w:t>
      </w:r>
      <w:proofErr w:type="spellStart"/>
      <w:r w:rsidRPr="00B118AA">
        <w:rPr>
          <w:rFonts w:ascii="Arial" w:hAnsi="Arial" w:cs="Arial"/>
          <w:sz w:val="20"/>
          <w:szCs w:val="20"/>
          <w:lang w:val="en-US"/>
        </w:rPr>
        <w:t>dentogingival</w:t>
      </w:r>
      <w:proofErr w:type="spellEnd"/>
      <w:r w:rsidRPr="00B118AA">
        <w:rPr>
          <w:rFonts w:ascii="Arial" w:hAnsi="Arial" w:cs="Arial"/>
          <w:sz w:val="20"/>
          <w:szCs w:val="20"/>
          <w:lang w:val="en-US"/>
        </w:rPr>
        <w:t xml:space="preserve"> junction in humans. J </w:t>
      </w:r>
      <w:proofErr w:type="spellStart"/>
      <w:r w:rsidRPr="00B118AA">
        <w:rPr>
          <w:rFonts w:ascii="Arial" w:hAnsi="Arial" w:cs="Arial"/>
          <w:sz w:val="20"/>
          <w:szCs w:val="20"/>
          <w:lang w:val="en-US"/>
        </w:rPr>
        <w:t>Periodontol</w:t>
      </w:r>
      <w:proofErr w:type="spellEnd"/>
      <w:r w:rsidRPr="00B118AA">
        <w:rPr>
          <w:rFonts w:ascii="Arial" w:hAnsi="Arial" w:cs="Arial"/>
          <w:sz w:val="20"/>
          <w:szCs w:val="20"/>
          <w:lang w:val="en-US"/>
        </w:rPr>
        <w:t>. 1961;32(3):261-7.</w:t>
      </w:r>
    </w:p>
    <w:p w14:paraId="19325890" w14:textId="77777777" w:rsidR="00B118AA" w:rsidRPr="00B118AA" w:rsidRDefault="00B118AA" w:rsidP="00B118AA">
      <w:pPr>
        <w:pStyle w:val="PargrafodaLista"/>
        <w:numPr>
          <w:ilvl w:val="0"/>
          <w:numId w:val="31"/>
        </w:numPr>
        <w:tabs>
          <w:tab w:val="left" w:pos="142"/>
          <w:tab w:val="left" w:pos="284"/>
        </w:tabs>
        <w:spacing w:line="360" w:lineRule="auto"/>
        <w:ind w:left="284"/>
        <w:jc w:val="both"/>
        <w:rPr>
          <w:rFonts w:ascii="Arial" w:hAnsi="Arial" w:cs="Arial"/>
          <w:sz w:val="20"/>
          <w:szCs w:val="20"/>
          <w:lang w:val="en-US"/>
        </w:rPr>
      </w:pPr>
      <w:r w:rsidRPr="00B118AA">
        <w:rPr>
          <w:rFonts w:ascii="Arial" w:hAnsi="Arial" w:cs="Arial"/>
          <w:sz w:val="20"/>
          <w:szCs w:val="20"/>
        </w:rPr>
        <w:t>Santos CML, Luz D, Barboza ESP. Restabelecimento do espaço biológico periodontal: um relato de caso. </w:t>
      </w:r>
      <w:r w:rsidRPr="00B118AA">
        <w:rPr>
          <w:rFonts w:ascii="Arial" w:hAnsi="Arial" w:cs="Arial"/>
          <w:i/>
          <w:iCs/>
          <w:sz w:val="20"/>
          <w:szCs w:val="20"/>
          <w:lang w:val="en-US"/>
        </w:rPr>
        <w:t xml:space="preserve">Rev Flum </w:t>
      </w:r>
      <w:proofErr w:type="spellStart"/>
      <w:r w:rsidRPr="00B118AA">
        <w:rPr>
          <w:rFonts w:ascii="Arial" w:hAnsi="Arial" w:cs="Arial"/>
          <w:i/>
          <w:iCs/>
          <w:sz w:val="20"/>
          <w:szCs w:val="20"/>
          <w:lang w:val="en-US"/>
        </w:rPr>
        <w:t>Odontol</w:t>
      </w:r>
      <w:proofErr w:type="spellEnd"/>
      <w:r w:rsidRPr="00B118AA">
        <w:rPr>
          <w:rFonts w:ascii="Arial" w:hAnsi="Arial" w:cs="Arial"/>
          <w:sz w:val="20"/>
          <w:szCs w:val="20"/>
          <w:lang w:val="en-US"/>
        </w:rPr>
        <w:t xml:space="preserve">. 2018;1(49).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10.22409/</w:t>
      </w:r>
      <w:proofErr w:type="gramStart"/>
      <w:r w:rsidRPr="00B118AA">
        <w:rPr>
          <w:rFonts w:ascii="Arial" w:hAnsi="Arial" w:cs="Arial"/>
          <w:sz w:val="20"/>
          <w:szCs w:val="20"/>
          <w:lang w:val="en-US"/>
        </w:rPr>
        <w:t>ijosd.v</w:t>
      </w:r>
      <w:proofErr w:type="gramEnd"/>
      <w:r w:rsidRPr="00B118AA">
        <w:rPr>
          <w:rFonts w:ascii="Arial" w:hAnsi="Arial" w:cs="Arial"/>
          <w:sz w:val="20"/>
          <w:szCs w:val="20"/>
          <w:lang w:val="en-US"/>
        </w:rPr>
        <w:t>1i49.</w:t>
      </w:r>
    </w:p>
    <w:p w14:paraId="3B7C50F3" w14:textId="77777777" w:rsidR="00B118AA" w:rsidRPr="00B118AA" w:rsidRDefault="00B118AA" w:rsidP="00B118AA">
      <w:pPr>
        <w:pStyle w:val="PargrafodaLista"/>
        <w:numPr>
          <w:ilvl w:val="0"/>
          <w:numId w:val="31"/>
        </w:numPr>
        <w:tabs>
          <w:tab w:val="left" w:pos="142"/>
          <w:tab w:val="left" w:pos="284"/>
        </w:tabs>
        <w:spacing w:line="360" w:lineRule="auto"/>
        <w:ind w:left="284"/>
        <w:jc w:val="both"/>
        <w:rPr>
          <w:rFonts w:ascii="Arial" w:hAnsi="Arial" w:cs="Arial"/>
          <w:sz w:val="20"/>
          <w:szCs w:val="20"/>
          <w:lang w:val="en-US"/>
        </w:rPr>
      </w:pPr>
      <w:proofErr w:type="spellStart"/>
      <w:r w:rsidRPr="00B118AA">
        <w:rPr>
          <w:rFonts w:ascii="Arial" w:hAnsi="Arial" w:cs="Arial"/>
          <w:sz w:val="20"/>
          <w:szCs w:val="20"/>
          <w:lang w:val="en-US"/>
        </w:rPr>
        <w:t>Hausdörfer</w:t>
      </w:r>
      <w:proofErr w:type="spellEnd"/>
      <w:r w:rsidRPr="00B118AA">
        <w:rPr>
          <w:rFonts w:ascii="Arial" w:hAnsi="Arial" w:cs="Arial"/>
          <w:sz w:val="20"/>
          <w:szCs w:val="20"/>
          <w:lang w:val="en-US"/>
        </w:rPr>
        <w:t xml:space="preserve"> T, </w:t>
      </w:r>
      <w:proofErr w:type="spellStart"/>
      <w:r w:rsidRPr="00B118AA">
        <w:rPr>
          <w:rFonts w:ascii="Arial" w:hAnsi="Arial" w:cs="Arial"/>
          <w:sz w:val="20"/>
          <w:szCs w:val="20"/>
          <w:lang w:val="en-US"/>
        </w:rPr>
        <w:t>Lechte</w:t>
      </w:r>
      <w:proofErr w:type="spellEnd"/>
      <w:r w:rsidRPr="00B118AA">
        <w:rPr>
          <w:rFonts w:ascii="Arial" w:hAnsi="Arial" w:cs="Arial"/>
          <w:sz w:val="20"/>
          <w:szCs w:val="20"/>
          <w:lang w:val="en-US"/>
        </w:rPr>
        <w:t xml:space="preserve"> C, </w:t>
      </w:r>
      <w:proofErr w:type="spellStart"/>
      <w:r w:rsidRPr="00B118AA">
        <w:rPr>
          <w:rFonts w:ascii="Arial" w:hAnsi="Arial" w:cs="Arial"/>
          <w:sz w:val="20"/>
          <w:szCs w:val="20"/>
          <w:lang w:val="en-US"/>
        </w:rPr>
        <w:t>Kanzow</w:t>
      </w:r>
      <w:proofErr w:type="spellEnd"/>
      <w:r w:rsidRPr="00B118AA">
        <w:rPr>
          <w:rFonts w:ascii="Arial" w:hAnsi="Arial" w:cs="Arial"/>
          <w:sz w:val="20"/>
          <w:szCs w:val="20"/>
          <w:lang w:val="en-US"/>
        </w:rPr>
        <w:t xml:space="preserve"> P, </w:t>
      </w:r>
      <w:proofErr w:type="spellStart"/>
      <w:r w:rsidRPr="00B118AA">
        <w:rPr>
          <w:rFonts w:ascii="Arial" w:hAnsi="Arial" w:cs="Arial"/>
          <w:sz w:val="20"/>
          <w:szCs w:val="20"/>
          <w:lang w:val="en-US"/>
        </w:rPr>
        <w:t>Rödig</w:t>
      </w:r>
      <w:proofErr w:type="spellEnd"/>
      <w:r w:rsidRPr="00B118AA">
        <w:rPr>
          <w:rFonts w:ascii="Arial" w:hAnsi="Arial" w:cs="Arial"/>
          <w:sz w:val="20"/>
          <w:szCs w:val="20"/>
          <w:lang w:val="en-US"/>
        </w:rPr>
        <w:t xml:space="preserve"> T, Wiegand A. Periodontal health in teeth treated with deep-margin-elevation and CAD/CAM partial lithium disilicate restorations—a prospective controlled trial. </w:t>
      </w:r>
      <w:r w:rsidRPr="00B118AA">
        <w:rPr>
          <w:rFonts w:ascii="Arial" w:hAnsi="Arial" w:cs="Arial"/>
          <w:i/>
          <w:iCs/>
          <w:sz w:val="20"/>
          <w:szCs w:val="20"/>
          <w:lang w:val="en-US"/>
        </w:rPr>
        <w:t xml:space="preserve">Clin Oral </w:t>
      </w:r>
      <w:proofErr w:type="spellStart"/>
      <w:r w:rsidRPr="00B118AA">
        <w:rPr>
          <w:rFonts w:ascii="Arial" w:hAnsi="Arial" w:cs="Arial"/>
          <w:i/>
          <w:iCs/>
          <w:sz w:val="20"/>
          <w:szCs w:val="20"/>
          <w:lang w:val="en-US"/>
        </w:rPr>
        <w:t>Investig</w:t>
      </w:r>
      <w:proofErr w:type="spellEnd"/>
      <w:r w:rsidRPr="00B118AA">
        <w:rPr>
          <w:rFonts w:ascii="Arial" w:hAnsi="Arial" w:cs="Arial"/>
          <w:sz w:val="20"/>
          <w:szCs w:val="20"/>
          <w:lang w:val="en-US"/>
        </w:rPr>
        <w:t xml:space="preserve">. </w:t>
      </w:r>
      <w:proofErr w:type="gramStart"/>
      <w:r w:rsidRPr="00B118AA">
        <w:rPr>
          <w:rFonts w:ascii="Arial" w:hAnsi="Arial" w:cs="Arial"/>
          <w:sz w:val="20"/>
          <w:szCs w:val="20"/>
          <w:lang w:val="en-US"/>
        </w:rPr>
        <w:t>2024;28:670</w:t>
      </w:r>
      <w:proofErr w:type="gramEnd"/>
      <w:r w:rsidRPr="00B118AA">
        <w:rPr>
          <w:rFonts w:ascii="Arial" w:hAnsi="Arial" w:cs="Arial"/>
          <w:sz w:val="20"/>
          <w:szCs w:val="20"/>
          <w:lang w:val="en-US"/>
        </w:rPr>
        <w:t xml:space="preserve">.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10.1007/s00784-024-06053-y.</w:t>
      </w:r>
    </w:p>
    <w:p w14:paraId="2B3A3C71" w14:textId="77777777" w:rsidR="00B118AA" w:rsidRPr="00B118AA" w:rsidRDefault="00B118AA" w:rsidP="00B118AA">
      <w:pPr>
        <w:pStyle w:val="PargrafodaLista"/>
        <w:numPr>
          <w:ilvl w:val="0"/>
          <w:numId w:val="31"/>
        </w:numPr>
        <w:tabs>
          <w:tab w:val="left" w:pos="142"/>
          <w:tab w:val="left" w:pos="284"/>
        </w:tabs>
        <w:spacing w:line="360" w:lineRule="auto"/>
        <w:ind w:left="284"/>
        <w:jc w:val="both"/>
        <w:rPr>
          <w:rFonts w:ascii="Arial" w:hAnsi="Arial" w:cs="Arial"/>
          <w:sz w:val="20"/>
          <w:szCs w:val="20"/>
          <w:lang w:val="en-US"/>
        </w:rPr>
      </w:pPr>
      <w:r w:rsidRPr="00B118AA">
        <w:rPr>
          <w:rFonts w:ascii="Arial" w:hAnsi="Arial" w:cs="Arial"/>
          <w:sz w:val="20"/>
          <w:szCs w:val="20"/>
        </w:rPr>
        <w:t xml:space="preserve">Steffens JP, Marcantonio RAC. Classificação das doenças e condições periodontais e </w:t>
      </w:r>
      <w:proofErr w:type="spellStart"/>
      <w:r w:rsidRPr="00B118AA">
        <w:rPr>
          <w:rFonts w:ascii="Arial" w:hAnsi="Arial" w:cs="Arial"/>
          <w:sz w:val="20"/>
          <w:szCs w:val="20"/>
        </w:rPr>
        <w:t>peri</w:t>
      </w:r>
      <w:proofErr w:type="spellEnd"/>
      <w:r w:rsidRPr="00B118AA">
        <w:rPr>
          <w:rFonts w:ascii="Arial" w:hAnsi="Arial" w:cs="Arial"/>
          <w:sz w:val="20"/>
          <w:szCs w:val="20"/>
        </w:rPr>
        <w:t xml:space="preserve">-implantares 2018: guia prático e </w:t>
      </w:r>
      <w:proofErr w:type="spellStart"/>
      <w:r w:rsidRPr="00B118AA">
        <w:rPr>
          <w:rFonts w:ascii="Arial" w:hAnsi="Arial" w:cs="Arial"/>
          <w:sz w:val="20"/>
          <w:szCs w:val="20"/>
        </w:rPr>
        <w:t>pontos-chave</w:t>
      </w:r>
      <w:proofErr w:type="spellEnd"/>
      <w:r w:rsidRPr="00B118AA">
        <w:rPr>
          <w:rFonts w:ascii="Arial" w:hAnsi="Arial" w:cs="Arial"/>
          <w:sz w:val="20"/>
          <w:szCs w:val="20"/>
        </w:rPr>
        <w:t>. </w:t>
      </w:r>
      <w:proofErr w:type="spellStart"/>
      <w:r w:rsidRPr="00B118AA">
        <w:rPr>
          <w:rFonts w:ascii="Arial" w:hAnsi="Arial" w:cs="Arial"/>
          <w:i/>
          <w:iCs/>
          <w:sz w:val="20"/>
          <w:szCs w:val="20"/>
        </w:rPr>
        <w:t>Rev</w:t>
      </w:r>
      <w:proofErr w:type="spellEnd"/>
      <w:r w:rsidRPr="00B118AA">
        <w:rPr>
          <w:rFonts w:ascii="Arial" w:hAnsi="Arial" w:cs="Arial"/>
          <w:i/>
          <w:iCs/>
          <w:sz w:val="20"/>
          <w:szCs w:val="20"/>
        </w:rPr>
        <w:t xml:space="preserve"> </w:t>
      </w:r>
      <w:proofErr w:type="spellStart"/>
      <w:r w:rsidRPr="00B118AA">
        <w:rPr>
          <w:rFonts w:ascii="Arial" w:hAnsi="Arial" w:cs="Arial"/>
          <w:i/>
          <w:iCs/>
          <w:sz w:val="20"/>
          <w:szCs w:val="20"/>
        </w:rPr>
        <w:t>Odontol</w:t>
      </w:r>
      <w:proofErr w:type="spellEnd"/>
      <w:r w:rsidRPr="00B118AA">
        <w:rPr>
          <w:rFonts w:ascii="Arial" w:hAnsi="Arial" w:cs="Arial"/>
          <w:i/>
          <w:iCs/>
          <w:sz w:val="20"/>
          <w:szCs w:val="20"/>
        </w:rPr>
        <w:t xml:space="preserve"> UNESP</w:t>
      </w:r>
      <w:r w:rsidRPr="00B118AA">
        <w:rPr>
          <w:rFonts w:ascii="Arial" w:hAnsi="Arial" w:cs="Arial"/>
          <w:sz w:val="20"/>
          <w:szCs w:val="20"/>
        </w:rPr>
        <w:t xml:space="preserve">. 2018;47(4):189-97. </w:t>
      </w:r>
      <w:proofErr w:type="spellStart"/>
      <w:r w:rsidRPr="00B118AA">
        <w:rPr>
          <w:rFonts w:ascii="Arial" w:hAnsi="Arial" w:cs="Arial"/>
          <w:sz w:val="20"/>
          <w:szCs w:val="20"/>
        </w:rPr>
        <w:t>doi</w:t>
      </w:r>
      <w:proofErr w:type="spellEnd"/>
      <w:r w:rsidRPr="00B118AA">
        <w:rPr>
          <w:rFonts w:ascii="Arial" w:hAnsi="Arial" w:cs="Arial"/>
          <w:sz w:val="20"/>
          <w:szCs w:val="20"/>
        </w:rPr>
        <w:t>: 10.1590/1807-2577.04704.</w:t>
      </w:r>
    </w:p>
    <w:p w14:paraId="742D7D6F" w14:textId="77777777" w:rsidR="00B118AA" w:rsidRPr="00B118AA" w:rsidRDefault="00B118AA" w:rsidP="00B118AA">
      <w:pPr>
        <w:pStyle w:val="PargrafodaLista"/>
        <w:numPr>
          <w:ilvl w:val="0"/>
          <w:numId w:val="31"/>
        </w:numPr>
        <w:tabs>
          <w:tab w:val="left" w:pos="142"/>
          <w:tab w:val="left" w:pos="284"/>
        </w:tabs>
        <w:spacing w:line="360" w:lineRule="auto"/>
        <w:ind w:left="284"/>
        <w:jc w:val="both"/>
        <w:rPr>
          <w:rFonts w:ascii="Arial" w:hAnsi="Arial" w:cs="Arial"/>
          <w:sz w:val="20"/>
          <w:szCs w:val="20"/>
          <w:lang w:val="en-US"/>
        </w:rPr>
      </w:pPr>
      <w:r w:rsidRPr="00B118AA">
        <w:rPr>
          <w:rFonts w:ascii="Arial" w:hAnsi="Arial" w:cs="Arial"/>
          <w:sz w:val="20"/>
          <w:szCs w:val="20"/>
          <w:lang w:val="en-US"/>
        </w:rPr>
        <w:t>Hickel R, Roulet JF, Bayne SC, et al. Recommendations for conducting controlled clinical studies of dental restorative materials. </w:t>
      </w:r>
      <w:r w:rsidRPr="00B118AA">
        <w:rPr>
          <w:rFonts w:ascii="Arial" w:hAnsi="Arial" w:cs="Arial"/>
          <w:i/>
          <w:iCs/>
          <w:sz w:val="20"/>
          <w:szCs w:val="20"/>
          <w:lang w:val="en-US"/>
        </w:rPr>
        <w:t>J Adhes Dent</w:t>
      </w:r>
      <w:r w:rsidRPr="00B118AA">
        <w:rPr>
          <w:rFonts w:ascii="Arial" w:hAnsi="Arial" w:cs="Arial"/>
          <w:sz w:val="20"/>
          <w:szCs w:val="20"/>
          <w:lang w:val="en-US"/>
        </w:rPr>
        <w:t xml:space="preserve">. 2007;9 Suppl 1:121-47.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10.3290/j.jad.a19262.</w:t>
      </w:r>
    </w:p>
    <w:p w14:paraId="103208FB" w14:textId="77777777" w:rsidR="00B118AA" w:rsidRPr="00B118AA" w:rsidRDefault="00B118AA" w:rsidP="00B118AA">
      <w:pPr>
        <w:pStyle w:val="PargrafodaLista"/>
        <w:numPr>
          <w:ilvl w:val="0"/>
          <w:numId w:val="31"/>
        </w:numPr>
        <w:tabs>
          <w:tab w:val="left" w:pos="142"/>
          <w:tab w:val="left" w:pos="284"/>
        </w:tabs>
        <w:spacing w:line="360" w:lineRule="auto"/>
        <w:ind w:left="284"/>
        <w:jc w:val="both"/>
        <w:rPr>
          <w:rFonts w:ascii="Arial" w:hAnsi="Arial" w:cs="Arial"/>
          <w:sz w:val="20"/>
          <w:szCs w:val="20"/>
          <w:lang w:val="en-US"/>
        </w:rPr>
      </w:pPr>
      <w:r w:rsidRPr="00B118AA">
        <w:rPr>
          <w:rFonts w:ascii="Arial" w:hAnsi="Arial" w:cs="Arial"/>
          <w:sz w:val="20"/>
          <w:szCs w:val="20"/>
          <w:lang w:val="en-US"/>
        </w:rPr>
        <w:t>Ismail HS, Ali AI. Periodontal health evaluation for deep margin elevation using bioactive composite versus bulk fill composite: a case report. </w:t>
      </w:r>
      <w:r w:rsidRPr="00B118AA">
        <w:rPr>
          <w:rFonts w:ascii="Arial" w:hAnsi="Arial" w:cs="Arial"/>
          <w:i/>
          <w:iCs/>
          <w:sz w:val="20"/>
          <w:szCs w:val="20"/>
          <w:lang w:val="en-US"/>
        </w:rPr>
        <w:t>Int J Med Dent Case Rep</w:t>
      </w:r>
      <w:r w:rsidRPr="00B118AA">
        <w:rPr>
          <w:rFonts w:ascii="Arial" w:hAnsi="Arial" w:cs="Arial"/>
          <w:sz w:val="20"/>
          <w:szCs w:val="20"/>
          <w:lang w:val="en-US"/>
        </w:rPr>
        <w:t xml:space="preserve">. </w:t>
      </w:r>
      <w:proofErr w:type="gramStart"/>
      <w:r w:rsidRPr="00B118AA">
        <w:rPr>
          <w:rFonts w:ascii="Arial" w:hAnsi="Arial" w:cs="Arial"/>
          <w:sz w:val="20"/>
          <w:szCs w:val="20"/>
          <w:lang w:val="en-US"/>
        </w:rPr>
        <w:t>2021;8:1</w:t>
      </w:r>
      <w:proofErr w:type="gramEnd"/>
      <w:r w:rsidRPr="00B118AA">
        <w:rPr>
          <w:rFonts w:ascii="Arial" w:hAnsi="Arial" w:cs="Arial"/>
          <w:sz w:val="20"/>
          <w:szCs w:val="20"/>
          <w:lang w:val="en-US"/>
        </w:rPr>
        <w:t xml:space="preserve">-4.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10.15713/ins.ijmdcr.161.</w:t>
      </w:r>
    </w:p>
    <w:p w14:paraId="6A8F502F" w14:textId="77777777" w:rsidR="00B118AA" w:rsidRPr="00B118AA" w:rsidRDefault="00B118AA" w:rsidP="00B118AA">
      <w:pPr>
        <w:pStyle w:val="PargrafodaLista"/>
        <w:numPr>
          <w:ilvl w:val="0"/>
          <w:numId w:val="31"/>
        </w:numPr>
        <w:tabs>
          <w:tab w:val="left" w:pos="142"/>
          <w:tab w:val="left" w:pos="284"/>
        </w:tabs>
        <w:spacing w:line="360" w:lineRule="auto"/>
        <w:ind w:left="284"/>
        <w:jc w:val="both"/>
        <w:rPr>
          <w:rFonts w:ascii="Arial" w:hAnsi="Arial" w:cs="Arial"/>
          <w:sz w:val="20"/>
          <w:szCs w:val="20"/>
          <w:lang w:val="en-US"/>
        </w:rPr>
      </w:pPr>
      <w:r w:rsidRPr="00B118AA">
        <w:rPr>
          <w:rFonts w:ascii="Arial" w:hAnsi="Arial" w:cs="Arial"/>
          <w:sz w:val="20"/>
          <w:szCs w:val="20"/>
          <w:lang w:val="en-US"/>
        </w:rPr>
        <w:t xml:space="preserve">Ismail HS, Ali AI, </w:t>
      </w:r>
      <w:proofErr w:type="spellStart"/>
      <w:r w:rsidRPr="00B118AA">
        <w:rPr>
          <w:rFonts w:ascii="Arial" w:hAnsi="Arial" w:cs="Arial"/>
          <w:sz w:val="20"/>
          <w:szCs w:val="20"/>
          <w:lang w:val="en-US"/>
        </w:rPr>
        <w:t>Mehesen</w:t>
      </w:r>
      <w:proofErr w:type="spellEnd"/>
      <w:r w:rsidRPr="00B118AA">
        <w:rPr>
          <w:rFonts w:ascii="Arial" w:hAnsi="Arial" w:cs="Arial"/>
          <w:sz w:val="20"/>
          <w:szCs w:val="20"/>
          <w:lang w:val="en-US"/>
        </w:rPr>
        <w:t xml:space="preserve"> RE, Garcia-Godoy F, Mahmoud SH. Clinical evaluation of subgingival open sandwich restorations: 3</w:t>
      </w:r>
      <w:r w:rsidRPr="00B118AA">
        <w:rPr>
          <w:rFonts w:ascii="Cambria Math" w:hAnsi="Cambria Math" w:cs="Cambria Math"/>
          <w:sz w:val="20"/>
          <w:szCs w:val="20"/>
          <w:lang w:val="en-US"/>
        </w:rPr>
        <w:t>‐</w:t>
      </w:r>
      <w:r w:rsidRPr="00B118AA">
        <w:rPr>
          <w:rFonts w:ascii="Arial" w:hAnsi="Arial" w:cs="Arial"/>
          <w:sz w:val="20"/>
          <w:szCs w:val="20"/>
          <w:lang w:val="en-US"/>
        </w:rPr>
        <w:t>year results of a randomized double</w:t>
      </w:r>
      <w:r w:rsidRPr="00B118AA">
        <w:rPr>
          <w:rFonts w:ascii="Cambria Math" w:hAnsi="Cambria Math" w:cs="Cambria Math"/>
          <w:sz w:val="20"/>
          <w:szCs w:val="20"/>
          <w:lang w:val="en-US"/>
        </w:rPr>
        <w:t>‐</w:t>
      </w:r>
      <w:r w:rsidRPr="00B118AA">
        <w:rPr>
          <w:rFonts w:ascii="Arial" w:hAnsi="Arial" w:cs="Arial"/>
          <w:sz w:val="20"/>
          <w:szCs w:val="20"/>
          <w:lang w:val="en-US"/>
        </w:rPr>
        <w:t>blind trial. </w:t>
      </w:r>
      <w:r w:rsidRPr="00B118AA">
        <w:rPr>
          <w:rFonts w:ascii="Arial" w:hAnsi="Arial" w:cs="Arial"/>
          <w:i/>
          <w:iCs/>
          <w:sz w:val="20"/>
          <w:szCs w:val="20"/>
          <w:lang w:val="en-US"/>
        </w:rPr>
        <w:t xml:space="preserve">J </w:t>
      </w:r>
      <w:proofErr w:type="spellStart"/>
      <w:r w:rsidRPr="00B118AA">
        <w:rPr>
          <w:rFonts w:ascii="Arial" w:hAnsi="Arial" w:cs="Arial"/>
          <w:i/>
          <w:iCs/>
          <w:sz w:val="20"/>
          <w:szCs w:val="20"/>
          <w:lang w:val="en-US"/>
        </w:rPr>
        <w:t>Esthet</w:t>
      </w:r>
      <w:proofErr w:type="spellEnd"/>
      <w:r w:rsidRPr="00B118AA">
        <w:rPr>
          <w:rFonts w:ascii="Arial" w:hAnsi="Arial" w:cs="Arial"/>
          <w:i/>
          <w:iCs/>
          <w:sz w:val="20"/>
          <w:szCs w:val="20"/>
          <w:lang w:val="en-US"/>
        </w:rPr>
        <w:t xml:space="preserve"> </w:t>
      </w:r>
      <w:proofErr w:type="spellStart"/>
      <w:r w:rsidRPr="00B118AA">
        <w:rPr>
          <w:rFonts w:ascii="Arial" w:hAnsi="Arial" w:cs="Arial"/>
          <w:i/>
          <w:iCs/>
          <w:sz w:val="20"/>
          <w:szCs w:val="20"/>
          <w:lang w:val="en-US"/>
        </w:rPr>
        <w:t>Restor</w:t>
      </w:r>
      <w:proofErr w:type="spellEnd"/>
      <w:r w:rsidRPr="00B118AA">
        <w:rPr>
          <w:rFonts w:ascii="Arial" w:hAnsi="Arial" w:cs="Arial"/>
          <w:i/>
          <w:iCs/>
          <w:sz w:val="20"/>
          <w:szCs w:val="20"/>
          <w:lang w:val="en-US"/>
        </w:rPr>
        <w:t xml:space="preserve"> Dent</w:t>
      </w:r>
      <w:r w:rsidRPr="00B118AA">
        <w:rPr>
          <w:rFonts w:ascii="Arial" w:hAnsi="Arial" w:cs="Arial"/>
          <w:sz w:val="20"/>
          <w:szCs w:val="20"/>
          <w:lang w:val="en-US"/>
        </w:rPr>
        <w:t xml:space="preserve">. 2023;35(1):1-15.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10.1111/jerd.13158.</w:t>
      </w:r>
    </w:p>
    <w:p w14:paraId="17041476" w14:textId="77777777" w:rsidR="00B118AA" w:rsidRPr="00B118AA" w:rsidRDefault="00B118AA" w:rsidP="00B118AA">
      <w:pPr>
        <w:pStyle w:val="PargrafodaLista"/>
        <w:numPr>
          <w:ilvl w:val="0"/>
          <w:numId w:val="31"/>
        </w:numPr>
        <w:tabs>
          <w:tab w:val="left" w:pos="142"/>
          <w:tab w:val="left" w:pos="284"/>
        </w:tabs>
        <w:spacing w:line="360" w:lineRule="auto"/>
        <w:ind w:left="284"/>
        <w:jc w:val="both"/>
        <w:rPr>
          <w:rFonts w:ascii="Arial" w:hAnsi="Arial" w:cs="Arial"/>
          <w:sz w:val="20"/>
          <w:szCs w:val="20"/>
          <w:lang w:val="en-US"/>
        </w:rPr>
      </w:pPr>
      <w:proofErr w:type="spellStart"/>
      <w:r w:rsidRPr="00B118AA">
        <w:rPr>
          <w:rFonts w:ascii="Arial" w:hAnsi="Arial" w:cs="Arial"/>
          <w:sz w:val="20"/>
          <w:szCs w:val="20"/>
        </w:rPr>
        <w:t>Drebel</w:t>
      </w:r>
      <w:proofErr w:type="spellEnd"/>
      <w:r w:rsidRPr="00B118AA">
        <w:rPr>
          <w:rFonts w:ascii="Arial" w:hAnsi="Arial" w:cs="Arial"/>
          <w:sz w:val="20"/>
          <w:szCs w:val="20"/>
        </w:rPr>
        <w:t xml:space="preserve"> DTGC, Montenegro SP. Elevação de margem gengival e restauração indireta em resina composta fresada em dente com margem </w:t>
      </w:r>
      <w:proofErr w:type="spellStart"/>
      <w:r w:rsidRPr="00B118AA">
        <w:rPr>
          <w:rFonts w:ascii="Arial" w:hAnsi="Arial" w:cs="Arial"/>
          <w:sz w:val="20"/>
          <w:szCs w:val="20"/>
        </w:rPr>
        <w:t>subgengival</w:t>
      </w:r>
      <w:proofErr w:type="spellEnd"/>
      <w:r w:rsidRPr="00B118AA">
        <w:rPr>
          <w:rFonts w:ascii="Arial" w:hAnsi="Arial" w:cs="Arial"/>
          <w:sz w:val="20"/>
          <w:szCs w:val="20"/>
        </w:rPr>
        <w:t>: relato de caso. </w:t>
      </w:r>
      <w:r w:rsidRPr="00B118AA">
        <w:rPr>
          <w:rFonts w:ascii="Arial" w:hAnsi="Arial" w:cs="Arial"/>
          <w:i/>
          <w:iCs/>
          <w:sz w:val="20"/>
          <w:szCs w:val="20"/>
          <w:lang w:val="en-US"/>
        </w:rPr>
        <w:t xml:space="preserve">Rev Nav </w:t>
      </w:r>
      <w:proofErr w:type="spellStart"/>
      <w:r w:rsidRPr="00B118AA">
        <w:rPr>
          <w:rFonts w:ascii="Arial" w:hAnsi="Arial" w:cs="Arial"/>
          <w:i/>
          <w:iCs/>
          <w:sz w:val="20"/>
          <w:szCs w:val="20"/>
          <w:lang w:val="en-US"/>
        </w:rPr>
        <w:t>Odontol</w:t>
      </w:r>
      <w:proofErr w:type="spellEnd"/>
      <w:r w:rsidRPr="00B118AA">
        <w:rPr>
          <w:rFonts w:ascii="Arial" w:hAnsi="Arial" w:cs="Arial"/>
          <w:sz w:val="20"/>
          <w:szCs w:val="20"/>
          <w:lang w:val="en-US"/>
        </w:rPr>
        <w:t>. 2024;51(2):33-42.</w:t>
      </w:r>
    </w:p>
    <w:p w14:paraId="1291B03D" w14:textId="77777777" w:rsidR="00B118AA" w:rsidRPr="00B118AA" w:rsidRDefault="00B118AA" w:rsidP="00B118AA">
      <w:pPr>
        <w:pStyle w:val="PargrafodaLista"/>
        <w:numPr>
          <w:ilvl w:val="0"/>
          <w:numId w:val="31"/>
        </w:numPr>
        <w:tabs>
          <w:tab w:val="left" w:pos="142"/>
          <w:tab w:val="left" w:pos="284"/>
        </w:tabs>
        <w:spacing w:line="360" w:lineRule="auto"/>
        <w:ind w:left="284"/>
        <w:jc w:val="both"/>
        <w:rPr>
          <w:rFonts w:ascii="Arial" w:hAnsi="Arial" w:cs="Arial"/>
          <w:sz w:val="20"/>
          <w:szCs w:val="20"/>
          <w:lang w:val="en-US"/>
        </w:rPr>
      </w:pPr>
      <w:r w:rsidRPr="00B118AA">
        <w:rPr>
          <w:rFonts w:ascii="Arial" w:hAnsi="Arial" w:cs="Arial"/>
          <w:sz w:val="20"/>
          <w:szCs w:val="20"/>
        </w:rPr>
        <w:t>Vieira RM, et al. Avaliação clínica retrospectiva de restaurações proximais de resina composta de classes III e IV. </w:t>
      </w:r>
      <w:proofErr w:type="spellStart"/>
      <w:r w:rsidRPr="00B118AA">
        <w:rPr>
          <w:rFonts w:ascii="Arial" w:hAnsi="Arial" w:cs="Arial"/>
          <w:i/>
          <w:iCs/>
          <w:sz w:val="20"/>
          <w:szCs w:val="20"/>
        </w:rPr>
        <w:t>Rev</w:t>
      </w:r>
      <w:proofErr w:type="spellEnd"/>
      <w:r w:rsidRPr="00B118AA">
        <w:rPr>
          <w:rFonts w:ascii="Arial" w:hAnsi="Arial" w:cs="Arial"/>
          <w:i/>
          <w:iCs/>
          <w:sz w:val="20"/>
          <w:szCs w:val="20"/>
        </w:rPr>
        <w:t xml:space="preserve"> </w:t>
      </w:r>
      <w:proofErr w:type="spellStart"/>
      <w:r w:rsidRPr="00B118AA">
        <w:rPr>
          <w:rFonts w:ascii="Arial" w:hAnsi="Arial" w:cs="Arial"/>
          <w:i/>
          <w:iCs/>
          <w:sz w:val="20"/>
          <w:szCs w:val="20"/>
        </w:rPr>
        <w:t>Bras</w:t>
      </w:r>
      <w:proofErr w:type="spellEnd"/>
      <w:r w:rsidRPr="00B118AA">
        <w:rPr>
          <w:rFonts w:ascii="Arial" w:hAnsi="Arial" w:cs="Arial"/>
          <w:i/>
          <w:iCs/>
          <w:sz w:val="20"/>
          <w:szCs w:val="20"/>
        </w:rPr>
        <w:t xml:space="preserve"> </w:t>
      </w:r>
      <w:proofErr w:type="spellStart"/>
      <w:r w:rsidRPr="00B118AA">
        <w:rPr>
          <w:rFonts w:ascii="Arial" w:hAnsi="Arial" w:cs="Arial"/>
          <w:i/>
          <w:iCs/>
          <w:sz w:val="20"/>
          <w:szCs w:val="20"/>
        </w:rPr>
        <w:t>Pesqui</w:t>
      </w:r>
      <w:proofErr w:type="spellEnd"/>
      <w:r w:rsidRPr="00B118AA">
        <w:rPr>
          <w:rFonts w:ascii="Arial" w:hAnsi="Arial" w:cs="Arial"/>
          <w:i/>
          <w:iCs/>
          <w:sz w:val="20"/>
          <w:szCs w:val="20"/>
        </w:rPr>
        <w:t xml:space="preserve"> Saúde</w:t>
      </w:r>
      <w:r w:rsidRPr="00B118AA">
        <w:rPr>
          <w:rFonts w:ascii="Arial" w:hAnsi="Arial" w:cs="Arial"/>
          <w:sz w:val="20"/>
          <w:szCs w:val="20"/>
        </w:rPr>
        <w:t>. 2014;16(2):39-47.</w:t>
      </w:r>
    </w:p>
    <w:p w14:paraId="7A22BE91" w14:textId="77777777" w:rsidR="00B118AA" w:rsidRPr="00B118AA" w:rsidRDefault="00B118AA" w:rsidP="00B118AA">
      <w:pPr>
        <w:pStyle w:val="PargrafodaLista"/>
        <w:numPr>
          <w:ilvl w:val="0"/>
          <w:numId w:val="31"/>
        </w:numPr>
        <w:tabs>
          <w:tab w:val="left" w:pos="142"/>
          <w:tab w:val="left" w:pos="284"/>
        </w:tabs>
        <w:spacing w:line="360" w:lineRule="auto"/>
        <w:ind w:left="284"/>
        <w:jc w:val="both"/>
        <w:rPr>
          <w:rFonts w:ascii="Arial" w:hAnsi="Arial" w:cs="Arial"/>
          <w:sz w:val="20"/>
          <w:szCs w:val="20"/>
          <w:lang w:val="en-US"/>
        </w:rPr>
      </w:pPr>
      <w:proofErr w:type="spellStart"/>
      <w:r w:rsidRPr="00B118AA">
        <w:rPr>
          <w:rFonts w:ascii="Arial" w:hAnsi="Arial" w:cs="Arial"/>
          <w:sz w:val="20"/>
          <w:szCs w:val="20"/>
        </w:rPr>
        <w:t>Jepsen</w:t>
      </w:r>
      <w:proofErr w:type="spellEnd"/>
      <w:r w:rsidRPr="00B118AA">
        <w:rPr>
          <w:rFonts w:ascii="Arial" w:hAnsi="Arial" w:cs="Arial"/>
          <w:sz w:val="20"/>
          <w:szCs w:val="20"/>
        </w:rPr>
        <w:t xml:space="preserve"> S, et al. Periodontal </w:t>
      </w:r>
      <w:proofErr w:type="spellStart"/>
      <w:r w:rsidRPr="00B118AA">
        <w:rPr>
          <w:rFonts w:ascii="Arial" w:hAnsi="Arial" w:cs="Arial"/>
          <w:sz w:val="20"/>
          <w:szCs w:val="20"/>
        </w:rPr>
        <w:t>Manifestation</w:t>
      </w:r>
      <w:proofErr w:type="spellEnd"/>
      <w:r w:rsidRPr="00B118AA">
        <w:rPr>
          <w:rFonts w:ascii="Arial" w:hAnsi="Arial" w:cs="Arial"/>
          <w:sz w:val="20"/>
          <w:szCs w:val="20"/>
        </w:rPr>
        <w:t xml:space="preserve"> </w:t>
      </w:r>
      <w:proofErr w:type="spellStart"/>
      <w:r w:rsidRPr="00B118AA">
        <w:rPr>
          <w:rFonts w:ascii="Arial" w:hAnsi="Arial" w:cs="Arial"/>
          <w:sz w:val="20"/>
          <w:szCs w:val="20"/>
        </w:rPr>
        <w:t>of</w:t>
      </w:r>
      <w:proofErr w:type="spellEnd"/>
      <w:r w:rsidRPr="00B118AA">
        <w:rPr>
          <w:rFonts w:ascii="Arial" w:hAnsi="Arial" w:cs="Arial"/>
          <w:sz w:val="20"/>
          <w:szCs w:val="20"/>
        </w:rPr>
        <w:t xml:space="preserve"> </w:t>
      </w:r>
      <w:proofErr w:type="spellStart"/>
      <w:r w:rsidRPr="00B118AA">
        <w:rPr>
          <w:rFonts w:ascii="Arial" w:hAnsi="Arial" w:cs="Arial"/>
          <w:sz w:val="20"/>
          <w:szCs w:val="20"/>
        </w:rPr>
        <w:t>systemic</w:t>
      </w:r>
      <w:proofErr w:type="spellEnd"/>
      <w:r w:rsidRPr="00B118AA">
        <w:rPr>
          <w:rFonts w:ascii="Arial" w:hAnsi="Arial" w:cs="Arial"/>
          <w:sz w:val="20"/>
          <w:szCs w:val="20"/>
        </w:rPr>
        <w:t xml:space="preserve"> </w:t>
      </w:r>
      <w:proofErr w:type="spellStart"/>
      <w:r w:rsidRPr="00B118AA">
        <w:rPr>
          <w:rFonts w:ascii="Arial" w:hAnsi="Arial" w:cs="Arial"/>
          <w:sz w:val="20"/>
          <w:szCs w:val="20"/>
        </w:rPr>
        <w:t>diesases</w:t>
      </w:r>
      <w:proofErr w:type="spellEnd"/>
      <w:r w:rsidRPr="00B118AA">
        <w:rPr>
          <w:rFonts w:ascii="Arial" w:hAnsi="Arial" w:cs="Arial"/>
          <w:sz w:val="20"/>
          <w:szCs w:val="20"/>
        </w:rPr>
        <w:t xml:space="preserve"> </w:t>
      </w:r>
      <w:proofErr w:type="spellStart"/>
      <w:r w:rsidRPr="00B118AA">
        <w:rPr>
          <w:rFonts w:ascii="Arial" w:hAnsi="Arial" w:cs="Arial"/>
          <w:sz w:val="20"/>
          <w:szCs w:val="20"/>
        </w:rPr>
        <w:t>and</w:t>
      </w:r>
      <w:proofErr w:type="spellEnd"/>
      <w:r w:rsidRPr="00B118AA">
        <w:rPr>
          <w:rFonts w:ascii="Arial" w:hAnsi="Arial" w:cs="Arial"/>
          <w:sz w:val="20"/>
          <w:szCs w:val="20"/>
        </w:rPr>
        <w:t xml:space="preserve"> </w:t>
      </w:r>
      <w:proofErr w:type="spellStart"/>
      <w:r w:rsidRPr="00B118AA">
        <w:rPr>
          <w:rFonts w:ascii="Arial" w:hAnsi="Arial" w:cs="Arial"/>
          <w:sz w:val="20"/>
          <w:szCs w:val="20"/>
        </w:rPr>
        <w:t>developmental</w:t>
      </w:r>
      <w:proofErr w:type="spellEnd"/>
      <w:r w:rsidRPr="00B118AA">
        <w:rPr>
          <w:rFonts w:ascii="Arial" w:hAnsi="Arial" w:cs="Arial"/>
          <w:sz w:val="20"/>
          <w:szCs w:val="20"/>
        </w:rPr>
        <w:t xml:space="preserve"> </w:t>
      </w:r>
      <w:proofErr w:type="spellStart"/>
      <w:r w:rsidRPr="00B118AA">
        <w:rPr>
          <w:rFonts w:ascii="Arial" w:hAnsi="Arial" w:cs="Arial"/>
          <w:sz w:val="20"/>
          <w:szCs w:val="20"/>
        </w:rPr>
        <w:t>and</w:t>
      </w:r>
      <w:proofErr w:type="spellEnd"/>
      <w:r w:rsidRPr="00B118AA">
        <w:rPr>
          <w:rFonts w:ascii="Arial" w:hAnsi="Arial" w:cs="Arial"/>
          <w:sz w:val="20"/>
          <w:szCs w:val="20"/>
        </w:rPr>
        <w:t xml:space="preserve"> </w:t>
      </w:r>
      <w:proofErr w:type="spellStart"/>
      <w:r w:rsidRPr="00B118AA">
        <w:rPr>
          <w:rFonts w:ascii="Arial" w:hAnsi="Arial" w:cs="Arial"/>
          <w:sz w:val="20"/>
          <w:szCs w:val="20"/>
        </w:rPr>
        <w:t>acquired</w:t>
      </w:r>
      <w:proofErr w:type="spellEnd"/>
      <w:r w:rsidRPr="00B118AA">
        <w:rPr>
          <w:rFonts w:ascii="Arial" w:hAnsi="Arial" w:cs="Arial"/>
          <w:sz w:val="20"/>
          <w:szCs w:val="20"/>
        </w:rPr>
        <w:t xml:space="preserve"> </w:t>
      </w:r>
      <w:proofErr w:type="spellStart"/>
      <w:r w:rsidRPr="00B118AA">
        <w:rPr>
          <w:rFonts w:ascii="Arial" w:hAnsi="Arial" w:cs="Arial"/>
          <w:sz w:val="20"/>
          <w:szCs w:val="20"/>
        </w:rPr>
        <w:t>conditions</w:t>
      </w:r>
      <w:proofErr w:type="spellEnd"/>
      <w:r w:rsidRPr="00B118AA">
        <w:rPr>
          <w:rFonts w:ascii="Arial" w:hAnsi="Arial" w:cs="Arial"/>
          <w:sz w:val="20"/>
          <w:szCs w:val="20"/>
        </w:rPr>
        <w:t xml:space="preserve">: Consensus reporto f workgroup 3 </w:t>
      </w:r>
      <w:proofErr w:type="spellStart"/>
      <w:r w:rsidRPr="00B118AA">
        <w:rPr>
          <w:rFonts w:ascii="Arial" w:hAnsi="Arial" w:cs="Arial"/>
          <w:sz w:val="20"/>
          <w:szCs w:val="20"/>
        </w:rPr>
        <w:t>of</w:t>
      </w:r>
      <w:proofErr w:type="spellEnd"/>
      <w:r w:rsidRPr="00B118AA">
        <w:rPr>
          <w:rFonts w:ascii="Arial" w:hAnsi="Arial" w:cs="Arial"/>
          <w:sz w:val="20"/>
          <w:szCs w:val="20"/>
        </w:rPr>
        <w:t xml:space="preserve"> </w:t>
      </w:r>
      <w:proofErr w:type="spellStart"/>
      <w:r w:rsidRPr="00B118AA">
        <w:rPr>
          <w:rFonts w:ascii="Arial" w:hAnsi="Arial" w:cs="Arial"/>
          <w:sz w:val="20"/>
          <w:szCs w:val="20"/>
        </w:rPr>
        <w:t>the</w:t>
      </w:r>
      <w:proofErr w:type="spellEnd"/>
      <w:r w:rsidRPr="00B118AA">
        <w:rPr>
          <w:rFonts w:ascii="Arial" w:hAnsi="Arial" w:cs="Arial"/>
          <w:sz w:val="20"/>
          <w:szCs w:val="20"/>
        </w:rPr>
        <w:t xml:space="preserve"> 2017 World Workshop </w:t>
      </w:r>
      <w:proofErr w:type="spellStart"/>
      <w:r w:rsidRPr="00B118AA">
        <w:rPr>
          <w:rFonts w:ascii="Arial" w:hAnsi="Arial" w:cs="Arial"/>
          <w:sz w:val="20"/>
          <w:szCs w:val="20"/>
        </w:rPr>
        <w:t>on</w:t>
      </w:r>
      <w:proofErr w:type="spellEnd"/>
      <w:r w:rsidRPr="00B118AA">
        <w:rPr>
          <w:rFonts w:ascii="Arial" w:hAnsi="Arial" w:cs="Arial"/>
          <w:sz w:val="20"/>
          <w:szCs w:val="20"/>
        </w:rPr>
        <w:t xml:space="preserve"> </w:t>
      </w:r>
      <w:proofErr w:type="spellStart"/>
      <w:r w:rsidRPr="00B118AA">
        <w:rPr>
          <w:rFonts w:ascii="Arial" w:hAnsi="Arial" w:cs="Arial"/>
          <w:sz w:val="20"/>
          <w:szCs w:val="20"/>
        </w:rPr>
        <w:t>the</w:t>
      </w:r>
      <w:proofErr w:type="spellEnd"/>
      <w:r w:rsidRPr="00B118AA">
        <w:rPr>
          <w:rFonts w:ascii="Arial" w:hAnsi="Arial" w:cs="Arial"/>
          <w:sz w:val="20"/>
          <w:szCs w:val="20"/>
        </w:rPr>
        <w:t xml:space="preserve"> </w:t>
      </w:r>
      <w:proofErr w:type="spellStart"/>
      <w:r w:rsidRPr="00B118AA">
        <w:rPr>
          <w:rFonts w:ascii="Arial" w:hAnsi="Arial" w:cs="Arial"/>
          <w:sz w:val="20"/>
          <w:szCs w:val="20"/>
        </w:rPr>
        <w:t>Classification</w:t>
      </w:r>
      <w:proofErr w:type="spellEnd"/>
      <w:r w:rsidRPr="00B118AA">
        <w:rPr>
          <w:rFonts w:ascii="Arial" w:hAnsi="Arial" w:cs="Arial"/>
          <w:sz w:val="20"/>
          <w:szCs w:val="20"/>
        </w:rPr>
        <w:t xml:space="preserve"> </w:t>
      </w:r>
      <w:proofErr w:type="spellStart"/>
      <w:r w:rsidRPr="00B118AA">
        <w:rPr>
          <w:rFonts w:ascii="Arial" w:hAnsi="Arial" w:cs="Arial"/>
          <w:sz w:val="20"/>
          <w:szCs w:val="20"/>
        </w:rPr>
        <w:t>of</w:t>
      </w:r>
      <w:proofErr w:type="spellEnd"/>
      <w:r w:rsidRPr="00B118AA">
        <w:rPr>
          <w:rFonts w:ascii="Arial" w:hAnsi="Arial" w:cs="Arial"/>
          <w:sz w:val="20"/>
          <w:szCs w:val="20"/>
        </w:rPr>
        <w:t xml:space="preserve"> Periodontal </w:t>
      </w:r>
      <w:proofErr w:type="spellStart"/>
      <w:r w:rsidRPr="00B118AA">
        <w:rPr>
          <w:rFonts w:ascii="Arial" w:hAnsi="Arial" w:cs="Arial"/>
          <w:sz w:val="20"/>
          <w:szCs w:val="20"/>
        </w:rPr>
        <w:t>and</w:t>
      </w:r>
      <w:proofErr w:type="spellEnd"/>
      <w:r w:rsidRPr="00B118AA">
        <w:rPr>
          <w:rFonts w:ascii="Arial" w:hAnsi="Arial" w:cs="Arial"/>
          <w:sz w:val="20"/>
          <w:szCs w:val="20"/>
        </w:rPr>
        <w:t xml:space="preserve"> Peri-</w:t>
      </w:r>
      <w:proofErr w:type="spellStart"/>
      <w:r w:rsidRPr="00B118AA">
        <w:rPr>
          <w:rFonts w:ascii="Arial" w:hAnsi="Arial" w:cs="Arial"/>
          <w:sz w:val="20"/>
          <w:szCs w:val="20"/>
        </w:rPr>
        <w:t>implant</w:t>
      </w:r>
      <w:proofErr w:type="spellEnd"/>
      <w:r w:rsidRPr="00B118AA">
        <w:rPr>
          <w:rFonts w:ascii="Arial" w:hAnsi="Arial" w:cs="Arial"/>
          <w:sz w:val="20"/>
          <w:szCs w:val="20"/>
        </w:rPr>
        <w:t xml:space="preserve"> </w:t>
      </w:r>
      <w:proofErr w:type="spellStart"/>
      <w:r w:rsidRPr="00B118AA">
        <w:rPr>
          <w:rFonts w:ascii="Arial" w:hAnsi="Arial" w:cs="Arial"/>
          <w:sz w:val="20"/>
          <w:szCs w:val="20"/>
        </w:rPr>
        <w:t>Diseases</w:t>
      </w:r>
      <w:proofErr w:type="spellEnd"/>
      <w:r w:rsidRPr="00B118AA">
        <w:rPr>
          <w:rFonts w:ascii="Arial" w:hAnsi="Arial" w:cs="Arial"/>
          <w:sz w:val="20"/>
          <w:szCs w:val="20"/>
        </w:rPr>
        <w:t xml:space="preserve"> </w:t>
      </w:r>
      <w:proofErr w:type="spellStart"/>
      <w:r w:rsidRPr="00B118AA">
        <w:rPr>
          <w:rFonts w:ascii="Arial" w:hAnsi="Arial" w:cs="Arial"/>
          <w:sz w:val="20"/>
          <w:szCs w:val="20"/>
        </w:rPr>
        <w:t>and</w:t>
      </w:r>
      <w:proofErr w:type="spellEnd"/>
      <w:r w:rsidRPr="00B118AA">
        <w:rPr>
          <w:rFonts w:ascii="Arial" w:hAnsi="Arial" w:cs="Arial"/>
          <w:sz w:val="20"/>
          <w:szCs w:val="20"/>
        </w:rPr>
        <w:t xml:space="preserve"> </w:t>
      </w:r>
      <w:proofErr w:type="spellStart"/>
      <w:r w:rsidRPr="00B118AA">
        <w:rPr>
          <w:rFonts w:ascii="Arial" w:hAnsi="Arial" w:cs="Arial"/>
          <w:sz w:val="20"/>
          <w:szCs w:val="20"/>
        </w:rPr>
        <w:t>Conditions</w:t>
      </w:r>
      <w:proofErr w:type="spellEnd"/>
      <w:r w:rsidRPr="00B118AA">
        <w:rPr>
          <w:rFonts w:ascii="Arial" w:hAnsi="Arial" w:cs="Arial"/>
          <w:sz w:val="20"/>
          <w:szCs w:val="20"/>
        </w:rPr>
        <w:t xml:space="preserve">. </w:t>
      </w:r>
      <w:r w:rsidRPr="00B118AA">
        <w:rPr>
          <w:rFonts w:ascii="Arial" w:hAnsi="Arial" w:cs="Arial"/>
          <w:i/>
          <w:iCs/>
          <w:sz w:val="20"/>
          <w:szCs w:val="20"/>
        </w:rPr>
        <w:t>J. Periodontal</w:t>
      </w:r>
      <w:r w:rsidRPr="00B118AA">
        <w:rPr>
          <w:rFonts w:ascii="Arial" w:hAnsi="Arial" w:cs="Arial"/>
          <w:sz w:val="20"/>
          <w:szCs w:val="20"/>
        </w:rPr>
        <w:t xml:space="preserve">. 2018;89(1): 237-248. </w:t>
      </w:r>
      <w:proofErr w:type="spellStart"/>
      <w:r w:rsidRPr="00B118AA">
        <w:rPr>
          <w:rFonts w:ascii="Arial" w:hAnsi="Arial" w:cs="Arial"/>
          <w:sz w:val="20"/>
          <w:szCs w:val="20"/>
          <w:shd w:val="clear" w:color="auto" w:fill="FFFFFF"/>
        </w:rPr>
        <w:t>doi</w:t>
      </w:r>
      <w:proofErr w:type="spellEnd"/>
      <w:r w:rsidRPr="00B118AA">
        <w:rPr>
          <w:rFonts w:ascii="Arial" w:hAnsi="Arial" w:cs="Arial"/>
          <w:sz w:val="20"/>
          <w:szCs w:val="20"/>
          <w:shd w:val="clear" w:color="auto" w:fill="FFFFFF"/>
        </w:rPr>
        <w:t>: 10.1002/JPER.17-073.</w:t>
      </w:r>
    </w:p>
    <w:p w14:paraId="21F5B98A" w14:textId="77777777" w:rsidR="00B118AA" w:rsidRPr="00B118AA" w:rsidRDefault="00B118AA" w:rsidP="00B118AA">
      <w:pPr>
        <w:rPr>
          <w:rFonts w:ascii="Arial" w:hAnsi="Arial" w:cs="Arial"/>
        </w:rPr>
      </w:pPr>
    </w:p>
    <w:p w14:paraId="6ADB9628" w14:textId="77777777" w:rsidR="00B118AA" w:rsidRPr="00B118AA" w:rsidRDefault="00B118AA" w:rsidP="00B118AA">
      <w:pPr>
        <w:spacing w:line="360" w:lineRule="auto"/>
        <w:ind w:firstLine="708"/>
        <w:jc w:val="both"/>
        <w:rPr>
          <w:rFonts w:ascii="Arial" w:hAnsi="Arial" w:cs="Arial"/>
        </w:rPr>
      </w:pPr>
    </w:p>
    <w:p w14:paraId="531F0D88" w14:textId="77777777" w:rsidR="000D689F" w:rsidRPr="00B118AA" w:rsidRDefault="000D689F" w:rsidP="00441B6F">
      <w:pPr>
        <w:pStyle w:val="Body"/>
        <w:spacing w:after="0"/>
        <w:rPr>
          <w:rFonts w:ascii="Arial" w:hAnsi="Arial" w:cs="Arial"/>
        </w:rPr>
      </w:pPr>
    </w:p>
    <w:p w14:paraId="7FAB82A5" w14:textId="77777777" w:rsidR="00441B6F" w:rsidRPr="00B118AA" w:rsidRDefault="00441B6F" w:rsidP="00441B6F">
      <w:pPr>
        <w:pStyle w:val="Body"/>
        <w:spacing w:after="0"/>
        <w:jc w:val="left"/>
        <w:rPr>
          <w:rFonts w:ascii="Arial" w:hAnsi="Arial" w:cs="Arial"/>
        </w:rPr>
      </w:pPr>
    </w:p>
    <w:p w14:paraId="71BFE574" w14:textId="77777777" w:rsidR="00441B6F" w:rsidRPr="00B118AA" w:rsidRDefault="00441B6F" w:rsidP="00441B6F">
      <w:pPr>
        <w:pStyle w:val="Body"/>
        <w:spacing w:after="0"/>
        <w:jc w:val="left"/>
        <w:rPr>
          <w:rFonts w:ascii="Arial" w:hAnsi="Arial" w:cs="Arial"/>
        </w:rPr>
      </w:pPr>
    </w:p>
    <w:p w14:paraId="69D29A89" w14:textId="77777777" w:rsidR="00B01FCD" w:rsidRPr="00B118AA" w:rsidRDefault="00B01FCD" w:rsidP="00441B6F">
      <w:pPr>
        <w:pStyle w:val="Reference"/>
        <w:numPr>
          <w:ilvl w:val="0"/>
          <w:numId w:val="0"/>
        </w:numPr>
        <w:spacing w:line="240" w:lineRule="auto"/>
        <w:rPr>
          <w:rFonts w:ascii="Arial" w:hAnsi="Arial" w:cs="Arial"/>
        </w:rPr>
      </w:pPr>
    </w:p>
    <w:p w14:paraId="1524152C" w14:textId="77777777" w:rsidR="00790ADA" w:rsidRPr="00B118AA" w:rsidRDefault="00790ADA" w:rsidP="00441B6F">
      <w:pPr>
        <w:pStyle w:val="Body"/>
        <w:spacing w:after="0"/>
        <w:rPr>
          <w:rFonts w:ascii="Arial" w:hAnsi="Arial" w:cs="Arial"/>
        </w:rPr>
      </w:pPr>
    </w:p>
    <w:p w14:paraId="244CEBDD" w14:textId="28F4F6A5" w:rsidR="004D4277" w:rsidRPr="00B118AA" w:rsidRDefault="004D4277" w:rsidP="00441B6F">
      <w:pPr>
        <w:pStyle w:val="Appendix"/>
        <w:spacing w:after="0"/>
        <w:jc w:val="both"/>
        <w:rPr>
          <w:rFonts w:ascii="Arial" w:hAnsi="Arial" w:cs="Arial"/>
          <w:b w:val="0"/>
          <w:sz w:val="20"/>
        </w:rPr>
        <w:sectPr w:rsidR="004D4277" w:rsidRPr="00B118AA" w:rsidSect="00CC3F35">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36013D93" w14:textId="77777777" w:rsidR="00B01FCD" w:rsidRPr="00B118AA" w:rsidRDefault="00B01FCD" w:rsidP="00441B6F">
      <w:pPr>
        <w:pStyle w:val="Appendix"/>
        <w:spacing w:after="0"/>
        <w:jc w:val="both"/>
        <w:rPr>
          <w:rFonts w:ascii="Arial" w:hAnsi="Arial" w:cs="Arial"/>
          <w:b w:val="0"/>
          <w:sz w:val="20"/>
        </w:rPr>
      </w:pPr>
    </w:p>
    <w:sectPr w:rsidR="00B01FCD" w:rsidRPr="00B118AA" w:rsidSect="00CC3F3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DA4CB" w14:textId="77777777" w:rsidR="004B2BB3" w:rsidRDefault="004B2BB3" w:rsidP="00C37E61">
      <w:r>
        <w:separator/>
      </w:r>
    </w:p>
  </w:endnote>
  <w:endnote w:type="continuationSeparator" w:id="0">
    <w:p w14:paraId="2104263A" w14:textId="77777777" w:rsidR="004B2BB3" w:rsidRDefault="004B2BB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DEE8" w14:textId="77777777" w:rsidR="00CC3F35" w:rsidRDefault="00CC3F3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0F00" w14:textId="77777777" w:rsidR="00CC3F35" w:rsidRDefault="00CC3F3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491F" w14:textId="4EC12F47" w:rsidR="00754C9A" w:rsidRPr="00CC3F35" w:rsidRDefault="00754C9A" w:rsidP="00CC3F35">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CBD2" w14:textId="77777777" w:rsidR="00C37E61" w:rsidRPr="00C37E61" w:rsidRDefault="00C37E61" w:rsidP="00C37E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E4FC0" w14:textId="77777777" w:rsidR="004B2BB3" w:rsidRDefault="004B2BB3" w:rsidP="00C37E61">
      <w:r>
        <w:separator/>
      </w:r>
    </w:p>
  </w:footnote>
  <w:footnote w:type="continuationSeparator" w:id="0">
    <w:p w14:paraId="04A48408" w14:textId="77777777" w:rsidR="004B2BB3" w:rsidRDefault="004B2BB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783C" w14:textId="6E8E6334" w:rsidR="00CC3F35" w:rsidRDefault="003D3A17">
    <w:pPr>
      <w:pStyle w:val="Cabealho"/>
    </w:pPr>
    <w:r>
      <w:rPr>
        <w:noProof/>
      </w:rPr>
      <w:pict w14:anchorId="1B678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627188" o:spid="_x0000_s1030"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2822" w14:textId="2926E711" w:rsidR="00CC3F35" w:rsidRDefault="003D3A17">
    <w:pPr>
      <w:pStyle w:val="Cabealho"/>
    </w:pPr>
    <w:r>
      <w:rPr>
        <w:noProof/>
      </w:rPr>
      <w:pict w14:anchorId="7E374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627189" o:spid="_x0000_s1029"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E2D8" w14:textId="0C218681" w:rsidR="00296529" w:rsidRPr="00296529" w:rsidRDefault="003D3A17" w:rsidP="00296529">
    <w:pPr>
      <w:ind w:left="2160"/>
      <w:jc w:val="center"/>
      <w:rPr>
        <w:rFonts w:ascii="Times New Roman" w:eastAsia="Calibri" w:hAnsi="Times New Roman"/>
        <w:i/>
        <w:sz w:val="18"/>
        <w:szCs w:val="22"/>
      </w:rPr>
    </w:pPr>
    <w:r>
      <w:rPr>
        <w:noProof/>
      </w:rPr>
      <w:pict w14:anchorId="3D76A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627187" o:spid="_x0000_s1028"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63F9396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1D1D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FA2C3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7E8BE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C9DB8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DF8D119" w14:textId="77777777" w:rsidR="00296529" w:rsidRDefault="00754C9A">
    <w:pPr>
      <w:pStyle w:val="Cabealh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047B" w14:textId="4918AF4E" w:rsidR="00CC3F35" w:rsidRDefault="003D3A17">
    <w:pPr>
      <w:pStyle w:val="Cabealho"/>
    </w:pPr>
    <w:r>
      <w:rPr>
        <w:noProof/>
      </w:rPr>
      <w:pict w14:anchorId="7DB94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627191" o:spid="_x0000_s1027"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0242" w14:textId="703C276B" w:rsidR="00CC3F35" w:rsidRDefault="003D3A17">
    <w:pPr>
      <w:pStyle w:val="Cabealho"/>
    </w:pPr>
    <w:r>
      <w:rPr>
        <w:noProof/>
      </w:rPr>
      <w:pict w14:anchorId="09933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627192" o:spid="_x0000_s1026"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FF71" w14:textId="3398731B" w:rsidR="00CC3F35" w:rsidRDefault="003D3A17">
    <w:pPr>
      <w:pStyle w:val="Cabealho"/>
    </w:pPr>
    <w:r>
      <w:rPr>
        <w:noProof/>
      </w:rPr>
      <w:pict w14:anchorId="54073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627190" o:spid="_x0000_s1025"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BF0C1B"/>
    <w:multiLevelType w:val="hybridMultilevel"/>
    <w:tmpl w:val="548E2C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664F05"/>
    <w:multiLevelType w:val="hybridMultilevel"/>
    <w:tmpl w:val="F1223CAA"/>
    <w:lvl w:ilvl="0" w:tplc="2AC065D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978062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80604755">
    <w:abstractNumId w:val="16"/>
  </w:num>
  <w:num w:numId="3" w16cid:durableId="1282957564">
    <w:abstractNumId w:val="24"/>
  </w:num>
  <w:num w:numId="4" w16cid:durableId="14470008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14999734">
    <w:abstractNumId w:val="8"/>
  </w:num>
  <w:num w:numId="6" w16cid:durableId="1172262804">
    <w:abstractNumId w:val="7"/>
  </w:num>
  <w:num w:numId="7" w16cid:durableId="1967465910">
    <w:abstractNumId w:val="1"/>
  </w:num>
  <w:num w:numId="8" w16cid:durableId="1842112721">
    <w:abstractNumId w:val="13"/>
  </w:num>
  <w:num w:numId="9" w16cid:durableId="378479032">
    <w:abstractNumId w:val="27"/>
  </w:num>
  <w:num w:numId="10" w16cid:durableId="1874001976">
    <w:abstractNumId w:val="2"/>
  </w:num>
  <w:num w:numId="11" w16cid:durableId="656034945">
    <w:abstractNumId w:val="19"/>
  </w:num>
  <w:num w:numId="12" w16cid:durableId="1217157044">
    <w:abstractNumId w:val="3"/>
  </w:num>
  <w:num w:numId="13" w16cid:durableId="1083529962">
    <w:abstractNumId w:val="18"/>
  </w:num>
  <w:num w:numId="14" w16cid:durableId="27999869">
    <w:abstractNumId w:val="9"/>
  </w:num>
  <w:num w:numId="15" w16cid:durableId="254552997">
    <w:abstractNumId w:val="22"/>
  </w:num>
  <w:num w:numId="16" w16cid:durableId="166603149">
    <w:abstractNumId w:val="5"/>
  </w:num>
  <w:num w:numId="17" w16cid:durableId="1319117485">
    <w:abstractNumId w:val="23"/>
  </w:num>
  <w:num w:numId="18" w16cid:durableId="1335450088">
    <w:abstractNumId w:val="15"/>
  </w:num>
  <w:num w:numId="19" w16cid:durableId="625545967">
    <w:abstractNumId w:val="30"/>
  </w:num>
  <w:num w:numId="20" w16cid:durableId="1588222499">
    <w:abstractNumId w:val="12"/>
  </w:num>
  <w:num w:numId="21" w16cid:durableId="1769230927">
    <w:abstractNumId w:val="10"/>
  </w:num>
  <w:num w:numId="22" w16cid:durableId="1582641895">
    <w:abstractNumId w:val="14"/>
  </w:num>
  <w:num w:numId="23" w16cid:durableId="267129914">
    <w:abstractNumId w:val="20"/>
  </w:num>
  <w:num w:numId="24" w16cid:durableId="1109735630">
    <w:abstractNumId w:val="28"/>
  </w:num>
  <w:num w:numId="25" w16cid:durableId="1302003970">
    <w:abstractNumId w:val="4"/>
  </w:num>
  <w:num w:numId="26" w16cid:durableId="1622758173">
    <w:abstractNumId w:val="17"/>
  </w:num>
  <w:num w:numId="27" w16cid:durableId="1104811902">
    <w:abstractNumId w:val="21"/>
  </w:num>
  <w:num w:numId="28" w16cid:durableId="1901986480">
    <w:abstractNumId w:val="29"/>
  </w:num>
  <w:num w:numId="29" w16cid:durableId="1605771036">
    <w:abstractNumId w:val="26"/>
  </w:num>
  <w:num w:numId="30" w16cid:durableId="293101378">
    <w:abstractNumId w:val="11"/>
  </w:num>
  <w:num w:numId="31" w16cid:durableId="351956600">
    <w:abstractNumId w:val="25"/>
  </w:num>
  <w:num w:numId="32" w16cid:durableId="1233084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5B9"/>
    <w:rsid w:val="0000646F"/>
    <w:rsid w:val="00030174"/>
    <w:rsid w:val="0004579C"/>
    <w:rsid w:val="000779C0"/>
    <w:rsid w:val="00086B46"/>
    <w:rsid w:val="00095A3F"/>
    <w:rsid w:val="000A47FA"/>
    <w:rsid w:val="000A65D3"/>
    <w:rsid w:val="000B1E33"/>
    <w:rsid w:val="000D2757"/>
    <w:rsid w:val="000D689F"/>
    <w:rsid w:val="000E7B7B"/>
    <w:rsid w:val="000E7D62"/>
    <w:rsid w:val="00103357"/>
    <w:rsid w:val="00123C9F"/>
    <w:rsid w:val="00126190"/>
    <w:rsid w:val="00130F17"/>
    <w:rsid w:val="001320BF"/>
    <w:rsid w:val="00163BC4"/>
    <w:rsid w:val="00166EA0"/>
    <w:rsid w:val="00172825"/>
    <w:rsid w:val="001863DA"/>
    <w:rsid w:val="0019063C"/>
    <w:rsid w:val="00191062"/>
    <w:rsid w:val="00192B72"/>
    <w:rsid w:val="001A29D8"/>
    <w:rsid w:val="001A49CE"/>
    <w:rsid w:val="001A5CAA"/>
    <w:rsid w:val="001B0427"/>
    <w:rsid w:val="001D3A51"/>
    <w:rsid w:val="001E10D2"/>
    <w:rsid w:val="001E25B4"/>
    <w:rsid w:val="001E44FE"/>
    <w:rsid w:val="00200595"/>
    <w:rsid w:val="00204835"/>
    <w:rsid w:val="00220D36"/>
    <w:rsid w:val="00231920"/>
    <w:rsid w:val="0023195C"/>
    <w:rsid w:val="0024282C"/>
    <w:rsid w:val="002460DC"/>
    <w:rsid w:val="00246FBB"/>
    <w:rsid w:val="00250985"/>
    <w:rsid w:val="002556F6"/>
    <w:rsid w:val="00283105"/>
    <w:rsid w:val="00284C4C"/>
    <w:rsid w:val="00287E68"/>
    <w:rsid w:val="00296529"/>
    <w:rsid w:val="002B27FB"/>
    <w:rsid w:val="002B685A"/>
    <w:rsid w:val="002B712C"/>
    <w:rsid w:val="002C5759"/>
    <w:rsid w:val="002C57D2"/>
    <w:rsid w:val="002E0D56"/>
    <w:rsid w:val="002F307F"/>
    <w:rsid w:val="0030229C"/>
    <w:rsid w:val="00315186"/>
    <w:rsid w:val="0033343E"/>
    <w:rsid w:val="00344C49"/>
    <w:rsid w:val="003512C2"/>
    <w:rsid w:val="0035567F"/>
    <w:rsid w:val="00371FB6"/>
    <w:rsid w:val="003763C1"/>
    <w:rsid w:val="00376BBE"/>
    <w:rsid w:val="0039224F"/>
    <w:rsid w:val="003924F6"/>
    <w:rsid w:val="003A43A4"/>
    <w:rsid w:val="003A7E18"/>
    <w:rsid w:val="003C4C86"/>
    <w:rsid w:val="003C6258"/>
    <w:rsid w:val="003E080A"/>
    <w:rsid w:val="003E2904"/>
    <w:rsid w:val="00401927"/>
    <w:rsid w:val="004051B5"/>
    <w:rsid w:val="0041027F"/>
    <w:rsid w:val="00412475"/>
    <w:rsid w:val="00414CE6"/>
    <w:rsid w:val="00423789"/>
    <w:rsid w:val="00435990"/>
    <w:rsid w:val="00440F43"/>
    <w:rsid w:val="00441B6F"/>
    <w:rsid w:val="00443383"/>
    <w:rsid w:val="00446221"/>
    <w:rsid w:val="00450E62"/>
    <w:rsid w:val="004539DB"/>
    <w:rsid w:val="0046131E"/>
    <w:rsid w:val="00471A80"/>
    <w:rsid w:val="004A1312"/>
    <w:rsid w:val="004B2BB3"/>
    <w:rsid w:val="004D305E"/>
    <w:rsid w:val="004D4277"/>
    <w:rsid w:val="004D67A6"/>
    <w:rsid w:val="00502516"/>
    <w:rsid w:val="00505F06"/>
    <w:rsid w:val="00506828"/>
    <w:rsid w:val="00512CE3"/>
    <w:rsid w:val="0053056E"/>
    <w:rsid w:val="00554FDA"/>
    <w:rsid w:val="005806AE"/>
    <w:rsid w:val="005917F8"/>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2BF0"/>
    <w:rsid w:val="006966A5"/>
    <w:rsid w:val="006967F7"/>
    <w:rsid w:val="006A250C"/>
    <w:rsid w:val="006B21D3"/>
    <w:rsid w:val="006B57D0"/>
    <w:rsid w:val="006D30FF"/>
    <w:rsid w:val="006D6940"/>
    <w:rsid w:val="006F11EC"/>
    <w:rsid w:val="006F3044"/>
    <w:rsid w:val="0070082C"/>
    <w:rsid w:val="00702573"/>
    <w:rsid w:val="0071736A"/>
    <w:rsid w:val="007210C6"/>
    <w:rsid w:val="007227E5"/>
    <w:rsid w:val="007369E6"/>
    <w:rsid w:val="00737A5B"/>
    <w:rsid w:val="00746E59"/>
    <w:rsid w:val="00754C9A"/>
    <w:rsid w:val="0075599A"/>
    <w:rsid w:val="00761D52"/>
    <w:rsid w:val="0077749E"/>
    <w:rsid w:val="00790ADA"/>
    <w:rsid w:val="007B3164"/>
    <w:rsid w:val="007B6621"/>
    <w:rsid w:val="007D2288"/>
    <w:rsid w:val="007E088F"/>
    <w:rsid w:val="007F7B32"/>
    <w:rsid w:val="00801D07"/>
    <w:rsid w:val="00804BC2"/>
    <w:rsid w:val="0081431A"/>
    <w:rsid w:val="00827BC5"/>
    <w:rsid w:val="0083216F"/>
    <w:rsid w:val="00860000"/>
    <w:rsid w:val="00863BD3"/>
    <w:rsid w:val="008641ED"/>
    <w:rsid w:val="00866D66"/>
    <w:rsid w:val="008671C6"/>
    <w:rsid w:val="00874683"/>
    <w:rsid w:val="00875803"/>
    <w:rsid w:val="008B459E"/>
    <w:rsid w:val="008D4A09"/>
    <w:rsid w:val="008D588D"/>
    <w:rsid w:val="008E13AE"/>
    <w:rsid w:val="008E1506"/>
    <w:rsid w:val="008E710C"/>
    <w:rsid w:val="008F69D6"/>
    <w:rsid w:val="00902823"/>
    <w:rsid w:val="00915011"/>
    <w:rsid w:val="00915CA6"/>
    <w:rsid w:val="00921861"/>
    <w:rsid w:val="00927834"/>
    <w:rsid w:val="00937BD0"/>
    <w:rsid w:val="009500A6"/>
    <w:rsid w:val="00957C18"/>
    <w:rsid w:val="009659BA"/>
    <w:rsid w:val="00983040"/>
    <w:rsid w:val="00986CE3"/>
    <w:rsid w:val="009B3FB9"/>
    <w:rsid w:val="009B6851"/>
    <w:rsid w:val="009C2465"/>
    <w:rsid w:val="009D2C97"/>
    <w:rsid w:val="009D35A0"/>
    <w:rsid w:val="009D7EB7"/>
    <w:rsid w:val="009E048A"/>
    <w:rsid w:val="009E08E9"/>
    <w:rsid w:val="009E21D1"/>
    <w:rsid w:val="009E3DB9"/>
    <w:rsid w:val="009E6E35"/>
    <w:rsid w:val="009F0B34"/>
    <w:rsid w:val="009F0EDA"/>
    <w:rsid w:val="00A03B96"/>
    <w:rsid w:val="00A05B19"/>
    <w:rsid w:val="00A1134E"/>
    <w:rsid w:val="00A15406"/>
    <w:rsid w:val="00A17FE5"/>
    <w:rsid w:val="00A24E7E"/>
    <w:rsid w:val="00A258C3"/>
    <w:rsid w:val="00A27CFD"/>
    <w:rsid w:val="00A347C0"/>
    <w:rsid w:val="00A51431"/>
    <w:rsid w:val="00A539AD"/>
    <w:rsid w:val="00A5709B"/>
    <w:rsid w:val="00A94063"/>
    <w:rsid w:val="00AA6219"/>
    <w:rsid w:val="00AA74E0"/>
    <w:rsid w:val="00AB703F"/>
    <w:rsid w:val="00AC6BB8"/>
    <w:rsid w:val="00AD4D02"/>
    <w:rsid w:val="00AE008F"/>
    <w:rsid w:val="00AF0EF3"/>
    <w:rsid w:val="00B01FCD"/>
    <w:rsid w:val="00B118AA"/>
    <w:rsid w:val="00B1776C"/>
    <w:rsid w:val="00B52583"/>
    <w:rsid w:val="00B52896"/>
    <w:rsid w:val="00B9153C"/>
    <w:rsid w:val="00B95236"/>
    <w:rsid w:val="00B953A4"/>
    <w:rsid w:val="00B96BD9"/>
    <w:rsid w:val="00BA1B01"/>
    <w:rsid w:val="00BA2641"/>
    <w:rsid w:val="00BB37AA"/>
    <w:rsid w:val="00BC53A0"/>
    <w:rsid w:val="00BE62AD"/>
    <w:rsid w:val="00BF121F"/>
    <w:rsid w:val="00BF1F80"/>
    <w:rsid w:val="00C163CE"/>
    <w:rsid w:val="00C166EF"/>
    <w:rsid w:val="00C17EB0"/>
    <w:rsid w:val="00C27F5F"/>
    <w:rsid w:val="00C30A0F"/>
    <w:rsid w:val="00C37E61"/>
    <w:rsid w:val="00C42738"/>
    <w:rsid w:val="00C6396C"/>
    <w:rsid w:val="00C70F1B"/>
    <w:rsid w:val="00C71A47"/>
    <w:rsid w:val="00C7464C"/>
    <w:rsid w:val="00C74E5C"/>
    <w:rsid w:val="00C818B6"/>
    <w:rsid w:val="00C85588"/>
    <w:rsid w:val="00CB05BF"/>
    <w:rsid w:val="00CC3F35"/>
    <w:rsid w:val="00CD6755"/>
    <w:rsid w:val="00CD6856"/>
    <w:rsid w:val="00CE0089"/>
    <w:rsid w:val="00CE793C"/>
    <w:rsid w:val="00CF193C"/>
    <w:rsid w:val="00D173F1"/>
    <w:rsid w:val="00D220CD"/>
    <w:rsid w:val="00D23940"/>
    <w:rsid w:val="00D458F1"/>
    <w:rsid w:val="00D45B35"/>
    <w:rsid w:val="00D46E86"/>
    <w:rsid w:val="00D4775D"/>
    <w:rsid w:val="00D74CB0"/>
    <w:rsid w:val="00D8295D"/>
    <w:rsid w:val="00DB46D0"/>
    <w:rsid w:val="00DC2A65"/>
    <w:rsid w:val="00DC64A7"/>
    <w:rsid w:val="00DE15F0"/>
    <w:rsid w:val="00DE5663"/>
    <w:rsid w:val="00DE78AA"/>
    <w:rsid w:val="00DF5059"/>
    <w:rsid w:val="00E053D0"/>
    <w:rsid w:val="00E15994"/>
    <w:rsid w:val="00E3114E"/>
    <w:rsid w:val="00E31A70"/>
    <w:rsid w:val="00E35B02"/>
    <w:rsid w:val="00E66496"/>
    <w:rsid w:val="00E66B35"/>
    <w:rsid w:val="00E66E10"/>
    <w:rsid w:val="00E769F6"/>
    <w:rsid w:val="00E8407C"/>
    <w:rsid w:val="00E84F3C"/>
    <w:rsid w:val="00E90F4F"/>
    <w:rsid w:val="00EA012C"/>
    <w:rsid w:val="00EC6A55"/>
    <w:rsid w:val="00ED0288"/>
    <w:rsid w:val="00EE52CB"/>
    <w:rsid w:val="00EF581D"/>
    <w:rsid w:val="00EF7FD8"/>
    <w:rsid w:val="00F06F59"/>
    <w:rsid w:val="00F17988"/>
    <w:rsid w:val="00F469F0"/>
    <w:rsid w:val="00F53273"/>
    <w:rsid w:val="00F755E4"/>
    <w:rsid w:val="00F77D02"/>
    <w:rsid w:val="00F93A74"/>
    <w:rsid w:val="00FB3A86"/>
    <w:rsid w:val="00FD20B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3186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Rodap">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Cabealh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Assinatur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epargpadro"/>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epargpadro"/>
    <w:rsid w:val="00030174"/>
    <w:rPr>
      <w:color w:val="FF0080"/>
      <w:u w:val="single"/>
    </w:rPr>
  </w:style>
  <w:style w:type="character" w:styleId="HiperlinkVisitado">
    <w:name w:val="FollowedHyperlink"/>
    <w:basedOn w:val="Fontepargpadro"/>
    <w:rsid w:val="00FB3A86"/>
    <w:rPr>
      <w:color w:val="800080"/>
      <w:u w:val="single"/>
    </w:rPr>
  </w:style>
  <w:style w:type="table" w:styleId="Tabelacomgrade">
    <w:name w:val="Table Grid"/>
    <w:basedOn w:val="Tabe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EF7FD8"/>
    <w:pPr>
      <w:spacing w:after="120" w:line="480" w:lineRule="auto"/>
    </w:pPr>
  </w:style>
  <w:style w:type="character" w:customStyle="1" w:styleId="Corpodetexto2Char">
    <w:name w:val="Corpo de texto 2 Char"/>
    <w:basedOn w:val="Fontepargpadro"/>
    <w:link w:val="Corpodetexto2"/>
    <w:rsid w:val="00EF7FD8"/>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customStyle="1" w:styleId="TextodecomentrioChar">
    <w:name w:val="Texto de comentário Char"/>
    <w:basedOn w:val="Fontepargpadro"/>
    <w:link w:val="Textodecomentrio"/>
    <w:uiPriority w:val="99"/>
    <w:rsid w:val="00746E59"/>
    <w:rPr>
      <w:lang w:val="nb-NO" w:eastAsia="nb-NO"/>
    </w:rPr>
  </w:style>
  <w:style w:type="paragraph" w:styleId="Textodebalo">
    <w:name w:val="Balloon Text"/>
    <w:basedOn w:val="Normal"/>
    <w:link w:val="TextodebaloChar"/>
    <w:rsid w:val="00746E59"/>
    <w:rPr>
      <w:rFonts w:ascii="Tahoma" w:hAnsi="Tahoma" w:cs="Tahoma"/>
      <w:sz w:val="16"/>
      <w:szCs w:val="16"/>
    </w:rPr>
  </w:style>
  <w:style w:type="character" w:customStyle="1" w:styleId="TextodebaloChar">
    <w:name w:val="Texto de balão Char"/>
    <w:basedOn w:val="Fontepargpadro"/>
    <w:link w:val="Textodebalo"/>
    <w:rsid w:val="00746E59"/>
    <w:rPr>
      <w:rFonts w:ascii="Tahoma" w:hAnsi="Tahoma" w:cs="Tahoma"/>
      <w:sz w:val="16"/>
      <w:szCs w:val="16"/>
    </w:rPr>
  </w:style>
  <w:style w:type="paragraph" w:styleId="Corpodetexto3">
    <w:name w:val="Body Text 3"/>
    <w:basedOn w:val="Normal"/>
    <w:link w:val="Corpodetexto3Char"/>
    <w:rsid w:val="00231920"/>
    <w:pPr>
      <w:spacing w:after="120"/>
    </w:pPr>
    <w:rPr>
      <w:sz w:val="16"/>
      <w:szCs w:val="16"/>
    </w:rPr>
  </w:style>
  <w:style w:type="character" w:customStyle="1" w:styleId="Corpodetexto3Char">
    <w:name w:val="Corpo de texto 3 Char"/>
    <w:basedOn w:val="Fontepargpadro"/>
    <w:link w:val="Corpodetexto3"/>
    <w:rsid w:val="00231920"/>
    <w:rPr>
      <w:rFonts w:ascii="Helvetica" w:hAnsi="Helvetica"/>
      <w:sz w:val="16"/>
      <w:szCs w:val="16"/>
    </w:rPr>
  </w:style>
  <w:style w:type="character" w:styleId="Nmerodelinha">
    <w:name w:val="line number"/>
    <w:basedOn w:val="Fontepargpadro"/>
    <w:rsid w:val="00412475"/>
  </w:style>
  <w:style w:type="character" w:styleId="nfase">
    <w:name w:val="Emphasis"/>
    <w:basedOn w:val="Fontepargpadro"/>
    <w:uiPriority w:val="20"/>
    <w:qFormat/>
    <w:rsid w:val="0024282C"/>
    <w:rPr>
      <w:i/>
      <w:iCs/>
    </w:rPr>
  </w:style>
  <w:style w:type="character" w:styleId="MenoPendente">
    <w:name w:val="Unresolved Mention"/>
    <w:basedOn w:val="Fontepargpadro"/>
    <w:uiPriority w:val="99"/>
    <w:semiHidden/>
    <w:unhideWhenUsed/>
    <w:rsid w:val="00287E68"/>
    <w:rPr>
      <w:color w:val="605E5C"/>
      <w:shd w:val="clear" w:color="auto" w:fill="E1DFDD"/>
    </w:rPr>
  </w:style>
  <w:style w:type="paragraph" w:styleId="Corpodetexto">
    <w:name w:val="Body Text"/>
    <w:basedOn w:val="Normal"/>
    <w:link w:val="CorpodetextoChar"/>
    <w:semiHidden/>
    <w:unhideWhenUsed/>
    <w:rsid w:val="00801D07"/>
    <w:pPr>
      <w:spacing w:after="120"/>
    </w:pPr>
  </w:style>
  <w:style w:type="character" w:customStyle="1" w:styleId="CorpodetextoChar">
    <w:name w:val="Corpo de texto Char"/>
    <w:basedOn w:val="Fontepargpadro"/>
    <w:link w:val="Corpodetexto"/>
    <w:semiHidden/>
    <w:rsid w:val="00801D07"/>
    <w:rPr>
      <w:rFonts w:ascii="Helvetica" w:hAnsi="Helvetica"/>
    </w:rPr>
  </w:style>
  <w:style w:type="table" w:styleId="SimplesTabela3">
    <w:name w:val="Plain Table 3"/>
    <w:basedOn w:val="Tabelanormal"/>
    <w:uiPriority w:val="43"/>
    <w:rsid w:val="00801D07"/>
    <w:rPr>
      <w:rFonts w:asciiTheme="minorHAnsi" w:eastAsiaTheme="minorHAnsi" w:hAnsiTheme="minorHAnsi" w:cstheme="minorBidi"/>
      <w:kern w:val="2"/>
      <w:sz w:val="22"/>
      <w:szCs w:val="22"/>
      <w:lang w:val="pt-BR"/>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B118AA"/>
    <w:pPr>
      <w:spacing w:before="100" w:beforeAutospacing="1" w:after="100" w:afterAutospacing="1"/>
    </w:pPr>
    <w:rPr>
      <w:rFonts w:ascii="Times New Roman" w:hAnsi="Times New Roman"/>
      <w:sz w:val="24"/>
      <w:szCs w:val="24"/>
      <w:lang w:val="pt-BR" w:eastAsia="pt-BR"/>
    </w:rPr>
  </w:style>
  <w:style w:type="character" w:styleId="Forte">
    <w:name w:val="Strong"/>
    <w:basedOn w:val="Fontepargpadro"/>
    <w:uiPriority w:val="22"/>
    <w:qFormat/>
    <w:rsid w:val="00B118AA"/>
    <w:rPr>
      <w:b/>
      <w:bCs/>
    </w:rPr>
  </w:style>
  <w:style w:type="character" w:customStyle="1" w:styleId="apple-converted-space">
    <w:name w:val="apple-converted-space"/>
    <w:basedOn w:val="Fontepargpadro"/>
    <w:rsid w:val="00B118AA"/>
  </w:style>
  <w:style w:type="paragraph" w:styleId="PargrafodaLista">
    <w:name w:val="List Paragraph"/>
    <w:basedOn w:val="Normal"/>
    <w:uiPriority w:val="34"/>
    <w:qFormat/>
    <w:rsid w:val="00B118AA"/>
    <w:pPr>
      <w:ind w:left="720"/>
      <w:contextualSpacing/>
    </w:pPr>
    <w:rPr>
      <w:rFonts w:asciiTheme="minorHAnsi" w:eastAsiaTheme="minorHAnsi" w:hAnsiTheme="minorHAnsi" w:cstheme="minorBidi"/>
      <w:kern w:val="2"/>
      <w:sz w:val="24"/>
      <w:szCs w:val="24"/>
      <w:lang w:val="pt-BR"/>
      <w14:ligatures w14:val="standardContextual"/>
    </w:rPr>
  </w:style>
  <w:style w:type="paragraph" w:customStyle="1" w:styleId="p1">
    <w:name w:val="p1"/>
    <w:basedOn w:val="Normal"/>
    <w:rsid w:val="00F93A74"/>
    <w:rPr>
      <w:rFonts w:ascii="Arial" w:hAnsi="Arial" w:cs="Arial"/>
      <w:color w:val="000000"/>
      <w:sz w:val="18"/>
      <w:szCs w:val="18"/>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F1B46-E6E8-4F40-B6E1-39986D19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76</TotalTime>
  <Pages>13</Pages>
  <Words>4188</Words>
  <Characters>24638</Characters>
  <Application>Microsoft Office Word</Application>
  <DocSecurity>0</DocSecurity>
  <Lines>586</Lines>
  <Paragraphs>165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28667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Iracema Matos de Melo</cp:lastModifiedBy>
  <cp:revision>49</cp:revision>
  <cp:lastPrinted>1999-07-06T11:00:00Z</cp:lastPrinted>
  <dcterms:created xsi:type="dcterms:W3CDTF">2025-10-15T22:22:00Z</dcterms:created>
  <dcterms:modified xsi:type="dcterms:W3CDTF">2025-10-16T22:49:00Z</dcterms:modified>
</cp:coreProperties>
</file>