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0" w:before="240" w:line="276" w:lineRule="auto"/>
        <w:jc w:val="center"/>
        <w:rPr>
          <w:rFonts w:ascii="Arial" w:cs="Arial" w:eastAsia="Arial" w:hAnsi="Arial"/>
          <w:sz w:val="24"/>
          <w:szCs w:val="24"/>
        </w:rPr>
      </w:pPr>
      <w:bookmarkStart w:colFirst="0" w:colLast="0" w:name="_heading=h.ydrb4ezawgle" w:id="0"/>
      <w:bookmarkEnd w:id="0"/>
      <w:r w:rsidDel="00000000" w:rsidR="00000000" w:rsidRPr="00000000">
        <w:rPr>
          <w:rFonts w:ascii="Arial" w:cs="Arial" w:eastAsia="Arial" w:hAnsi="Arial"/>
          <w:b w:val="1"/>
          <w:sz w:val="24"/>
          <w:szCs w:val="24"/>
          <w:rtl w:val="0"/>
        </w:rPr>
        <w:t xml:space="preserve">PREVALENCE OF SYMPTOMS OF TEMPOROMANDIBULAR DISORDERS IN UNIVERSITY STUDENTS IN BRAZIL DURING THE COVID-19 PANDEMIC: AN OBSERVATIONAL STUDY</w:t>
      </w:r>
      <w:r w:rsidDel="00000000" w:rsidR="00000000" w:rsidRPr="00000000">
        <w:rPr>
          <w:rtl w:val="0"/>
        </w:rPr>
      </w:r>
    </w:p>
    <w:p w:rsidR="00000000" w:rsidDel="00000000" w:rsidP="00000000" w:rsidRDefault="00000000" w:rsidRPr="00000000" w14:paraId="00000003">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240" w:before="24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120" w:before="12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ABSTRACT</w:t>
      </w:r>
      <w:r w:rsidDel="00000000" w:rsidR="00000000" w:rsidRPr="00000000">
        <w:rPr>
          <w:rtl w:val="0"/>
        </w:rPr>
      </w:r>
    </w:p>
    <w:p w:rsidR="00000000" w:rsidDel="00000000" w:rsidP="00000000" w:rsidRDefault="00000000" w:rsidRPr="00000000" w14:paraId="00000006">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This study aimed to verify the prevalence of symptoms of temporomandibular disorders (TMD) in university students during the COVID-19 pandemic. This is a cross-sectional and observational study. The population consisted of 170 university students from in a brazilian institution. The participants were divided into two groups, the first consisting of students who were undergoing psychological follow-up during the pandemic (G1) and the second, the control group, comprising the students who were not being followed up (G2). The questionnaires of the Anxiety and Depression Scale and the Diagnostic Criteria for TMD were used. Data were expressed as simple frequency and percentage and p&lt;0.05 (5%) was considered statistically significant.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The results of the study showed a prevalence of 85.3% of TMD symptoms. Regarding anxiety, no significant association was detected between sex and anxiety(p=0.0640), however, regarding depression, a significant association was noted in G2 between sex and depression, with odds ratio of 1.524 for females and 0 .8266 for males(p=0.0082). The most reported symptom in G1 was jaw pain(63.53%), while in G2 it was headache(56.47%). Comparing the TMD symptoms in both groups, 89.41% of the students who were undergoing psychological follow-up had TMD symptoms, while in the group that was not being followed up, TMD symptoms were present in 81.18% of the participants. Therefore, no significant difference was found between them (p=0.1931). It was found a high prevalence of symptoms of temporomandibular disorder, depression and anxiety in the university students in the study, and the most prevalent symptoms were headache and jaw pain. </w:t>
      </w:r>
      <w:r w:rsidDel="00000000" w:rsidR="00000000" w:rsidRPr="00000000">
        <w:rPr>
          <w:rtl w:val="0"/>
        </w:rPr>
      </w:r>
    </w:p>
    <w:p w:rsidR="00000000" w:rsidDel="00000000" w:rsidP="00000000" w:rsidRDefault="00000000" w:rsidRPr="00000000" w14:paraId="00000007">
      <w:pPr>
        <w:spacing w:after="240" w:before="24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Keywords:</w:t>
      </w:r>
      <w:r w:rsidDel="00000000" w:rsidR="00000000" w:rsidRPr="00000000">
        <w:rPr>
          <w:rFonts w:ascii="Arial" w:cs="Arial" w:eastAsia="Arial" w:hAnsi="Arial"/>
          <w:color w:val="000000"/>
          <w:sz w:val="24"/>
          <w:szCs w:val="24"/>
          <w:rtl w:val="0"/>
        </w:rPr>
        <w:t xml:space="preserve"> Temporomandibular joint disorders. College students. Psychosocial factors. COVID-19.</w:t>
      </w:r>
      <w:r w:rsidDel="00000000" w:rsidR="00000000" w:rsidRPr="00000000">
        <w:rPr>
          <w:rtl w:val="0"/>
        </w:rPr>
      </w:r>
    </w:p>
    <w:p w:rsidR="00000000" w:rsidDel="00000000" w:rsidP="00000000" w:rsidRDefault="00000000" w:rsidRPr="00000000" w14:paraId="00000008">
      <w:pPr>
        <w:spacing w:after="120" w:before="12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b w:val="1"/>
          <w:smallCaps w:val="1"/>
          <w:color w:val="000000"/>
          <w:sz w:val="24"/>
          <w:szCs w:val="24"/>
          <w:rtl w:val="0"/>
        </w:rPr>
        <w:t xml:space="preserve">INTRODUCTION</w:t>
      </w:r>
      <w:r w:rsidDel="00000000" w:rsidR="00000000" w:rsidRPr="00000000">
        <w:rPr>
          <w:rtl w:val="0"/>
        </w:rPr>
      </w:r>
    </w:p>
    <w:p w:rsidR="00000000" w:rsidDel="00000000" w:rsidP="00000000" w:rsidRDefault="00000000" w:rsidRPr="00000000" w14:paraId="00000009">
      <w:pPr>
        <w:spacing w:after="120" w:before="120" w:line="240" w:lineRule="auto"/>
        <w:ind w:left="-2" w:hanging="2"/>
        <w:jc w:val="both"/>
        <w:rPr>
          <w:rFonts w:ascii="Arial" w:cs="Arial" w:eastAsia="Arial" w:hAnsi="Arial"/>
          <w:sz w:val="24"/>
          <w:szCs w:val="24"/>
          <w:vertAlign w:val="superscript"/>
        </w:rPr>
      </w:pPr>
      <w:r w:rsidDel="00000000" w:rsidR="00000000" w:rsidRPr="00000000">
        <w:rPr>
          <w:rFonts w:ascii="Arial" w:cs="Arial" w:eastAsia="Arial" w:hAnsi="Arial"/>
          <w:color w:val="000000"/>
          <w:sz w:val="24"/>
          <w:szCs w:val="24"/>
          <w:rtl w:val="0"/>
        </w:rPr>
        <w:t xml:space="preserve">Temporomandibular Disorder (TMD) is the term that encompasses all functional disorders of the masticatory system, which includes the masticatory muscles, the temporomandibular joint (TMJ) and associated structures.</w:t>
      </w:r>
      <w:r w:rsidDel="00000000" w:rsidR="00000000" w:rsidRPr="00000000">
        <w:rPr>
          <w:rFonts w:ascii="Arial" w:cs="Arial" w:eastAsia="Arial" w:hAnsi="Arial"/>
          <w:sz w:val="24"/>
          <w:szCs w:val="24"/>
          <w:vertAlign w:val="superscript"/>
          <w:rtl w:val="0"/>
        </w:rPr>
        <w:t xml:space="preserve">1-2-3-4</w:t>
      </w:r>
    </w:p>
    <w:p w:rsidR="00000000" w:rsidDel="00000000" w:rsidP="00000000" w:rsidRDefault="00000000" w:rsidRPr="00000000" w14:paraId="0000000A">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It is common knowledge that the etiology of TMD is multifactorial and may be related to several factors, such as mechanical and muscular stress, emotional tension, parafunctional habits, trauma, extrinsic or intrinsic alterations of the joints or a combination of factors.</w:t>
      </w:r>
      <w:r w:rsidDel="00000000" w:rsidR="00000000" w:rsidRPr="00000000">
        <w:rPr>
          <w:rFonts w:ascii="Arial" w:cs="Arial" w:eastAsia="Arial" w:hAnsi="Arial"/>
          <w:sz w:val="24"/>
          <w:szCs w:val="24"/>
          <w:vertAlign w:val="superscript"/>
          <w:rtl w:val="0"/>
        </w:rPr>
        <w:t xml:space="preserve">2-5</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Currently, evidence supports the biopsychosocial model for the etiology of TMD, focusing on the integration of biological, psychological, and social factors.</w:t>
      </w:r>
      <w:r w:rsidDel="00000000" w:rsidR="00000000" w:rsidRPr="00000000">
        <w:rPr>
          <w:rFonts w:ascii="Arial" w:cs="Arial" w:eastAsia="Arial" w:hAnsi="Arial"/>
          <w:sz w:val="24"/>
          <w:szCs w:val="24"/>
          <w:vertAlign w:val="superscript"/>
          <w:rtl w:val="0"/>
        </w:rPr>
        <w:t xml:space="preserve">6-7-8</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0B">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In this context, university students have been pointed out in some studies as a group with a high prevalence of TMD, because due to the level of demand for performance in their academic phase, they have high levels of anxiety.</w:t>
      </w:r>
      <w:r w:rsidDel="00000000" w:rsidR="00000000" w:rsidRPr="00000000">
        <w:rPr>
          <w:rFonts w:ascii="Arial" w:cs="Arial" w:eastAsia="Arial" w:hAnsi="Arial"/>
          <w:sz w:val="24"/>
          <w:szCs w:val="24"/>
          <w:vertAlign w:val="superscript"/>
          <w:rtl w:val="0"/>
        </w:rPr>
        <w:t xml:space="preserve">1-2</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0C">
      <w:pPr>
        <w:spacing w:after="120" w:before="120" w:line="240" w:lineRule="auto"/>
        <w:ind w:left="-2" w:hanging="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addition to all the life changes and demands that university students face, the world has witnessed one of the biggest public health problems of recent decades: the pandemic of the new coronavirus disease (COVID-19). In this context, the pandemic brought about a sudden change in routine, and made the environment favorable to psychological illness, which could have serious consequences for the individual's mental health, making them more prone to oral problems associated with stress.</w:t>
      </w:r>
      <w:r w:rsidDel="00000000" w:rsidR="00000000" w:rsidRPr="00000000">
        <w:rPr>
          <w:rFonts w:ascii="Arial" w:cs="Arial" w:eastAsia="Arial" w:hAnsi="Arial"/>
          <w:sz w:val="24"/>
          <w:szCs w:val="24"/>
          <w:vertAlign w:val="superscript"/>
          <w:rtl w:val="0"/>
        </w:rPr>
        <w:t xml:space="preserve">9-10</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0D">
      <w:pPr>
        <w:spacing w:after="120" w:before="120" w:line="240" w:lineRule="auto"/>
        <w:ind w:left="-2" w:hanging="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It is extremely important that the treatment of chronic pain be done in a multidisciplinary way, due to its complex nature.</w:t>
      </w:r>
      <w:r w:rsidDel="00000000" w:rsidR="00000000" w:rsidRPr="00000000">
        <w:rPr>
          <w:rFonts w:ascii="Arial" w:cs="Arial" w:eastAsia="Arial" w:hAnsi="Arial"/>
          <w:sz w:val="24"/>
          <w:szCs w:val="24"/>
          <w:vertAlign w:val="superscript"/>
          <w:rtl w:val="0"/>
        </w:rPr>
        <w:t xml:space="preserve">11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As an example of a tool to improve the quality of life of patients with chronic orofacial pain, psychotherapeutic intervention can be mentioned.</w:t>
      </w:r>
      <w:r w:rsidDel="00000000" w:rsidR="00000000" w:rsidRPr="00000000">
        <w:rPr>
          <w:rFonts w:ascii="Arial" w:cs="Arial" w:eastAsia="Arial" w:hAnsi="Arial"/>
          <w:sz w:val="24"/>
          <w:szCs w:val="24"/>
          <w:vertAlign w:val="superscript"/>
          <w:rtl w:val="0"/>
        </w:rPr>
        <w:t xml:space="preserve">12</w:t>
      </w:r>
      <w:r w:rsidDel="00000000" w:rsidR="00000000" w:rsidRPr="00000000">
        <w:rPr>
          <w:rtl w:val="0"/>
        </w:rPr>
      </w:r>
    </w:p>
    <w:p w:rsidR="00000000" w:rsidDel="00000000" w:rsidP="00000000" w:rsidRDefault="00000000" w:rsidRPr="00000000" w14:paraId="0000000E">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Thus, the objective of this study was to evaluate the prevalence of TMD symptoms in university students who were undergoing psychological follow-up during the COVID-19 pandemic, in order to identify the main TMD symptoms.</w:t>
      </w:r>
      <w:r w:rsidDel="00000000" w:rsidR="00000000" w:rsidRPr="00000000">
        <w:rPr>
          <w:rtl w:val="0"/>
        </w:rPr>
      </w:r>
    </w:p>
    <w:p w:rsidR="00000000" w:rsidDel="00000000" w:rsidP="00000000" w:rsidRDefault="00000000" w:rsidRPr="00000000" w14:paraId="0000000F">
      <w:pPr>
        <w:spacing w:after="120" w:before="12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b w:val="1"/>
          <w:smallCaps w:val="1"/>
          <w:color w:val="000000"/>
          <w:sz w:val="24"/>
          <w:szCs w:val="24"/>
          <w:rtl w:val="0"/>
        </w:rPr>
        <w:t xml:space="preserve">MATERIALS AND METHODS</w:t>
      </w:r>
      <w:r w:rsidDel="00000000" w:rsidR="00000000" w:rsidRPr="00000000">
        <w:rPr>
          <w:rtl w:val="0"/>
        </w:rPr>
      </w:r>
    </w:p>
    <w:p w:rsidR="00000000" w:rsidDel="00000000" w:rsidP="00000000" w:rsidRDefault="00000000" w:rsidRPr="00000000" w14:paraId="00000010">
      <w:pPr>
        <w:spacing w:after="120" w:before="12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Ethical aspects</w:t>
      </w:r>
      <w:r w:rsidDel="00000000" w:rsidR="00000000" w:rsidRPr="00000000">
        <w:rPr>
          <w:rtl w:val="0"/>
        </w:rPr>
      </w:r>
    </w:p>
    <w:p w:rsidR="00000000" w:rsidDel="00000000" w:rsidP="00000000" w:rsidRDefault="00000000" w:rsidRPr="00000000" w14:paraId="00000011">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This research followed all norms for research with human beings, being approved by the Research Ethics Committee of the São Leopoldo Mandic School of Dentistry </w:t>
      </w:r>
      <w:r w:rsidDel="00000000" w:rsidR="00000000" w:rsidRPr="00000000">
        <w:rPr>
          <w:rFonts w:ascii="Arial" w:cs="Arial" w:eastAsia="Arial" w:hAnsi="Arial"/>
          <w:sz w:val="24"/>
          <w:szCs w:val="24"/>
          <w:rtl w:val="0"/>
        </w:rPr>
        <w:t xml:space="preserve">in Brazil</w:t>
      </w:r>
      <w:r w:rsidDel="00000000" w:rsidR="00000000" w:rsidRPr="00000000">
        <w:rPr>
          <w:rFonts w:ascii="Arial" w:cs="Arial" w:eastAsia="Arial" w:hAnsi="Arial"/>
          <w:color w:val="000000"/>
          <w:sz w:val="24"/>
          <w:szCs w:val="24"/>
          <w:rtl w:val="0"/>
        </w:rPr>
        <w:t xml:space="preserve"> under number approval 5,055,863.</w:t>
      </w:r>
      <w:r w:rsidDel="00000000" w:rsidR="00000000" w:rsidRPr="00000000">
        <w:rPr>
          <w:rtl w:val="0"/>
        </w:rPr>
      </w:r>
    </w:p>
    <w:p w:rsidR="00000000" w:rsidDel="00000000" w:rsidP="00000000" w:rsidRDefault="00000000" w:rsidRPr="00000000" w14:paraId="00000012">
      <w:pPr>
        <w:spacing w:after="120" w:before="12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Sample characterization</w:t>
      </w:r>
      <w:r w:rsidDel="00000000" w:rsidR="00000000" w:rsidRPr="00000000">
        <w:rPr>
          <w:rtl w:val="0"/>
        </w:rPr>
      </w:r>
    </w:p>
    <w:p w:rsidR="00000000" w:rsidDel="00000000" w:rsidP="00000000" w:rsidRDefault="00000000" w:rsidRPr="00000000" w14:paraId="00000013">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This is an observational, cross-sectional analytical study that was carried out, with a quantitative approach, using questionnaires, with students from the Federal University of Delta do Parnaíba (UFDPar), located in the city of Parnaíba, PI, Brazil. </w:t>
      </w:r>
      <w:r w:rsidDel="00000000" w:rsidR="00000000" w:rsidRPr="00000000">
        <w:rPr>
          <w:rtl w:val="0"/>
        </w:rPr>
      </w:r>
    </w:p>
    <w:p w:rsidR="00000000" w:rsidDel="00000000" w:rsidP="00000000" w:rsidRDefault="00000000" w:rsidRPr="00000000" w14:paraId="00000014">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For the sample calculation, 108 UFDPar students who were undergoing psychological care during the COVID-19 pandemic were accounted, in a project of "Emergency Online Psychological Care", coordinated by professors from the Institution where the research was carried out. The calculation of samples for a finite population was used, stratified by proportion, with a sampling error of 5% and a confidence level of 95%. Based on the sample calculation for a finite population, a minimum sample of 84.47 </w:t>
      </w:r>
      <w:r w:rsidDel="00000000" w:rsidR="00000000" w:rsidRPr="00000000">
        <w:rPr>
          <w:rFonts w:ascii="Cambria Math" w:cs="Cambria Math" w:eastAsia="Cambria Math" w:hAnsi="Cambria Math"/>
          <w:color w:val="000000"/>
          <w:sz w:val="24"/>
          <w:szCs w:val="24"/>
          <w:rtl w:val="0"/>
        </w:rPr>
        <w:t xml:space="preserve">≅</w:t>
      </w:r>
      <w:r w:rsidDel="00000000" w:rsidR="00000000" w:rsidRPr="00000000">
        <w:rPr>
          <w:rFonts w:ascii="Arial" w:cs="Arial" w:eastAsia="Arial" w:hAnsi="Arial"/>
          <w:color w:val="000000"/>
          <w:sz w:val="24"/>
          <w:szCs w:val="24"/>
          <w:rtl w:val="0"/>
        </w:rPr>
        <w:t xml:space="preserve"> 85 students was obtained, with a precision of 95% and an error of 5%. In addition, 10% was added for losses or withdrawals. The sample size was therefore composed of 85 university students who were undergoing psychological counseling (G1) and 85 students from the same institution who were not undergoing psychotherapy (G2).</w:t>
      </w:r>
      <w:r w:rsidDel="00000000" w:rsidR="00000000" w:rsidRPr="00000000">
        <w:rPr>
          <w:rtl w:val="0"/>
        </w:rPr>
      </w:r>
    </w:p>
    <w:p w:rsidR="00000000" w:rsidDel="00000000" w:rsidP="00000000" w:rsidRDefault="00000000" w:rsidRPr="00000000" w14:paraId="00000015">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Students aged 18 years or older, who agreed to participate in the research were included in the study. The sample exclusion criteria were students who were not regularly enrolled or who did not correctly fill in the questionnaire.</w:t>
      </w:r>
      <w:r w:rsidDel="00000000" w:rsidR="00000000" w:rsidRPr="00000000">
        <w:rPr>
          <w:rtl w:val="0"/>
        </w:rPr>
      </w:r>
    </w:p>
    <w:p w:rsidR="00000000" w:rsidDel="00000000" w:rsidP="00000000" w:rsidRDefault="00000000" w:rsidRPr="00000000" w14:paraId="00000016">
      <w:pPr>
        <w:spacing w:after="120" w:before="12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Data collect</w:t>
      </w:r>
      <w:r w:rsidDel="00000000" w:rsidR="00000000" w:rsidRPr="00000000">
        <w:rPr>
          <w:rtl w:val="0"/>
        </w:rPr>
      </w:r>
    </w:p>
    <w:p w:rsidR="00000000" w:rsidDel="00000000" w:rsidP="00000000" w:rsidRDefault="00000000" w:rsidRPr="00000000" w14:paraId="00000017">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 self-administered online survey was adopted to assess TMD, anxiety and depression symptoms, as due to the pandemic, students were in remote classes. After having access to the free and informed consent provided in the form itself, the individuals declared their agreement to participate in the study. The data collected were anonymous, and it was not possible to trace the identity of the subjects. The questionnaire was administered by an online forms service (Google Forms service).</w:t>
      </w:r>
      <w:r w:rsidDel="00000000" w:rsidR="00000000" w:rsidRPr="00000000">
        <w:rPr>
          <w:rtl w:val="0"/>
        </w:rPr>
      </w:r>
    </w:p>
    <w:p w:rsidR="00000000" w:rsidDel="00000000" w:rsidP="00000000" w:rsidRDefault="00000000" w:rsidRPr="00000000" w14:paraId="00000018">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online survey was structured in 3 parts: (1) a first session for demographic data; (2) a second session composed of the Anxiety and Depression Scale; (3) a third session in which the CD/TMD Symptoms Questionnaire – Axis I was included. Individuals with an affirmative answer to at least one of the questions were classified as symptomatic for TMD. Individuals with negative answers to all questions in the questionnaire were classified as asymptomatic for TMD.</w:t>
      </w:r>
      <w:r w:rsidDel="00000000" w:rsidR="00000000" w:rsidRPr="00000000">
        <w:rPr>
          <w:rtl w:val="0"/>
        </w:rPr>
      </w:r>
    </w:p>
    <w:p w:rsidR="00000000" w:rsidDel="00000000" w:rsidP="00000000" w:rsidRDefault="00000000" w:rsidRPr="00000000" w14:paraId="00000019">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To assess anxiety and depression, the Hospital Anxiety and Depression Scale (HADS) was used. This consists of 14 multiple-choice questions, of which 7 assess anxiety and 7 depression. Each of its items can be scored from 0 to 3, making a maximum score of 21 points. On both scales, a score of 0-7 indicates no anxiety or depression, a score of 8-10 indicates possible anxiety or depression, and a score of 11 to 21 indicates the presence of anxiety or depression.</w:t>
      </w:r>
      <w:r w:rsidDel="00000000" w:rsidR="00000000" w:rsidRPr="00000000">
        <w:rPr>
          <w:rtl w:val="0"/>
        </w:rPr>
      </w:r>
    </w:p>
    <w:p w:rsidR="00000000" w:rsidDel="00000000" w:rsidP="00000000" w:rsidRDefault="00000000" w:rsidRPr="00000000" w14:paraId="0000001A">
      <w:pPr>
        <w:spacing w:after="120" w:before="12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Data analysis</w:t>
      </w:r>
      <w:r w:rsidDel="00000000" w:rsidR="00000000" w:rsidRPr="00000000">
        <w:rPr>
          <w:rtl w:val="0"/>
        </w:rPr>
      </w:r>
    </w:p>
    <w:p w:rsidR="00000000" w:rsidDel="00000000" w:rsidP="00000000" w:rsidRDefault="00000000" w:rsidRPr="00000000" w14:paraId="0000001B">
      <w:pPr>
        <w:spacing w:after="120" w:before="120" w:line="240" w:lineRule="auto"/>
        <w:ind w:left="-2" w:hanging="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Data was tabulated in Microsoft Office Excel® software and exported to GraphPad Prism 8.4 for statistical analysis. Data were expressed as simple frequency and percentage. Data normality was tested using the Kolmogrov-Smirnov and Shapiro-Wilk tests. For analysis of correlation between variables, simple multinomial logistic regression and the chi-square test were used, while for the comparative analysis of data, the Kruskal Wallis test, binomial test and Fisher's exact test were used. The adopted confidence interval was 95% and p&lt;0.05 (5%) was considered statistically significant.</w:t>
      </w:r>
    </w:p>
    <w:p w:rsidR="00000000" w:rsidDel="00000000" w:rsidP="00000000" w:rsidRDefault="00000000" w:rsidRPr="00000000" w14:paraId="0000001C">
      <w:pPr>
        <w:spacing w:after="120" w:before="12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b w:val="1"/>
          <w:smallCaps w:val="1"/>
          <w:color w:val="000000"/>
          <w:sz w:val="24"/>
          <w:szCs w:val="24"/>
          <w:rtl w:val="0"/>
        </w:rPr>
        <w:t xml:space="preserve">RESULTS</w:t>
      </w:r>
      <w:r w:rsidDel="00000000" w:rsidR="00000000" w:rsidRPr="00000000">
        <w:rPr>
          <w:rtl w:val="0"/>
        </w:rPr>
      </w:r>
    </w:p>
    <w:p w:rsidR="00000000" w:rsidDel="00000000" w:rsidP="00000000" w:rsidRDefault="00000000" w:rsidRPr="00000000" w14:paraId="0000001D">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 total of 170 participants were evaluated using structured questionnaires between November 2021 and May 2022. Participants were aged between 18 and 48 years, with an average of 24.3±5.38 for G1 and 23.3±5.6 for G2. The normality of data distribution was verified, revealing an abnormal distribution for the variables evaluated in this study.</w:t>
      </w:r>
      <w:r w:rsidDel="00000000" w:rsidR="00000000" w:rsidRPr="00000000">
        <w:rPr>
          <w:rtl w:val="0"/>
        </w:rPr>
      </w:r>
    </w:p>
    <w:p w:rsidR="00000000" w:rsidDel="00000000" w:rsidP="00000000" w:rsidRDefault="00000000" w:rsidRPr="00000000" w14:paraId="0000001E">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There was a greater number of female participants in G1 (70.59%) and in G2 (72.94%) (Table 1). The most prevalent age group was 18 to 24 years old in both groups, with a significant difference being found between age groups in both groups (p&lt;0.0001, Kruskal-Wallis test).</w:t>
      </w:r>
      <w:r w:rsidDel="00000000" w:rsidR="00000000" w:rsidRPr="00000000">
        <w:rPr>
          <w:rtl w:val="0"/>
        </w:rPr>
      </w:r>
    </w:p>
    <w:p w:rsidR="00000000" w:rsidDel="00000000" w:rsidP="00000000" w:rsidRDefault="00000000" w:rsidRPr="00000000" w14:paraId="0000001F">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results of the HAD scale in relation to anxiety showed that 69 (81.17%) students from G1 and 61 (71.76%) from G2 had some level of anxiety, highlighting the presence of anxiety in 48 (56.47%) in G1, and 45 (52.94%) in G2.</w:t>
      </w:r>
      <w:r w:rsidDel="00000000" w:rsidR="00000000" w:rsidRPr="00000000">
        <w:rPr>
          <w:rtl w:val="0"/>
        </w:rPr>
      </w:r>
    </w:p>
    <w:p w:rsidR="00000000" w:rsidDel="00000000" w:rsidP="00000000" w:rsidRDefault="00000000" w:rsidRPr="00000000" w14:paraId="00000020">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Table 2 shows the distribution of participants stratified by sex and probability of having an anxiety diagnosis. No significant association was detected between sex and anxiety (p=0.0640The results of the HAD scale in relation to depression showed that 47 (55.29%) students of G1 and 43 (50.58%) students of G2 had some level of depression, which indicates the presence of depression in 28 (32 .94%) students in G1 and 23 (27.05%) in G2.</w:t>
      </w:r>
      <w:r w:rsidDel="00000000" w:rsidR="00000000" w:rsidRPr="00000000">
        <w:rPr>
          <w:rtl w:val="0"/>
        </w:rPr>
      </w:r>
    </w:p>
    <w:p w:rsidR="00000000" w:rsidDel="00000000" w:rsidP="00000000" w:rsidRDefault="00000000" w:rsidRPr="00000000" w14:paraId="00000021">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Table 3 shows the distribution of participants stratified by sex and probability of diagnosis of depression. A significant association between sex and depression was detected in G2, with an odds ratio of 1.524 for females and 0.8266 for males (p=0.0082, Simple Multinomial Logistic Regression).</w:t>
      </w:r>
      <w:r w:rsidDel="00000000" w:rsidR="00000000" w:rsidRPr="00000000">
        <w:rPr>
          <w:rtl w:val="0"/>
        </w:rPr>
      </w:r>
    </w:p>
    <w:p w:rsidR="00000000" w:rsidDel="00000000" w:rsidP="00000000" w:rsidRDefault="00000000" w:rsidRPr="00000000" w14:paraId="00000022">
      <w:pPr>
        <w:spacing w:line="240" w:lineRule="auto"/>
        <w:ind w:left="-2" w:right="51"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Table 4 shows the frequency of presence of TMD symptoms in the studied groups. The most prevalent symptom reported by students from G1 with TMD was jaw pain (63.5%), followed by headache (56.5%), joint noise (51.8%), locking when opening (32.9%) and locking when closing (10.6%). In G2, the most prevalent symptom was headache (56.5%), followed by jaw pain (51.8%), joint noise (49.4%), locking when opening (41.2%) and locking when closing (16.5%). There was no significance between the groups (p&gt;0.05).</w:t>
      </w:r>
      <w:r w:rsidDel="00000000" w:rsidR="00000000" w:rsidRPr="00000000">
        <w:rPr>
          <w:rtl w:val="0"/>
        </w:rPr>
      </w:r>
    </w:p>
    <w:p w:rsidR="00000000" w:rsidDel="00000000" w:rsidP="00000000" w:rsidRDefault="00000000" w:rsidRPr="00000000" w14:paraId="00000023">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Table 5 describes the absolute frequencies and percentages of symptomatic and non-symptomatic participants and their respective courses. The largest number of symptomatic participants for TMD belongs to G1 and the psychology course (n=28), representing 62.2% of the students from this course who participated in the research. No significant correlation was found between symptomatology for TMD and courses (p&gt;0.05, Simple Multinomial Logistic Regression).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after="120" w:before="12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b w:val="1"/>
          <w:smallCaps w:val="1"/>
          <w:color w:val="000000"/>
          <w:sz w:val="24"/>
          <w:szCs w:val="24"/>
          <w:rtl w:val="0"/>
        </w:rPr>
        <w:t xml:space="preserve">DISCUSSION</w:t>
      </w:r>
      <w:r w:rsidDel="00000000" w:rsidR="00000000" w:rsidRPr="00000000">
        <w:rPr>
          <w:rtl w:val="0"/>
        </w:rPr>
      </w:r>
    </w:p>
    <w:p w:rsidR="00000000" w:rsidDel="00000000" w:rsidP="00000000" w:rsidRDefault="00000000" w:rsidRPr="00000000" w14:paraId="00000025">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This study found a high prevalence of TMD symptoms and psychosocial factors in university students during the COVID-19 pandemic. It is known that the identification of TMD symptoms represents an important resource for the early diagnosis of this condition. In the present study, instruments recommended worldwide were used for data collection, such as the Anxiety and Depression Scale (HAD) and the DC/TMD Symptom Questionnaire associated with a Demographic Questionnaire, where data related to age, sex, course and period were collected.</w:t>
      </w:r>
      <w:r w:rsidDel="00000000" w:rsidR="00000000" w:rsidRPr="00000000">
        <w:rPr>
          <w:rtl w:val="0"/>
        </w:rPr>
      </w:r>
    </w:p>
    <w:p w:rsidR="00000000" w:rsidDel="00000000" w:rsidP="00000000" w:rsidRDefault="00000000" w:rsidRPr="00000000" w14:paraId="00000026">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The most prevalent age group was 18 to 24 years old, a fact similar to other studies.</w:t>
      </w:r>
      <w:r w:rsidDel="00000000" w:rsidR="00000000" w:rsidRPr="00000000">
        <w:rPr>
          <w:rFonts w:ascii="Arial" w:cs="Arial" w:eastAsia="Arial" w:hAnsi="Arial"/>
          <w:sz w:val="24"/>
          <w:szCs w:val="24"/>
          <w:vertAlign w:val="superscript"/>
          <w:rtl w:val="0"/>
        </w:rPr>
        <w:t xml:space="preserve">1-3-13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Regarding sex, in both groups there was a greater participation of women, which is also largely consistent with the literature.</w:t>
      </w:r>
      <w:r w:rsidDel="00000000" w:rsidR="00000000" w:rsidRPr="00000000">
        <w:rPr>
          <w:rFonts w:ascii="Arial" w:cs="Arial" w:eastAsia="Arial" w:hAnsi="Arial"/>
          <w:sz w:val="24"/>
          <w:szCs w:val="24"/>
          <w:vertAlign w:val="superscript"/>
          <w:rtl w:val="0"/>
        </w:rPr>
        <w:t xml:space="preserve">3-13</w:t>
      </w:r>
      <w:r w:rsidDel="00000000" w:rsidR="00000000" w:rsidRPr="00000000">
        <w:rPr>
          <w:rtl w:val="0"/>
        </w:rPr>
      </w:r>
    </w:p>
    <w:p w:rsidR="00000000" w:rsidDel="00000000" w:rsidP="00000000" w:rsidRDefault="00000000" w:rsidRPr="00000000" w14:paraId="00000027">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results of the HAD scale in relation to anxiety showed that 81.2% of G1 and 71.8% of G2 had some level of anxiety. </w:t>
      </w:r>
      <w:r w:rsidDel="00000000" w:rsidR="00000000" w:rsidRPr="00000000">
        <w:rPr>
          <w:rFonts w:ascii="Arial" w:cs="Arial" w:eastAsia="Arial" w:hAnsi="Arial"/>
          <w:sz w:val="24"/>
          <w:szCs w:val="24"/>
          <w:rtl w:val="0"/>
        </w:rPr>
        <w:t xml:space="preserve">Medeiros et al. (2020)</w:t>
      </w:r>
      <w:r w:rsidDel="00000000" w:rsidR="00000000" w:rsidRPr="00000000">
        <w:rPr>
          <w:rFonts w:ascii="Arial" w:cs="Arial" w:eastAsia="Arial" w:hAnsi="Arial"/>
          <w:sz w:val="24"/>
          <w:szCs w:val="24"/>
          <w:vertAlign w:val="superscript"/>
          <w:rtl w:val="0"/>
        </w:rPr>
        <w:t xml:space="preserve">7</w:t>
      </w:r>
      <w:r w:rsidDel="00000000" w:rsidR="00000000" w:rsidRPr="00000000">
        <w:rPr>
          <w:rFonts w:ascii="Arial" w:cs="Arial" w:eastAsia="Arial" w:hAnsi="Arial"/>
          <w:sz w:val="24"/>
          <w:szCs w:val="24"/>
          <w:rtl w:val="0"/>
        </w:rPr>
        <w:t xml:space="preserve"> also used </w:t>
      </w:r>
      <w:r w:rsidDel="00000000" w:rsidR="00000000" w:rsidRPr="00000000">
        <w:rPr>
          <w:rFonts w:ascii="Arial" w:cs="Arial" w:eastAsia="Arial" w:hAnsi="Arial"/>
          <w:color w:val="000000"/>
          <w:sz w:val="24"/>
          <w:szCs w:val="24"/>
          <w:rtl w:val="0"/>
        </w:rPr>
        <w:t xml:space="preserve">the HAD scale in university students during the pandemic in their study and obtained, as a result, a much lower prevalence than that study, of 49.6% of anxiety. This variation may be related to the sample size, the moment the questionnaire was applied, type of course and period. The highest prevalence of anxiety was found in women, although no significant association was detected between these variables. Medeiros et al. (2020)</w:t>
      </w:r>
      <w:r w:rsidDel="00000000" w:rsidR="00000000" w:rsidRPr="00000000">
        <w:rPr>
          <w:rFonts w:ascii="Arial" w:cs="Arial" w:eastAsia="Arial" w:hAnsi="Arial"/>
          <w:sz w:val="24"/>
          <w:szCs w:val="24"/>
          <w:vertAlign w:val="superscript"/>
          <w:rtl w:val="0"/>
        </w:rPr>
        <w:t xml:space="preserve">7</w:t>
      </w:r>
      <w:r w:rsidDel="00000000" w:rsidR="00000000" w:rsidRPr="00000000">
        <w:rPr>
          <w:rFonts w:ascii="Arial" w:cs="Arial" w:eastAsia="Arial" w:hAnsi="Arial"/>
          <w:color w:val="000000"/>
          <w:sz w:val="24"/>
          <w:szCs w:val="24"/>
          <w:rtl w:val="0"/>
        </w:rPr>
        <w:t xml:space="preserve"> also found a higher prevalence of anxiety symptoms in women (55.2%), but there was a statistically significant association.</w:t>
      </w:r>
      <w:r w:rsidDel="00000000" w:rsidR="00000000" w:rsidRPr="00000000">
        <w:rPr>
          <w:rtl w:val="0"/>
        </w:rPr>
      </w:r>
    </w:p>
    <w:p w:rsidR="00000000" w:rsidDel="00000000" w:rsidP="00000000" w:rsidRDefault="00000000" w:rsidRPr="00000000" w14:paraId="00000028">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Regarding depression, the results of the HAD scale showed that 55.3% of G1 and 50.6% of G2 had some level of this factor. The study of Medeiros et al. (2020)</w:t>
      </w:r>
      <w:r w:rsidDel="00000000" w:rsidR="00000000" w:rsidRPr="00000000">
        <w:rPr>
          <w:rFonts w:ascii="Arial" w:cs="Arial" w:eastAsia="Arial" w:hAnsi="Arial"/>
          <w:sz w:val="24"/>
          <w:szCs w:val="24"/>
          <w:vertAlign w:val="superscript"/>
          <w:rtl w:val="0"/>
        </w:rPr>
        <w:t xml:space="preserve">7</w:t>
      </w:r>
      <w:r w:rsidDel="00000000" w:rsidR="00000000" w:rsidRPr="00000000">
        <w:rPr>
          <w:rFonts w:ascii="Arial" w:cs="Arial" w:eastAsia="Arial" w:hAnsi="Arial"/>
          <w:color w:val="000000"/>
          <w:sz w:val="24"/>
          <w:szCs w:val="24"/>
          <w:rtl w:val="0"/>
        </w:rPr>
        <w:t xml:space="preserve"> and Pinto et al. (2017)</w:t>
      </w:r>
      <w:r w:rsidDel="00000000" w:rsidR="00000000" w:rsidRPr="00000000">
        <w:rPr>
          <w:rFonts w:ascii="Arial" w:cs="Arial" w:eastAsia="Arial" w:hAnsi="Arial"/>
          <w:sz w:val="24"/>
          <w:szCs w:val="24"/>
          <w:vertAlign w:val="superscript"/>
          <w:rtl w:val="0"/>
        </w:rPr>
        <w:t xml:space="preserve">13</w:t>
      </w:r>
      <w:r w:rsidDel="00000000" w:rsidR="00000000" w:rsidRPr="00000000">
        <w:rPr>
          <w:rFonts w:ascii="Arial" w:cs="Arial" w:eastAsia="Arial" w:hAnsi="Arial"/>
          <w:color w:val="000000"/>
          <w:sz w:val="24"/>
          <w:szCs w:val="24"/>
          <w:rtl w:val="0"/>
        </w:rPr>
        <w:t xml:space="preserve"> demonstrated a prevalence of symptoms of depression that was also significant, but a little lower, 38.9% and 42.2%, respectively.</w:t>
      </w:r>
      <w:r w:rsidDel="00000000" w:rsidR="00000000" w:rsidRPr="00000000">
        <w:rPr>
          <w:rtl w:val="0"/>
        </w:rPr>
      </w:r>
    </w:p>
    <w:p w:rsidR="00000000" w:rsidDel="00000000" w:rsidP="00000000" w:rsidRDefault="00000000" w:rsidRPr="00000000" w14:paraId="00000029">
      <w:pPr>
        <w:spacing w:after="120" w:before="120" w:line="240" w:lineRule="auto"/>
        <w:ind w:left="-2" w:hanging="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Only in G2 was found a significant association between sex and depression, with odds ratio of 1.524 for females and 0.8266 for males (p=0.0082). This higher prevalence of depression in women was also found in studies of Minghelli et al. (2014)</w:t>
      </w:r>
      <w:r w:rsidDel="00000000" w:rsidR="00000000" w:rsidRPr="00000000">
        <w:rPr>
          <w:rFonts w:ascii="Arial" w:cs="Arial" w:eastAsia="Arial" w:hAnsi="Arial"/>
          <w:sz w:val="24"/>
          <w:szCs w:val="24"/>
          <w:vertAlign w:val="superscript"/>
          <w:rtl w:val="0"/>
        </w:rPr>
        <w:t xml:space="preserve">3</w:t>
      </w:r>
      <w:r w:rsidDel="00000000" w:rsidR="00000000" w:rsidRPr="00000000">
        <w:rPr>
          <w:rFonts w:ascii="Arial" w:cs="Arial" w:eastAsia="Arial" w:hAnsi="Arial"/>
          <w:color w:val="000000"/>
          <w:sz w:val="24"/>
          <w:szCs w:val="24"/>
          <w:rtl w:val="0"/>
        </w:rPr>
        <w:t xml:space="preserve"> and Pinto et al. (2017),</w:t>
      </w:r>
      <w:r w:rsidDel="00000000" w:rsidR="00000000" w:rsidRPr="00000000">
        <w:rPr>
          <w:rFonts w:ascii="Arial" w:cs="Arial" w:eastAsia="Arial" w:hAnsi="Arial"/>
          <w:sz w:val="24"/>
          <w:szCs w:val="24"/>
          <w:vertAlign w:val="superscript"/>
          <w:rtl w:val="0"/>
        </w:rPr>
        <w:t xml:space="preserve">13</w:t>
      </w:r>
      <w:r w:rsidDel="00000000" w:rsidR="00000000" w:rsidRPr="00000000">
        <w:rPr>
          <w:rFonts w:ascii="Arial" w:cs="Arial" w:eastAsia="Arial" w:hAnsi="Arial"/>
          <w:color w:val="000000"/>
          <w:sz w:val="24"/>
          <w:szCs w:val="24"/>
          <w:rtl w:val="0"/>
        </w:rPr>
        <w:t xml:space="preserve"> of 32% and 45%, respectively. This is usually justified by situations that make women more vulnerable to episodes of depression, such as sexual abuse, conflicts in family relationships, motherhood and hormonal changes that affect mood and cognition.</w:t>
      </w:r>
      <w:r w:rsidDel="00000000" w:rsidR="00000000" w:rsidRPr="00000000">
        <w:rPr>
          <w:rFonts w:ascii="Arial" w:cs="Arial" w:eastAsia="Arial" w:hAnsi="Arial"/>
          <w:sz w:val="24"/>
          <w:szCs w:val="24"/>
          <w:vertAlign w:val="superscript"/>
          <w:rtl w:val="0"/>
        </w:rPr>
        <w:t xml:space="preserve">13</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A">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Analyzing the total sample, a prevalence of TMD symptoms of 85.3% was obtained, much higher when compared to the study by Medeiros et al. (2020),</w:t>
      </w:r>
      <w:r w:rsidDel="00000000" w:rsidR="00000000" w:rsidRPr="00000000">
        <w:rPr>
          <w:rFonts w:ascii="Arial" w:cs="Arial" w:eastAsia="Arial" w:hAnsi="Arial"/>
          <w:sz w:val="24"/>
          <w:szCs w:val="24"/>
          <w:vertAlign w:val="superscript"/>
          <w:rtl w:val="0"/>
        </w:rPr>
        <w:t xml:space="preserve">7</w:t>
      </w:r>
      <w:r w:rsidDel="00000000" w:rsidR="00000000" w:rsidRPr="00000000">
        <w:rPr>
          <w:rFonts w:ascii="Arial" w:cs="Arial" w:eastAsia="Arial" w:hAnsi="Arial"/>
          <w:color w:val="000000"/>
          <w:sz w:val="24"/>
          <w:szCs w:val="24"/>
          <w:rtl w:val="0"/>
        </w:rPr>
        <w:t xml:space="preserve"> who used the same instrument as the study in question with university students during the pandemic (54.8% prevalence of TMD symptoms). Comparing with the studies by Calixtre et al. (2014),</w:t>
      </w:r>
      <w:r w:rsidDel="00000000" w:rsidR="00000000" w:rsidRPr="00000000">
        <w:rPr>
          <w:rFonts w:ascii="Arial" w:cs="Arial" w:eastAsia="Arial" w:hAnsi="Arial"/>
          <w:sz w:val="24"/>
          <w:szCs w:val="24"/>
          <w:vertAlign w:val="superscript"/>
          <w:rtl w:val="0"/>
        </w:rPr>
        <w:t xml:space="preserve">5</w:t>
      </w:r>
      <w:r w:rsidDel="00000000" w:rsidR="00000000" w:rsidRPr="00000000">
        <w:rPr>
          <w:rFonts w:ascii="Arial" w:cs="Arial" w:eastAsia="Arial" w:hAnsi="Arial"/>
          <w:color w:val="000000"/>
          <w:sz w:val="24"/>
          <w:szCs w:val="24"/>
          <w:rtl w:val="0"/>
        </w:rPr>
        <w:t xml:space="preserve"> Pinto et al. (2017)</w:t>
      </w:r>
      <w:r w:rsidDel="00000000" w:rsidR="00000000" w:rsidRPr="00000000">
        <w:rPr>
          <w:rFonts w:ascii="Arial" w:cs="Arial" w:eastAsia="Arial" w:hAnsi="Arial"/>
          <w:sz w:val="24"/>
          <w:szCs w:val="24"/>
          <w:vertAlign w:val="superscript"/>
          <w:rtl w:val="0"/>
        </w:rPr>
        <w:t xml:space="preserve">13</w:t>
      </w:r>
      <w:r w:rsidDel="00000000" w:rsidR="00000000" w:rsidRPr="00000000">
        <w:rPr>
          <w:rFonts w:ascii="Arial" w:cs="Arial" w:eastAsia="Arial" w:hAnsi="Arial"/>
          <w:color w:val="000000"/>
          <w:sz w:val="24"/>
          <w:szCs w:val="24"/>
          <w:rtl w:val="0"/>
        </w:rPr>
        <w:t xml:space="preserve"> and Ferreira et al. (2012),</w:t>
      </w:r>
      <w:r w:rsidDel="00000000" w:rsidR="00000000" w:rsidRPr="00000000">
        <w:rPr>
          <w:rFonts w:ascii="Arial" w:cs="Arial" w:eastAsia="Arial" w:hAnsi="Arial"/>
          <w:sz w:val="24"/>
          <w:szCs w:val="24"/>
          <w:vertAlign w:val="superscript"/>
          <w:rtl w:val="0"/>
        </w:rPr>
        <w:t xml:space="preserve">2</w:t>
      </w:r>
      <w:r w:rsidDel="00000000" w:rsidR="00000000" w:rsidRPr="00000000">
        <w:rPr>
          <w:rFonts w:ascii="Arial" w:cs="Arial" w:eastAsia="Arial" w:hAnsi="Arial"/>
          <w:color w:val="000000"/>
          <w:sz w:val="24"/>
          <w:szCs w:val="24"/>
          <w:rtl w:val="0"/>
        </w:rPr>
        <w:t xml:space="preserve"> which found 70.6%, 66.3% and 39% of students with this condition, respectively, still has a higher prevalence in the present study.</w:t>
      </w:r>
      <w:r w:rsidDel="00000000" w:rsidR="00000000" w:rsidRPr="00000000">
        <w:rPr>
          <w:rtl w:val="0"/>
        </w:rPr>
      </w:r>
    </w:p>
    <w:p w:rsidR="00000000" w:rsidDel="00000000" w:rsidP="00000000" w:rsidRDefault="00000000" w:rsidRPr="00000000" w14:paraId="0000002B">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These differences between studies can be attributed to differences in race, culture and socioeconomic characteristics, which may have an effect on TMD, in addition to sex distribution, type of questionnaire applied, course and time when the questionnaire was applied.</w:t>
      </w:r>
      <w:r w:rsidDel="00000000" w:rsidR="00000000" w:rsidRPr="00000000">
        <w:rPr>
          <w:rFonts w:ascii="Arial" w:cs="Arial" w:eastAsia="Arial" w:hAnsi="Arial"/>
          <w:sz w:val="24"/>
          <w:szCs w:val="24"/>
          <w:vertAlign w:val="superscript"/>
          <w:rtl w:val="0"/>
        </w:rPr>
        <w:t xml:space="preserve">15-2</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C">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present study, as well as others, pointed to a high prevalence of TMD symptoms in university students. This fact is probably due to the influence of emotional stress, which may be the main etiological and predisposing factor, influencing the increase in emotional tension.</w:t>
      </w:r>
      <w:r w:rsidDel="00000000" w:rsidR="00000000" w:rsidRPr="00000000">
        <w:rPr>
          <w:rFonts w:ascii="Arial" w:cs="Arial" w:eastAsia="Arial" w:hAnsi="Arial"/>
          <w:sz w:val="24"/>
          <w:szCs w:val="24"/>
          <w:vertAlign w:val="superscript"/>
          <w:rtl w:val="0"/>
        </w:rPr>
        <w:t xml:space="preserve">2</w:t>
      </w:r>
      <w:r w:rsidDel="00000000" w:rsidR="00000000" w:rsidRPr="00000000">
        <w:rPr>
          <w:rFonts w:ascii="Arial" w:cs="Arial" w:eastAsia="Arial" w:hAnsi="Arial"/>
          <w:color w:val="000000"/>
          <w:sz w:val="24"/>
          <w:szCs w:val="24"/>
          <w:rtl w:val="0"/>
        </w:rPr>
        <w:t xml:space="preserve"> In addition to all the demand for performance in the academic phase, university students can develop parafunctional habits during graduation, such as resting the hand on the jaw, bruxism, biting the lip and objects, onychophagia, which lead to muscle hyperactivity.</w:t>
      </w:r>
      <w:r w:rsidDel="00000000" w:rsidR="00000000" w:rsidRPr="00000000">
        <w:rPr>
          <w:rFonts w:ascii="Arial" w:cs="Arial" w:eastAsia="Arial" w:hAnsi="Arial"/>
          <w:sz w:val="24"/>
          <w:szCs w:val="24"/>
          <w:vertAlign w:val="superscript"/>
          <w:rtl w:val="0"/>
        </w:rPr>
        <w:t xml:space="preserve">13</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D">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Another factor that was probably largely responsible for this high prevalence of anxiety and depression, and consequently TMD, was the COVID-19 pandemic. The institution's academic calendar was suspended for a few months and remained in remote classes for a long period of the pandemic. It is added that in this period of social isolation, there was a shortage of dental treatment for several months, a sudden change in life, with the possibility of delay in graduation and many uncertainties regarding the academic and professional future.</w:t>
      </w:r>
      <w:r w:rsidDel="00000000" w:rsidR="00000000" w:rsidRPr="00000000">
        <w:rPr>
          <w:rFonts w:ascii="Arial" w:cs="Arial" w:eastAsia="Arial" w:hAnsi="Arial"/>
          <w:sz w:val="24"/>
          <w:szCs w:val="24"/>
          <w:vertAlign w:val="superscript"/>
          <w:rtl w:val="0"/>
        </w:rPr>
        <w:t xml:space="preserve">7-14</w:t>
      </w:r>
      <w:r w:rsidDel="00000000" w:rsidR="00000000" w:rsidRPr="00000000">
        <w:rPr>
          <w:rtl w:val="0"/>
        </w:rPr>
      </w:r>
    </w:p>
    <w:p w:rsidR="00000000" w:rsidDel="00000000" w:rsidP="00000000" w:rsidRDefault="00000000" w:rsidRPr="00000000" w14:paraId="0000002E">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When comparing the two groups, a prevalence of TMD symptoms of 89.41% was found in G1 and 81.18% in G2. Thus, no significant difference was found when comparing the prevalence of TMD symptoms in students with and without psychological counseling (p=0.1931), despite the prevalence of TMD being slightly higher in students who were undergoing psychological counseling. The null hypothesis of the study was, therefore, partially accepted, as it was expected that students who were undergoing psychotherapy, already diagnosed with some type of psychological disorder, would be more likely to have TMD.</w:t>
      </w:r>
      <w:r w:rsidDel="00000000" w:rsidR="00000000" w:rsidRPr="00000000">
        <w:rPr>
          <w:rtl w:val="0"/>
        </w:rPr>
      </w:r>
    </w:p>
    <w:p w:rsidR="00000000" w:rsidDel="00000000" w:rsidP="00000000" w:rsidRDefault="00000000" w:rsidRPr="00000000" w14:paraId="0000002F">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There was also no statistically significant difference (p&gt;0.05) regarding sex and symptomatology for TMD, although the prevalence was higher in women. The study by Pinto et al. (2017)</w:t>
      </w:r>
      <w:r w:rsidDel="00000000" w:rsidR="00000000" w:rsidRPr="00000000">
        <w:rPr>
          <w:rFonts w:ascii="Arial" w:cs="Arial" w:eastAsia="Arial" w:hAnsi="Arial"/>
          <w:sz w:val="24"/>
          <w:szCs w:val="24"/>
          <w:vertAlign w:val="superscript"/>
          <w:rtl w:val="0"/>
        </w:rPr>
        <w:t xml:space="preserve">13</w:t>
      </w:r>
      <w:r w:rsidDel="00000000" w:rsidR="00000000" w:rsidRPr="00000000">
        <w:rPr>
          <w:rFonts w:ascii="Arial" w:cs="Arial" w:eastAsia="Arial" w:hAnsi="Arial"/>
          <w:color w:val="000000"/>
          <w:sz w:val="24"/>
          <w:szCs w:val="24"/>
          <w:rtl w:val="0"/>
        </w:rPr>
        <w:t xml:space="preserve"> also did not find a statistically significant difference between TMD symptoms and sex, but women were also the most affected (70.2%). The higher prevalence of TMD in women may be related to physiological characteristics of the female sex, such as regular hormonal variations and structure of the connective and muscular tissues. Also, women have more depressive and stress episodes than men.</w:t>
      </w:r>
      <w:r w:rsidDel="00000000" w:rsidR="00000000" w:rsidRPr="00000000">
        <w:rPr>
          <w:rFonts w:ascii="Arial" w:cs="Arial" w:eastAsia="Arial" w:hAnsi="Arial"/>
          <w:sz w:val="24"/>
          <w:szCs w:val="24"/>
          <w:vertAlign w:val="superscript"/>
          <w:rtl w:val="0"/>
        </w:rPr>
        <w:t xml:space="preserve">3-4-13-15</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0">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most frequent TMD symptoms were jaw pain (63.5%) in G1 and headache (56.5%), in G2, which characterizes a higher prevalence of TMD symptoms of muscular origin in the studied groups. The most reported TMD symptom in the study by Pinto et al. (2017)</w:t>
      </w:r>
      <w:r w:rsidDel="00000000" w:rsidR="00000000" w:rsidRPr="00000000">
        <w:rPr>
          <w:rFonts w:ascii="Arial" w:cs="Arial" w:eastAsia="Arial" w:hAnsi="Arial"/>
          <w:sz w:val="24"/>
          <w:szCs w:val="24"/>
          <w:vertAlign w:val="superscript"/>
          <w:rtl w:val="0"/>
        </w:rPr>
        <w:t xml:space="preserve">13</w:t>
      </w:r>
      <w:r w:rsidDel="00000000" w:rsidR="00000000" w:rsidRPr="00000000">
        <w:rPr>
          <w:rFonts w:ascii="Arial" w:cs="Arial" w:eastAsia="Arial" w:hAnsi="Arial"/>
          <w:color w:val="000000"/>
          <w:sz w:val="24"/>
          <w:szCs w:val="24"/>
          <w:rtl w:val="0"/>
        </w:rPr>
        <w:t xml:space="preserve"> was also the headache (60.8%) and Tarevisi </w:t>
      </w:r>
      <w:r w:rsidDel="00000000" w:rsidR="00000000" w:rsidRPr="00000000">
        <w:rPr>
          <w:rFonts w:ascii="Arial" w:cs="Arial" w:eastAsia="Arial" w:hAnsi="Arial"/>
          <w:sz w:val="24"/>
          <w:szCs w:val="24"/>
          <w:rtl w:val="0"/>
        </w:rPr>
        <w:t xml:space="preserve">et al. (2025)</w:t>
      </w:r>
      <w:r w:rsidDel="00000000" w:rsidR="00000000" w:rsidRPr="00000000">
        <w:rPr>
          <w:rFonts w:ascii="Arial" w:cs="Arial" w:eastAsia="Arial" w:hAnsi="Arial"/>
          <w:sz w:val="24"/>
          <w:szCs w:val="24"/>
          <w:vertAlign w:val="superscript"/>
          <w:rtl w:val="0"/>
        </w:rPr>
        <w:t xml:space="preserve">16</w:t>
      </w:r>
      <w:r w:rsidDel="00000000" w:rsidR="00000000" w:rsidRPr="00000000">
        <w:rPr>
          <w:rFonts w:ascii="Arial" w:cs="Arial" w:eastAsia="Arial" w:hAnsi="Arial"/>
          <w:sz w:val="24"/>
          <w:szCs w:val="24"/>
          <w:rtl w:val="0"/>
        </w:rPr>
        <w:t xml:space="preserve"> that found 43.4% in female and 24.3 in male.</w:t>
      </w:r>
      <w:r w:rsidDel="00000000" w:rsidR="00000000" w:rsidRPr="00000000">
        <w:rPr>
          <w:rFonts w:ascii="Arial" w:cs="Arial" w:eastAsia="Arial" w:hAnsi="Arial"/>
          <w:color w:val="000000"/>
          <w:sz w:val="24"/>
          <w:szCs w:val="24"/>
          <w:rtl w:val="0"/>
        </w:rPr>
        <w:t xml:space="preserve"> Other studies, which used other indices, such as the one by Bezerra et al. (2012),</w:t>
      </w:r>
      <w:r w:rsidDel="00000000" w:rsidR="00000000" w:rsidRPr="00000000">
        <w:rPr>
          <w:rFonts w:ascii="Arial" w:cs="Arial" w:eastAsia="Arial" w:hAnsi="Arial"/>
          <w:sz w:val="24"/>
          <w:szCs w:val="24"/>
          <w:vertAlign w:val="superscript"/>
          <w:rtl w:val="0"/>
        </w:rPr>
        <w:t xml:space="preserve">1</w:t>
      </w:r>
      <w:r w:rsidDel="00000000" w:rsidR="00000000" w:rsidRPr="00000000">
        <w:rPr>
          <w:rFonts w:ascii="Arial" w:cs="Arial" w:eastAsia="Arial" w:hAnsi="Arial"/>
          <w:color w:val="000000"/>
          <w:sz w:val="24"/>
          <w:szCs w:val="24"/>
          <w:rtl w:val="0"/>
        </w:rPr>
        <w:t xml:space="preserve"> the headache was the 3rd most frequent symptom (45.2%), and the 2nd (75.4%) in the study by Minghelli et al. (2014).</w:t>
      </w:r>
      <w:r w:rsidDel="00000000" w:rsidR="00000000" w:rsidRPr="00000000">
        <w:rPr>
          <w:rFonts w:ascii="Arial" w:cs="Arial" w:eastAsia="Arial" w:hAnsi="Arial"/>
          <w:sz w:val="24"/>
          <w:szCs w:val="24"/>
          <w:vertAlign w:val="superscript"/>
          <w:rtl w:val="0"/>
        </w:rPr>
        <w:t xml:space="preserve">3</w:t>
      </w:r>
      <w:r w:rsidDel="00000000" w:rsidR="00000000" w:rsidRPr="00000000">
        <w:rPr>
          <w:rtl w:val="0"/>
        </w:rPr>
      </w:r>
    </w:p>
    <w:p w:rsidR="00000000" w:rsidDel="00000000" w:rsidP="00000000" w:rsidRDefault="00000000" w:rsidRPr="00000000" w14:paraId="00000031">
      <w:pPr>
        <w:spacing w:after="120" w:before="120" w:line="240" w:lineRule="auto"/>
        <w:ind w:left="-2"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The study had some limitations and difficulties that should be considered, such as: the difficulty of obtaining a larger sample, the difficulty of measuring subjective variables, such as anxiety and depression and the fact that the research participants were not undergoing specific treatment for orofacial pain, which could bring a conclusive result in relation to psychotherapeutic treatment as an adjunct in the treatment of TMD.</w:t>
      </w:r>
      <w:r w:rsidDel="00000000" w:rsidR="00000000" w:rsidRPr="00000000">
        <w:rPr>
          <w:rtl w:val="0"/>
        </w:rPr>
      </w:r>
    </w:p>
    <w:p w:rsidR="00000000" w:rsidDel="00000000" w:rsidP="00000000" w:rsidRDefault="00000000" w:rsidRPr="00000000" w14:paraId="00000033">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About the high prevalence of TMD found in this study, it is important to carry out a psychosocial assessment of patients in the diagnostic process, considering that factors, such as anxiety and depression, can act as important collaborators for the installation and maintenance of TMD, hindering the success of the treatment.</w:t>
      </w:r>
      <w:r w:rsidDel="00000000" w:rsidR="00000000" w:rsidRPr="00000000">
        <w:rPr>
          <w:rtl w:val="0"/>
        </w:rPr>
      </w:r>
    </w:p>
    <w:p w:rsidR="00000000" w:rsidDel="00000000" w:rsidP="00000000" w:rsidRDefault="00000000" w:rsidRPr="00000000" w14:paraId="00000034">
      <w:pPr>
        <w:spacing w:after="120" w:before="12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b w:val="1"/>
          <w:smallCaps w:val="1"/>
          <w:color w:val="000000"/>
          <w:sz w:val="24"/>
          <w:szCs w:val="24"/>
          <w:rtl w:val="0"/>
        </w:rPr>
        <w:t xml:space="preserve">CONCLUSION</w:t>
      </w:r>
      <w:r w:rsidDel="00000000" w:rsidR="00000000" w:rsidRPr="00000000">
        <w:rPr>
          <w:rtl w:val="0"/>
        </w:rPr>
      </w:r>
    </w:p>
    <w:p w:rsidR="00000000" w:rsidDel="00000000" w:rsidP="00000000" w:rsidRDefault="00000000" w:rsidRPr="00000000" w14:paraId="00000035">
      <w:pPr>
        <w:spacing w:after="120" w:before="120" w:line="240" w:lineRule="auto"/>
        <w:ind w:left="-2" w:hanging="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results revealed a high prevalence of symptoms of temporomandibular disorder, depression and anxiety in college students. However, there was no significant correlation of TMD between sex, course, period and psychological follow-up. The most prevalent symptoms in students were headache and jaw pain.</w:t>
      </w:r>
    </w:p>
    <w:p w:rsidR="00000000" w:rsidDel="00000000" w:rsidP="00000000" w:rsidRDefault="00000000" w:rsidRPr="00000000" w14:paraId="00000036">
      <w:pPr>
        <w:spacing w:after="120" w:before="120" w:line="240" w:lineRule="auto"/>
        <w:ind w:left="-2" w:hanging="2"/>
        <w:jc w:val="both"/>
        <w:rPr>
          <w:rFonts w:ascii="Arial" w:cs="Arial" w:eastAsia="Arial" w:hAnsi="Arial"/>
          <w:b w:val="1"/>
          <w:color w:val="0a0a0a"/>
          <w:sz w:val="24"/>
          <w:szCs w:val="24"/>
          <w:highlight w:val="white"/>
        </w:rPr>
      </w:pPr>
      <w:r w:rsidDel="00000000" w:rsidR="00000000" w:rsidRPr="00000000">
        <w:rPr>
          <w:rFonts w:ascii="Arial" w:cs="Arial" w:eastAsia="Arial" w:hAnsi="Arial"/>
          <w:b w:val="1"/>
          <w:color w:val="0a0a0a"/>
          <w:sz w:val="24"/>
          <w:szCs w:val="24"/>
          <w:highlight w:val="white"/>
          <w:rtl w:val="0"/>
        </w:rPr>
        <w:t xml:space="preserve">HIGHLIGHTS</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before="120" w:line="240" w:lineRule="auto"/>
        <w:ind w:left="716"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University students have been pointed out in as a group with a high prevalence of temporomandibular disorders, anxiety and depression;</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16"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COVID-19 pandemic changed the routine, and made the environment favorable to psychological illness and orofacial pain;</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120" w:line="240" w:lineRule="auto"/>
        <w:ind w:left="716"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sample studied showed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high prevalence of symptoms of temporomandibular disorder, depression and anxiety.</w:t>
      </w:r>
      <w:r w:rsidDel="00000000" w:rsidR="00000000" w:rsidRPr="00000000">
        <w:rPr>
          <w:rFonts w:ascii="Arial" w:cs="Arial" w:eastAsia="Arial" w:hAnsi="Arial"/>
          <w:b w:val="1"/>
          <w:color w:val="0a0a0a"/>
          <w:sz w:val="24"/>
          <w:szCs w:val="24"/>
          <w:highlight w:val="white"/>
          <w:rtl w:val="0"/>
        </w:rPr>
        <w:tab/>
      </w:r>
      <w:r w:rsidDel="00000000" w:rsidR="00000000" w:rsidRPr="00000000">
        <w:rPr>
          <w:rtl w:val="0"/>
        </w:rPr>
      </w:r>
    </w:p>
    <w:p w:rsidR="00000000" w:rsidDel="00000000" w:rsidP="00000000" w:rsidRDefault="00000000" w:rsidRPr="00000000" w14:paraId="0000003A">
      <w:pPr>
        <w:spacing w:after="120" w:before="12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Disclaimer (Artificial intelligence)</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03C">
      <w:pPr>
        <w:spacing w:after="120" w:before="120" w:line="240" w:lineRule="auto"/>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REFERENCES</w:t>
      </w:r>
      <w:r w:rsidDel="00000000" w:rsidR="00000000" w:rsidRPr="00000000">
        <w:rPr>
          <w:rtl w:val="0"/>
        </w:rPr>
      </w:r>
    </w:p>
    <w:p w:rsidR="00000000" w:rsidDel="00000000" w:rsidP="00000000" w:rsidRDefault="00000000" w:rsidRPr="00000000" w14:paraId="0000003D">
      <w:pPr>
        <w:spacing w:after="0" w:line="240" w:lineRule="auto"/>
        <w:ind w:left="36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 Bezerra BPN, Ribeiro AIAM, Farias ABL de, Farias ABL de, Fontes L de BC, Nascimento SR do, et al. Prevalence of temporomandibular disorders and different levels of anxiety in college students. Rev Dor. 2012;13(3):235–42.</w:t>
      </w:r>
    </w:p>
    <w:p w:rsidR="00000000" w:rsidDel="00000000" w:rsidP="00000000" w:rsidRDefault="00000000" w:rsidRPr="00000000" w14:paraId="0000003E">
      <w:pPr>
        <w:spacing w:after="0" w:line="240" w:lineRule="auto"/>
        <w:ind w:left="36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 Ferreira F, Cruz L, Urban V, Fernandes F, Campanha N, Jorge J. Prevalence of temporomandibular disorders in undergraduate students at the State University of Ponta Grossa. Arq em Odontol. 2012;48(1):13–8.</w:t>
      </w:r>
    </w:p>
    <w:p w:rsidR="00000000" w:rsidDel="00000000" w:rsidP="00000000" w:rsidRDefault="00000000" w:rsidRPr="00000000" w14:paraId="0000003F">
      <w:pPr>
        <w:spacing w:after="0" w:line="240" w:lineRule="auto"/>
        <w:ind w:left="36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 Minghelli B, Morgado M, Caro T. Association of temporomandibular disorder symptoms with anxiety and depression in Portuguese college students. J Oral Sci. 2014;56(2):127–33.</w:t>
      </w:r>
    </w:p>
    <w:p w:rsidR="00000000" w:rsidDel="00000000" w:rsidP="00000000" w:rsidRDefault="00000000" w:rsidRPr="00000000" w14:paraId="00000040">
      <w:pPr>
        <w:spacing w:after="0" w:line="240" w:lineRule="auto"/>
        <w:ind w:left="36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 Daher CR de M, Cunha LF da, Ferreira AP de L, Souza AIS de O, Rêgo TAM, Araújo M das GR de, et al. Pain threshold, sleep quality, and anxiety levels in individuals with temporomandibular disorders. Rev CEFAC. 2018;20(4):450–8.</w:t>
      </w:r>
    </w:p>
    <w:p w:rsidR="00000000" w:rsidDel="00000000" w:rsidP="00000000" w:rsidRDefault="00000000" w:rsidRPr="00000000" w14:paraId="00000041">
      <w:pPr>
        <w:spacing w:after="0" w:line="240" w:lineRule="auto"/>
        <w:ind w:left="36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 Calixtre LB, Gruninger LB da S, Chaves TC, Oliveira AB de. Depression and temporomandibular disorders in. 2014;(March).</w:t>
      </w:r>
    </w:p>
    <w:p w:rsidR="00000000" w:rsidDel="00000000" w:rsidP="00000000" w:rsidRDefault="00000000" w:rsidRPr="00000000" w14:paraId="00000042">
      <w:pPr>
        <w:spacing w:after="0" w:line="240" w:lineRule="auto"/>
        <w:ind w:left="36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6. Soares TV, Coelho PR, Ferreira LA, Guimarães JP. Correlation between severity of temporomandibular disorders and psychosocial factors in patients with chronic pain. Odontol Clín-Cient. 2012;11(3):197–202.</w:t>
      </w:r>
    </w:p>
    <w:p w:rsidR="00000000" w:rsidDel="00000000" w:rsidP="00000000" w:rsidRDefault="00000000" w:rsidRPr="00000000" w14:paraId="00000043">
      <w:pPr>
        <w:spacing w:after="0" w:line="240" w:lineRule="auto"/>
        <w:ind w:left="36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 Medeiros RA de, Vieira DL, Silva EVF da, Rezende LVM de L, Santos RW do, Tabata LF. Prevalence of symptoms of temporomandibular disorders, oral behaviors, anxiety, and depression in dentistry students during the period of social isolation due to COVID-19. J Appl Oral Sci. 2020;28:1–8.</w:t>
      </w:r>
    </w:p>
    <w:p w:rsidR="00000000" w:rsidDel="00000000" w:rsidP="00000000" w:rsidRDefault="00000000" w:rsidRPr="00000000" w14:paraId="00000044">
      <w:pPr>
        <w:spacing w:after="0" w:line="240" w:lineRule="auto"/>
        <w:ind w:left="36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8. Miranda JS, Bonato LL, Tesch R de S. COVID-19 and painful temporomandibular disorders: what does the dentist need to know? RGO - Rev Gaúcha Odontol. 2021;69.</w:t>
      </w:r>
    </w:p>
    <w:p w:rsidR="00000000" w:rsidDel="00000000" w:rsidP="00000000" w:rsidRDefault="00000000" w:rsidRPr="00000000" w14:paraId="00000045">
      <w:pPr>
        <w:spacing w:after="0" w:line="240" w:lineRule="auto"/>
        <w:ind w:left="36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9. Pereira MD. Article submitted to the Journal of Research, Society and Development – ​​&lt; https://rsd.unifei.edu.br/index.php/rsd &gt;. Rev Res Soc Dev – [Internet]. 2020; Available at: https://orcid.org/0000-0002-0260-7194</w:t>
      </w:r>
    </w:p>
    <w:p w:rsidR="00000000" w:rsidDel="00000000" w:rsidP="00000000" w:rsidRDefault="00000000" w:rsidRPr="00000000" w14:paraId="00000046">
      <w:pPr>
        <w:spacing w:after="0" w:line="240" w:lineRule="auto"/>
        <w:ind w:left="36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10. Schmidt B, Crepaldi MA, Bolze SDA, Neiva-Silva L, Demenech LM. Mental health and psychological interventions during the novel coronavirus (COVID-19) pandemic. Estud Psicol. 2020;37:1–13.</w:t>
      </w:r>
    </w:p>
    <w:p w:rsidR="00000000" w:rsidDel="00000000" w:rsidP="00000000" w:rsidRDefault="00000000" w:rsidRPr="00000000" w14:paraId="00000047">
      <w:pPr>
        <w:spacing w:after="0" w:line="240" w:lineRule="auto"/>
        <w:ind w:left="36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11. Dale R, Stacey B. Multimodal Treatment of Chronic Pain. Med Clin North Am [Internet]. 2015;100(1):55–64. Available at: http://dx.doi.org/10.1016/j.mcna.2015.08.012</w:t>
      </w:r>
    </w:p>
    <w:p w:rsidR="00000000" w:rsidDel="00000000" w:rsidP="00000000" w:rsidRDefault="00000000" w:rsidRPr="00000000" w14:paraId="00000048">
      <w:pPr>
        <w:spacing w:after="0" w:line="240" w:lineRule="auto"/>
        <w:ind w:left="36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 Yamaguchi MB, Oliveira M de FV, Siqueira SRD de. Psychotherapy in the treatment of refractory chronic orofacial pain. Case reports. Brazilian J Pain. 2022;5(2):1–6.</w:t>
      </w:r>
    </w:p>
    <w:p w:rsidR="00000000" w:rsidDel="00000000" w:rsidP="00000000" w:rsidRDefault="00000000" w:rsidRPr="00000000" w14:paraId="00000049">
      <w:pPr>
        <w:spacing w:after="0" w:line="240" w:lineRule="auto"/>
        <w:ind w:left="36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13. Pinto RGS, Leite WMA, Sampaio L da S, Sanchez M de O. Association between temporomandibular signs and symptoms and depression in undergraduate students: descriptive study. Rev Dor. 2017;18(3):217–24.</w:t>
      </w:r>
    </w:p>
    <w:p w:rsidR="00000000" w:rsidDel="00000000" w:rsidP="00000000" w:rsidRDefault="00000000" w:rsidRPr="00000000" w14:paraId="0000004A">
      <w:pPr>
        <w:spacing w:after="0" w:line="240" w:lineRule="auto"/>
        <w:ind w:left="36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14. De Caxias FP, Athayde FRF de, Januzzi MS, Pinheiro LV, Turcio KHL. Impact event and orofacial pain amid the covid-19 pandemic in brazil: A cross-sectional epidemiological study. J Appl Oral Sci 2021;29:1–11.</w:t>
      </w:r>
    </w:p>
    <w:p w:rsidR="00000000" w:rsidDel="00000000" w:rsidP="00000000" w:rsidRDefault="00000000" w:rsidRPr="00000000" w14:paraId="0000004B">
      <w:pPr>
        <w:spacing w:after="0" w:line="240" w:lineRule="auto"/>
        <w:ind w:left="36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15. Monteiro DR, Zuim PRJ, Pesqueira AA, Ribeiro P do P, Garcia AR. Relationship between anxiety and chronic orofacial pain of temporomandibular disorder in a group of university students. J Prosthodont Res 2011;55(3):154–8.</w:t>
      </w:r>
      <w:r w:rsidDel="00000000" w:rsidR="00000000" w:rsidRPr="00000000">
        <w:rPr>
          <w:rtl w:val="0"/>
        </w:rPr>
      </w:r>
    </w:p>
    <w:p w:rsidR="00000000" w:rsidDel="00000000" w:rsidP="00000000" w:rsidRDefault="00000000" w:rsidRPr="00000000" w14:paraId="0000004C">
      <w:pPr>
        <w:spacing w:after="0" w:line="240" w:lineRule="auto"/>
        <w:ind w:left="360" w:firstLine="0"/>
        <w:jc w:val="both"/>
        <w:rPr>
          <w:sz w:val="24"/>
          <w:szCs w:val="24"/>
        </w:rPr>
      </w:pPr>
      <w:r w:rsidDel="00000000" w:rsidR="00000000" w:rsidRPr="00000000">
        <w:rPr>
          <w:rFonts w:ascii="Arial" w:cs="Arial" w:eastAsia="Arial" w:hAnsi="Arial"/>
          <w:sz w:val="24"/>
          <w:szCs w:val="24"/>
          <w:rtl w:val="0"/>
        </w:rPr>
        <w:t xml:space="preserve">16.</w:t>
      </w:r>
      <w:r w:rsidDel="00000000" w:rsidR="00000000" w:rsidRPr="00000000">
        <w:rPr>
          <w:rFonts w:ascii="Arial" w:cs="Arial" w:eastAsia="Arial" w:hAnsi="Arial"/>
          <w:color w:val="212121"/>
          <w:sz w:val="24"/>
          <w:szCs w:val="24"/>
          <w:highlight w:val="white"/>
          <w:rtl w:val="0"/>
        </w:rPr>
        <w:t xml:space="preserve">Tarevici EL, Tanculescu O, Apostu AM, Solomon SM, Rotaru-Costin AT, Doloca A, Bodnar P, Proca VS, Ciocan-Pendefunda AA, Tatarciuc M, Fala V, Iordache MCI. Prevalence of Temporomandibular Disorder Symptoms Among Dental Students at the Faculty of Dental Medicine in Iași: A Self-Reported Study Based on DC/TMD Criteria. Diagnostics (Basel). 2025 Jul 30;15(15):1908. </w:t>
      </w: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spacing w:after="120" w:before="12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Table 1 - Demographic profile of the sample.</w:t>
      </w:r>
      <w:r w:rsidDel="00000000" w:rsidR="00000000" w:rsidRPr="00000000">
        <w:rPr>
          <w:rtl w:val="0"/>
        </w:rPr>
      </w:r>
    </w:p>
    <w:tbl>
      <w:tblPr>
        <w:tblStyle w:val="Table1"/>
        <w:tblW w:w="8503.0" w:type="dxa"/>
        <w:jc w:val="center"/>
        <w:tblLayout w:type="fixed"/>
        <w:tblLook w:val="0400"/>
      </w:tblPr>
      <w:tblGrid>
        <w:gridCol w:w="1531"/>
        <w:gridCol w:w="539"/>
        <w:gridCol w:w="1230"/>
        <w:gridCol w:w="1704"/>
        <w:gridCol w:w="539"/>
        <w:gridCol w:w="1223"/>
        <w:gridCol w:w="1737"/>
        <w:tblGridChange w:id="0">
          <w:tblGrid>
            <w:gridCol w:w="1531"/>
            <w:gridCol w:w="539"/>
            <w:gridCol w:w="1230"/>
            <w:gridCol w:w="1704"/>
            <w:gridCol w:w="539"/>
            <w:gridCol w:w="1223"/>
            <w:gridCol w:w="1737"/>
          </w:tblGrid>
        </w:tblGridChange>
      </w:tblGrid>
      <w:tr>
        <w:trPr>
          <w:cantSplit w:val="0"/>
          <w:trHeight w:val="340" w:hRule="atLeast"/>
          <w:tblHeader w:val="0"/>
        </w:trPr>
        <w:tc>
          <w:tcPr>
            <w:tcBorders>
              <w:top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57">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G1</w:t>
            </w:r>
            <w:r w:rsidDel="00000000" w:rsidR="00000000" w:rsidRPr="00000000">
              <w:rPr>
                <w:rtl w:val="0"/>
              </w:rPr>
            </w:r>
          </w:p>
        </w:tc>
        <w:tc>
          <w:tcPr>
            <w:gridSpan w:val="3"/>
            <w:tcBorders>
              <w:top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5A">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G2</w:t>
            </w:r>
            <w:r w:rsidDel="00000000" w:rsidR="00000000" w:rsidRPr="00000000">
              <w:rPr>
                <w:rtl w:val="0"/>
              </w:rPr>
            </w:r>
          </w:p>
        </w:tc>
      </w:tr>
      <w:tr>
        <w:trPr>
          <w:cantSplit w:val="0"/>
          <w:trHeight w:val="340" w:hRule="atLeast"/>
          <w:tblHeader w:val="0"/>
        </w:trPr>
        <w:tc>
          <w:tcPr>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5D">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Variables</w:t>
            </w:r>
            <w:r w:rsidDel="00000000" w:rsidR="00000000" w:rsidRPr="00000000">
              <w:rPr>
                <w:rtl w:val="0"/>
              </w:rPr>
            </w:r>
          </w:p>
        </w:tc>
        <w:tc>
          <w:tcPr>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5E">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n</w:t>
            </w:r>
            <w:r w:rsidDel="00000000" w:rsidR="00000000" w:rsidRPr="00000000">
              <w:rPr>
                <w:rtl w:val="0"/>
              </w:rPr>
            </w:r>
          </w:p>
        </w:tc>
        <w:tc>
          <w:tcPr>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5F">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tc>
        <w:tc>
          <w:tcPr>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60">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w:t>
            </w:r>
            <w:r w:rsidDel="00000000" w:rsidR="00000000" w:rsidRPr="00000000">
              <w:rPr>
                <w:rtl w:val="0"/>
              </w:rPr>
            </w:r>
          </w:p>
        </w:tc>
        <w:tc>
          <w:tcPr>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61">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n</w:t>
            </w:r>
            <w:r w:rsidDel="00000000" w:rsidR="00000000" w:rsidRPr="00000000">
              <w:rPr>
                <w:rtl w:val="0"/>
              </w:rPr>
            </w:r>
          </w:p>
        </w:tc>
        <w:tc>
          <w:tcPr>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62">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tc>
        <w:tc>
          <w:tcPr>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63">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w:t>
            </w:r>
            <w:r w:rsidDel="00000000" w:rsidR="00000000" w:rsidRPr="00000000">
              <w:rPr>
                <w:rtl w:val="0"/>
              </w:rPr>
            </w:r>
          </w:p>
        </w:tc>
      </w:tr>
      <w:tr>
        <w:trPr>
          <w:cantSplit w:val="0"/>
          <w:trHeight w:val="340" w:hRule="atLeast"/>
          <w:tblHeader w:val="0"/>
        </w:trPr>
        <w:tc>
          <w:tcPr>
            <w:tcBorders>
              <w:top w:color="000000" w:space="0" w:sz="4" w:val="single"/>
            </w:tcBorders>
            <w:tcMar>
              <w:top w:w="0.0" w:type="dxa"/>
              <w:left w:w="108.0" w:type="dxa"/>
              <w:bottom w:w="0.0" w:type="dxa"/>
              <w:right w:w="108.0" w:type="dxa"/>
            </w:tcMar>
            <w:vAlign w:val="center"/>
          </w:tcPr>
          <w:p w:rsidR="00000000" w:rsidDel="00000000" w:rsidP="00000000" w:rsidRDefault="00000000" w:rsidRPr="00000000" w14:paraId="00000064">
            <w:pPr>
              <w:spacing w:after="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Sex</w:t>
            </w:r>
            <w:r w:rsidDel="00000000" w:rsidR="00000000" w:rsidRPr="00000000">
              <w:rPr>
                <w:rtl w:val="0"/>
              </w:rPr>
            </w:r>
          </w:p>
        </w:tc>
        <w:tc>
          <w:tcPr>
            <w:tcBorders>
              <w:top w:color="000000" w:space="0" w:sz="4" w:val="single"/>
            </w:tcBorders>
            <w:tcMar>
              <w:top w:w="0.0" w:type="dxa"/>
              <w:left w:w="108.0" w:type="dxa"/>
              <w:bottom w:w="0.0" w:type="dxa"/>
              <w:right w:w="108.0" w:type="dxa"/>
            </w:tcMar>
            <w:vAlign w:val="center"/>
          </w:tcPr>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tcBorders>
            <w:tcMar>
              <w:top w:w="0.0" w:type="dxa"/>
              <w:left w:w="108.0" w:type="dxa"/>
              <w:bottom w:w="0.0" w:type="dxa"/>
              <w:right w:w="108.0" w:type="dxa"/>
            </w:tcMar>
            <w:vAlign w:val="center"/>
          </w:tcPr>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tcBorders>
            <w:tcMar>
              <w:top w:w="0.0" w:type="dxa"/>
              <w:left w:w="108.0" w:type="dxa"/>
              <w:bottom w:w="0.0" w:type="dxa"/>
              <w:right w:w="108.0" w:type="dxa"/>
            </w:tcMar>
            <w:vAlign w:val="cente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Mar>
              <w:top w:w="0.0" w:type="dxa"/>
              <w:left w:w="108.0" w:type="dxa"/>
              <w:bottom w:w="0.0" w:type="dxa"/>
              <w:right w:w="108.0" w:type="dxa"/>
            </w:tcMar>
            <w:vAlign w:val="center"/>
          </w:tcPr>
          <w:p w:rsidR="00000000" w:rsidDel="00000000" w:rsidP="00000000" w:rsidRDefault="00000000" w:rsidRPr="00000000" w14:paraId="0000006B">
            <w:pPr>
              <w:spacing w:after="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Female</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6C">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60</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6D">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70.59%</w:t>
            </w:r>
            <w:r w:rsidDel="00000000" w:rsidR="00000000" w:rsidRPr="00000000">
              <w:rPr>
                <w:rtl w:val="0"/>
              </w:rPr>
            </w:r>
          </w:p>
        </w:tc>
        <w:tc>
          <w:tcPr>
            <w:vMerge w:val="restart"/>
            <w:tcMar>
              <w:top w:w="0.0" w:type="dxa"/>
              <w:left w:w="108.0" w:type="dxa"/>
              <w:bottom w:w="0.0" w:type="dxa"/>
              <w:right w:w="108.0" w:type="dxa"/>
            </w:tcMar>
            <w:vAlign w:val="center"/>
          </w:tcPr>
          <w:p w:rsidR="00000000" w:rsidDel="00000000" w:rsidP="00000000" w:rsidRDefault="00000000" w:rsidRPr="00000000" w14:paraId="0000006E">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&lt;0.0001</w:t>
            </w:r>
            <w:r w:rsidDel="00000000" w:rsidR="00000000" w:rsidRPr="00000000">
              <w:rPr>
                <w:rtl w:val="0"/>
              </w:rPr>
            </w:r>
          </w:p>
          <w:p w:rsidR="00000000" w:rsidDel="00000000" w:rsidP="00000000" w:rsidRDefault="00000000" w:rsidRPr="00000000" w14:paraId="0000006F">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(Chi-Square Test)</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70">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62</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71">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72.94%</w:t>
            </w:r>
            <w:r w:rsidDel="00000000" w:rsidR="00000000" w:rsidRPr="00000000">
              <w:rPr>
                <w:rtl w:val="0"/>
              </w:rPr>
            </w:r>
          </w:p>
        </w:tc>
        <w:tc>
          <w:tcPr>
            <w:vMerge w:val="restart"/>
            <w:tcMar>
              <w:top w:w="0.0" w:type="dxa"/>
              <w:left w:w="108.0" w:type="dxa"/>
              <w:bottom w:w="0.0" w:type="dxa"/>
              <w:right w:w="108.0" w:type="dxa"/>
            </w:tcMar>
            <w:vAlign w:val="center"/>
          </w:tcPr>
          <w:p w:rsidR="00000000" w:rsidDel="00000000" w:rsidP="00000000" w:rsidRDefault="00000000" w:rsidRPr="00000000" w14:paraId="00000072">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&lt;0.0001</w:t>
            </w:r>
            <w:r w:rsidDel="00000000" w:rsidR="00000000" w:rsidRPr="00000000">
              <w:rPr>
                <w:rtl w:val="0"/>
              </w:rPr>
            </w:r>
          </w:p>
          <w:p w:rsidR="00000000" w:rsidDel="00000000" w:rsidP="00000000" w:rsidRDefault="00000000" w:rsidRPr="00000000" w14:paraId="00000073">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(Chi-Square Test)</w:t>
            </w:r>
            <w:r w:rsidDel="00000000" w:rsidR="00000000" w:rsidRPr="00000000">
              <w:rPr>
                <w:rtl w:val="0"/>
              </w:rPr>
            </w:r>
          </w:p>
        </w:tc>
      </w:tr>
      <w:tr>
        <w:trPr>
          <w:cantSplit w:val="0"/>
          <w:trHeight w:val="340" w:hRule="atLeast"/>
          <w:tblHeader w:val="0"/>
        </w:trPr>
        <w:tc>
          <w:tcPr>
            <w:tcMar>
              <w:top w:w="0.0" w:type="dxa"/>
              <w:left w:w="108.0" w:type="dxa"/>
              <w:bottom w:w="0.0" w:type="dxa"/>
              <w:right w:w="108.0" w:type="dxa"/>
            </w:tcMar>
            <w:vAlign w:val="center"/>
          </w:tcPr>
          <w:p w:rsidR="00000000" w:rsidDel="00000000" w:rsidP="00000000" w:rsidRDefault="00000000" w:rsidRPr="00000000" w14:paraId="00000074">
            <w:pPr>
              <w:spacing w:after="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Male</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75">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23</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76">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27.06%</w:t>
            </w:r>
            <w:r w:rsidDel="00000000" w:rsidR="00000000" w:rsidRPr="00000000">
              <w:rPr>
                <w:rtl w:val="0"/>
              </w:rPr>
            </w:r>
          </w:p>
        </w:tc>
        <w:tc>
          <w:tcPr>
            <w:vMerge w:val="continue"/>
            <w:tcMar>
              <w:top w:w="0.0" w:type="dxa"/>
              <w:left w:w="108.0" w:type="dxa"/>
              <w:bottom w:w="0.0" w:type="dxa"/>
              <w:right w:w="108.0" w:type="dxa"/>
            </w:tcM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78">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23</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79">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27.06%</w:t>
            </w:r>
            <w:r w:rsidDel="00000000" w:rsidR="00000000" w:rsidRPr="00000000">
              <w:rPr>
                <w:rtl w:val="0"/>
              </w:rPr>
            </w:r>
          </w:p>
        </w:tc>
        <w:tc>
          <w:tcPr>
            <w:vMerge w:val="continue"/>
            <w:tcMar>
              <w:top w:w="0.0" w:type="dxa"/>
              <w:left w:w="108.0" w:type="dxa"/>
              <w:bottom w:w="0.0" w:type="dxa"/>
              <w:right w:w="108.0" w:type="dxa"/>
            </w:tcM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Mar>
              <w:top w:w="0.0" w:type="dxa"/>
              <w:left w:w="108.0" w:type="dxa"/>
              <w:bottom w:w="0.0" w:type="dxa"/>
              <w:right w:w="108.0" w:type="dxa"/>
            </w:tcMar>
            <w:vAlign w:val="center"/>
          </w:tcPr>
          <w:p w:rsidR="00000000" w:rsidDel="00000000" w:rsidP="00000000" w:rsidRDefault="00000000" w:rsidRPr="00000000" w14:paraId="0000007B">
            <w:pPr>
              <w:spacing w:after="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Other</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7C">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7D">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2.35%</w:t>
            </w:r>
            <w:r w:rsidDel="00000000" w:rsidR="00000000" w:rsidRPr="00000000">
              <w:rPr>
                <w:rtl w:val="0"/>
              </w:rPr>
            </w:r>
          </w:p>
        </w:tc>
        <w:tc>
          <w:tcPr>
            <w:vMerge w:val="continue"/>
            <w:tcMar>
              <w:top w:w="0.0" w:type="dxa"/>
              <w:left w:w="108.0" w:type="dxa"/>
              <w:bottom w:w="0.0" w:type="dxa"/>
              <w:right w:w="108.0" w:type="dxa"/>
            </w:tcM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7F">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80">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0.00%</w:t>
            </w:r>
            <w:r w:rsidDel="00000000" w:rsidR="00000000" w:rsidRPr="00000000">
              <w:rPr>
                <w:rtl w:val="0"/>
              </w:rPr>
            </w:r>
          </w:p>
        </w:tc>
        <w:tc>
          <w:tcPr>
            <w:vMerge w:val="continue"/>
            <w:tcMar>
              <w:top w:w="0.0" w:type="dxa"/>
              <w:left w:w="108.0" w:type="dxa"/>
              <w:bottom w:w="0.0" w:type="dxa"/>
              <w:right w:w="108.0" w:type="dxa"/>
            </w:tcM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shd w:fill="d9d9d9" w:val="clear"/>
            <w:tcMar>
              <w:top w:w="0.0" w:type="dxa"/>
              <w:left w:w="108.0" w:type="dxa"/>
              <w:bottom w:w="0.0" w:type="dxa"/>
              <w:right w:w="108.0" w:type="dxa"/>
            </w:tcMar>
            <w:vAlign w:val="center"/>
          </w:tcPr>
          <w:p w:rsidR="00000000" w:rsidDel="00000000" w:rsidP="00000000" w:rsidRDefault="00000000" w:rsidRPr="00000000" w14:paraId="00000082">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Age range</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83">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n</w:t>
            </w:r>
            <w:r w:rsidDel="00000000" w:rsidR="00000000" w:rsidRPr="00000000">
              <w:rPr>
                <w:rtl w:val="0"/>
              </w:rPr>
            </w:r>
          </w:p>
        </w:tc>
        <w:tc>
          <w:tcPr>
            <w:shd w:fill="d9d9d9" w:val="clear"/>
            <w:tcMar>
              <w:top w:w="0.0" w:type="dxa"/>
              <w:left w:w="108.0" w:type="dxa"/>
              <w:bottom w:w="0.0" w:type="dxa"/>
              <w:right w:w="108.0" w:type="dxa"/>
            </w:tcMa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85">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86">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n</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87">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88">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w:t>
            </w:r>
            <w:r w:rsidDel="00000000" w:rsidR="00000000" w:rsidRPr="00000000">
              <w:rPr>
                <w:rtl w:val="0"/>
              </w:rPr>
            </w:r>
          </w:p>
        </w:tc>
      </w:tr>
      <w:tr>
        <w:trPr>
          <w:cantSplit w:val="0"/>
          <w:trHeight w:val="340" w:hRule="atLeast"/>
          <w:tblHeader w:val="0"/>
        </w:trPr>
        <w:tc>
          <w:tcPr>
            <w:shd w:fill="d9d9d9" w:val="clear"/>
            <w:tcMar>
              <w:top w:w="0.0" w:type="dxa"/>
              <w:left w:w="108.0" w:type="dxa"/>
              <w:bottom w:w="0.0" w:type="dxa"/>
              <w:right w:w="108.0" w:type="dxa"/>
            </w:tcMar>
            <w:vAlign w:val="center"/>
          </w:tcPr>
          <w:p w:rsidR="00000000" w:rsidDel="00000000" w:rsidP="00000000" w:rsidRDefault="00000000" w:rsidRPr="00000000" w14:paraId="00000089">
            <w:pPr>
              <w:spacing w:after="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18 a 24 years</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8A">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58</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8B">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68.24%</w:t>
            </w:r>
            <w:r w:rsidDel="00000000" w:rsidR="00000000" w:rsidRPr="00000000">
              <w:rPr>
                <w:rFonts w:ascii="Arial" w:cs="Arial" w:eastAsia="Arial" w:hAnsi="Arial"/>
                <w:color w:val="000000"/>
                <w:sz w:val="24"/>
                <w:szCs w:val="24"/>
                <w:vertAlign w:val="superscript"/>
                <w:rtl w:val="0"/>
              </w:rPr>
              <w:t xml:space="preserve">+• º×</w:t>
            </w:r>
            <w:r w:rsidDel="00000000" w:rsidR="00000000" w:rsidRPr="00000000">
              <w:rPr>
                <w:rtl w:val="0"/>
              </w:rPr>
            </w:r>
          </w:p>
        </w:tc>
        <w:tc>
          <w:tcPr>
            <w:vMerge w:val="restart"/>
            <w:shd w:fill="d9d9d9" w:val="clear"/>
            <w:tcMar>
              <w:top w:w="0.0" w:type="dxa"/>
              <w:left w:w="108.0" w:type="dxa"/>
              <w:bottom w:w="0.0" w:type="dxa"/>
              <w:right w:w="108.0" w:type="dxa"/>
            </w:tcMar>
            <w:vAlign w:val="center"/>
          </w:tcPr>
          <w:p w:rsidR="00000000" w:rsidDel="00000000" w:rsidP="00000000" w:rsidRDefault="00000000" w:rsidRPr="00000000" w14:paraId="0000008C">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&lt;0.0001</w:t>
            </w:r>
            <w:r w:rsidDel="00000000" w:rsidR="00000000" w:rsidRPr="00000000">
              <w:rPr>
                <w:rtl w:val="0"/>
              </w:rPr>
            </w:r>
          </w:p>
          <w:p w:rsidR="00000000" w:rsidDel="00000000" w:rsidP="00000000" w:rsidRDefault="00000000" w:rsidRPr="00000000" w14:paraId="0000008D">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(Kruskal-Wallis)</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8E">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68</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8F">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80.00%</w:t>
            </w:r>
            <w:r w:rsidDel="00000000" w:rsidR="00000000" w:rsidRPr="00000000">
              <w:rPr>
                <w:rFonts w:ascii="Arial" w:cs="Arial" w:eastAsia="Arial" w:hAnsi="Arial"/>
                <w:color w:val="000000"/>
                <w:sz w:val="24"/>
                <w:szCs w:val="24"/>
                <w:vertAlign w:val="superscript"/>
                <w:rtl w:val="0"/>
              </w:rPr>
              <w:t xml:space="preserve">+•×</w:t>
            </w:r>
            <w:r w:rsidDel="00000000" w:rsidR="00000000" w:rsidRPr="00000000">
              <w:rPr>
                <w:rtl w:val="0"/>
              </w:rPr>
            </w:r>
          </w:p>
        </w:tc>
        <w:tc>
          <w:tcPr>
            <w:vMerge w:val="restart"/>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90">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&lt;0.0001</w:t>
            </w:r>
            <w:r w:rsidDel="00000000" w:rsidR="00000000" w:rsidRPr="00000000">
              <w:rPr>
                <w:rtl w:val="0"/>
              </w:rPr>
            </w:r>
          </w:p>
          <w:p w:rsidR="00000000" w:rsidDel="00000000" w:rsidP="00000000" w:rsidRDefault="00000000" w:rsidRPr="00000000" w14:paraId="00000091">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(Kruskal-Wallis)</w:t>
            </w:r>
            <w:r w:rsidDel="00000000" w:rsidR="00000000" w:rsidRPr="00000000">
              <w:rPr>
                <w:rtl w:val="0"/>
              </w:rPr>
            </w:r>
          </w:p>
        </w:tc>
      </w:tr>
      <w:tr>
        <w:trPr>
          <w:cantSplit w:val="0"/>
          <w:trHeight w:val="340" w:hRule="atLeast"/>
          <w:tblHeader w:val="0"/>
        </w:trPr>
        <w:tc>
          <w:tcPr>
            <w:shd w:fill="d9d9d9" w:val="clear"/>
            <w:tcMar>
              <w:top w:w="0.0" w:type="dxa"/>
              <w:left w:w="108.0" w:type="dxa"/>
              <w:bottom w:w="0.0" w:type="dxa"/>
              <w:right w:w="108.0" w:type="dxa"/>
            </w:tcMar>
            <w:vAlign w:val="center"/>
          </w:tcPr>
          <w:p w:rsidR="00000000" w:rsidDel="00000000" w:rsidP="00000000" w:rsidRDefault="00000000" w:rsidRPr="00000000" w14:paraId="00000092">
            <w:pPr>
              <w:spacing w:after="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25 a 30 years</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93">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17</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94">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20.00%*</w:t>
            </w:r>
            <w:r w:rsidDel="00000000" w:rsidR="00000000" w:rsidRPr="00000000">
              <w:rPr>
                <w:rtl w:val="0"/>
              </w:rPr>
            </w:r>
          </w:p>
        </w:tc>
        <w:tc>
          <w:tcPr>
            <w:vMerge w:val="continue"/>
            <w:shd w:fill="d9d9d9" w:val="clear"/>
            <w:tcMar>
              <w:top w:w="0.0" w:type="dxa"/>
              <w:left w:w="108.0" w:type="dxa"/>
              <w:bottom w:w="0.0" w:type="dxa"/>
              <w:right w:w="108.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96">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12</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97">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14.12%*</w:t>
            </w:r>
            <w:r w:rsidDel="00000000" w:rsidR="00000000" w:rsidRPr="00000000">
              <w:rPr>
                <w:rtl w:val="0"/>
              </w:rPr>
            </w:r>
          </w:p>
        </w:tc>
        <w:tc>
          <w:tcPr>
            <w:vMerge w:val="continue"/>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shd w:fill="d9d9d9" w:val="clear"/>
            <w:tcMar>
              <w:top w:w="0.0" w:type="dxa"/>
              <w:left w:w="108.0" w:type="dxa"/>
              <w:bottom w:w="0.0" w:type="dxa"/>
              <w:right w:w="108.0" w:type="dxa"/>
            </w:tcMar>
            <w:vAlign w:val="center"/>
          </w:tcPr>
          <w:p w:rsidR="00000000" w:rsidDel="00000000" w:rsidP="00000000" w:rsidRDefault="00000000" w:rsidRPr="00000000" w14:paraId="00000099">
            <w:pPr>
              <w:spacing w:after="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31 a 36 years</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9A">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6</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9B">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7.06%*</w:t>
            </w:r>
            <w:r w:rsidDel="00000000" w:rsidR="00000000" w:rsidRPr="00000000">
              <w:rPr>
                <w:rtl w:val="0"/>
              </w:rPr>
            </w:r>
          </w:p>
        </w:tc>
        <w:tc>
          <w:tcPr>
            <w:vMerge w:val="continue"/>
            <w:shd w:fill="d9d9d9" w:val="clear"/>
            <w:tcMar>
              <w:top w:w="0.0" w:type="dxa"/>
              <w:left w:w="108.0" w:type="dxa"/>
              <w:bottom w:w="0.0" w:type="dxa"/>
              <w:right w:w="108.0" w:type="dxa"/>
            </w:tcM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9D">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9E">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2.35%*</w:t>
            </w:r>
            <w:r w:rsidDel="00000000" w:rsidR="00000000" w:rsidRPr="00000000">
              <w:rPr>
                <w:rtl w:val="0"/>
              </w:rPr>
            </w:r>
          </w:p>
        </w:tc>
        <w:tc>
          <w:tcPr>
            <w:vMerge w:val="continue"/>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shd w:fill="d9d9d9" w:val="clear"/>
            <w:tcMar>
              <w:top w:w="0.0" w:type="dxa"/>
              <w:left w:w="108.0" w:type="dxa"/>
              <w:bottom w:w="0.0" w:type="dxa"/>
              <w:right w:w="108.0" w:type="dxa"/>
            </w:tcMar>
            <w:vAlign w:val="center"/>
          </w:tcPr>
          <w:p w:rsidR="00000000" w:rsidDel="00000000" w:rsidP="00000000" w:rsidRDefault="00000000" w:rsidRPr="00000000" w14:paraId="000000A0">
            <w:pPr>
              <w:spacing w:after="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37 a 42 years</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A1">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A2">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2.35%*</w:t>
            </w:r>
            <w:r w:rsidDel="00000000" w:rsidR="00000000" w:rsidRPr="00000000">
              <w:rPr>
                <w:rtl w:val="0"/>
              </w:rPr>
            </w:r>
          </w:p>
        </w:tc>
        <w:tc>
          <w:tcPr>
            <w:vMerge w:val="continue"/>
            <w:shd w:fill="d9d9d9" w:val="clear"/>
            <w:tcMar>
              <w:top w:w="0.0" w:type="dxa"/>
              <w:left w:w="108.0" w:type="dxa"/>
              <w:bottom w:w="0.0" w:type="dxa"/>
              <w:right w:w="108.0" w:type="dxa"/>
            </w:tcM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A4">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w:t>
            </w:r>
            <w:r w:rsidDel="00000000" w:rsidR="00000000" w:rsidRPr="00000000">
              <w:rPr>
                <w:rtl w:val="0"/>
              </w:rPr>
            </w:r>
          </w:p>
        </w:tc>
        <w:tc>
          <w:tcPr>
            <w:shd w:fill="d9d9d9" w:val="clear"/>
            <w:tcMar>
              <w:top w:w="0.0" w:type="dxa"/>
              <w:left w:w="108.0" w:type="dxa"/>
              <w:bottom w:w="0.0" w:type="dxa"/>
              <w:right w:w="108.0" w:type="dxa"/>
            </w:tcMar>
            <w:vAlign w:val="center"/>
          </w:tcPr>
          <w:p w:rsidR="00000000" w:rsidDel="00000000" w:rsidP="00000000" w:rsidRDefault="00000000" w:rsidRPr="00000000" w14:paraId="000000A5">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0.00%</w:t>
            </w:r>
            <w:r w:rsidDel="00000000" w:rsidR="00000000" w:rsidRPr="00000000">
              <w:rPr>
                <w:rtl w:val="0"/>
              </w:rPr>
            </w:r>
          </w:p>
        </w:tc>
        <w:tc>
          <w:tcPr>
            <w:vMerge w:val="continue"/>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A7">
            <w:pPr>
              <w:spacing w:after="0" w:line="240" w:lineRule="auto"/>
              <w:ind w:left="-2" w:hanging="2"/>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43 a 48 years</w:t>
            </w:r>
            <w:r w:rsidDel="00000000" w:rsidR="00000000" w:rsidRPr="00000000">
              <w:rPr>
                <w:rtl w:val="0"/>
              </w:rPr>
            </w:r>
          </w:p>
        </w:tc>
        <w:tc>
          <w:tcPr>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A8">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w:t>
            </w:r>
            <w:r w:rsidDel="00000000" w:rsidR="00000000" w:rsidRPr="00000000">
              <w:rPr>
                <w:rtl w:val="0"/>
              </w:rPr>
            </w:r>
          </w:p>
        </w:tc>
        <w:tc>
          <w:tcPr>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A9">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2.35%*</w:t>
            </w:r>
            <w:r w:rsidDel="00000000" w:rsidR="00000000" w:rsidRPr="00000000">
              <w:rPr>
                <w:rtl w:val="0"/>
              </w:rPr>
            </w:r>
          </w:p>
        </w:tc>
        <w:tc>
          <w:tcPr>
            <w:vMerge w:val="continue"/>
            <w:shd w:fill="d9d9d9" w:val="clear"/>
            <w:tcMar>
              <w:top w:w="0.0" w:type="dxa"/>
              <w:left w:w="108.0" w:type="dxa"/>
              <w:bottom w:w="0.0" w:type="dxa"/>
              <w:right w:w="108.0" w:type="dxa"/>
            </w:tcM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AB">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w:t>
            </w:r>
            <w:r w:rsidDel="00000000" w:rsidR="00000000" w:rsidRPr="00000000">
              <w:rPr>
                <w:rtl w:val="0"/>
              </w:rPr>
            </w:r>
          </w:p>
        </w:tc>
        <w:tc>
          <w:tcPr>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AC">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3.53%*</w:t>
            </w:r>
            <w:r w:rsidDel="00000000" w:rsidR="00000000" w:rsidRPr="00000000">
              <w:rPr>
                <w:rtl w:val="0"/>
              </w:rPr>
            </w:r>
          </w:p>
        </w:tc>
        <w:tc>
          <w:tcPr>
            <w:vMerge w:val="continue"/>
            <w:tcBorders>
              <w:bottom w:color="000000" w:space="0" w:sz="4" w:val="single"/>
            </w:tcBorders>
            <w:shd w:fill="d9d9d9" w:val="clear"/>
            <w:tcMar>
              <w:top w:w="0.0" w:type="dxa"/>
              <w:left w:w="108.0" w:type="dxa"/>
              <w:bottom w:w="0.0" w:type="dxa"/>
              <w:right w:w="108.0" w:type="dxa"/>
            </w:tcMa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E">
      <w:pPr>
        <w:spacing w:after="0" w:line="240" w:lineRule="auto"/>
        <w:ind w:left="-2"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Captions: *Significant difference when compared to the group “18 to 24 years old”; + Significant difference when compared to the “25 to 30 years old” group; • Significant difference when compared to the “31 to 36 years old” group; º Significant difference when compared to the group “37 to 42 years old”; × Significant difference when compared to the “43 to 48 years old” group.</w:t>
      </w:r>
      <w:r w:rsidDel="00000000" w:rsidR="00000000" w:rsidRPr="00000000">
        <w:rPr>
          <w:rtl w:val="0"/>
        </w:rPr>
      </w:r>
    </w:p>
    <w:p w:rsidR="00000000" w:rsidDel="00000000" w:rsidP="00000000" w:rsidRDefault="00000000" w:rsidRPr="00000000" w14:paraId="000000AF">
      <w:pPr>
        <w:spacing w:after="24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0">
      <w:pPr>
        <w:spacing w:after="24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Table 2 – Anxiety stratified by sex and probability.</w:t>
      </w:r>
    </w:p>
    <w:tbl>
      <w:tblPr>
        <w:tblStyle w:val="Table2"/>
        <w:tblW w:w="7410.0" w:type="dxa"/>
        <w:jc w:val="left"/>
        <w:tblInd w:w="-15.0" w:type="dxa"/>
        <w:tblLayout w:type="fixed"/>
        <w:tblLook w:val="0400"/>
      </w:tblPr>
      <w:tblGrid>
        <w:gridCol w:w="855"/>
        <w:gridCol w:w="1410"/>
        <w:gridCol w:w="1755"/>
        <w:gridCol w:w="1545"/>
        <w:gridCol w:w="1845"/>
        <w:tblGridChange w:id="0">
          <w:tblGrid>
            <w:gridCol w:w="855"/>
            <w:gridCol w:w="1410"/>
            <w:gridCol w:w="1755"/>
            <w:gridCol w:w="1545"/>
            <w:gridCol w:w="1845"/>
          </w:tblGrid>
        </w:tblGridChange>
      </w:tblGrid>
      <w:tr>
        <w:trPr>
          <w:cantSplit w:val="0"/>
          <w:trHeight w:val="59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B1">
            <w:pPr>
              <w:spacing w:after="0" w:line="240" w:lineRule="auto"/>
              <w:ind w:left="100" w:right="10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B2">
            <w:pPr>
              <w:spacing w:after="0" w:line="240" w:lineRule="auto"/>
              <w:ind w:left="100" w:right="10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B3">
            <w:pPr>
              <w:spacing w:after="0" w:line="240" w:lineRule="auto"/>
              <w:ind w:left="100" w:right="10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Male</w:t>
            </w:r>
          </w:p>
          <w:p w:rsidR="00000000" w:rsidDel="00000000" w:rsidP="00000000" w:rsidRDefault="00000000" w:rsidRPr="00000000" w14:paraId="000000B4">
            <w:pPr>
              <w:spacing w:after="0" w:line="240" w:lineRule="auto"/>
              <w:ind w:left="100" w:right="10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5">
            <w:pPr>
              <w:spacing w:after="0" w:line="240"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 (%)</w:t>
            </w:r>
          </w:p>
        </w:tc>
        <w:tc>
          <w:tcPr>
            <w:shd w:fill="d9d9d9" w:val="clear"/>
            <w:tcMar>
              <w:top w:w="100.0" w:type="dxa"/>
              <w:left w:w="100.0" w:type="dxa"/>
              <w:bottom w:w="100.0" w:type="dxa"/>
              <w:right w:w="100.0" w:type="dxa"/>
            </w:tcMar>
          </w:tcPr>
          <w:p w:rsidR="00000000" w:rsidDel="00000000" w:rsidP="00000000" w:rsidRDefault="00000000" w:rsidRPr="00000000" w14:paraId="000000B6">
            <w:pPr>
              <w:spacing w:after="0" w:line="240" w:lineRule="auto"/>
              <w:ind w:left="100" w:right="10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Female</w:t>
            </w:r>
          </w:p>
          <w:p w:rsidR="00000000" w:rsidDel="00000000" w:rsidP="00000000" w:rsidRDefault="00000000" w:rsidRPr="00000000" w14:paraId="000000B7">
            <w:pPr>
              <w:spacing w:after="0" w:line="240" w:lineRule="auto"/>
              <w:ind w:left="100" w:right="10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8">
            <w:pPr>
              <w:spacing w:after="0" w:line="240"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 (%)</w:t>
            </w:r>
          </w:p>
        </w:tc>
        <w:tc>
          <w:tcPr>
            <w:shd w:fill="d9d9d9" w:val="clear"/>
            <w:tcMar>
              <w:top w:w="100.0" w:type="dxa"/>
              <w:left w:w="100.0" w:type="dxa"/>
              <w:bottom w:w="100.0" w:type="dxa"/>
              <w:right w:w="100.0" w:type="dxa"/>
            </w:tcMar>
          </w:tcPr>
          <w:p w:rsidR="00000000" w:rsidDel="00000000" w:rsidP="00000000" w:rsidRDefault="00000000" w:rsidRPr="00000000" w14:paraId="000000B9">
            <w:pPr>
              <w:spacing w:after="0" w:line="240" w:lineRule="auto"/>
              <w:ind w:left="100" w:right="10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Other</w:t>
            </w:r>
          </w:p>
          <w:p w:rsidR="00000000" w:rsidDel="00000000" w:rsidP="00000000" w:rsidRDefault="00000000" w:rsidRPr="00000000" w14:paraId="000000BA">
            <w:pPr>
              <w:spacing w:after="0" w:line="240" w:lineRule="auto"/>
              <w:ind w:left="100" w:right="10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BB">
            <w:pPr>
              <w:spacing w:after="0" w:line="240"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 (%)</w:t>
            </w:r>
          </w:p>
        </w:tc>
      </w:tr>
      <w:tr>
        <w:trPr>
          <w:cantSplit w:val="0"/>
          <w:trHeight w:val="59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0BC">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G1</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D">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Absence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E">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w:t>
            </w:r>
            <w:r w:rsidDel="00000000" w:rsidR="00000000" w:rsidRPr="00000000">
              <w:rPr>
                <w:rFonts w:ascii="Arial" w:cs="Arial" w:eastAsia="Arial" w:hAnsi="Arial"/>
                <w:sz w:val="24"/>
                <w:szCs w:val="24"/>
                <w:rtl w:val="0"/>
              </w:rPr>
              <w:t xml:space="preserve">(5.9)</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BF">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11</w:t>
            </w:r>
            <w:r w:rsidDel="00000000" w:rsidR="00000000" w:rsidRPr="00000000">
              <w:rPr>
                <w:rFonts w:ascii="Arial" w:cs="Arial" w:eastAsia="Arial" w:hAnsi="Arial"/>
                <w:sz w:val="24"/>
                <w:szCs w:val="24"/>
                <w:rtl w:val="0"/>
              </w:rPr>
              <w:t xml:space="preserve">(12.9)</w:t>
            </w:r>
          </w:p>
        </w:tc>
        <w:tc>
          <w:tcPr>
            <w:tcMar>
              <w:top w:w="100.0" w:type="dxa"/>
              <w:left w:w="100.0" w:type="dxa"/>
              <w:bottom w:w="100.0" w:type="dxa"/>
              <w:right w:w="100.0" w:type="dxa"/>
            </w:tcMar>
          </w:tcPr>
          <w:p w:rsidR="00000000" w:rsidDel="00000000" w:rsidP="00000000" w:rsidRDefault="00000000" w:rsidRPr="00000000" w14:paraId="000000C0">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sz w:val="24"/>
                <w:szCs w:val="24"/>
                <w:rtl w:val="0"/>
              </w:rPr>
              <w:t xml:space="preserve">(0.0)</w:t>
            </w:r>
          </w:p>
        </w:tc>
      </w:tr>
      <w:tr>
        <w:trPr>
          <w:cantSplit w:val="0"/>
          <w:trHeight w:val="59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2">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Potential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3">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8</w:t>
            </w:r>
            <w:r w:rsidDel="00000000" w:rsidR="00000000" w:rsidRPr="00000000">
              <w:rPr>
                <w:rFonts w:ascii="Arial" w:cs="Arial" w:eastAsia="Arial" w:hAnsi="Arial"/>
                <w:sz w:val="24"/>
                <w:szCs w:val="24"/>
                <w:rtl w:val="0"/>
              </w:rPr>
              <w:t xml:space="preserve">(9.4)</w:t>
            </w:r>
          </w:p>
        </w:tc>
        <w:tc>
          <w:tcPr>
            <w:tcMar>
              <w:top w:w="100.0" w:type="dxa"/>
              <w:left w:w="100.0" w:type="dxa"/>
              <w:bottom w:w="100.0" w:type="dxa"/>
              <w:right w:w="100.0" w:type="dxa"/>
            </w:tcMar>
          </w:tcPr>
          <w:p w:rsidR="00000000" w:rsidDel="00000000" w:rsidP="00000000" w:rsidRDefault="00000000" w:rsidRPr="00000000" w14:paraId="000000C4">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11</w:t>
            </w:r>
            <w:r w:rsidDel="00000000" w:rsidR="00000000" w:rsidRPr="00000000">
              <w:rPr>
                <w:rFonts w:ascii="Arial" w:cs="Arial" w:eastAsia="Arial" w:hAnsi="Arial"/>
                <w:sz w:val="24"/>
                <w:szCs w:val="24"/>
                <w:rtl w:val="0"/>
              </w:rPr>
              <w:t xml:space="preserve">(12.9)</w:t>
            </w:r>
          </w:p>
        </w:tc>
        <w:tc>
          <w:tcPr>
            <w:tcMar>
              <w:top w:w="100.0" w:type="dxa"/>
              <w:left w:w="100.0" w:type="dxa"/>
              <w:bottom w:w="100.0" w:type="dxa"/>
              <w:right w:w="100.0" w:type="dxa"/>
            </w:tcMar>
          </w:tcPr>
          <w:p w:rsidR="00000000" w:rsidDel="00000000" w:rsidP="00000000" w:rsidRDefault="00000000" w:rsidRPr="00000000" w14:paraId="000000C5">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w:t>
            </w:r>
            <w:r w:rsidDel="00000000" w:rsidR="00000000" w:rsidRPr="00000000">
              <w:rPr>
                <w:rFonts w:ascii="Arial" w:cs="Arial" w:eastAsia="Arial" w:hAnsi="Arial"/>
                <w:sz w:val="24"/>
                <w:szCs w:val="24"/>
                <w:rtl w:val="0"/>
              </w:rPr>
              <w:t xml:space="preserve">(2.3)</w:t>
            </w:r>
          </w:p>
        </w:tc>
      </w:tr>
      <w:tr>
        <w:trPr>
          <w:cantSplit w:val="0"/>
          <w:trHeight w:val="59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7">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Presence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8">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10</w:t>
            </w:r>
            <w:r w:rsidDel="00000000" w:rsidR="00000000" w:rsidRPr="00000000">
              <w:rPr>
                <w:rFonts w:ascii="Arial" w:cs="Arial" w:eastAsia="Arial" w:hAnsi="Arial"/>
                <w:sz w:val="24"/>
                <w:szCs w:val="24"/>
                <w:rtl w:val="0"/>
              </w:rPr>
              <w:t xml:space="preserve">(11.8)</w:t>
            </w:r>
          </w:p>
        </w:tc>
        <w:tc>
          <w:tcPr>
            <w:tcMar>
              <w:top w:w="100.0" w:type="dxa"/>
              <w:left w:w="100.0" w:type="dxa"/>
              <w:bottom w:w="100.0" w:type="dxa"/>
              <w:right w:w="100.0" w:type="dxa"/>
            </w:tcMar>
          </w:tcPr>
          <w:p w:rsidR="00000000" w:rsidDel="00000000" w:rsidP="00000000" w:rsidRDefault="00000000" w:rsidRPr="00000000" w14:paraId="000000C9">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38</w:t>
            </w:r>
            <w:r w:rsidDel="00000000" w:rsidR="00000000" w:rsidRPr="00000000">
              <w:rPr>
                <w:rFonts w:ascii="Arial" w:cs="Arial" w:eastAsia="Arial" w:hAnsi="Arial"/>
                <w:sz w:val="24"/>
                <w:szCs w:val="24"/>
                <w:rtl w:val="0"/>
              </w:rPr>
              <w:t xml:space="preserve">(44.7)</w:t>
            </w:r>
          </w:p>
        </w:tc>
        <w:tc>
          <w:tcPr>
            <w:tcMar>
              <w:top w:w="100.0" w:type="dxa"/>
              <w:left w:w="100.0" w:type="dxa"/>
              <w:bottom w:w="100.0" w:type="dxa"/>
              <w:right w:w="100.0" w:type="dxa"/>
            </w:tcMar>
          </w:tcPr>
          <w:p w:rsidR="00000000" w:rsidDel="00000000" w:rsidP="00000000" w:rsidRDefault="00000000" w:rsidRPr="00000000" w14:paraId="000000CA">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sz w:val="24"/>
                <w:szCs w:val="24"/>
                <w:rtl w:val="0"/>
              </w:rPr>
              <w:t xml:space="preserve">(0.0)</w:t>
            </w:r>
          </w:p>
        </w:tc>
      </w:tr>
      <w:tr>
        <w:trPr>
          <w:cantSplit w:val="0"/>
          <w:trHeight w:val="59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0CB">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G2</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CC">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Absence</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CD">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10</w:t>
            </w:r>
            <w:r w:rsidDel="00000000" w:rsidR="00000000" w:rsidRPr="00000000">
              <w:rPr>
                <w:rFonts w:ascii="Arial" w:cs="Arial" w:eastAsia="Arial" w:hAnsi="Arial"/>
                <w:sz w:val="24"/>
                <w:szCs w:val="24"/>
                <w:rtl w:val="0"/>
              </w:rPr>
              <w:t xml:space="preserve">(11.8)</w:t>
            </w:r>
          </w:p>
        </w:tc>
        <w:tc>
          <w:tcPr>
            <w:shd w:fill="d9d9d9" w:val="clear"/>
            <w:tcMar>
              <w:top w:w="100.0" w:type="dxa"/>
              <w:left w:w="100.0" w:type="dxa"/>
              <w:bottom w:w="100.0" w:type="dxa"/>
              <w:right w:w="100.0" w:type="dxa"/>
            </w:tcMar>
          </w:tcPr>
          <w:p w:rsidR="00000000" w:rsidDel="00000000" w:rsidP="00000000" w:rsidRDefault="00000000" w:rsidRPr="00000000" w14:paraId="000000CE">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14</w:t>
            </w:r>
            <w:r w:rsidDel="00000000" w:rsidR="00000000" w:rsidRPr="00000000">
              <w:rPr>
                <w:rFonts w:ascii="Arial" w:cs="Arial" w:eastAsia="Arial" w:hAnsi="Arial"/>
                <w:sz w:val="24"/>
                <w:szCs w:val="24"/>
                <w:rtl w:val="0"/>
              </w:rPr>
              <w:t xml:space="preserve">(16.5)</w:t>
            </w:r>
          </w:p>
        </w:tc>
        <w:tc>
          <w:tcPr>
            <w:shd w:fill="d9d9d9" w:val="clear"/>
            <w:tcMar>
              <w:top w:w="100.0" w:type="dxa"/>
              <w:left w:w="100.0" w:type="dxa"/>
              <w:bottom w:w="100.0" w:type="dxa"/>
              <w:right w:w="100.0" w:type="dxa"/>
            </w:tcMar>
          </w:tcPr>
          <w:p w:rsidR="00000000" w:rsidDel="00000000" w:rsidP="00000000" w:rsidRDefault="00000000" w:rsidRPr="00000000" w14:paraId="000000CF">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sz w:val="24"/>
                <w:szCs w:val="24"/>
                <w:rtl w:val="0"/>
              </w:rPr>
              <w:t xml:space="preserve">(0.0)</w:t>
            </w:r>
          </w:p>
        </w:tc>
      </w:tr>
      <w:tr>
        <w:trPr>
          <w:cantSplit w:val="0"/>
          <w:trHeight w:val="59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D1">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Potential</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D2">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5</w:t>
            </w:r>
            <w:r w:rsidDel="00000000" w:rsidR="00000000" w:rsidRPr="00000000">
              <w:rPr>
                <w:rFonts w:ascii="Arial" w:cs="Arial" w:eastAsia="Arial" w:hAnsi="Arial"/>
                <w:sz w:val="24"/>
                <w:szCs w:val="24"/>
                <w:rtl w:val="0"/>
              </w:rPr>
              <w:t xml:space="preserve">(5.9)</w:t>
            </w:r>
          </w:p>
        </w:tc>
        <w:tc>
          <w:tcPr>
            <w:shd w:fill="d9d9d9" w:val="clear"/>
            <w:tcMar>
              <w:top w:w="100.0" w:type="dxa"/>
              <w:left w:w="100.0" w:type="dxa"/>
              <w:bottom w:w="100.0" w:type="dxa"/>
              <w:right w:w="100.0" w:type="dxa"/>
            </w:tcMar>
          </w:tcPr>
          <w:p w:rsidR="00000000" w:rsidDel="00000000" w:rsidP="00000000" w:rsidRDefault="00000000" w:rsidRPr="00000000" w14:paraId="000000D3">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11</w:t>
            </w:r>
            <w:r w:rsidDel="00000000" w:rsidR="00000000" w:rsidRPr="00000000">
              <w:rPr>
                <w:rFonts w:ascii="Arial" w:cs="Arial" w:eastAsia="Arial" w:hAnsi="Arial"/>
                <w:sz w:val="24"/>
                <w:szCs w:val="24"/>
                <w:rtl w:val="0"/>
              </w:rPr>
              <w:t xml:space="preserve">(12.9)</w:t>
            </w:r>
          </w:p>
        </w:tc>
        <w:tc>
          <w:tcPr>
            <w:shd w:fill="d9d9d9" w:val="clear"/>
            <w:tcMar>
              <w:top w:w="100.0" w:type="dxa"/>
              <w:left w:w="100.0" w:type="dxa"/>
              <w:bottom w:w="100.0" w:type="dxa"/>
              <w:right w:w="100.0" w:type="dxa"/>
            </w:tcMar>
          </w:tcPr>
          <w:p w:rsidR="00000000" w:rsidDel="00000000" w:rsidP="00000000" w:rsidRDefault="00000000" w:rsidRPr="00000000" w14:paraId="000000D4">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sz w:val="24"/>
                <w:szCs w:val="24"/>
                <w:rtl w:val="0"/>
              </w:rPr>
              <w:t xml:space="preserve">(0.0)</w:t>
            </w:r>
          </w:p>
        </w:tc>
      </w:tr>
      <w:tr>
        <w:trPr>
          <w:cantSplit w:val="0"/>
          <w:trHeight w:val="59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D6">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Presence</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D7">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8</w:t>
            </w:r>
            <w:r w:rsidDel="00000000" w:rsidR="00000000" w:rsidRPr="00000000">
              <w:rPr>
                <w:rFonts w:ascii="Arial" w:cs="Arial" w:eastAsia="Arial" w:hAnsi="Arial"/>
                <w:sz w:val="24"/>
                <w:szCs w:val="24"/>
                <w:rtl w:val="0"/>
              </w:rPr>
              <w:t xml:space="preserve">(9.4)</w:t>
            </w:r>
          </w:p>
        </w:tc>
        <w:tc>
          <w:tcPr>
            <w:shd w:fill="d9d9d9" w:val="clear"/>
            <w:tcMar>
              <w:top w:w="100.0" w:type="dxa"/>
              <w:left w:w="100.0" w:type="dxa"/>
              <w:bottom w:w="100.0" w:type="dxa"/>
              <w:right w:w="100.0" w:type="dxa"/>
            </w:tcMar>
          </w:tcPr>
          <w:p w:rsidR="00000000" w:rsidDel="00000000" w:rsidP="00000000" w:rsidRDefault="00000000" w:rsidRPr="00000000" w14:paraId="000000D8">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37</w:t>
            </w:r>
            <w:r w:rsidDel="00000000" w:rsidR="00000000" w:rsidRPr="00000000">
              <w:rPr>
                <w:rFonts w:ascii="Arial" w:cs="Arial" w:eastAsia="Arial" w:hAnsi="Arial"/>
                <w:sz w:val="24"/>
                <w:szCs w:val="24"/>
                <w:rtl w:val="0"/>
              </w:rPr>
              <w:t xml:space="preserve">(43.5)</w:t>
            </w:r>
          </w:p>
        </w:tc>
        <w:tc>
          <w:tcPr>
            <w:shd w:fill="d9d9d9" w:val="clear"/>
            <w:tcMar>
              <w:top w:w="100.0" w:type="dxa"/>
              <w:left w:w="100.0" w:type="dxa"/>
              <w:bottom w:w="100.0" w:type="dxa"/>
              <w:right w:w="100.0" w:type="dxa"/>
            </w:tcMar>
          </w:tcPr>
          <w:p w:rsidR="00000000" w:rsidDel="00000000" w:rsidP="00000000" w:rsidRDefault="00000000" w:rsidRPr="00000000" w14:paraId="000000D9">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sz w:val="24"/>
                <w:szCs w:val="24"/>
                <w:rtl w:val="0"/>
              </w:rPr>
              <w:t xml:space="preserve">(0.0)</w:t>
            </w:r>
          </w:p>
        </w:tc>
      </w:tr>
    </w:tbl>
    <w:p w:rsidR="00000000" w:rsidDel="00000000" w:rsidP="00000000" w:rsidRDefault="00000000" w:rsidRPr="00000000" w14:paraId="000000DA">
      <w:pPr>
        <w:spacing w:line="240" w:lineRule="auto"/>
        <w:ind w:left="-2" w:right="51" w:hanging="2"/>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DB">
      <w:pPr>
        <w:spacing w:line="240" w:lineRule="auto"/>
        <w:ind w:right="51"/>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Table 3 – Depression stratified by gender and probability.</w:t>
      </w:r>
      <w:r w:rsidDel="00000000" w:rsidR="00000000" w:rsidRPr="00000000">
        <w:rPr>
          <w:rtl w:val="0"/>
        </w:rPr>
      </w:r>
    </w:p>
    <w:tbl>
      <w:tblPr>
        <w:tblStyle w:val="Table3"/>
        <w:tblW w:w="7485.0" w:type="dxa"/>
        <w:jc w:val="left"/>
        <w:tblInd w:w="-15.0" w:type="dxa"/>
        <w:tblLayout w:type="fixed"/>
        <w:tblLook w:val="0400"/>
      </w:tblPr>
      <w:tblGrid>
        <w:gridCol w:w="960"/>
        <w:gridCol w:w="1485"/>
        <w:gridCol w:w="1485"/>
        <w:gridCol w:w="1710"/>
        <w:gridCol w:w="1845"/>
        <w:tblGridChange w:id="0">
          <w:tblGrid>
            <w:gridCol w:w="960"/>
            <w:gridCol w:w="1485"/>
            <w:gridCol w:w="1485"/>
            <w:gridCol w:w="1710"/>
            <w:gridCol w:w="1845"/>
          </w:tblGrid>
        </w:tblGridChange>
      </w:tblGrid>
      <w:tr>
        <w:trPr>
          <w:cantSplit w:val="0"/>
          <w:trHeight w:val="59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0DC">
            <w:pPr>
              <w:spacing w:after="0" w:line="240" w:lineRule="auto"/>
              <w:ind w:left="100" w:right="10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DD">
            <w:pPr>
              <w:spacing w:after="0" w:line="240" w:lineRule="auto"/>
              <w:ind w:left="100" w:right="10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DE">
            <w:pPr>
              <w:spacing w:after="0" w:line="240"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Male</w:t>
            </w:r>
          </w:p>
          <w:p w:rsidR="00000000" w:rsidDel="00000000" w:rsidP="00000000" w:rsidRDefault="00000000" w:rsidRPr="00000000" w14:paraId="000000DF">
            <w:pPr>
              <w:spacing w:after="0" w:line="240" w:lineRule="auto"/>
              <w:ind w:left="100" w:right="10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0">
            <w:pPr>
              <w:spacing w:after="0" w:line="240"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 (%)</w:t>
            </w:r>
          </w:p>
        </w:tc>
        <w:tc>
          <w:tcPr>
            <w:shd w:fill="d9d9d9" w:val="clear"/>
            <w:tcMar>
              <w:top w:w="100.0" w:type="dxa"/>
              <w:left w:w="100.0" w:type="dxa"/>
              <w:bottom w:w="100.0" w:type="dxa"/>
              <w:right w:w="100.0" w:type="dxa"/>
            </w:tcMar>
          </w:tcPr>
          <w:p w:rsidR="00000000" w:rsidDel="00000000" w:rsidP="00000000" w:rsidRDefault="00000000" w:rsidRPr="00000000" w14:paraId="000000E1">
            <w:pPr>
              <w:spacing w:after="0" w:line="240"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Female</w:t>
            </w:r>
          </w:p>
          <w:p w:rsidR="00000000" w:rsidDel="00000000" w:rsidP="00000000" w:rsidRDefault="00000000" w:rsidRPr="00000000" w14:paraId="000000E2">
            <w:pPr>
              <w:spacing w:after="0" w:line="240" w:lineRule="auto"/>
              <w:ind w:left="100" w:right="10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3">
            <w:pPr>
              <w:spacing w:after="0" w:line="240"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 (%)</w:t>
            </w:r>
          </w:p>
        </w:tc>
        <w:tc>
          <w:tcPr>
            <w:shd w:fill="d9d9d9" w:val="clear"/>
            <w:tcMar>
              <w:top w:w="100.0" w:type="dxa"/>
              <w:left w:w="100.0" w:type="dxa"/>
              <w:bottom w:w="100.0" w:type="dxa"/>
              <w:right w:w="100.0" w:type="dxa"/>
            </w:tcMar>
          </w:tcPr>
          <w:p w:rsidR="00000000" w:rsidDel="00000000" w:rsidP="00000000" w:rsidRDefault="00000000" w:rsidRPr="00000000" w14:paraId="000000E4">
            <w:pPr>
              <w:spacing w:after="0" w:line="240"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Other</w:t>
            </w:r>
          </w:p>
          <w:p w:rsidR="00000000" w:rsidDel="00000000" w:rsidP="00000000" w:rsidRDefault="00000000" w:rsidRPr="00000000" w14:paraId="000000E5">
            <w:pPr>
              <w:spacing w:after="0" w:line="240" w:lineRule="auto"/>
              <w:ind w:left="100" w:right="100"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6">
            <w:pPr>
              <w:spacing w:after="0" w:line="240" w:lineRule="auto"/>
              <w:ind w:left="100" w:right="10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 (%)</w:t>
            </w:r>
          </w:p>
        </w:tc>
      </w:tr>
      <w:tr>
        <w:trPr>
          <w:cantSplit w:val="0"/>
          <w:trHeight w:val="59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0E7">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G1</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8">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Absence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9">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12</w:t>
            </w:r>
            <w:r w:rsidDel="00000000" w:rsidR="00000000" w:rsidRPr="00000000">
              <w:rPr>
                <w:rFonts w:ascii="Arial" w:cs="Arial" w:eastAsia="Arial" w:hAnsi="Arial"/>
                <w:sz w:val="24"/>
                <w:szCs w:val="24"/>
                <w:rtl w:val="0"/>
              </w:rPr>
              <w:t xml:space="preserve">(14.1)</w:t>
            </w:r>
          </w:p>
        </w:tc>
        <w:tc>
          <w:tcPr>
            <w:tcMar>
              <w:top w:w="100.0" w:type="dxa"/>
              <w:left w:w="100.0" w:type="dxa"/>
              <w:bottom w:w="100.0" w:type="dxa"/>
              <w:right w:w="100.0" w:type="dxa"/>
            </w:tcMar>
          </w:tcPr>
          <w:p w:rsidR="00000000" w:rsidDel="00000000" w:rsidP="00000000" w:rsidRDefault="00000000" w:rsidRPr="00000000" w14:paraId="000000EA">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25</w:t>
            </w:r>
            <w:r w:rsidDel="00000000" w:rsidR="00000000" w:rsidRPr="00000000">
              <w:rPr>
                <w:rFonts w:ascii="Arial" w:cs="Arial" w:eastAsia="Arial" w:hAnsi="Arial"/>
                <w:sz w:val="24"/>
                <w:szCs w:val="24"/>
                <w:rtl w:val="0"/>
              </w:rPr>
              <w:t xml:space="preserve">(29.4)</w:t>
            </w:r>
          </w:p>
        </w:tc>
        <w:tc>
          <w:tcPr>
            <w:tcMar>
              <w:top w:w="100.0" w:type="dxa"/>
              <w:left w:w="100.0" w:type="dxa"/>
              <w:bottom w:w="100.0" w:type="dxa"/>
              <w:right w:w="100.0" w:type="dxa"/>
            </w:tcMar>
          </w:tcPr>
          <w:p w:rsidR="00000000" w:rsidDel="00000000" w:rsidP="00000000" w:rsidRDefault="00000000" w:rsidRPr="00000000" w14:paraId="000000EB">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(1.2)</w:t>
            </w:r>
          </w:p>
        </w:tc>
      </w:tr>
      <w:tr>
        <w:trPr>
          <w:cantSplit w:val="0"/>
          <w:trHeight w:val="59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D">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Potential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E">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w:t>
            </w:r>
            <w:r w:rsidDel="00000000" w:rsidR="00000000" w:rsidRPr="00000000">
              <w:rPr>
                <w:rFonts w:ascii="Arial" w:cs="Arial" w:eastAsia="Arial" w:hAnsi="Arial"/>
                <w:sz w:val="24"/>
                <w:szCs w:val="24"/>
                <w:rtl w:val="0"/>
              </w:rPr>
              <w:t xml:space="preserve">(3.5)</w:t>
            </w:r>
          </w:p>
        </w:tc>
        <w:tc>
          <w:tcPr>
            <w:tcMar>
              <w:top w:w="100.0" w:type="dxa"/>
              <w:left w:w="100.0" w:type="dxa"/>
              <w:bottom w:w="100.0" w:type="dxa"/>
              <w:right w:w="100.0" w:type="dxa"/>
            </w:tcMar>
          </w:tcPr>
          <w:p w:rsidR="00000000" w:rsidDel="00000000" w:rsidP="00000000" w:rsidRDefault="00000000" w:rsidRPr="00000000" w14:paraId="000000EF">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15</w:t>
            </w:r>
            <w:r w:rsidDel="00000000" w:rsidR="00000000" w:rsidRPr="00000000">
              <w:rPr>
                <w:rFonts w:ascii="Arial" w:cs="Arial" w:eastAsia="Arial" w:hAnsi="Arial"/>
                <w:sz w:val="24"/>
                <w:szCs w:val="24"/>
                <w:rtl w:val="0"/>
              </w:rPr>
              <w:t xml:space="preserve">(17.6)</w:t>
            </w:r>
          </w:p>
        </w:tc>
        <w:tc>
          <w:tcPr>
            <w:tcMar>
              <w:top w:w="100.0" w:type="dxa"/>
              <w:left w:w="100.0" w:type="dxa"/>
              <w:bottom w:w="100.0" w:type="dxa"/>
              <w:right w:w="100.0" w:type="dxa"/>
            </w:tcMar>
          </w:tcPr>
          <w:p w:rsidR="00000000" w:rsidDel="00000000" w:rsidP="00000000" w:rsidRDefault="00000000" w:rsidRPr="00000000" w14:paraId="000000F0">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(1.2)</w:t>
            </w:r>
          </w:p>
        </w:tc>
      </w:tr>
      <w:tr>
        <w:trPr>
          <w:cantSplit w:val="0"/>
          <w:trHeight w:val="59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2">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Presence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3">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8</w:t>
            </w:r>
            <w:r w:rsidDel="00000000" w:rsidR="00000000" w:rsidRPr="00000000">
              <w:rPr>
                <w:rFonts w:ascii="Arial" w:cs="Arial" w:eastAsia="Arial" w:hAnsi="Arial"/>
                <w:sz w:val="24"/>
                <w:szCs w:val="24"/>
                <w:rtl w:val="0"/>
              </w:rPr>
              <w:t xml:space="preserve">(9.4)</w:t>
            </w:r>
          </w:p>
        </w:tc>
        <w:tc>
          <w:tcPr>
            <w:tcMar>
              <w:top w:w="100.0" w:type="dxa"/>
              <w:left w:w="100.0" w:type="dxa"/>
              <w:bottom w:w="100.0" w:type="dxa"/>
              <w:right w:w="100.0" w:type="dxa"/>
            </w:tcMar>
          </w:tcPr>
          <w:p w:rsidR="00000000" w:rsidDel="00000000" w:rsidP="00000000" w:rsidRDefault="00000000" w:rsidRPr="00000000" w14:paraId="000000F4">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20</w:t>
            </w:r>
            <w:r w:rsidDel="00000000" w:rsidR="00000000" w:rsidRPr="00000000">
              <w:rPr>
                <w:rFonts w:ascii="Arial" w:cs="Arial" w:eastAsia="Arial" w:hAnsi="Arial"/>
                <w:sz w:val="24"/>
                <w:szCs w:val="24"/>
                <w:rtl w:val="0"/>
              </w:rPr>
              <w:t xml:space="preserve">(23.5)</w:t>
            </w:r>
          </w:p>
        </w:tc>
        <w:tc>
          <w:tcPr>
            <w:tcMar>
              <w:top w:w="100.0" w:type="dxa"/>
              <w:left w:w="100.0" w:type="dxa"/>
              <w:bottom w:w="100.0" w:type="dxa"/>
              <w:right w:w="100.0" w:type="dxa"/>
            </w:tcMar>
          </w:tcPr>
          <w:p w:rsidR="00000000" w:rsidDel="00000000" w:rsidP="00000000" w:rsidRDefault="00000000" w:rsidRPr="00000000" w14:paraId="000000F5">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sz w:val="24"/>
                <w:szCs w:val="24"/>
                <w:rtl w:val="0"/>
              </w:rPr>
              <w:t xml:space="preserve">(0.0)</w:t>
            </w:r>
          </w:p>
        </w:tc>
      </w:tr>
      <w:tr>
        <w:trPr>
          <w:cantSplit w:val="0"/>
          <w:trHeight w:val="590" w:hRule="atLeast"/>
          <w:tblHeader w:val="0"/>
        </w:trPr>
        <w:tc>
          <w:tcPr>
            <w:vMerge w:val="restart"/>
            <w:shd w:fill="d9d9d9" w:val="clear"/>
            <w:tcMar>
              <w:top w:w="100.0" w:type="dxa"/>
              <w:left w:w="100.0" w:type="dxa"/>
              <w:bottom w:w="100.0" w:type="dxa"/>
              <w:right w:w="100.0" w:type="dxa"/>
            </w:tcMar>
          </w:tcPr>
          <w:p w:rsidR="00000000" w:rsidDel="00000000" w:rsidP="00000000" w:rsidRDefault="00000000" w:rsidRPr="00000000" w14:paraId="000000F6">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G2</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F7">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Absence</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F8">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17</w:t>
            </w:r>
            <w:r w:rsidDel="00000000" w:rsidR="00000000" w:rsidRPr="00000000">
              <w:rPr>
                <w:rFonts w:ascii="Arial" w:cs="Arial" w:eastAsia="Arial" w:hAnsi="Arial"/>
                <w:sz w:val="24"/>
                <w:szCs w:val="24"/>
                <w:rtl w:val="0"/>
              </w:rPr>
              <w:t xml:space="preserve">(20.0)</w:t>
            </w:r>
          </w:p>
        </w:tc>
        <w:tc>
          <w:tcPr>
            <w:shd w:fill="d9d9d9" w:val="clear"/>
            <w:tcMar>
              <w:top w:w="100.0" w:type="dxa"/>
              <w:left w:w="100.0" w:type="dxa"/>
              <w:bottom w:w="100.0" w:type="dxa"/>
              <w:right w:w="100.0" w:type="dxa"/>
            </w:tcMar>
          </w:tcPr>
          <w:p w:rsidR="00000000" w:rsidDel="00000000" w:rsidP="00000000" w:rsidRDefault="00000000" w:rsidRPr="00000000" w14:paraId="000000F9">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25</w:t>
            </w:r>
            <w:r w:rsidDel="00000000" w:rsidR="00000000" w:rsidRPr="00000000">
              <w:rPr>
                <w:rFonts w:ascii="Arial" w:cs="Arial" w:eastAsia="Arial" w:hAnsi="Arial"/>
                <w:sz w:val="24"/>
                <w:szCs w:val="24"/>
                <w:rtl w:val="0"/>
              </w:rPr>
              <w:t xml:space="preserve">(29.4)</w:t>
            </w:r>
          </w:p>
        </w:tc>
        <w:tc>
          <w:tcPr>
            <w:shd w:fill="d9d9d9" w:val="clear"/>
            <w:tcMar>
              <w:top w:w="100.0" w:type="dxa"/>
              <w:left w:w="100.0" w:type="dxa"/>
              <w:bottom w:w="100.0" w:type="dxa"/>
              <w:right w:w="100.0" w:type="dxa"/>
            </w:tcMar>
          </w:tcPr>
          <w:p w:rsidR="00000000" w:rsidDel="00000000" w:rsidP="00000000" w:rsidRDefault="00000000" w:rsidRPr="00000000" w14:paraId="000000FA">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sz w:val="24"/>
                <w:szCs w:val="24"/>
                <w:rtl w:val="0"/>
              </w:rPr>
              <w:t xml:space="preserve">(0.0)</w:t>
            </w:r>
          </w:p>
        </w:tc>
      </w:tr>
      <w:tr>
        <w:trPr>
          <w:cantSplit w:val="0"/>
          <w:trHeight w:val="59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FC">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Potential</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0FD">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w:t>
            </w:r>
            <w:r w:rsidDel="00000000" w:rsidR="00000000" w:rsidRPr="00000000">
              <w:rPr>
                <w:rFonts w:ascii="Arial" w:cs="Arial" w:eastAsia="Arial" w:hAnsi="Arial"/>
                <w:sz w:val="24"/>
                <w:szCs w:val="24"/>
                <w:rtl w:val="0"/>
              </w:rPr>
              <w:t xml:space="preserve">(4.7)</w:t>
            </w:r>
          </w:p>
        </w:tc>
        <w:tc>
          <w:tcPr>
            <w:shd w:fill="d9d9d9" w:val="clear"/>
            <w:tcMar>
              <w:top w:w="100.0" w:type="dxa"/>
              <w:left w:w="100.0" w:type="dxa"/>
              <w:bottom w:w="100.0" w:type="dxa"/>
              <w:right w:w="100.0" w:type="dxa"/>
            </w:tcMar>
          </w:tcPr>
          <w:p w:rsidR="00000000" w:rsidDel="00000000" w:rsidP="00000000" w:rsidRDefault="00000000" w:rsidRPr="00000000" w14:paraId="000000FE">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16</w:t>
            </w:r>
            <w:r w:rsidDel="00000000" w:rsidR="00000000" w:rsidRPr="00000000">
              <w:rPr>
                <w:rFonts w:ascii="Arial" w:cs="Arial" w:eastAsia="Arial" w:hAnsi="Arial"/>
                <w:sz w:val="24"/>
                <w:szCs w:val="24"/>
                <w:rtl w:val="0"/>
              </w:rPr>
              <w:t xml:space="preserve">(18.8)</w:t>
            </w:r>
          </w:p>
        </w:tc>
        <w:tc>
          <w:tcPr>
            <w:shd w:fill="d9d9d9" w:val="clear"/>
            <w:tcMar>
              <w:top w:w="100.0" w:type="dxa"/>
              <w:left w:w="100.0" w:type="dxa"/>
              <w:bottom w:w="100.0" w:type="dxa"/>
              <w:right w:w="100.0" w:type="dxa"/>
            </w:tcMar>
          </w:tcPr>
          <w:p w:rsidR="00000000" w:rsidDel="00000000" w:rsidP="00000000" w:rsidRDefault="00000000" w:rsidRPr="00000000" w14:paraId="000000FF">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sz w:val="24"/>
                <w:szCs w:val="24"/>
                <w:rtl w:val="0"/>
              </w:rPr>
              <w:t xml:space="preserve">(0.0)</w:t>
            </w:r>
          </w:p>
        </w:tc>
      </w:tr>
      <w:tr>
        <w:trPr>
          <w:cantSplit w:val="0"/>
          <w:trHeight w:val="590" w:hRule="atLeast"/>
          <w:tblHeader w:val="0"/>
        </w:trPr>
        <w:tc>
          <w:tcPr>
            <w:vMerge w:val="continue"/>
            <w:shd w:fill="d9d9d9" w:val="clear"/>
            <w:tcMar>
              <w:top w:w="100.0" w:type="dxa"/>
              <w:left w:w="100.0" w:type="dxa"/>
              <w:bottom w:w="100.0" w:type="dxa"/>
              <w:right w:w="100.0" w:type="dxa"/>
            </w:tcM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101">
            <w:pPr>
              <w:spacing w:after="0" w:line="240" w:lineRule="auto"/>
              <w:ind w:left="100" w:right="100" w:firstLine="0"/>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Presence</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102">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w:t>
            </w:r>
            <w:r w:rsidDel="00000000" w:rsidR="00000000" w:rsidRPr="00000000">
              <w:rPr>
                <w:rFonts w:ascii="Arial" w:cs="Arial" w:eastAsia="Arial" w:hAnsi="Arial"/>
                <w:sz w:val="24"/>
                <w:szCs w:val="24"/>
                <w:rtl w:val="0"/>
              </w:rPr>
              <w:t xml:space="preserve">(2.3)</w:t>
            </w:r>
          </w:p>
        </w:tc>
        <w:tc>
          <w:tcPr>
            <w:shd w:fill="d9d9d9" w:val="clear"/>
            <w:tcMar>
              <w:top w:w="100.0" w:type="dxa"/>
              <w:left w:w="100.0" w:type="dxa"/>
              <w:bottom w:w="100.0" w:type="dxa"/>
              <w:right w:w="100.0" w:type="dxa"/>
            </w:tcMar>
          </w:tcPr>
          <w:p w:rsidR="00000000" w:rsidDel="00000000" w:rsidP="00000000" w:rsidRDefault="00000000" w:rsidRPr="00000000" w14:paraId="00000103">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21</w:t>
            </w:r>
            <w:r w:rsidDel="00000000" w:rsidR="00000000" w:rsidRPr="00000000">
              <w:rPr>
                <w:rFonts w:ascii="Arial" w:cs="Arial" w:eastAsia="Arial" w:hAnsi="Arial"/>
                <w:sz w:val="24"/>
                <w:szCs w:val="24"/>
                <w:rtl w:val="0"/>
              </w:rPr>
              <w:t xml:space="preserve">(24.7)</w:t>
            </w:r>
          </w:p>
        </w:tc>
        <w:tc>
          <w:tcPr>
            <w:shd w:fill="d9d9d9" w:val="clear"/>
            <w:tcMar>
              <w:top w:w="100.0" w:type="dxa"/>
              <w:left w:w="100.0" w:type="dxa"/>
              <w:bottom w:w="100.0" w:type="dxa"/>
              <w:right w:w="100.0" w:type="dxa"/>
            </w:tcMar>
          </w:tcPr>
          <w:p w:rsidR="00000000" w:rsidDel="00000000" w:rsidP="00000000" w:rsidRDefault="00000000" w:rsidRPr="00000000" w14:paraId="00000104">
            <w:pPr>
              <w:spacing w:after="0" w:line="240" w:lineRule="auto"/>
              <w:ind w:left="100" w:right="100" w:firstLine="0"/>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sz w:val="24"/>
                <w:szCs w:val="24"/>
                <w:rtl w:val="0"/>
              </w:rPr>
              <w:t xml:space="preserve">(0.0)</w:t>
            </w:r>
          </w:p>
        </w:tc>
      </w:tr>
    </w:tbl>
    <w:p w:rsidR="00000000" w:rsidDel="00000000" w:rsidP="00000000" w:rsidRDefault="00000000" w:rsidRPr="00000000" w14:paraId="0000010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after="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Table 4 – Analysis of the association between depression symptoms from the HAD questionnaire and TMD symptoms from the DC/TMD questionnaire</w:t>
      </w:r>
      <w:r w:rsidDel="00000000" w:rsidR="00000000" w:rsidRPr="00000000">
        <w:rPr>
          <w:rtl w:val="0"/>
        </w:rPr>
      </w:r>
    </w:p>
    <w:tbl>
      <w:tblPr>
        <w:tblStyle w:val="Table4"/>
        <w:tblW w:w="8503.0" w:type="dxa"/>
        <w:jc w:val="left"/>
        <w:tblInd w:w="-15.0" w:type="dxa"/>
        <w:tblLayout w:type="fixed"/>
        <w:tblLook w:val="0400"/>
      </w:tblPr>
      <w:tblGrid>
        <w:gridCol w:w="1035"/>
        <w:gridCol w:w="1821"/>
        <w:gridCol w:w="1821"/>
        <w:gridCol w:w="1789"/>
        <w:gridCol w:w="2037"/>
        <w:tblGridChange w:id="0">
          <w:tblGrid>
            <w:gridCol w:w="1035"/>
            <w:gridCol w:w="1821"/>
            <w:gridCol w:w="1821"/>
            <w:gridCol w:w="1789"/>
            <w:gridCol w:w="2037"/>
          </w:tblGrid>
        </w:tblGridChange>
      </w:tblGrid>
      <w:tr>
        <w:trPr>
          <w:cantSplit w:val="0"/>
          <w:trHeight w:val="650" w:hRule="atLeast"/>
          <w:tblHeader w:val="0"/>
        </w:trPr>
        <w:tc>
          <w:tcPr>
            <w:tcBorders>
              <w:top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07">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tcBorders>
              <w:top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08">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G1</w:t>
            </w:r>
            <w:r w:rsidDel="00000000" w:rsidR="00000000" w:rsidRPr="00000000">
              <w:rPr>
                <w:rtl w:val="0"/>
              </w:rPr>
            </w:r>
          </w:p>
        </w:tc>
        <w:tc>
          <w:tcPr>
            <w:tcBorders>
              <w:top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09">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G2</w:t>
            </w:r>
            <w:r w:rsidDel="00000000" w:rsidR="00000000" w:rsidRPr="00000000">
              <w:rPr>
                <w:rtl w:val="0"/>
              </w:rPr>
            </w:r>
          </w:p>
        </w:tc>
        <w:tc>
          <w:tcPr>
            <w:vMerge w:val="restart"/>
            <w:tcBorders>
              <w:top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0A">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P value</w:t>
            </w:r>
            <w:r w:rsidDel="00000000" w:rsidR="00000000" w:rsidRPr="00000000">
              <w:rPr>
                <w:rtl w:val="0"/>
              </w:rPr>
            </w:r>
          </w:p>
        </w:tc>
        <w:tc>
          <w:tcPr>
            <w:vMerge w:val="restart"/>
            <w:tcBorders>
              <w:top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0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Odds Ratio</w:t>
            </w:r>
            <w:r w:rsidDel="00000000" w:rsidR="00000000" w:rsidRPr="00000000">
              <w:rPr>
                <w:rtl w:val="0"/>
              </w:rPr>
            </w:r>
          </w:p>
        </w:tc>
      </w:tr>
      <w:tr>
        <w:trPr>
          <w:cantSplit w:val="0"/>
          <w:trHeight w:val="65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0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10D">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 (%)</w:t>
            </w:r>
            <w:r w:rsidDel="00000000" w:rsidR="00000000" w:rsidRPr="00000000">
              <w:rPr>
                <w:rtl w:val="0"/>
              </w:rPr>
            </w:r>
          </w:p>
        </w:tc>
        <w:tc>
          <w:tcPr>
            <w:shd w:fill="d9d9d9" w:val="clear"/>
            <w:tcMar>
              <w:top w:w="100.0" w:type="dxa"/>
              <w:left w:w="100.0" w:type="dxa"/>
              <w:bottom w:w="100.0" w:type="dxa"/>
              <w:right w:w="100.0" w:type="dxa"/>
            </w:tcMar>
          </w:tcPr>
          <w:p w:rsidR="00000000" w:rsidDel="00000000" w:rsidP="00000000" w:rsidRDefault="00000000" w:rsidRPr="00000000" w14:paraId="0000010E">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 (%)</w:t>
            </w:r>
            <w:r w:rsidDel="00000000" w:rsidR="00000000" w:rsidRPr="00000000">
              <w:rPr>
                <w:rtl w:val="0"/>
              </w:rPr>
            </w:r>
          </w:p>
        </w:tc>
        <w:tc>
          <w:tcPr>
            <w:vMerge w:val="continue"/>
            <w:tcBorders>
              <w:top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740" w:hRule="atLeast"/>
          <w:tblHeader w:val="0"/>
        </w:trPr>
        <w:tc>
          <w:tcPr>
            <w:gridSpan w:val="5"/>
            <w:tcMar>
              <w:top w:w="100.0" w:type="dxa"/>
              <w:left w:w="100.0" w:type="dxa"/>
              <w:bottom w:w="100.0" w:type="dxa"/>
              <w:right w:w="100.0" w:type="dxa"/>
            </w:tcMar>
          </w:tcPr>
          <w:p w:rsidR="00000000" w:rsidDel="00000000" w:rsidP="00000000" w:rsidRDefault="00000000" w:rsidRPr="00000000" w14:paraId="00000111">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Have you ever had pain in your jaw (mouth), temple, ear or in front of your ear on either side?</w:t>
            </w:r>
            <w:r w:rsidDel="00000000" w:rsidR="00000000" w:rsidRPr="00000000">
              <w:rPr>
                <w:rtl w:val="0"/>
              </w:rPr>
            </w:r>
          </w:p>
        </w:tc>
      </w:tr>
      <w:tr>
        <w:trPr>
          <w:cantSplit w:val="0"/>
          <w:trHeight w:val="650" w:hRule="atLeast"/>
          <w:tblHeader w:val="0"/>
        </w:trPr>
        <w:tc>
          <w:tcPr>
            <w:tcMar>
              <w:top w:w="100.0" w:type="dxa"/>
              <w:left w:w="100.0" w:type="dxa"/>
              <w:bottom w:w="100.0" w:type="dxa"/>
              <w:right w:w="100.0" w:type="dxa"/>
            </w:tcMar>
          </w:tcPr>
          <w:p w:rsidR="00000000" w:rsidDel="00000000" w:rsidP="00000000" w:rsidRDefault="00000000" w:rsidRPr="00000000" w14:paraId="0000011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7">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31(36.5)</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8">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41(48.2)</w:t>
            </w: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19">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0.1622</w:t>
            </w: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1A">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1.623</w:t>
            </w:r>
            <w:r w:rsidDel="00000000" w:rsidR="00000000" w:rsidRPr="00000000">
              <w:rPr>
                <w:rtl w:val="0"/>
              </w:rPr>
            </w:r>
          </w:p>
        </w:tc>
      </w:tr>
      <w:tr>
        <w:trPr>
          <w:cantSplit w:val="0"/>
          <w:trHeight w:val="650" w:hRule="atLeast"/>
          <w:tblHeader w:val="0"/>
        </w:trPr>
        <w:tc>
          <w:tcPr>
            <w:tcMar>
              <w:top w:w="100.0" w:type="dxa"/>
              <w:left w:w="100.0" w:type="dxa"/>
              <w:bottom w:w="100.0" w:type="dxa"/>
              <w:right w:w="100.0" w:type="dxa"/>
            </w:tcMar>
          </w:tcPr>
          <w:p w:rsidR="00000000" w:rsidDel="00000000" w:rsidP="00000000" w:rsidRDefault="00000000" w:rsidRPr="00000000" w14:paraId="0000011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54(63.5)</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D">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44(51.8)</w:t>
            </w: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740" w:hRule="atLeast"/>
          <w:tblHeader w:val="0"/>
        </w:trPr>
        <w:tc>
          <w:tcPr>
            <w:gridSpan w:val="5"/>
            <w:tcMar>
              <w:top w:w="100.0" w:type="dxa"/>
              <w:left w:w="100.0" w:type="dxa"/>
              <w:bottom w:w="100.0" w:type="dxa"/>
              <w:right w:w="100.0" w:type="dxa"/>
            </w:tcMar>
          </w:tcPr>
          <w:p w:rsidR="00000000" w:rsidDel="00000000" w:rsidP="00000000" w:rsidRDefault="00000000" w:rsidRPr="00000000" w14:paraId="00000120">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In the past 30 days, have you had any headaches that included the temple areas of your head?</w:t>
            </w:r>
            <w:r w:rsidDel="00000000" w:rsidR="00000000" w:rsidRPr="00000000">
              <w:rPr>
                <w:rtl w:val="0"/>
              </w:rPr>
            </w:r>
          </w:p>
        </w:tc>
      </w:tr>
      <w:tr>
        <w:trPr>
          <w:cantSplit w:val="0"/>
          <w:trHeight w:val="650" w:hRule="atLeast"/>
          <w:tblHeader w:val="0"/>
        </w:trPr>
        <w:tc>
          <w:tcPr>
            <w:tcMar>
              <w:top w:w="100.0" w:type="dxa"/>
              <w:left w:w="100.0" w:type="dxa"/>
              <w:bottom w:w="100.0" w:type="dxa"/>
              <w:right w:w="100.0" w:type="dxa"/>
            </w:tcMar>
          </w:tcPr>
          <w:p w:rsidR="00000000" w:rsidDel="00000000" w:rsidP="00000000" w:rsidRDefault="00000000" w:rsidRPr="00000000" w14:paraId="00000125">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37(43.5)</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7">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37(43.5)</w:t>
            </w: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28">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&gt;0.9999</w:t>
            </w: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29">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1.000</w:t>
            </w:r>
            <w:r w:rsidDel="00000000" w:rsidR="00000000" w:rsidRPr="00000000">
              <w:rPr>
                <w:rtl w:val="0"/>
              </w:rPr>
            </w:r>
          </w:p>
        </w:tc>
      </w:tr>
      <w:tr>
        <w:trPr>
          <w:cantSplit w:val="0"/>
          <w:trHeight w:val="650" w:hRule="atLeast"/>
          <w:tblHeader w:val="0"/>
        </w:trPr>
        <w:tc>
          <w:tcPr>
            <w:tcMar>
              <w:top w:w="100.0" w:type="dxa"/>
              <w:left w:w="100.0" w:type="dxa"/>
              <w:bottom w:w="100.0" w:type="dxa"/>
              <w:right w:w="100.0" w:type="dxa"/>
            </w:tcMar>
          </w:tcPr>
          <w:p w:rsidR="00000000" w:rsidDel="00000000" w:rsidP="00000000" w:rsidRDefault="00000000" w:rsidRPr="00000000" w14:paraId="0000012A">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48(56.5)</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C">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48(56.5)</w:t>
            </w: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740" w:hRule="atLeast"/>
          <w:tblHeader w:val="0"/>
        </w:trPr>
        <w:tc>
          <w:tcPr>
            <w:gridSpan w:val="5"/>
            <w:tcMar>
              <w:top w:w="100.0" w:type="dxa"/>
              <w:left w:w="100.0" w:type="dxa"/>
              <w:bottom w:w="100.0" w:type="dxa"/>
              <w:right w:w="100.0" w:type="dxa"/>
            </w:tcMar>
          </w:tcPr>
          <w:p w:rsidR="00000000" w:rsidDel="00000000" w:rsidP="00000000" w:rsidRDefault="00000000" w:rsidRPr="00000000" w14:paraId="0000012F">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In the past 30 days, have you heard any sounds or noises in your joint when you moved or used your jaw (mouth)?</w:t>
            </w:r>
            <w:r w:rsidDel="00000000" w:rsidR="00000000" w:rsidRPr="00000000">
              <w:rPr>
                <w:rtl w:val="0"/>
              </w:rPr>
            </w:r>
          </w:p>
        </w:tc>
      </w:tr>
      <w:tr>
        <w:trPr>
          <w:cantSplit w:val="0"/>
          <w:trHeight w:val="650" w:hRule="atLeast"/>
          <w:tblHeader w:val="0"/>
        </w:trPr>
        <w:tc>
          <w:tcPr>
            <w:tcMar>
              <w:top w:w="100.0" w:type="dxa"/>
              <w:left w:w="100.0" w:type="dxa"/>
              <w:bottom w:w="100.0" w:type="dxa"/>
              <w:right w:w="100.0" w:type="dxa"/>
            </w:tcMar>
          </w:tcPr>
          <w:p w:rsidR="00000000" w:rsidDel="00000000" w:rsidP="00000000" w:rsidRDefault="00000000" w:rsidRPr="00000000" w14:paraId="00000134">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5">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41(48.2)</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43(50.6)</w:t>
            </w: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37">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0.8781</w:t>
            </w: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38">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1.099</w:t>
            </w:r>
            <w:r w:rsidDel="00000000" w:rsidR="00000000" w:rsidRPr="00000000">
              <w:rPr>
                <w:rtl w:val="0"/>
              </w:rPr>
            </w:r>
          </w:p>
        </w:tc>
      </w:tr>
      <w:tr>
        <w:trPr>
          <w:cantSplit w:val="0"/>
          <w:trHeight w:val="650" w:hRule="atLeast"/>
          <w:tblHeader w:val="0"/>
        </w:trPr>
        <w:tc>
          <w:tcPr>
            <w:tcMar>
              <w:top w:w="100.0" w:type="dxa"/>
              <w:left w:w="100.0" w:type="dxa"/>
              <w:bottom w:w="100.0" w:type="dxa"/>
              <w:right w:w="100.0" w:type="dxa"/>
            </w:tcMar>
          </w:tcPr>
          <w:p w:rsidR="00000000" w:rsidDel="00000000" w:rsidP="00000000" w:rsidRDefault="00000000" w:rsidRPr="00000000" w14:paraId="00000139">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A">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44(51.8)</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B">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42(49.4)</w:t>
            </w: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740" w:hRule="atLeast"/>
          <w:tblHeader w:val="0"/>
        </w:trPr>
        <w:tc>
          <w:tcPr>
            <w:gridSpan w:val="5"/>
            <w:tcMar>
              <w:top w:w="100.0" w:type="dxa"/>
              <w:left w:w="100.0" w:type="dxa"/>
              <w:bottom w:w="100.0" w:type="dxa"/>
              <w:right w:w="100.0" w:type="dxa"/>
            </w:tcMar>
          </w:tcPr>
          <w:p w:rsidR="00000000" w:rsidDel="00000000" w:rsidP="00000000" w:rsidRDefault="00000000" w:rsidRPr="00000000" w14:paraId="0000013E">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Has your jaw (mouth) ever locked or hesitated, even for a moment, so that you could not open it all the way?</w:t>
            </w:r>
            <w:r w:rsidDel="00000000" w:rsidR="00000000" w:rsidRPr="00000000">
              <w:rPr>
                <w:rtl w:val="0"/>
              </w:rPr>
            </w:r>
          </w:p>
        </w:tc>
      </w:tr>
      <w:tr>
        <w:trPr>
          <w:cantSplit w:val="0"/>
          <w:trHeight w:val="650" w:hRule="atLeast"/>
          <w:tblHeader w:val="0"/>
        </w:trPr>
        <w:tc>
          <w:tcPr>
            <w:tcMar>
              <w:top w:w="100.0" w:type="dxa"/>
              <w:left w:w="100.0" w:type="dxa"/>
              <w:bottom w:w="100.0" w:type="dxa"/>
              <w:right w:w="100.0" w:type="dxa"/>
            </w:tcMar>
          </w:tcPr>
          <w:p w:rsidR="00000000" w:rsidDel="00000000" w:rsidP="00000000" w:rsidRDefault="00000000" w:rsidRPr="00000000" w14:paraId="00000143">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4">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57(67.1)</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5">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50(58.8)</w:t>
            </w: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4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0.3407</w:t>
            </w:r>
            <w:r w:rsidDel="00000000" w:rsidR="00000000" w:rsidRPr="00000000">
              <w:rPr>
                <w:rtl w:val="0"/>
              </w:rPr>
            </w:r>
          </w:p>
        </w:tc>
        <w:tc>
          <w:tcPr>
            <w:vMerge w:val="restart"/>
            <w:tcMar>
              <w:top w:w="100.0" w:type="dxa"/>
              <w:left w:w="100.0" w:type="dxa"/>
              <w:bottom w:w="100.0" w:type="dxa"/>
              <w:right w:w="100.0" w:type="dxa"/>
            </w:tcMar>
          </w:tcPr>
          <w:p w:rsidR="00000000" w:rsidDel="00000000" w:rsidP="00000000" w:rsidRDefault="00000000" w:rsidRPr="00000000" w14:paraId="00000147">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0.7018</w:t>
            </w:r>
            <w:r w:rsidDel="00000000" w:rsidR="00000000" w:rsidRPr="00000000">
              <w:rPr>
                <w:rtl w:val="0"/>
              </w:rPr>
            </w:r>
          </w:p>
        </w:tc>
      </w:tr>
      <w:tr>
        <w:trPr>
          <w:cantSplit w:val="0"/>
          <w:trHeight w:val="650" w:hRule="atLeast"/>
          <w:tblHeader w:val="0"/>
        </w:trPr>
        <w:tc>
          <w:tcPr>
            <w:tcMar>
              <w:top w:w="100.0" w:type="dxa"/>
              <w:left w:w="100.0" w:type="dxa"/>
              <w:bottom w:w="100.0" w:type="dxa"/>
              <w:right w:w="100.0" w:type="dxa"/>
            </w:tcMar>
          </w:tcPr>
          <w:p w:rsidR="00000000" w:rsidDel="00000000" w:rsidP="00000000" w:rsidRDefault="00000000" w:rsidRPr="00000000" w14:paraId="00000148">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Yes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9">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28(32.9)</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A">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35(41.2)</w:t>
            </w: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Mar>
              <w:top w:w="100.0" w:type="dxa"/>
              <w:left w:w="100.0" w:type="dxa"/>
              <w:bottom w:w="100.0" w:type="dxa"/>
              <w:right w:w="100.0" w:type="dxa"/>
            </w:tcM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740" w:hRule="atLeast"/>
          <w:tblHeader w:val="0"/>
        </w:trPr>
        <w:tc>
          <w:tcPr>
            <w:gridSpan w:val="5"/>
            <w:tcMar>
              <w:top w:w="100.0" w:type="dxa"/>
              <w:left w:w="100.0" w:type="dxa"/>
              <w:bottom w:w="100.0" w:type="dxa"/>
              <w:right w:w="100.0" w:type="dxa"/>
            </w:tcMar>
          </w:tcPr>
          <w:p w:rsidR="00000000" w:rsidDel="00000000" w:rsidP="00000000" w:rsidRDefault="00000000" w:rsidRPr="00000000" w14:paraId="0000014D">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In the past 30 days, when you have opened your mouth wide, has it stuck or hesitated even for a moment, so that you could not close it from this wide opening position?</w:t>
            </w:r>
            <w:r w:rsidDel="00000000" w:rsidR="00000000" w:rsidRPr="00000000">
              <w:rPr>
                <w:rtl w:val="0"/>
              </w:rPr>
            </w:r>
          </w:p>
        </w:tc>
      </w:tr>
      <w:tr>
        <w:trPr>
          <w:cantSplit w:val="0"/>
          <w:trHeight w:val="650" w:hRule="atLeast"/>
          <w:tblHeader w:val="0"/>
        </w:trPr>
        <w:tc>
          <w:tcPr>
            <w:tcMar>
              <w:top w:w="100.0" w:type="dxa"/>
              <w:left w:w="100.0" w:type="dxa"/>
              <w:bottom w:w="100.0" w:type="dxa"/>
              <w:right w:w="100.0" w:type="dxa"/>
            </w:tcMar>
          </w:tcPr>
          <w:p w:rsidR="00000000" w:rsidDel="00000000" w:rsidP="00000000" w:rsidRDefault="00000000" w:rsidRPr="00000000" w14:paraId="00000152">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No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3">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76(89.4)</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4">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71(83.5)</w:t>
            </w:r>
            <w:r w:rsidDel="00000000" w:rsidR="00000000" w:rsidRPr="00000000">
              <w:rPr>
                <w:rtl w:val="0"/>
              </w:rPr>
            </w:r>
          </w:p>
        </w:tc>
        <w:tc>
          <w:tcPr>
            <w:vMerge w:val="restart"/>
            <w:tcBorders>
              <w:bottom w:color="000000" w:space="0" w:sz="8" w:val="single"/>
            </w:tcBorders>
            <w:tcMar>
              <w:top w:w="100.0" w:type="dxa"/>
              <w:left w:w="100.0" w:type="dxa"/>
              <w:bottom w:w="100.0" w:type="dxa"/>
              <w:right w:w="100.0" w:type="dxa"/>
            </w:tcMar>
          </w:tcPr>
          <w:p w:rsidR="00000000" w:rsidDel="00000000" w:rsidP="00000000" w:rsidRDefault="00000000" w:rsidRPr="00000000" w14:paraId="00000155">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0.3701</w:t>
            </w:r>
            <w:r w:rsidDel="00000000" w:rsidR="00000000" w:rsidRPr="00000000">
              <w:rPr>
                <w:rtl w:val="0"/>
              </w:rPr>
            </w:r>
          </w:p>
        </w:tc>
        <w:tc>
          <w:tcPr>
            <w:vMerge w:val="restart"/>
            <w:tcBorders>
              <w:bottom w:color="000000" w:space="0" w:sz="8" w:val="single"/>
            </w:tcBorders>
            <w:tcMar>
              <w:top w:w="100.0" w:type="dxa"/>
              <w:left w:w="100.0" w:type="dxa"/>
              <w:bottom w:w="100.0" w:type="dxa"/>
              <w:right w:w="100.0" w:type="dxa"/>
            </w:tcMar>
          </w:tcPr>
          <w:p w:rsidR="00000000" w:rsidDel="00000000" w:rsidP="00000000" w:rsidRDefault="00000000" w:rsidRPr="00000000" w14:paraId="0000015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0.6006</w:t>
            </w:r>
            <w:r w:rsidDel="00000000" w:rsidR="00000000" w:rsidRPr="00000000">
              <w:rPr>
                <w:rtl w:val="0"/>
              </w:rPr>
            </w:r>
          </w:p>
        </w:tc>
      </w:tr>
      <w:tr>
        <w:trPr>
          <w:cantSplit w:val="0"/>
          <w:trHeight w:val="650" w:hRule="atLeast"/>
          <w:tblHeader w:val="0"/>
        </w:trPr>
        <w:tc>
          <w:tcPr>
            <w:tcBorders>
              <w:bottom w:color="000000" w:space="0" w:sz="8" w:val="single"/>
            </w:tcBorders>
            <w:tcMar>
              <w:top w:w="100.0" w:type="dxa"/>
              <w:left w:w="100.0" w:type="dxa"/>
              <w:bottom w:w="100.0" w:type="dxa"/>
              <w:right w:w="100.0" w:type="dxa"/>
            </w:tcMar>
          </w:tcPr>
          <w:p w:rsidR="00000000" w:rsidDel="00000000" w:rsidP="00000000" w:rsidRDefault="00000000" w:rsidRPr="00000000" w14:paraId="00000157">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Yes</w:t>
            </w:r>
            <w:r w:rsidDel="00000000" w:rsidR="00000000" w:rsidRPr="00000000">
              <w:rPr>
                <w:rtl w:val="0"/>
              </w:rPr>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14:paraId="00000158">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9(10.6)</w:t>
            </w:r>
            <w:r w:rsidDel="00000000" w:rsidR="00000000" w:rsidRPr="00000000">
              <w:rPr>
                <w:rtl w:val="0"/>
              </w:rPr>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14:paraId="00000159">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14(16.5)</w:t>
            </w:r>
            <w:r w:rsidDel="00000000" w:rsidR="00000000" w:rsidRPr="00000000">
              <w:rPr>
                <w:rtl w:val="0"/>
              </w:rPr>
            </w:r>
          </w:p>
        </w:tc>
        <w:tc>
          <w:tcPr>
            <w:vMerge w:val="continue"/>
            <w:tcBorders>
              <w:bottom w:color="000000" w:space="0" w:sz="8" w:val="single"/>
            </w:tcBorders>
            <w:tcMar>
              <w:top w:w="100.0" w:type="dxa"/>
              <w:left w:w="100.0" w:type="dxa"/>
              <w:bottom w:w="100.0" w:type="dxa"/>
              <w:right w:w="100.0" w:type="dxa"/>
            </w:tcM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bottom w:color="000000" w:space="0" w:sz="8" w:val="single"/>
            </w:tcBorders>
            <w:tcMar>
              <w:top w:w="100.0" w:type="dxa"/>
              <w:left w:w="100.0" w:type="dxa"/>
              <w:bottom w:w="100.0" w:type="dxa"/>
              <w:right w:w="100.0" w:type="dxa"/>
            </w:tcM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5C">
      <w:pPr>
        <w:spacing w:after="2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Caption: ¹Fisher's Exact Test, at 5% level; ²OR Adjusted odds ratio, at 5% level.</w:t>
      </w:r>
      <w:r w:rsidDel="00000000" w:rsidR="00000000" w:rsidRPr="00000000">
        <w:rPr>
          <w:rtl w:val="0"/>
        </w:rPr>
      </w:r>
    </w:p>
    <w:p w:rsidR="00000000" w:rsidDel="00000000" w:rsidP="00000000" w:rsidRDefault="00000000" w:rsidRPr="00000000" w14:paraId="0000015D">
      <w:pPr>
        <w:spacing w:line="240" w:lineRule="auto"/>
        <w:ind w:left="-2" w:right="51"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line="240" w:lineRule="auto"/>
        <w:ind w:left="-2" w:right="51" w:hanging="2"/>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Table 5 – Participants stratified by course and symptomatology for TMD.</w:t>
      </w:r>
      <w:r w:rsidDel="00000000" w:rsidR="00000000" w:rsidRPr="00000000">
        <w:rPr>
          <w:rtl w:val="0"/>
        </w:rPr>
      </w:r>
    </w:p>
    <w:tbl>
      <w:tblPr>
        <w:tblStyle w:val="Table5"/>
        <w:tblW w:w="8489.0" w:type="dxa"/>
        <w:jc w:val="left"/>
        <w:tblInd w:w="-20.0" w:type="dxa"/>
        <w:tblLayout w:type="fixed"/>
        <w:tblLook w:val="0400"/>
      </w:tblPr>
      <w:tblGrid>
        <w:gridCol w:w="1832"/>
        <w:gridCol w:w="1591"/>
        <w:gridCol w:w="1591"/>
        <w:gridCol w:w="1750"/>
        <w:gridCol w:w="1725"/>
        <w:tblGridChange w:id="0">
          <w:tblGrid>
            <w:gridCol w:w="1832"/>
            <w:gridCol w:w="1591"/>
            <w:gridCol w:w="1591"/>
            <w:gridCol w:w="1750"/>
            <w:gridCol w:w="1725"/>
          </w:tblGrid>
        </w:tblGridChange>
      </w:tblGrid>
      <w:tr>
        <w:trPr>
          <w:cantSplit w:val="0"/>
          <w:trHeight w:val="510" w:hRule="atLeast"/>
          <w:tblHeader w:val="0"/>
        </w:trPr>
        <w:tc>
          <w:tcPr>
            <w:tcBorders>
              <w:top w:color="000000" w:space="0" w:sz="4" w:val="single"/>
              <w:left w:color="000000" w:space="0" w:sz="4"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60">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Symptomatic</w:t>
            </w:r>
            <w:r w:rsidDel="00000000" w:rsidR="00000000" w:rsidRPr="00000000">
              <w:rPr>
                <w:rtl w:val="0"/>
              </w:rPr>
            </w:r>
          </w:p>
          <w:p w:rsidR="00000000" w:rsidDel="00000000" w:rsidP="00000000" w:rsidRDefault="00000000" w:rsidRPr="00000000" w14:paraId="00000161">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G1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62">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Symptomatic</w:t>
            </w:r>
            <w:r w:rsidDel="00000000" w:rsidR="00000000" w:rsidRPr="00000000">
              <w:rPr>
                <w:rtl w:val="0"/>
              </w:rPr>
            </w:r>
          </w:p>
          <w:p w:rsidR="00000000" w:rsidDel="00000000" w:rsidP="00000000" w:rsidRDefault="00000000" w:rsidRPr="00000000" w14:paraId="00000163">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G2</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164">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Asymptomatic</w:t>
              <w:br w:type="textWrapping"/>
              <w:t xml:space="preserve">G1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65">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Asymptomatic</w:t>
            </w:r>
            <w:r w:rsidDel="00000000" w:rsidR="00000000" w:rsidRPr="00000000">
              <w:rPr>
                <w:rtl w:val="0"/>
              </w:rPr>
            </w:r>
          </w:p>
          <w:p w:rsidR="00000000" w:rsidDel="00000000" w:rsidP="00000000" w:rsidRDefault="00000000" w:rsidRPr="00000000" w14:paraId="00000166">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G2</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7">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Business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8">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 (20.0%)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9">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 (50.0%)</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6A">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 (10.0%)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B">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 (20.0%)</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16C">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Biology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6D">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 (33.3%)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6E">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 (55.6%)</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16F">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 (0.0%)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70">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 (11.1%)</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1">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Biomedicine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2">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4 (28.6%)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3">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7 (50.0%)</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4">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 (0.0%)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5">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 (21.4%)</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176">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Accounting Sciences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77">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 (30.0%)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78">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 (50.0%)</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179">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 (10.0%)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7A">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 (10.0%)</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B">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Economy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C">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 (0.0%)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D">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 (66.7%)</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7E">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 (0.0%)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F">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 (33.3%)</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180">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Fishing Engineering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81">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 (14.3%)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82">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 (71.4%)</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183">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 (0.0%)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84">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 (14.3%)</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5">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Physiotherapy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6">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10 (43.5%)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7">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 13 (56.5%)</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8">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 (0.0%)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89">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 (0.0%)</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18A">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Mathematics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8B">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4 (36.4%)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8C">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 (45.5%)</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18D">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 (9.1%)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8E">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 (9.1%)</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8F">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Medicine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0">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11 (68.8%)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1">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 (18.8%)</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2">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 (12.5%)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3">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 (0.0%)</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194">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Pedagogy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95">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 (38.5%)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96">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 (38.5%)</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197">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 (0.0%)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98">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3 (23.1%)</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9">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Psychology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A">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28 (62.2%)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B">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12 (26.7%)</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19C">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4 (8,9%)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D">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1 (2.2%)</w:t>
            </w: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19E">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Tourism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9F">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5 (55.6%)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A0">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 (22.2%)</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shd w:fill="d9d9d9" w:val="clear"/>
            <w:tcMar>
              <w:top w:w="0.0" w:type="dxa"/>
              <w:left w:w="108.0" w:type="dxa"/>
              <w:bottom w:w="0.0" w:type="dxa"/>
              <w:right w:w="108.0" w:type="dxa"/>
            </w:tcMar>
            <w:vAlign w:val="center"/>
          </w:tcPr>
          <w:p w:rsidR="00000000" w:rsidDel="00000000" w:rsidP="00000000" w:rsidRDefault="00000000" w:rsidRPr="00000000" w14:paraId="000001A1">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0 (0.0%)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1A2">
            <w:pPr>
              <w:spacing w:after="0" w:line="240" w:lineRule="auto"/>
              <w:ind w:left="-2" w:hanging="2"/>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2 (22.2%)</w:t>
            </w:r>
            <w:r w:rsidDel="00000000" w:rsidR="00000000" w:rsidRPr="00000000">
              <w:rPr>
                <w:rtl w:val="0"/>
              </w:rPr>
            </w:r>
          </w:p>
        </w:tc>
      </w:tr>
    </w:tbl>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04.8pt;height:94.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rPr/>
    </w:pPr>
    <w:r w:rsidDel="00000000" w:rsidR="00000000" w:rsidRPr="00000000">
      <w:rPr/>
      <w:pict>
        <v:shape id="PowerPlusWaterMarkObject1" style="position:absolute;width:504.8pt;height:94.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04.8pt;height:94.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6" w:hanging="360.00000000000006"/>
      </w:pPr>
      <w:rPr>
        <w:rFonts w:ascii="Noto Sans Symbols" w:cs="Noto Sans Symbols" w:eastAsia="Noto Sans Symbols" w:hAnsi="Noto Sans Symbols"/>
      </w:rPr>
    </w:lvl>
    <w:lvl w:ilvl="1">
      <w:start w:val="1"/>
      <w:numFmt w:val="bullet"/>
      <w:lvlText w:val="o"/>
      <w:lvlJc w:val="left"/>
      <w:pPr>
        <w:ind w:left="1436" w:hanging="360"/>
      </w:pPr>
      <w:rPr>
        <w:rFonts w:ascii="Courier New" w:cs="Courier New" w:eastAsia="Courier New" w:hAnsi="Courier New"/>
      </w:rPr>
    </w:lvl>
    <w:lvl w:ilvl="2">
      <w:start w:val="1"/>
      <w:numFmt w:val="bullet"/>
      <w:lvlText w:val="▪"/>
      <w:lvlJc w:val="left"/>
      <w:pPr>
        <w:ind w:left="2156" w:hanging="360"/>
      </w:pPr>
      <w:rPr>
        <w:rFonts w:ascii="Noto Sans Symbols" w:cs="Noto Sans Symbols" w:eastAsia="Noto Sans Symbols" w:hAnsi="Noto Sans Symbols"/>
      </w:rPr>
    </w:lvl>
    <w:lvl w:ilvl="3">
      <w:start w:val="1"/>
      <w:numFmt w:val="bullet"/>
      <w:lvlText w:val="●"/>
      <w:lvlJc w:val="left"/>
      <w:pPr>
        <w:ind w:left="2876" w:hanging="360"/>
      </w:pPr>
      <w:rPr>
        <w:rFonts w:ascii="Noto Sans Symbols" w:cs="Noto Sans Symbols" w:eastAsia="Noto Sans Symbols" w:hAnsi="Noto Sans Symbols"/>
      </w:rPr>
    </w:lvl>
    <w:lvl w:ilvl="4">
      <w:start w:val="1"/>
      <w:numFmt w:val="bullet"/>
      <w:lvlText w:val="o"/>
      <w:lvlJc w:val="left"/>
      <w:pPr>
        <w:ind w:left="3596" w:hanging="360"/>
      </w:pPr>
      <w:rPr>
        <w:rFonts w:ascii="Courier New" w:cs="Courier New" w:eastAsia="Courier New" w:hAnsi="Courier New"/>
      </w:rPr>
    </w:lvl>
    <w:lvl w:ilvl="5">
      <w:start w:val="1"/>
      <w:numFmt w:val="bullet"/>
      <w:lvlText w:val="▪"/>
      <w:lvlJc w:val="left"/>
      <w:pPr>
        <w:ind w:left="4316" w:hanging="360"/>
      </w:pPr>
      <w:rPr>
        <w:rFonts w:ascii="Noto Sans Symbols" w:cs="Noto Sans Symbols" w:eastAsia="Noto Sans Symbols" w:hAnsi="Noto Sans Symbols"/>
      </w:rPr>
    </w:lvl>
    <w:lvl w:ilvl="6">
      <w:start w:val="1"/>
      <w:numFmt w:val="bullet"/>
      <w:lvlText w:val="●"/>
      <w:lvlJc w:val="left"/>
      <w:pPr>
        <w:ind w:left="5036" w:hanging="360"/>
      </w:pPr>
      <w:rPr>
        <w:rFonts w:ascii="Noto Sans Symbols" w:cs="Noto Sans Symbols" w:eastAsia="Noto Sans Symbols" w:hAnsi="Noto Sans Symbols"/>
      </w:rPr>
    </w:lvl>
    <w:lvl w:ilvl="7">
      <w:start w:val="1"/>
      <w:numFmt w:val="bullet"/>
      <w:lvlText w:val="o"/>
      <w:lvlJc w:val="left"/>
      <w:pPr>
        <w:ind w:left="5756" w:hanging="360"/>
      </w:pPr>
      <w:rPr>
        <w:rFonts w:ascii="Courier New" w:cs="Courier New" w:eastAsia="Courier New" w:hAnsi="Courier New"/>
      </w:rPr>
    </w:lvl>
    <w:lvl w:ilvl="8">
      <w:start w:val="1"/>
      <w:numFmt w:val="bullet"/>
      <w:lvlText w:val="▪"/>
      <w:lvlJc w:val="left"/>
      <w:pPr>
        <w:ind w:left="6476"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1"/>
    <w:tblPr>
      <w:tblCellMar>
        <w:top w:w="0.0" w:type="dxa"/>
        <w:left w:w="0.0" w:type="dxa"/>
        <w:bottom w:w="0.0" w:type="dxa"/>
        <w:right w:w="0.0" w:type="dxa"/>
      </w:tblCellMar>
    </w:tblPr>
  </w:style>
  <w:style w:type="paragraph" w:styleId="NormalWeb">
    <w:name w:val="Normal (Web)"/>
    <w:basedOn w:val="Normal"/>
    <w:uiPriority w:val="99"/>
    <w:semiHidden w:val="1"/>
    <w:unhideWhenUsed w:val="1"/>
    <w:rsid w:val="001A70ED"/>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1A70ED"/>
  </w:style>
  <w:style w:type="character" w:styleId="CommentReference">
    <w:name w:val="annotation reference"/>
    <w:basedOn w:val="DefaultParagraphFont"/>
    <w:uiPriority w:val="99"/>
    <w:semiHidden w:val="1"/>
    <w:unhideWhenUsed w:val="1"/>
    <w:rsid w:val="001B6FD6"/>
    <w:rPr>
      <w:sz w:val="16"/>
      <w:szCs w:val="16"/>
    </w:rPr>
  </w:style>
  <w:style w:type="paragraph" w:styleId="CommentText">
    <w:name w:val="annotation text"/>
    <w:basedOn w:val="Normal"/>
    <w:link w:val="CommentTextChar"/>
    <w:uiPriority w:val="99"/>
    <w:semiHidden w:val="1"/>
    <w:unhideWhenUsed w:val="1"/>
    <w:rsid w:val="001B6FD6"/>
    <w:pPr>
      <w:spacing w:line="240" w:lineRule="auto"/>
    </w:pPr>
    <w:rPr>
      <w:sz w:val="20"/>
      <w:szCs w:val="20"/>
    </w:rPr>
  </w:style>
  <w:style w:type="character" w:styleId="CommentTextChar" w:customStyle="1">
    <w:name w:val="Comment Text Char"/>
    <w:basedOn w:val="DefaultParagraphFont"/>
    <w:link w:val="CommentText"/>
    <w:uiPriority w:val="99"/>
    <w:semiHidden w:val="1"/>
    <w:rsid w:val="001B6FD6"/>
    <w:rPr>
      <w:sz w:val="20"/>
      <w:szCs w:val="20"/>
    </w:rPr>
  </w:style>
  <w:style w:type="paragraph" w:styleId="CommentSubject">
    <w:name w:val="annotation subject"/>
    <w:basedOn w:val="CommentText"/>
    <w:next w:val="CommentText"/>
    <w:link w:val="CommentSubjectChar"/>
    <w:uiPriority w:val="99"/>
    <w:semiHidden w:val="1"/>
    <w:unhideWhenUsed w:val="1"/>
    <w:rsid w:val="001B6FD6"/>
    <w:rPr>
      <w:b w:val="1"/>
      <w:bCs w:val="1"/>
    </w:rPr>
  </w:style>
  <w:style w:type="character" w:styleId="CommentSubjectChar" w:customStyle="1">
    <w:name w:val="Comment Subject Char"/>
    <w:basedOn w:val="CommentTextChar"/>
    <w:link w:val="CommentSubject"/>
    <w:uiPriority w:val="99"/>
    <w:semiHidden w:val="1"/>
    <w:rsid w:val="001B6FD6"/>
    <w:rPr>
      <w:b w:val="1"/>
      <w:bCs w:val="1"/>
      <w:sz w:val="20"/>
      <w:szCs w:val="20"/>
    </w:rPr>
  </w:style>
  <w:style w:type="paragraph" w:styleId="BalloonText">
    <w:name w:val="Balloon Text"/>
    <w:basedOn w:val="Normal"/>
    <w:link w:val="BalloonTextChar"/>
    <w:uiPriority w:val="99"/>
    <w:semiHidden w:val="1"/>
    <w:unhideWhenUsed w:val="1"/>
    <w:rsid w:val="001B6FD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B6FD6"/>
    <w:rPr>
      <w:rFonts w:ascii="Segoe UI" w:cs="Segoe UI" w:hAnsi="Segoe UI"/>
      <w:sz w:val="18"/>
      <w:szCs w:val="18"/>
    </w:rPr>
  </w:style>
  <w:style w:type="table" w:styleId="a" w:customStyle="1">
    <w:basedOn w:val="TableNormal1"/>
    <w:tblPr>
      <w:tblStyleRowBandSize w:val="1"/>
      <w:tblStyleColBandSize w:val="1"/>
      <w:tblCellMar>
        <w:top w:w="15.0" w:type="dxa"/>
        <w:left w:w="15.0" w:type="dxa"/>
        <w:bottom w:w="15.0" w:type="dxa"/>
        <w:right w:w="15.0" w:type="dxa"/>
      </w:tblCellMar>
    </w:tblPr>
  </w:style>
  <w:style w:type="table" w:styleId="a0" w:customStyle="1">
    <w:basedOn w:val="TableNormal1"/>
    <w:tblPr>
      <w:tblStyleRowBandSize w:val="1"/>
      <w:tblStyleColBandSize w:val="1"/>
      <w:tblCellMar>
        <w:top w:w="15.0" w:type="dxa"/>
        <w:left w:w="15.0" w:type="dxa"/>
        <w:bottom w:w="15.0" w:type="dxa"/>
        <w:right w:w="15.0" w:type="dxa"/>
      </w:tblCellMar>
    </w:tblPr>
  </w:style>
  <w:style w:type="table" w:styleId="a1" w:customStyle="1">
    <w:basedOn w:val="TableNormal1"/>
    <w:tblPr>
      <w:tblStyleRowBandSize w:val="1"/>
      <w:tblStyleColBandSize w:val="1"/>
      <w:tblCellMar>
        <w:top w:w="15.0" w:type="dxa"/>
        <w:left w:w="15.0" w:type="dxa"/>
        <w:bottom w:w="15.0" w:type="dxa"/>
        <w:right w:w="15.0" w:type="dxa"/>
      </w:tblCellMar>
    </w:tblPr>
  </w:style>
  <w:style w:type="table" w:styleId="a2" w:customStyle="1">
    <w:basedOn w:val="TableNormal1"/>
    <w:tblPr>
      <w:tblStyleRowBandSize w:val="1"/>
      <w:tblStyleColBandSize w:val="1"/>
      <w:tblCellMar>
        <w:top w:w="15.0" w:type="dxa"/>
        <w:left w:w="15.0" w:type="dxa"/>
        <w:bottom w:w="15.0" w:type="dxa"/>
        <w:right w:w="15.0" w:type="dxa"/>
      </w:tblCellMar>
    </w:tblPr>
  </w:style>
  <w:style w:type="table" w:styleId="a3" w:customStyle="1">
    <w:basedOn w:val="TableNormal1"/>
    <w:tblPr>
      <w:tblStyleRowBandSize w:val="1"/>
      <w:tblStyleColBandSize w:val="1"/>
      <w:tblCellMar>
        <w:top w:w="15.0" w:type="dxa"/>
        <w:left w:w="15.0" w:type="dxa"/>
        <w:bottom w:w="15.0" w:type="dxa"/>
        <w:right w:w="15.0" w:type="dxa"/>
      </w:tblCellMar>
    </w:tblPr>
  </w:style>
  <w:style w:type="paragraph" w:styleId="ListParagraph">
    <w:name w:val="List Paragraph"/>
    <w:basedOn w:val="Normal"/>
    <w:uiPriority w:val="34"/>
    <w:qFormat w:val="1"/>
    <w:rsid w:val="00214EDD"/>
    <w:pPr>
      <w:ind w:left="720"/>
      <w:contextualSpacing w:val="1"/>
    </w:pPr>
  </w:style>
  <w:style w:type="character" w:styleId="Hyperlink">
    <w:name w:val="Hyperlink"/>
    <w:basedOn w:val="DefaultParagraphFont"/>
    <w:uiPriority w:val="99"/>
    <w:unhideWhenUsed w:val="1"/>
    <w:rsid w:val="006A7EC2"/>
    <w:rPr>
      <w:color w:val="0563c1" w:themeColor="hyperlink"/>
      <w:u w:val="single"/>
    </w:rPr>
  </w:style>
  <w:style w:type="table" w:styleId="a4" w:customStyle="1">
    <w:basedOn w:val="TableNormal1"/>
    <w:tblPr>
      <w:tblStyleRowBandSize w:val="1"/>
      <w:tblStyleColBandSize w:val="1"/>
      <w:tblCellMar>
        <w:top w:w="15.0" w:type="dxa"/>
        <w:left w:w="15.0" w:type="dxa"/>
        <w:bottom w:w="15.0" w:type="dxa"/>
        <w:right w:w="15.0" w:type="dxa"/>
      </w:tblCellMar>
    </w:tblPr>
  </w:style>
  <w:style w:type="table" w:styleId="a5" w:customStyle="1">
    <w:basedOn w:val="TableNormal1"/>
    <w:tblPr>
      <w:tblStyleRowBandSize w:val="1"/>
      <w:tblStyleColBandSize w:val="1"/>
      <w:tblCellMar>
        <w:top w:w="15.0" w:type="dxa"/>
        <w:left w:w="15.0" w:type="dxa"/>
        <w:bottom w:w="15.0" w:type="dxa"/>
        <w:right w:w="15.0" w:type="dxa"/>
      </w:tblCellMar>
    </w:tblPr>
  </w:style>
  <w:style w:type="table" w:styleId="a6" w:customStyle="1">
    <w:basedOn w:val="TableNormal1"/>
    <w:tblPr>
      <w:tblStyleRowBandSize w:val="1"/>
      <w:tblStyleColBandSize w:val="1"/>
      <w:tblCellMar>
        <w:top w:w="15.0" w:type="dxa"/>
        <w:left w:w="15.0" w:type="dxa"/>
        <w:bottom w:w="15.0" w:type="dxa"/>
        <w:right w:w="15.0" w:type="dxa"/>
      </w:tblCellMar>
    </w:tblPr>
  </w:style>
  <w:style w:type="table" w:styleId="a7" w:customStyle="1">
    <w:basedOn w:val="TableNormal1"/>
    <w:tblPr>
      <w:tblStyleRowBandSize w:val="1"/>
      <w:tblStyleColBandSize w:val="1"/>
      <w:tblCellMar>
        <w:top w:w="15.0" w:type="dxa"/>
        <w:left w:w="15.0" w:type="dxa"/>
        <w:bottom w:w="15.0" w:type="dxa"/>
        <w:right w:w="15.0" w:type="dxa"/>
      </w:tblCellMar>
    </w:tblPr>
  </w:style>
  <w:style w:type="table" w:styleId="a8" w:customStyle="1">
    <w:basedOn w:val="TableNormal1"/>
    <w:tblPr>
      <w:tblStyleRowBandSize w:val="1"/>
      <w:tblStyleColBandSize w:val="1"/>
      <w:tblCellMar>
        <w:top w:w="15.0" w:type="dxa"/>
        <w:left w:w="15.0" w:type="dxa"/>
        <w:bottom w:w="15.0" w:type="dxa"/>
        <w:right w:w="15.0" w:type="dxa"/>
      </w:tblCellMar>
    </w:tblPr>
  </w:style>
  <w:style w:type="paragraph" w:styleId="Header">
    <w:name w:val="header"/>
    <w:basedOn w:val="Normal"/>
    <w:link w:val="HeaderChar"/>
    <w:uiPriority w:val="99"/>
    <w:unhideWhenUsed w:val="1"/>
    <w:rsid w:val="00F1779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17798"/>
  </w:style>
  <w:style w:type="paragraph" w:styleId="Footer">
    <w:name w:val="footer"/>
    <w:basedOn w:val="Normal"/>
    <w:link w:val="FooterChar"/>
    <w:uiPriority w:val="99"/>
    <w:unhideWhenUsed w:val="1"/>
    <w:rsid w:val="00F1779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1779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R0Qlq1m9Dfp8dBIjVdIOWnTIZQ==">CgMxLjAyDmgueWRyYjRlemF3Z2xlOAByITFsOHdSeUlUSjF5LXUxN1hGQVVVWGdwUkxQWXVzdU5ybg==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2023-04-15T18:25:00Z</dcterms:created>
  <dc:creator>Ariane Melo</dc:creator>
</cp:coreProperties>
</file>