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D76FF" w14:textId="77777777" w:rsidR="00C17E0E" w:rsidRPr="0089399F" w:rsidRDefault="0089399F" w:rsidP="0089399F">
      <w:pPr>
        <w:spacing w:line="360" w:lineRule="auto"/>
        <w:jc w:val="center"/>
        <w:rPr>
          <w:rFonts w:ascii="Times New Roman" w:hAnsi="Times New Roman" w:cs="Times New Roman"/>
          <w:b/>
          <w:sz w:val="36"/>
          <w:szCs w:val="24"/>
        </w:rPr>
      </w:pPr>
      <w:r w:rsidRPr="0089399F">
        <w:rPr>
          <w:rFonts w:ascii="Times New Roman" w:hAnsi="Times New Roman" w:cs="Times New Roman"/>
          <w:b/>
          <w:sz w:val="36"/>
          <w:szCs w:val="24"/>
        </w:rPr>
        <w:t>AI-Driven Adversarial Defense Framework with Generative Adversarial Network for Secure Healthcare IoT Ecosystems</w:t>
      </w:r>
    </w:p>
    <w:p w14:paraId="1CFC0E89" w14:textId="77777777" w:rsidR="00566B6C" w:rsidRDefault="00566B6C" w:rsidP="0089399F">
      <w:pPr>
        <w:spacing w:line="360" w:lineRule="auto"/>
        <w:jc w:val="both"/>
        <w:rPr>
          <w:rFonts w:ascii="Times New Roman" w:hAnsi="Times New Roman" w:cs="Times New Roman"/>
          <w:b/>
          <w:sz w:val="24"/>
          <w:szCs w:val="24"/>
        </w:rPr>
      </w:pPr>
    </w:p>
    <w:p w14:paraId="331A2FA9" w14:textId="0E1028DB" w:rsidR="0089399F" w:rsidRPr="0089399F" w:rsidRDefault="0089399F" w:rsidP="0089399F">
      <w:pPr>
        <w:spacing w:line="360" w:lineRule="auto"/>
        <w:jc w:val="both"/>
        <w:rPr>
          <w:rFonts w:ascii="Times New Roman" w:hAnsi="Times New Roman" w:cs="Times New Roman"/>
          <w:b/>
          <w:sz w:val="24"/>
          <w:szCs w:val="24"/>
        </w:rPr>
      </w:pPr>
      <w:r w:rsidRPr="0089399F">
        <w:rPr>
          <w:rFonts w:ascii="Times New Roman" w:hAnsi="Times New Roman" w:cs="Times New Roman"/>
          <w:b/>
          <w:sz w:val="24"/>
          <w:szCs w:val="24"/>
        </w:rPr>
        <w:t>Abstract</w:t>
      </w:r>
    </w:p>
    <w:p w14:paraId="28A786AD" w14:textId="3136B3E4" w:rsidR="0089399F" w:rsidRPr="0089399F" w:rsidRDefault="007D5427" w:rsidP="0089399F">
      <w:pPr>
        <w:spacing w:line="360" w:lineRule="auto"/>
        <w:jc w:val="both"/>
        <w:rPr>
          <w:rFonts w:ascii="Times New Roman" w:hAnsi="Times New Roman" w:cs="Times New Roman"/>
          <w:i/>
          <w:sz w:val="24"/>
          <w:szCs w:val="24"/>
        </w:rPr>
      </w:pPr>
      <w:r w:rsidRPr="007D5427">
        <w:rPr>
          <w:rFonts w:ascii="Times New Roman" w:hAnsi="Times New Roman" w:cs="Times New Roman"/>
          <w:i/>
          <w:sz w:val="24"/>
          <w:szCs w:val="24"/>
        </w:rPr>
        <w:t xml:space="preserve">This study developed and assessed an AI-driven adversarial defense framework using Generative Adversarial Networks (GANs) to secure healthcare IoT ecosystems against rising cybersecurity threats in medical settings. </w:t>
      </w:r>
      <w:r>
        <w:rPr>
          <w:rFonts w:ascii="Times New Roman" w:hAnsi="Times New Roman" w:cs="Times New Roman"/>
          <w:i/>
          <w:sz w:val="24"/>
          <w:szCs w:val="24"/>
        </w:rPr>
        <w:t>T</w:t>
      </w:r>
      <w:r w:rsidRPr="007D5427">
        <w:rPr>
          <w:rFonts w:ascii="Times New Roman" w:hAnsi="Times New Roman" w:cs="Times New Roman"/>
          <w:i/>
          <w:sz w:val="24"/>
          <w:szCs w:val="24"/>
        </w:rPr>
        <w:t>he research drew on datasets (CICIoMT2024, WUSTL-EHMS-2020, BoT-IoT, and Kaggle) and peer-reviewed studies to achieve three objectives: building a detailed threat model, designing a GAN-based defense optimized for healthcare IoT, and rigorously testing its effectiveness. The threat model revealed 127 vulnerability vectors, with adversarial attacks (32%) most prevalent, and a mean risk score of 7.82, highest for critical care devices (9.34). The GAN framework, featuring a multi-layer generator–discriminator pair and 128-dimensional encoder, achieved a mean accuracy of 95.8% against major adversarial attacks (FGSM 97.1%, PGD 94.8%, C&amp;W 95.9%, UAP 96.4%), outperforming traditional defenses by 39.4%. With an MTTD of 82 ms, the system enables real-time deployment, allowing healthcare providers to integrate it directly into hospital IoT networks for proactive protection. Limitations include reliance on secondary data and high computational cost. Recommendations include hybrid datasets, explainable AI integration, real-world pilots, standardized metrics, and federated learning to enhance scalability and adaptability.</w:t>
      </w:r>
    </w:p>
    <w:p w14:paraId="3DE6688C" w14:textId="77777777" w:rsidR="0089399F" w:rsidRPr="0089399F" w:rsidRDefault="0089399F" w:rsidP="0089399F">
      <w:pPr>
        <w:spacing w:line="360" w:lineRule="auto"/>
        <w:ind w:left="990" w:hanging="990"/>
        <w:jc w:val="both"/>
        <w:rPr>
          <w:rFonts w:ascii="Times New Roman" w:hAnsi="Times New Roman" w:cs="Times New Roman"/>
          <w:sz w:val="24"/>
          <w:szCs w:val="24"/>
        </w:rPr>
      </w:pPr>
      <w:r w:rsidRPr="0089399F">
        <w:rPr>
          <w:rFonts w:ascii="Times New Roman" w:hAnsi="Times New Roman" w:cs="Times New Roman"/>
          <w:sz w:val="24"/>
          <w:szCs w:val="24"/>
        </w:rPr>
        <w:t>Keywords: Healthcare IoT, Generative Adversarial Networks, Adversarial Attacks, Cybersecurity Defense, Threat Model</w:t>
      </w:r>
    </w:p>
    <w:p w14:paraId="4B45AA8F" w14:textId="77777777" w:rsidR="0089399F" w:rsidRDefault="0089399F" w:rsidP="0089399F">
      <w:pPr>
        <w:spacing w:line="360" w:lineRule="auto"/>
        <w:jc w:val="both"/>
        <w:rPr>
          <w:rFonts w:ascii="Times New Roman" w:hAnsi="Times New Roman" w:cs="Times New Roman"/>
          <w:b/>
          <w:sz w:val="24"/>
          <w:szCs w:val="24"/>
        </w:rPr>
      </w:pPr>
    </w:p>
    <w:p w14:paraId="4AAD18C6" w14:textId="77777777" w:rsidR="0089399F" w:rsidRDefault="0089399F" w:rsidP="0089399F">
      <w:pPr>
        <w:spacing w:line="360" w:lineRule="auto"/>
        <w:jc w:val="both"/>
        <w:rPr>
          <w:rFonts w:ascii="Times New Roman" w:hAnsi="Times New Roman" w:cs="Times New Roman"/>
          <w:b/>
          <w:sz w:val="24"/>
          <w:szCs w:val="24"/>
        </w:rPr>
      </w:pPr>
    </w:p>
    <w:p w14:paraId="52EDC95C" w14:textId="77777777" w:rsidR="00FB5C0D" w:rsidRDefault="00FB5C0D" w:rsidP="0089399F">
      <w:pPr>
        <w:spacing w:line="360" w:lineRule="auto"/>
        <w:jc w:val="both"/>
        <w:rPr>
          <w:rFonts w:ascii="Times New Roman" w:hAnsi="Times New Roman" w:cs="Times New Roman"/>
          <w:b/>
          <w:sz w:val="24"/>
          <w:szCs w:val="24"/>
        </w:rPr>
      </w:pPr>
    </w:p>
    <w:p w14:paraId="0C4F7E83" w14:textId="77777777" w:rsidR="00FB5C0D" w:rsidRDefault="00FB5C0D" w:rsidP="0089399F">
      <w:pPr>
        <w:spacing w:line="360" w:lineRule="auto"/>
        <w:jc w:val="both"/>
        <w:rPr>
          <w:rFonts w:ascii="Times New Roman" w:hAnsi="Times New Roman" w:cs="Times New Roman"/>
          <w:b/>
          <w:sz w:val="24"/>
          <w:szCs w:val="24"/>
        </w:rPr>
      </w:pPr>
    </w:p>
    <w:p w14:paraId="6D9C4230" w14:textId="77777777" w:rsidR="0089399F" w:rsidRDefault="0089399F" w:rsidP="0089399F">
      <w:pPr>
        <w:spacing w:line="360" w:lineRule="auto"/>
        <w:jc w:val="both"/>
        <w:rPr>
          <w:rFonts w:ascii="Times New Roman" w:hAnsi="Times New Roman" w:cs="Times New Roman"/>
          <w:b/>
          <w:sz w:val="24"/>
          <w:szCs w:val="24"/>
        </w:rPr>
      </w:pPr>
    </w:p>
    <w:p w14:paraId="1EA4189C" w14:textId="77777777" w:rsidR="00C17E0E" w:rsidRPr="0089399F" w:rsidRDefault="00C17E0E" w:rsidP="0089399F">
      <w:pPr>
        <w:spacing w:line="360" w:lineRule="auto"/>
        <w:jc w:val="both"/>
        <w:rPr>
          <w:rFonts w:ascii="Times New Roman" w:hAnsi="Times New Roman" w:cs="Times New Roman"/>
          <w:b/>
          <w:sz w:val="24"/>
          <w:szCs w:val="24"/>
        </w:rPr>
      </w:pPr>
      <w:r w:rsidRPr="0089399F">
        <w:rPr>
          <w:rFonts w:ascii="Times New Roman" w:hAnsi="Times New Roman" w:cs="Times New Roman"/>
          <w:b/>
          <w:sz w:val="24"/>
          <w:szCs w:val="24"/>
        </w:rPr>
        <w:lastRenderedPageBreak/>
        <w:t>1.</w:t>
      </w:r>
      <w:r w:rsidRPr="0089399F">
        <w:rPr>
          <w:rFonts w:ascii="Times New Roman" w:hAnsi="Times New Roman" w:cs="Times New Roman"/>
          <w:b/>
          <w:sz w:val="24"/>
          <w:szCs w:val="24"/>
        </w:rPr>
        <w:tab/>
        <w:t xml:space="preserve"> Introduction</w:t>
      </w:r>
    </w:p>
    <w:p w14:paraId="1D75B84C" w14:textId="77777777" w:rsidR="001A3AF1" w:rsidRPr="001A3AF1" w:rsidRDefault="001A3AF1" w:rsidP="001A3AF1">
      <w:pPr>
        <w:spacing w:after="0" w:line="360" w:lineRule="auto"/>
        <w:jc w:val="both"/>
        <w:rPr>
          <w:rFonts w:ascii="Times New Roman" w:hAnsi="Times New Roman" w:cs="Times New Roman"/>
          <w:sz w:val="24"/>
          <w:szCs w:val="24"/>
        </w:rPr>
      </w:pPr>
      <w:r w:rsidRPr="001A3AF1">
        <w:rPr>
          <w:rFonts w:ascii="Times New Roman" w:hAnsi="Times New Roman" w:cs="Times New Roman"/>
          <w:sz w:val="24"/>
          <w:szCs w:val="24"/>
        </w:rPr>
        <w:t>The healthcare sector is experiencing a rapid transformation driven by the integration of Internet of Things (IoT) technologies, which support real-time patient monitoring, remote diagnostics, and data-driven clinical decision-making. These innovations have created highly interconnected ecosystems of medical devices, sensors, and cloud-based platforms, significantly improving healthcare delivery and operational efficiency. At the same time, this digital evolution has expanded the cyberattack surface, exposing sensitive health data to risks that threaten patient safety, privacy, and system reliability (Sendelj &amp; Ognjanovic, 2022; Sharma &amp; Dhiman, 2025). Globally, healthcare has become the most targeted sector for cyberattacks, facing record-high weekly incidents and ranking first in data breaches (Ribeiro, 2024). Such breaches have imposed substantial financial costs across industries for more than a decade (Elgan, 2024). Meanwhile, the healthcare IoT market continues to grow at a significant compound annual growth rate (CAGR), underscoring the urgent need for robust cybersecurity solutions (IMARC Group, 2024).</w:t>
      </w:r>
    </w:p>
    <w:p w14:paraId="482C0D95" w14:textId="32CF0B1B" w:rsidR="001A3AF1" w:rsidRPr="001A3AF1" w:rsidRDefault="001A3AF1" w:rsidP="001A3AF1">
      <w:pPr>
        <w:spacing w:after="0" w:line="360" w:lineRule="auto"/>
        <w:jc w:val="both"/>
        <w:rPr>
          <w:rFonts w:ascii="Times New Roman" w:hAnsi="Times New Roman" w:cs="Times New Roman"/>
          <w:sz w:val="24"/>
          <w:szCs w:val="24"/>
        </w:rPr>
      </w:pPr>
      <w:r w:rsidRPr="001A3AF1">
        <w:rPr>
          <w:rFonts w:ascii="Times New Roman" w:hAnsi="Times New Roman" w:cs="Times New Roman"/>
          <w:sz w:val="24"/>
          <w:szCs w:val="24"/>
        </w:rPr>
        <w:t>The convergence of artificial intelligence (AI) with healthcare IoT systems presents both opportunities and challenges. AI enhances cybersecurity through improved threat detection, anomaly identification, and automated response capabilities, but it also introduces new vulnerabilities via adversarial machine learning techniques (Finlayson et al., 2019; Qayyum et al., 2021). Adversarial attacks, which manipulate AI models to produce incorrect outputs, pose critical risks in healthcare</w:t>
      </w:r>
      <w:r>
        <w:rPr>
          <w:rFonts w:ascii="Times New Roman" w:hAnsi="Times New Roman" w:cs="Times New Roman"/>
          <w:sz w:val="24"/>
          <w:szCs w:val="24"/>
        </w:rPr>
        <w:t xml:space="preserve"> </w:t>
      </w:r>
      <w:r w:rsidRPr="001A3AF1">
        <w:rPr>
          <w:rFonts w:ascii="Times New Roman" w:hAnsi="Times New Roman" w:cs="Times New Roman"/>
          <w:sz w:val="24"/>
          <w:szCs w:val="24"/>
        </w:rPr>
        <w:t>where misclassification in medical imaging or diagnostics can result in inappropriate treatments and adverse patient outcomes. Evidence shows that such attacks can achieve high success rates in compromising healthcare AI systems (Ma et al., 2020). Generative Adversarial Networks (GANs), a subset of AI, highlight this dual role. While GANs can generate synthetic data to strengthen privacy and enhance model robustness through adversarial training, they can also be exploited to create highly sophisticated attacks, making the development of innovative defense strategies essential (Yi et al., 2019; Sumaiya Tasneem et al., 2023).</w:t>
      </w:r>
    </w:p>
    <w:p w14:paraId="02350C32" w14:textId="77777777" w:rsidR="00C17E0E" w:rsidRPr="0089399F" w:rsidRDefault="00C17E0E" w:rsidP="0089399F">
      <w:pPr>
        <w:spacing w:after="0" w:line="360" w:lineRule="auto"/>
        <w:jc w:val="both"/>
        <w:rPr>
          <w:rFonts w:ascii="Times New Roman" w:hAnsi="Times New Roman" w:cs="Times New Roman"/>
          <w:sz w:val="24"/>
          <w:szCs w:val="24"/>
        </w:rPr>
      </w:pPr>
      <w:r w:rsidRPr="0089399F">
        <w:rPr>
          <w:rFonts w:ascii="Times New Roman" w:hAnsi="Times New Roman" w:cs="Times New Roman"/>
          <w:sz w:val="24"/>
          <w:szCs w:val="24"/>
        </w:rPr>
        <w:t>Healthcare IoT ecosystems are vulnerable due to the heterogeneity of devices, ranging from wearable monitors to implantable devices and hospital infrastructural systems. Many devices operate on legacy systems with inadequate security controls, such as default passwords and unencrypted communications, exacerbating vulnerabilities (</w:t>
      </w:r>
      <w:r w:rsidRPr="0089399F">
        <w:rPr>
          <w:rFonts w:ascii="Times New Roman" w:eastAsia="Times New Roman" w:hAnsi="Times New Roman" w:cs="Times New Roman"/>
          <w:sz w:val="24"/>
          <w:szCs w:val="24"/>
        </w:rPr>
        <w:t>Sendelj &amp; Ognjanovic, 2022</w:t>
      </w:r>
      <w:r w:rsidRPr="0089399F">
        <w:rPr>
          <w:rFonts w:ascii="Times New Roman" w:hAnsi="Times New Roman" w:cs="Times New Roman"/>
          <w:sz w:val="24"/>
          <w:szCs w:val="24"/>
        </w:rPr>
        <w:t xml:space="preserve">; Coventry &amp; Branley, 2018). The interoperability challenges among these devices hinder the implementation of unified security policies, creating gaps that cybercriminals exploit (Jalali et al., </w:t>
      </w:r>
      <w:r w:rsidRPr="0089399F">
        <w:rPr>
          <w:rFonts w:ascii="Times New Roman" w:hAnsi="Times New Roman" w:cs="Times New Roman"/>
          <w:sz w:val="24"/>
          <w:szCs w:val="24"/>
        </w:rPr>
        <w:lastRenderedPageBreak/>
        <w:t xml:space="preserve">2019). Traditional cybersecurity frameworks, primarily reactive, are ill-equipped to address the dynamic threat landscape, particularly adversarial Artificial Intelligence attacks that target machine learning models integral to healthcare applications </w:t>
      </w:r>
      <w:r w:rsidRPr="0089399F">
        <w:rPr>
          <w:rFonts w:ascii="Times New Roman" w:eastAsia="Times New Roman" w:hAnsi="Times New Roman" w:cs="Times New Roman"/>
          <w:sz w:val="24"/>
          <w:szCs w:val="24"/>
        </w:rPr>
        <w:t>(Nagarjuna et al., 2025)</w:t>
      </w:r>
      <w:r w:rsidRPr="0089399F">
        <w:rPr>
          <w:rFonts w:ascii="Times New Roman" w:hAnsi="Times New Roman" w:cs="Times New Roman"/>
          <w:sz w:val="24"/>
          <w:szCs w:val="24"/>
        </w:rPr>
        <w:t xml:space="preserve">. The lack of comprehensive frameworks integrating traditional cybersecurity controls with adversarial defense mechanisms represents a critical research gap. </w:t>
      </w:r>
    </w:p>
    <w:p w14:paraId="48218C24" w14:textId="77777777" w:rsidR="00C17E0E" w:rsidRPr="0089399F" w:rsidRDefault="00C17E0E" w:rsidP="0089399F">
      <w:pPr>
        <w:spacing w:after="0" w:line="360" w:lineRule="auto"/>
        <w:jc w:val="both"/>
        <w:rPr>
          <w:rFonts w:ascii="Times New Roman" w:eastAsia="Times New Roman" w:hAnsi="Times New Roman" w:cs="Times New Roman"/>
          <w:sz w:val="24"/>
          <w:szCs w:val="24"/>
        </w:rPr>
      </w:pPr>
      <w:r w:rsidRPr="0089399F">
        <w:rPr>
          <w:rFonts w:ascii="Times New Roman" w:hAnsi="Times New Roman" w:cs="Times New Roman"/>
          <w:sz w:val="24"/>
          <w:szCs w:val="24"/>
        </w:rPr>
        <w:t>The paradoxical role of GANs in healthcare cybersecurity further complicates this landscape. While GANs offer defensive capabilities, such as generating synthetic patient data to protect privacy or training robust models, their potential misuse for creating deceptive adversarial examples underscores the need for balanced frameworks that maximize their benefits while mitigating risks (</w:t>
      </w:r>
      <w:r w:rsidRPr="0089399F">
        <w:rPr>
          <w:rFonts w:ascii="Times New Roman" w:eastAsia="Times New Roman" w:hAnsi="Times New Roman" w:cs="Times New Roman"/>
          <w:sz w:val="24"/>
          <w:szCs w:val="24"/>
        </w:rPr>
        <w:t>Choi et al., 2017</w:t>
      </w:r>
      <w:r w:rsidRPr="0089399F">
        <w:rPr>
          <w:rFonts w:ascii="Times New Roman" w:hAnsi="Times New Roman" w:cs="Times New Roman"/>
          <w:sz w:val="24"/>
          <w:szCs w:val="24"/>
        </w:rPr>
        <w:t xml:space="preserve">; </w:t>
      </w:r>
      <w:r w:rsidRPr="0089399F">
        <w:rPr>
          <w:rFonts w:ascii="Times New Roman" w:eastAsia="Times New Roman" w:hAnsi="Times New Roman" w:cs="Times New Roman"/>
          <w:sz w:val="24"/>
          <w:szCs w:val="24"/>
        </w:rPr>
        <w:t>Sumaiya Tasneem et al., 2023)</w:t>
      </w:r>
      <w:r w:rsidRPr="0089399F">
        <w:rPr>
          <w:rFonts w:ascii="Times New Roman" w:hAnsi="Times New Roman" w:cs="Times New Roman"/>
          <w:sz w:val="24"/>
          <w:szCs w:val="24"/>
        </w:rPr>
        <w:t>. Additionally, healthcare organizations face practical challenges, including resource constraints, regulatory compliance requirements like HIPAA and GDPR, and the need to maintain operational continuity (Hathaliya &amp; Tanwar, 2020; McKinsey &amp; Company, 2024). These challenges highlight the necessity for security solutions that are both robust and feasible within healthcare’s operational and regulatory contexts.</w:t>
      </w:r>
    </w:p>
    <w:p w14:paraId="4A0A20D7" w14:textId="7C61F508" w:rsidR="00C17E0E" w:rsidRPr="00D269E1" w:rsidRDefault="00C17E0E" w:rsidP="00D269E1">
      <w:pPr>
        <w:spacing w:after="0" w:line="360" w:lineRule="auto"/>
        <w:jc w:val="both"/>
        <w:rPr>
          <w:rFonts w:ascii="Times New Roman" w:eastAsia="Arial" w:hAnsi="Times New Roman" w:cs="Times New Roman"/>
          <w:color w:val="252525"/>
          <w:sz w:val="24"/>
          <w:szCs w:val="24"/>
        </w:rPr>
      </w:pPr>
      <w:r w:rsidRPr="0089399F">
        <w:rPr>
          <w:rFonts w:ascii="Times New Roman" w:hAnsi="Times New Roman" w:cs="Times New Roman"/>
          <w:sz w:val="24"/>
          <w:szCs w:val="24"/>
        </w:rPr>
        <w:t xml:space="preserve">This research is significant for its potential to advance cybersecurity theory and practice in healthcare IoT ecosystems. By developing a comprehensive AI-driven adversarial defense framework, this study bridges the gap between traditional cybersecurity measures and emerging adversarial threats. The framework will leverage Adversarial Networks (GANs) to enhance security while addressing their offensive potential, contributing to theoretical advancements in adversarial machine learning tailored to healthcare contexts </w:t>
      </w:r>
      <w:r w:rsidRPr="0089399F">
        <w:rPr>
          <w:rFonts w:ascii="Times New Roman" w:eastAsia="Times New Roman" w:hAnsi="Times New Roman" w:cs="Times New Roman"/>
          <w:sz w:val="24"/>
          <w:szCs w:val="24"/>
        </w:rPr>
        <w:t>(Nagarjuna et al., 2025</w:t>
      </w:r>
      <w:r w:rsidRPr="0089399F">
        <w:rPr>
          <w:rFonts w:ascii="Times New Roman" w:hAnsi="Times New Roman" w:cs="Times New Roman"/>
          <w:sz w:val="24"/>
          <w:szCs w:val="24"/>
        </w:rPr>
        <w:t>; Yi et al., 2019</w:t>
      </w:r>
      <w:r w:rsidR="00D269E1">
        <w:rPr>
          <w:rFonts w:ascii="Times New Roman" w:hAnsi="Times New Roman" w:cs="Times New Roman"/>
          <w:sz w:val="24"/>
          <w:szCs w:val="24"/>
        </w:rPr>
        <w:t xml:space="preserve">; </w:t>
      </w:r>
      <w:r w:rsidR="00D269E1">
        <w:rPr>
          <w:rFonts w:ascii="Times New Roman" w:eastAsia="Arial" w:hAnsi="Times New Roman" w:cs="Times New Roman"/>
          <w:color w:val="252525"/>
          <w:sz w:val="24"/>
          <w:szCs w:val="24"/>
        </w:rPr>
        <w:t>Kolo, 2025</w:t>
      </w:r>
      <w:r w:rsidRPr="0089399F">
        <w:rPr>
          <w:rFonts w:ascii="Times New Roman" w:hAnsi="Times New Roman" w:cs="Times New Roman"/>
          <w:sz w:val="24"/>
          <w:szCs w:val="24"/>
        </w:rPr>
        <w:t xml:space="preserve">). Practically, it seeks to enhance patient safety by protecting sensitive health data, which is critical given that healthcare data breaches affect millions annually, costing the U.S. healthcare system </w:t>
      </w:r>
      <w:r w:rsidRPr="0089399F">
        <w:rPr>
          <w:rFonts w:ascii="Times New Roman" w:eastAsia="Times New Roman" w:hAnsi="Times New Roman" w:cs="Times New Roman"/>
          <w:sz w:val="24"/>
          <w:szCs w:val="24"/>
        </w:rPr>
        <w:t>(James, 2022</w:t>
      </w:r>
      <w:r w:rsidR="009867CB">
        <w:rPr>
          <w:rFonts w:ascii="Times New Roman" w:eastAsia="Times New Roman" w:hAnsi="Times New Roman" w:cs="Times New Roman"/>
          <w:sz w:val="24"/>
          <w:szCs w:val="24"/>
        </w:rPr>
        <w:t xml:space="preserve">; </w:t>
      </w:r>
      <w:r w:rsidR="009867CB" w:rsidRPr="00600C4C">
        <w:rPr>
          <w:rFonts w:ascii="Times New Roman" w:hAnsi="Times New Roman" w:cs="Times New Roman"/>
          <w:sz w:val="24"/>
          <w:szCs w:val="24"/>
          <w:lang w:val="es-ES"/>
        </w:rPr>
        <w:t>Balogun</w:t>
      </w:r>
      <w:r w:rsidR="009867CB">
        <w:rPr>
          <w:rFonts w:ascii="Times New Roman" w:hAnsi="Times New Roman" w:cs="Times New Roman"/>
          <w:sz w:val="24"/>
          <w:szCs w:val="24"/>
          <w:lang w:val="es-ES"/>
        </w:rPr>
        <w:t xml:space="preserve"> et al., 2025)</w:t>
      </w:r>
      <w:r w:rsidRPr="0089399F">
        <w:rPr>
          <w:rFonts w:ascii="Times New Roman" w:hAnsi="Times New Roman" w:cs="Times New Roman"/>
          <w:sz w:val="24"/>
          <w:szCs w:val="24"/>
        </w:rPr>
        <w:t xml:space="preserve">. By reducing breach-related costs, improving operational efficiency, and ensuring compliance with regulations, the proposed framework offers economic benefits and strengthens trust in healthcare technology </w:t>
      </w:r>
      <w:r w:rsidRPr="0089399F">
        <w:rPr>
          <w:rFonts w:ascii="Times New Roman" w:eastAsia="Times New Roman" w:hAnsi="Times New Roman" w:cs="Times New Roman"/>
          <w:sz w:val="24"/>
          <w:szCs w:val="24"/>
        </w:rPr>
        <w:t>(Elgan, 2024</w:t>
      </w:r>
      <w:r w:rsidRPr="0089399F">
        <w:rPr>
          <w:rFonts w:ascii="Times New Roman" w:hAnsi="Times New Roman" w:cs="Times New Roman"/>
          <w:sz w:val="24"/>
          <w:szCs w:val="24"/>
        </w:rPr>
        <w:t xml:space="preserve">; </w:t>
      </w:r>
      <w:r w:rsidRPr="0089399F">
        <w:rPr>
          <w:rFonts w:ascii="Times New Roman" w:eastAsia="Times New Roman" w:hAnsi="Times New Roman" w:cs="Times New Roman"/>
          <w:sz w:val="24"/>
          <w:szCs w:val="24"/>
        </w:rPr>
        <w:t>Shimabukuro &amp; Sekar, 2025)</w:t>
      </w:r>
      <w:r w:rsidRPr="0089399F">
        <w:rPr>
          <w:rFonts w:ascii="Times New Roman" w:hAnsi="Times New Roman" w:cs="Times New Roman"/>
          <w:sz w:val="24"/>
          <w:szCs w:val="24"/>
        </w:rPr>
        <w:t>.</w:t>
      </w:r>
    </w:p>
    <w:p w14:paraId="019AA7D5" w14:textId="77777777" w:rsidR="00C17E0E" w:rsidRPr="0089399F" w:rsidRDefault="00C17E0E" w:rsidP="0089399F">
      <w:pPr>
        <w:spacing w:after="0" w:line="360" w:lineRule="auto"/>
        <w:jc w:val="both"/>
        <w:rPr>
          <w:rFonts w:ascii="Times New Roman" w:eastAsia="Times New Roman" w:hAnsi="Times New Roman" w:cs="Times New Roman"/>
          <w:sz w:val="24"/>
          <w:szCs w:val="24"/>
        </w:rPr>
      </w:pPr>
      <w:r w:rsidRPr="0089399F">
        <w:rPr>
          <w:rFonts w:ascii="Times New Roman" w:hAnsi="Times New Roman" w:cs="Times New Roman"/>
          <w:sz w:val="24"/>
          <w:szCs w:val="24"/>
        </w:rPr>
        <w:t xml:space="preserve">The societal impact of this research extends to global health security, particularly in enabling resilient healthcare infrastructure for pandemic preparedness and response. Secure IoT ecosystems are vital for disease surveillance, contact tracing, and public health monitoring, ensuring continuity during health emergencies (Hathaliya &amp; Tanwar, 2020). The framework’s scalability across </w:t>
      </w:r>
      <w:r w:rsidRPr="0089399F">
        <w:rPr>
          <w:rFonts w:ascii="Times New Roman" w:hAnsi="Times New Roman" w:cs="Times New Roman"/>
          <w:sz w:val="24"/>
          <w:szCs w:val="24"/>
        </w:rPr>
        <w:lastRenderedPageBreak/>
        <w:t xml:space="preserve">diverse healthcare organizations from large hospitals to community clinics ensures broad applicability, addressing varying resource constraints and technical capabilities </w:t>
      </w:r>
      <w:r w:rsidRPr="0089399F">
        <w:rPr>
          <w:rFonts w:ascii="Times New Roman" w:eastAsia="Times New Roman" w:hAnsi="Times New Roman" w:cs="Times New Roman"/>
          <w:sz w:val="24"/>
          <w:szCs w:val="24"/>
        </w:rPr>
        <w:t>(Sendelj &amp; Ognjanovic, 2022</w:t>
      </w:r>
      <w:r w:rsidRPr="0089399F">
        <w:rPr>
          <w:rFonts w:ascii="Times New Roman" w:hAnsi="Times New Roman" w:cs="Times New Roman"/>
          <w:sz w:val="24"/>
          <w:szCs w:val="24"/>
        </w:rPr>
        <w:t xml:space="preserve">; </w:t>
      </w:r>
      <w:r w:rsidRPr="0089399F">
        <w:rPr>
          <w:rFonts w:ascii="Times New Roman" w:eastAsia="Times New Roman" w:hAnsi="Times New Roman" w:cs="Times New Roman"/>
          <w:sz w:val="24"/>
          <w:szCs w:val="24"/>
        </w:rPr>
        <w:t>Ruwayd Hussain Charfare et al., 2024)</w:t>
      </w:r>
      <w:r w:rsidRPr="0089399F">
        <w:rPr>
          <w:rFonts w:ascii="Times New Roman" w:hAnsi="Times New Roman" w:cs="Times New Roman"/>
          <w:sz w:val="24"/>
          <w:szCs w:val="24"/>
        </w:rPr>
        <w:t>. By facilitating the safe adoption of IoT and AI technologies, this research promotes innovation in healthcare delivery, improving patient outcomes and accessibility while maintaining stringent security and privacy standards.</w:t>
      </w:r>
    </w:p>
    <w:p w14:paraId="2525540C" w14:textId="77777777" w:rsidR="00C17E0E" w:rsidRPr="0089399F" w:rsidRDefault="00C17E0E" w:rsidP="0089399F">
      <w:pPr>
        <w:spacing w:after="0" w:line="360" w:lineRule="auto"/>
        <w:jc w:val="both"/>
        <w:rPr>
          <w:rFonts w:ascii="Times New Roman" w:eastAsia="Times New Roman" w:hAnsi="Times New Roman" w:cs="Times New Roman"/>
          <w:sz w:val="24"/>
          <w:szCs w:val="24"/>
        </w:rPr>
      </w:pPr>
      <w:r w:rsidRPr="0089399F">
        <w:rPr>
          <w:rFonts w:ascii="Times New Roman" w:hAnsi="Times New Roman" w:cs="Times New Roman"/>
          <w:sz w:val="24"/>
          <w:szCs w:val="24"/>
        </w:rPr>
        <w:t xml:space="preserve">The technical scope of this study focuses on designing GAN-based defense mechanisms integrated with existing healthcare IT infrastructure, emphasizing real-time threat detection and response for devices like wearable sensors, implantable devices, and cloud-based platforms (Coventry &amp; Branley, 2018; </w:t>
      </w:r>
      <w:r w:rsidRPr="0089399F">
        <w:rPr>
          <w:rFonts w:ascii="Times New Roman" w:eastAsia="Times New Roman" w:hAnsi="Times New Roman" w:cs="Times New Roman"/>
          <w:sz w:val="24"/>
          <w:szCs w:val="24"/>
        </w:rPr>
        <w:t>Sharma &amp; Dhiman, 2025)</w:t>
      </w:r>
      <w:r w:rsidRPr="0089399F">
        <w:rPr>
          <w:rFonts w:ascii="Times New Roman" w:hAnsi="Times New Roman" w:cs="Times New Roman"/>
          <w:sz w:val="24"/>
          <w:szCs w:val="24"/>
        </w:rPr>
        <w:t xml:space="preserve">. The research is limited to healthcare IoT applications, excluding broader IoT domains like smart cities or industrial automation, and prioritizes regulatory frameworks such as HIPAA and GDPR (Hathaliya &amp; Tanwar, 2020). It addresses both legacy and modern devices, ensuring adaptability to current and emerging threats over a five-to-ten-year horizon </w:t>
      </w:r>
      <w:r w:rsidRPr="0089399F">
        <w:rPr>
          <w:rFonts w:ascii="Times New Roman" w:eastAsia="Times New Roman" w:hAnsi="Times New Roman" w:cs="Times New Roman"/>
          <w:sz w:val="24"/>
          <w:szCs w:val="24"/>
        </w:rPr>
        <w:t>(Ruwayd Hussain Charfare et al., 2024)</w:t>
      </w:r>
      <w:r w:rsidRPr="0089399F">
        <w:rPr>
          <w:rFonts w:ascii="Times New Roman" w:hAnsi="Times New Roman" w:cs="Times New Roman"/>
          <w:sz w:val="24"/>
          <w:szCs w:val="24"/>
        </w:rPr>
        <w:t>. Geographically, the study focuses on major healthcare markets but remains adaptable to regional variations in technology adoption and cybersecurity maturity.</w:t>
      </w:r>
    </w:p>
    <w:p w14:paraId="241616A5" w14:textId="77777777" w:rsidR="00C17E0E" w:rsidRPr="0089399F" w:rsidRDefault="00C17E0E" w:rsidP="0089399F">
      <w:pPr>
        <w:spacing w:line="360" w:lineRule="auto"/>
        <w:jc w:val="both"/>
        <w:rPr>
          <w:rFonts w:ascii="Times New Roman" w:hAnsi="Times New Roman" w:cs="Times New Roman"/>
          <w:sz w:val="24"/>
          <w:szCs w:val="24"/>
        </w:rPr>
      </w:pPr>
      <w:r w:rsidRPr="0089399F">
        <w:rPr>
          <w:rFonts w:ascii="Times New Roman" w:hAnsi="Times New Roman" w:cs="Times New Roman"/>
          <w:sz w:val="24"/>
          <w:szCs w:val="24"/>
        </w:rPr>
        <w:t>This research aims to develop and validate a comprehensive AI-driven adversarial defense framework utilizing Generative Adversarial Networks to secure healthcare IoT ecosystems against sophisticated cyber threats while ensuring operational efficiency and regulatory compliance and the objectives are to:</w:t>
      </w:r>
    </w:p>
    <w:p w14:paraId="7E6F8574" w14:textId="77777777" w:rsidR="00C17E0E" w:rsidRPr="0089399F" w:rsidRDefault="00C17E0E" w:rsidP="0089399F">
      <w:pPr>
        <w:pStyle w:val="ListParagraph"/>
        <w:numPr>
          <w:ilvl w:val="0"/>
          <w:numId w:val="1"/>
        </w:numPr>
        <w:spacing w:line="360" w:lineRule="auto"/>
        <w:jc w:val="both"/>
        <w:rPr>
          <w:rFonts w:ascii="Times New Roman" w:hAnsi="Times New Roman" w:cs="Times New Roman"/>
          <w:sz w:val="24"/>
          <w:szCs w:val="24"/>
        </w:rPr>
      </w:pPr>
      <w:r w:rsidRPr="0089399F">
        <w:rPr>
          <w:rFonts w:ascii="Times New Roman" w:hAnsi="Times New Roman" w:cs="Times New Roman"/>
          <w:sz w:val="24"/>
          <w:szCs w:val="24"/>
        </w:rPr>
        <w:t>develop a comprehensive threat model for healthcare IoT ecosystems;</w:t>
      </w:r>
    </w:p>
    <w:p w14:paraId="175F9C9B" w14:textId="77777777" w:rsidR="00C17E0E" w:rsidRPr="0089399F" w:rsidRDefault="00C17E0E" w:rsidP="0089399F">
      <w:pPr>
        <w:pStyle w:val="ListParagraph"/>
        <w:numPr>
          <w:ilvl w:val="0"/>
          <w:numId w:val="1"/>
        </w:numPr>
        <w:spacing w:line="360" w:lineRule="auto"/>
        <w:jc w:val="both"/>
        <w:rPr>
          <w:rFonts w:ascii="Times New Roman" w:hAnsi="Times New Roman" w:cs="Times New Roman"/>
          <w:sz w:val="24"/>
          <w:szCs w:val="24"/>
        </w:rPr>
      </w:pPr>
      <w:r w:rsidRPr="0089399F">
        <w:rPr>
          <w:rFonts w:ascii="Times New Roman" w:hAnsi="Times New Roman" w:cs="Times New Roman"/>
          <w:sz w:val="24"/>
          <w:szCs w:val="24"/>
        </w:rPr>
        <w:t>design and implement GAN-based adversarial defense mechanisms optimized for healthcare IoT; and</w:t>
      </w:r>
    </w:p>
    <w:p w14:paraId="4A079FEE" w14:textId="77777777" w:rsidR="00C17E0E" w:rsidRPr="0089399F" w:rsidRDefault="00C17E0E" w:rsidP="0089399F">
      <w:pPr>
        <w:pStyle w:val="ListParagraph"/>
        <w:numPr>
          <w:ilvl w:val="0"/>
          <w:numId w:val="1"/>
        </w:numPr>
        <w:spacing w:line="360" w:lineRule="auto"/>
        <w:jc w:val="both"/>
        <w:rPr>
          <w:rFonts w:ascii="Times New Roman" w:hAnsi="Times New Roman" w:cs="Times New Roman"/>
          <w:sz w:val="24"/>
          <w:szCs w:val="24"/>
        </w:rPr>
      </w:pPr>
      <w:r w:rsidRPr="0089399F">
        <w:rPr>
          <w:rFonts w:ascii="Times New Roman" w:hAnsi="Times New Roman" w:cs="Times New Roman"/>
          <w:sz w:val="24"/>
          <w:szCs w:val="24"/>
        </w:rPr>
        <w:t>evaluate the framework’s effectiveness through rigorous testing.</w:t>
      </w:r>
    </w:p>
    <w:p w14:paraId="218F3B17" w14:textId="77777777" w:rsidR="00B14C7E" w:rsidRDefault="00B14C7E" w:rsidP="00B14C7E">
      <w:pPr>
        <w:spacing w:line="360" w:lineRule="auto"/>
        <w:jc w:val="both"/>
        <w:rPr>
          <w:rFonts w:ascii="Times New Roman" w:hAnsi="Times New Roman" w:cs="Times New Roman"/>
          <w:b/>
          <w:sz w:val="24"/>
          <w:szCs w:val="24"/>
        </w:rPr>
      </w:pPr>
    </w:p>
    <w:p w14:paraId="0EDA9BBA" w14:textId="77777777" w:rsidR="00B14C7E" w:rsidRPr="008B6CA1" w:rsidRDefault="00B14C7E" w:rsidP="00B14C7E">
      <w:pPr>
        <w:spacing w:line="360" w:lineRule="auto"/>
        <w:jc w:val="both"/>
        <w:rPr>
          <w:rFonts w:ascii="Times New Roman" w:hAnsi="Times New Roman" w:cs="Times New Roman"/>
          <w:b/>
          <w:sz w:val="24"/>
          <w:szCs w:val="24"/>
        </w:rPr>
      </w:pPr>
      <w:r w:rsidRPr="008B6CA1">
        <w:rPr>
          <w:rFonts w:ascii="Times New Roman" w:hAnsi="Times New Roman" w:cs="Times New Roman"/>
          <w:b/>
          <w:sz w:val="24"/>
          <w:szCs w:val="24"/>
        </w:rPr>
        <w:t>2.</w:t>
      </w:r>
      <w:r w:rsidRPr="008B6CA1">
        <w:rPr>
          <w:rFonts w:ascii="Times New Roman" w:hAnsi="Times New Roman" w:cs="Times New Roman"/>
          <w:b/>
          <w:sz w:val="24"/>
          <w:szCs w:val="24"/>
        </w:rPr>
        <w:tab/>
        <w:t>Literature Review</w:t>
      </w:r>
    </w:p>
    <w:p w14:paraId="7394F526"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 xml:space="preserve">The rapid integration of Internet of Things (IoT) technologies in healthcare has transformed medical service delivery, enabling real-time patient monitoring, remote diagnostics, and data-driven decision-making. However, this digital evolution has introduced significant cybersecurity challenges, particularly with the convergence of artificial intelligence (AI) and IoT systems. The increasing prevalence of adversarial AI attacks, coupled with the vulnerabilities of heterogeneous </w:t>
      </w:r>
      <w:r w:rsidRPr="008B6CA1">
        <w:rPr>
          <w:rFonts w:ascii="Times New Roman" w:hAnsi="Times New Roman" w:cs="Times New Roman"/>
          <w:sz w:val="24"/>
          <w:szCs w:val="24"/>
        </w:rPr>
        <w:lastRenderedPageBreak/>
        <w:t>IoT devices, underscores the need for robust defense mechanisms. This chapter presents a comprehensive literature review on AI-driven adversarial defense frameworks utilizing Generative Adversarial Networks (GANs) for securing healthcare IoT ecosystems.</w:t>
      </w:r>
    </w:p>
    <w:p w14:paraId="348DB70E" w14:textId="77777777" w:rsidR="00B14C7E" w:rsidRPr="008B6CA1" w:rsidRDefault="00B14C7E" w:rsidP="00B14C7E">
      <w:pPr>
        <w:spacing w:before="240" w:after="0" w:line="360" w:lineRule="auto"/>
        <w:jc w:val="both"/>
        <w:rPr>
          <w:rFonts w:ascii="Times New Roman" w:hAnsi="Times New Roman" w:cs="Times New Roman"/>
          <w:b/>
          <w:sz w:val="24"/>
          <w:szCs w:val="24"/>
        </w:rPr>
      </w:pPr>
      <w:r w:rsidRPr="008B6CA1">
        <w:rPr>
          <w:rFonts w:ascii="Times New Roman" w:hAnsi="Times New Roman" w:cs="Times New Roman"/>
          <w:b/>
          <w:sz w:val="24"/>
          <w:szCs w:val="24"/>
        </w:rPr>
        <w:t>Theoretical Foundations of Healthcare IoT Security</w:t>
      </w:r>
    </w:p>
    <w:p w14:paraId="3BB45E7E"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t xml:space="preserve">The theoretical underpinnings of healthcare IoT security stem from the convergence of cybersecurity principles, IoT architectures, and healthcare-specific requirements. Healthcare IoT ecosystems comprise interconnected devices such as wearable sensors, implantable medical devices, and cloud-based platforms, creating a complex network vulnerable to cyber threats </w:t>
      </w:r>
      <w:r w:rsidRPr="008B6CA1">
        <w:rPr>
          <w:rFonts w:ascii="Times New Roman" w:eastAsia="Times New Roman" w:hAnsi="Times New Roman" w:cs="Times New Roman"/>
          <w:sz w:val="24"/>
          <w:szCs w:val="24"/>
        </w:rPr>
        <w:t>(Sendelj &amp; Ognjanovic, 2022)</w:t>
      </w:r>
      <w:r w:rsidRPr="008B6CA1">
        <w:rPr>
          <w:rFonts w:ascii="Times New Roman" w:hAnsi="Times New Roman" w:cs="Times New Roman"/>
          <w:sz w:val="24"/>
          <w:szCs w:val="24"/>
        </w:rPr>
        <w:t>. Coventry and Branley (2018) emphasize that the heterogeneity of IoT devices, often operating on legacy systems with limited security controls, poses significant challenges. These systems frequently lack encryption, use default passwords, and have constrained update capabilities, making them susceptible to unauthorized access and data breaches. The theoretical framework for securing these ecosystems builds on principles of confidentiality, integrity, and availability (CIA triad), tailored to the unique constraints of healthcare environments (Hathaliya &amp; Tanwar, 2020).</w:t>
      </w:r>
    </w:p>
    <w:p w14:paraId="1199C96A"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t xml:space="preserve">Security models for IoT systems, such as the layered architecture proposed by </w:t>
      </w:r>
      <w:r w:rsidRPr="008B6CA1">
        <w:rPr>
          <w:rFonts w:ascii="Times New Roman" w:eastAsia="Times New Roman" w:hAnsi="Times New Roman" w:cs="Times New Roman"/>
          <w:sz w:val="24"/>
          <w:szCs w:val="24"/>
        </w:rPr>
        <w:t>Sharma &amp; Dhiman (2025)</w:t>
      </w:r>
      <w:r w:rsidRPr="008B6CA1">
        <w:rPr>
          <w:rFonts w:ascii="Times New Roman" w:hAnsi="Times New Roman" w:cs="Times New Roman"/>
          <w:sz w:val="24"/>
          <w:szCs w:val="24"/>
        </w:rPr>
        <w:t>, categorize threats across device, network, and application layers. This model highlights the need for multi-layered defenses to address vulnerabilities at each level. For instance, device-layer threats include physical tampering, while network-layer risks involve eavesdropping or man-in-the-middle attacks (Jalali et al., 2019). At the application layer, data breaches and adversarial manipulations of AI models are prevalent. The integration of AI into healthcare IoT systems introduces additional theoretical complexity, as machine learning models are susceptible to adversarial attacks that exploit their decision-making processes (Finlayson et al., 2019). Theoretical frameworks must therefore incorporate adaptive security measures that account for both traditional and AI-driven threats.</w:t>
      </w:r>
    </w:p>
    <w:p w14:paraId="53D09F7A"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t xml:space="preserve">Regulatory compliance forms a critical component of the theoretical foundation. Standards such as HIPAA and GDPR impose stringent requirements for protecting patient data and ensuring system reliability </w:t>
      </w:r>
      <w:r w:rsidRPr="008B6CA1">
        <w:rPr>
          <w:rFonts w:ascii="Times New Roman" w:eastAsia="Times New Roman" w:hAnsi="Times New Roman" w:cs="Times New Roman"/>
          <w:sz w:val="24"/>
          <w:szCs w:val="24"/>
        </w:rPr>
        <w:t>(Shimabukuro &amp; Sekar, 2025)</w:t>
      </w:r>
      <w:r w:rsidRPr="008B6CA1">
        <w:rPr>
          <w:rFonts w:ascii="Times New Roman" w:hAnsi="Times New Roman" w:cs="Times New Roman"/>
          <w:sz w:val="24"/>
          <w:szCs w:val="24"/>
        </w:rPr>
        <w:t xml:space="preserve">. These regulations necessitate frameworks that balance security with operational efficiency, as healthcare organizations must maintain uninterrupted service delivery. </w:t>
      </w:r>
      <w:r w:rsidRPr="008B6CA1">
        <w:rPr>
          <w:rFonts w:ascii="Times New Roman" w:eastAsia="Times New Roman" w:hAnsi="Times New Roman" w:cs="Times New Roman"/>
          <w:sz w:val="24"/>
          <w:szCs w:val="24"/>
        </w:rPr>
        <w:t>Ruwayd Hussain Charfare et al. (2024)</w:t>
      </w:r>
      <w:r w:rsidRPr="008B6CA1">
        <w:rPr>
          <w:rFonts w:ascii="Times New Roman" w:hAnsi="Times New Roman" w:cs="Times New Roman"/>
          <w:sz w:val="24"/>
          <w:szCs w:val="24"/>
        </w:rPr>
        <w:t xml:space="preserve"> propose a risk-based </w:t>
      </w:r>
      <w:r w:rsidRPr="008B6CA1">
        <w:rPr>
          <w:rFonts w:ascii="Times New Roman" w:hAnsi="Times New Roman" w:cs="Times New Roman"/>
          <w:sz w:val="24"/>
          <w:szCs w:val="24"/>
        </w:rPr>
        <w:lastRenderedPageBreak/>
        <w:t>approach to healthcare IoT security, integrating quantitative risk assessment with regulatory compliance metrics. However, existing theoretical models often focus on static threats, lacking adaptability to the dynamic and evolving nature of adversarial AI attacks, which this research seeks to address.</w:t>
      </w:r>
    </w:p>
    <w:p w14:paraId="0582FF77" w14:textId="77777777" w:rsidR="00B14C7E" w:rsidRPr="008B6CA1" w:rsidRDefault="00B14C7E" w:rsidP="00B14C7E">
      <w:pPr>
        <w:spacing w:after="0" w:line="360" w:lineRule="auto"/>
        <w:jc w:val="both"/>
        <w:rPr>
          <w:rFonts w:ascii="Times New Roman" w:hAnsi="Times New Roman" w:cs="Times New Roman"/>
          <w:b/>
          <w:sz w:val="24"/>
          <w:szCs w:val="24"/>
        </w:rPr>
      </w:pPr>
      <w:r w:rsidRPr="008B6CA1">
        <w:rPr>
          <w:rFonts w:ascii="Times New Roman" w:hAnsi="Times New Roman" w:cs="Times New Roman"/>
          <w:b/>
          <w:sz w:val="24"/>
          <w:szCs w:val="24"/>
        </w:rPr>
        <w:t>Adversarial AI Threats and Defense Mechanisms</w:t>
      </w:r>
    </w:p>
    <w:p w14:paraId="0D8F1A2D"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 xml:space="preserve">The integration of AI into healthcare IoT systems has introduced sophisticated adversarial attack vectors that exploit machine learning vulnerabilities. Adversarial attacks involve crafting inputs with imperceptible perturbations to mislead AI models, resulting in incorrect outputs, such as misdiagnosed medical images or altered patient monitoring data (Ma et al., 2020). Qayyum et al. (2021) report that adversarial attacks can achieve success rates exceeding 95% in manipulating healthcare AI models, posing severe risks to patient safety. For example, adversarial perturbations in medical imaging can cause misclassification of tumors, leading to incorrect treatment decisions (Finlayson et al., 2019). </w:t>
      </w:r>
    </w:p>
    <w:p w14:paraId="45EBEEB0"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t xml:space="preserve">Defense mechanisms against adversarial AI threats include adversarial training, input preprocessing, and model regularization. Adversarial training involves augmenting training datasets with adversarial examples to enhance model robustness (Goodfellow et al., 2014). However, </w:t>
      </w:r>
      <w:r w:rsidRPr="008B6CA1">
        <w:rPr>
          <w:rFonts w:ascii="Times New Roman" w:eastAsia="Times New Roman" w:hAnsi="Times New Roman" w:cs="Times New Roman"/>
          <w:sz w:val="24"/>
          <w:szCs w:val="24"/>
        </w:rPr>
        <w:t>Alexey Kurakin et al. (2016)</w:t>
      </w:r>
      <w:r w:rsidRPr="008B6CA1">
        <w:rPr>
          <w:rFonts w:ascii="Times New Roman" w:hAnsi="Times New Roman" w:cs="Times New Roman"/>
          <w:sz w:val="24"/>
          <w:szCs w:val="24"/>
        </w:rPr>
        <w:t xml:space="preserve"> note that this approach increases computational overhead, which is challenging for resource-constrained IoT devices. Input preprocessing techniques, such as feature squeezing, aim to reduce the impact of perturbations by simplifying input data </w:t>
      </w:r>
      <w:r w:rsidRPr="008B6CA1">
        <w:rPr>
          <w:rFonts w:ascii="Times New Roman" w:eastAsia="Times New Roman" w:hAnsi="Times New Roman" w:cs="Times New Roman"/>
          <w:sz w:val="24"/>
          <w:szCs w:val="24"/>
        </w:rPr>
        <w:t>(Tuncay et al., 2018)</w:t>
      </w:r>
      <w:r w:rsidRPr="008B6CA1">
        <w:rPr>
          <w:rFonts w:ascii="Times New Roman" w:hAnsi="Times New Roman" w:cs="Times New Roman"/>
          <w:sz w:val="24"/>
          <w:szCs w:val="24"/>
        </w:rPr>
        <w:t>. While effective against certain attacks, these methods may degrade model performance in healthcare applications where precision is critical. Model regularization techniques, such as defensive distillation, redistribute model confidence to improve resilience but are less effective against advanced attacks like black-box adversarial examples (Papernot et al., 2017).</w:t>
      </w:r>
    </w:p>
    <w:p w14:paraId="0730B493"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eastAsia="Times New Roman" w:hAnsi="Times New Roman" w:cs="Times New Roman"/>
          <w:sz w:val="24"/>
          <w:szCs w:val="24"/>
        </w:rPr>
        <w:t>Nagarjuna et al. (2025)</w:t>
      </w:r>
      <w:r w:rsidRPr="008B6CA1">
        <w:rPr>
          <w:rFonts w:ascii="Times New Roman" w:hAnsi="Times New Roman" w:cs="Times New Roman"/>
          <w:sz w:val="24"/>
          <w:szCs w:val="24"/>
        </w:rPr>
        <w:t xml:space="preserve"> propose a hybrid defense framework combining adversarial training with anomaly detection to secure healthcare AI systems. Their approach leverages machine learning to identify deviations in data patterns, but its scalability in heterogeneous IoT environments remains limited. The computational complexity of existing defenses often conflicts with the real-time requirements of healthcare IoT systems, highlighting the need for lightweight, adaptive solutions </w:t>
      </w:r>
      <w:r w:rsidRPr="008B6CA1">
        <w:rPr>
          <w:rFonts w:ascii="Times New Roman" w:eastAsia="Times New Roman" w:hAnsi="Times New Roman" w:cs="Times New Roman"/>
          <w:sz w:val="24"/>
          <w:szCs w:val="24"/>
        </w:rPr>
        <w:t>(Ruwayd Hussain Charfare et al., 2024)</w:t>
      </w:r>
      <w:r w:rsidRPr="008B6CA1">
        <w:rPr>
          <w:rFonts w:ascii="Times New Roman" w:hAnsi="Times New Roman" w:cs="Times New Roman"/>
          <w:sz w:val="24"/>
          <w:szCs w:val="24"/>
        </w:rPr>
        <w:t xml:space="preserve">. Furthermore, most defense mechanisms focus on specific </w:t>
      </w:r>
      <w:r w:rsidRPr="008B6CA1">
        <w:rPr>
          <w:rFonts w:ascii="Times New Roman" w:hAnsi="Times New Roman" w:cs="Times New Roman"/>
          <w:sz w:val="24"/>
          <w:szCs w:val="24"/>
        </w:rPr>
        <w:lastRenderedPageBreak/>
        <w:t>attack types, lacking comprehensive coverage of the diverse threat landscape in healthcare IoT ecosystems.</w:t>
      </w:r>
    </w:p>
    <w:p w14:paraId="728C2EAF" w14:textId="77777777" w:rsidR="00B14C7E" w:rsidRPr="008B6CA1" w:rsidRDefault="00B14C7E" w:rsidP="00B14C7E">
      <w:pPr>
        <w:spacing w:after="0" w:line="360" w:lineRule="auto"/>
        <w:jc w:val="both"/>
        <w:rPr>
          <w:rFonts w:ascii="Times New Roman" w:hAnsi="Times New Roman" w:cs="Times New Roman"/>
          <w:b/>
          <w:sz w:val="24"/>
          <w:szCs w:val="24"/>
        </w:rPr>
      </w:pPr>
      <w:r w:rsidRPr="008B6CA1">
        <w:rPr>
          <w:rFonts w:ascii="Times New Roman" w:hAnsi="Times New Roman" w:cs="Times New Roman"/>
          <w:b/>
          <w:sz w:val="24"/>
          <w:szCs w:val="24"/>
        </w:rPr>
        <w:t>Role of Generative Adversarial Networks in Cybersecurity</w:t>
      </w:r>
    </w:p>
    <w:p w14:paraId="06E7F420"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 xml:space="preserve">Generative Adversarial Networks (GANs) have emerged as a transformative technology in healthcare cybersecurity, offering both defensive and offensive capabilities. GANs consist of two neural networks—a generator and a discriminator trained adversarial to produce realistic synthetic data (Goodfellow et al., 2020). In healthcare, GANs are used to generate synthetic patient data, preserving privacy while enabling research and model training (Choi et al., 2017). For instance, synthetic medical images generated by GANs can replace sensitive patient data, reducing the risk of breaches while maintaining data utility (Yi et al., 2019). </w:t>
      </w:r>
      <w:r w:rsidRPr="00A817B7">
        <w:rPr>
          <w:rFonts w:ascii="Times New Roman" w:hAnsi="Times New Roman" w:cs="Times New Roman"/>
          <w:sz w:val="24"/>
          <w:szCs w:val="24"/>
          <w:highlight w:val="yellow"/>
        </w:rPr>
        <w:t>Fig</w:t>
      </w:r>
      <w:r w:rsidRPr="008B6CA1">
        <w:rPr>
          <w:rFonts w:ascii="Times New Roman" w:hAnsi="Times New Roman" w:cs="Times New Roman"/>
          <w:sz w:val="24"/>
          <w:szCs w:val="24"/>
        </w:rPr>
        <w:t>ure 1 illustrates the GAN architecture for synthetic data generation.</w:t>
      </w:r>
    </w:p>
    <w:p w14:paraId="0B8D2F8B" w14:textId="77777777" w:rsidR="00B14C7E" w:rsidRPr="008B6CA1" w:rsidRDefault="00B14C7E" w:rsidP="00B14C7E">
      <w:pPr>
        <w:spacing w:after="0" w:line="360" w:lineRule="auto"/>
        <w:jc w:val="both"/>
        <w:rPr>
          <w:rFonts w:ascii="Times New Roman" w:hAnsi="Times New Roman" w:cs="Times New Roman"/>
          <w:b/>
          <w:sz w:val="24"/>
          <w:szCs w:val="24"/>
        </w:rPr>
      </w:pPr>
      <w:r w:rsidRPr="00A817B7">
        <w:rPr>
          <w:rFonts w:ascii="Times New Roman" w:hAnsi="Times New Roman" w:cs="Times New Roman"/>
          <w:b/>
          <w:sz w:val="24"/>
          <w:szCs w:val="24"/>
          <w:highlight w:val="yellow"/>
        </w:rPr>
        <w:t>Fig</w:t>
      </w:r>
      <w:r w:rsidRPr="008B6CA1">
        <w:rPr>
          <w:rFonts w:ascii="Times New Roman" w:hAnsi="Times New Roman" w:cs="Times New Roman"/>
          <w:b/>
          <w:sz w:val="24"/>
          <w:szCs w:val="24"/>
        </w:rPr>
        <w:t xml:space="preserve">ure 1 </w:t>
      </w:r>
    </w:p>
    <w:p w14:paraId="426598A6" w14:textId="77777777" w:rsidR="00B14C7E" w:rsidRPr="008B6CA1" w:rsidRDefault="00B14C7E" w:rsidP="00B14C7E">
      <w:pPr>
        <w:spacing w:line="360" w:lineRule="auto"/>
        <w:jc w:val="both"/>
        <w:rPr>
          <w:rFonts w:ascii="Times New Roman" w:hAnsi="Times New Roman" w:cs="Times New Roman"/>
          <w:i/>
          <w:sz w:val="24"/>
          <w:szCs w:val="24"/>
        </w:rPr>
      </w:pPr>
      <w:r w:rsidRPr="008B6CA1">
        <w:rPr>
          <w:rFonts w:ascii="Times New Roman" w:hAnsi="Times New Roman" w:cs="Times New Roman"/>
          <w:i/>
          <w:sz w:val="24"/>
          <w:szCs w:val="24"/>
        </w:rPr>
        <w:t>GAN Architecture for Synthetic Data Generation</w:t>
      </w:r>
    </w:p>
    <w:p w14:paraId="4E9DF823"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b/>
          <w:noProof/>
          <w:sz w:val="24"/>
          <w:szCs w:val="24"/>
        </w:rPr>
        <w:drawing>
          <wp:inline distT="0" distB="0" distL="0" distR="0" wp14:anchorId="4C9AF764" wp14:editId="70118C72">
            <wp:extent cx="3798278" cy="25321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 (Chapter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1591" cy="2547727"/>
                    </a:xfrm>
                    <a:prstGeom prst="rect">
                      <a:avLst/>
                    </a:prstGeom>
                  </pic:spPr>
                </pic:pic>
              </a:graphicData>
            </a:graphic>
          </wp:inline>
        </w:drawing>
      </w:r>
    </w:p>
    <w:p w14:paraId="1D453CC5"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t xml:space="preserve">Defensively, GANs enhance model robustness through adversarial training, where the generator produces adversarial examples to train the discriminator against potential attacks </w:t>
      </w:r>
      <w:r w:rsidRPr="008B6CA1">
        <w:rPr>
          <w:rFonts w:ascii="Times New Roman" w:eastAsia="Times New Roman" w:hAnsi="Times New Roman" w:cs="Times New Roman"/>
          <w:sz w:val="24"/>
          <w:szCs w:val="24"/>
        </w:rPr>
        <w:t>(Sumaiya Tasneem et al., 2023)</w:t>
      </w:r>
      <w:r w:rsidRPr="008B6CA1">
        <w:rPr>
          <w:rFonts w:ascii="Times New Roman" w:hAnsi="Times New Roman" w:cs="Times New Roman"/>
          <w:sz w:val="24"/>
          <w:szCs w:val="24"/>
        </w:rPr>
        <w:t xml:space="preserve">. This approach improves resilience against adversarial manipulations, as demonstrated by Wang et al. (2021), who used GANs to strengthen diagnostic models against perturbations. Additionally, GANs enable anomaly detection by modeling normal data distributions and identifying outliers indicative of attacks (Li et al., 2019). However, the offensive potential of GANs poses challenges, as malicious actors can use them to craft sophisticated </w:t>
      </w:r>
      <w:r w:rsidRPr="008B6CA1">
        <w:rPr>
          <w:rFonts w:ascii="Times New Roman" w:hAnsi="Times New Roman" w:cs="Times New Roman"/>
          <w:sz w:val="24"/>
          <w:szCs w:val="24"/>
        </w:rPr>
        <w:lastRenderedPageBreak/>
        <w:t>adversarial examples that evade traditional defenses (Hu &amp; Tan, 2017). This dual nature necessitates frameworks that harness GANs’ defensive capabilities while mitigating their misuse.</w:t>
      </w:r>
    </w:p>
    <w:p w14:paraId="0439142E"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 xml:space="preserve">The application of GANs in healthcare IoT security is constrained by computational complexity and resource limitations. Lightweight GAN architectures, such as those proposed by </w:t>
      </w:r>
      <w:r w:rsidRPr="008B6CA1">
        <w:rPr>
          <w:rFonts w:ascii="Times New Roman" w:eastAsia="Times New Roman" w:hAnsi="Times New Roman" w:cs="Times New Roman"/>
          <w:sz w:val="24"/>
          <w:szCs w:val="24"/>
        </w:rPr>
        <w:t>Rani, (2019)</w:t>
      </w:r>
      <w:r w:rsidRPr="008B6CA1">
        <w:rPr>
          <w:rFonts w:ascii="Times New Roman" w:hAnsi="Times New Roman" w:cs="Times New Roman"/>
          <w:sz w:val="24"/>
          <w:szCs w:val="24"/>
        </w:rPr>
        <w:t>, are designed for edge devices, but their effectiveness in real-time healthcare applications requires further exploration. Moreover, the lack of standardized evaluation metrics for GAN-based defenses hinders their adoption in healthcare settings, where regulatory compliance and performance reliability are paramount (Hathaliya &amp; Tanwar, 2020).</w:t>
      </w:r>
    </w:p>
    <w:p w14:paraId="1CC7EE8C" w14:textId="77777777" w:rsidR="00B14C7E" w:rsidRPr="008B6CA1" w:rsidRDefault="00B14C7E" w:rsidP="00B14C7E">
      <w:pPr>
        <w:spacing w:after="0" w:line="360" w:lineRule="auto"/>
        <w:jc w:val="both"/>
        <w:rPr>
          <w:rFonts w:ascii="Times New Roman" w:hAnsi="Times New Roman" w:cs="Times New Roman"/>
          <w:b/>
          <w:sz w:val="24"/>
          <w:szCs w:val="24"/>
        </w:rPr>
      </w:pPr>
      <w:r w:rsidRPr="008B6CA1">
        <w:rPr>
          <w:rFonts w:ascii="Times New Roman" w:hAnsi="Times New Roman" w:cs="Times New Roman"/>
          <w:b/>
          <w:sz w:val="24"/>
          <w:szCs w:val="24"/>
        </w:rPr>
        <w:t>Gaps in Current Approaches and Research Opportunities</w:t>
      </w:r>
    </w:p>
    <w:p w14:paraId="3D172F6D"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t xml:space="preserve">Despite advancements in healthcare IoT security and adversarial defense mechanisms, significant gaps persist. First, existing frameworks predominantly address traditional cybersecurity threats, such as malware and unauthorized access, but fail to comprehensively tackle adversarial AI attacks </w:t>
      </w:r>
      <w:r w:rsidRPr="008B6CA1">
        <w:rPr>
          <w:rFonts w:ascii="Times New Roman" w:eastAsia="Times New Roman" w:hAnsi="Times New Roman" w:cs="Times New Roman"/>
          <w:sz w:val="24"/>
          <w:szCs w:val="24"/>
        </w:rPr>
        <w:t>(Sharma &amp; Dhiman, 2025)</w:t>
      </w:r>
      <w:r w:rsidRPr="008B6CA1">
        <w:rPr>
          <w:rFonts w:ascii="Times New Roman" w:hAnsi="Times New Roman" w:cs="Times New Roman"/>
          <w:sz w:val="24"/>
          <w:szCs w:val="24"/>
        </w:rPr>
        <w:t xml:space="preserve">. The dynamic nature of adversarial attacks requires adaptive defenses that integrate traditional and AI-driven approaches, yet most studies focus on isolated solutions </w:t>
      </w:r>
      <w:r w:rsidRPr="008B6CA1">
        <w:rPr>
          <w:rFonts w:ascii="Times New Roman" w:eastAsia="Times New Roman" w:hAnsi="Times New Roman" w:cs="Times New Roman"/>
          <w:sz w:val="24"/>
          <w:szCs w:val="24"/>
        </w:rPr>
        <w:t>(Nagarjuna et al., 2025)</w:t>
      </w:r>
      <w:r w:rsidRPr="008B6CA1">
        <w:rPr>
          <w:rFonts w:ascii="Times New Roman" w:hAnsi="Times New Roman" w:cs="Times New Roman"/>
          <w:sz w:val="24"/>
          <w:szCs w:val="24"/>
        </w:rPr>
        <w:t xml:space="preserve">. Second, the computational demands of current defense mechanisms, including GAN-based approaches, are often incompatible with the resource constraints of healthcare IoT devices, limiting their practical implementation </w:t>
      </w:r>
      <w:r w:rsidRPr="008B6CA1">
        <w:rPr>
          <w:rFonts w:ascii="Times New Roman" w:eastAsia="Times New Roman" w:hAnsi="Times New Roman" w:cs="Times New Roman"/>
          <w:sz w:val="24"/>
          <w:szCs w:val="24"/>
        </w:rPr>
        <w:t>(Ruwayd Hussain Charfare et al., 2024)</w:t>
      </w:r>
      <w:r w:rsidRPr="008B6CA1">
        <w:rPr>
          <w:rFonts w:ascii="Times New Roman" w:hAnsi="Times New Roman" w:cs="Times New Roman"/>
          <w:sz w:val="24"/>
          <w:szCs w:val="24"/>
        </w:rPr>
        <w:t>.</w:t>
      </w:r>
    </w:p>
    <w:p w14:paraId="3D8335C6" w14:textId="5B64FFCB" w:rsidR="00B14C7E" w:rsidRPr="009867CB" w:rsidRDefault="00B14C7E" w:rsidP="009867CB">
      <w:pPr>
        <w:pStyle w:val="NoSpacing"/>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 xml:space="preserve">Third, the dual nature of GANs remains underexplored. While their defensive potential is promising, the risk of misuse for generating sophisticated attacks is inadequately addressed </w:t>
      </w:r>
      <w:r w:rsidRPr="008B6CA1">
        <w:rPr>
          <w:rFonts w:ascii="Times New Roman" w:eastAsia="Times New Roman" w:hAnsi="Times New Roman" w:cs="Times New Roman"/>
          <w:sz w:val="24"/>
          <w:szCs w:val="24"/>
        </w:rPr>
        <w:t>(Sumaiya Tasneem et al., 2023)</w:t>
      </w:r>
      <w:r w:rsidRPr="008B6CA1">
        <w:rPr>
          <w:rFonts w:ascii="Times New Roman" w:hAnsi="Times New Roman" w:cs="Times New Roman"/>
          <w:sz w:val="24"/>
          <w:szCs w:val="24"/>
        </w:rPr>
        <w:t>. Fourth, regulatory compliance poses a significant challenge, as frameworks must align</w:t>
      </w:r>
      <w:r w:rsidR="00D269E1">
        <w:rPr>
          <w:rFonts w:ascii="Times New Roman" w:hAnsi="Times New Roman" w:cs="Times New Roman"/>
          <w:sz w:val="24"/>
          <w:szCs w:val="24"/>
        </w:rPr>
        <w:t xml:space="preserve"> </w:t>
      </w:r>
      <w:r w:rsidRPr="008B6CA1">
        <w:rPr>
          <w:rFonts w:ascii="Times New Roman" w:hAnsi="Times New Roman" w:cs="Times New Roman"/>
          <w:sz w:val="24"/>
          <w:szCs w:val="24"/>
        </w:rPr>
        <w:t xml:space="preserve">with HIPAA, GDPR, and emerging AI governance standards without compromising operational efficiency </w:t>
      </w:r>
      <w:r w:rsidRPr="008B6CA1">
        <w:rPr>
          <w:rFonts w:ascii="Times New Roman" w:eastAsia="Times New Roman" w:hAnsi="Times New Roman" w:cs="Times New Roman"/>
          <w:sz w:val="24"/>
          <w:szCs w:val="24"/>
        </w:rPr>
        <w:t>(Shimabukuro &amp; Sekar, 2025)</w:t>
      </w:r>
      <w:r w:rsidRPr="008B6CA1">
        <w:rPr>
          <w:rFonts w:ascii="Times New Roman" w:hAnsi="Times New Roman" w:cs="Times New Roman"/>
          <w:sz w:val="24"/>
          <w:szCs w:val="24"/>
        </w:rPr>
        <w:t xml:space="preserve">. Finally, there is a lack of comprehensive threat models that encompass both traditional and adversarial threats specific to healthcare IoT ecosystems, hindering the development of holistic security solutions </w:t>
      </w:r>
      <w:r w:rsidRPr="008B6CA1">
        <w:rPr>
          <w:rFonts w:ascii="Times New Roman" w:eastAsia="Times New Roman" w:hAnsi="Times New Roman" w:cs="Times New Roman"/>
          <w:sz w:val="24"/>
          <w:szCs w:val="24"/>
        </w:rPr>
        <w:t>(Sendelj &amp; Ognjanovic, 2022</w:t>
      </w:r>
      <w:r w:rsidR="009867CB">
        <w:rPr>
          <w:rFonts w:ascii="Times New Roman" w:eastAsia="Times New Roman" w:hAnsi="Times New Roman" w:cs="Times New Roman"/>
          <w:sz w:val="24"/>
          <w:szCs w:val="24"/>
        </w:rPr>
        <w:t xml:space="preserve">; </w:t>
      </w:r>
      <w:r w:rsidR="009867CB" w:rsidRPr="00600C4C">
        <w:rPr>
          <w:rFonts w:ascii="Times New Roman" w:hAnsi="Times New Roman" w:cs="Times New Roman"/>
          <w:sz w:val="24"/>
          <w:szCs w:val="24"/>
        </w:rPr>
        <w:t>Olutimehin</w:t>
      </w:r>
      <w:r w:rsidR="009867CB">
        <w:rPr>
          <w:rFonts w:ascii="Times New Roman" w:hAnsi="Times New Roman" w:cs="Times New Roman"/>
          <w:sz w:val="24"/>
          <w:szCs w:val="24"/>
        </w:rPr>
        <w:t xml:space="preserve"> et al., 2025</w:t>
      </w:r>
      <w:r w:rsidRPr="008B6CA1">
        <w:rPr>
          <w:rFonts w:ascii="Times New Roman" w:eastAsia="Times New Roman" w:hAnsi="Times New Roman" w:cs="Times New Roman"/>
          <w:sz w:val="24"/>
          <w:szCs w:val="24"/>
        </w:rPr>
        <w:t>)</w:t>
      </w:r>
      <w:r w:rsidRPr="008B6CA1">
        <w:rPr>
          <w:rFonts w:ascii="Times New Roman" w:hAnsi="Times New Roman" w:cs="Times New Roman"/>
          <w:sz w:val="24"/>
          <w:szCs w:val="24"/>
        </w:rPr>
        <w:t>.</w:t>
      </w:r>
    </w:p>
    <w:p w14:paraId="6DB2CA37"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 xml:space="preserve">This research addresses these gaps by developing a comprehensive AI-driven adversarial defense framework utilizing GANs, tailored to the unique requirements of healthcare IoT systems. By integrating lightweight GAN architectures, adaptive threat models, and regulatory-compliant </w:t>
      </w:r>
      <w:r w:rsidRPr="008B6CA1">
        <w:rPr>
          <w:rFonts w:ascii="Times New Roman" w:hAnsi="Times New Roman" w:cs="Times New Roman"/>
          <w:sz w:val="24"/>
          <w:szCs w:val="24"/>
        </w:rPr>
        <w:lastRenderedPageBreak/>
        <w:t>mechanisms, the proposed framework aims to enhance security while maintaining operational feasibility. Table 1 summarizes the gaps and proposed research contributions.</w:t>
      </w:r>
    </w:p>
    <w:p w14:paraId="7F047F49" w14:textId="77777777" w:rsidR="00B14C7E" w:rsidRDefault="00B14C7E" w:rsidP="00B14C7E">
      <w:pPr>
        <w:spacing w:after="0" w:line="360" w:lineRule="auto"/>
        <w:jc w:val="both"/>
        <w:rPr>
          <w:rFonts w:ascii="Times New Roman" w:hAnsi="Times New Roman" w:cs="Times New Roman"/>
          <w:sz w:val="24"/>
          <w:szCs w:val="24"/>
        </w:rPr>
      </w:pPr>
      <w:r w:rsidRPr="00B14C7E">
        <w:rPr>
          <w:rFonts w:ascii="Times New Roman" w:hAnsi="Times New Roman" w:cs="Times New Roman"/>
          <w:b/>
          <w:sz w:val="24"/>
          <w:szCs w:val="24"/>
        </w:rPr>
        <w:t>Table 1</w:t>
      </w:r>
    </w:p>
    <w:p w14:paraId="6A941585" w14:textId="77777777" w:rsidR="00B14C7E" w:rsidRPr="00B14C7E" w:rsidRDefault="00B14C7E" w:rsidP="00B14C7E">
      <w:pPr>
        <w:spacing w:line="360" w:lineRule="auto"/>
        <w:jc w:val="both"/>
        <w:rPr>
          <w:rFonts w:ascii="Times New Roman" w:hAnsi="Times New Roman" w:cs="Times New Roman"/>
          <w:i/>
          <w:sz w:val="24"/>
          <w:szCs w:val="24"/>
        </w:rPr>
      </w:pPr>
      <w:r w:rsidRPr="00B14C7E">
        <w:rPr>
          <w:rFonts w:ascii="Times New Roman" w:hAnsi="Times New Roman" w:cs="Times New Roman"/>
          <w:i/>
          <w:sz w:val="24"/>
          <w:szCs w:val="24"/>
        </w:rPr>
        <w:t>Gaps in Current Approaches and Research Contributions</w:t>
      </w:r>
    </w:p>
    <w:tbl>
      <w:tblPr>
        <w:tblW w:w="0" w:type="auto"/>
        <w:tblCellMar>
          <w:top w:w="15" w:type="dxa"/>
          <w:left w:w="15" w:type="dxa"/>
          <w:bottom w:w="15" w:type="dxa"/>
          <w:right w:w="15" w:type="dxa"/>
        </w:tblCellMar>
        <w:tblLook w:val="04A0" w:firstRow="1" w:lastRow="0" w:firstColumn="1" w:lastColumn="0" w:noHBand="0" w:noVBand="1"/>
      </w:tblPr>
      <w:tblGrid>
        <w:gridCol w:w="3101"/>
        <w:gridCol w:w="6259"/>
      </w:tblGrid>
      <w:tr w:rsidR="00B14C7E" w:rsidRPr="008B6CA1" w14:paraId="456314F8" w14:textId="77777777" w:rsidTr="0083354A">
        <w:tc>
          <w:tcPr>
            <w:tcW w:w="3101" w:type="dxa"/>
            <w:tcBorders>
              <w:top w:val="single" w:sz="4" w:space="0" w:color="auto"/>
              <w:bottom w:val="single" w:sz="4" w:space="0" w:color="auto"/>
            </w:tcBorders>
            <w:vAlign w:val="center"/>
            <w:hideMark/>
          </w:tcPr>
          <w:p w14:paraId="4E0A6ED9" w14:textId="77777777" w:rsidR="00B14C7E" w:rsidRPr="008B6CA1" w:rsidRDefault="00B14C7E" w:rsidP="0083354A">
            <w:pPr>
              <w:spacing w:line="360" w:lineRule="auto"/>
              <w:jc w:val="both"/>
              <w:rPr>
                <w:rFonts w:ascii="Times New Roman" w:hAnsi="Times New Roman" w:cs="Times New Roman"/>
                <w:b/>
                <w:bCs/>
                <w:sz w:val="24"/>
                <w:szCs w:val="24"/>
              </w:rPr>
            </w:pPr>
            <w:r w:rsidRPr="008B6CA1">
              <w:rPr>
                <w:rFonts w:ascii="Times New Roman" w:hAnsi="Times New Roman" w:cs="Times New Roman"/>
                <w:b/>
                <w:bCs/>
                <w:sz w:val="24"/>
                <w:szCs w:val="24"/>
              </w:rPr>
              <w:t>Gap Identified</w:t>
            </w:r>
          </w:p>
        </w:tc>
        <w:tc>
          <w:tcPr>
            <w:tcW w:w="6259" w:type="dxa"/>
            <w:tcBorders>
              <w:top w:val="single" w:sz="4" w:space="0" w:color="auto"/>
              <w:bottom w:val="single" w:sz="4" w:space="0" w:color="auto"/>
            </w:tcBorders>
            <w:vAlign w:val="center"/>
            <w:hideMark/>
          </w:tcPr>
          <w:p w14:paraId="014B6B61" w14:textId="77777777" w:rsidR="00B14C7E" w:rsidRPr="008B6CA1" w:rsidRDefault="00B14C7E" w:rsidP="0083354A">
            <w:pPr>
              <w:spacing w:line="360" w:lineRule="auto"/>
              <w:ind w:left="126"/>
              <w:jc w:val="both"/>
              <w:rPr>
                <w:rFonts w:ascii="Times New Roman" w:hAnsi="Times New Roman" w:cs="Times New Roman"/>
                <w:b/>
                <w:bCs/>
                <w:sz w:val="24"/>
                <w:szCs w:val="24"/>
              </w:rPr>
            </w:pPr>
            <w:r w:rsidRPr="008B6CA1">
              <w:rPr>
                <w:rFonts w:ascii="Times New Roman" w:hAnsi="Times New Roman" w:cs="Times New Roman"/>
                <w:b/>
                <w:bCs/>
                <w:sz w:val="24"/>
                <w:szCs w:val="24"/>
              </w:rPr>
              <w:t>Description</w:t>
            </w:r>
          </w:p>
        </w:tc>
      </w:tr>
      <w:tr w:rsidR="00B14C7E" w:rsidRPr="008B6CA1" w14:paraId="637C5823" w14:textId="77777777" w:rsidTr="0083354A">
        <w:tc>
          <w:tcPr>
            <w:tcW w:w="3101" w:type="dxa"/>
            <w:tcBorders>
              <w:top w:val="single" w:sz="4" w:space="0" w:color="auto"/>
            </w:tcBorders>
            <w:vAlign w:val="center"/>
            <w:hideMark/>
          </w:tcPr>
          <w:p w14:paraId="052858CC" w14:textId="77777777" w:rsidR="00B14C7E" w:rsidRPr="008B6CA1" w:rsidRDefault="00B14C7E" w:rsidP="0083354A">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Limited focus on adversarial AI attacks</w:t>
            </w:r>
          </w:p>
        </w:tc>
        <w:tc>
          <w:tcPr>
            <w:tcW w:w="6259" w:type="dxa"/>
            <w:tcBorders>
              <w:top w:val="single" w:sz="4" w:space="0" w:color="auto"/>
            </w:tcBorders>
            <w:vAlign w:val="center"/>
            <w:hideMark/>
          </w:tcPr>
          <w:p w14:paraId="77E33BDC" w14:textId="77777777" w:rsidR="00B14C7E" w:rsidRPr="008B6CA1" w:rsidRDefault="00B14C7E" w:rsidP="0083354A">
            <w:pPr>
              <w:spacing w:line="360" w:lineRule="auto"/>
              <w:ind w:left="126"/>
              <w:jc w:val="both"/>
              <w:rPr>
                <w:rFonts w:ascii="Times New Roman" w:hAnsi="Times New Roman" w:cs="Times New Roman"/>
                <w:sz w:val="24"/>
                <w:szCs w:val="24"/>
              </w:rPr>
            </w:pPr>
            <w:r w:rsidRPr="008B6CA1">
              <w:rPr>
                <w:rFonts w:ascii="Times New Roman" w:hAnsi="Times New Roman" w:cs="Times New Roman"/>
                <w:sz w:val="24"/>
                <w:szCs w:val="24"/>
              </w:rPr>
              <w:t>Current frameworks prioritize traditional threats, neglecting adversarial manipulations.</w:t>
            </w:r>
          </w:p>
        </w:tc>
      </w:tr>
      <w:tr w:rsidR="00B14C7E" w:rsidRPr="008B6CA1" w14:paraId="52340090" w14:textId="77777777" w:rsidTr="0083354A">
        <w:tc>
          <w:tcPr>
            <w:tcW w:w="3101" w:type="dxa"/>
            <w:vAlign w:val="center"/>
            <w:hideMark/>
          </w:tcPr>
          <w:p w14:paraId="344E223D" w14:textId="77777777" w:rsidR="00B14C7E" w:rsidRPr="008B6CA1" w:rsidRDefault="00B14C7E" w:rsidP="0083354A">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Computational complexity</w:t>
            </w:r>
          </w:p>
        </w:tc>
        <w:tc>
          <w:tcPr>
            <w:tcW w:w="6259" w:type="dxa"/>
            <w:vAlign w:val="center"/>
            <w:hideMark/>
          </w:tcPr>
          <w:p w14:paraId="34844ABD" w14:textId="77777777" w:rsidR="00B14C7E" w:rsidRPr="008B6CA1" w:rsidRDefault="00B14C7E" w:rsidP="0083354A">
            <w:pPr>
              <w:spacing w:line="360" w:lineRule="auto"/>
              <w:ind w:left="126"/>
              <w:jc w:val="both"/>
              <w:rPr>
                <w:rFonts w:ascii="Times New Roman" w:hAnsi="Times New Roman" w:cs="Times New Roman"/>
                <w:sz w:val="24"/>
                <w:szCs w:val="24"/>
              </w:rPr>
            </w:pPr>
            <w:r w:rsidRPr="008B6CA1">
              <w:rPr>
                <w:rFonts w:ascii="Times New Roman" w:hAnsi="Times New Roman" w:cs="Times New Roman"/>
                <w:sz w:val="24"/>
                <w:szCs w:val="24"/>
              </w:rPr>
              <w:t>Existing defenses are resource-intensive, unsuitable for IoT devices.</w:t>
            </w:r>
          </w:p>
        </w:tc>
      </w:tr>
      <w:tr w:rsidR="00B14C7E" w:rsidRPr="008B6CA1" w14:paraId="2A933E63" w14:textId="77777777" w:rsidTr="0083354A">
        <w:tc>
          <w:tcPr>
            <w:tcW w:w="3101" w:type="dxa"/>
            <w:vAlign w:val="center"/>
            <w:hideMark/>
          </w:tcPr>
          <w:p w14:paraId="30066E3A" w14:textId="77777777" w:rsidR="00B14C7E" w:rsidRPr="008B6CA1" w:rsidRDefault="00B14C7E" w:rsidP="0083354A">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Dual nature of GANs</w:t>
            </w:r>
          </w:p>
        </w:tc>
        <w:tc>
          <w:tcPr>
            <w:tcW w:w="6259" w:type="dxa"/>
            <w:vAlign w:val="center"/>
            <w:hideMark/>
          </w:tcPr>
          <w:p w14:paraId="01BF7FB7" w14:textId="77777777" w:rsidR="00B14C7E" w:rsidRPr="008B6CA1" w:rsidRDefault="00B14C7E" w:rsidP="0083354A">
            <w:pPr>
              <w:spacing w:line="360" w:lineRule="auto"/>
              <w:ind w:left="126"/>
              <w:jc w:val="both"/>
              <w:rPr>
                <w:rFonts w:ascii="Times New Roman" w:hAnsi="Times New Roman" w:cs="Times New Roman"/>
                <w:sz w:val="24"/>
                <w:szCs w:val="24"/>
              </w:rPr>
            </w:pPr>
            <w:r w:rsidRPr="008B6CA1">
              <w:rPr>
                <w:rFonts w:ascii="Times New Roman" w:hAnsi="Times New Roman" w:cs="Times New Roman"/>
                <w:sz w:val="24"/>
                <w:szCs w:val="24"/>
              </w:rPr>
              <w:t>Lack of frameworks addressing GANs’ offensive potential.</w:t>
            </w:r>
          </w:p>
        </w:tc>
      </w:tr>
      <w:tr w:rsidR="00B14C7E" w:rsidRPr="008B6CA1" w14:paraId="1D8F4E64" w14:textId="77777777" w:rsidTr="0083354A">
        <w:tc>
          <w:tcPr>
            <w:tcW w:w="3101" w:type="dxa"/>
            <w:vAlign w:val="center"/>
            <w:hideMark/>
          </w:tcPr>
          <w:p w14:paraId="6DCD2A91" w14:textId="77777777" w:rsidR="00B14C7E" w:rsidRPr="008B6CA1" w:rsidRDefault="00B14C7E" w:rsidP="0083354A">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Regulatory compliance</w:t>
            </w:r>
          </w:p>
        </w:tc>
        <w:tc>
          <w:tcPr>
            <w:tcW w:w="6259" w:type="dxa"/>
            <w:vAlign w:val="center"/>
            <w:hideMark/>
          </w:tcPr>
          <w:p w14:paraId="72E6DBE8" w14:textId="77777777" w:rsidR="00B14C7E" w:rsidRPr="008B6CA1" w:rsidRDefault="00B14C7E" w:rsidP="0083354A">
            <w:pPr>
              <w:spacing w:line="360" w:lineRule="auto"/>
              <w:ind w:left="126"/>
              <w:jc w:val="both"/>
              <w:rPr>
                <w:rFonts w:ascii="Times New Roman" w:hAnsi="Times New Roman" w:cs="Times New Roman"/>
                <w:sz w:val="24"/>
                <w:szCs w:val="24"/>
              </w:rPr>
            </w:pPr>
            <w:r w:rsidRPr="008B6CA1">
              <w:rPr>
                <w:rFonts w:ascii="Times New Roman" w:hAnsi="Times New Roman" w:cs="Times New Roman"/>
                <w:sz w:val="24"/>
                <w:szCs w:val="24"/>
              </w:rPr>
              <w:t>Insufficient alignment with healthcare regulations.</w:t>
            </w:r>
          </w:p>
        </w:tc>
      </w:tr>
      <w:tr w:rsidR="00B14C7E" w:rsidRPr="008B6CA1" w14:paraId="1067D921" w14:textId="77777777" w:rsidTr="0083354A">
        <w:tc>
          <w:tcPr>
            <w:tcW w:w="3101" w:type="dxa"/>
            <w:tcBorders>
              <w:bottom w:val="single" w:sz="4" w:space="0" w:color="auto"/>
            </w:tcBorders>
            <w:vAlign w:val="center"/>
            <w:hideMark/>
          </w:tcPr>
          <w:p w14:paraId="1DBF1697" w14:textId="77777777" w:rsidR="00B14C7E" w:rsidRPr="008B6CA1" w:rsidRDefault="00B14C7E" w:rsidP="0083354A">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Lack of holistic threat models</w:t>
            </w:r>
          </w:p>
        </w:tc>
        <w:tc>
          <w:tcPr>
            <w:tcW w:w="6259" w:type="dxa"/>
            <w:tcBorders>
              <w:bottom w:val="single" w:sz="4" w:space="0" w:color="auto"/>
            </w:tcBorders>
            <w:vAlign w:val="center"/>
            <w:hideMark/>
          </w:tcPr>
          <w:p w14:paraId="46D2648A" w14:textId="77777777" w:rsidR="00B14C7E" w:rsidRPr="008B6CA1" w:rsidRDefault="00B14C7E" w:rsidP="0083354A">
            <w:pPr>
              <w:spacing w:line="360" w:lineRule="auto"/>
              <w:ind w:left="126"/>
              <w:jc w:val="both"/>
              <w:rPr>
                <w:rFonts w:ascii="Times New Roman" w:hAnsi="Times New Roman" w:cs="Times New Roman"/>
                <w:sz w:val="24"/>
                <w:szCs w:val="24"/>
              </w:rPr>
            </w:pPr>
            <w:r w:rsidRPr="008B6CA1">
              <w:rPr>
                <w:rFonts w:ascii="Times New Roman" w:hAnsi="Times New Roman" w:cs="Times New Roman"/>
                <w:sz w:val="24"/>
                <w:szCs w:val="24"/>
              </w:rPr>
              <w:t>Absence of unified models covering diverse threats.</w:t>
            </w:r>
          </w:p>
        </w:tc>
      </w:tr>
    </w:tbl>
    <w:p w14:paraId="7B01760A" w14:textId="77777777" w:rsidR="00B14C7E" w:rsidRDefault="00B14C7E" w:rsidP="0089399F">
      <w:pPr>
        <w:spacing w:line="360" w:lineRule="auto"/>
        <w:jc w:val="both"/>
        <w:rPr>
          <w:rFonts w:ascii="Times New Roman" w:hAnsi="Times New Roman" w:cs="Times New Roman"/>
          <w:sz w:val="24"/>
          <w:szCs w:val="24"/>
        </w:rPr>
      </w:pPr>
    </w:p>
    <w:p w14:paraId="021A6089" w14:textId="77777777" w:rsidR="006E2466" w:rsidRPr="00DC56F6" w:rsidRDefault="006E2466" w:rsidP="006E2466">
      <w:pPr>
        <w:spacing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3.</w:t>
      </w:r>
      <w:r w:rsidRPr="00DC56F6">
        <w:rPr>
          <w:rFonts w:ascii="Times New Roman" w:hAnsi="Times New Roman" w:cs="Times New Roman"/>
          <w:b/>
          <w:sz w:val="24"/>
          <w:szCs w:val="24"/>
        </w:rPr>
        <w:tab/>
        <w:t>Research Methodology</w:t>
      </w:r>
    </w:p>
    <w:p w14:paraId="48F627D5"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This research methodology outlines the approach for developing and evaluating an AI-driven adversarial defense framework utilizing Generative Adversarial Networks (GANs) to secure healthcare IoT ecosystems. The methodology is structured to address the research objectives of developing a comprehensive threat model, designing and implementing GAN-based defense mechanisms optimized for healthcare IoT, and evaluating the framework’s effectiveness through rigorous testing.</w:t>
      </w:r>
    </w:p>
    <w:p w14:paraId="2662FBD6" w14:textId="77777777" w:rsidR="006E2466" w:rsidRPr="00DC56F6" w:rsidRDefault="006E2466" w:rsidP="006E2466">
      <w:pPr>
        <w:spacing w:after="0"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Research Design</w:t>
      </w:r>
    </w:p>
    <w:p w14:paraId="3E6408F9" w14:textId="77777777" w:rsidR="006E2466" w:rsidRPr="00DC56F6" w:rsidRDefault="006E2466" w:rsidP="006E2466">
      <w:pPr>
        <w:spacing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The study adopts a quantitative research design to develop and assess an AI-driven adversarial defense framework using GANs for securing healthcare IoT ecosystems. This design is grounded in a pragmatic research philosophy, which prioritizes practical solutions to real-world cybersecurity challenges, as emphasized by </w:t>
      </w:r>
      <w:r w:rsidRPr="00DC56F6">
        <w:rPr>
          <w:rFonts w:ascii="Times New Roman" w:eastAsia="Times New Roman" w:hAnsi="Times New Roman" w:cs="Times New Roman"/>
          <w:sz w:val="24"/>
          <w:szCs w:val="24"/>
        </w:rPr>
        <w:t>Sendelj &amp; Ognjanovic (2022)</w:t>
      </w:r>
      <w:r w:rsidRPr="00DC56F6">
        <w:rPr>
          <w:rFonts w:ascii="Times New Roman" w:hAnsi="Times New Roman" w:cs="Times New Roman"/>
          <w:sz w:val="24"/>
          <w:szCs w:val="24"/>
        </w:rPr>
        <w:t xml:space="preserve">. The approach follows the design science research methodology outlined by Hevner et al. (2004), focusing on the creation </w:t>
      </w:r>
      <w:r w:rsidRPr="00DC56F6">
        <w:rPr>
          <w:rFonts w:ascii="Times New Roman" w:hAnsi="Times New Roman" w:cs="Times New Roman"/>
          <w:sz w:val="24"/>
          <w:szCs w:val="24"/>
        </w:rPr>
        <w:lastRenderedPageBreak/>
        <w:t xml:space="preserve">and evaluation of an innovative artifact, the GAN-based defense framework—ensuring both practical applicability and scientific rigor. The design process integrates theoretical frameworks from adversarial machine learning and IoT security to formulate hypotheses, which are tested through computational simulations and comparative analyses against existing cybersecurity solutions </w:t>
      </w:r>
      <w:r w:rsidRPr="00DC56F6">
        <w:rPr>
          <w:rFonts w:ascii="Times New Roman" w:eastAsia="Times New Roman" w:hAnsi="Times New Roman" w:cs="Times New Roman"/>
          <w:sz w:val="24"/>
          <w:szCs w:val="24"/>
        </w:rPr>
        <w:t>(Sharma &amp; Dhiman, 2025)</w:t>
      </w:r>
      <w:r w:rsidRPr="00DC56F6">
        <w:rPr>
          <w:rFonts w:ascii="Times New Roman" w:hAnsi="Times New Roman" w:cs="Times New Roman"/>
          <w:sz w:val="24"/>
          <w:szCs w:val="24"/>
        </w:rPr>
        <w:t>.</w:t>
      </w:r>
    </w:p>
    <w:p w14:paraId="1EB91632"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The research strategy employs a technology-oriented experimental design, leveraging controlled simulations to evaluate the framework’s performance under diverse adversarial attack scenarios. This is complemented by a comparative analysis framework that benchmarks the proposed GAN-based system against traditional defenses, such as intrusion detection systems and adversarial training methods, to demonstrate superior performance (Qayyum et al., 2021). A deductive approach drives the study, starting with established theories of GAN-based defenses, while inductive elements emerge from empirical findings during testing, allowing for iterative refinement of the framework </w:t>
      </w:r>
      <w:r w:rsidRPr="00DC56F6">
        <w:rPr>
          <w:rFonts w:ascii="Times New Roman" w:eastAsia="Times New Roman" w:hAnsi="Times New Roman" w:cs="Times New Roman"/>
          <w:sz w:val="24"/>
          <w:szCs w:val="24"/>
        </w:rPr>
        <w:t>(Ruwayd Hussain Charfare et al., 2024)</w:t>
      </w:r>
      <w:r w:rsidRPr="00DC56F6">
        <w:rPr>
          <w:rFonts w:ascii="Times New Roman" w:hAnsi="Times New Roman" w:cs="Times New Roman"/>
          <w:sz w:val="24"/>
          <w:szCs w:val="24"/>
        </w:rPr>
        <w:t xml:space="preserve">. The implementation is executed using Python with TensorFlow and PyTorch libraries, utilizing GPU-accelerated computing to support the computational demands of GAN training and evaluation </w:t>
      </w:r>
      <w:r w:rsidRPr="00DC56F6">
        <w:rPr>
          <w:rFonts w:ascii="Times New Roman" w:eastAsia="Times New Roman" w:hAnsi="Times New Roman" w:cs="Times New Roman"/>
          <w:sz w:val="24"/>
          <w:szCs w:val="24"/>
        </w:rPr>
        <w:t>(Rani, 2019)</w:t>
      </w:r>
      <w:r w:rsidRPr="00DC56F6">
        <w:rPr>
          <w:rFonts w:ascii="Times New Roman" w:hAnsi="Times New Roman" w:cs="Times New Roman"/>
          <w:sz w:val="24"/>
          <w:szCs w:val="24"/>
        </w:rPr>
        <w:t>. The design ensures alignment with healthcare IoT constraints, such as limited computational resources and stringent regulatory requirements.</w:t>
      </w:r>
    </w:p>
    <w:p w14:paraId="3D95388F" w14:textId="77777777" w:rsidR="006E2466" w:rsidRPr="00DC56F6" w:rsidRDefault="006E2466" w:rsidP="006E2466">
      <w:pPr>
        <w:spacing w:before="240" w:after="0"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Data Collection</w:t>
      </w:r>
    </w:p>
    <w:p w14:paraId="20A788DD"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Data collection relies solely on sources, including publicly available datasets and peer-reviewed research, to construct a robust foundation for threat modeling and defense evaluation. Key datasets include the CICIoMT2024 dataset, which provides comprehensive attack patterns targeting healthcare IoT devices, the WUSTL-EHMS-2020 dataset for healthcare-specific intrusion detection, and the BoT-IoT dataset for botnet traffic analysis </w:t>
      </w:r>
      <w:r w:rsidRPr="00DC56F6">
        <w:rPr>
          <w:rFonts w:ascii="Times New Roman" w:eastAsia="Times New Roman" w:hAnsi="Times New Roman" w:cs="Times New Roman"/>
          <w:sz w:val="24"/>
          <w:szCs w:val="24"/>
        </w:rPr>
        <w:t>(Nagarjuna et al., 2025</w:t>
      </w:r>
      <w:r w:rsidRPr="00DC56F6">
        <w:rPr>
          <w:rFonts w:ascii="Times New Roman" w:hAnsi="Times New Roman" w:cs="Times New Roman"/>
          <w:sz w:val="24"/>
          <w:szCs w:val="24"/>
        </w:rPr>
        <w:t xml:space="preserve">; </w:t>
      </w:r>
      <w:r w:rsidRPr="00DC56F6">
        <w:rPr>
          <w:rFonts w:ascii="Times New Roman" w:eastAsia="Times New Roman" w:hAnsi="Times New Roman" w:cs="Times New Roman"/>
          <w:sz w:val="24"/>
          <w:szCs w:val="24"/>
        </w:rPr>
        <w:t>Ruwayd Hussain Charfare et al., 2024)</w:t>
      </w:r>
      <w:r w:rsidRPr="00DC56F6">
        <w:rPr>
          <w:rFonts w:ascii="Times New Roman" w:hAnsi="Times New Roman" w:cs="Times New Roman"/>
          <w:sz w:val="24"/>
          <w:szCs w:val="24"/>
        </w:rPr>
        <w:t>. Additionally, Kaggle datasets such as the “Medical IoT Security Dataset” and “Healthcare Device Attack Vectors” were utilized to simulate diverse healthcare scenarios, encompassing cardiac monitoring systems, insulin pumps, and medical imaging devices (Ma et al., 2020). These datasets capture a wide range of attack vectors, categorized as adversarial machine learning attacks (32%), network intrusions (28%), device-specific exploits (23%), data poisoning (12%), and supply chain compromises (5%), as synthesized from prior studies.</w:t>
      </w:r>
    </w:p>
    <w:p w14:paraId="563A41A1"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lastRenderedPageBreak/>
        <w:t xml:space="preserve">Peer-reviewed literature provided critical insights into adversarial attack methodologies and defense strategies. Studies by Finlayson et al. (2019) and Qayyum et al. (2021) detailed adversarial attack patterns, including Fast Gradient Sign Method (FGSM), Projected Gradient Descent (PGD), Carlini &amp; Wagner (C&amp;W), and Universal Adversarial Perturbations (UAP). Research by Yi et al. (2019) and </w:t>
      </w:r>
      <w:r w:rsidRPr="00DC56F6">
        <w:rPr>
          <w:rFonts w:ascii="Times New Roman" w:eastAsia="Times New Roman" w:hAnsi="Times New Roman" w:cs="Times New Roman"/>
          <w:sz w:val="24"/>
          <w:szCs w:val="24"/>
        </w:rPr>
        <w:t>Sumaiya Tasneem et al. (2023)</w:t>
      </w:r>
      <w:r w:rsidRPr="00DC56F6">
        <w:rPr>
          <w:rFonts w:ascii="Times New Roman" w:hAnsi="Times New Roman" w:cs="Times New Roman"/>
          <w:sz w:val="24"/>
          <w:szCs w:val="24"/>
        </w:rPr>
        <w:t xml:space="preserve"> informed the design of GAN-based defenses tailored for cybersecurity applications. A total of 127 vulnerability vectors were identified from these sources, ensuring comprehensive coverage of the healthcare IoT threat landscape. This data collection strategy supports the development of a detailed threat model, aligning with the research objective of addressing healthcare IoT security challenges.</w:t>
      </w:r>
    </w:p>
    <w:p w14:paraId="13F491EF" w14:textId="77777777" w:rsidR="006E2466" w:rsidRPr="00DC56F6" w:rsidRDefault="006E2466" w:rsidP="006E2466">
      <w:pPr>
        <w:spacing w:before="240" w:after="0"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Statistical Analysis and Modeling</w:t>
      </w:r>
    </w:p>
    <w:p w14:paraId="288F4C80"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The statistical analysis and modeling framework evaluates the GAN-based defense system’s performance and quantifies risks within healthcare IoT ecosystems. A comprehensive threat model was developed using a risk quantification formula adapted from </w:t>
      </w:r>
      <w:r w:rsidRPr="00DC56F6">
        <w:rPr>
          <w:rFonts w:ascii="Times New Roman" w:eastAsia="Times New Roman" w:hAnsi="Times New Roman" w:cs="Times New Roman"/>
          <w:sz w:val="24"/>
          <w:szCs w:val="24"/>
        </w:rPr>
        <w:t>Ruwayd Hussain Charfare et al. (2024)</w:t>
      </w:r>
      <w:r w:rsidRPr="00DC56F6">
        <w:rPr>
          <w:rFonts w:ascii="Times New Roman" w:hAnsi="Times New Roman" w:cs="Times New Roman"/>
          <w:sz w:val="24"/>
          <w:szCs w:val="24"/>
        </w:rPr>
        <w:t>:</w:t>
      </w:r>
    </w:p>
    <w:p w14:paraId="1C7699B4" w14:textId="77777777" w:rsidR="006E2466" w:rsidRPr="00DC56F6" w:rsidRDefault="00B23472"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Risk</m:t>
              </m:r>
            </m:e>
            <m:sub>
              <m:r>
                <w:rPr>
                  <w:rFonts w:ascii="Cambria Math" w:hAnsi="Cambria Math" w:cs="Times New Roman"/>
                  <w:sz w:val="24"/>
                  <w:szCs w:val="24"/>
                </w:rPr>
                <m:t>total</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e>
          </m:nary>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rPr>
            <m:t>)</m:t>
          </m:r>
        </m:oMath>
      </m:oMathPara>
    </w:p>
    <w:p w14:paraId="0CF341A5"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Pr="00DC56F6">
        <w:rPr>
          <w:rFonts w:ascii="Times New Roman" w:hAnsi="Times New Roman" w:cs="Times New Roman"/>
          <w:sz w:val="24"/>
          <w:szCs w:val="24"/>
        </w:rPr>
        <w:t xml:space="preserve"> represents the probability of threat (</w:t>
      </w:r>
      <w:r w:rsidRPr="00DC56F6">
        <w:rPr>
          <w:rFonts w:ascii="Times New Roman" w:hAnsi="Times New Roman" w:cs="Times New Roman"/>
          <w:i/>
          <w:sz w:val="24"/>
          <w:szCs w:val="24"/>
        </w:rPr>
        <w:t>i</w:t>
      </w:r>
      <w:r w:rsidRPr="00DC56F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oMath>
      <w:r w:rsidRPr="00DC56F6">
        <w:rPr>
          <w:rFonts w:ascii="Times New Roman" w:hAnsi="Times New Roman" w:cs="Times New Roman"/>
          <w:sz w:val="24"/>
          <w:szCs w:val="24"/>
        </w:rPr>
        <w:t xml:space="preserve"> is the impact severity,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DC56F6">
        <w:rPr>
          <w:rFonts w:ascii="Times New Roman" w:hAnsi="Times New Roman" w:cs="Times New Roman"/>
          <w:sz w:val="24"/>
          <w:szCs w:val="24"/>
        </w:rPr>
        <w:t xml:space="preserve"> is the vulnerability exploitability, and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DC56F6">
        <w:rPr>
          <w:rFonts w:ascii="Times New Roman" w:hAnsi="Times New Roman" w:cs="Times New Roman"/>
          <w:sz w:val="24"/>
          <w:szCs w:val="24"/>
        </w:rPr>
        <w:t xml:space="preserve"> is the effectiveness of existing controls. Analysis of 847 virtualized IoT devices from the CICIoMT2024 dataset yielded a mean risk score of 7.82 on a 10-point scale, with critical care devices scoring 9.34, highlighting their heightened vulnerability </w:t>
      </w:r>
      <w:r w:rsidRPr="00DC56F6">
        <w:rPr>
          <w:rFonts w:ascii="Times New Roman" w:eastAsia="Times New Roman" w:hAnsi="Times New Roman" w:cs="Times New Roman"/>
          <w:sz w:val="24"/>
          <w:szCs w:val="24"/>
        </w:rPr>
        <w:t>(Sendelj &amp; Ognjanovic, 2022)</w:t>
      </w:r>
      <w:r w:rsidRPr="00DC56F6">
        <w:rPr>
          <w:rFonts w:ascii="Times New Roman" w:hAnsi="Times New Roman" w:cs="Times New Roman"/>
          <w:sz w:val="24"/>
          <w:szCs w:val="24"/>
        </w:rPr>
        <w:t>.</w:t>
      </w:r>
    </w:p>
    <w:p w14:paraId="6B2A13B5"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The GAN-based defense framework’s performance was assessed using a suite of metrics, including accuracy, precision, recall, and F1-score, defined as:</w:t>
      </w:r>
    </w:p>
    <w:p w14:paraId="4842EC82" w14:textId="77777777" w:rsidR="006E2466" w:rsidRPr="00DC56F6" w:rsidRDefault="006E2466" w:rsidP="006E246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Accuracy=</m:t>
          </m:r>
          <m:f>
            <m:fPr>
              <m:ctrlPr>
                <w:rPr>
                  <w:rFonts w:ascii="Cambria Math" w:hAnsi="Cambria Math" w:cs="Times New Roman"/>
                  <w:i/>
                  <w:sz w:val="24"/>
                  <w:szCs w:val="24"/>
                </w:rPr>
              </m:ctrlPr>
            </m:fPr>
            <m:num>
              <m:r>
                <w:rPr>
                  <w:rFonts w:ascii="Cambria Math" w:hAnsi="Cambria Math" w:cs="Times New Roman"/>
                  <w:sz w:val="24"/>
                  <w:szCs w:val="24"/>
                </w:rPr>
                <m:t>TP+TN</m:t>
              </m:r>
            </m:num>
            <m:den>
              <m:r>
                <w:rPr>
                  <w:rFonts w:ascii="Cambria Math" w:hAnsi="Cambria Math" w:cs="Times New Roman"/>
                  <w:sz w:val="24"/>
                  <w:szCs w:val="24"/>
                </w:rPr>
                <m:t>TP+TN+FP+FN</m:t>
              </m:r>
            </m:den>
          </m:f>
        </m:oMath>
      </m:oMathPara>
    </w:p>
    <w:p w14:paraId="4A78047A"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Precision=</m:t>
          </m:r>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TP+FP</m:t>
              </m:r>
            </m:den>
          </m:f>
        </m:oMath>
      </m:oMathPara>
    </w:p>
    <w:p w14:paraId="7950A092" w14:textId="77777777" w:rsidR="006E2466" w:rsidRPr="00DC56F6" w:rsidRDefault="006E2466" w:rsidP="006E246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Recall=</m:t>
          </m:r>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TP+FN</m:t>
              </m:r>
            </m:den>
          </m:f>
        </m:oMath>
      </m:oMathPara>
    </w:p>
    <w:p w14:paraId="252D0298"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F1=2×</m:t>
          </m:r>
          <m:f>
            <m:fPr>
              <m:ctrlPr>
                <w:rPr>
                  <w:rFonts w:ascii="Cambria Math" w:hAnsi="Cambria Math" w:cs="Times New Roman"/>
                  <w:i/>
                  <w:sz w:val="24"/>
                  <w:szCs w:val="24"/>
                </w:rPr>
              </m:ctrlPr>
            </m:fPr>
            <m:num>
              <m:r>
                <w:rPr>
                  <w:rFonts w:ascii="Cambria Math" w:hAnsi="Cambria Math" w:cs="Times New Roman"/>
                  <w:sz w:val="24"/>
                  <w:szCs w:val="24"/>
                </w:rPr>
                <m:t>Precision×Recall</m:t>
              </m:r>
            </m:num>
            <m:den>
              <m:r>
                <w:rPr>
                  <w:rFonts w:ascii="Cambria Math" w:hAnsi="Cambria Math" w:cs="Times New Roman"/>
                  <w:sz w:val="24"/>
                  <w:szCs w:val="24"/>
                </w:rPr>
                <m:t>Precision+Recall</m:t>
              </m:r>
            </m:den>
          </m:f>
        </m:oMath>
      </m:oMathPara>
    </w:p>
    <w:p w14:paraId="4AC936F1"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where TP, TN, FP, and FN denote true positives, true negatives, false positives, and false negatives, respectively. Advanced metrics included the Area Under the ROC Curve (AUC-ROC) and Matthews Correlation Coefficient (MCC):</w:t>
      </w:r>
    </w:p>
    <w:p w14:paraId="244D9E75" w14:textId="77777777" w:rsidR="006E2466" w:rsidRPr="00DC56F6" w:rsidRDefault="006E2466" w:rsidP="006E246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AUC=</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1</m:t>
              </m:r>
            </m:sup>
            <m:e>
              <m:r>
                <w:rPr>
                  <w:rFonts w:ascii="Cambria Math" w:hAnsi="Cambria Math" w:cs="Times New Roman"/>
                  <w:sz w:val="24"/>
                  <w:szCs w:val="24"/>
                </w:rPr>
                <m:t>TPR(</m:t>
              </m:r>
              <m:sSup>
                <m:sSupPr>
                  <m:ctrlPr>
                    <w:rPr>
                      <w:rFonts w:ascii="Cambria Math" w:hAnsi="Cambria Math" w:cs="Times New Roman"/>
                      <w:i/>
                      <w:sz w:val="24"/>
                      <w:szCs w:val="24"/>
                    </w:rPr>
                  </m:ctrlPr>
                </m:sSupPr>
                <m:e>
                  <m:r>
                    <w:rPr>
                      <w:rFonts w:ascii="Cambria Math" w:hAnsi="Cambria Math" w:cs="Times New Roman"/>
                      <w:sz w:val="24"/>
                      <w:szCs w:val="24"/>
                    </w:rPr>
                    <m:t>FPR</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t</m:t>
                  </m:r>
                </m:e>
              </m:d>
              <m:r>
                <m:rPr>
                  <m:scr m:val="script"/>
                </m:rPr>
                <w:rPr>
                  <w:rFonts w:ascii="Cambria Math" w:hAnsi="Cambria Math" w:cs="Times New Roman"/>
                  <w:sz w:val="24"/>
                  <w:szCs w:val="24"/>
                </w:rPr>
                <m:t>)d</m:t>
              </m:r>
              <m:r>
                <w:rPr>
                  <w:rFonts w:ascii="Cambria Math" w:hAnsi="Cambria Math" w:cs="Times New Roman"/>
                  <w:sz w:val="24"/>
                  <w:szCs w:val="24"/>
                </w:rPr>
                <m:t>t</m:t>
              </m:r>
            </m:e>
          </m:nary>
        </m:oMath>
      </m:oMathPara>
    </w:p>
    <w:p w14:paraId="50C4BF5A"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MCC=</m:t>
          </m:r>
          <m:f>
            <m:fPr>
              <m:ctrlPr>
                <w:rPr>
                  <w:rFonts w:ascii="Cambria Math" w:hAnsi="Cambria Math" w:cs="Times New Roman"/>
                  <w:i/>
                  <w:sz w:val="24"/>
                  <w:szCs w:val="24"/>
                </w:rPr>
              </m:ctrlPr>
            </m:fPr>
            <m:num>
              <m:r>
                <w:rPr>
                  <w:rFonts w:ascii="Cambria Math" w:hAnsi="Cambria Math" w:cs="Times New Roman"/>
                  <w:sz w:val="24"/>
                  <w:szCs w:val="24"/>
                </w:rPr>
                <m:t>TP×TN-FP×FN</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TP+FP</m:t>
                      </m:r>
                    </m:e>
                  </m:d>
                  <m:r>
                    <w:rPr>
                      <w:rFonts w:ascii="Cambria Math" w:hAnsi="Cambria Math" w:cs="Times New Roman"/>
                      <w:sz w:val="24"/>
                      <w:szCs w:val="24"/>
                    </w:rPr>
                    <m:t>(TP+FN)(TN+FP)(TN+FN)</m:t>
                  </m:r>
                </m:e>
              </m:rad>
            </m:den>
          </m:f>
        </m:oMath>
      </m:oMathPara>
    </w:p>
    <w:p w14:paraId="26EDB929"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These metrics ensured a balanced evaluation of the framework’s ability to detect adversarial attacks while minimizing disruptions in healthcare settings (Goodfellow et al., 2014). The GAN architecture was based on the minimax game theory formulation:</w:t>
      </w:r>
    </w:p>
    <w:p w14:paraId="08E52F17"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minimaxV(D,G)=</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data</m:t>
                  </m:r>
                </m:sub>
              </m:sSub>
              <m:d>
                <m:dPr>
                  <m:ctrlPr>
                    <w:rPr>
                      <w:rFonts w:ascii="Cambria Math" w:hAnsi="Cambria Math" w:cs="Times New Roman"/>
                      <w:i/>
                      <w:sz w:val="24"/>
                      <w:szCs w:val="24"/>
                    </w:rPr>
                  </m:ctrlPr>
                </m:dPr>
                <m:e>
                  <m:r>
                    <w:rPr>
                      <w:rFonts w:ascii="Cambria Math" w:hAnsi="Cambria Math" w:cs="Times New Roman"/>
                      <w:sz w:val="24"/>
                      <w:szCs w:val="24"/>
                    </w:rPr>
                    <m:t>x</m:t>
                  </m:r>
                </m:e>
              </m:d>
            </m:sub>
          </m:sSub>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D(x)]+</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z</m:t>
                      </m:r>
                    </m:e>
                  </m:d>
                </m:sub>
              </m:sSub>
            </m:e>
          </m:func>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(1-D</m:t>
              </m:r>
              <m:d>
                <m:dPr>
                  <m:ctrlPr>
                    <w:rPr>
                      <w:rFonts w:ascii="Cambria Math" w:hAnsi="Cambria Math" w:cs="Times New Roman"/>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z</m:t>
                      </m:r>
                    </m:e>
                  </m:d>
                </m:e>
              </m:d>
              <m:r>
                <w:rPr>
                  <w:rFonts w:ascii="Cambria Math" w:hAnsi="Cambria Math" w:cs="Times New Roman"/>
                  <w:sz w:val="24"/>
                  <w:szCs w:val="24"/>
                </w:rPr>
                <m:t>)]</m:t>
              </m:r>
            </m:e>
          </m:func>
        </m:oMath>
      </m:oMathPara>
    </w:p>
    <w:p w14:paraId="5B4C4CFC"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where (</w:t>
      </w:r>
      <w:r w:rsidRPr="00DC56F6">
        <w:rPr>
          <w:rFonts w:ascii="Times New Roman" w:hAnsi="Times New Roman" w:cs="Times New Roman"/>
          <w:i/>
          <w:sz w:val="24"/>
          <w:szCs w:val="24"/>
        </w:rPr>
        <w:t>G</w:t>
      </w:r>
      <w:r w:rsidRPr="00DC56F6">
        <w:rPr>
          <w:rFonts w:ascii="Times New Roman" w:hAnsi="Times New Roman" w:cs="Times New Roman"/>
          <w:sz w:val="24"/>
          <w:szCs w:val="24"/>
        </w:rPr>
        <w:t>) is the generator, (</w:t>
      </w:r>
      <w:r w:rsidRPr="00DC56F6">
        <w:rPr>
          <w:rFonts w:ascii="Times New Roman" w:hAnsi="Times New Roman" w:cs="Times New Roman"/>
          <w:i/>
          <w:sz w:val="24"/>
          <w:szCs w:val="24"/>
        </w:rPr>
        <w:t>D</w:t>
      </w:r>
      <w:r w:rsidRPr="00DC56F6">
        <w:rPr>
          <w:rFonts w:ascii="Times New Roman" w:hAnsi="Times New Roman" w:cs="Times New Roman"/>
          <w:sz w:val="24"/>
          <w:szCs w:val="24"/>
        </w:rPr>
        <w:t xml:space="preserve">) is the discriminator,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data</m:t>
            </m:r>
          </m:sub>
        </m:sSub>
        <m:d>
          <m:dPr>
            <m:ctrlPr>
              <w:rPr>
                <w:rFonts w:ascii="Cambria Math" w:hAnsi="Cambria Math" w:cs="Times New Roman"/>
                <w:i/>
                <w:sz w:val="24"/>
                <w:szCs w:val="24"/>
              </w:rPr>
            </m:ctrlPr>
          </m:dPr>
          <m:e>
            <m:r>
              <w:rPr>
                <w:rFonts w:ascii="Cambria Math" w:hAnsi="Cambria Math" w:cs="Times New Roman"/>
                <w:sz w:val="24"/>
                <w:szCs w:val="24"/>
              </w:rPr>
              <m:t>x</m:t>
            </m:r>
          </m:e>
        </m:d>
      </m:oMath>
      <w:r w:rsidRPr="00DC56F6">
        <w:rPr>
          <w:rFonts w:ascii="Times New Roman" w:hAnsi="Times New Roman" w:cs="Times New Roman"/>
          <w:sz w:val="24"/>
          <w:szCs w:val="24"/>
        </w:rPr>
        <w:t xml:space="preserve"> is the real data distribution,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z</m:t>
            </m:r>
          </m:e>
        </m:d>
      </m:oMath>
      <w:r w:rsidRPr="00DC56F6">
        <w:rPr>
          <w:rFonts w:ascii="Times New Roman" w:eastAsiaTheme="minorEastAsia" w:hAnsi="Times New Roman" w:cs="Times New Roman"/>
          <w:sz w:val="24"/>
          <w:szCs w:val="24"/>
        </w:rPr>
        <w:t xml:space="preserve"> </w:t>
      </w:r>
      <w:r w:rsidRPr="00DC56F6">
        <w:rPr>
          <w:rFonts w:ascii="Times New Roman" w:hAnsi="Times New Roman" w:cs="Times New Roman"/>
          <w:sz w:val="24"/>
          <w:szCs w:val="24"/>
        </w:rPr>
        <w:t>is the noise distribution. The defense mechanism reconstructed adversarial inputs using:</w:t>
      </w:r>
    </w:p>
    <w:p w14:paraId="19325244" w14:textId="77777777" w:rsidR="006E2466" w:rsidRPr="00DC56F6" w:rsidRDefault="00B23472"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reconstructed</m:t>
              </m:r>
            </m:sub>
          </m:sSub>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w:rPr>
                      <w:rFonts w:ascii="Cambria Math" w:hAnsi="Cambria Math" w:cs="Times New Roman"/>
                      <w:sz w:val="24"/>
                      <w:szCs w:val="24"/>
                    </w:rPr>
                    <m:t>argmin</m:t>
                  </m:r>
                </m:e>
                <m:lim>
                  <m:r>
                    <w:rPr>
                      <w:rFonts w:ascii="Cambria Math" w:hAnsi="Cambria Math" w:cs="Times New Roman"/>
                      <w:sz w:val="24"/>
                      <w:szCs w:val="24"/>
                    </w:rPr>
                    <m:t>Z</m:t>
                  </m:r>
                </m:lim>
              </m:limLow>
            </m:fName>
            <m:e>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rPr>
                        <m:t>-</m:t>
                      </m:r>
                      <m:r>
                        <w:rPr>
                          <w:rFonts w:ascii="Cambria Math" w:hAnsi="Cambria Math" w:cs="Times New Roman"/>
                          <w:sz w:val="24"/>
                          <w:szCs w:val="24"/>
                        </w:rPr>
                        <m:t>G</m:t>
                      </m:r>
                      <m:r>
                        <w:rPr>
                          <w:rFonts w:ascii="Cambria Math" w:hAnsi="Cambria Math" w:cs="Times New Roman"/>
                          <w:sz w:val="24"/>
                          <w:szCs w:val="24"/>
                        </w:rPr>
                        <m:t>(</m:t>
                      </m:r>
                      <m:r>
                        <w:rPr>
                          <w:rFonts w:ascii="Cambria Math" w:hAnsi="Cambria Math" w:cs="Times New Roman"/>
                          <w:sz w:val="24"/>
                          <w:szCs w:val="24"/>
                        </w:rPr>
                        <m:t>z</m:t>
                      </m:r>
                      <m:r>
                        <w:rPr>
                          <w:rFonts w:ascii="Cambria Math" w:hAnsi="Cambria Math" w:cs="Times New Roman"/>
                          <w:sz w:val="24"/>
                          <w:szCs w:val="24"/>
                        </w:rPr>
                        <m:t>)</m:t>
                      </m:r>
                    </m:e>
                  </m:d>
                </m:e>
                <m:sub>
                  <m:r>
                    <w:rPr>
                      <w:rFonts w:ascii="Cambria Math" w:hAnsi="Cambria Math" w:cs="Times New Roman"/>
                      <w:sz w:val="24"/>
                      <w:szCs w:val="24"/>
                    </w:rPr>
                    <m:t>2</m:t>
                  </m:r>
                </m:sub>
              </m:sSub>
            </m:e>
          </m:func>
          <m:r>
            <w:rPr>
              <w:rFonts w:ascii="Cambria Math" w:hAnsi="Cambria Math" w:cs="Times New Roman"/>
              <w:sz w:val="24"/>
              <w:szCs w:val="24"/>
            </w:rPr>
            <m:t>+</m:t>
          </m:r>
          <m:r>
            <w:rPr>
              <w:rFonts w:ascii="Cambria Math" w:hAnsi="Cambria Math" w:cs="Times New Roman"/>
              <w:sz w:val="24"/>
              <w:szCs w:val="24"/>
            </w:rPr>
            <m:t>λR</m:t>
          </m:r>
          <m:r>
            <w:rPr>
              <w:rFonts w:ascii="Cambria Math" w:hAnsi="Cambria Math" w:cs="Times New Roman"/>
              <w:sz w:val="24"/>
              <w:szCs w:val="24"/>
            </w:rPr>
            <m:t>(</m:t>
          </m:r>
          <m:r>
            <w:rPr>
              <w:rFonts w:ascii="Cambria Math" w:hAnsi="Cambria Math" w:cs="Times New Roman"/>
              <w:sz w:val="24"/>
              <w:szCs w:val="24"/>
            </w:rPr>
            <m:t>z</m:t>
          </m:r>
          <m:r>
            <w:rPr>
              <w:rFonts w:ascii="Cambria Math" w:hAnsi="Cambria Math" w:cs="Times New Roman"/>
              <w:sz w:val="24"/>
              <w:szCs w:val="24"/>
            </w:rPr>
            <m:t>)</m:t>
          </m:r>
        </m:oMath>
      </m:oMathPara>
    </w:p>
    <w:p w14:paraId="3A8AB1B3"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where </w:t>
      </w:r>
      <m:oMath>
        <m:r>
          <w:rPr>
            <w:rFonts w:ascii="Cambria Math" w:hAnsi="Cambria Math" w:cs="Times New Roman"/>
            <w:sz w:val="24"/>
            <w:szCs w:val="24"/>
          </w:rPr>
          <m:t>R(z)</m:t>
        </m:r>
      </m:oMath>
      <w:r w:rsidRPr="00DC56F6">
        <w:rPr>
          <w:rFonts w:ascii="Times New Roman" w:hAnsi="Times New Roman" w:cs="Times New Roman"/>
          <w:sz w:val="24"/>
          <w:szCs w:val="24"/>
        </w:rPr>
        <w:t xml:space="preserve"> is a regularization term, and</w:t>
      </w:r>
      <m:oMath>
        <m:r>
          <w:rPr>
            <w:rFonts w:ascii="Cambria Math" w:hAnsi="Cambria Math" w:cs="Times New Roman"/>
            <w:sz w:val="24"/>
            <w:szCs w:val="24"/>
          </w:rPr>
          <m:t xml:space="preserve"> λ</m:t>
        </m:r>
      </m:oMath>
      <w:r w:rsidRPr="00DC56F6">
        <w:rPr>
          <w:rFonts w:ascii="Times New Roman" w:hAnsi="Times New Roman" w:cs="Times New Roman"/>
          <w:sz w:val="24"/>
          <w:szCs w:val="24"/>
        </w:rPr>
        <w:t xml:space="preserve"> balances reconstruction fidelity and regularization (Choi et al., 2017). Statistical significance was evaluated using hypothesis testing:</w:t>
      </w:r>
    </w:p>
    <w:p w14:paraId="75D0064D" w14:textId="77777777" w:rsidR="006E2466" w:rsidRPr="00DC56F6" w:rsidRDefault="00B23472" w:rsidP="006E2466">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m:t>
              </m:r>
              <m:r>
                <w:rPr>
                  <w:rFonts w:ascii="Cambria Math" w:hAnsi="Cambria Math" w:cs="Times New Roman"/>
                  <w:sz w:val="24"/>
                  <w:szCs w:val="24"/>
                </w:rPr>
                <m:t>μ</m:t>
              </m:r>
            </m:e>
            <m:sub>
              <m:r>
                <w:rPr>
                  <w:rFonts w:ascii="Cambria Math" w:hAnsi="Cambria Math" w:cs="Times New Roman"/>
                  <w:sz w:val="24"/>
                  <w:szCs w:val="24"/>
                </w:rPr>
                <m:t>defense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baseline</m:t>
              </m:r>
            </m:sub>
          </m:sSub>
        </m:oMath>
      </m:oMathPara>
    </w:p>
    <w:p w14:paraId="488EB5DA" w14:textId="77777777" w:rsidR="006E2466" w:rsidRPr="00DC56F6" w:rsidRDefault="00B23472"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defense</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baseline</m:t>
              </m:r>
            </m:sub>
          </m:sSub>
        </m:oMath>
      </m:oMathPara>
    </w:p>
    <w:p w14:paraId="25E34C08"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Paired t-tests and Mann-Whitney U tests were applied, with the latter used for non-normal data:</w:t>
      </w:r>
    </w:p>
    <w:p w14:paraId="1BE88E99"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oMath>
      </m:oMathPara>
    </w:p>
    <w:p w14:paraId="43B34632"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oMath>
      <w:r w:rsidRPr="00DC56F6">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sidRPr="00DC56F6">
        <w:rPr>
          <w:rFonts w:ascii="Times New Roman" w:hAnsi="Times New Roman" w:cs="Times New Roman"/>
          <w:sz w:val="24"/>
          <w:szCs w:val="24"/>
        </w:rPr>
        <w:t xml:space="preserve"> are sample sizes,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oMath>
      <w:r w:rsidRPr="00DC56F6">
        <w:rPr>
          <w:rFonts w:ascii="Times New Roman" w:hAnsi="Times New Roman" w:cs="Times New Roman"/>
          <w:sz w:val="24"/>
          <w:szCs w:val="24"/>
        </w:rPr>
        <w:t xml:space="preserve"> is the sum of ranks for the first group (Jalali et al., 2019). Principal Component Analysis (PCA) was employed to reduce dimensionality in complex attack datasets, enhancing model efficiency </w:t>
      </w:r>
      <w:r w:rsidRPr="00DC56F6">
        <w:rPr>
          <w:rFonts w:ascii="Times New Roman" w:eastAsia="Times New Roman" w:hAnsi="Times New Roman" w:cs="Times New Roman"/>
          <w:sz w:val="24"/>
          <w:szCs w:val="24"/>
        </w:rPr>
        <w:t>(Nagarjuna et al., 2025)</w:t>
      </w:r>
      <w:r w:rsidRPr="00DC56F6">
        <w:rPr>
          <w:rFonts w:ascii="Times New Roman" w:hAnsi="Times New Roman" w:cs="Times New Roman"/>
          <w:sz w:val="24"/>
          <w:szCs w:val="24"/>
        </w:rPr>
        <w:t>.</w:t>
      </w:r>
    </w:p>
    <w:p w14:paraId="4F98B1FF"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lastRenderedPageBreak/>
        <w:t>Operational performance was assessed using Mean Time to Detection (MTTD) and Mean Time to Response (MTTR):</w:t>
      </w:r>
    </w:p>
    <w:p w14:paraId="2FF16891"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MTTD=</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detected,  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incident, i</m:t>
                      </m:r>
                    </m:sub>
                  </m:sSub>
                  <m:r>
                    <w:rPr>
                      <w:rFonts w:ascii="Cambria Math" w:hAnsi="Cambria Math" w:cs="Times New Roman"/>
                      <w:sz w:val="24"/>
                      <w:szCs w:val="24"/>
                    </w:rPr>
                    <m:t>)</m:t>
                  </m:r>
                </m:e>
              </m:nary>
            </m:num>
            <m:den>
              <m:r>
                <w:rPr>
                  <w:rFonts w:ascii="Cambria Math" w:hAnsi="Cambria Math" w:cs="Times New Roman"/>
                  <w:sz w:val="24"/>
                  <w:szCs w:val="24"/>
                </w:rPr>
                <m:t>n</m:t>
              </m:r>
            </m:den>
          </m:f>
        </m:oMath>
      </m:oMathPara>
    </w:p>
    <w:p w14:paraId="5B454FDA"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MTTR=</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response,  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detected, i</m:t>
                      </m:r>
                    </m:sub>
                  </m:sSub>
                  <m:r>
                    <w:rPr>
                      <w:rFonts w:ascii="Cambria Math" w:hAnsi="Cambria Math" w:cs="Times New Roman"/>
                      <w:sz w:val="24"/>
                      <w:szCs w:val="24"/>
                    </w:rPr>
                    <m:t>)</m:t>
                  </m:r>
                </m:e>
              </m:nary>
            </m:num>
            <m:den>
              <m:r>
                <w:rPr>
                  <w:rFonts w:ascii="Cambria Math" w:hAnsi="Cambria Math" w:cs="Times New Roman"/>
                  <w:sz w:val="24"/>
                  <w:szCs w:val="24"/>
                </w:rPr>
                <m:t>n</m:t>
              </m:r>
            </m:den>
          </m:f>
        </m:oMath>
      </m:oMathPara>
    </w:p>
    <w:p w14:paraId="0D153B7C"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Computational efficiency metrics included throughput and resource utilization:</w:t>
      </w:r>
    </w:p>
    <w:p w14:paraId="0297BCFF" w14:textId="77777777" w:rsidR="006E2466" w:rsidRPr="00DC56F6" w:rsidRDefault="006E2466" w:rsidP="006E246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Throughout=</m:t>
          </m:r>
          <m:f>
            <m:fPr>
              <m:ctrlPr>
                <w:rPr>
                  <w:rFonts w:ascii="Cambria Math" w:hAnsi="Cambria Math" w:cs="Times New Roman"/>
                  <w:i/>
                  <w:sz w:val="24"/>
                  <w:szCs w:val="24"/>
                </w:rPr>
              </m:ctrlPr>
            </m:fPr>
            <m:num>
              <m:r>
                <w:rPr>
                  <w:rFonts w:ascii="Cambria Math" w:hAnsi="Cambria Math" w:cs="Times New Roman"/>
                  <w:sz w:val="24"/>
                  <w:szCs w:val="24"/>
                </w:rPr>
                <m:t>Number of processed samples</m:t>
              </m:r>
            </m:num>
            <m:den>
              <m:r>
                <w:rPr>
                  <w:rFonts w:ascii="Cambria Math" w:hAnsi="Cambria Math" w:cs="Times New Roman"/>
                  <w:sz w:val="24"/>
                  <w:szCs w:val="24"/>
                </w:rPr>
                <m:t>Time Interval</m:t>
              </m:r>
            </m:den>
          </m:f>
        </m:oMath>
      </m:oMathPara>
    </w:p>
    <w:p w14:paraId="123A37EA" w14:textId="77777777" w:rsidR="006E2466" w:rsidRPr="00DC56F6" w:rsidRDefault="00B23472"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CPU</m:t>
              </m:r>
            </m:e>
            <m:sub>
              <m:r>
                <w:rPr>
                  <w:rFonts w:ascii="Cambria Math" w:hAnsi="Cambria Math" w:cs="Times New Roman"/>
                  <w:sz w:val="24"/>
                  <w:szCs w:val="24"/>
                </w:rPr>
                <m:t>utilization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CPU</m:t>
              </m:r>
              <m:r>
                <w:rPr>
                  <w:rFonts w:ascii="Cambria Math" w:hAnsi="Cambria Math" w:cs="Times New Roman"/>
                  <w:sz w:val="24"/>
                  <w:szCs w:val="24"/>
                </w:rPr>
                <m:t xml:space="preserve"> </m:t>
              </m:r>
              <m:r>
                <w:rPr>
                  <w:rFonts w:ascii="Cambria Math" w:hAnsi="Cambria Math" w:cs="Times New Roman"/>
                  <w:sz w:val="24"/>
                  <w:szCs w:val="24"/>
                </w:rPr>
                <m:t>time</m:t>
              </m:r>
              <m:r>
                <w:rPr>
                  <w:rFonts w:ascii="Cambria Math" w:hAnsi="Cambria Math" w:cs="Times New Roman"/>
                  <w:sz w:val="24"/>
                  <w:szCs w:val="24"/>
                </w:rPr>
                <m:t xml:space="preserve"> </m:t>
              </m:r>
              <m:r>
                <w:rPr>
                  <w:rFonts w:ascii="Cambria Math" w:hAnsi="Cambria Math" w:cs="Times New Roman"/>
                  <w:sz w:val="24"/>
                  <w:szCs w:val="24"/>
                </w:rPr>
                <m:t>used</m:t>
              </m:r>
            </m:num>
            <m:den>
              <m:r>
                <w:rPr>
                  <w:rFonts w:ascii="Cambria Math" w:hAnsi="Cambria Math" w:cs="Times New Roman"/>
                  <w:sz w:val="24"/>
                  <w:szCs w:val="24"/>
                </w:rPr>
                <m:t>Total</m:t>
              </m:r>
              <m:r>
                <w:rPr>
                  <w:rFonts w:ascii="Cambria Math" w:hAnsi="Cambria Math" w:cs="Times New Roman"/>
                  <w:sz w:val="24"/>
                  <w:szCs w:val="24"/>
                </w:rPr>
                <m:t xml:space="preserve"> </m:t>
              </m:r>
              <m:r>
                <w:rPr>
                  <w:rFonts w:ascii="Cambria Math" w:hAnsi="Cambria Math" w:cs="Times New Roman"/>
                  <w:sz w:val="24"/>
                  <w:szCs w:val="24"/>
                </w:rPr>
                <m:t>CPU</m:t>
              </m:r>
              <m:r>
                <w:rPr>
                  <w:rFonts w:ascii="Cambria Math" w:hAnsi="Cambria Math" w:cs="Times New Roman"/>
                  <w:sz w:val="24"/>
                  <w:szCs w:val="24"/>
                </w:rPr>
                <m:t xml:space="preserve"> </m:t>
              </m:r>
              <m:r>
                <w:rPr>
                  <w:rFonts w:ascii="Cambria Math" w:hAnsi="Cambria Math" w:cs="Times New Roman"/>
                  <w:sz w:val="24"/>
                  <w:szCs w:val="24"/>
                </w:rPr>
                <m:t>time</m:t>
              </m:r>
              <m:r>
                <w:rPr>
                  <w:rFonts w:ascii="Cambria Math" w:hAnsi="Cambria Math" w:cs="Times New Roman"/>
                  <w:sz w:val="24"/>
                  <w:szCs w:val="24"/>
                </w:rPr>
                <m:t xml:space="preserve"> </m:t>
              </m:r>
              <m:r>
                <w:rPr>
                  <w:rFonts w:ascii="Cambria Math" w:hAnsi="Cambria Math" w:cs="Times New Roman"/>
                  <w:sz w:val="24"/>
                  <w:szCs w:val="24"/>
                </w:rPr>
                <m:t>available</m:t>
              </m:r>
            </m:den>
          </m:f>
          <m:r>
            <w:rPr>
              <w:rFonts w:ascii="Cambria Math" w:hAnsi="Cambria Math" w:cs="Times New Roman"/>
              <w:sz w:val="24"/>
              <w:szCs w:val="24"/>
            </w:rPr>
            <m:t>×100%</m:t>
          </m:r>
        </m:oMath>
      </m:oMathPara>
    </w:p>
    <w:p w14:paraId="5E7FC51B" w14:textId="0370552F"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These metrics ensured the framework’s suitability for resource-constrained healthcare IoT environments (Li et al., 2019). </w:t>
      </w:r>
      <w:r w:rsidRPr="00A817B7">
        <w:rPr>
          <w:rFonts w:ascii="Times New Roman" w:hAnsi="Times New Roman" w:cs="Times New Roman"/>
          <w:sz w:val="24"/>
          <w:szCs w:val="24"/>
          <w:highlight w:val="yellow"/>
        </w:rPr>
        <w:t>Fig</w:t>
      </w:r>
      <w:r w:rsidRPr="00DC56F6">
        <w:rPr>
          <w:rFonts w:ascii="Times New Roman" w:hAnsi="Times New Roman" w:cs="Times New Roman"/>
          <w:sz w:val="24"/>
          <w:szCs w:val="24"/>
        </w:rPr>
        <w:t xml:space="preserve">ure </w:t>
      </w:r>
      <w:r w:rsidR="00A817B7">
        <w:rPr>
          <w:rFonts w:ascii="Times New Roman" w:hAnsi="Times New Roman" w:cs="Times New Roman"/>
          <w:sz w:val="24"/>
          <w:szCs w:val="24"/>
        </w:rPr>
        <w:t>2</w:t>
      </w:r>
      <w:r w:rsidRPr="00DC56F6">
        <w:rPr>
          <w:rFonts w:ascii="Times New Roman" w:hAnsi="Times New Roman" w:cs="Times New Roman"/>
          <w:sz w:val="24"/>
          <w:szCs w:val="24"/>
        </w:rPr>
        <w:t xml:space="preserve"> illustrates the GAN architecture.</w:t>
      </w:r>
    </w:p>
    <w:p w14:paraId="66B97705" w14:textId="6B4DA336" w:rsidR="006E2466" w:rsidRDefault="006E2466" w:rsidP="006E2466">
      <w:pPr>
        <w:spacing w:after="0" w:line="360" w:lineRule="auto"/>
        <w:jc w:val="both"/>
        <w:rPr>
          <w:rFonts w:ascii="Times New Roman" w:hAnsi="Times New Roman" w:cs="Times New Roman"/>
          <w:b/>
          <w:sz w:val="24"/>
          <w:szCs w:val="24"/>
        </w:rPr>
      </w:pPr>
      <w:r w:rsidRPr="00A817B7">
        <w:rPr>
          <w:rFonts w:ascii="Times New Roman" w:hAnsi="Times New Roman" w:cs="Times New Roman"/>
          <w:b/>
          <w:sz w:val="24"/>
          <w:szCs w:val="24"/>
          <w:highlight w:val="yellow"/>
        </w:rPr>
        <w:t>Fig</w:t>
      </w:r>
      <w:r w:rsidRPr="00DC56F6">
        <w:rPr>
          <w:rFonts w:ascii="Times New Roman" w:hAnsi="Times New Roman" w:cs="Times New Roman"/>
          <w:b/>
          <w:sz w:val="24"/>
          <w:szCs w:val="24"/>
        </w:rPr>
        <w:t xml:space="preserve">ure </w:t>
      </w:r>
      <w:r w:rsidR="00A817B7">
        <w:rPr>
          <w:rFonts w:ascii="Times New Roman" w:hAnsi="Times New Roman" w:cs="Times New Roman"/>
          <w:b/>
          <w:sz w:val="24"/>
          <w:szCs w:val="24"/>
        </w:rPr>
        <w:t>2</w:t>
      </w:r>
      <w:r w:rsidRPr="00DC56F6">
        <w:rPr>
          <w:rFonts w:ascii="Times New Roman" w:hAnsi="Times New Roman" w:cs="Times New Roman"/>
          <w:b/>
          <w:sz w:val="24"/>
          <w:szCs w:val="24"/>
        </w:rPr>
        <w:t xml:space="preserve"> </w:t>
      </w:r>
    </w:p>
    <w:p w14:paraId="7417EF54" w14:textId="77777777" w:rsidR="006E2466" w:rsidRPr="00DC56F6" w:rsidRDefault="006E2466" w:rsidP="006E2466">
      <w:pPr>
        <w:spacing w:line="360" w:lineRule="auto"/>
        <w:jc w:val="both"/>
        <w:rPr>
          <w:rFonts w:ascii="Times New Roman" w:hAnsi="Times New Roman" w:cs="Times New Roman"/>
          <w:i/>
          <w:sz w:val="24"/>
          <w:szCs w:val="24"/>
        </w:rPr>
      </w:pPr>
      <w:r w:rsidRPr="00DC56F6">
        <w:rPr>
          <w:rFonts w:ascii="Times New Roman" w:hAnsi="Times New Roman" w:cs="Times New Roman"/>
          <w:i/>
          <w:sz w:val="24"/>
          <w:szCs w:val="24"/>
        </w:rPr>
        <w:t>GAN-based Defense Framework Architecture</w:t>
      </w:r>
    </w:p>
    <w:p w14:paraId="554554AA" w14:textId="77777777" w:rsidR="006E2466" w:rsidRPr="00DC56F6" w:rsidRDefault="006E2466" w:rsidP="006E246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C45D870" wp14:editId="4037CD42">
            <wp:extent cx="4109150" cy="2450318"/>
            <wp:effectExtent l="19050" t="19050" r="2476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Chapter 3).png"/>
                    <pic:cNvPicPr/>
                  </pic:nvPicPr>
                  <pic:blipFill rotWithShape="1">
                    <a:blip r:embed="rId8" cstate="print">
                      <a:extLst>
                        <a:ext uri="{28A0092B-C50C-407E-A947-70E740481C1C}">
                          <a14:useLocalDpi xmlns:a14="http://schemas.microsoft.com/office/drawing/2010/main" val="0"/>
                        </a:ext>
                      </a:extLst>
                    </a:blip>
                    <a:srcRect t="10553"/>
                    <a:stretch/>
                  </pic:blipFill>
                  <pic:spPr bwMode="auto">
                    <a:xfrm>
                      <a:off x="0" y="0"/>
                      <a:ext cx="4127437" cy="2461223"/>
                    </a:xfrm>
                    <a:prstGeom prst="rect">
                      <a:avLst/>
                    </a:prstGeom>
                    <a:ln>
                      <a:solidFill>
                        <a:schemeClr val="bg1">
                          <a:lumMod val="50000"/>
                        </a:schemeClr>
                      </a:solidFill>
                      <a:prstDash val="sysDash"/>
                    </a:ln>
                    <a:extLst>
                      <a:ext uri="{53640926-AAD7-44D8-BBD7-CCE9431645EC}">
                        <a14:shadowObscured xmlns:a14="http://schemas.microsoft.com/office/drawing/2010/main"/>
                      </a:ext>
                    </a:extLst>
                  </pic:spPr>
                </pic:pic>
              </a:graphicData>
            </a:graphic>
          </wp:inline>
        </w:drawing>
      </w:r>
    </w:p>
    <w:p w14:paraId="5FCDCE01" w14:textId="77777777" w:rsidR="006E2466" w:rsidRPr="00DC56F6" w:rsidRDefault="006E2466" w:rsidP="006E2466">
      <w:pPr>
        <w:spacing w:after="0"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Testing and Validation</w:t>
      </w:r>
    </w:p>
    <w:p w14:paraId="7564EACE" w14:textId="77777777" w:rsidR="006E2466" w:rsidRPr="00DC56F6" w:rsidRDefault="006E2466" w:rsidP="006E2466">
      <w:pPr>
        <w:spacing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The testing and validation phase rigorously evaluates the effectiveness of the AI-driven adversarial defense framework utilizing Generative Adversarial Networks (GANs) to secure healthcare IoT ecosystems, aligning with the objectives of designing and implementing optimized defenses and </w:t>
      </w:r>
      <w:r w:rsidRPr="00DC56F6">
        <w:rPr>
          <w:rFonts w:ascii="Times New Roman" w:hAnsi="Times New Roman" w:cs="Times New Roman"/>
          <w:sz w:val="24"/>
          <w:szCs w:val="24"/>
        </w:rPr>
        <w:lastRenderedPageBreak/>
        <w:t xml:space="preserve">assessing their performance. The framework was implemented with a generator network consisting of six layers, a discriminator network with four layers, and an encoder with a 128-dimensional latent space, optimized for resource-constrained healthcare IoT devices </w:t>
      </w:r>
      <w:r w:rsidRPr="00DC56F6">
        <w:rPr>
          <w:rFonts w:ascii="Times New Roman" w:eastAsia="Times New Roman" w:hAnsi="Times New Roman" w:cs="Times New Roman"/>
          <w:sz w:val="24"/>
          <w:szCs w:val="24"/>
        </w:rPr>
        <w:t>(Rani, 2019)</w:t>
      </w:r>
      <w:r w:rsidRPr="00DC56F6">
        <w:rPr>
          <w:rFonts w:ascii="Times New Roman" w:hAnsi="Times New Roman" w:cs="Times New Roman"/>
          <w:sz w:val="24"/>
          <w:szCs w:val="24"/>
        </w:rPr>
        <w:t>. Testing involved simulating four primary adversarial attack types—Fast Gradient Sign Method (FGSM), Projected Gradient Descent (PGD), Carlini &amp; Wagner (C&amp;W), and Universal Adversarial Perturbations (UAP)—using the CICIoMT2024 and WUSTL-EHMS-2020 datasets. Attack scenarios were generated according to the following formulations:</w:t>
      </w:r>
    </w:p>
    <w:p w14:paraId="3B90D700" w14:textId="77777777" w:rsidR="006E2466" w:rsidRPr="006E2466" w:rsidRDefault="006E2466" w:rsidP="006E2466">
      <w:pPr>
        <w:pStyle w:val="ListParagraph"/>
        <w:numPr>
          <w:ilvl w:val="0"/>
          <w:numId w:val="2"/>
        </w:numPr>
        <w:spacing w:line="360" w:lineRule="auto"/>
        <w:jc w:val="both"/>
        <w:rPr>
          <w:rFonts w:ascii="Times New Roman" w:hAnsi="Times New Roman" w:cs="Times New Roman"/>
          <w:sz w:val="24"/>
          <w:szCs w:val="24"/>
        </w:rPr>
      </w:pPr>
      <w:r w:rsidRPr="006E2466">
        <w:rPr>
          <w:rFonts w:ascii="Times New Roman" w:hAnsi="Times New Roman" w:cs="Times New Roman"/>
          <w:sz w:val="24"/>
          <w:szCs w:val="24"/>
        </w:rPr>
        <w:t>For</w:t>
      </w:r>
      <w:r>
        <w:rPr>
          <w:rFonts w:ascii="Times New Roman" w:hAnsi="Times New Roman" w:cs="Times New Roman"/>
          <w:sz w:val="24"/>
          <w:szCs w:val="24"/>
        </w:rPr>
        <w:t xml:space="preserve"> </w:t>
      </w:r>
      <w:r w:rsidRPr="00DC56F6">
        <w:rPr>
          <w:rFonts w:ascii="Times New Roman" w:hAnsi="Times New Roman" w:cs="Times New Roman"/>
          <w:sz w:val="24"/>
          <w:szCs w:val="24"/>
        </w:rPr>
        <w:t>Fast Gradient Sign Method</w:t>
      </w:r>
      <w:r w:rsidRPr="006E2466">
        <w:rPr>
          <w:rFonts w:ascii="Times New Roman" w:hAnsi="Times New Roman" w:cs="Times New Roman"/>
          <w:sz w:val="24"/>
          <w:szCs w:val="24"/>
        </w:rPr>
        <w:t xml:space="preserve"> </w:t>
      </w:r>
      <w:r>
        <w:rPr>
          <w:rFonts w:ascii="Times New Roman" w:hAnsi="Times New Roman" w:cs="Times New Roman"/>
          <w:sz w:val="24"/>
          <w:szCs w:val="24"/>
        </w:rPr>
        <w:t>(</w:t>
      </w:r>
      <w:r w:rsidRPr="006E2466">
        <w:rPr>
          <w:rFonts w:ascii="Times New Roman" w:hAnsi="Times New Roman" w:cs="Times New Roman"/>
          <w:sz w:val="24"/>
          <w:szCs w:val="24"/>
        </w:rPr>
        <w:t>FGSM</w:t>
      </w:r>
      <w:r>
        <w:rPr>
          <w:rFonts w:ascii="Times New Roman" w:hAnsi="Times New Roman" w:cs="Times New Roman"/>
          <w:sz w:val="24"/>
          <w:szCs w:val="24"/>
        </w:rPr>
        <w:t>)</w:t>
      </w:r>
      <w:r w:rsidRPr="006E2466">
        <w:rPr>
          <w:rFonts w:ascii="Times New Roman" w:hAnsi="Times New Roman" w:cs="Times New Roman"/>
          <w:sz w:val="24"/>
          <w:szCs w:val="24"/>
        </w:rPr>
        <w:t>:</w:t>
      </w:r>
    </w:p>
    <w:p w14:paraId="3E94DFB6" w14:textId="77777777" w:rsidR="006E2466" w:rsidRPr="00DC56F6" w:rsidRDefault="00B23472"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adv</m:t>
              </m:r>
            </m:sub>
          </m:sSub>
          <m:r>
            <w:rPr>
              <w:rFonts w:ascii="Cambria Math" w:hAnsi="Cambria Math" w:cs="Times New Roman"/>
              <w:sz w:val="24"/>
              <w:szCs w:val="24"/>
            </w:rPr>
            <m:t>=</m:t>
          </m:r>
          <m:r>
            <w:rPr>
              <w:rFonts w:ascii="Cambria Math" w:hAnsi="Cambria Math" w:cs="Times New Roman"/>
              <w:sz w:val="24"/>
              <w:szCs w:val="24"/>
            </w:rPr>
            <m:t>x</m:t>
          </m:r>
          <m:r>
            <w:rPr>
              <w:rFonts w:ascii="Cambria Math" w:hAnsi="Cambria Math" w:cs="Times New Roman"/>
              <w:sz w:val="24"/>
              <w:szCs w:val="24"/>
            </w:rPr>
            <m:t>+</m:t>
          </m:r>
          <m:r>
            <w:rPr>
              <w:rFonts w:ascii="Cambria Math" w:hAnsi="Cambria Math" w:cs="Times New Roman"/>
              <w:sz w:val="24"/>
              <w:szCs w:val="24"/>
            </w:rPr>
            <m:t>ϵ</m:t>
          </m:r>
          <m:r>
            <w:rPr>
              <w:rFonts w:ascii="Cambria Math" w:hAnsi="Cambria Math" w:cs="Times New Roman"/>
              <w:sz w:val="24"/>
              <w:szCs w:val="24"/>
            </w:rPr>
            <m:t>⋅</m:t>
          </m:r>
          <m:r>
            <w:rPr>
              <w:rFonts w:ascii="Cambria Math" w:hAnsi="Cambria Math" w:cs="Times New Roman"/>
              <w:sz w:val="24"/>
              <w:szCs w:val="24"/>
            </w:rPr>
            <m:t>sign</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x</m:t>
                  </m:r>
                </m:sub>
              </m:sSub>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θ</m:t>
                  </m:r>
                  <m:r>
                    <w:rPr>
                      <w:rFonts w:ascii="Cambria Math" w:hAnsi="Cambria Math" w:cs="Times New Roman"/>
                      <w:sz w:val="24"/>
                      <w:szCs w:val="24"/>
                    </w:rPr>
                    <m:t>,</m:t>
                  </m:r>
                  <m:r>
                    <w:rPr>
                      <w:rFonts w:ascii="Cambria Math" w:hAnsi="Cambria Math" w:cs="Times New Roman"/>
                      <w:sz w:val="24"/>
                      <w:szCs w:val="24"/>
                    </w:rPr>
                    <m:t>x</m:t>
                  </m:r>
                  <m:r>
                    <w:rPr>
                      <w:rFonts w:ascii="Cambria Math" w:hAnsi="Cambria Math" w:cs="Times New Roman"/>
                      <w:sz w:val="24"/>
                      <w:szCs w:val="24"/>
                    </w:rPr>
                    <m:t>,</m:t>
                  </m:r>
                  <m:r>
                    <w:rPr>
                      <w:rFonts w:ascii="Cambria Math" w:hAnsi="Cambria Math" w:cs="Times New Roman"/>
                      <w:sz w:val="24"/>
                      <w:szCs w:val="24"/>
                    </w:rPr>
                    <m:t>y</m:t>
                  </m:r>
                </m:e>
              </m:d>
            </m:e>
          </m:d>
        </m:oMath>
      </m:oMathPara>
    </w:p>
    <w:p w14:paraId="7057123F" w14:textId="77777777" w:rsidR="006E2466" w:rsidRPr="00DC56F6" w:rsidRDefault="006E2466" w:rsidP="006E2466">
      <w:pPr>
        <w:spacing w:line="360" w:lineRule="auto"/>
        <w:jc w:val="both"/>
        <w:rPr>
          <w:rFonts w:ascii="Times New Roman" w:hAnsi="Times New Roman" w:cs="Times New Roman"/>
          <w:sz w:val="24"/>
          <w:szCs w:val="24"/>
        </w:rPr>
      </w:pPr>
    </w:p>
    <w:p w14:paraId="5763DF84" w14:textId="77777777" w:rsidR="006E2466" w:rsidRPr="00DC56F6" w:rsidRDefault="006E2466" w:rsidP="006E246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DC56F6">
        <w:rPr>
          <w:rFonts w:ascii="Times New Roman" w:hAnsi="Times New Roman" w:cs="Times New Roman"/>
          <w:sz w:val="24"/>
          <w:szCs w:val="24"/>
        </w:rPr>
        <w:t xml:space="preserve">where ( x ) is the original input, </w:t>
      </w:r>
      <m:oMath>
        <m:r>
          <w:rPr>
            <w:rFonts w:ascii="Cambria Math" w:hAnsi="Cambria Math" w:cs="Times New Roman"/>
            <w:sz w:val="24"/>
            <w:szCs w:val="24"/>
          </w:rPr>
          <m:t>ϵ</m:t>
        </m:r>
      </m:oMath>
      <w:r w:rsidRPr="00DC56F6">
        <w:rPr>
          <w:rFonts w:ascii="Times New Roman" w:hAnsi="Times New Roman" w:cs="Times New Roman"/>
          <w:sz w:val="24"/>
          <w:szCs w:val="24"/>
        </w:rPr>
        <w:t xml:space="preserve"> is the perturbation budget, and </w:t>
      </w:r>
      <m:oMath>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θ,x,y</m:t>
            </m:r>
          </m:e>
        </m:d>
      </m:oMath>
      <w:r w:rsidRPr="00DC56F6">
        <w:rPr>
          <w:rFonts w:ascii="Times New Roman" w:hAnsi="Times New Roman" w:cs="Times New Roman"/>
          <w:sz w:val="24"/>
          <w:szCs w:val="24"/>
        </w:rPr>
        <w:t xml:space="preserve"> is the loss function </w:t>
      </w:r>
      <w:r w:rsidRPr="00DC56F6">
        <w:rPr>
          <w:rFonts w:ascii="Times New Roman" w:eastAsia="Times New Roman" w:hAnsi="Times New Roman" w:cs="Times New Roman"/>
          <w:sz w:val="24"/>
          <w:szCs w:val="24"/>
        </w:rPr>
        <w:t>(Alexey Kurakin et al., 2016)</w:t>
      </w:r>
      <w:r w:rsidRPr="00DC56F6">
        <w:rPr>
          <w:rFonts w:ascii="Times New Roman" w:hAnsi="Times New Roman" w:cs="Times New Roman"/>
          <w:sz w:val="24"/>
          <w:szCs w:val="24"/>
        </w:rPr>
        <w:t>.</w:t>
      </w:r>
    </w:p>
    <w:p w14:paraId="2D82A2B2" w14:textId="77777777" w:rsidR="006E2466" w:rsidRPr="006E2466" w:rsidRDefault="006E2466" w:rsidP="006E2466">
      <w:pPr>
        <w:pStyle w:val="ListParagraph"/>
        <w:numPr>
          <w:ilvl w:val="0"/>
          <w:numId w:val="2"/>
        </w:numPr>
        <w:spacing w:line="360" w:lineRule="auto"/>
        <w:jc w:val="both"/>
        <w:rPr>
          <w:rFonts w:ascii="Times New Roman" w:hAnsi="Times New Roman" w:cs="Times New Roman"/>
          <w:sz w:val="24"/>
          <w:szCs w:val="24"/>
        </w:rPr>
      </w:pPr>
      <w:r w:rsidRPr="006E2466">
        <w:rPr>
          <w:rFonts w:ascii="Times New Roman" w:hAnsi="Times New Roman" w:cs="Times New Roman"/>
          <w:sz w:val="24"/>
          <w:szCs w:val="24"/>
        </w:rPr>
        <w:t>For</w:t>
      </w:r>
      <w:r>
        <w:rPr>
          <w:rFonts w:ascii="Times New Roman" w:hAnsi="Times New Roman" w:cs="Times New Roman"/>
          <w:sz w:val="24"/>
          <w:szCs w:val="24"/>
        </w:rPr>
        <w:t xml:space="preserve"> </w:t>
      </w:r>
      <w:r w:rsidRPr="00DC56F6">
        <w:rPr>
          <w:rFonts w:ascii="Times New Roman" w:hAnsi="Times New Roman" w:cs="Times New Roman"/>
          <w:sz w:val="24"/>
          <w:szCs w:val="24"/>
        </w:rPr>
        <w:t>Projected Gradient Descent</w:t>
      </w:r>
      <w:r w:rsidRPr="006E2466">
        <w:rPr>
          <w:rFonts w:ascii="Times New Roman" w:hAnsi="Times New Roman" w:cs="Times New Roman"/>
          <w:sz w:val="24"/>
          <w:szCs w:val="24"/>
        </w:rPr>
        <w:t xml:space="preserve"> </w:t>
      </w:r>
      <w:r>
        <w:rPr>
          <w:rFonts w:ascii="Times New Roman" w:hAnsi="Times New Roman" w:cs="Times New Roman"/>
          <w:sz w:val="24"/>
          <w:szCs w:val="24"/>
        </w:rPr>
        <w:t>(</w:t>
      </w:r>
      <w:r w:rsidRPr="006E2466">
        <w:rPr>
          <w:rFonts w:ascii="Times New Roman" w:hAnsi="Times New Roman" w:cs="Times New Roman"/>
          <w:sz w:val="24"/>
          <w:szCs w:val="24"/>
        </w:rPr>
        <w:t>PGD</w:t>
      </w:r>
      <w:r>
        <w:rPr>
          <w:rFonts w:ascii="Times New Roman" w:hAnsi="Times New Roman" w:cs="Times New Roman"/>
          <w:sz w:val="24"/>
          <w:szCs w:val="24"/>
        </w:rPr>
        <w:t>)</w:t>
      </w:r>
      <w:r w:rsidRPr="006E2466">
        <w:rPr>
          <w:rFonts w:ascii="Times New Roman" w:hAnsi="Times New Roman" w:cs="Times New Roman"/>
          <w:sz w:val="24"/>
          <w:szCs w:val="24"/>
        </w:rPr>
        <w:t>:</w:t>
      </w:r>
    </w:p>
    <w:p w14:paraId="07A8550B" w14:textId="77777777" w:rsidR="006E2466" w:rsidRPr="00DC56F6" w:rsidRDefault="00B23472" w:rsidP="006E2466">
      <w:pPr>
        <w:spacing w:line="36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adv</m:t>
              </m:r>
            </m:sub>
            <m:sup>
              <m:r>
                <w:rPr>
                  <w:rFonts w:ascii="Cambria Math" w:hAnsi="Cambria Math" w:cs="Times New Roman"/>
                  <w:sz w:val="24"/>
                  <w:szCs w:val="24"/>
                </w:rPr>
                <m:t>(</m:t>
              </m:r>
              <m:r>
                <w:rPr>
                  <w:rFonts w:ascii="Cambria Math" w:hAnsi="Cambria Math" w:cs="Times New Roman"/>
                  <w:sz w:val="24"/>
                  <w:szCs w:val="24"/>
                </w:rPr>
                <m:t>t</m:t>
              </m:r>
              <m:r>
                <w:rPr>
                  <w:rFonts w:ascii="Cambria Math" w:hAnsi="Cambria Math" w:cs="Times New Roman"/>
                  <w:sz w:val="24"/>
                  <w:szCs w:val="24"/>
                </w:rPr>
                <m:t>+1)</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s</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adv</m:t>
              </m:r>
            </m:sub>
            <m:sup>
              <m:d>
                <m:dPr>
                  <m:ctrlPr>
                    <w:rPr>
                      <w:rFonts w:ascii="Cambria Math" w:hAnsi="Cambria Math" w:cs="Times New Roman"/>
                      <w:i/>
                      <w:sz w:val="24"/>
                      <w:szCs w:val="24"/>
                    </w:rPr>
                  </m:ctrlPr>
                </m:dPr>
                <m:e>
                  <m:r>
                    <w:rPr>
                      <w:rFonts w:ascii="Cambria Math" w:hAnsi="Cambria Math" w:cs="Times New Roman"/>
                      <w:sz w:val="24"/>
                      <w:szCs w:val="24"/>
                    </w:rPr>
                    <m:t>t</m:t>
                  </m:r>
                </m:e>
              </m:d>
            </m:sup>
          </m:sSubSup>
          <m:r>
            <w:rPr>
              <w:rFonts w:ascii="Cambria Math" w:hAnsi="Cambria Math" w:cs="Times New Roman"/>
              <w:sz w:val="24"/>
              <w:szCs w:val="24"/>
            </w:rPr>
            <m:t>+</m:t>
          </m:r>
          <m:r>
            <w:rPr>
              <w:rFonts w:ascii="Cambria Math" w:hAnsi="Cambria Math" w:cs="Times New Roman"/>
              <w:sz w:val="24"/>
              <w:szCs w:val="24"/>
            </w:rPr>
            <m:t>α</m:t>
          </m:r>
          <m:r>
            <w:rPr>
              <w:rFonts w:ascii="Cambria Math" w:hAnsi="Cambria Math" w:cs="Times New Roman"/>
              <w:sz w:val="24"/>
              <w:szCs w:val="24"/>
            </w:rPr>
            <m:t>⋅</m:t>
          </m:r>
          <m:r>
            <w:rPr>
              <w:rFonts w:ascii="Cambria Math" w:hAnsi="Cambria Math" w:cs="Times New Roman"/>
              <w:sz w:val="24"/>
              <w:szCs w:val="24"/>
            </w:rPr>
            <m:t>sign</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x</m:t>
                  </m:r>
                </m:sub>
              </m:sSub>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θ</m:t>
                  </m:r>
                  <m:r>
                    <w:rPr>
                      <w:rFonts w:ascii="Cambria Math" w:hAnsi="Cambria Math" w:cs="Times New Roman"/>
                      <w:sz w:val="24"/>
                      <w:szCs w:val="24"/>
                    </w:rPr>
                    <m:t>,</m:t>
                  </m:r>
                  <m:r>
                    <w:rPr>
                      <w:rFonts w:ascii="Cambria Math" w:hAnsi="Cambria Math" w:cs="Times New Roman"/>
                      <w:sz w:val="24"/>
                      <w:szCs w:val="24"/>
                    </w:rPr>
                    <m:t>x</m:t>
                  </m:r>
                  <m:r>
                    <w:rPr>
                      <w:rFonts w:ascii="Cambria Math" w:hAnsi="Cambria Math" w:cs="Times New Roman"/>
                      <w:sz w:val="24"/>
                      <w:szCs w:val="24"/>
                    </w:rPr>
                    <m:t>,</m:t>
                  </m:r>
                  <m:r>
                    <w:rPr>
                      <w:rFonts w:ascii="Cambria Math" w:hAnsi="Cambria Math" w:cs="Times New Roman"/>
                      <w:sz w:val="24"/>
                      <w:szCs w:val="24"/>
                    </w:rPr>
                    <m:t>y</m:t>
                  </m:r>
                </m:e>
              </m:d>
            </m:e>
          </m:d>
          <m:r>
            <w:rPr>
              <w:rFonts w:ascii="Cambria Math" w:hAnsi="Cambria Math" w:cs="Times New Roman"/>
              <w:sz w:val="24"/>
              <w:szCs w:val="24"/>
            </w:rPr>
            <m:t>)</m:t>
          </m:r>
        </m:oMath>
      </m:oMathPara>
    </w:p>
    <w:p w14:paraId="5FD33A52"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s</m:t>
            </m:r>
          </m:sub>
        </m:sSub>
      </m:oMath>
      <w:r w:rsidRPr="00DC56F6">
        <w:rPr>
          <w:rFonts w:ascii="Times New Roman" w:hAnsi="Times New Roman" w:cs="Times New Roman"/>
          <w:sz w:val="24"/>
          <w:szCs w:val="24"/>
        </w:rPr>
        <w:t xml:space="preserve"> is the projection onto the constraint set (S), α is the step size, and (t) is the iteration index.</w:t>
      </w:r>
    </w:p>
    <w:p w14:paraId="457145E3" w14:textId="77777777" w:rsidR="006E2466" w:rsidRPr="006E2466" w:rsidRDefault="006E2466" w:rsidP="006E2466">
      <w:pPr>
        <w:pStyle w:val="ListParagraph"/>
        <w:numPr>
          <w:ilvl w:val="0"/>
          <w:numId w:val="2"/>
        </w:numPr>
        <w:spacing w:line="360" w:lineRule="auto"/>
        <w:jc w:val="both"/>
        <w:rPr>
          <w:rFonts w:ascii="Times New Roman" w:hAnsi="Times New Roman" w:cs="Times New Roman"/>
          <w:sz w:val="24"/>
          <w:szCs w:val="24"/>
        </w:rPr>
      </w:pPr>
      <w:r w:rsidRPr="006E2466">
        <w:rPr>
          <w:rFonts w:ascii="Times New Roman" w:hAnsi="Times New Roman" w:cs="Times New Roman"/>
          <w:sz w:val="24"/>
          <w:szCs w:val="24"/>
        </w:rPr>
        <w:t>For</w:t>
      </w:r>
      <w:r>
        <w:rPr>
          <w:rFonts w:ascii="Times New Roman" w:hAnsi="Times New Roman" w:cs="Times New Roman"/>
          <w:sz w:val="24"/>
          <w:szCs w:val="24"/>
        </w:rPr>
        <w:t xml:space="preserve"> </w:t>
      </w:r>
      <w:r w:rsidRPr="00DC56F6">
        <w:rPr>
          <w:rFonts w:ascii="Times New Roman" w:hAnsi="Times New Roman" w:cs="Times New Roman"/>
          <w:sz w:val="24"/>
          <w:szCs w:val="24"/>
        </w:rPr>
        <w:t>Carlini &amp; Wagner</w:t>
      </w:r>
      <w:r w:rsidRPr="006E2466">
        <w:rPr>
          <w:rFonts w:ascii="Times New Roman" w:hAnsi="Times New Roman" w:cs="Times New Roman"/>
          <w:sz w:val="24"/>
          <w:szCs w:val="24"/>
        </w:rPr>
        <w:t xml:space="preserve"> </w:t>
      </w:r>
      <w:r>
        <w:rPr>
          <w:rFonts w:ascii="Times New Roman" w:hAnsi="Times New Roman" w:cs="Times New Roman"/>
          <w:sz w:val="24"/>
          <w:szCs w:val="24"/>
        </w:rPr>
        <w:t>(</w:t>
      </w:r>
      <w:r w:rsidRPr="006E2466">
        <w:rPr>
          <w:rFonts w:ascii="Times New Roman" w:hAnsi="Times New Roman" w:cs="Times New Roman"/>
          <w:sz w:val="24"/>
          <w:szCs w:val="24"/>
        </w:rPr>
        <w:t>C&amp;W</w:t>
      </w:r>
      <w:r>
        <w:rPr>
          <w:rFonts w:ascii="Times New Roman" w:hAnsi="Times New Roman" w:cs="Times New Roman"/>
          <w:sz w:val="24"/>
          <w:szCs w:val="24"/>
        </w:rPr>
        <w:t>)</w:t>
      </w:r>
      <w:r w:rsidRPr="006E2466">
        <w:rPr>
          <w:rFonts w:ascii="Times New Roman" w:hAnsi="Times New Roman" w:cs="Times New Roman"/>
          <w:sz w:val="24"/>
          <w:szCs w:val="24"/>
        </w:rPr>
        <w:t>:</w:t>
      </w:r>
    </w:p>
    <w:p w14:paraId="2592F719"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min</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δ</m:t>
                  </m:r>
                </m:e>
              </m:d>
            </m:e>
            <m:sub>
              <m:r>
                <w:rPr>
                  <w:rFonts w:ascii="Cambria Math" w:hAnsi="Cambria Math" w:cs="Times New Roman"/>
                  <w:sz w:val="24"/>
                  <w:szCs w:val="24"/>
                </w:rPr>
                <m:t>p</m:t>
              </m:r>
            </m:sub>
          </m:sSub>
          <m:r>
            <m:rPr>
              <m:scr m:val="script"/>
            </m:rPr>
            <w:rPr>
              <w:rFonts w:ascii="Cambria Math" w:hAnsi="Cambria Math" w:cs="Times New Roman"/>
              <w:sz w:val="24"/>
              <w:szCs w:val="24"/>
            </w:rPr>
            <m:t>+c⋅</m:t>
          </m:r>
          <m:r>
            <w:rPr>
              <w:rFonts w:ascii="Cambria Math" w:hAnsi="Cambria Math" w:cs="Times New Roman"/>
              <w:sz w:val="24"/>
              <w:szCs w:val="24"/>
            </w:rPr>
            <m:t>f(x+δ)</m:t>
          </m:r>
        </m:oMath>
      </m:oMathPara>
    </w:p>
    <w:p w14:paraId="121E4790"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subject to </w:t>
      </w:r>
      <m:oMath>
        <m:r>
          <w:rPr>
            <w:rFonts w:ascii="Cambria Math" w:hAnsi="Cambria Math" w:cs="Times New Roman"/>
            <w:sz w:val="24"/>
            <w:szCs w:val="24"/>
          </w:rPr>
          <m:t>x+δ∈</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0,1</m:t>
                </m:r>
              </m:e>
            </m:d>
          </m:e>
          <m:sup>
            <m:r>
              <w:rPr>
                <w:rFonts w:ascii="Cambria Math" w:hAnsi="Cambria Math" w:cs="Times New Roman"/>
                <w:sz w:val="24"/>
                <w:szCs w:val="24"/>
              </w:rPr>
              <m:t>n</m:t>
            </m:r>
          </m:sup>
        </m:sSup>
      </m:oMath>
      <w:r w:rsidRPr="00DC56F6">
        <w:rPr>
          <w:rFonts w:ascii="Times New Roman" w:hAnsi="Times New Roman" w:cs="Times New Roman"/>
          <w:sz w:val="24"/>
          <w:szCs w:val="24"/>
        </w:rPr>
        <w:t xml:space="preserve">, where δ is the perturbation vector, ( c ) is the regularization parameter, and </w:t>
      </w:r>
      <m:oMath>
        <m:r>
          <w:rPr>
            <w:rFonts w:ascii="Cambria Math" w:hAnsi="Cambria Math" w:cs="Times New Roman"/>
            <w:sz w:val="24"/>
            <w:szCs w:val="24"/>
          </w:rPr>
          <m:t>f(⋅)</m:t>
        </m:r>
      </m:oMath>
      <w:r w:rsidRPr="00DC56F6">
        <w:rPr>
          <w:rFonts w:ascii="Times New Roman" w:hAnsi="Times New Roman" w:cs="Times New Roman"/>
          <w:sz w:val="24"/>
          <w:szCs w:val="24"/>
        </w:rPr>
        <w:t xml:space="preserve"> is the objective function for misclassification (Carlini &amp; Wagner, 2017).</w:t>
      </w:r>
    </w:p>
    <w:p w14:paraId="2EAC0BBF"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Performance was validated using a stratified 5-fold cross-validation strategy to ensure robust evaluation across diverse data distributions, as defined by:</w:t>
      </w:r>
    </w:p>
    <w:p w14:paraId="194B6D37" w14:textId="77777777" w:rsidR="006E2466" w:rsidRPr="00DC56F6" w:rsidRDefault="00B23472"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CV</m:t>
              </m:r>
            </m:e>
            <m:sub>
              <m:r>
                <w:rPr>
                  <w:rFonts w:ascii="Cambria Math" w:hAnsi="Cambria Math" w:cs="Times New Roman"/>
                  <w:sz w:val="24"/>
                  <w:szCs w:val="24"/>
                </w:rPr>
                <m:t>error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k</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k</m:t>
              </m:r>
            </m:sup>
            <m:e>
              <m:r>
                <w:rPr>
                  <w:rFonts w:ascii="Cambria Math" w:eastAsiaTheme="minorEastAsia" w:hAnsi="Cambria Math" w:cs="Times New Roman"/>
                  <w:sz w:val="24"/>
                  <w:szCs w:val="24"/>
                </w:rPr>
                <m:t>L</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r>
                        <w:rPr>
                          <w:rFonts w:ascii="Cambria Math" w:eastAsiaTheme="minorEastAsia" w:hAnsi="Cambria Math" w:cs="Times New Roman"/>
                          <w:sz w:val="24"/>
                          <w:szCs w:val="24"/>
                        </w:rPr>
                        <m:t>i</m:t>
                      </m:r>
                    </m:e>
                  </m:d>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nary>
        </m:oMath>
      </m:oMathPara>
    </w:p>
    <w:p w14:paraId="7DA98DC0"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lastRenderedPageBreak/>
        <w:t xml:space="preserve">where (L) is the loss function,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m:t>
                </m:r>
              </m:e>
            </m:d>
          </m:sup>
        </m:sSup>
        <m:r>
          <w:rPr>
            <w:rFonts w:ascii="Cambria Math" w:eastAsiaTheme="minorEastAsia" w:hAnsi="Cambria Math" w:cs="Times New Roman"/>
            <w:sz w:val="24"/>
            <w:szCs w:val="24"/>
          </w:rPr>
          <m:t xml:space="preserve"> </m:t>
        </m:r>
      </m:oMath>
      <w:r w:rsidRPr="00DC56F6">
        <w:rPr>
          <w:rFonts w:ascii="Times New Roman" w:hAnsi="Times New Roman" w:cs="Times New Roman"/>
          <w:sz w:val="24"/>
          <w:szCs w:val="24"/>
        </w:rPr>
        <w:t>is the model trained excluding fold (</w:t>
      </w:r>
      <w:r w:rsidRPr="00DC56F6">
        <w:rPr>
          <w:rFonts w:ascii="Times New Roman" w:hAnsi="Times New Roman" w:cs="Times New Roman"/>
          <w:i/>
          <w:sz w:val="24"/>
          <w:szCs w:val="24"/>
        </w:rPr>
        <w:t>i</w:t>
      </w:r>
      <w:r w:rsidRPr="00DC56F6">
        <w:rPr>
          <w:rFonts w:ascii="Times New Roman"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oMath>
      <w:r w:rsidRPr="00DC56F6">
        <w:rPr>
          <w:rFonts w:ascii="Times New Roman" w:hAnsi="Times New Roman" w:cs="Times New Roman"/>
          <w:sz w:val="24"/>
          <w:szCs w:val="24"/>
        </w:rPr>
        <w:t>is the (</w:t>
      </w:r>
      <w:r w:rsidRPr="00DC56F6">
        <w:rPr>
          <w:rFonts w:ascii="Times New Roman" w:hAnsi="Times New Roman" w:cs="Times New Roman"/>
          <w:i/>
          <w:sz w:val="24"/>
          <w:szCs w:val="24"/>
        </w:rPr>
        <w:t>i</w:t>
      </w:r>
      <w:r w:rsidRPr="00DC56F6">
        <w:rPr>
          <w:rFonts w:ascii="Times New Roman" w:hAnsi="Times New Roman" w:cs="Times New Roman"/>
          <w:sz w:val="24"/>
          <w:szCs w:val="24"/>
        </w:rPr>
        <w:t xml:space="preserve">)-th fold. The validation process, including datasets and evaluated metrics, is detailed in Table </w:t>
      </w:r>
      <w:r w:rsidR="0083354A">
        <w:rPr>
          <w:rFonts w:ascii="Times New Roman" w:hAnsi="Times New Roman" w:cs="Times New Roman"/>
          <w:sz w:val="24"/>
          <w:szCs w:val="24"/>
        </w:rPr>
        <w:t>2</w:t>
      </w:r>
      <w:r w:rsidRPr="00DC56F6">
        <w:rPr>
          <w:rFonts w:ascii="Times New Roman" w:hAnsi="Times New Roman" w:cs="Times New Roman"/>
          <w:sz w:val="24"/>
          <w:szCs w:val="24"/>
        </w:rPr>
        <w:t>.</w:t>
      </w:r>
    </w:p>
    <w:p w14:paraId="6CAFF67C" w14:textId="77777777" w:rsidR="006E2466" w:rsidRPr="00DC56F6" w:rsidRDefault="006E2466" w:rsidP="006E2466">
      <w:pPr>
        <w:spacing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 xml:space="preserve">Table </w:t>
      </w:r>
      <w:r w:rsidR="007C61C3">
        <w:rPr>
          <w:rFonts w:ascii="Times New Roman" w:hAnsi="Times New Roman" w:cs="Times New Roman"/>
          <w:b/>
          <w:sz w:val="24"/>
          <w:szCs w:val="24"/>
        </w:rPr>
        <w:t>2</w:t>
      </w:r>
    </w:p>
    <w:p w14:paraId="358FD714"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i/>
          <w:sz w:val="24"/>
          <w:szCs w:val="24"/>
        </w:rPr>
        <w:t>Validation Setup for GAN-based Defense Framework</w:t>
      </w:r>
    </w:p>
    <w:tbl>
      <w:tblPr>
        <w:tblW w:w="0" w:type="auto"/>
        <w:tblCellMar>
          <w:top w:w="15" w:type="dxa"/>
          <w:left w:w="15" w:type="dxa"/>
          <w:bottom w:w="15" w:type="dxa"/>
          <w:right w:w="15" w:type="dxa"/>
        </w:tblCellMar>
        <w:tblLook w:val="04A0" w:firstRow="1" w:lastRow="0" w:firstColumn="1" w:lastColumn="0" w:noHBand="0" w:noVBand="1"/>
      </w:tblPr>
      <w:tblGrid>
        <w:gridCol w:w="1933"/>
        <w:gridCol w:w="2050"/>
        <w:gridCol w:w="1685"/>
        <w:gridCol w:w="3692"/>
      </w:tblGrid>
      <w:tr w:rsidR="006E2466" w:rsidRPr="00DC56F6" w14:paraId="703499BF" w14:textId="77777777" w:rsidTr="0083354A">
        <w:trPr>
          <w:trHeight w:val="757"/>
        </w:trPr>
        <w:tc>
          <w:tcPr>
            <w:tcW w:w="0" w:type="auto"/>
            <w:tcBorders>
              <w:top w:val="single" w:sz="8" w:space="0" w:color="auto"/>
              <w:bottom w:val="single" w:sz="8" w:space="0" w:color="auto"/>
            </w:tcBorders>
            <w:vAlign w:val="center"/>
            <w:hideMark/>
          </w:tcPr>
          <w:p w14:paraId="6A3AE09F" w14:textId="77777777" w:rsidR="006E2466" w:rsidRPr="00DC56F6" w:rsidRDefault="006E2466" w:rsidP="0083354A">
            <w:pPr>
              <w:spacing w:line="360" w:lineRule="auto"/>
              <w:jc w:val="both"/>
              <w:rPr>
                <w:rFonts w:ascii="Times New Roman" w:hAnsi="Times New Roman" w:cs="Times New Roman"/>
                <w:b/>
                <w:bCs/>
                <w:sz w:val="24"/>
                <w:szCs w:val="24"/>
              </w:rPr>
            </w:pPr>
            <w:r w:rsidRPr="00DC56F6">
              <w:rPr>
                <w:rFonts w:ascii="Times New Roman" w:hAnsi="Times New Roman" w:cs="Times New Roman"/>
                <w:b/>
                <w:bCs/>
                <w:sz w:val="24"/>
                <w:szCs w:val="24"/>
              </w:rPr>
              <w:t>Dataset</w:t>
            </w:r>
          </w:p>
        </w:tc>
        <w:tc>
          <w:tcPr>
            <w:tcW w:w="0" w:type="auto"/>
            <w:tcBorders>
              <w:top w:val="single" w:sz="8" w:space="0" w:color="auto"/>
              <w:bottom w:val="single" w:sz="8" w:space="0" w:color="auto"/>
            </w:tcBorders>
            <w:vAlign w:val="center"/>
            <w:hideMark/>
          </w:tcPr>
          <w:p w14:paraId="6FC8231A" w14:textId="77777777" w:rsidR="006E2466" w:rsidRPr="00DC56F6" w:rsidRDefault="006E2466" w:rsidP="00831CD6">
            <w:pPr>
              <w:spacing w:line="360" w:lineRule="auto"/>
              <w:jc w:val="center"/>
              <w:rPr>
                <w:rFonts w:ascii="Times New Roman" w:hAnsi="Times New Roman" w:cs="Times New Roman"/>
                <w:b/>
                <w:bCs/>
                <w:sz w:val="24"/>
                <w:szCs w:val="24"/>
              </w:rPr>
            </w:pPr>
            <w:r w:rsidRPr="00DC56F6">
              <w:rPr>
                <w:rFonts w:ascii="Times New Roman" w:hAnsi="Times New Roman" w:cs="Times New Roman"/>
                <w:b/>
                <w:bCs/>
                <w:sz w:val="24"/>
                <w:szCs w:val="24"/>
              </w:rPr>
              <w:t>Attack Types</w:t>
            </w:r>
          </w:p>
        </w:tc>
        <w:tc>
          <w:tcPr>
            <w:tcW w:w="0" w:type="auto"/>
            <w:tcBorders>
              <w:top w:val="single" w:sz="8" w:space="0" w:color="auto"/>
              <w:bottom w:val="single" w:sz="8" w:space="0" w:color="auto"/>
            </w:tcBorders>
            <w:vAlign w:val="center"/>
            <w:hideMark/>
          </w:tcPr>
          <w:p w14:paraId="6BF79980" w14:textId="77777777" w:rsidR="006E2466" w:rsidRPr="00DC56F6" w:rsidRDefault="006E2466" w:rsidP="00831CD6">
            <w:pPr>
              <w:spacing w:line="360" w:lineRule="auto"/>
              <w:jc w:val="center"/>
              <w:rPr>
                <w:rFonts w:ascii="Times New Roman" w:hAnsi="Times New Roman" w:cs="Times New Roman"/>
                <w:b/>
                <w:bCs/>
                <w:sz w:val="24"/>
                <w:szCs w:val="24"/>
              </w:rPr>
            </w:pPr>
            <w:r w:rsidRPr="00DC56F6">
              <w:rPr>
                <w:rFonts w:ascii="Times New Roman" w:hAnsi="Times New Roman" w:cs="Times New Roman"/>
                <w:b/>
                <w:bCs/>
                <w:sz w:val="24"/>
                <w:szCs w:val="24"/>
              </w:rPr>
              <w:t>Validation Method</w:t>
            </w:r>
          </w:p>
        </w:tc>
        <w:tc>
          <w:tcPr>
            <w:tcW w:w="0" w:type="auto"/>
            <w:tcBorders>
              <w:top w:val="single" w:sz="8" w:space="0" w:color="auto"/>
              <w:bottom w:val="single" w:sz="8" w:space="0" w:color="auto"/>
            </w:tcBorders>
            <w:vAlign w:val="center"/>
            <w:hideMark/>
          </w:tcPr>
          <w:p w14:paraId="14C8A37C" w14:textId="77777777" w:rsidR="006E2466" w:rsidRPr="00DC56F6" w:rsidRDefault="006E2466" w:rsidP="00831CD6">
            <w:pPr>
              <w:spacing w:line="360" w:lineRule="auto"/>
              <w:jc w:val="center"/>
              <w:rPr>
                <w:rFonts w:ascii="Times New Roman" w:hAnsi="Times New Roman" w:cs="Times New Roman"/>
                <w:b/>
                <w:bCs/>
                <w:sz w:val="24"/>
                <w:szCs w:val="24"/>
              </w:rPr>
            </w:pPr>
            <w:r w:rsidRPr="00DC56F6">
              <w:rPr>
                <w:rFonts w:ascii="Times New Roman" w:hAnsi="Times New Roman" w:cs="Times New Roman"/>
                <w:b/>
                <w:bCs/>
                <w:sz w:val="24"/>
                <w:szCs w:val="24"/>
              </w:rPr>
              <w:t>Metrics Evaluated</w:t>
            </w:r>
          </w:p>
        </w:tc>
      </w:tr>
      <w:tr w:rsidR="006E2466" w:rsidRPr="00DC56F6" w14:paraId="7A7FE563" w14:textId="77777777" w:rsidTr="0083354A">
        <w:tc>
          <w:tcPr>
            <w:tcW w:w="0" w:type="auto"/>
            <w:tcBorders>
              <w:top w:val="single" w:sz="8" w:space="0" w:color="auto"/>
            </w:tcBorders>
            <w:vAlign w:val="center"/>
            <w:hideMark/>
          </w:tcPr>
          <w:p w14:paraId="2CFB1C17" w14:textId="77777777" w:rsidR="006E2466" w:rsidRPr="00DC56F6" w:rsidRDefault="006E2466" w:rsidP="0083354A">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CICIoMT2024</w:t>
            </w:r>
          </w:p>
        </w:tc>
        <w:tc>
          <w:tcPr>
            <w:tcW w:w="0" w:type="auto"/>
            <w:tcBorders>
              <w:top w:val="single" w:sz="8" w:space="0" w:color="auto"/>
            </w:tcBorders>
            <w:vAlign w:val="center"/>
            <w:hideMark/>
          </w:tcPr>
          <w:p w14:paraId="387160D1"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FGSM, PGD, C&amp;W, UAP</w:t>
            </w:r>
          </w:p>
        </w:tc>
        <w:tc>
          <w:tcPr>
            <w:tcW w:w="0" w:type="auto"/>
            <w:tcBorders>
              <w:top w:val="single" w:sz="8" w:space="0" w:color="auto"/>
            </w:tcBorders>
            <w:vAlign w:val="center"/>
            <w:hideMark/>
          </w:tcPr>
          <w:p w14:paraId="709C102F"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5-fold stratified</w:t>
            </w:r>
          </w:p>
        </w:tc>
        <w:tc>
          <w:tcPr>
            <w:tcW w:w="0" w:type="auto"/>
            <w:tcBorders>
              <w:top w:val="single" w:sz="8" w:space="0" w:color="auto"/>
            </w:tcBorders>
            <w:vAlign w:val="center"/>
            <w:hideMark/>
          </w:tcPr>
          <w:p w14:paraId="2E25C83F"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Accuracy, Precision, Recall, F1, AUC-ROC, MCC</w:t>
            </w:r>
          </w:p>
        </w:tc>
      </w:tr>
      <w:tr w:rsidR="006E2466" w:rsidRPr="00DC56F6" w14:paraId="1961BDDB" w14:textId="77777777" w:rsidTr="0083354A">
        <w:tc>
          <w:tcPr>
            <w:tcW w:w="0" w:type="auto"/>
            <w:vAlign w:val="center"/>
            <w:hideMark/>
          </w:tcPr>
          <w:p w14:paraId="178FF244" w14:textId="77777777" w:rsidR="006E2466" w:rsidRPr="00DC56F6" w:rsidRDefault="006E2466" w:rsidP="0083354A">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WUSTL-EHMS-2020</w:t>
            </w:r>
          </w:p>
        </w:tc>
        <w:tc>
          <w:tcPr>
            <w:tcW w:w="0" w:type="auto"/>
            <w:vAlign w:val="center"/>
            <w:hideMark/>
          </w:tcPr>
          <w:p w14:paraId="084DD261"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FGSM, PGD, C&amp;W</w:t>
            </w:r>
          </w:p>
        </w:tc>
        <w:tc>
          <w:tcPr>
            <w:tcW w:w="0" w:type="auto"/>
            <w:vAlign w:val="center"/>
            <w:hideMark/>
          </w:tcPr>
          <w:p w14:paraId="2C8C8524"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5-fold stratified</w:t>
            </w:r>
          </w:p>
        </w:tc>
        <w:tc>
          <w:tcPr>
            <w:tcW w:w="0" w:type="auto"/>
            <w:vAlign w:val="center"/>
            <w:hideMark/>
          </w:tcPr>
          <w:p w14:paraId="25DC8EDF"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Accuracy, F1, MCC</w:t>
            </w:r>
          </w:p>
        </w:tc>
      </w:tr>
      <w:tr w:rsidR="006E2466" w:rsidRPr="00DC56F6" w14:paraId="61408408" w14:textId="77777777" w:rsidTr="0083354A">
        <w:tc>
          <w:tcPr>
            <w:tcW w:w="0" w:type="auto"/>
            <w:tcBorders>
              <w:bottom w:val="single" w:sz="8" w:space="0" w:color="auto"/>
            </w:tcBorders>
            <w:vAlign w:val="center"/>
            <w:hideMark/>
          </w:tcPr>
          <w:p w14:paraId="55BD40EA" w14:textId="77777777" w:rsidR="006E2466" w:rsidRPr="00DC56F6" w:rsidRDefault="006E2466" w:rsidP="0083354A">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BoT-IoT</w:t>
            </w:r>
          </w:p>
        </w:tc>
        <w:tc>
          <w:tcPr>
            <w:tcW w:w="0" w:type="auto"/>
            <w:tcBorders>
              <w:bottom w:val="single" w:sz="8" w:space="0" w:color="auto"/>
            </w:tcBorders>
            <w:vAlign w:val="center"/>
            <w:hideMark/>
          </w:tcPr>
          <w:p w14:paraId="5870405A"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Network Intrusions</w:t>
            </w:r>
          </w:p>
        </w:tc>
        <w:tc>
          <w:tcPr>
            <w:tcW w:w="0" w:type="auto"/>
            <w:tcBorders>
              <w:bottom w:val="single" w:sz="8" w:space="0" w:color="auto"/>
            </w:tcBorders>
            <w:vAlign w:val="center"/>
            <w:hideMark/>
          </w:tcPr>
          <w:p w14:paraId="65619363"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Hold-out validation</w:t>
            </w:r>
          </w:p>
        </w:tc>
        <w:tc>
          <w:tcPr>
            <w:tcW w:w="0" w:type="auto"/>
            <w:tcBorders>
              <w:bottom w:val="single" w:sz="8" w:space="0" w:color="auto"/>
            </w:tcBorders>
            <w:vAlign w:val="center"/>
            <w:hideMark/>
          </w:tcPr>
          <w:p w14:paraId="6B601CDF"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Throughput, Latency</w:t>
            </w:r>
          </w:p>
        </w:tc>
      </w:tr>
    </w:tbl>
    <w:p w14:paraId="03160BD7" w14:textId="77777777" w:rsidR="006E2466" w:rsidRPr="00DC56F6" w:rsidRDefault="006E2466" w:rsidP="006E2466">
      <w:pPr>
        <w:spacing w:line="360" w:lineRule="auto"/>
        <w:jc w:val="both"/>
        <w:rPr>
          <w:rFonts w:ascii="Times New Roman" w:hAnsi="Times New Roman" w:cs="Times New Roman"/>
          <w:sz w:val="24"/>
          <w:szCs w:val="24"/>
        </w:rPr>
      </w:pPr>
    </w:p>
    <w:p w14:paraId="7FD0DDEA"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Synthetic data quality was assessed using Fréchet Inception Distance (FID) and Inception Score (IS):</w:t>
      </w:r>
    </w:p>
    <w:p w14:paraId="0ADE5DAA"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FID=</m:t>
          </m:r>
          <m:sSubSup>
            <m:sSubSupPr>
              <m:ctrlPr>
                <w:rPr>
                  <w:rFonts w:ascii="Cambria Math" w:eastAsiaTheme="minorEastAsia" w:hAnsi="Cambria Math" w:cs="Times New Roman"/>
                  <w:i/>
                  <w:sz w:val="24"/>
                  <w:szCs w:val="24"/>
                </w:rPr>
              </m:ctrlPr>
            </m:sSubSupPr>
            <m:e>
              <m:d>
                <m:dPr>
                  <m:begChr m:val="‖"/>
                  <m:endChr m:val="‖"/>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g</m:t>
                      </m:r>
                    </m:sub>
                  </m:sSub>
                </m:e>
              </m:d>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+Tr</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r</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e>
                  </m:d>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e>
          </m:d>
        </m:oMath>
      </m:oMathPara>
    </w:p>
    <w:p w14:paraId="0FBBEC59"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r</m:t>
            </m:r>
          </m:sub>
        </m:sSub>
      </m:oMath>
      <w:r w:rsidRPr="00DC56F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g</m:t>
            </m:r>
          </m:sub>
        </m:sSub>
      </m:oMath>
      <w:r w:rsidRPr="00DC56F6">
        <w:rPr>
          <w:rFonts w:ascii="Times New Roman"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r</m:t>
            </m:r>
          </m:sub>
        </m:sSub>
      </m:oMath>
      <w:r w:rsidRPr="00DC56F6">
        <w:rPr>
          <w:rFonts w:ascii="Times New Roman" w:hAnsi="Times New Roman" w:cs="Times New Roman"/>
          <w:sz w:val="24"/>
          <w:szCs w:val="24"/>
        </w:rPr>
        <w:t xml:space="preserve">, and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oMath>
      <w:r w:rsidRPr="00DC56F6">
        <w:rPr>
          <w:rFonts w:ascii="Times New Roman" w:eastAsiaTheme="minorEastAsia" w:hAnsi="Times New Roman" w:cs="Times New Roman"/>
          <w:sz w:val="24"/>
          <w:szCs w:val="24"/>
        </w:rPr>
        <w:t xml:space="preserve"> </w:t>
      </w:r>
      <w:r w:rsidRPr="00DC56F6">
        <w:rPr>
          <w:rFonts w:ascii="Times New Roman" w:hAnsi="Times New Roman" w:cs="Times New Roman"/>
          <w:sz w:val="24"/>
          <w:szCs w:val="24"/>
        </w:rPr>
        <w:t>are the mean and covariance of real and generated data distributions (Choi et al., 2017). Bootstrap confidence intervals were calculated to estimate parameter uncertainty:</w:t>
      </w:r>
    </w:p>
    <w:p w14:paraId="3766BE8A"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u w:val="single"/>
        </w:rPr>
      </w:pPr>
      <w:r w:rsidRPr="00DC56F6">
        <w:rPr>
          <w:rFonts w:ascii="Consolas" w:hAnsi="Consolas" w:cs="Times New Roman"/>
          <w:sz w:val="20"/>
          <w:szCs w:val="24"/>
          <w:u w:val="single"/>
        </w:rPr>
        <w:t>python</w:t>
      </w:r>
      <w:r>
        <w:rPr>
          <w:rFonts w:ascii="Consolas" w:hAnsi="Consolas" w:cs="Times New Roman"/>
          <w:sz w:val="20"/>
          <w:szCs w:val="24"/>
          <w:u w:val="single"/>
        </w:rPr>
        <w:t>:</w:t>
      </w:r>
    </w:p>
    <w:p w14:paraId="7BA8946A"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def bootstrap_confidence_interval(data, metric_func, n_bootstrap=1000, ci_level=0.95):</w:t>
      </w:r>
    </w:p>
    <w:p w14:paraId="0D529003"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 xml:space="preserve">    bootstrap_scores = []</w:t>
      </w:r>
    </w:p>
    <w:p w14:paraId="336B6CFA"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 xml:space="preserve">    for _ in range(n_bootstrap):</w:t>
      </w:r>
    </w:p>
    <w:p w14:paraId="3B407AE7"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 xml:space="preserve">        bootstrap_sample = np.random.choice(data, size=len(data), replace=True)</w:t>
      </w:r>
    </w:p>
    <w:p w14:paraId="33B7BFB8"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 xml:space="preserve">        bootstrap_scores.append(metric_func(bootstrap_sample))</w:t>
      </w:r>
    </w:p>
    <w:p w14:paraId="2B42BA7B"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lastRenderedPageBreak/>
        <w:t xml:space="preserve">    alpha = (1 - ci_level) / 2</w:t>
      </w:r>
    </w:p>
    <w:p w14:paraId="39F8C2D9"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 xml:space="preserve">    return np.percentile(bootstrap_scores, [alpha * 100, (1 - alpha) * 100])</w:t>
      </w:r>
    </w:p>
    <w:p w14:paraId="1757C139"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Statistical significance was confirmed using paired t-tests (p &lt; 0.001) and Cohen’s d effect size:</w:t>
      </w:r>
    </w:p>
    <w:p w14:paraId="1C9C58A3"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d=</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pooled</m:t>
                  </m:r>
                </m:sub>
              </m:sSub>
            </m:den>
          </m:f>
        </m:oMath>
      </m:oMathPara>
    </w:p>
    <w:p w14:paraId="35013025" w14:textId="41D93C9F"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The framework’s robustness was further validated against novel attack patterns, ensuring generalizability </w:t>
      </w:r>
      <w:r w:rsidRPr="00DC56F6">
        <w:rPr>
          <w:rFonts w:ascii="Times New Roman" w:eastAsia="Times New Roman" w:hAnsi="Times New Roman" w:cs="Times New Roman"/>
          <w:sz w:val="24"/>
          <w:szCs w:val="24"/>
        </w:rPr>
        <w:t>(Sumaiya Tasneem et al., 2023)</w:t>
      </w:r>
      <w:r w:rsidRPr="00DC56F6">
        <w:rPr>
          <w:rFonts w:ascii="Times New Roman" w:hAnsi="Times New Roman" w:cs="Times New Roman"/>
          <w:sz w:val="24"/>
          <w:szCs w:val="24"/>
        </w:rPr>
        <w:t xml:space="preserve">. </w:t>
      </w:r>
      <w:r w:rsidRPr="00A817B7">
        <w:rPr>
          <w:rFonts w:ascii="Times New Roman" w:hAnsi="Times New Roman" w:cs="Times New Roman"/>
          <w:sz w:val="24"/>
          <w:szCs w:val="24"/>
          <w:highlight w:val="yellow"/>
        </w:rPr>
        <w:t>Fig</w:t>
      </w:r>
      <w:r w:rsidRPr="00DC56F6">
        <w:rPr>
          <w:rFonts w:ascii="Times New Roman" w:hAnsi="Times New Roman" w:cs="Times New Roman"/>
          <w:sz w:val="24"/>
          <w:szCs w:val="24"/>
        </w:rPr>
        <w:t xml:space="preserve">ure </w:t>
      </w:r>
      <w:r w:rsidR="00A817B7">
        <w:rPr>
          <w:rFonts w:ascii="Times New Roman" w:hAnsi="Times New Roman" w:cs="Times New Roman"/>
          <w:sz w:val="24"/>
          <w:szCs w:val="24"/>
        </w:rPr>
        <w:t>3</w:t>
      </w:r>
      <w:r w:rsidRPr="00DC56F6">
        <w:rPr>
          <w:rFonts w:ascii="Times New Roman" w:hAnsi="Times New Roman" w:cs="Times New Roman"/>
          <w:sz w:val="24"/>
          <w:szCs w:val="24"/>
        </w:rPr>
        <w:t xml:space="preserve"> illustrates the validation workflow.</w:t>
      </w:r>
    </w:p>
    <w:p w14:paraId="09A0C77F" w14:textId="3ED91EF5" w:rsidR="006E2466" w:rsidRDefault="006E2466" w:rsidP="006E2466">
      <w:pPr>
        <w:spacing w:line="360" w:lineRule="auto"/>
        <w:jc w:val="both"/>
        <w:rPr>
          <w:rFonts w:ascii="Times New Roman" w:hAnsi="Times New Roman" w:cs="Times New Roman"/>
          <w:b/>
          <w:sz w:val="24"/>
          <w:szCs w:val="24"/>
        </w:rPr>
      </w:pPr>
      <w:r w:rsidRPr="00A817B7">
        <w:rPr>
          <w:rFonts w:ascii="Times New Roman" w:hAnsi="Times New Roman" w:cs="Times New Roman"/>
          <w:b/>
          <w:sz w:val="24"/>
          <w:szCs w:val="24"/>
          <w:highlight w:val="yellow"/>
        </w:rPr>
        <w:t>Fig</w:t>
      </w:r>
      <w:r w:rsidRPr="00DC56F6">
        <w:rPr>
          <w:rFonts w:ascii="Times New Roman" w:hAnsi="Times New Roman" w:cs="Times New Roman"/>
          <w:b/>
          <w:sz w:val="24"/>
          <w:szCs w:val="24"/>
        </w:rPr>
        <w:t xml:space="preserve">ure </w:t>
      </w:r>
      <w:r w:rsidR="00A817B7">
        <w:rPr>
          <w:rFonts w:ascii="Times New Roman" w:hAnsi="Times New Roman" w:cs="Times New Roman"/>
          <w:b/>
          <w:sz w:val="24"/>
          <w:szCs w:val="24"/>
        </w:rPr>
        <w:t>3</w:t>
      </w:r>
    </w:p>
    <w:p w14:paraId="7812149F" w14:textId="77777777" w:rsidR="006E2466" w:rsidRPr="005B6EC9" w:rsidRDefault="006E2466" w:rsidP="006E2466">
      <w:pPr>
        <w:spacing w:line="360" w:lineRule="auto"/>
        <w:jc w:val="both"/>
        <w:rPr>
          <w:rFonts w:ascii="Times New Roman" w:hAnsi="Times New Roman" w:cs="Times New Roman"/>
          <w:i/>
          <w:sz w:val="24"/>
          <w:szCs w:val="24"/>
        </w:rPr>
      </w:pPr>
      <w:r w:rsidRPr="005B6EC9">
        <w:rPr>
          <w:rFonts w:ascii="Times New Roman" w:hAnsi="Times New Roman" w:cs="Times New Roman"/>
          <w:i/>
          <w:sz w:val="24"/>
          <w:szCs w:val="24"/>
        </w:rPr>
        <w:t>Validation Workflow for Adversarial Defense</w:t>
      </w:r>
    </w:p>
    <w:p w14:paraId="68AE0E85" w14:textId="77777777" w:rsidR="006E2466" w:rsidRDefault="006E2466" w:rsidP="006E246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A9ACC9D" wp14:editId="3FA86951">
            <wp:extent cx="3649785" cy="4941923"/>
            <wp:effectExtent l="19050" t="19050" r="2730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CHapter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1331" cy="4971096"/>
                    </a:xfrm>
                    <a:prstGeom prst="rect">
                      <a:avLst/>
                    </a:prstGeom>
                    <a:ln>
                      <a:solidFill>
                        <a:schemeClr val="bg1">
                          <a:lumMod val="50000"/>
                        </a:schemeClr>
                      </a:solidFill>
                      <a:prstDash val="sysDash"/>
                    </a:ln>
                  </pic:spPr>
                </pic:pic>
              </a:graphicData>
            </a:graphic>
          </wp:inline>
        </w:drawing>
      </w:r>
    </w:p>
    <w:p w14:paraId="787000C5" w14:textId="77777777" w:rsidR="007C61C3" w:rsidRDefault="007C61C3" w:rsidP="006E2466">
      <w:pPr>
        <w:spacing w:line="360" w:lineRule="auto"/>
        <w:jc w:val="both"/>
        <w:rPr>
          <w:rFonts w:ascii="Times New Roman" w:hAnsi="Times New Roman" w:cs="Times New Roman"/>
          <w:b/>
          <w:sz w:val="24"/>
          <w:szCs w:val="24"/>
        </w:rPr>
      </w:pPr>
    </w:p>
    <w:p w14:paraId="7BDA7A74" w14:textId="77777777" w:rsidR="006E2466" w:rsidRPr="00DC56F6" w:rsidRDefault="006E2466" w:rsidP="006E2466">
      <w:pPr>
        <w:spacing w:line="360" w:lineRule="auto"/>
        <w:jc w:val="both"/>
        <w:rPr>
          <w:rFonts w:ascii="Times New Roman" w:hAnsi="Times New Roman" w:cs="Times New Roman"/>
          <w:b/>
          <w:sz w:val="24"/>
          <w:szCs w:val="24"/>
        </w:rPr>
      </w:pPr>
      <w:r w:rsidRPr="00DC56F6">
        <w:rPr>
          <w:rFonts w:ascii="Times New Roman" w:hAnsi="Times New Roman" w:cs="Times New Roman"/>
          <w:b/>
          <w:sz w:val="24"/>
          <w:szCs w:val="24"/>
        </w:rPr>
        <w:lastRenderedPageBreak/>
        <w:t>Ethical Considerations</w:t>
      </w:r>
    </w:p>
    <w:p w14:paraId="07989BC5"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Ethical considerations are paramount, given the sensitive nature of healthcare IoT data. The reliance on secondary datasets and synthetic data generation eliminates the need for direct patient data, ensuring compliance with HIPAA and GDPR regulations (Hathaliya &amp; Tanwar, 2020). Differential privacy was implemented to protect data integrity:</w:t>
      </w:r>
    </w:p>
    <w:p w14:paraId="049C9023"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Pr</m:t>
          </m:r>
          <m:d>
            <m:dPr>
              <m:begChr m:val="["/>
              <m:endChr m:val="]"/>
              <m:ctrlPr>
                <w:rPr>
                  <w:rFonts w:ascii="Cambria Math" w:hAnsi="Cambria Math" w:cs="Times New Roman"/>
                  <w:i/>
                  <w:sz w:val="24"/>
                  <w:szCs w:val="24"/>
                </w:rPr>
              </m:ctrlPr>
            </m:dPr>
            <m:e>
              <m:r>
                <w:rPr>
                  <w:rFonts w:ascii="Cambria Math" w:hAnsi="Cambria Math" w:cs="Times New Roman"/>
                  <w:sz w:val="24"/>
                  <w:szCs w:val="24"/>
                </w:rPr>
                <m:t>M(D)∈S</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ϵ</m:t>
              </m:r>
            </m:sup>
          </m:sSup>
          <m:r>
            <w:rPr>
              <w:rFonts w:ascii="Cambria Math" w:eastAsiaTheme="minorEastAsia" w:hAnsi="Cambria Math" w:cs="Times New Roman"/>
              <w:sz w:val="24"/>
              <w:szCs w:val="24"/>
            </w:rPr>
            <m:t>×Pr</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ʹ</m:t>
                  </m:r>
                </m:sup>
              </m:sSup>
              <m:r>
                <w:rPr>
                  <w:rFonts w:ascii="Cambria Math" w:eastAsiaTheme="minorEastAsia" w:hAnsi="Cambria Math" w:cs="Times New Roman"/>
                  <w:sz w:val="24"/>
                  <w:szCs w:val="24"/>
                </w:rPr>
                <m:t>)</m:t>
              </m:r>
              <m:r>
                <w:rPr>
                  <w:rFonts w:ascii="Cambria Math" w:hAnsi="Cambria Math" w:cs="Times New Roman"/>
                  <w:sz w:val="24"/>
                  <w:szCs w:val="24"/>
                </w:rPr>
                <m:t>∈S</m:t>
              </m:r>
            </m:e>
          </m:d>
        </m:oMath>
      </m:oMathPara>
    </w:p>
    <w:p w14:paraId="055251B4"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Where (M) is the privacy mechanism, and </w:t>
      </w:r>
      <m:oMath>
        <m:r>
          <w:rPr>
            <w:rFonts w:ascii="Cambria Math" w:hAnsi="Cambria Math" w:cs="Times New Roman"/>
            <w:sz w:val="24"/>
            <w:szCs w:val="24"/>
          </w:rPr>
          <m:t>ϵ</m:t>
        </m:r>
      </m:oMath>
      <w:r w:rsidRPr="00DC56F6">
        <w:rPr>
          <w:rFonts w:ascii="Times New Roman" w:hAnsi="Times New Roman" w:cs="Times New Roman"/>
          <w:sz w:val="24"/>
          <w:szCs w:val="24"/>
        </w:rPr>
        <w:t xml:space="preserve"> is the privacy budget (Dwork, 2006). Synthetic data preserved statistical properties, achieving 87.3% clinical acceptability for ECG data, mitigating privacy risks. Dataset biases were addressed by ensuring diverse patient representations, reducing the risk of perpetuating healthcare disparities </w:t>
      </w:r>
      <w:r w:rsidRPr="00DC56F6">
        <w:rPr>
          <w:rFonts w:ascii="Times New Roman" w:eastAsia="Times New Roman" w:hAnsi="Times New Roman" w:cs="Times New Roman"/>
          <w:sz w:val="24"/>
          <w:szCs w:val="24"/>
        </w:rPr>
        <w:t>(Ruwayd Hussain Charfare et al., 2024)</w:t>
      </w:r>
      <w:r w:rsidRPr="00DC56F6">
        <w:rPr>
          <w:rFonts w:ascii="Times New Roman" w:hAnsi="Times New Roman" w:cs="Times New Roman"/>
          <w:sz w:val="24"/>
          <w:szCs w:val="24"/>
        </w:rPr>
        <w:t xml:space="preserve">. Transparency was maintained through detailed documentation of methods and metrics, facilitating regulatory audits and stakeholder trust </w:t>
      </w:r>
      <w:r w:rsidRPr="00DC56F6">
        <w:rPr>
          <w:rFonts w:ascii="Times New Roman" w:eastAsia="Times New Roman" w:hAnsi="Times New Roman" w:cs="Times New Roman"/>
          <w:sz w:val="24"/>
          <w:szCs w:val="24"/>
        </w:rPr>
        <w:t>(Shimabukuro &amp; Sekar, 2025)</w:t>
      </w:r>
      <w:r w:rsidRPr="00DC56F6">
        <w:rPr>
          <w:rFonts w:ascii="Times New Roman" w:hAnsi="Times New Roman" w:cs="Times New Roman"/>
          <w:sz w:val="24"/>
          <w:szCs w:val="24"/>
        </w:rPr>
        <w:t>. The framework minimized false positives to prevent alarm fatigue, ensuring minimal disruption to clinical workflows (Finlayson et al., 2019).</w:t>
      </w:r>
    </w:p>
    <w:p w14:paraId="421528B4" w14:textId="77777777" w:rsidR="006E2466" w:rsidRDefault="006E2466" w:rsidP="0089399F">
      <w:pPr>
        <w:spacing w:line="360" w:lineRule="auto"/>
        <w:jc w:val="both"/>
        <w:rPr>
          <w:rFonts w:ascii="Times New Roman" w:hAnsi="Times New Roman" w:cs="Times New Roman"/>
          <w:sz w:val="24"/>
          <w:szCs w:val="24"/>
        </w:rPr>
      </w:pPr>
    </w:p>
    <w:p w14:paraId="40C751B7" w14:textId="77777777" w:rsidR="00F5380D" w:rsidRPr="001D3CE9" w:rsidRDefault="00F5380D" w:rsidP="00F5380D">
      <w:pPr>
        <w:spacing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4</w:t>
      </w:r>
      <w:r w:rsidRPr="001D3CE9">
        <w:rPr>
          <w:rFonts w:ascii="Times New Roman" w:hAnsi="Times New Roman" w:cs="Times New Roman"/>
          <w:b/>
          <w:sz w:val="24"/>
          <w:szCs w:val="24"/>
        </w:rPr>
        <w:tab/>
        <w:t>Results and Findings</w:t>
      </w:r>
    </w:p>
    <w:p w14:paraId="3996A888"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This chapter presents the results and findings of the study on the AI-driven adversarial defense framework utilizing Generative Adversarial Networks (GANs) for securing healthcare IoT ecosystems. The results are supported by statistical analyses, performance metrics, and validation techniques to enhance clarity. The chapter concludes with a discussion section that interprets the findings, compares them with prior research, and addresses limitations and future directions.</w:t>
      </w:r>
    </w:p>
    <w:p w14:paraId="63CC3515" w14:textId="77777777" w:rsidR="00F5380D" w:rsidRPr="001D3CE9" w:rsidRDefault="00F5380D" w:rsidP="00F5380D">
      <w:pPr>
        <w:spacing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Threat Model Development Results</w:t>
      </w:r>
    </w:p>
    <w:p w14:paraId="2C1D5201" w14:textId="77777777" w:rsidR="00F5380D" w:rsidRPr="001D3CE9" w:rsidRDefault="00F5380D" w:rsidP="00F5380D">
      <w:pPr>
        <w:spacing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The development of a comprehensive threat model for healthcare IoT ecosystems involved analyzing datasets and literature to identify and quantify vulnerabilities and attack vectors. The systematic evaluation across 847 virtualized IoT devices from the CICIoMT2024 dataset revealed 127 distinct vulnerability vectors, categorized into five primary threat types: adversarial machine learning attacks (32%), network intrusions (28%), device-specific exploits (23%), data poisoning (12%), and supply chain compromises (5%), consistent with findings by </w:t>
      </w:r>
      <w:r w:rsidRPr="001D3CE9">
        <w:rPr>
          <w:rFonts w:ascii="Times New Roman" w:eastAsia="Times New Roman" w:hAnsi="Times New Roman" w:cs="Times New Roman"/>
          <w:sz w:val="24"/>
          <w:szCs w:val="24"/>
        </w:rPr>
        <w:t>Sendelj &amp; Ognjanovic (2022)</w:t>
      </w:r>
      <w:r w:rsidRPr="001D3CE9">
        <w:rPr>
          <w:rFonts w:ascii="Times New Roman" w:hAnsi="Times New Roman" w:cs="Times New Roman"/>
          <w:sz w:val="24"/>
          <w:szCs w:val="24"/>
        </w:rPr>
        <w:t xml:space="preserve">. Adversarial attacks were the most prevalent, with 18 specific patterns identified, including </w:t>
      </w:r>
      <w:r w:rsidRPr="001D3CE9">
        <w:rPr>
          <w:rFonts w:ascii="Times New Roman" w:hAnsi="Times New Roman" w:cs="Times New Roman"/>
          <w:sz w:val="24"/>
          <w:szCs w:val="24"/>
        </w:rPr>
        <w:lastRenderedPageBreak/>
        <w:t xml:space="preserve">Fast Gradient Sign Method (FGSM), Projected Gradient Descent (PGD), Carlini &amp; Wagner (C&amp;W), and Universal Adversarial Perturbations (UAP). FGSM attacks achieved a 90.4% success rate against undefended medical imaging systems with a perturbation budget of ε = 0.03, while PGD attacks were highly effective against sequential data (e.g., ECG monitoring), with an 87.6% success rate </w:t>
      </w:r>
      <w:r w:rsidRPr="001D3CE9">
        <w:rPr>
          <w:rFonts w:ascii="Times New Roman" w:eastAsia="Times New Roman" w:hAnsi="Times New Roman" w:cs="Times New Roman"/>
          <w:sz w:val="24"/>
          <w:szCs w:val="24"/>
        </w:rPr>
        <w:t>(Nagarjuna et al., 2025)</w:t>
      </w:r>
      <w:r w:rsidRPr="001D3CE9">
        <w:rPr>
          <w:rFonts w:ascii="Times New Roman" w:hAnsi="Times New Roman" w:cs="Times New Roman"/>
          <w:sz w:val="24"/>
          <w:szCs w:val="24"/>
        </w:rPr>
        <w:t>. C&amp;W attacks targeted diagnostic AI systems with an 86.2% success rate, and UAPs demonstrated cross-device transferability, compromising similar devices with 75.8% effectiveness (Finlayson et al., 2019).</w:t>
      </w:r>
    </w:p>
    <w:p w14:paraId="7BDFAF00" w14:textId="5E2CE2A1"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 xml:space="preserve">The mean risk score across the 847 devices was 7.82 on a 10-point scale, with critical care devices averaging 9.34, indicating severe exposure. Wearable health monitors exhibited the highest vulnerability density (14.1 critical vulnerabilities per device), primarily due to weak authentication, while implantable devices averaged 3.5 high-severity issues, posing life-threatening risks </w:t>
      </w:r>
      <w:r w:rsidRPr="001D3CE9">
        <w:rPr>
          <w:rFonts w:ascii="Times New Roman" w:eastAsia="Times New Roman" w:hAnsi="Times New Roman" w:cs="Times New Roman"/>
          <w:sz w:val="24"/>
          <w:szCs w:val="24"/>
        </w:rPr>
        <w:t>(Ruwayd Hussain Charfare et al., 2024)</w:t>
      </w:r>
      <w:r w:rsidRPr="001D3CE9">
        <w:rPr>
          <w:rFonts w:ascii="Times New Roman" w:hAnsi="Times New Roman" w:cs="Times New Roman"/>
          <w:sz w:val="24"/>
          <w:szCs w:val="24"/>
        </w:rPr>
        <w:t xml:space="preserve">. Hospital infrastructure systems showed 8.0 vulnerabilities per system, and mobile health applications varied widely (2.0 to 22.8 vulnerabilities), reflecting inconsistent security practices (Hathaliya &amp; Tanwar, 2020). Longitudinal analysis over 12 months indicated a 10.8% quarterly increase in risk scores, driven by the 275% annual rise in adversarial attack incidents, underscoring the evolving threat landscape (Qayyum et al., 2021). Table </w:t>
      </w:r>
      <w:r>
        <w:rPr>
          <w:rFonts w:ascii="Times New Roman" w:hAnsi="Times New Roman" w:cs="Times New Roman"/>
          <w:sz w:val="24"/>
          <w:szCs w:val="24"/>
        </w:rPr>
        <w:t xml:space="preserve">3 and </w:t>
      </w:r>
      <w:r w:rsidRPr="00A817B7">
        <w:rPr>
          <w:rFonts w:ascii="Times New Roman" w:hAnsi="Times New Roman" w:cs="Times New Roman"/>
          <w:sz w:val="24"/>
          <w:szCs w:val="24"/>
          <w:highlight w:val="yellow"/>
        </w:rPr>
        <w:t>Fig</w:t>
      </w:r>
      <w:r>
        <w:rPr>
          <w:rFonts w:ascii="Times New Roman" w:hAnsi="Times New Roman" w:cs="Times New Roman"/>
          <w:sz w:val="24"/>
          <w:szCs w:val="24"/>
        </w:rPr>
        <w:t xml:space="preserve">ure </w:t>
      </w:r>
      <w:r w:rsidR="00A817B7">
        <w:rPr>
          <w:rFonts w:ascii="Times New Roman" w:hAnsi="Times New Roman" w:cs="Times New Roman"/>
          <w:sz w:val="24"/>
          <w:szCs w:val="24"/>
        </w:rPr>
        <w:t>4</w:t>
      </w:r>
      <w:r>
        <w:rPr>
          <w:rFonts w:ascii="Times New Roman" w:hAnsi="Times New Roman" w:cs="Times New Roman"/>
          <w:sz w:val="24"/>
          <w:szCs w:val="24"/>
        </w:rPr>
        <w:t xml:space="preserve"> </w:t>
      </w:r>
      <w:r w:rsidRPr="001D3CE9">
        <w:rPr>
          <w:rFonts w:ascii="Times New Roman" w:hAnsi="Times New Roman" w:cs="Times New Roman"/>
          <w:sz w:val="24"/>
          <w:szCs w:val="24"/>
        </w:rPr>
        <w:t>summarizes the risk assessment results across device categories.</w:t>
      </w:r>
    </w:p>
    <w:p w14:paraId="4F498D82" w14:textId="77777777" w:rsidR="00F5380D" w:rsidRPr="001D3CE9" w:rsidRDefault="00F5380D" w:rsidP="00F5380D">
      <w:pPr>
        <w:spacing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 xml:space="preserve">Table </w:t>
      </w:r>
      <w:r>
        <w:rPr>
          <w:rFonts w:ascii="Times New Roman" w:hAnsi="Times New Roman" w:cs="Times New Roman"/>
          <w:b/>
          <w:sz w:val="24"/>
          <w:szCs w:val="24"/>
        </w:rPr>
        <w:t>3</w:t>
      </w:r>
    </w:p>
    <w:p w14:paraId="53C68D77" w14:textId="77777777" w:rsidR="00F5380D" w:rsidRPr="001D3CE9" w:rsidRDefault="00F5380D" w:rsidP="00F5380D">
      <w:pPr>
        <w:spacing w:line="360" w:lineRule="auto"/>
        <w:jc w:val="both"/>
        <w:rPr>
          <w:rFonts w:ascii="Times New Roman" w:hAnsi="Times New Roman" w:cs="Times New Roman"/>
          <w:i/>
          <w:sz w:val="24"/>
          <w:szCs w:val="24"/>
        </w:rPr>
      </w:pPr>
      <w:r w:rsidRPr="001D3CE9">
        <w:rPr>
          <w:rFonts w:ascii="Times New Roman" w:hAnsi="Times New Roman" w:cs="Times New Roman"/>
          <w:i/>
          <w:sz w:val="24"/>
          <w:szCs w:val="24"/>
        </w:rPr>
        <w:t>Risk Scores Across Healthcare IoT Device Categories</w:t>
      </w:r>
    </w:p>
    <w:tbl>
      <w:tblPr>
        <w:tblW w:w="9344" w:type="dxa"/>
        <w:tblCellMar>
          <w:top w:w="15" w:type="dxa"/>
          <w:left w:w="15" w:type="dxa"/>
          <w:bottom w:w="15" w:type="dxa"/>
          <w:right w:w="15" w:type="dxa"/>
        </w:tblCellMar>
        <w:tblLook w:val="04A0" w:firstRow="1" w:lastRow="0" w:firstColumn="1" w:lastColumn="0" w:noHBand="0" w:noVBand="1"/>
      </w:tblPr>
      <w:tblGrid>
        <w:gridCol w:w="2614"/>
        <w:gridCol w:w="1892"/>
        <w:gridCol w:w="2337"/>
        <w:gridCol w:w="2501"/>
      </w:tblGrid>
      <w:tr w:rsidR="00F5380D" w:rsidRPr="001D3CE9" w14:paraId="5D5057C9" w14:textId="77777777" w:rsidTr="0083354A">
        <w:trPr>
          <w:trHeight w:val="531"/>
        </w:trPr>
        <w:tc>
          <w:tcPr>
            <w:tcW w:w="0" w:type="auto"/>
            <w:tcBorders>
              <w:top w:val="single" w:sz="8" w:space="0" w:color="auto"/>
              <w:bottom w:val="single" w:sz="8" w:space="0" w:color="auto"/>
            </w:tcBorders>
            <w:vAlign w:val="center"/>
            <w:hideMark/>
          </w:tcPr>
          <w:p w14:paraId="032DF4E3" w14:textId="77777777" w:rsidR="00F5380D" w:rsidRPr="001D3CE9" w:rsidRDefault="00F5380D" w:rsidP="0083354A">
            <w:pPr>
              <w:spacing w:line="360" w:lineRule="auto"/>
              <w:jc w:val="both"/>
              <w:rPr>
                <w:rFonts w:ascii="Times New Roman" w:hAnsi="Times New Roman" w:cs="Times New Roman"/>
                <w:b/>
                <w:bCs/>
                <w:sz w:val="24"/>
                <w:szCs w:val="24"/>
              </w:rPr>
            </w:pPr>
            <w:r w:rsidRPr="001D3CE9">
              <w:rPr>
                <w:rFonts w:ascii="Times New Roman" w:hAnsi="Times New Roman" w:cs="Times New Roman"/>
                <w:b/>
                <w:bCs/>
                <w:sz w:val="24"/>
                <w:szCs w:val="24"/>
              </w:rPr>
              <w:t>Device Category</w:t>
            </w:r>
          </w:p>
        </w:tc>
        <w:tc>
          <w:tcPr>
            <w:tcW w:w="0" w:type="auto"/>
            <w:tcBorders>
              <w:top w:val="single" w:sz="8" w:space="0" w:color="auto"/>
              <w:bottom w:val="single" w:sz="8" w:space="0" w:color="auto"/>
            </w:tcBorders>
            <w:vAlign w:val="center"/>
            <w:hideMark/>
          </w:tcPr>
          <w:p w14:paraId="15185619" w14:textId="77777777" w:rsidR="00F5380D" w:rsidRPr="001D3CE9" w:rsidRDefault="00F5380D" w:rsidP="00831CD6">
            <w:pPr>
              <w:spacing w:line="360" w:lineRule="auto"/>
              <w:ind w:left="197"/>
              <w:jc w:val="center"/>
              <w:rPr>
                <w:rFonts w:ascii="Times New Roman" w:hAnsi="Times New Roman" w:cs="Times New Roman"/>
                <w:b/>
                <w:bCs/>
                <w:sz w:val="24"/>
                <w:szCs w:val="24"/>
              </w:rPr>
            </w:pPr>
            <w:r w:rsidRPr="001D3CE9">
              <w:rPr>
                <w:rFonts w:ascii="Times New Roman" w:hAnsi="Times New Roman" w:cs="Times New Roman"/>
                <w:b/>
                <w:bCs/>
                <w:sz w:val="24"/>
                <w:szCs w:val="24"/>
              </w:rPr>
              <w:t>Mean Risk Score</w:t>
            </w:r>
          </w:p>
        </w:tc>
        <w:tc>
          <w:tcPr>
            <w:tcW w:w="0" w:type="auto"/>
            <w:tcBorders>
              <w:top w:val="single" w:sz="8" w:space="0" w:color="auto"/>
              <w:bottom w:val="single" w:sz="8" w:space="0" w:color="auto"/>
            </w:tcBorders>
            <w:vAlign w:val="center"/>
            <w:hideMark/>
          </w:tcPr>
          <w:p w14:paraId="61ABC850"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Critical Vulnerabilities</w:t>
            </w:r>
          </w:p>
        </w:tc>
        <w:tc>
          <w:tcPr>
            <w:tcW w:w="0" w:type="auto"/>
            <w:tcBorders>
              <w:top w:val="single" w:sz="8" w:space="0" w:color="auto"/>
              <w:bottom w:val="single" w:sz="8" w:space="0" w:color="auto"/>
            </w:tcBorders>
            <w:vAlign w:val="center"/>
            <w:hideMark/>
          </w:tcPr>
          <w:p w14:paraId="16307DA1"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Primary Threat Type</w:t>
            </w:r>
          </w:p>
        </w:tc>
      </w:tr>
      <w:tr w:rsidR="00F5380D" w:rsidRPr="001D3CE9" w14:paraId="0193C413" w14:textId="77777777" w:rsidTr="0083354A">
        <w:trPr>
          <w:trHeight w:val="531"/>
        </w:trPr>
        <w:tc>
          <w:tcPr>
            <w:tcW w:w="0" w:type="auto"/>
            <w:tcBorders>
              <w:top w:val="single" w:sz="8" w:space="0" w:color="auto"/>
            </w:tcBorders>
            <w:vAlign w:val="center"/>
            <w:hideMark/>
          </w:tcPr>
          <w:p w14:paraId="6E44B31A"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Wearable Health Monitors</w:t>
            </w:r>
          </w:p>
        </w:tc>
        <w:tc>
          <w:tcPr>
            <w:tcW w:w="0" w:type="auto"/>
            <w:tcBorders>
              <w:top w:val="single" w:sz="8" w:space="0" w:color="auto"/>
            </w:tcBorders>
            <w:vAlign w:val="center"/>
            <w:hideMark/>
          </w:tcPr>
          <w:p w14:paraId="5C97DAAA" w14:textId="77777777" w:rsidR="00F5380D" w:rsidRPr="001D3CE9" w:rsidRDefault="00F5380D" w:rsidP="00831CD6">
            <w:pPr>
              <w:spacing w:line="360" w:lineRule="auto"/>
              <w:ind w:left="246"/>
              <w:jc w:val="center"/>
              <w:rPr>
                <w:rFonts w:ascii="Times New Roman" w:hAnsi="Times New Roman" w:cs="Times New Roman"/>
                <w:sz w:val="24"/>
                <w:szCs w:val="24"/>
              </w:rPr>
            </w:pPr>
            <w:r w:rsidRPr="001D3CE9">
              <w:rPr>
                <w:rFonts w:ascii="Times New Roman" w:hAnsi="Times New Roman" w:cs="Times New Roman"/>
                <w:sz w:val="24"/>
                <w:szCs w:val="24"/>
              </w:rPr>
              <w:t>8.45</w:t>
            </w:r>
          </w:p>
        </w:tc>
        <w:tc>
          <w:tcPr>
            <w:tcW w:w="0" w:type="auto"/>
            <w:tcBorders>
              <w:top w:val="single" w:sz="8" w:space="0" w:color="auto"/>
            </w:tcBorders>
            <w:vAlign w:val="center"/>
            <w:hideMark/>
          </w:tcPr>
          <w:p w14:paraId="48AC8D17"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14.1</w:t>
            </w:r>
          </w:p>
        </w:tc>
        <w:tc>
          <w:tcPr>
            <w:tcW w:w="0" w:type="auto"/>
            <w:tcBorders>
              <w:top w:val="single" w:sz="8" w:space="0" w:color="auto"/>
            </w:tcBorders>
            <w:vAlign w:val="center"/>
            <w:hideMark/>
          </w:tcPr>
          <w:p w14:paraId="1EAD8353"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Adversarial Attacks (32%)</w:t>
            </w:r>
          </w:p>
        </w:tc>
      </w:tr>
      <w:tr w:rsidR="00F5380D" w:rsidRPr="001D3CE9" w14:paraId="4C27F48C" w14:textId="77777777" w:rsidTr="0083354A">
        <w:trPr>
          <w:trHeight w:val="547"/>
        </w:trPr>
        <w:tc>
          <w:tcPr>
            <w:tcW w:w="0" w:type="auto"/>
            <w:vAlign w:val="center"/>
            <w:hideMark/>
          </w:tcPr>
          <w:p w14:paraId="1CD5B3DE"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Implantable Devices</w:t>
            </w:r>
          </w:p>
        </w:tc>
        <w:tc>
          <w:tcPr>
            <w:tcW w:w="0" w:type="auto"/>
            <w:vAlign w:val="center"/>
            <w:hideMark/>
          </w:tcPr>
          <w:p w14:paraId="4D621082" w14:textId="77777777" w:rsidR="00F5380D" w:rsidRPr="001D3CE9" w:rsidRDefault="00F5380D" w:rsidP="00831CD6">
            <w:pPr>
              <w:spacing w:line="360" w:lineRule="auto"/>
              <w:ind w:left="246"/>
              <w:jc w:val="center"/>
              <w:rPr>
                <w:rFonts w:ascii="Times New Roman" w:hAnsi="Times New Roman" w:cs="Times New Roman"/>
                <w:sz w:val="24"/>
                <w:szCs w:val="24"/>
              </w:rPr>
            </w:pPr>
            <w:r w:rsidRPr="001D3CE9">
              <w:rPr>
                <w:rFonts w:ascii="Times New Roman" w:hAnsi="Times New Roman" w:cs="Times New Roman"/>
                <w:sz w:val="24"/>
                <w:szCs w:val="24"/>
              </w:rPr>
              <w:t>9.12</w:t>
            </w:r>
          </w:p>
        </w:tc>
        <w:tc>
          <w:tcPr>
            <w:tcW w:w="0" w:type="auto"/>
            <w:vAlign w:val="center"/>
            <w:hideMark/>
          </w:tcPr>
          <w:p w14:paraId="46202DCB"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3.5</w:t>
            </w:r>
          </w:p>
        </w:tc>
        <w:tc>
          <w:tcPr>
            <w:tcW w:w="0" w:type="auto"/>
            <w:vAlign w:val="center"/>
            <w:hideMark/>
          </w:tcPr>
          <w:p w14:paraId="5B89AFBE"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Device Exploits (28%)</w:t>
            </w:r>
          </w:p>
        </w:tc>
      </w:tr>
      <w:tr w:rsidR="00F5380D" w:rsidRPr="001D3CE9" w14:paraId="729B4843" w14:textId="77777777" w:rsidTr="0083354A">
        <w:trPr>
          <w:trHeight w:val="531"/>
        </w:trPr>
        <w:tc>
          <w:tcPr>
            <w:tcW w:w="0" w:type="auto"/>
            <w:vAlign w:val="center"/>
            <w:hideMark/>
          </w:tcPr>
          <w:p w14:paraId="33DD879C"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Hospital Infrastructure</w:t>
            </w:r>
          </w:p>
        </w:tc>
        <w:tc>
          <w:tcPr>
            <w:tcW w:w="0" w:type="auto"/>
            <w:vAlign w:val="center"/>
            <w:hideMark/>
          </w:tcPr>
          <w:p w14:paraId="54A842F6" w14:textId="77777777" w:rsidR="00F5380D" w:rsidRPr="001D3CE9" w:rsidRDefault="00F5380D" w:rsidP="00831CD6">
            <w:pPr>
              <w:spacing w:line="360" w:lineRule="auto"/>
              <w:ind w:left="246"/>
              <w:jc w:val="center"/>
              <w:rPr>
                <w:rFonts w:ascii="Times New Roman" w:hAnsi="Times New Roman" w:cs="Times New Roman"/>
                <w:sz w:val="24"/>
                <w:szCs w:val="24"/>
              </w:rPr>
            </w:pPr>
            <w:r w:rsidRPr="001D3CE9">
              <w:rPr>
                <w:rFonts w:ascii="Times New Roman" w:hAnsi="Times New Roman" w:cs="Times New Roman"/>
                <w:sz w:val="24"/>
                <w:szCs w:val="24"/>
              </w:rPr>
              <w:t>7.89</w:t>
            </w:r>
          </w:p>
        </w:tc>
        <w:tc>
          <w:tcPr>
            <w:tcW w:w="0" w:type="auto"/>
            <w:vAlign w:val="center"/>
            <w:hideMark/>
          </w:tcPr>
          <w:p w14:paraId="561DC8A8"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8.0</w:t>
            </w:r>
          </w:p>
        </w:tc>
        <w:tc>
          <w:tcPr>
            <w:tcW w:w="0" w:type="auto"/>
            <w:vAlign w:val="center"/>
            <w:hideMark/>
          </w:tcPr>
          <w:p w14:paraId="4FA7C772"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Network Intrusions (23%)</w:t>
            </w:r>
          </w:p>
        </w:tc>
      </w:tr>
      <w:tr w:rsidR="00F5380D" w:rsidRPr="001D3CE9" w14:paraId="7505CEE2" w14:textId="77777777" w:rsidTr="0083354A">
        <w:trPr>
          <w:trHeight w:val="531"/>
        </w:trPr>
        <w:tc>
          <w:tcPr>
            <w:tcW w:w="0" w:type="auto"/>
            <w:tcBorders>
              <w:bottom w:val="single" w:sz="8" w:space="0" w:color="auto"/>
            </w:tcBorders>
            <w:vAlign w:val="center"/>
            <w:hideMark/>
          </w:tcPr>
          <w:p w14:paraId="4A30291A" w14:textId="77777777" w:rsidR="00F5380D" w:rsidRPr="001D3CE9" w:rsidRDefault="00F5380D" w:rsidP="00831CD6">
            <w:pPr>
              <w:spacing w:line="360" w:lineRule="auto"/>
              <w:rPr>
                <w:rFonts w:ascii="Times New Roman" w:hAnsi="Times New Roman" w:cs="Times New Roman"/>
                <w:sz w:val="24"/>
                <w:szCs w:val="24"/>
              </w:rPr>
            </w:pPr>
            <w:r w:rsidRPr="001D3CE9">
              <w:rPr>
                <w:rFonts w:ascii="Times New Roman" w:hAnsi="Times New Roman" w:cs="Times New Roman"/>
                <w:sz w:val="24"/>
                <w:szCs w:val="24"/>
              </w:rPr>
              <w:lastRenderedPageBreak/>
              <w:t>Mobile Health</w:t>
            </w:r>
            <w:r w:rsidR="00831CD6">
              <w:rPr>
                <w:rFonts w:ascii="Times New Roman" w:hAnsi="Times New Roman" w:cs="Times New Roman"/>
                <w:sz w:val="24"/>
                <w:szCs w:val="24"/>
              </w:rPr>
              <w:t xml:space="preserve"> </w:t>
            </w:r>
            <w:r w:rsidRPr="001D3CE9">
              <w:rPr>
                <w:rFonts w:ascii="Times New Roman" w:hAnsi="Times New Roman" w:cs="Times New Roman"/>
                <w:sz w:val="24"/>
                <w:szCs w:val="24"/>
              </w:rPr>
              <w:t>Applications</w:t>
            </w:r>
          </w:p>
        </w:tc>
        <w:tc>
          <w:tcPr>
            <w:tcW w:w="0" w:type="auto"/>
            <w:tcBorders>
              <w:bottom w:val="single" w:sz="8" w:space="0" w:color="auto"/>
            </w:tcBorders>
            <w:vAlign w:val="center"/>
            <w:hideMark/>
          </w:tcPr>
          <w:p w14:paraId="34A5A08A" w14:textId="77777777" w:rsidR="00F5380D" w:rsidRPr="001D3CE9" w:rsidRDefault="00F5380D" w:rsidP="00831CD6">
            <w:pPr>
              <w:spacing w:line="360" w:lineRule="auto"/>
              <w:ind w:left="246"/>
              <w:jc w:val="center"/>
              <w:rPr>
                <w:rFonts w:ascii="Times New Roman" w:hAnsi="Times New Roman" w:cs="Times New Roman"/>
                <w:sz w:val="24"/>
                <w:szCs w:val="24"/>
              </w:rPr>
            </w:pPr>
            <w:r w:rsidRPr="001D3CE9">
              <w:rPr>
                <w:rFonts w:ascii="Times New Roman" w:hAnsi="Times New Roman" w:cs="Times New Roman"/>
                <w:sz w:val="24"/>
                <w:szCs w:val="24"/>
              </w:rPr>
              <w:t>7.34</w:t>
            </w:r>
          </w:p>
        </w:tc>
        <w:tc>
          <w:tcPr>
            <w:tcW w:w="0" w:type="auto"/>
            <w:tcBorders>
              <w:bottom w:val="single" w:sz="8" w:space="0" w:color="auto"/>
            </w:tcBorders>
            <w:vAlign w:val="center"/>
            <w:hideMark/>
          </w:tcPr>
          <w:p w14:paraId="510C9CA8"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2.0 - 22.8</w:t>
            </w:r>
          </w:p>
        </w:tc>
        <w:tc>
          <w:tcPr>
            <w:tcW w:w="0" w:type="auto"/>
            <w:tcBorders>
              <w:bottom w:val="single" w:sz="8" w:space="0" w:color="auto"/>
            </w:tcBorders>
            <w:vAlign w:val="center"/>
            <w:hideMark/>
          </w:tcPr>
          <w:p w14:paraId="6BE2C0A8"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Data Poisoning (12%)</w:t>
            </w:r>
          </w:p>
        </w:tc>
      </w:tr>
    </w:tbl>
    <w:p w14:paraId="7ADEBCFE" w14:textId="77777777" w:rsidR="00F5380D" w:rsidRPr="001D3CE9" w:rsidRDefault="00F5380D" w:rsidP="00F5380D">
      <w:pPr>
        <w:spacing w:line="360" w:lineRule="auto"/>
        <w:jc w:val="both"/>
        <w:rPr>
          <w:rFonts w:ascii="Times New Roman" w:hAnsi="Times New Roman" w:cs="Times New Roman"/>
          <w:sz w:val="24"/>
          <w:szCs w:val="24"/>
        </w:rPr>
      </w:pPr>
    </w:p>
    <w:p w14:paraId="4E055715" w14:textId="29312FDE" w:rsidR="00F5380D" w:rsidRDefault="00F5380D" w:rsidP="00F5380D">
      <w:pPr>
        <w:spacing w:after="0" w:line="360" w:lineRule="auto"/>
        <w:jc w:val="both"/>
        <w:rPr>
          <w:rFonts w:ascii="Times New Roman" w:hAnsi="Times New Roman" w:cs="Times New Roman"/>
          <w:b/>
          <w:sz w:val="24"/>
          <w:szCs w:val="24"/>
        </w:rPr>
      </w:pPr>
      <w:r w:rsidRPr="00A817B7">
        <w:rPr>
          <w:rFonts w:ascii="Times New Roman" w:hAnsi="Times New Roman" w:cs="Times New Roman"/>
          <w:b/>
          <w:sz w:val="24"/>
          <w:szCs w:val="24"/>
          <w:highlight w:val="yellow"/>
        </w:rPr>
        <w:t>Fig</w:t>
      </w:r>
      <w:r w:rsidRPr="001D3CE9">
        <w:rPr>
          <w:rFonts w:ascii="Times New Roman" w:hAnsi="Times New Roman" w:cs="Times New Roman"/>
          <w:b/>
          <w:sz w:val="24"/>
          <w:szCs w:val="24"/>
        </w:rPr>
        <w:t xml:space="preserve">ure </w:t>
      </w:r>
      <w:r w:rsidR="00A817B7">
        <w:rPr>
          <w:rFonts w:ascii="Times New Roman" w:hAnsi="Times New Roman" w:cs="Times New Roman"/>
          <w:b/>
          <w:sz w:val="24"/>
          <w:szCs w:val="24"/>
        </w:rPr>
        <w:t>4</w:t>
      </w:r>
    </w:p>
    <w:p w14:paraId="3DEA8F61" w14:textId="77777777" w:rsidR="00F5380D" w:rsidRDefault="00F5380D" w:rsidP="00F5380D">
      <w:pPr>
        <w:spacing w:line="360" w:lineRule="auto"/>
        <w:rPr>
          <w:rFonts w:ascii="Times New Roman" w:hAnsi="Times New Roman" w:cs="Times New Roman"/>
          <w:b/>
          <w:sz w:val="24"/>
          <w:szCs w:val="24"/>
        </w:rPr>
      </w:pPr>
      <w:r w:rsidRPr="001D3CE9">
        <w:rPr>
          <w:rFonts w:ascii="Times New Roman" w:hAnsi="Times New Roman" w:cs="Times New Roman"/>
          <w:i/>
          <w:sz w:val="24"/>
          <w:szCs w:val="24"/>
        </w:rPr>
        <w:t>Distribution of Threat Types in Healthcare IoT Ecosystems</w:t>
      </w:r>
      <w:r w:rsidRPr="001D3CE9">
        <w:rPr>
          <w:rFonts w:ascii="Times New Roman" w:hAnsi="Times New Roman" w:cs="Times New Roman"/>
          <w:i/>
          <w:noProof/>
          <w:sz w:val="24"/>
          <w:szCs w:val="24"/>
        </w:rPr>
        <w:t xml:space="preserve"> </w:t>
      </w:r>
      <w:r>
        <w:rPr>
          <w:rFonts w:ascii="Times New Roman" w:hAnsi="Times New Roman" w:cs="Times New Roman"/>
          <w:b/>
          <w:noProof/>
          <w:sz w:val="24"/>
          <w:szCs w:val="24"/>
        </w:rPr>
        <w:drawing>
          <wp:inline distT="0" distB="0" distL="0" distR="0" wp14:anchorId="3ADD30CD" wp14:editId="52A60349">
            <wp:extent cx="3865041" cy="2321169"/>
            <wp:effectExtent l="19050" t="19050" r="2159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7145" cy="2334444"/>
                    </a:xfrm>
                    <a:prstGeom prst="rect">
                      <a:avLst/>
                    </a:prstGeom>
                    <a:noFill/>
                    <a:ln w="6350">
                      <a:solidFill>
                        <a:schemeClr val="bg1">
                          <a:lumMod val="50000"/>
                        </a:schemeClr>
                      </a:solidFill>
                      <a:prstDash val="sysDash"/>
                    </a:ln>
                  </pic:spPr>
                </pic:pic>
              </a:graphicData>
            </a:graphic>
          </wp:inline>
        </w:drawing>
      </w:r>
    </w:p>
    <w:p w14:paraId="6A8B5267" w14:textId="77777777" w:rsidR="00F5380D" w:rsidRPr="001D3CE9" w:rsidRDefault="00F5380D" w:rsidP="00F5380D">
      <w:pPr>
        <w:spacing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GAN-based Defense Mechanism Performance</w:t>
      </w:r>
    </w:p>
    <w:p w14:paraId="7DE53545"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The GAN-based defense framework, comprising a generator (6 layers), discriminator (4 layers), and encoder (128-dimensional latent space), was implemented using TensorFlow and PyTorch, optimized for resource-constrained healthcare IoT devices. The framework’s performance was evaluated against four adversarial attack types (FGSM, PGD, C&amp;W, UAP) using the CICIoMT2024 and WUSTL-EHMS datasets. The GAN architecture followed the minimax game theory formulation.</w:t>
      </w:r>
    </w:p>
    <w:p w14:paraId="5D39A1EF" w14:textId="77777777" w:rsidR="00F5380D" w:rsidRPr="000D3078" w:rsidRDefault="00F5380D" w:rsidP="00F5380D">
      <w:pPr>
        <w:spacing w:after="0"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Against FGSM attacks, the framework achieved 97.1% accuracy, with precision of 97.8%, recall of 96.5%, and F1-score of 97.1%, outperforming traditional intrusion detection systems by 39.4% and adversarial training by 25.6% (Goodfellow et al., 2014). For PGD attacks, the framework maintained 94.8% accuracy, with precision of 95.5%, recall of 94.2%, and F1-score of 94.8%, demonstrating resilience against iterative attacks </w:t>
      </w:r>
      <w:r w:rsidRPr="001D3CE9">
        <w:rPr>
          <w:rFonts w:ascii="Times New Roman" w:eastAsia="Times New Roman" w:hAnsi="Times New Roman" w:cs="Times New Roman"/>
          <w:sz w:val="24"/>
          <w:szCs w:val="24"/>
        </w:rPr>
        <w:t>(Alexey Kurakin et al., 2016)</w:t>
      </w:r>
      <w:r w:rsidRPr="001D3CE9">
        <w:rPr>
          <w:rFonts w:ascii="Times New Roman" w:hAnsi="Times New Roman" w:cs="Times New Roman"/>
          <w:sz w:val="24"/>
          <w:szCs w:val="24"/>
        </w:rPr>
        <w:t xml:space="preserve">. C&amp;W attacks were mitigated with 95.9% accuracy (precision: 96.6%, recall: 95.3%), and UAP defenses achieved 96.4% accuracy, highlighting robust generalization across transferable perturbations </w:t>
      </w:r>
      <w:r w:rsidRPr="001D3CE9">
        <w:rPr>
          <w:rFonts w:ascii="Times New Roman" w:eastAsia="Times New Roman" w:hAnsi="Times New Roman" w:cs="Times New Roman"/>
          <w:sz w:val="24"/>
          <w:szCs w:val="24"/>
        </w:rPr>
        <w:t xml:space="preserve">(Sumaiya </w:t>
      </w:r>
      <w:r w:rsidRPr="001D3CE9">
        <w:rPr>
          <w:rFonts w:ascii="Times New Roman" w:eastAsia="Times New Roman" w:hAnsi="Times New Roman" w:cs="Times New Roman"/>
          <w:sz w:val="24"/>
          <w:szCs w:val="24"/>
        </w:rPr>
        <w:lastRenderedPageBreak/>
        <w:t>Tasneem et al., 2023)</w:t>
      </w:r>
      <w:r w:rsidRPr="001D3CE9">
        <w:rPr>
          <w:rFonts w:ascii="Times New Roman" w:hAnsi="Times New Roman" w:cs="Times New Roman"/>
          <w:sz w:val="24"/>
          <w:szCs w:val="24"/>
        </w:rPr>
        <w:t xml:space="preserve">. Computational efficiency was assessed using Mean Time to Detection (MTTD) and Mean Time to Response (MTTR). </w:t>
      </w:r>
    </w:p>
    <w:p w14:paraId="0706300F" w14:textId="264F037C"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 xml:space="preserve">The framework achieved an MTTD of 82 milliseconds and an MTTR of 47 milliseconds, a 65% improvement over traditional firewalls (MTTD: 235 ms) and 55% over ensemble methods (MTTR: 104 ms). Throughput was 2,912 samples per second, suitable for real-time healthcare applications, with a memory footprint of 241 MB, 45% lower than adversarial training approaches (Li et al., 2019). Table </w:t>
      </w:r>
      <w:r>
        <w:rPr>
          <w:rFonts w:ascii="Times New Roman" w:hAnsi="Times New Roman" w:cs="Times New Roman"/>
          <w:sz w:val="24"/>
          <w:szCs w:val="24"/>
        </w:rPr>
        <w:t xml:space="preserve">4 </w:t>
      </w:r>
      <w:r w:rsidRPr="00A817B7">
        <w:rPr>
          <w:rFonts w:ascii="Times New Roman" w:hAnsi="Times New Roman" w:cs="Times New Roman"/>
          <w:sz w:val="24"/>
          <w:szCs w:val="24"/>
          <w:highlight w:val="yellow"/>
        </w:rPr>
        <w:t>Fig</w:t>
      </w:r>
      <w:r>
        <w:rPr>
          <w:rFonts w:ascii="Times New Roman" w:hAnsi="Times New Roman" w:cs="Times New Roman"/>
          <w:sz w:val="24"/>
          <w:szCs w:val="24"/>
        </w:rPr>
        <w:t xml:space="preserve">ure </w:t>
      </w:r>
      <w:r w:rsidR="00A817B7">
        <w:rPr>
          <w:rFonts w:ascii="Times New Roman" w:hAnsi="Times New Roman" w:cs="Times New Roman"/>
          <w:sz w:val="24"/>
          <w:szCs w:val="24"/>
        </w:rPr>
        <w:t>5</w:t>
      </w:r>
      <w:r>
        <w:rPr>
          <w:rFonts w:ascii="Times New Roman" w:hAnsi="Times New Roman" w:cs="Times New Roman"/>
          <w:sz w:val="24"/>
          <w:szCs w:val="24"/>
        </w:rPr>
        <w:t xml:space="preserve"> and </w:t>
      </w:r>
      <w:r w:rsidR="00A817B7">
        <w:rPr>
          <w:rFonts w:ascii="Times New Roman" w:hAnsi="Times New Roman" w:cs="Times New Roman"/>
          <w:sz w:val="24"/>
          <w:szCs w:val="24"/>
        </w:rPr>
        <w:t>6</w:t>
      </w:r>
      <w:r w:rsidRPr="001D3CE9">
        <w:rPr>
          <w:rFonts w:ascii="Times New Roman" w:hAnsi="Times New Roman" w:cs="Times New Roman"/>
          <w:sz w:val="24"/>
          <w:szCs w:val="24"/>
        </w:rPr>
        <w:t xml:space="preserve"> presents the performance metrics across attack types.</w:t>
      </w:r>
    </w:p>
    <w:p w14:paraId="136E67F3" w14:textId="77777777" w:rsidR="00F5380D" w:rsidRPr="001D3CE9" w:rsidRDefault="00F5380D" w:rsidP="00F5380D">
      <w:pPr>
        <w:spacing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 xml:space="preserve">Table </w:t>
      </w:r>
      <w:r>
        <w:rPr>
          <w:rFonts w:ascii="Times New Roman" w:hAnsi="Times New Roman" w:cs="Times New Roman"/>
          <w:b/>
          <w:sz w:val="24"/>
          <w:szCs w:val="24"/>
        </w:rPr>
        <w:t>4</w:t>
      </w:r>
    </w:p>
    <w:p w14:paraId="0D96871C" w14:textId="77777777" w:rsidR="00F5380D" w:rsidRPr="001D3CE9" w:rsidRDefault="00F5380D" w:rsidP="00F5380D">
      <w:pPr>
        <w:spacing w:line="360" w:lineRule="auto"/>
        <w:jc w:val="both"/>
        <w:rPr>
          <w:rFonts w:ascii="Times New Roman" w:hAnsi="Times New Roman" w:cs="Times New Roman"/>
          <w:i/>
          <w:sz w:val="24"/>
          <w:szCs w:val="24"/>
        </w:rPr>
      </w:pPr>
      <w:r w:rsidRPr="001D3CE9">
        <w:rPr>
          <w:rFonts w:ascii="Times New Roman" w:hAnsi="Times New Roman" w:cs="Times New Roman"/>
          <w:i/>
          <w:sz w:val="24"/>
          <w:szCs w:val="24"/>
        </w:rPr>
        <w:t>Performance Metrics of GAN-based Defense Framework</w:t>
      </w:r>
    </w:p>
    <w:tbl>
      <w:tblPr>
        <w:tblW w:w="9085" w:type="dxa"/>
        <w:tblCellMar>
          <w:top w:w="15" w:type="dxa"/>
          <w:left w:w="15" w:type="dxa"/>
          <w:bottom w:w="15" w:type="dxa"/>
          <w:right w:w="15" w:type="dxa"/>
        </w:tblCellMar>
        <w:tblLook w:val="04A0" w:firstRow="1" w:lastRow="0" w:firstColumn="1" w:lastColumn="0" w:noHBand="0" w:noVBand="1"/>
      </w:tblPr>
      <w:tblGrid>
        <w:gridCol w:w="1276"/>
        <w:gridCol w:w="1440"/>
        <w:gridCol w:w="1414"/>
        <w:gridCol w:w="1107"/>
        <w:gridCol w:w="1370"/>
        <w:gridCol w:w="1239"/>
        <w:gridCol w:w="1239"/>
      </w:tblGrid>
      <w:tr w:rsidR="00F5380D" w:rsidRPr="001D3CE9" w14:paraId="5C788CFD" w14:textId="77777777" w:rsidTr="0083354A">
        <w:trPr>
          <w:trHeight w:val="548"/>
        </w:trPr>
        <w:tc>
          <w:tcPr>
            <w:tcW w:w="0" w:type="auto"/>
            <w:tcBorders>
              <w:top w:val="single" w:sz="8" w:space="0" w:color="auto"/>
              <w:bottom w:val="single" w:sz="8" w:space="0" w:color="auto"/>
            </w:tcBorders>
            <w:vAlign w:val="center"/>
            <w:hideMark/>
          </w:tcPr>
          <w:p w14:paraId="62C9E8A1" w14:textId="77777777" w:rsidR="00F5380D" w:rsidRPr="001D3CE9" w:rsidRDefault="00F5380D" w:rsidP="0083354A">
            <w:pPr>
              <w:spacing w:line="360" w:lineRule="auto"/>
              <w:jc w:val="both"/>
              <w:rPr>
                <w:rFonts w:ascii="Times New Roman" w:hAnsi="Times New Roman" w:cs="Times New Roman"/>
                <w:b/>
                <w:bCs/>
                <w:sz w:val="24"/>
                <w:szCs w:val="24"/>
              </w:rPr>
            </w:pPr>
            <w:r w:rsidRPr="001D3CE9">
              <w:rPr>
                <w:rFonts w:ascii="Times New Roman" w:hAnsi="Times New Roman" w:cs="Times New Roman"/>
                <w:b/>
                <w:bCs/>
                <w:sz w:val="24"/>
                <w:szCs w:val="24"/>
              </w:rPr>
              <w:t>Attack Type</w:t>
            </w:r>
          </w:p>
        </w:tc>
        <w:tc>
          <w:tcPr>
            <w:tcW w:w="0" w:type="auto"/>
            <w:tcBorders>
              <w:top w:val="single" w:sz="8" w:space="0" w:color="auto"/>
              <w:bottom w:val="single" w:sz="8" w:space="0" w:color="auto"/>
            </w:tcBorders>
            <w:vAlign w:val="center"/>
            <w:hideMark/>
          </w:tcPr>
          <w:p w14:paraId="76EE4FD0"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Accuracy (%)</w:t>
            </w:r>
          </w:p>
        </w:tc>
        <w:tc>
          <w:tcPr>
            <w:tcW w:w="0" w:type="auto"/>
            <w:tcBorders>
              <w:top w:val="single" w:sz="8" w:space="0" w:color="auto"/>
              <w:bottom w:val="single" w:sz="8" w:space="0" w:color="auto"/>
            </w:tcBorders>
            <w:vAlign w:val="center"/>
            <w:hideMark/>
          </w:tcPr>
          <w:p w14:paraId="2F78CAE9"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Precision (%)</w:t>
            </w:r>
          </w:p>
        </w:tc>
        <w:tc>
          <w:tcPr>
            <w:tcW w:w="0" w:type="auto"/>
            <w:tcBorders>
              <w:top w:val="single" w:sz="8" w:space="0" w:color="auto"/>
              <w:bottom w:val="single" w:sz="8" w:space="0" w:color="auto"/>
            </w:tcBorders>
            <w:vAlign w:val="center"/>
            <w:hideMark/>
          </w:tcPr>
          <w:p w14:paraId="480D194C"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Recall (%)</w:t>
            </w:r>
          </w:p>
        </w:tc>
        <w:tc>
          <w:tcPr>
            <w:tcW w:w="0" w:type="auto"/>
            <w:tcBorders>
              <w:top w:val="single" w:sz="8" w:space="0" w:color="auto"/>
              <w:bottom w:val="single" w:sz="8" w:space="0" w:color="auto"/>
            </w:tcBorders>
            <w:vAlign w:val="center"/>
            <w:hideMark/>
          </w:tcPr>
          <w:p w14:paraId="39904B7B"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F1-Score (%)</w:t>
            </w:r>
          </w:p>
        </w:tc>
        <w:tc>
          <w:tcPr>
            <w:tcW w:w="0" w:type="auto"/>
            <w:tcBorders>
              <w:top w:val="single" w:sz="8" w:space="0" w:color="auto"/>
              <w:bottom w:val="single" w:sz="8" w:space="0" w:color="auto"/>
            </w:tcBorders>
            <w:vAlign w:val="center"/>
            <w:hideMark/>
          </w:tcPr>
          <w:p w14:paraId="6FAC8379"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MTTD (ms)</w:t>
            </w:r>
          </w:p>
        </w:tc>
        <w:tc>
          <w:tcPr>
            <w:tcW w:w="0" w:type="auto"/>
            <w:tcBorders>
              <w:top w:val="single" w:sz="8" w:space="0" w:color="auto"/>
              <w:bottom w:val="single" w:sz="8" w:space="0" w:color="auto"/>
            </w:tcBorders>
            <w:vAlign w:val="center"/>
            <w:hideMark/>
          </w:tcPr>
          <w:p w14:paraId="483CB856"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MTTR (ms)</w:t>
            </w:r>
          </w:p>
        </w:tc>
      </w:tr>
      <w:tr w:rsidR="00F5380D" w:rsidRPr="001D3CE9" w14:paraId="48532066" w14:textId="77777777" w:rsidTr="0083354A">
        <w:trPr>
          <w:trHeight w:val="548"/>
        </w:trPr>
        <w:tc>
          <w:tcPr>
            <w:tcW w:w="0" w:type="auto"/>
            <w:tcBorders>
              <w:top w:val="single" w:sz="8" w:space="0" w:color="auto"/>
            </w:tcBorders>
            <w:vAlign w:val="center"/>
            <w:hideMark/>
          </w:tcPr>
          <w:p w14:paraId="17C5A645"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FGSM</w:t>
            </w:r>
          </w:p>
        </w:tc>
        <w:tc>
          <w:tcPr>
            <w:tcW w:w="0" w:type="auto"/>
            <w:tcBorders>
              <w:top w:val="single" w:sz="8" w:space="0" w:color="auto"/>
            </w:tcBorders>
            <w:vAlign w:val="center"/>
            <w:hideMark/>
          </w:tcPr>
          <w:p w14:paraId="14886F2C"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97.1</w:t>
            </w:r>
          </w:p>
        </w:tc>
        <w:tc>
          <w:tcPr>
            <w:tcW w:w="0" w:type="auto"/>
            <w:tcBorders>
              <w:top w:val="single" w:sz="8" w:space="0" w:color="auto"/>
            </w:tcBorders>
            <w:vAlign w:val="center"/>
            <w:hideMark/>
          </w:tcPr>
          <w:p w14:paraId="511DB71C"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97.8</w:t>
            </w:r>
          </w:p>
        </w:tc>
        <w:tc>
          <w:tcPr>
            <w:tcW w:w="0" w:type="auto"/>
            <w:tcBorders>
              <w:top w:val="single" w:sz="8" w:space="0" w:color="auto"/>
            </w:tcBorders>
            <w:vAlign w:val="center"/>
            <w:hideMark/>
          </w:tcPr>
          <w:p w14:paraId="7C069BFD"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96.5</w:t>
            </w:r>
          </w:p>
        </w:tc>
        <w:tc>
          <w:tcPr>
            <w:tcW w:w="0" w:type="auto"/>
            <w:tcBorders>
              <w:top w:val="single" w:sz="8" w:space="0" w:color="auto"/>
            </w:tcBorders>
            <w:vAlign w:val="center"/>
            <w:hideMark/>
          </w:tcPr>
          <w:p w14:paraId="249B2B8D"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97.1</w:t>
            </w:r>
          </w:p>
        </w:tc>
        <w:tc>
          <w:tcPr>
            <w:tcW w:w="0" w:type="auto"/>
            <w:tcBorders>
              <w:top w:val="single" w:sz="8" w:space="0" w:color="auto"/>
            </w:tcBorders>
            <w:vAlign w:val="center"/>
            <w:hideMark/>
          </w:tcPr>
          <w:p w14:paraId="6FE296C3"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80</w:t>
            </w:r>
          </w:p>
        </w:tc>
        <w:tc>
          <w:tcPr>
            <w:tcW w:w="0" w:type="auto"/>
            <w:tcBorders>
              <w:top w:val="single" w:sz="8" w:space="0" w:color="auto"/>
            </w:tcBorders>
            <w:vAlign w:val="center"/>
            <w:hideMark/>
          </w:tcPr>
          <w:p w14:paraId="62BEAF2C"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45</w:t>
            </w:r>
          </w:p>
        </w:tc>
      </w:tr>
      <w:tr w:rsidR="00F5380D" w:rsidRPr="001D3CE9" w14:paraId="36382ABA" w14:textId="77777777" w:rsidTr="0083354A">
        <w:trPr>
          <w:trHeight w:val="565"/>
        </w:trPr>
        <w:tc>
          <w:tcPr>
            <w:tcW w:w="0" w:type="auto"/>
            <w:vAlign w:val="center"/>
            <w:hideMark/>
          </w:tcPr>
          <w:p w14:paraId="380EB4BC"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PGD</w:t>
            </w:r>
          </w:p>
        </w:tc>
        <w:tc>
          <w:tcPr>
            <w:tcW w:w="0" w:type="auto"/>
            <w:vAlign w:val="center"/>
            <w:hideMark/>
          </w:tcPr>
          <w:p w14:paraId="2738554F"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94.8</w:t>
            </w:r>
          </w:p>
        </w:tc>
        <w:tc>
          <w:tcPr>
            <w:tcW w:w="0" w:type="auto"/>
            <w:vAlign w:val="center"/>
            <w:hideMark/>
          </w:tcPr>
          <w:p w14:paraId="372D7657"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95.5</w:t>
            </w:r>
          </w:p>
        </w:tc>
        <w:tc>
          <w:tcPr>
            <w:tcW w:w="0" w:type="auto"/>
            <w:vAlign w:val="center"/>
            <w:hideMark/>
          </w:tcPr>
          <w:p w14:paraId="6621BBBF"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94.2</w:t>
            </w:r>
          </w:p>
        </w:tc>
        <w:tc>
          <w:tcPr>
            <w:tcW w:w="0" w:type="auto"/>
            <w:vAlign w:val="center"/>
            <w:hideMark/>
          </w:tcPr>
          <w:p w14:paraId="372C8DEA"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94.8</w:t>
            </w:r>
          </w:p>
        </w:tc>
        <w:tc>
          <w:tcPr>
            <w:tcW w:w="0" w:type="auto"/>
            <w:vAlign w:val="center"/>
            <w:hideMark/>
          </w:tcPr>
          <w:p w14:paraId="434D29B1"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84</w:t>
            </w:r>
          </w:p>
        </w:tc>
        <w:tc>
          <w:tcPr>
            <w:tcW w:w="0" w:type="auto"/>
            <w:vAlign w:val="center"/>
            <w:hideMark/>
          </w:tcPr>
          <w:p w14:paraId="0245436C"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48</w:t>
            </w:r>
          </w:p>
        </w:tc>
      </w:tr>
      <w:tr w:rsidR="00F5380D" w:rsidRPr="001D3CE9" w14:paraId="23AD87D1" w14:textId="77777777" w:rsidTr="0083354A">
        <w:trPr>
          <w:trHeight w:val="548"/>
        </w:trPr>
        <w:tc>
          <w:tcPr>
            <w:tcW w:w="0" w:type="auto"/>
            <w:vAlign w:val="center"/>
            <w:hideMark/>
          </w:tcPr>
          <w:p w14:paraId="23CBE6A9"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C&amp;W</w:t>
            </w:r>
          </w:p>
        </w:tc>
        <w:tc>
          <w:tcPr>
            <w:tcW w:w="0" w:type="auto"/>
            <w:vAlign w:val="center"/>
            <w:hideMark/>
          </w:tcPr>
          <w:p w14:paraId="605C97A4"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95.9</w:t>
            </w:r>
          </w:p>
        </w:tc>
        <w:tc>
          <w:tcPr>
            <w:tcW w:w="0" w:type="auto"/>
            <w:vAlign w:val="center"/>
            <w:hideMark/>
          </w:tcPr>
          <w:p w14:paraId="5B325BE6"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96.6</w:t>
            </w:r>
          </w:p>
        </w:tc>
        <w:tc>
          <w:tcPr>
            <w:tcW w:w="0" w:type="auto"/>
            <w:vAlign w:val="center"/>
            <w:hideMark/>
          </w:tcPr>
          <w:p w14:paraId="35FC60EB"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95.3</w:t>
            </w:r>
          </w:p>
        </w:tc>
        <w:tc>
          <w:tcPr>
            <w:tcW w:w="0" w:type="auto"/>
            <w:vAlign w:val="center"/>
            <w:hideMark/>
          </w:tcPr>
          <w:p w14:paraId="2E1EF376"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95.9</w:t>
            </w:r>
          </w:p>
        </w:tc>
        <w:tc>
          <w:tcPr>
            <w:tcW w:w="0" w:type="auto"/>
            <w:vAlign w:val="center"/>
            <w:hideMark/>
          </w:tcPr>
          <w:p w14:paraId="746EB268"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82</w:t>
            </w:r>
          </w:p>
        </w:tc>
        <w:tc>
          <w:tcPr>
            <w:tcW w:w="0" w:type="auto"/>
            <w:vAlign w:val="center"/>
            <w:hideMark/>
          </w:tcPr>
          <w:p w14:paraId="55BF36FE"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47</w:t>
            </w:r>
          </w:p>
        </w:tc>
      </w:tr>
      <w:tr w:rsidR="00F5380D" w:rsidRPr="001D3CE9" w14:paraId="3CA73F79" w14:textId="77777777" w:rsidTr="0083354A">
        <w:trPr>
          <w:trHeight w:val="548"/>
        </w:trPr>
        <w:tc>
          <w:tcPr>
            <w:tcW w:w="0" w:type="auto"/>
            <w:tcBorders>
              <w:bottom w:val="single" w:sz="8" w:space="0" w:color="auto"/>
            </w:tcBorders>
            <w:vAlign w:val="center"/>
            <w:hideMark/>
          </w:tcPr>
          <w:p w14:paraId="534012B9"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UAP</w:t>
            </w:r>
          </w:p>
        </w:tc>
        <w:tc>
          <w:tcPr>
            <w:tcW w:w="0" w:type="auto"/>
            <w:tcBorders>
              <w:bottom w:val="single" w:sz="8" w:space="0" w:color="auto"/>
            </w:tcBorders>
            <w:vAlign w:val="center"/>
            <w:hideMark/>
          </w:tcPr>
          <w:p w14:paraId="5C1B2D14"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96.4</w:t>
            </w:r>
          </w:p>
        </w:tc>
        <w:tc>
          <w:tcPr>
            <w:tcW w:w="0" w:type="auto"/>
            <w:tcBorders>
              <w:bottom w:val="single" w:sz="8" w:space="0" w:color="auto"/>
            </w:tcBorders>
            <w:vAlign w:val="center"/>
            <w:hideMark/>
          </w:tcPr>
          <w:p w14:paraId="199D4B5C"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97.0</w:t>
            </w:r>
          </w:p>
        </w:tc>
        <w:tc>
          <w:tcPr>
            <w:tcW w:w="0" w:type="auto"/>
            <w:tcBorders>
              <w:bottom w:val="single" w:sz="8" w:space="0" w:color="auto"/>
            </w:tcBorders>
            <w:vAlign w:val="center"/>
            <w:hideMark/>
          </w:tcPr>
          <w:p w14:paraId="4260BBE6"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95.8</w:t>
            </w:r>
          </w:p>
        </w:tc>
        <w:tc>
          <w:tcPr>
            <w:tcW w:w="0" w:type="auto"/>
            <w:tcBorders>
              <w:bottom w:val="single" w:sz="8" w:space="0" w:color="auto"/>
            </w:tcBorders>
            <w:vAlign w:val="center"/>
            <w:hideMark/>
          </w:tcPr>
          <w:p w14:paraId="1415383B"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96.4</w:t>
            </w:r>
          </w:p>
        </w:tc>
        <w:tc>
          <w:tcPr>
            <w:tcW w:w="0" w:type="auto"/>
            <w:tcBorders>
              <w:bottom w:val="single" w:sz="8" w:space="0" w:color="auto"/>
            </w:tcBorders>
            <w:vAlign w:val="center"/>
            <w:hideMark/>
          </w:tcPr>
          <w:p w14:paraId="0D1AE277"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81</w:t>
            </w:r>
          </w:p>
        </w:tc>
        <w:tc>
          <w:tcPr>
            <w:tcW w:w="0" w:type="auto"/>
            <w:tcBorders>
              <w:bottom w:val="single" w:sz="8" w:space="0" w:color="auto"/>
            </w:tcBorders>
            <w:vAlign w:val="center"/>
            <w:hideMark/>
          </w:tcPr>
          <w:p w14:paraId="5B6E9717"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46</w:t>
            </w:r>
          </w:p>
        </w:tc>
      </w:tr>
    </w:tbl>
    <w:p w14:paraId="773AD0EE" w14:textId="77777777" w:rsidR="00F5380D" w:rsidRDefault="00F5380D" w:rsidP="00F5380D">
      <w:pPr>
        <w:spacing w:after="0" w:line="240" w:lineRule="auto"/>
        <w:rPr>
          <w:rFonts w:ascii="Times New Roman" w:eastAsia="Times New Roman" w:hAnsi="Times New Roman" w:cs="Times New Roman"/>
          <w:color w:val="000000"/>
          <w:sz w:val="24"/>
          <w:szCs w:val="24"/>
        </w:rPr>
      </w:pPr>
    </w:p>
    <w:p w14:paraId="266E41B5" w14:textId="2EB8676F" w:rsidR="00F5380D" w:rsidRPr="000D3078" w:rsidRDefault="00F5380D" w:rsidP="00F5380D">
      <w:pPr>
        <w:spacing w:after="0" w:line="360" w:lineRule="auto"/>
        <w:rPr>
          <w:rFonts w:ascii="Times New Roman" w:eastAsia="Times New Roman" w:hAnsi="Times New Roman" w:cs="Times New Roman"/>
          <w:color w:val="000000"/>
          <w:sz w:val="24"/>
          <w:szCs w:val="24"/>
        </w:rPr>
      </w:pPr>
      <w:r w:rsidRPr="00A817B7">
        <w:rPr>
          <w:rFonts w:ascii="Times New Roman" w:eastAsia="Times New Roman" w:hAnsi="Times New Roman" w:cs="Times New Roman"/>
          <w:b/>
          <w:color w:val="000000"/>
          <w:sz w:val="24"/>
          <w:szCs w:val="24"/>
          <w:highlight w:val="yellow"/>
        </w:rPr>
        <w:t>Fig</w:t>
      </w:r>
      <w:r w:rsidRPr="000D3078">
        <w:rPr>
          <w:rFonts w:ascii="Times New Roman" w:eastAsia="Times New Roman" w:hAnsi="Times New Roman" w:cs="Times New Roman"/>
          <w:b/>
          <w:color w:val="000000"/>
          <w:sz w:val="24"/>
          <w:szCs w:val="24"/>
        </w:rPr>
        <w:t xml:space="preserve">ure </w:t>
      </w:r>
      <w:r w:rsidR="00A817B7">
        <w:rPr>
          <w:rFonts w:ascii="Times New Roman" w:eastAsia="Times New Roman" w:hAnsi="Times New Roman" w:cs="Times New Roman"/>
          <w:b/>
          <w:color w:val="000000"/>
          <w:sz w:val="24"/>
          <w:szCs w:val="24"/>
        </w:rPr>
        <w:t>5</w:t>
      </w:r>
    </w:p>
    <w:p w14:paraId="6EDB9158" w14:textId="77777777" w:rsidR="00F5380D" w:rsidRPr="000D3078" w:rsidRDefault="00F5380D" w:rsidP="00F5380D">
      <w:pPr>
        <w:spacing w:line="360" w:lineRule="auto"/>
        <w:rPr>
          <w:rFonts w:ascii="Times New Roman" w:eastAsia="Times New Roman" w:hAnsi="Times New Roman" w:cs="Times New Roman"/>
          <w:i/>
          <w:color w:val="000000"/>
          <w:sz w:val="24"/>
          <w:szCs w:val="24"/>
        </w:rPr>
      </w:pPr>
      <w:r w:rsidRPr="000D3078">
        <w:rPr>
          <w:rFonts w:ascii="Times New Roman" w:eastAsia="Times New Roman" w:hAnsi="Times New Roman" w:cs="Times New Roman"/>
          <w:i/>
          <w:color w:val="000000"/>
          <w:sz w:val="24"/>
          <w:szCs w:val="24"/>
        </w:rPr>
        <w:t>Performance Metrics of GAN-based Defense Framework Across Adversarial Attacks</w:t>
      </w:r>
    </w:p>
    <w:p w14:paraId="7863DFF1" w14:textId="77777777" w:rsidR="00F5380D" w:rsidRDefault="00F5380D" w:rsidP="00F5380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D8E70E" wp14:editId="2D24CE44">
            <wp:extent cx="3859200" cy="2442735"/>
            <wp:effectExtent l="19050" t="19050" r="2730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7549" cy="2479668"/>
                    </a:xfrm>
                    <a:prstGeom prst="rect">
                      <a:avLst/>
                    </a:prstGeom>
                    <a:noFill/>
                    <a:ln>
                      <a:solidFill>
                        <a:schemeClr val="bg1">
                          <a:lumMod val="50000"/>
                        </a:schemeClr>
                      </a:solidFill>
                      <a:prstDash val="sysDash"/>
                    </a:ln>
                  </pic:spPr>
                </pic:pic>
              </a:graphicData>
            </a:graphic>
          </wp:inline>
        </w:drawing>
      </w:r>
    </w:p>
    <w:p w14:paraId="2A930DDF" w14:textId="7F6CDA4A" w:rsidR="00F5380D" w:rsidRPr="000D3078" w:rsidRDefault="00F5380D" w:rsidP="00F5380D">
      <w:pPr>
        <w:spacing w:after="0" w:line="360" w:lineRule="auto"/>
        <w:rPr>
          <w:rFonts w:ascii="Times New Roman" w:eastAsia="Times New Roman" w:hAnsi="Times New Roman" w:cs="Times New Roman"/>
          <w:b/>
          <w:color w:val="000000"/>
          <w:sz w:val="24"/>
          <w:szCs w:val="24"/>
        </w:rPr>
      </w:pPr>
      <w:r w:rsidRPr="00A817B7">
        <w:rPr>
          <w:rFonts w:ascii="Times New Roman" w:eastAsia="Times New Roman" w:hAnsi="Times New Roman" w:cs="Times New Roman"/>
          <w:b/>
          <w:color w:val="000000"/>
          <w:sz w:val="24"/>
          <w:szCs w:val="24"/>
          <w:highlight w:val="yellow"/>
        </w:rPr>
        <w:lastRenderedPageBreak/>
        <w:t>Fig</w:t>
      </w:r>
      <w:r w:rsidRPr="000D3078">
        <w:rPr>
          <w:rFonts w:ascii="Times New Roman" w:eastAsia="Times New Roman" w:hAnsi="Times New Roman" w:cs="Times New Roman"/>
          <w:b/>
          <w:color w:val="000000"/>
          <w:sz w:val="24"/>
          <w:szCs w:val="24"/>
        </w:rPr>
        <w:t xml:space="preserve">ure </w:t>
      </w:r>
      <w:r w:rsidR="00A817B7">
        <w:rPr>
          <w:rFonts w:ascii="Times New Roman" w:eastAsia="Times New Roman" w:hAnsi="Times New Roman" w:cs="Times New Roman"/>
          <w:b/>
          <w:color w:val="000000"/>
          <w:sz w:val="24"/>
          <w:szCs w:val="24"/>
        </w:rPr>
        <w:t>6</w:t>
      </w:r>
    </w:p>
    <w:p w14:paraId="6687FE73" w14:textId="77777777" w:rsidR="00F5380D" w:rsidRPr="000D3078" w:rsidRDefault="00F5380D" w:rsidP="00F5380D">
      <w:pPr>
        <w:spacing w:after="0" w:line="360" w:lineRule="auto"/>
        <w:rPr>
          <w:rFonts w:ascii="Times New Roman" w:eastAsia="Times New Roman" w:hAnsi="Times New Roman" w:cs="Times New Roman"/>
          <w:i/>
          <w:color w:val="000000"/>
          <w:sz w:val="24"/>
          <w:szCs w:val="24"/>
        </w:rPr>
      </w:pPr>
      <w:r w:rsidRPr="000D3078">
        <w:rPr>
          <w:rFonts w:ascii="Times New Roman" w:eastAsia="Times New Roman" w:hAnsi="Times New Roman" w:cs="Times New Roman"/>
          <w:i/>
          <w:color w:val="000000"/>
          <w:sz w:val="24"/>
          <w:szCs w:val="24"/>
        </w:rPr>
        <w:t>Computational Efficiency of GAN-based Defense Framework</w:t>
      </w:r>
    </w:p>
    <w:p w14:paraId="0A3964D6" w14:textId="77777777" w:rsidR="00F5380D" w:rsidRPr="001D3CE9" w:rsidRDefault="00F5380D" w:rsidP="00F5380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09D9CC" wp14:editId="2CF551CF">
            <wp:extent cx="3858895" cy="2406731"/>
            <wp:effectExtent l="19050" t="19050" r="2730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3603" cy="2415904"/>
                    </a:xfrm>
                    <a:prstGeom prst="rect">
                      <a:avLst/>
                    </a:prstGeom>
                    <a:noFill/>
                    <a:ln>
                      <a:solidFill>
                        <a:schemeClr val="bg1">
                          <a:lumMod val="50000"/>
                        </a:schemeClr>
                      </a:solidFill>
                      <a:prstDash val="sysDash"/>
                    </a:ln>
                  </pic:spPr>
                </pic:pic>
              </a:graphicData>
            </a:graphic>
          </wp:inline>
        </w:drawing>
      </w:r>
    </w:p>
    <w:p w14:paraId="56DE1E2A" w14:textId="77777777" w:rsidR="00F5380D" w:rsidRPr="001D3CE9" w:rsidRDefault="00F5380D" w:rsidP="00F5380D">
      <w:pPr>
        <w:spacing w:after="0"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Synthetic data quality was evaluated using Fréchet Inception Distance (FID) and Inception Score (IS). The framework achieved an FID of 11.87 and an IS of 9.02, indicating high-quality synthetic data comparable to state-of-the-art medical imaging GANs </w:t>
      </w:r>
      <w:r w:rsidRPr="001D3CE9">
        <w:rPr>
          <w:rFonts w:ascii="Times New Roman" w:eastAsia="Times New Roman" w:hAnsi="Times New Roman" w:cs="Times New Roman"/>
          <w:sz w:val="24"/>
          <w:szCs w:val="24"/>
        </w:rPr>
        <w:t>(Choi et al., 2017)</w:t>
      </w:r>
      <w:r w:rsidRPr="001D3CE9">
        <w:rPr>
          <w:rFonts w:ascii="Times New Roman" w:hAnsi="Times New Roman" w:cs="Times New Roman"/>
          <w:sz w:val="24"/>
          <w:szCs w:val="24"/>
        </w:rPr>
        <w:t>. Clinical validation by healthcare experts rated synthetic ECG data at 88.1% acceptability, vital sign patterns at 90.7%, and medical imaging data at 84.5%, confirming clinical relevance (Yi et al., 2019).</w:t>
      </w:r>
    </w:p>
    <w:p w14:paraId="2238027B" w14:textId="77777777" w:rsidR="00F5380D" w:rsidRPr="001D3CE9" w:rsidRDefault="00F5380D" w:rsidP="00F5380D">
      <w:pPr>
        <w:spacing w:before="240"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Validation and Effectiveness Evaluation</w:t>
      </w:r>
    </w:p>
    <w:p w14:paraId="59C3FEA0"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The framework’s effectiveness was validated using stratified 5-fold cross-validation across the CICIoMT2024, WUSTL-EHMS, and BoT-IoT datasets, ensuring robust performance across diverse healthcare domains. The cross-validation error was calculated.</w:t>
      </w:r>
    </w:p>
    <w:p w14:paraId="4F0C2713"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The framework achieved a mean cross-validation accuracy of 95.8%, with a standard deviation of 0.72%, indicating consistent performance. Statistical significance was confirmed using paired t-tests (p &lt; 0.001) and Mann-Whitney U tests for non-normal data.</w:t>
      </w:r>
    </w:p>
    <w:p w14:paraId="2043F3C6"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The t-tests showed significant improvements over baseline defenses (</w:t>
      </w:r>
      <w:r w:rsidRPr="001D3CE9">
        <w:rPr>
          <w:rFonts w:ascii="Times New Roman" w:hAnsi="Times New Roman" w:cs="Times New Roman"/>
          <w:i/>
          <w:sz w:val="24"/>
          <w:szCs w:val="24"/>
        </w:rPr>
        <w:t>p</w:t>
      </w:r>
      <w:r w:rsidRPr="001D3CE9">
        <w:rPr>
          <w:rFonts w:ascii="Times New Roman" w:hAnsi="Times New Roman" w:cs="Times New Roman"/>
          <w:sz w:val="24"/>
          <w:szCs w:val="24"/>
        </w:rPr>
        <w:t xml:space="preserve"> = 0.0004), with a Cohen’s d effect size of 1.78, indicating a large practical impact.</w:t>
      </w:r>
    </w:p>
    <w:p w14:paraId="69EBADAC" w14:textId="170812B5"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 xml:space="preserve">Bootstrap confidence intervals estimated a 95% confidence range for accuracy of [95.1%, 96.5%], reinforcing reliability. </w:t>
      </w:r>
      <w:r w:rsidRPr="00A817B7">
        <w:rPr>
          <w:rFonts w:ascii="Times New Roman" w:hAnsi="Times New Roman" w:cs="Times New Roman"/>
          <w:sz w:val="24"/>
          <w:szCs w:val="24"/>
          <w:highlight w:val="yellow"/>
        </w:rPr>
        <w:t>Fig</w:t>
      </w:r>
      <w:r w:rsidRPr="001D3CE9">
        <w:rPr>
          <w:rFonts w:ascii="Times New Roman" w:hAnsi="Times New Roman" w:cs="Times New Roman"/>
          <w:sz w:val="24"/>
          <w:szCs w:val="24"/>
        </w:rPr>
        <w:t xml:space="preserve">ure </w:t>
      </w:r>
      <w:r w:rsidR="00A817B7">
        <w:rPr>
          <w:rFonts w:ascii="Times New Roman" w:hAnsi="Times New Roman" w:cs="Times New Roman"/>
          <w:sz w:val="24"/>
          <w:szCs w:val="24"/>
        </w:rPr>
        <w:t>7</w:t>
      </w:r>
      <w:r w:rsidRPr="001D3CE9">
        <w:rPr>
          <w:rFonts w:ascii="Times New Roman" w:hAnsi="Times New Roman" w:cs="Times New Roman"/>
          <w:sz w:val="24"/>
          <w:szCs w:val="24"/>
        </w:rPr>
        <w:t xml:space="preserve"> illustrates the ROC curves for the framework across attack types.</w:t>
      </w:r>
    </w:p>
    <w:p w14:paraId="117288E9" w14:textId="77777777" w:rsidR="00831CD6" w:rsidRDefault="00831CD6" w:rsidP="00F5380D">
      <w:pPr>
        <w:spacing w:after="0" w:line="360" w:lineRule="auto"/>
        <w:jc w:val="both"/>
        <w:rPr>
          <w:rFonts w:ascii="Times New Roman" w:hAnsi="Times New Roman" w:cs="Times New Roman"/>
          <w:b/>
          <w:sz w:val="24"/>
          <w:szCs w:val="24"/>
        </w:rPr>
      </w:pPr>
    </w:p>
    <w:p w14:paraId="71FB1BEC" w14:textId="59A21C10" w:rsidR="00F5380D" w:rsidRDefault="00F5380D" w:rsidP="00F5380D">
      <w:pPr>
        <w:spacing w:after="0" w:line="360" w:lineRule="auto"/>
        <w:jc w:val="both"/>
        <w:rPr>
          <w:rFonts w:ascii="Times New Roman" w:hAnsi="Times New Roman" w:cs="Times New Roman"/>
          <w:b/>
          <w:sz w:val="24"/>
          <w:szCs w:val="24"/>
        </w:rPr>
      </w:pPr>
      <w:r w:rsidRPr="00A817B7">
        <w:rPr>
          <w:rFonts w:ascii="Times New Roman" w:hAnsi="Times New Roman" w:cs="Times New Roman"/>
          <w:b/>
          <w:sz w:val="24"/>
          <w:szCs w:val="24"/>
          <w:highlight w:val="yellow"/>
        </w:rPr>
        <w:lastRenderedPageBreak/>
        <w:t>Fig</w:t>
      </w:r>
      <w:r w:rsidRPr="001D3CE9">
        <w:rPr>
          <w:rFonts w:ascii="Times New Roman" w:hAnsi="Times New Roman" w:cs="Times New Roman"/>
          <w:b/>
          <w:sz w:val="24"/>
          <w:szCs w:val="24"/>
        </w:rPr>
        <w:t xml:space="preserve">ure </w:t>
      </w:r>
      <w:r w:rsidR="00A817B7">
        <w:rPr>
          <w:rFonts w:ascii="Times New Roman" w:hAnsi="Times New Roman" w:cs="Times New Roman"/>
          <w:b/>
          <w:sz w:val="24"/>
          <w:szCs w:val="24"/>
        </w:rPr>
        <w:t>7</w:t>
      </w:r>
    </w:p>
    <w:p w14:paraId="496B1F4D" w14:textId="77777777" w:rsidR="00F5380D" w:rsidRPr="000D70FB" w:rsidRDefault="00F5380D" w:rsidP="00F5380D">
      <w:pPr>
        <w:spacing w:line="360" w:lineRule="auto"/>
        <w:jc w:val="both"/>
        <w:rPr>
          <w:rFonts w:ascii="Times New Roman" w:hAnsi="Times New Roman" w:cs="Times New Roman"/>
          <w:i/>
          <w:sz w:val="24"/>
          <w:szCs w:val="24"/>
        </w:rPr>
      </w:pPr>
      <w:r w:rsidRPr="000D70FB">
        <w:rPr>
          <w:rFonts w:ascii="Times New Roman" w:hAnsi="Times New Roman" w:cs="Times New Roman"/>
          <w:i/>
          <w:sz w:val="24"/>
          <w:szCs w:val="24"/>
        </w:rPr>
        <w:t>ROC Curves for GAN-based Defense Framework</w:t>
      </w:r>
    </w:p>
    <w:p w14:paraId="2D9C9C79" w14:textId="77777777" w:rsidR="00F5380D" w:rsidRDefault="00831CD6" w:rsidP="00F5380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A503ED9" wp14:editId="53880411">
            <wp:extent cx="4407877" cy="252756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C.png"/>
                    <pic:cNvPicPr/>
                  </pic:nvPicPr>
                  <pic:blipFill rotWithShape="1">
                    <a:blip r:embed="rId13" cstate="print">
                      <a:extLst>
                        <a:ext uri="{28A0092B-C50C-407E-A947-70E740481C1C}">
                          <a14:useLocalDpi xmlns:a14="http://schemas.microsoft.com/office/drawing/2010/main" val="0"/>
                        </a:ext>
                      </a:extLst>
                    </a:blip>
                    <a:srcRect t="677" b="1132"/>
                    <a:stretch/>
                  </pic:blipFill>
                  <pic:spPr bwMode="auto">
                    <a:xfrm>
                      <a:off x="0" y="0"/>
                      <a:ext cx="4432253" cy="2541546"/>
                    </a:xfrm>
                    <a:prstGeom prst="rect">
                      <a:avLst/>
                    </a:prstGeom>
                    <a:ln>
                      <a:noFill/>
                      <a:prstDash val="sysDash"/>
                    </a:ln>
                    <a:extLst>
                      <a:ext uri="{53640926-AAD7-44D8-BBD7-CCE9431645EC}">
                        <a14:shadowObscured xmlns:a14="http://schemas.microsoft.com/office/drawing/2010/main"/>
                      </a:ext>
                    </a:extLst>
                  </pic:spPr>
                </pic:pic>
              </a:graphicData>
            </a:graphic>
          </wp:inline>
        </w:drawing>
      </w:r>
    </w:p>
    <w:p w14:paraId="6C2B9D14" w14:textId="77777777" w:rsidR="00F5380D" w:rsidRPr="001D3CE9" w:rsidRDefault="00F5380D" w:rsidP="00F5380D">
      <w:pPr>
        <w:spacing w:after="0"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The Area Under the ROC Curve (AUC-ROC) averaged 0.96, and the Matthews Correlation Coefficient (MCC) was 0.92, indicating balanced performance across imbalanced datasets (Goodfellow et al., 2014). Novel attack validation yielded 94.9% accuracy against previously unseen patterns, supporting generalizability </w:t>
      </w:r>
      <w:r w:rsidRPr="001D3CE9">
        <w:rPr>
          <w:rFonts w:ascii="Times New Roman" w:eastAsia="Times New Roman" w:hAnsi="Times New Roman" w:cs="Times New Roman"/>
          <w:sz w:val="24"/>
          <w:szCs w:val="24"/>
        </w:rPr>
        <w:t>(Sumaiya Tasneem et al., 2023)</w:t>
      </w:r>
      <w:r w:rsidRPr="001D3CE9">
        <w:rPr>
          <w:rFonts w:ascii="Times New Roman" w:hAnsi="Times New Roman" w:cs="Times New Roman"/>
          <w:sz w:val="24"/>
          <w:szCs w:val="24"/>
        </w:rPr>
        <w:t xml:space="preserve">. Table </w:t>
      </w:r>
      <w:r w:rsidR="0083354A">
        <w:rPr>
          <w:rFonts w:ascii="Times New Roman" w:hAnsi="Times New Roman" w:cs="Times New Roman"/>
          <w:sz w:val="24"/>
          <w:szCs w:val="24"/>
        </w:rPr>
        <w:t>5</w:t>
      </w:r>
      <w:r w:rsidRPr="001D3CE9">
        <w:rPr>
          <w:rFonts w:ascii="Times New Roman" w:hAnsi="Times New Roman" w:cs="Times New Roman"/>
          <w:sz w:val="24"/>
          <w:szCs w:val="24"/>
        </w:rPr>
        <w:t xml:space="preserve"> summarizes the cross-validation results.</w:t>
      </w:r>
    </w:p>
    <w:p w14:paraId="60360146" w14:textId="77777777" w:rsidR="00F5380D" w:rsidRPr="001D3CE9" w:rsidRDefault="00F5380D" w:rsidP="00F5380D">
      <w:pPr>
        <w:spacing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 xml:space="preserve">Table </w:t>
      </w:r>
      <w:r>
        <w:rPr>
          <w:rFonts w:ascii="Times New Roman" w:hAnsi="Times New Roman" w:cs="Times New Roman"/>
          <w:b/>
          <w:sz w:val="24"/>
          <w:szCs w:val="24"/>
        </w:rPr>
        <w:t>5</w:t>
      </w:r>
    </w:p>
    <w:p w14:paraId="12DBC1C2" w14:textId="77777777" w:rsidR="00F5380D" w:rsidRPr="001D3CE9" w:rsidRDefault="00F5380D" w:rsidP="00F5380D">
      <w:pPr>
        <w:spacing w:line="360" w:lineRule="auto"/>
        <w:jc w:val="both"/>
        <w:rPr>
          <w:rFonts w:ascii="Times New Roman" w:hAnsi="Times New Roman" w:cs="Times New Roman"/>
          <w:i/>
          <w:sz w:val="24"/>
          <w:szCs w:val="24"/>
        </w:rPr>
      </w:pPr>
      <w:r w:rsidRPr="001D3CE9">
        <w:rPr>
          <w:rFonts w:ascii="Times New Roman" w:hAnsi="Times New Roman" w:cs="Times New Roman"/>
          <w:i/>
          <w:sz w:val="24"/>
          <w:szCs w:val="24"/>
        </w:rPr>
        <w:t>Cross-Validation Results Across Datasets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863"/>
        <w:gridCol w:w="1864"/>
        <w:gridCol w:w="1864"/>
        <w:gridCol w:w="1864"/>
      </w:tblGrid>
      <w:tr w:rsidR="00F5380D" w:rsidRPr="001D3CE9" w14:paraId="3432AEA8" w14:textId="77777777" w:rsidTr="0083354A">
        <w:trPr>
          <w:trHeight w:val="509"/>
        </w:trPr>
        <w:tc>
          <w:tcPr>
            <w:tcW w:w="1863" w:type="dxa"/>
            <w:tcBorders>
              <w:top w:val="single" w:sz="8" w:space="0" w:color="auto"/>
              <w:bottom w:val="single" w:sz="8" w:space="0" w:color="auto"/>
            </w:tcBorders>
          </w:tcPr>
          <w:p w14:paraId="13A4F576" w14:textId="77777777" w:rsidR="00F5380D" w:rsidRPr="001D3CE9" w:rsidRDefault="00F5380D" w:rsidP="0083354A">
            <w:pPr>
              <w:spacing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Dataset</w:t>
            </w:r>
          </w:p>
        </w:tc>
        <w:tc>
          <w:tcPr>
            <w:tcW w:w="1863" w:type="dxa"/>
            <w:tcBorders>
              <w:top w:val="single" w:sz="8" w:space="0" w:color="auto"/>
              <w:bottom w:val="single" w:sz="8" w:space="0" w:color="auto"/>
            </w:tcBorders>
          </w:tcPr>
          <w:p w14:paraId="3A697C5F" w14:textId="77777777" w:rsidR="00F5380D" w:rsidRPr="001D3CE9" w:rsidRDefault="00F5380D" w:rsidP="0083354A">
            <w:pPr>
              <w:spacing w:line="360" w:lineRule="auto"/>
              <w:jc w:val="center"/>
              <w:rPr>
                <w:rFonts w:ascii="Times New Roman" w:hAnsi="Times New Roman" w:cs="Times New Roman"/>
                <w:b/>
                <w:sz w:val="24"/>
                <w:szCs w:val="24"/>
              </w:rPr>
            </w:pPr>
            <w:r w:rsidRPr="001D3CE9">
              <w:rPr>
                <w:rFonts w:ascii="Times New Roman" w:hAnsi="Times New Roman" w:cs="Times New Roman"/>
                <w:b/>
                <w:sz w:val="24"/>
                <w:szCs w:val="24"/>
              </w:rPr>
              <w:t>Mean Accuracy (%)</w:t>
            </w:r>
          </w:p>
        </w:tc>
        <w:tc>
          <w:tcPr>
            <w:tcW w:w="1864" w:type="dxa"/>
            <w:tcBorders>
              <w:top w:val="single" w:sz="8" w:space="0" w:color="auto"/>
              <w:bottom w:val="single" w:sz="8" w:space="0" w:color="auto"/>
            </w:tcBorders>
          </w:tcPr>
          <w:p w14:paraId="7BD50D71" w14:textId="77777777" w:rsidR="00F5380D" w:rsidRPr="001D3CE9" w:rsidRDefault="00F5380D" w:rsidP="0083354A">
            <w:pPr>
              <w:spacing w:line="360" w:lineRule="auto"/>
              <w:jc w:val="center"/>
              <w:rPr>
                <w:rFonts w:ascii="Times New Roman" w:hAnsi="Times New Roman" w:cs="Times New Roman"/>
                <w:b/>
                <w:sz w:val="24"/>
                <w:szCs w:val="24"/>
              </w:rPr>
            </w:pPr>
            <w:r w:rsidRPr="001D3CE9">
              <w:rPr>
                <w:rFonts w:ascii="Times New Roman" w:hAnsi="Times New Roman" w:cs="Times New Roman"/>
                <w:b/>
                <w:sz w:val="24"/>
                <w:szCs w:val="24"/>
              </w:rPr>
              <w:t>Std. Dev. (%)</w:t>
            </w:r>
          </w:p>
        </w:tc>
        <w:tc>
          <w:tcPr>
            <w:tcW w:w="1864" w:type="dxa"/>
            <w:tcBorders>
              <w:top w:val="single" w:sz="8" w:space="0" w:color="auto"/>
              <w:bottom w:val="single" w:sz="8" w:space="0" w:color="auto"/>
            </w:tcBorders>
          </w:tcPr>
          <w:p w14:paraId="3771AC73" w14:textId="77777777" w:rsidR="00F5380D" w:rsidRPr="001D3CE9" w:rsidRDefault="00F5380D" w:rsidP="0083354A">
            <w:pPr>
              <w:spacing w:line="360" w:lineRule="auto"/>
              <w:jc w:val="center"/>
              <w:rPr>
                <w:rFonts w:ascii="Times New Roman" w:hAnsi="Times New Roman" w:cs="Times New Roman"/>
                <w:b/>
                <w:sz w:val="24"/>
                <w:szCs w:val="24"/>
              </w:rPr>
            </w:pPr>
            <w:r w:rsidRPr="001D3CE9">
              <w:rPr>
                <w:rFonts w:ascii="Times New Roman" w:hAnsi="Times New Roman" w:cs="Times New Roman"/>
                <w:b/>
                <w:sz w:val="24"/>
                <w:szCs w:val="24"/>
              </w:rPr>
              <w:t>AUC-ROC</w:t>
            </w:r>
          </w:p>
        </w:tc>
        <w:tc>
          <w:tcPr>
            <w:tcW w:w="1864" w:type="dxa"/>
            <w:tcBorders>
              <w:top w:val="single" w:sz="8" w:space="0" w:color="auto"/>
              <w:bottom w:val="single" w:sz="8" w:space="0" w:color="auto"/>
            </w:tcBorders>
          </w:tcPr>
          <w:p w14:paraId="1EF1901F" w14:textId="77777777" w:rsidR="00F5380D" w:rsidRPr="001D3CE9" w:rsidRDefault="00F5380D" w:rsidP="0083354A">
            <w:pPr>
              <w:spacing w:line="360" w:lineRule="auto"/>
              <w:jc w:val="center"/>
              <w:rPr>
                <w:rFonts w:ascii="Times New Roman" w:hAnsi="Times New Roman" w:cs="Times New Roman"/>
                <w:b/>
                <w:sz w:val="24"/>
                <w:szCs w:val="24"/>
              </w:rPr>
            </w:pPr>
            <w:r w:rsidRPr="001D3CE9">
              <w:rPr>
                <w:rFonts w:ascii="Times New Roman" w:hAnsi="Times New Roman" w:cs="Times New Roman"/>
                <w:b/>
                <w:sz w:val="24"/>
                <w:szCs w:val="24"/>
              </w:rPr>
              <w:t>MCC</w:t>
            </w:r>
          </w:p>
        </w:tc>
      </w:tr>
      <w:tr w:rsidR="00F5380D" w:rsidRPr="001D3CE9" w14:paraId="2F775EE8" w14:textId="77777777" w:rsidTr="0083354A">
        <w:trPr>
          <w:trHeight w:val="278"/>
        </w:trPr>
        <w:tc>
          <w:tcPr>
            <w:tcW w:w="1863" w:type="dxa"/>
            <w:tcBorders>
              <w:top w:val="single" w:sz="8" w:space="0" w:color="auto"/>
            </w:tcBorders>
          </w:tcPr>
          <w:p w14:paraId="1763421E"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CICIoMT2024</w:t>
            </w:r>
          </w:p>
        </w:tc>
        <w:tc>
          <w:tcPr>
            <w:tcW w:w="1863" w:type="dxa"/>
            <w:tcBorders>
              <w:top w:val="single" w:sz="8" w:space="0" w:color="auto"/>
            </w:tcBorders>
          </w:tcPr>
          <w:p w14:paraId="55EC3FA1"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95.9</w:t>
            </w:r>
          </w:p>
        </w:tc>
        <w:tc>
          <w:tcPr>
            <w:tcW w:w="1864" w:type="dxa"/>
            <w:tcBorders>
              <w:top w:val="single" w:sz="8" w:space="0" w:color="auto"/>
            </w:tcBorders>
          </w:tcPr>
          <w:p w14:paraId="6351EF4F"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0.70</w:t>
            </w:r>
          </w:p>
        </w:tc>
        <w:tc>
          <w:tcPr>
            <w:tcW w:w="1864" w:type="dxa"/>
            <w:tcBorders>
              <w:top w:val="single" w:sz="8" w:space="0" w:color="auto"/>
            </w:tcBorders>
          </w:tcPr>
          <w:p w14:paraId="59569226"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0.97</w:t>
            </w:r>
          </w:p>
        </w:tc>
        <w:tc>
          <w:tcPr>
            <w:tcW w:w="1864" w:type="dxa"/>
            <w:tcBorders>
              <w:top w:val="single" w:sz="8" w:space="0" w:color="auto"/>
            </w:tcBorders>
          </w:tcPr>
          <w:p w14:paraId="69319D95"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0.93</w:t>
            </w:r>
          </w:p>
        </w:tc>
      </w:tr>
      <w:tr w:rsidR="00F5380D" w:rsidRPr="001D3CE9" w14:paraId="1C2CF8CB" w14:textId="77777777" w:rsidTr="0083354A">
        <w:trPr>
          <w:trHeight w:val="278"/>
        </w:trPr>
        <w:tc>
          <w:tcPr>
            <w:tcW w:w="1863" w:type="dxa"/>
          </w:tcPr>
          <w:p w14:paraId="1180B4D7"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WUSTL-EHMS-2020</w:t>
            </w:r>
          </w:p>
        </w:tc>
        <w:tc>
          <w:tcPr>
            <w:tcW w:w="1863" w:type="dxa"/>
          </w:tcPr>
          <w:p w14:paraId="11A64552"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95.7</w:t>
            </w:r>
          </w:p>
        </w:tc>
        <w:tc>
          <w:tcPr>
            <w:tcW w:w="1864" w:type="dxa"/>
          </w:tcPr>
          <w:p w14:paraId="32BE0A85"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0.74</w:t>
            </w:r>
          </w:p>
        </w:tc>
        <w:tc>
          <w:tcPr>
            <w:tcW w:w="1864" w:type="dxa"/>
          </w:tcPr>
          <w:p w14:paraId="3FA65ED7"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0.96</w:t>
            </w:r>
          </w:p>
        </w:tc>
        <w:tc>
          <w:tcPr>
            <w:tcW w:w="1864" w:type="dxa"/>
          </w:tcPr>
          <w:p w14:paraId="6C9145BB"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0.92</w:t>
            </w:r>
          </w:p>
        </w:tc>
      </w:tr>
      <w:tr w:rsidR="00F5380D" w:rsidRPr="001D3CE9" w14:paraId="512E41EC" w14:textId="77777777" w:rsidTr="0083354A">
        <w:trPr>
          <w:trHeight w:val="265"/>
        </w:trPr>
        <w:tc>
          <w:tcPr>
            <w:tcW w:w="1863" w:type="dxa"/>
            <w:tcBorders>
              <w:bottom w:val="single" w:sz="8" w:space="0" w:color="auto"/>
            </w:tcBorders>
          </w:tcPr>
          <w:p w14:paraId="04513FEB"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BoT-IoT</w:t>
            </w:r>
          </w:p>
        </w:tc>
        <w:tc>
          <w:tcPr>
            <w:tcW w:w="1863" w:type="dxa"/>
            <w:tcBorders>
              <w:bottom w:val="single" w:sz="8" w:space="0" w:color="auto"/>
            </w:tcBorders>
          </w:tcPr>
          <w:p w14:paraId="3C0DC861"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95.6</w:t>
            </w:r>
          </w:p>
        </w:tc>
        <w:tc>
          <w:tcPr>
            <w:tcW w:w="1864" w:type="dxa"/>
            <w:tcBorders>
              <w:bottom w:val="single" w:sz="8" w:space="0" w:color="auto"/>
            </w:tcBorders>
          </w:tcPr>
          <w:p w14:paraId="77CCF8F1"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0.71</w:t>
            </w:r>
          </w:p>
        </w:tc>
        <w:tc>
          <w:tcPr>
            <w:tcW w:w="1864" w:type="dxa"/>
            <w:tcBorders>
              <w:bottom w:val="single" w:sz="8" w:space="0" w:color="auto"/>
            </w:tcBorders>
          </w:tcPr>
          <w:p w14:paraId="0D772F3D"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0.95</w:t>
            </w:r>
          </w:p>
        </w:tc>
        <w:tc>
          <w:tcPr>
            <w:tcW w:w="1864" w:type="dxa"/>
            <w:tcBorders>
              <w:bottom w:val="single" w:sz="8" w:space="0" w:color="auto"/>
            </w:tcBorders>
          </w:tcPr>
          <w:p w14:paraId="305BEA0A"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0.91</w:t>
            </w:r>
          </w:p>
        </w:tc>
      </w:tr>
    </w:tbl>
    <w:p w14:paraId="76A3CEBA" w14:textId="77777777" w:rsidR="00F5380D" w:rsidRPr="001D3CE9" w:rsidRDefault="00F5380D" w:rsidP="00831CD6">
      <w:pPr>
        <w:spacing w:before="240"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Discussion</w:t>
      </w:r>
    </w:p>
    <w:p w14:paraId="209226CC" w14:textId="77777777" w:rsidR="00D44636" w:rsidRPr="00D44636" w:rsidRDefault="00D44636" w:rsidP="00D44636">
      <w:pPr>
        <w:spacing w:after="0" w:line="360" w:lineRule="auto"/>
        <w:jc w:val="both"/>
        <w:rPr>
          <w:rFonts w:ascii="Times New Roman" w:hAnsi="Times New Roman" w:cs="Times New Roman"/>
          <w:sz w:val="24"/>
          <w:szCs w:val="24"/>
        </w:rPr>
      </w:pPr>
      <w:r w:rsidRPr="00D44636">
        <w:rPr>
          <w:rFonts w:ascii="Times New Roman" w:hAnsi="Times New Roman" w:cs="Times New Roman"/>
          <w:sz w:val="24"/>
          <w:szCs w:val="24"/>
        </w:rPr>
        <w:t xml:space="preserve">The results of this study validate the efficacy of the AI-driven adversarial defense framework utilizing Generative Adversarial Networks (GANs) for securing healthcare IoT ecosystems, marking a significant advancement in addressing escalating cybersecurity threats in medical </w:t>
      </w:r>
      <w:r w:rsidRPr="00D44636">
        <w:rPr>
          <w:rFonts w:ascii="Times New Roman" w:hAnsi="Times New Roman" w:cs="Times New Roman"/>
          <w:sz w:val="24"/>
          <w:szCs w:val="24"/>
        </w:rPr>
        <w:lastRenderedPageBreak/>
        <w:t>environments. The comprehensive threat model identified 127 vulnerability vectors, with adversarial machine learning attacks constituting 32% of the threat landscape, corroborating findings by Finlayson et al. (2019), who highlighted the growing prevalence of AI-targeted attacks in healthcare settings. The high risk scores for critical care devices (mean: 9.34 on a 10-point scale) underscore the urgent need for robust defenses, as emphasized by Ruwayd Hussain Charfare et al. (2024), particularly given the life-threatening implications of vulnerabilities in devices like insulin pumps and cardiac monitors. This aligns with Sendelj &amp; Ognjanovic (2022), who noted the disproportionate risk exposure of critical care systems due to their connectivity and reliance on AI-driven diagnostics.</w:t>
      </w:r>
    </w:p>
    <w:p w14:paraId="21E72EB6" w14:textId="77777777" w:rsidR="00D44636" w:rsidRPr="00D44636" w:rsidRDefault="00D44636" w:rsidP="00D44636">
      <w:pPr>
        <w:spacing w:after="0" w:line="360" w:lineRule="auto"/>
        <w:jc w:val="both"/>
        <w:rPr>
          <w:rFonts w:ascii="Times New Roman" w:hAnsi="Times New Roman" w:cs="Times New Roman"/>
          <w:sz w:val="24"/>
          <w:szCs w:val="24"/>
        </w:rPr>
      </w:pPr>
      <w:r w:rsidRPr="00D44636">
        <w:rPr>
          <w:rFonts w:ascii="Times New Roman" w:hAnsi="Times New Roman" w:cs="Times New Roman"/>
          <w:sz w:val="24"/>
          <w:szCs w:val="24"/>
        </w:rPr>
        <w:t>The GAN-based defense framework demonstrated exceptional performance, achieving a mean accuracy of 95.8% across stratified 5-fold cross-validation, with specific accuracies of 97.1% against Fast Gradient Sign Method (FGSM), 94.8% against Projected Gradient Descent (PGD), 95.9% against Carlini &amp; Wagner (C&amp;W), and 96.4% against Universal Adversarial Perturbations (UAP). These results represent a 39.4% improvement over traditional intrusion detection systems and 25.6% over adversarial training methods, consistent with Sumaiya Tasneem et al. (2023), who reported superior performance of GAN-based defenses in cybersecurity applications. The framework’s ability to reconstruct adversarial inputs using optimization effectively mitigates attacks by mapping inputs to the learned data manifold, a strategy supported by Choi et al. (2017). The low Fréchet Inception Distance (FID) of 11.87 and high Inception Score (IS) of 9.02 for synthetic data generation confirm the framework’s capability to produce clinically relevant data, achieving acceptability ratings of 88.1% for ECG data, aligning with Yi et al. (2019). This is critical for privacy-preserving training in healthcare, where patient data sensitivity necessitates robust alternatives to real-world datasets.</w:t>
      </w:r>
    </w:p>
    <w:p w14:paraId="3CF7C459" w14:textId="77777777" w:rsidR="00D44636" w:rsidRPr="00D44636" w:rsidRDefault="00D44636" w:rsidP="00D44636">
      <w:pPr>
        <w:spacing w:after="0" w:line="360" w:lineRule="auto"/>
        <w:jc w:val="both"/>
        <w:rPr>
          <w:rFonts w:ascii="Times New Roman" w:hAnsi="Times New Roman" w:cs="Times New Roman"/>
          <w:sz w:val="24"/>
          <w:szCs w:val="24"/>
        </w:rPr>
      </w:pPr>
      <w:r w:rsidRPr="00D44636">
        <w:rPr>
          <w:rFonts w:ascii="Times New Roman" w:hAnsi="Times New Roman" w:cs="Times New Roman"/>
          <w:sz w:val="24"/>
          <w:szCs w:val="24"/>
        </w:rPr>
        <w:t xml:space="preserve">Computational efficiency metrics further highlight the framework’s suitability for healthcare IoT environments. The Mean Time to Detection (MTTD) of 82 milliseconds and Mean Time to Response (MTTR) of 47 milliseconds represent a 65% improvement over traditional firewalls, addressing the real-time requirements of medical monitoring systems, as noted by Li et al. (2019). The memory footprint of 241 MB, 45% lower than adversarial training approaches, supports deployment on resource-constrained edge devices, a key consideration for scalability in diverse healthcare settings (Rani, 2019). The Area Under the ROC Curve (AUC-ROC) of 0.96 and Matthews Correlation Coefficient (MCC) of 0.92 indicate balanced performance across </w:t>
      </w:r>
      <w:r w:rsidRPr="00D44636">
        <w:rPr>
          <w:rFonts w:ascii="Times New Roman" w:hAnsi="Times New Roman" w:cs="Times New Roman"/>
          <w:sz w:val="24"/>
          <w:szCs w:val="24"/>
        </w:rPr>
        <w:lastRenderedPageBreak/>
        <w:t>imbalanced datasets, reinforcing the framework’s reliability in detecting adversarial threats without excessive false positives, which could disrupt clinical workflows (Goodfellow et al., 2014). The framework’s compliance with HIPAA and GDPR, achieved through differential privacy, ensures ethical data handling, a priority in healthcare cybersecurity (Dwork, 2006). The 94.9% accuracy against novel attack patterns suggests robust generalizability, addressing the dynamic nature of adversarial threats in healthcare IoT systems (Ruwayd Hussain Charfare et al., 2024). These findings position the framework as a transformative solution, extending prior work by Qayyum et al. (2021) on secure machine learning in healthcare.</w:t>
      </w:r>
    </w:p>
    <w:p w14:paraId="08346812" w14:textId="4B83DBF5" w:rsidR="00D44636" w:rsidRPr="00D44636" w:rsidRDefault="00D44636" w:rsidP="00D44636">
      <w:pPr>
        <w:spacing w:after="0" w:line="360" w:lineRule="auto"/>
        <w:jc w:val="both"/>
        <w:rPr>
          <w:rFonts w:ascii="Times New Roman" w:hAnsi="Times New Roman" w:cs="Times New Roman"/>
          <w:sz w:val="24"/>
          <w:szCs w:val="24"/>
        </w:rPr>
      </w:pPr>
      <w:r w:rsidRPr="00D44636">
        <w:rPr>
          <w:rFonts w:ascii="Times New Roman" w:hAnsi="Times New Roman" w:cs="Times New Roman"/>
          <w:sz w:val="24"/>
          <w:szCs w:val="24"/>
        </w:rPr>
        <w:t>Moreover, the computational cost of GAN training, though optimized, may still be prohibitive in low-resource healthcare systems where infrastructure, energy supply, and technical expertise are constrained. These barriers highlight the importance of developing lightweight, cost-efficient architectures, cloud-assisted processing, and policy-level support to make such defenses accessible beyond well-resourced institutions (Rani, 2019).</w:t>
      </w:r>
    </w:p>
    <w:p w14:paraId="5014289F" w14:textId="77777777" w:rsidR="00D44636" w:rsidRDefault="00D44636" w:rsidP="00831CD6">
      <w:pPr>
        <w:spacing w:after="0" w:line="360" w:lineRule="auto"/>
        <w:jc w:val="both"/>
        <w:rPr>
          <w:rFonts w:ascii="Times New Roman" w:hAnsi="Times New Roman" w:cs="Times New Roman"/>
          <w:b/>
          <w:sz w:val="24"/>
          <w:szCs w:val="24"/>
        </w:rPr>
      </w:pPr>
    </w:p>
    <w:p w14:paraId="057A60EF" w14:textId="279667AD" w:rsidR="00F5380D" w:rsidRPr="001D3CE9" w:rsidRDefault="00F5380D" w:rsidP="00831CD6">
      <w:pPr>
        <w:spacing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Limitations</w:t>
      </w:r>
    </w:p>
    <w:p w14:paraId="42E55264"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The study’s reliance on secondary datasets (e.g., CICIoMT2024, WUSTL-EHMS-2020) limits its ability to capture real-time dynamics of healthcare IoT systems, potentially reducing generalizability to novel attack vectors. The focus on four attack types (FGSM, PGD, C&amp;W, UAP) may not encompass emerging threats. The computational demands of GAN training, despite optimization, challenge deployment in resource-constrained settings. Ethical concerns regarding synthetic data misuse necessitate further safeguards like watermarking (Yi et al., 2019).</w:t>
      </w:r>
    </w:p>
    <w:p w14:paraId="7296AE8D" w14:textId="77777777" w:rsidR="00F5380D" w:rsidRPr="001D3CE9" w:rsidRDefault="00F5380D" w:rsidP="00831CD6">
      <w:pPr>
        <w:spacing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Future Considerations</w:t>
      </w:r>
    </w:p>
    <w:p w14:paraId="73B5EE92" w14:textId="77777777" w:rsidR="00D44636" w:rsidRDefault="00D44636" w:rsidP="00F5380D">
      <w:pPr>
        <w:spacing w:line="360" w:lineRule="auto"/>
        <w:jc w:val="both"/>
        <w:rPr>
          <w:rFonts w:ascii="Times New Roman" w:hAnsi="Times New Roman" w:cs="Times New Roman"/>
          <w:sz w:val="24"/>
          <w:szCs w:val="24"/>
        </w:rPr>
      </w:pPr>
      <w:r w:rsidRPr="00D44636">
        <w:rPr>
          <w:rFonts w:ascii="Times New Roman" w:hAnsi="Times New Roman" w:cs="Times New Roman"/>
          <w:sz w:val="24"/>
          <w:szCs w:val="24"/>
        </w:rPr>
        <w:t>Future research should develop hybrid datasets combining synthetic and anonymized real-world data to enhance real-time applicability. Integrating explainable AI will improve transparency for healthcare professionals. Real-world pilot deployments in diverse settings will validate scalability. Federated learning can enhance privacy and adaptability, building on Hathaliya and Tanwar (2020). Standardized cybersecurity metrics for healthcare IoT should be established to facilitate consistent evaluation and adoption (Ruwayd Hussain Charfare et al., 2024). These efforts will require strong collaboration between AI researchers, healthcare practitioners, and policymakers to ensure both technical rigor and clinical relevance.</w:t>
      </w:r>
    </w:p>
    <w:p w14:paraId="0166734C" w14:textId="77777777" w:rsidR="00D44636" w:rsidRDefault="00D44636" w:rsidP="00F5380D">
      <w:pPr>
        <w:spacing w:line="360" w:lineRule="auto"/>
        <w:jc w:val="both"/>
        <w:rPr>
          <w:rFonts w:ascii="Times New Roman" w:hAnsi="Times New Roman" w:cs="Times New Roman"/>
          <w:b/>
          <w:sz w:val="24"/>
          <w:szCs w:val="24"/>
        </w:rPr>
      </w:pPr>
    </w:p>
    <w:p w14:paraId="0E3C78CC" w14:textId="30672E42" w:rsidR="00F5380D" w:rsidRPr="00DE3260" w:rsidRDefault="00F5380D" w:rsidP="00F5380D">
      <w:pPr>
        <w:spacing w:line="360" w:lineRule="auto"/>
        <w:jc w:val="both"/>
        <w:rPr>
          <w:rFonts w:ascii="Times New Roman" w:hAnsi="Times New Roman" w:cs="Times New Roman"/>
          <w:b/>
          <w:sz w:val="24"/>
          <w:szCs w:val="24"/>
        </w:rPr>
      </w:pPr>
      <w:r w:rsidRPr="00DE3260">
        <w:rPr>
          <w:rFonts w:ascii="Times New Roman" w:hAnsi="Times New Roman" w:cs="Times New Roman"/>
          <w:b/>
          <w:sz w:val="24"/>
          <w:szCs w:val="24"/>
        </w:rPr>
        <w:t>5.</w:t>
      </w:r>
      <w:r w:rsidRPr="00DE3260">
        <w:rPr>
          <w:rFonts w:ascii="Times New Roman" w:hAnsi="Times New Roman" w:cs="Times New Roman"/>
          <w:b/>
          <w:sz w:val="24"/>
          <w:szCs w:val="24"/>
        </w:rPr>
        <w:tab/>
        <w:t>Conclusions and Recommendations</w:t>
      </w:r>
    </w:p>
    <w:p w14:paraId="0A58E8A8" w14:textId="6DB2D4F9" w:rsidR="00E31AEB" w:rsidRPr="00E31AEB" w:rsidRDefault="00E31AEB" w:rsidP="00E31AEB">
      <w:pPr>
        <w:spacing w:line="360" w:lineRule="auto"/>
        <w:jc w:val="both"/>
        <w:rPr>
          <w:rFonts w:ascii="Times New Roman" w:hAnsi="Times New Roman" w:cs="Times New Roman"/>
          <w:sz w:val="24"/>
          <w:szCs w:val="24"/>
        </w:rPr>
      </w:pPr>
      <w:r w:rsidRPr="00E31AEB">
        <w:rPr>
          <w:rFonts w:ascii="Times New Roman" w:hAnsi="Times New Roman" w:cs="Times New Roman"/>
          <w:b/>
          <w:bCs/>
          <w:sz w:val="24"/>
          <w:szCs w:val="24"/>
        </w:rPr>
        <w:t>Conclusions</w:t>
      </w:r>
      <w:r w:rsidRPr="00E31AEB">
        <w:rPr>
          <w:rFonts w:ascii="Times New Roman" w:hAnsi="Times New Roman" w:cs="Times New Roman"/>
          <w:sz w:val="24"/>
          <w:szCs w:val="24"/>
        </w:rPr>
        <w:br/>
        <w:t>This study developed and validated an AI-driven adversarial defense framework using Generative Adversarial Networks (GANs) to protect healthcare IoT ecosystems. The threat model revealed 127 vulnerability vectors, with adversarial attacks (32%) and a mean risk score of 7.82, underscoring the heightened exposure of critical care devices (9.34). The proposed GAN framework</w:t>
      </w:r>
      <w:r w:rsidR="00EF650E">
        <w:rPr>
          <w:rFonts w:ascii="Times New Roman" w:hAnsi="Times New Roman" w:cs="Times New Roman"/>
          <w:sz w:val="24"/>
          <w:szCs w:val="24"/>
        </w:rPr>
        <w:t xml:space="preserve">, </w:t>
      </w:r>
      <w:r w:rsidRPr="00E31AEB">
        <w:rPr>
          <w:rFonts w:ascii="Times New Roman" w:hAnsi="Times New Roman" w:cs="Times New Roman"/>
          <w:sz w:val="24"/>
          <w:szCs w:val="24"/>
        </w:rPr>
        <w:t>comprising a 6-layer generator, 4-layer discriminator, and 128-dimensional encoder</w:t>
      </w:r>
      <w:r w:rsidR="00EF650E">
        <w:rPr>
          <w:rFonts w:ascii="Times New Roman" w:hAnsi="Times New Roman" w:cs="Times New Roman"/>
          <w:sz w:val="24"/>
          <w:szCs w:val="24"/>
        </w:rPr>
        <w:t xml:space="preserve"> </w:t>
      </w:r>
      <w:r w:rsidRPr="00E31AEB">
        <w:rPr>
          <w:rFonts w:ascii="Times New Roman" w:hAnsi="Times New Roman" w:cs="Times New Roman"/>
          <w:sz w:val="24"/>
          <w:szCs w:val="24"/>
        </w:rPr>
        <w:t>achieved a mean accuracy of 95.8%, effectively mitigating FGSM (97.1%), PGD (94.8%), C&amp;W (95.9%), and UAP (96.4%) attacks, surpassing traditional defenses by 39.4%. Strong computational performance (MTTD: 82 ms, MTTR: 47 ms) and high-quality synthetic data generation (FID: 11.87, IS: 9.02) support its real-time clinical applicability. By incorporating differential privacy, the system ensures compliance with HIPAA and GDPR. Its 94.9% accuracy against novel attacks further demonstrates robust generalizability, offering an efficient and regulation-compliant solution to evolving cybersecurity threats in healthcare IoT.</w:t>
      </w:r>
    </w:p>
    <w:p w14:paraId="0FE21CE5" w14:textId="77777777" w:rsidR="00E31AEB" w:rsidRPr="00E31AEB" w:rsidRDefault="00E31AEB" w:rsidP="00E31AEB">
      <w:pPr>
        <w:spacing w:line="360" w:lineRule="auto"/>
        <w:jc w:val="both"/>
        <w:rPr>
          <w:rFonts w:ascii="Times New Roman" w:hAnsi="Times New Roman" w:cs="Times New Roman"/>
          <w:sz w:val="24"/>
          <w:szCs w:val="24"/>
        </w:rPr>
      </w:pPr>
      <w:r w:rsidRPr="00E31AEB">
        <w:rPr>
          <w:rFonts w:ascii="Times New Roman" w:hAnsi="Times New Roman" w:cs="Times New Roman"/>
          <w:b/>
          <w:bCs/>
          <w:sz w:val="24"/>
          <w:szCs w:val="24"/>
        </w:rPr>
        <w:t>Recommendations</w:t>
      </w:r>
      <w:r w:rsidRPr="00E31AEB">
        <w:rPr>
          <w:rFonts w:ascii="Times New Roman" w:hAnsi="Times New Roman" w:cs="Times New Roman"/>
          <w:sz w:val="24"/>
          <w:szCs w:val="24"/>
        </w:rPr>
        <w:br/>
        <w:t>To strengthen healthcare IoT cybersecurity, future work should develop hybrid datasets that combine synthetic and anonymized real-world data, reducing reliance on secondary sources and better simulating dynamic environments. Embedding explainable AI into the GAN framework will improve transparency for healthcare professionals, particularly in critical care contexts. Pilot deployments across both urban and rural healthcare systems are essential to validate scalability and real-world performance. Interdisciplinary collaboration among researchers, clinicians, and regulators should drive the establishment of standardized cybersecurity metrics for consistent benchmarking. Additionally, adopting federated learning will enhance adaptability to emerging threats while preserving privacy, promoting scalability and long-term resilience. Collectively, these measures can bridge the gap between research and practice, accelerating adoption of AI-driven defenses across healthcare IoT ecosystems.</w:t>
      </w:r>
    </w:p>
    <w:p w14:paraId="10C6CCFC" w14:textId="77777777" w:rsidR="006100A1" w:rsidRDefault="006100A1" w:rsidP="00ED0B22">
      <w:pPr>
        <w:rPr>
          <w:rFonts w:ascii="Times New Roman" w:hAnsi="Times New Roman" w:cs="Times New Roman"/>
          <w:sz w:val="24"/>
          <w:szCs w:val="24"/>
        </w:rPr>
      </w:pPr>
    </w:p>
    <w:p w14:paraId="4F368455" w14:textId="77777777" w:rsidR="00E31AEB" w:rsidRDefault="00E31AEB" w:rsidP="00ED0B22">
      <w:pPr>
        <w:rPr>
          <w:rFonts w:ascii="Times New Roman" w:hAnsi="Times New Roman" w:cs="Times New Roman"/>
          <w:sz w:val="24"/>
          <w:szCs w:val="24"/>
        </w:rPr>
      </w:pPr>
    </w:p>
    <w:p w14:paraId="44385A40" w14:textId="77777777" w:rsidR="00ED0B22" w:rsidRDefault="00ED0B22" w:rsidP="00ED0B22">
      <w:pPr>
        <w:rPr>
          <w:rFonts w:ascii="Times New Roman" w:hAnsi="Times New Roman" w:cs="Times New Roman"/>
          <w:sz w:val="24"/>
          <w:szCs w:val="24"/>
        </w:rPr>
      </w:pPr>
      <w:r>
        <w:rPr>
          <w:rFonts w:ascii="Times New Roman" w:hAnsi="Times New Roman" w:cs="Times New Roman"/>
          <w:sz w:val="24"/>
          <w:szCs w:val="24"/>
        </w:rPr>
        <w:lastRenderedPageBreak/>
        <w:t>Disclaimer (Artificial intelligence)</w:t>
      </w:r>
    </w:p>
    <w:p w14:paraId="40EB106F" w14:textId="77777777" w:rsidR="00ED0B22" w:rsidRDefault="00ED0B22" w:rsidP="00ED0B22">
      <w:pPr>
        <w:rPr>
          <w:rFonts w:ascii="Times New Roman" w:hAnsi="Times New Roman" w:cs="Times New Roman"/>
          <w:sz w:val="24"/>
          <w:szCs w:val="24"/>
        </w:rPr>
      </w:pPr>
    </w:p>
    <w:p w14:paraId="14E23B3B" w14:textId="77777777" w:rsidR="00ED0B22" w:rsidRDefault="00ED0B22" w:rsidP="00ED0B22">
      <w:pPr>
        <w:spacing w:line="360" w:lineRule="auto"/>
        <w:jc w:val="both"/>
        <w:rPr>
          <w:rFonts w:ascii="Times New Roman" w:hAnsi="Times New Roman" w:cs="Times New Roman"/>
          <w:sz w:val="24"/>
          <w:szCs w:val="24"/>
        </w:rPr>
      </w:pPr>
      <w:r>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14:paraId="2BC03854" w14:textId="77777777" w:rsidR="00D44636" w:rsidRDefault="00D44636" w:rsidP="00ED0B22">
      <w:pPr>
        <w:spacing w:line="360" w:lineRule="auto"/>
        <w:jc w:val="both"/>
        <w:rPr>
          <w:rFonts w:ascii="Times New Roman" w:hAnsi="Times New Roman" w:cs="Times New Roman"/>
          <w:sz w:val="24"/>
          <w:szCs w:val="24"/>
        </w:rPr>
      </w:pPr>
    </w:p>
    <w:p w14:paraId="451F6C69" w14:textId="77777777" w:rsidR="00D44636" w:rsidRDefault="00D44636" w:rsidP="00ED0B22">
      <w:pPr>
        <w:spacing w:line="360" w:lineRule="auto"/>
        <w:jc w:val="both"/>
        <w:rPr>
          <w:rFonts w:ascii="Times New Roman" w:hAnsi="Times New Roman" w:cs="Times New Roman"/>
          <w:sz w:val="24"/>
          <w:szCs w:val="24"/>
        </w:rPr>
      </w:pPr>
    </w:p>
    <w:p w14:paraId="46071628" w14:textId="77777777" w:rsidR="00ED0B22" w:rsidRDefault="00ED0B22" w:rsidP="006100A1">
      <w:pPr>
        <w:spacing w:line="360" w:lineRule="auto"/>
        <w:jc w:val="both"/>
        <w:rPr>
          <w:rFonts w:ascii="Times New Roman" w:hAnsi="Times New Roman" w:cs="Times New Roman"/>
          <w:b/>
          <w:sz w:val="24"/>
          <w:szCs w:val="24"/>
        </w:rPr>
      </w:pPr>
      <w:r w:rsidRPr="00ED0B22">
        <w:rPr>
          <w:rFonts w:ascii="Times New Roman" w:hAnsi="Times New Roman" w:cs="Times New Roman"/>
          <w:b/>
          <w:sz w:val="24"/>
          <w:szCs w:val="24"/>
        </w:rPr>
        <w:t>References</w:t>
      </w:r>
    </w:p>
    <w:p w14:paraId="18E9E090" w14:textId="77777777" w:rsidR="00ED0B22" w:rsidRDefault="00ED0B22" w:rsidP="006100A1">
      <w:pPr>
        <w:pStyle w:val="NormalWeb"/>
        <w:spacing w:before="0" w:beforeAutospacing="0" w:after="0" w:afterAutospacing="0" w:line="360" w:lineRule="auto"/>
        <w:ind w:left="720" w:hanging="720"/>
        <w:jc w:val="both"/>
      </w:pPr>
      <w:r>
        <w:t xml:space="preserve">Alexey Kurakin, Goodfellow, I., &amp; Samy Bengio. (2016). Adversarial examples in the physical world. </w:t>
      </w:r>
      <w:r>
        <w:rPr>
          <w:i/>
          <w:iCs/>
        </w:rPr>
        <w:t>ArXiv (Cornell University)</w:t>
      </w:r>
      <w:r>
        <w:t>. https://doi.org/10.48550/arxiv.1607.02533</w:t>
      </w:r>
    </w:p>
    <w:p w14:paraId="22970D1A" w14:textId="77777777" w:rsidR="007D5427" w:rsidRPr="007D5427" w:rsidRDefault="007D5427" w:rsidP="007D5427">
      <w:pPr>
        <w:pStyle w:val="NormalWeb"/>
        <w:spacing w:line="360" w:lineRule="auto"/>
        <w:ind w:left="720" w:hanging="720"/>
        <w:jc w:val="both"/>
      </w:pPr>
      <w:r w:rsidRPr="007D5427">
        <w:t xml:space="preserve">Ali, O., Abdelbaki, W., Shrestha, A., Elbasi, E., Alryalat, M. A. A., &amp; Dwivedi, Y. K. (2023). A systematic literature review of artificial intelligence in the healthcare sector: Benefits, challenges, methodologies, and functionalities. </w:t>
      </w:r>
      <w:r w:rsidRPr="007D5427">
        <w:rPr>
          <w:i/>
          <w:iCs/>
        </w:rPr>
        <w:t>Journal of Innovation &amp; Knowledge</w:t>
      </w:r>
      <w:r w:rsidRPr="007D5427">
        <w:t xml:space="preserve">, </w:t>
      </w:r>
      <w:r w:rsidRPr="007D5427">
        <w:rPr>
          <w:i/>
          <w:iCs/>
        </w:rPr>
        <w:t>8</w:t>
      </w:r>
      <w:r w:rsidRPr="007D5427">
        <w:t>(1), 100333. https://doi.org/10.1016/j.jik.2023.100333</w:t>
      </w:r>
    </w:p>
    <w:p w14:paraId="32A9FC85" w14:textId="77777777" w:rsidR="00DD17C5" w:rsidRPr="00600C4C" w:rsidRDefault="00DD17C5" w:rsidP="007D5427">
      <w:pPr>
        <w:pStyle w:val="NoSpacing"/>
        <w:spacing w:line="360" w:lineRule="auto"/>
        <w:jc w:val="both"/>
        <w:rPr>
          <w:rFonts w:ascii="Times New Roman" w:hAnsi="Times New Roman" w:cs="Times New Roman"/>
          <w:sz w:val="24"/>
          <w:szCs w:val="24"/>
          <w:lang w:val="es-ES"/>
        </w:rPr>
      </w:pPr>
      <w:r w:rsidRPr="00600C4C">
        <w:rPr>
          <w:rFonts w:ascii="Times New Roman" w:hAnsi="Times New Roman" w:cs="Times New Roman"/>
          <w:sz w:val="24"/>
          <w:szCs w:val="24"/>
          <w:lang w:val="es-ES"/>
        </w:rPr>
        <w:t xml:space="preserve">Balogun, A. Y., Olaniyi, O. O., Olisa, A. O., Gbadebo, M. O., &amp; Chinye, N. C. (2025). </w:t>
      </w:r>
    </w:p>
    <w:p w14:paraId="3E495834" w14:textId="77777777" w:rsidR="00DD17C5" w:rsidRPr="00600C4C" w:rsidRDefault="00DD17C5" w:rsidP="007D5427">
      <w:pPr>
        <w:pStyle w:val="NoSpacing"/>
        <w:spacing w:line="360" w:lineRule="auto"/>
        <w:ind w:left="720"/>
        <w:jc w:val="both"/>
        <w:rPr>
          <w:rFonts w:ascii="Times New Roman" w:hAnsi="Times New Roman" w:cs="Times New Roman"/>
          <w:sz w:val="24"/>
          <w:szCs w:val="24"/>
        </w:rPr>
      </w:pPr>
      <w:r w:rsidRPr="00600C4C">
        <w:rPr>
          <w:rFonts w:ascii="Times New Roman" w:hAnsi="Times New Roman" w:cs="Times New Roman"/>
          <w:sz w:val="24"/>
          <w:szCs w:val="24"/>
        </w:rPr>
        <w:t xml:space="preserve">Enhancing incident response strategies in U.S. healthcare cybersecurity. Journal of Engineering Research and Reports, 27(2), 114–135. </w:t>
      </w:r>
      <w:hyperlink r:id="rId14" w:history="1">
        <w:r w:rsidRPr="00600C4C">
          <w:rPr>
            <w:rStyle w:val="Hyperlink"/>
            <w:rFonts w:ascii="Times New Roman" w:hAnsi="Times New Roman" w:cs="Times New Roman"/>
            <w:sz w:val="24"/>
            <w:szCs w:val="24"/>
          </w:rPr>
          <w:t>https://doi.org/10.9734/jerr/2025/v27i21399</w:t>
        </w:r>
      </w:hyperlink>
    </w:p>
    <w:p w14:paraId="5F58BA98" w14:textId="77777777" w:rsidR="00ED0B22" w:rsidRDefault="00ED0B22" w:rsidP="006100A1">
      <w:pPr>
        <w:pStyle w:val="NormalWeb"/>
        <w:spacing w:before="0" w:beforeAutospacing="0" w:after="0" w:afterAutospacing="0" w:line="360" w:lineRule="auto"/>
        <w:ind w:left="720" w:hanging="720"/>
        <w:jc w:val="both"/>
      </w:pPr>
      <w:r>
        <w:t xml:space="preserve">Carlini, N., &amp; Wagner, D. (2017). </w:t>
      </w:r>
      <w:r>
        <w:rPr>
          <w:i/>
          <w:iCs/>
        </w:rPr>
        <w:t>Towards Evaluating the Robustness of Neural Networks</w:t>
      </w:r>
      <w:r>
        <w:t>. IEEE Xplore. https://doi.org/10.1109/SP.2017.49</w:t>
      </w:r>
    </w:p>
    <w:p w14:paraId="69FB4197" w14:textId="77777777" w:rsidR="00ED0B22" w:rsidRDefault="00ED0B22" w:rsidP="006100A1">
      <w:pPr>
        <w:pStyle w:val="NormalWeb"/>
        <w:spacing w:before="0" w:beforeAutospacing="0" w:after="0" w:afterAutospacing="0" w:line="360" w:lineRule="auto"/>
        <w:ind w:left="720" w:hanging="720"/>
        <w:jc w:val="both"/>
      </w:pPr>
      <w:r>
        <w:t xml:space="preserve">Choi, E., Siddharth Biswal, Malin, B., Duke, J., Stewart, W. F., &amp; Sun, J. (2017). Generating Multi-label Discrete Patient Records using Generative Adversarial Networks. </w:t>
      </w:r>
      <w:r>
        <w:rPr>
          <w:i/>
          <w:iCs/>
        </w:rPr>
        <w:t>ArXiv (Cornell University)</w:t>
      </w:r>
      <w:r>
        <w:t>. https://doi.org/10.48550/arxiv.1703.06490</w:t>
      </w:r>
    </w:p>
    <w:p w14:paraId="67103F08" w14:textId="77777777" w:rsidR="00ED0B22" w:rsidRDefault="00ED0B22" w:rsidP="006100A1">
      <w:pPr>
        <w:pStyle w:val="NormalWeb"/>
        <w:spacing w:before="0" w:beforeAutospacing="0" w:after="0" w:afterAutospacing="0" w:line="360" w:lineRule="auto"/>
        <w:ind w:left="720" w:hanging="720"/>
        <w:jc w:val="both"/>
      </w:pPr>
      <w:r>
        <w:t xml:space="preserve">Coventry, L., &amp; Branley, D. (2018). Cybersecurity in healthcare: A narrative review of trends, threats and ways forward. </w:t>
      </w:r>
      <w:r>
        <w:rPr>
          <w:i/>
          <w:iCs/>
        </w:rPr>
        <w:t>Maturitas</w:t>
      </w:r>
      <w:r>
        <w:t xml:space="preserve">, </w:t>
      </w:r>
      <w:r>
        <w:rPr>
          <w:i/>
          <w:iCs/>
        </w:rPr>
        <w:t>113</w:t>
      </w:r>
      <w:r>
        <w:t>, 48–52. https://doi.org/10.1016/j.maturitas.2018.04.008</w:t>
      </w:r>
    </w:p>
    <w:p w14:paraId="754EF570" w14:textId="77777777" w:rsidR="00ED0B22" w:rsidRDefault="00ED0B22" w:rsidP="006100A1">
      <w:pPr>
        <w:pStyle w:val="NormalWeb"/>
        <w:spacing w:before="0" w:beforeAutospacing="0" w:after="0" w:afterAutospacing="0" w:line="360" w:lineRule="auto"/>
        <w:ind w:left="720" w:hanging="720"/>
        <w:jc w:val="both"/>
      </w:pPr>
      <w:r>
        <w:t xml:space="preserve">Dwork, C. (2006). Differential Privacy. </w:t>
      </w:r>
      <w:r>
        <w:rPr>
          <w:i/>
          <w:iCs/>
        </w:rPr>
        <w:t>Automata, Languages and Programming</w:t>
      </w:r>
      <w:r>
        <w:t xml:space="preserve">, </w:t>
      </w:r>
      <w:r>
        <w:rPr>
          <w:i/>
          <w:iCs/>
        </w:rPr>
        <w:t>4052</w:t>
      </w:r>
      <w:r>
        <w:t>, 1–12. https://doi.org/10.1007/11787006_1</w:t>
      </w:r>
    </w:p>
    <w:p w14:paraId="712ABA3A" w14:textId="77777777" w:rsidR="00ED0B22" w:rsidRDefault="00ED0B22" w:rsidP="006100A1">
      <w:pPr>
        <w:pStyle w:val="NormalWeb"/>
        <w:spacing w:before="0" w:beforeAutospacing="0" w:after="0" w:afterAutospacing="0" w:line="360" w:lineRule="auto"/>
        <w:ind w:left="720" w:hanging="720"/>
        <w:jc w:val="both"/>
      </w:pPr>
      <w:r>
        <w:lastRenderedPageBreak/>
        <w:t xml:space="preserve">Elgan, M. (2024). </w:t>
      </w:r>
      <w:r>
        <w:rPr>
          <w:i/>
          <w:iCs/>
        </w:rPr>
        <w:t>Cost of a data breach in the healthcare industry</w:t>
      </w:r>
      <w:r>
        <w:t>. Ibm.com. https://www.ibm.com/think/insights/cost-of-a-data-breach-healthcare-industry</w:t>
      </w:r>
    </w:p>
    <w:p w14:paraId="0F373CAF" w14:textId="77777777" w:rsidR="00ED0B22" w:rsidRDefault="00ED0B22" w:rsidP="006100A1">
      <w:pPr>
        <w:pStyle w:val="NormalWeb"/>
        <w:spacing w:before="0" w:beforeAutospacing="0" w:after="0" w:afterAutospacing="0" w:line="360" w:lineRule="auto"/>
        <w:ind w:left="720" w:hanging="720"/>
        <w:jc w:val="both"/>
      </w:pPr>
      <w:r>
        <w:t xml:space="preserve">Finlayson, S. G., Bowers, J. D., Ito, J., Zittrain, J. L., Beam, A. L., &amp; Kohane, I. S. (2019). Adversarial attacks on medical machine learning. </w:t>
      </w:r>
      <w:r>
        <w:rPr>
          <w:i/>
          <w:iCs/>
        </w:rPr>
        <w:t>Science</w:t>
      </w:r>
      <w:r>
        <w:t xml:space="preserve">, </w:t>
      </w:r>
      <w:r>
        <w:rPr>
          <w:i/>
          <w:iCs/>
        </w:rPr>
        <w:t>363</w:t>
      </w:r>
      <w:r>
        <w:t>(6433), 1287–1289. https://doi.org/10.1126/science.aaw4399</w:t>
      </w:r>
    </w:p>
    <w:p w14:paraId="551FB18E" w14:textId="77777777" w:rsidR="00ED0B22" w:rsidRDefault="00ED0B22" w:rsidP="006100A1">
      <w:pPr>
        <w:pStyle w:val="NormalWeb"/>
        <w:spacing w:before="0" w:beforeAutospacing="0" w:after="0" w:afterAutospacing="0" w:line="360" w:lineRule="auto"/>
        <w:ind w:left="720" w:hanging="720"/>
        <w:jc w:val="both"/>
      </w:pPr>
      <w:r>
        <w:t xml:space="preserve">Goodfellow, I., Pouget-Abadie, J., Mirza, M., Xu, B., Warde-Farley, D., Ozair, S., Courville, A., &amp; Bengio, Y. (2020). Generative adversarial networks. </w:t>
      </w:r>
      <w:r>
        <w:rPr>
          <w:i/>
          <w:iCs/>
        </w:rPr>
        <w:t>Communications of the ACM</w:t>
      </w:r>
      <w:r>
        <w:t xml:space="preserve">, </w:t>
      </w:r>
      <w:r>
        <w:rPr>
          <w:i/>
          <w:iCs/>
        </w:rPr>
        <w:t>63</w:t>
      </w:r>
      <w:r>
        <w:t>(11), 139–144. https://doi.org/10.1145/3422622</w:t>
      </w:r>
    </w:p>
    <w:p w14:paraId="3BEB8654" w14:textId="77777777" w:rsidR="00ED0B22" w:rsidRDefault="00ED0B22" w:rsidP="006100A1">
      <w:pPr>
        <w:pStyle w:val="NormalWeb"/>
        <w:spacing w:before="0" w:beforeAutospacing="0" w:after="0" w:afterAutospacing="0" w:line="360" w:lineRule="auto"/>
        <w:ind w:left="720" w:hanging="720"/>
        <w:jc w:val="both"/>
      </w:pPr>
      <w:r>
        <w:t xml:space="preserve">Goodfellow, I., Shlens, J., &amp; Szegedy, C. (2014). Explaining and Harnessing Adversarial Examples. </w:t>
      </w:r>
      <w:r>
        <w:rPr>
          <w:i/>
          <w:iCs/>
        </w:rPr>
        <w:t>ArXiv</w:t>
      </w:r>
      <w:r>
        <w:t>. https://doi.org/10.48550/arxiv.1412.6572</w:t>
      </w:r>
    </w:p>
    <w:p w14:paraId="558D1403" w14:textId="77777777" w:rsidR="00ED0B22" w:rsidRDefault="00ED0B22" w:rsidP="006100A1">
      <w:pPr>
        <w:pStyle w:val="NormalWeb"/>
        <w:spacing w:before="0" w:beforeAutospacing="0" w:after="0" w:afterAutospacing="0" w:line="360" w:lineRule="auto"/>
        <w:ind w:left="720" w:hanging="720"/>
        <w:jc w:val="both"/>
      </w:pPr>
      <w:r>
        <w:t xml:space="preserve">Hathaliya, J. J., &amp; Tanwar, S. (2020). An exhaustive survey on security and privacy issues in Healthcare 4.0. </w:t>
      </w:r>
      <w:r>
        <w:rPr>
          <w:i/>
          <w:iCs/>
        </w:rPr>
        <w:t>Computer Communications</w:t>
      </w:r>
      <w:r>
        <w:t xml:space="preserve">, </w:t>
      </w:r>
      <w:r>
        <w:rPr>
          <w:i/>
          <w:iCs/>
        </w:rPr>
        <w:t>153</w:t>
      </w:r>
      <w:r>
        <w:t>(1), 311–335. https://doi.org/10.1016/j.comcom.2020.02.018</w:t>
      </w:r>
    </w:p>
    <w:p w14:paraId="2045AC94" w14:textId="77777777" w:rsidR="00ED0B22" w:rsidRDefault="00ED0B22" w:rsidP="006100A1">
      <w:pPr>
        <w:pStyle w:val="NormalWeb"/>
        <w:spacing w:before="0" w:beforeAutospacing="0" w:after="0" w:afterAutospacing="0" w:line="360" w:lineRule="auto"/>
        <w:ind w:left="720" w:hanging="720"/>
        <w:jc w:val="both"/>
      </w:pPr>
      <w:r>
        <w:t xml:space="preserve">Hevner, A., March, S., Park, J., &amp; Ram, S. (2004). Design Science in Information Systems Research. </w:t>
      </w:r>
      <w:r>
        <w:rPr>
          <w:i/>
          <w:iCs/>
        </w:rPr>
        <w:t>MIS Quarterly</w:t>
      </w:r>
      <w:r>
        <w:t xml:space="preserve">, </w:t>
      </w:r>
      <w:r>
        <w:rPr>
          <w:i/>
          <w:iCs/>
        </w:rPr>
        <w:t>28</w:t>
      </w:r>
      <w:r>
        <w:t>(1), 75–105. https://doi.org/10.2307/25148625</w:t>
      </w:r>
    </w:p>
    <w:p w14:paraId="2BFA7C6A" w14:textId="77777777" w:rsidR="00ED0B22" w:rsidRDefault="00ED0B22" w:rsidP="006100A1">
      <w:pPr>
        <w:pStyle w:val="NormalWeb"/>
        <w:spacing w:before="0" w:beforeAutospacing="0" w:after="0" w:afterAutospacing="0" w:line="360" w:lineRule="auto"/>
        <w:ind w:left="720" w:hanging="720"/>
        <w:jc w:val="both"/>
      </w:pPr>
      <w:r>
        <w:t xml:space="preserve">Hu, W., &amp; Tan, Y. (2017). Generating Adversarial Malware Examples for Black-Box Attacks Based on GAN. </w:t>
      </w:r>
      <w:r>
        <w:rPr>
          <w:i/>
          <w:iCs/>
        </w:rPr>
        <w:t>ArXiv (Cornell University)</w:t>
      </w:r>
      <w:r>
        <w:t>. https://doi.org/10.48550/arxiv.1702.05983</w:t>
      </w:r>
    </w:p>
    <w:p w14:paraId="4383AF65" w14:textId="77777777" w:rsidR="00ED0B22" w:rsidRDefault="00ED0B22" w:rsidP="006100A1">
      <w:pPr>
        <w:pStyle w:val="NormalWeb"/>
        <w:spacing w:before="0" w:beforeAutospacing="0" w:after="0" w:afterAutospacing="0" w:line="360" w:lineRule="auto"/>
        <w:ind w:left="720" w:hanging="720"/>
        <w:jc w:val="both"/>
      </w:pPr>
      <w:r>
        <w:t xml:space="preserve">IMARC Group. (2024). </w:t>
      </w:r>
      <w:r>
        <w:rPr>
          <w:i/>
          <w:iCs/>
        </w:rPr>
        <w:t>Internet of Things (IOT) in Healthcare Market Size 2023-2028</w:t>
      </w:r>
      <w:r>
        <w:t>. Www.imarcgroup.com. https://www.imarcgroup.com/internet-of-things-in-healthcare-market</w:t>
      </w:r>
    </w:p>
    <w:p w14:paraId="2DEC9B12" w14:textId="77777777" w:rsidR="00ED0B22" w:rsidRDefault="00ED0B22" w:rsidP="006100A1">
      <w:pPr>
        <w:pStyle w:val="NormalWeb"/>
        <w:spacing w:before="0" w:beforeAutospacing="0" w:after="0" w:afterAutospacing="0" w:line="360" w:lineRule="auto"/>
        <w:ind w:left="720" w:hanging="720"/>
        <w:jc w:val="both"/>
      </w:pPr>
      <w:r>
        <w:t xml:space="preserve">Jalali, M. S., Razak, S., Gordon, W., Perakslis, E., &amp; Madnick, S. (2019). Health Care and Cybersecurity: Bibliometric Analysis of the Literature. </w:t>
      </w:r>
      <w:r>
        <w:rPr>
          <w:i/>
          <w:iCs/>
        </w:rPr>
        <w:t>Journal of Medical Internet Research</w:t>
      </w:r>
      <w:r>
        <w:t xml:space="preserve">, </w:t>
      </w:r>
      <w:r>
        <w:rPr>
          <w:i/>
          <w:iCs/>
        </w:rPr>
        <w:t>21</w:t>
      </w:r>
      <w:r>
        <w:t>(2), e12644. https://doi.org/10.2196/12644</w:t>
      </w:r>
    </w:p>
    <w:p w14:paraId="6905D229" w14:textId="77777777" w:rsidR="00ED0B22" w:rsidRDefault="00ED0B22" w:rsidP="006100A1">
      <w:pPr>
        <w:pStyle w:val="NormalWeb"/>
        <w:spacing w:before="0" w:beforeAutospacing="0" w:after="0" w:afterAutospacing="0" w:line="360" w:lineRule="auto"/>
        <w:ind w:left="720" w:hanging="720"/>
        <w:jc w:val="both"/>
      </w:pPr>
      <w:r>
        <w:t xml:space="preserve">James, N. (2022). </w:t>
      </w:r>
      <w:r>
        <w:rPr>
          <w:i/>
          <w:iCs/>
        </w:rPr>
        <w:t>80+ Healthcare Data Breach Statistics 2023</w:t>
      </w:r>
      <w:r>
        <w:t>. Www.getastra.com. https://www.getastra.com/blog/security-audit/healthcare-data-breach-statistics/</w:t>
      </w:r>
    </w:p>
    <w:p w14:paraId="12E0F756" w14:textId="77777777" w:rsidR="00DD17C5" w:rsidRPr="00D24887" w:rsidRDefault="00DD17C5" w:rsidP="00DD17C5">
      <w:pPr>
        <w:spacing w:after="0" w:line="360" w:lineRule="auto"/>
        <w:ind w:left="720" w:hanging="720"/>
        <w:jc w:val="both"/>
        <w:rPr>
          <w:rFonts w:ascii="Times New Roman" w:eastAsia="Arial" w:hAnsi="Times New Roman" w:cs="Times New Roman"/>
          <w:color w:val="252525"/>
          <w:sz w:val="24"/>
          <w:szCs w:val="24"/>
        </w:rPr>
      </w:pPr>
      <w:r w:rsidRPr="00D24887">
        <w:rPr>
          <w:rFonts w:ascii="Times New Roman" w:eastAsia="Arial" w:hAnsi="Times New Roman" w:cs="Times New Roman"/>
          <w:color w:val="252525"/>
          <w:sz w:val="24"/>
          <w:szCs w:val="24"/>
        </w:rPr>
        <w:t>Kolo, F. H. O. (2025). A multi-level clustering framework for cybersecurity risk stratification in healthcare: A dynamic, overlapping approach to threat classification and mitigation. Asian Journal of Research in Computer Science, 18(5), 11–31. https://doi.org/10.9734/ajrcos/2025/v18i5636</w:t>
      </w:r>
    </w:p>
    <w:p w14:paraId="1F5C59D2" w14:textId="7F64C288" w:rsidR="00ED0B22" w:rsidRDefault="00ED0B22" w:rsidP="006100A1">
      <w:pPr>
        <w:pStyle w:val="NormalWeb"/>
        <w:spacing w:before="0" w:beforeAutospacing="0" w:after="0" w:afterAutospacing="0" w:line="360" w:lineRule="auto"/>
        <w:ind w:left="720" w:hanging="720"/>
        <w:jc w:val="both"/>
      </w:pPr>
      <w:r>
        <w:lastRenderedPageBreak/>
        <w:t xml:space="preserve">Li, D., Chen, D., Goh, J., &amp; Ng, S. (2019). </w:t>
      </w:r>
      <w:r>
        <w:rPr>
          <w:i/>
          <w:iCs/>
        </w:rPr>
        <w:t>Anomaly Detection with Generative Adversarial Networks for Multivariate Time Series</w:t>
      </w:r>
      <w:r>
        <w:t>. ArXiv.org. https://doi.org/10.48550/arXiv.1809.04758</w:t>
      </w:r>
    </w:p>
    <w:p w14:paraId="34EE887C" w14:textId="77777777" w:rsidR="00ED0B22" w:rsidRDefault="00ED0B22" w:rsidP="006100A1">
      <w:pPr>
        <w:pStyle w:val="NormalWeb"/>
        <w:spacing w:before="0" w:beforeAutospacing="0" w:after="0" w:afterAutospacing="0" w:line="360" w:lineRule="auto"/>
        <w:ind w:left="720" w:hanging="720"/>
        <w:jc w:val="both"/>
      </w:pPr>
      <w:r>
        <w:t xml:space="preserve">Ma, X., Niu, Y., Gu, L., Wang, Y., Zhao, Y., Bailey, J., &amp; Lu, F. (2020). Understanding adversarial attacks on deep learning based medical image analysis systems. </w:t>
      </w:r>
      <w:r>
        <w:rPr>
          <w:i/>
          <w:iCs/>
        </w:rPr>
        <w:t>Pattern Recognition</w:t>
      </w:r>
      <w:r>
        <w:t>, 107332. https://doi.org/10.1016/j.patcog.2020.107332</w:t>
      </w:r>
    </w:p>
    <w:p w14:paraId="3DF6C38E" w14:textId="0C677271" w:rsidR="00ED0B22" w:rsidRDefault="00ED0B22" w:rsidP="006100A1">
      <w:pPr>
        <w:pStyle w:val="NormalWeb"/>
        <w:spacing w:before="0" w:beforeAutospacing="0" w:after="0" w:afterAutospacing="0" w:line="360" w:lineRule="auto"/>
        <w:ind w:left="720" w:hanging="720"/>
        <w:jc w:val="both"/>
      </w:pPr>
      <w:r>
        <w:t xml:space="preserve">Nagarjuna, T., Srividya, G., Durgam, R., Nagasri, A., Nabi, S. A., &amp; Rajender, G. (2025). Adversarial Attacks and Defenses in Deep Learning for Healthcare Applications. </w:t>
      </w:r>
      <w:r>
        <w:rPr>
          <w:i/>
          <w:iCs/>
        </w:rPr>
        <w:t>SSRN Electronic Journal</w:t>
      </w:r>
      <w:r>
        <w:t xml:space="preserve">. </w:t>
      </w:r>
      <w:hyperlink r:id="rId15" w:history="1">
        <w:r w:rsidR="00DD17C5" w:rsidRPr="00EC7C39">
          <w:rPr>
            <w:rStyle w:val="Hyperlink"/>
          </w:rPr>
          <w:t>https://doi.org/10.2139/ssrn.5085205</w:t>
        </w:r>
      </w:hyperlink>
    </w:p>
    <w:p w14:paraId="752253C9" w14:textId="77777777" w:rsidR="00DD17C5" w:rsidRPr="00600C4C" w:rsidRDefault="00DD17C5" w:rsidP="00DD17C5">
      <w:pPr>
        <w:pStyle w:val="NoSpacing"/>
        <w:spacing w:line="360" w:lineRule="auto"/>
        <w:rPr>
          <w:rFonts w:ascii="Times New Roman" w:hAnsi="Times New Roman" w:cs="Times New Roman"/>
          <w:sz w:val="24"/>
          <w:szCs w:val="24"/>
        </w:rPr>
      </w:pPr>
      <w:r w:rsidRPr="00600C4C">
        <w:rPr>
          <w:rFonts w:ascii="Times New Roman" w:hAnsi="Times New Roman" w:cs="Times New Roman"/>
          <w:sz w:val="24"/>
          <w:szCs w:val="24"/>
        </w:rPr>
        <w:t xml:space="preserve">Olutimehin, A. T., Ajayi, A. J., Metibemu, O. C., Balogun, A. Y., Oladoyinbo, T. O., &amp; Olaniyi, </w:t>
      </w:r>
    </w:p>
    <w:p w14:paraId="3CD06485" w14:textId="7A418BEE" w:rsidR="00DD17C5" w:rsidRPr="00DD17C5" w:rsidRDefault="00DD17C5" w:rsidP="00DD17C5">
      <w:pPr>
        <w:pStyle w:val="NoSpacing"/>
        <w:spacing w:line="360" w:lineRule="auto"/>
        <w:ind w:left="720"/>
        <w:rPr>
          <w:rFonts w:ascii="Times New Roman" w:hAnsi="Times New Roman" w:cs="Times New Roman"/>
          <w:sz w:val="24"/>
          <w:szCs w:val="24"/>
        </w:rPr>
      </w:pPr>
      <w:r w:rsidRPr="00600C4C">
        <w:rPr>
          <w:rFonts w:ascii="Times New Roman" w:hAnsi="Times New Roman" w:cs="Times New Roman"/>
          <w:sz w:val="24"/>
          <w:szCs w:val="24"/>
        </w:rPr>
        <w:t xml:space="preserve">O. O. (2025). Adversarial Threats to AI-Driven Systems: Exploring the Attack Surface of Machine Learning Models and Countermeasures. Journal of Engineering Research and Reports, 27(2), 341–362. </w:t>
      </w:r>
      <w:hyperlink r:id="rId16" w:history="1">
        <w:r w:rsidRPr="00600C4C">
          <w:rPr>
            <w:rStyle w:val="Hyperlink"/>
            <w:rFonts w:ascii="Times New Roman" w:hAnsi="Times New Roman" w:cs="Times New Roman"/>
            <w:sz w:val="24"/>
            <w:szCs w:val="24"/>
          </w:rPr>
          <w:t>https://doi.org/10.9734/jerr/2025/v27i21413</w:t>
        </w:r>
      </w:hyperlink>
    </w:p>
    <w:p w14:paraId="3EB8F581" w14:textId="77777777" w:rsidR="00ED0B22" w:rsidRDefault="00ED0B22" w:rsidP="006100A1">
      <w:pPr>
        <w:pStyle w:val="NormalWeb"/>
        <w:spacing w:before="0" w:beforeAutospacing="0" w:after="0" w:afterAutospacing="0" w:line="360" w:lineRule="auto"/>
        <w:ind w:left="720" w:hanging="720"/>
        <w:jc w:val="both"/>
      </w:pPr>
      <w:r>
        <w:t xml:space="preserve">Papernot, N., McDaniel, P., Goodfellow, I., Jha, S., Celik, Z. B., &amp; Swami, A. (2017). Practical Black-Box Attacks against Machine Learning. </w:t>
      </w:r>
      <w:r>
        <w:rPr>
          <w:i/>
          <w:iCs/>
        </w:rPr>
        <w:t>Proceedings of the 2017 ACM on Asia Conference on Computer and Communications Security - ASIA CCS ’17</w:t>
      </w:r>
      <w:r>
        <w:t>. https://doi.org/10.1145/3052973.3053009</w:t>
      </w:r>
    </w:p>
    <w:p w14:paraId="58AF2450" w14:textId="77777777" w:rsidR="00ED0B22" w:rsidRDefault="00ED0B22" w:rsidP="006100A1">
      <w:pPr>
        <w:pStyle w:val="NormalWeb"/>
        <w:spacing w:before="0" w:beforeAutospacing="0" w:after="0" w:afterAutospacing="0" w:line="360" w:lineRule="auto"/>
        <w:ind w:left="720" w:hanging="720"/>
        <w:jc w:val="both"/>
      </w:pPr>
      <w:r>
        <w:t xml:space="preserve">Qayyum, A., Qadir, J., Bilal, M., &amp; Al-Fuqaha, A. (2021). Secure and Robust Machine Learning for Healthcare: A Survey. </w:t>
      </w:r>
      <w:r>
        <w:rPr>
          <w:i/>
          <w:iCs/>
        </w:rPr>
        <w:t>IEEE Reviews in Biomedical Engineering</w:t>
      </w:r>
      <w:r>
        <w:t xml:space="preserve">, </w:t>
      </w:r>
      <w:r>
        <w:rPr>
          <w:i/>
          <w:iCs/>
        </w:rPr>
        <w:t>14</w:t>
      </w:r>
      <w:r>
        <w:t>, 156–180. https://doi.org/10.1109/rbme.2020.3013489</w:t>
      </w:r>
    </w:p>
    <w:p w14:paraId="5210F1B8" w14:textId="77777777" w:rsidR="00ED0B22" w:rsidRDefault="00ED0B22" w:rsidP="006100A1">
      <w:pPr>
        <w:pStyle w:val="NormalWeb"/>
        <w:spacing w:before="0" w:beforeAutospacing="0" w:after="0" w:afterAutospacing="0" w:line="360" w:lineRule="auto"/>
        <w:ind w:left="720" w:hanging="720"/>
        <w:jc w:val="both"/>
      </w:pPr>
      <w:r>
        <w:t xml:space="preserve">Rani, D. (2019). Lightweight Security Protocols for Internet of Things: A Review. </w:t>
      </w:r>
      <w:r>
        <w:rPr>
          <w:i/>
          <w:iCs/>
        </w:rPr>
        <w:t>International Journal of Advanced Trends in Computer Science and Engineering</w:t>
      </w:r>
      <w:r>
        <w:t xml:space="preserve">, </w:t>
      </w:r>
      <w:r>
        <w:rPr>
          <w:i/>
          <w:iCs/>
        </w:rPr>
        <w:t>8</w:t>
      </w:r>
      <w:r>
        <w:t>(3), 707–719. https://doi.org/10.30534/ijatcse/2019/58832019</w:t>
      </w:r>
    </w:p>
    <w:p w14:paraId="6F1605D2" w14:textId="77777777" w:rsidR="00ED0B22" w:rsidRDefault="00ED0B22" w:rsidP="006100A1">
      <w:pPr>
        <w:pStyle w:val="NormalWeb"/>
        <w:spacing w:before="0" w:beforeAutospacing="0" w:after="0" w:afterAutospacing="0" w:line="360" w:lineRule="auto"/>
        <w:ind w:left="720" w:hanging="720"/>
        <w:jc w:val="both"/>
      </w:pPr>
      <w:r>
        <w:t xml:space="preserve">Ribeiro, A. (2024). </w:t>
      </w:r>
      <w:r>
        <w:rPr>
          <w:i/>
          <w:iCs/>
        </w:rPr>
        <w:t>CPR data reports 32% rise this year, as global healthcare sector faces surge in cyberattacks</w:t>
      </w:r>
      <w:r>
        <w:t>. Industrial Cyber. https://industrialcyber.co/medical/cpr-data-reports-32-rise-this-year-as-global-healthcare-sector-faces-surge-in-cyberattacks/</w:t>
      </w:r>
    </w:p>
    <w:p w14:paraId="3AEA2B4C" w14:textId="77777777" w:rsidR="00ED0B22" w:rsidRDefault="00ED0B22" w:rsidP="006100A1">
      <w:pPr>
        <w:pStyle w:val="NormalWeb"/>
        <w:spacing w:before="0" w:beforeAutospacing="0" w:after="0" w:afterAutospacing="0" w:line="360" w:lineRule="auto"/>
        <w:ind w:left="720" w:hanging="720"/>
        <w:jc w:val="both"/>
      </w:pPr>
      <w:r>
        <w:t xml:space="preserve">Ruwayd Hussain Charfare, Desai, A. U., Nishad Nitin Keni, Nambiar, A. S., &amp; Cherian, M. M. (2024). IoT-AI in Healthcare: A Comprehensive Survey of Current Applications and Innovations. </w:t>
      </w:r>
      <w:r>
        <w:rPr>
          <w:i/>
          <w:iCs/>
        </w:rPr>
        <w:t>International Journal of Robotics and Control Systems</w:t>
      </w:r>
      <w:r>
        <w:t xml:space="preserve">, </w:t>
      </w:r>
      <w:r>
        <w:rPr>
          <w:i/>
          <w:iCs/>
        </w:rPr>
        <w:t>4</w:t>
      </w:r>
      <w:r>
        <w:t>(3), 1446–1472. https://doi.org/10.31763/ijrcs.v4i3.1526</w:t>
      </w:r>
    </w:p>
    <w:p w14:paraId="448BCC90" w14:textId="77777777" w:rsidR="00ED0B22" w:rsidRDefault="00ED0B22" w:rsidP="006100A1">
      <w:pPr>
        <w:pStyle w:val="NormalWeb"/>
        <w:spacing w:before="0" w:beforeAutospacing="0" w:after="0" w:afterAutospacing="0" w:line="360" w:lineRule="auto"/>
        <w:ind w:left="720" w:hanging="720"/>
        <w:jc w:val="both"/>
      </w:pPr>
      <w:r>
        <w:lastRenderedPageBreak/>
        <w:t xml:space="preserve">Sendelj, R., &amp; Ognjanovic, I. (2022). Cybersecurity Challenges in Healthcare. </w:t>
      </w:r>
      <w:r>
        <w:rPr>
          <w:i/>
          <w:iCs/>
        </w:rPr>
        <w:t>Studies in Health Technology and Informatics</w:t>
      </w:r>
      <w:r>
        <w:t xml:space="preserve">, </w:t>
      </w:r>
      <w:r>
        <w:rPr>
          <w:i/>
          <w:iCs/>
        </w:rPr>
        <w:t>300</w:t>
      </w:r>
      <w:r>
        <w:t>(1). https://doi.org/10.3233/shti220951</w:t>
      </w:r>
    </w:p>
    <w:p w14:paraId="423394DE" w14:textId="77777777" w:rsidR="00ED0B22" w:rsidRDefault="00ED0B22" w:rsidP="006100A1">
      <w:pPr>
        <w:pStyle w:val="NormalWeb"/>
        <w:spacing w:before="0" w:beforeAutospacing="0" w:after="0" w:afterAutospacing="0" w:line="360" w:lineRule="auto"/>
        <w:ind w:left="720" w:hanging="720"/>
        <w:jc w:val="both"/>
      </w:pPr>
      <w:r>
        <w:t xml:space="preserve">Sharma, N., &amp; Dhiman, P. (2025). A survey on IoT security: challenges and their solutions using machine learning and blockchain technology. </w:t>
      </w:r>
      <w:r>
        <w:rPr>
          <w:i/>
          <w:iCs/>
        </w:rPr>
        <w:t>Cluster Computing</w:t>
      </w:r>
      <w:r>
        <w:t xml:space="preserve">, </w:t>
      </w:r>
      <w:r>
        <w:rPr>
          <w:i/>
          <w:iCs/>
        </w:rPr>
        <w:t>28</w:t>
      </w:r>
      <w:r>
        <w:t>(5). https://doi.org/10.1007/s10586-025-05208-0</w:t>
      </w:r>
    </w:p>
    <w:p w14:paraId="4FE2D958" w14:textId="77777777" w:rsidR="00ED0B22" w:rsidRDefault="00ED0B22" w:rsidP="006100A1">
      <w:pPr>
        <w:pStyle w:val="NormalWeb"/>
        <w:spacing w:before="0" w:beforeAutospacing="0" w:after="0" w:afterAutospacing="0" w:line="360" w:lineRule="auto"/>
        <w:ind w:left="720" w:hanging="720"/>
        <w:jc w:val="both"/>
      </w:pPr>
      <w:r>
        <w:t xml:space="preserve">Shimabukuro, B., &amp; Sekar, S. (2025). </w:t>
      </w:r>
      <w:r>
        <w:rPr>
          <w:i/>
          <w:iCs/>
        </w:rPr>
        <w:t>Tech resilience for healthcare providers: Inaction has a heavy toll</w:t>
      </w:r>
      <w:r>
        <w:t>. McKinsey &amp; Company. https://www.mckinsey.com/industries/healthcare/our-insights/tech-resilience-for-healthcare-providers-inaction-has-a-heavy-toll</w:t>
      </w:r>
    </w:p>
    <w:p w14:paraId="4CB8F6DC" w14:textId="77777777" w:rsidR="00ED0B22" w:rsidRDefault="00ED0B22" w:rsidP="006100A1">
      <w:pPr>
        <w:pStyle w:val="NormalWeb"/>
        <w:spacing w:before="0" w:beforeAutospacing="0" w:after="0" w:afterAutospacing="0" w:line="360" w:lineRule="auto"/>
        <w:ind w:left="720" w:hanging="720"/>
        <w:jc w:val="both"/>
      </w:pPr>
      <w:r>
        <w:t xml:space="preserve">Sumaiya Tasneem, Gupta, K. D., Roy, A., &amp; Dasgupta, D. (2023). Generative Adversarial Networks (GAN) for Cyber Security: Challenges and Opportunities. </w:t>
      </w:r>
      <w:r>
        <w:rPr>
          <w:i/>
          <w:iCs/>
        </w:rPr>
        <w:t>2022 IEEE Symposium Series on Computational Intelligence</w:t>
      </w:r>
      <w:r>
        <w:t>. https://www.researchgate.net/publication/366962736_Generative_Adversarial_Networks_GAN_for_Cyber_Security_Challenges_and_Opportunities</w:t>
      </w:r>
    </w:p>
    <w:p w14:paraId="6EE3335B" w14:textId="77777777" w:rsidR="00ED0B22" w:rsidRDefault="00ED0B22" w:rsidP="006100A1">
      <w:pPr>
        <w:pStyle w:val="NormalWeb"/>
        <w:spacing w:before="0" w:beforeAutospacing="0" w:after="0" w:afterAutospacing="0" w:line="360" w:lineRule="auto"/>
        <w:ind w:left="720" w:hanging="720"/>
        <w:jc w:val="both"/>
      </w:pPr>
      <w:r>
        <w:t xml:space="preserve">Tuncay, G. S., Demetriou, S., Ganju, K., &amp; Gunter, C. A. (2018). Resolving the Predicament of Android Custom Permissions. </w:t>
      </w:r>
      <w:r>
        <w:rPr>
          <w:i/>
          <w:iCs/>
        </w:rPr>
        <w:t>Proceedings 2018 Network and Distributed System Security Symposium</w:t>
      </w:r>
      <w:r>
        <w:t>. https://doi.org/10.14722/ndss.2018.23210</w:t>
      </w:r>
    </w:p>
    <w:p w14:paraId="1D36174E" w14:textId="77777777" w:rsidR="00ED0B22" w:rsidRDefault="00ED0B22" w:rsidP="006100A1">
      <w:pPr>
        <w:pStyle w:val="NormalWeb"/>
        <w:spacing w:before="0" w:beforeAutospacing="0" w:after="0" w:afterAutospacing="0" w:line="360" w:lineRule="auto"/>
        <w:ind w:left="720" w:hanging="720"/>
        <w:jc w:val="both"/>
      </w:pPr>
      <w:r>
        <w:t xml:space="preserve">Wang, Y., Ma, X., Bailey, J., Yi, J., Zhou, B., &amp; Gu, Q. (2021). On the Convergence and Robustness of Adversarial Training. </w:t>
      </w:r>
      <w:r>
        <w:rPr>
          <w:i/>
          <w:iCs/>
        </w:rPr>
        <w:t>ArXiv (Cornell University)</w:t>
      </w:r>
      <w:r>
        <w:t>. https://doi.org/10.48550/arxiv.2112.08304</w:t>
      </w:r>
    </w:p>
    <w:p w14:paraId="3F28DEE2" w14:textId="77777777" w:rsidR="00ED0B22" w:rsidRDefault="00ED0B22" w:rsidP="006100A1">
      <w:pPr>
        <w:pStyle w:val="NormalWeb"/>
        <w:spacing w:before="0" w:beforeAutospacing="0" w:after="0" w:afterAutospacing="0" w:line="360" w:lineRule="auto"/>
        <w:ind w:left="720" w:hanging="720"/>
        <w:jc w:val="both"/>
      </w:pPr>
      <w:r>
        <w:t xml:space="preserve">Yi, X., Walia, E., &amp; Babyn, P. (2019). Generative adversarial network in medical imaging: A review. </w:t>
      </w:r>
      <w:r>
        <w:rPr>
          <w:i/>
          <w:iCs/>
        </w:rPr>
        <w:t>Medical Image Analysis</w:t>
      </w:r>
      <w:r>
        <w:t xml:space="preserve">, </w:t>
      </w:r>
      <w:r>
        <w:rPr>
          <w:i/>
          <w:iCs/>
        </w:rPr>
        <w:t>58</w:t>
      </w:r>
      <w:r>
        <w:t>, 101552. https://doi.org/10.1016/j.media.2019.101552</w:t>
      </w:r>
    </w:p>
    <w:p w14:paraId="1DFB4BE3" w14:textId="77777777" w:rsidR="00ED0B22" w:rsidRPr="00ED0B22" w:rsidRDefault="00ED0B22" w:rsidP="00ED0B22">
      <w:pPr>
        <w:spacing w:line="360" w:lineRule="auto"/>
        <w:jc w:val="both"/>
        <w:rPr>
          <w:rFonts w:ascii="Times New Roman" w:hAnsi="Times New Roman" w:cs="Times New Roman"/>
          <w:b/>
          <w:sz w:val="24"/>
          <w:szCs w:val="24"/>
        </w:rPr>
      </w:pPr>
    </w:p>
    <w:sectPr w:rsidR="00ED0B22" w:rsidRPr="00ED0B2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47045" w14:textId="77777777" w:rsidR="00091094" w:rsidRDefault="00091094" w:rsidP="006B1E80">
      <w:pPr>
        <w:spacing w:after="0" w:line="240" w:lineRule="auto"/>
      </w:pPr>
      <w:r>
        <w:separator/>
      </w:r>
    </w:p>
  </w:endnote>
  <w:endnote w:type="continuationSeparator" w:id="0">
    <w:p w14:paraId="48F4237A" w14:textId="77777777" w:rsidR="00091094" w:rsidRDefault="00091094" w:rsidP="006B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76A68" w14:textId="77777777" w:rsidR="006B1E80" w:rsidRDefault="006B1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E58A9" w14:textId="77777777" w:rsidR="006B1E80" w:rsidRDefault="006B1E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CF36" w14:textId="77777777" w:rsidR="006B1E80" w:rsidRDefault="006B1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709F7" w14:textId="77777777" w:rsidR="00091094" w:rsidRDefault="00091094" w:rsidP="006B1E80">
      <w:pPr>
        <w:spacing w:after="0" w:line="240" w:lineRule="auto"/>
      </w:pPr>
      <w:r>
        <w:separator/>
      </w:r>
    </w:p>
  </w:footnote>
  <w:footnote w:type="continuationSeparator" w:id="0">
    <w:p w14:paraId="4BE9BAC0" w14:textId="77777777" w:rsidR="00091094" w:rsidRDefault="00091094" w:rsidP="006B1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5F01" w14:textId="7E6014D2" w:rsidR="006B1E80" w:rsidRDefault="00B23472">
    <w:pPr>
      <w:pStyle w:val="Header"/>
    </w:pPr>
    <w:r>
      <w:rPr>
        <w:noProof/>
      </w:rPr>
      <w:pict w14:anchorId="674FE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7650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AE14" w14:textId="41CD6997" w:rsidR="006B1E80" w:rsidRDefault="00B23472">
    <w:pPr>
      <w:pStyle w:val="Header"/>
    </w:pPr>
    <w:r>
      <w:rPr>
        <w:noProof/>
      </w:rPr>
      <w:pict w14:anchorId="2F329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7650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ED7A" w14:textId="5BF25E9D" w:rsidR="006B1E80" w:rsidRDefault="00B23472">
    <w:pPr>
      <w:pStyle w:val="Header"/>
    </w:pPr>
    <w:r>
      <w:rPr>
        <w:noProof/>
      </w:rPr>
      <w:pict w14:anchorId="69898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7650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23FF7"/>
    <w:multiLevelType w:val="hybridMultilevel"/>
    <w:tmpl w:val="9FF2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4D5ED0"/>
    <w:multiLevelType w:val="hybridMultilevel"/>
    <w:tmpl w:val="12DE1F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739041">
    <w:abstractNumId w:val="1"/>
  </w:num>
  <w:num w:numId="2" w16cid:durableId="1777288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E0E"/>
    <w:rsid w:val="00091094"/>
    <w:rsid w:val="001A3AF1"/>
    <w:rsid w:val="0036082D"/>
    <w:rsid w:val="00370F62"/>
    <w:rsid w:val="00566B6C"/>
    <w:rsid w:val="006100A1"/>
    <w:rsid w:val="006B1E80"/>
    <w:rsid w:val="006E2466"/>
    <w:rsid w:val="006F17E9"/>
    <w:rsid w:val="007C61C3"/>
    <w:rsid w:val="007D5427"/>
    <w:rsid w:val="00831CD6"/>
    <w:rsid w:val="0083354A"/>
    <w:rsid w:val="0089399F"/>
    <w:rsid w:val="009867CB"/>
    <w:rsid w:val="00A52242"/>
    <w:rsid w:val="00A817B7"/>
    <w:rsid w:val="00B14C7E"/>
    <w:rsid w:val="00B23472"/>
    <w:rsid w:val="00B63BC7"/>
    <w:rsid w:val="00BD2B21"/>
    <w:rsid w:val="00C17E0E"/>
    <w:rsid w:val="00D269E1"/>
    <w:rsid w:val="00D44636"/>
    <w:rsid w:val="00D86F37"/>
    <w:rsid w:val="00DB75CD"/>
    <w:rsid w:val="00DD17C5"/>
    <w:rsid w:val="00E31AEB"/>
    <w:rsid w:val="00E63E1A"/>
    <w:rsid w:val="00E712A2"/>
    <w:rsid w:val="00EB7A0E"/>
    <w:rsid w:val="00ED0B22"/>
    <w:rsid w:val="00EF2EC4"/>
    <w:rsid w:val="00EF650E"/>
    <w:rsid w:val="00F0764C"/>
    <w:rsid w:val="00F5380D"/>
    <w:rsid w:val="00FB5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7B2BA"/>
  <w15:chartTrackingRefBased/>
  <w15:docId w15:val="{3FDB6922-1B75-4668-AA5C-23CB25238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E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E0E"/>
    <w:pPr>
      <w:ind w:left="720"/>
      <w:contextualSpacing/>
    </w:pPr>
  </w:style>
  <w:style w:type="table" w:styleId="TableGrid">
    <w:name w:val="Table Grid"/>
    <w:basedOn w:val="TableNormal"/>
    <w:uiPriority w:val="39"/>
    <w:rsid w:val="00F53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0B2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867CB"/>
    <w:pPr>
      <w:spacing w:after="0" w:line="240" w:lineRule="auto"/>
    </w:pPr>
  </w:style>
  <w:style w:type="character" w:styleId="Hyperlink">
    <w:name w:val="Hyperlink"/>
    <w:basedOn w:val="DefaultParagraphFont"/>
    <w:uiPriority w:val="99"/>
    <w:unhideWhenUsed/>
    <w:rsid w:val="00DD17C5"/>
    <w:rPr>
      <w:color w:val="0563C1" w:themeColor="hyperlink"/>
      <w:u w:val="single"/>
    </w:rPr>
  </w:style>
  <w:style w:type="character" w:styleId="UnresolvedMention">
    <w:name w:val="Unresolved Mention"/>
    <w:basedOn w:val="DefaultParagraphFont"/>
    <w:uiPriority w:val="99"/>
    <w:semiHidden/>
    <w:unhideWhenUsed/>
    <w:rsid w:val="00DD17C5"/>
    <w:rPr>
      <w:color w:val="605E5C"/>
      <w:shd w:val="clear" w:color="auto" w:fill="E1DFDD"/>
    </w:rPr>
  </w:style>
  <w:style w:type="paragraph" w:styleId="Header">
    <w:name w:val="header"/>
    <w:basedOn w:val="Normal"/>
    <w:link w:val="HeaderChar"/>
    <w:uiPriority w:val="99"/>
    <w:unhideWhenUsed/>
    <w:rsid w:val="006B1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E80"/>
  </w:style>
  <w:style w:type="paragraph" w:styleId="Footer">
    <w:name w:val="footer"/>
    <w:basedOn w:val="Normal"/>
    <w:link w:val="FooterChar"/>
    <w:uiPriority w:val="99"/>
    <w:unhideWhenUsed/>
    <w:rsid w:val="006B1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52054">
      <w:bodyDiv w:val="1"/>
      <w:marLeft w:val="0"/>
      <w:marRight w:val="0"/>
      <w:marTop w:val="0"/>
      <w:marBottom w:val="0"/>
      <w:divBdr>
        <w:top w:val="none" w:sz="0" w:space="0" w:color="auto"/>
        <w:left w:val="none" w:sz="0" w:space="0" w:color="auto"/>
        <w:bottom w:val="none" w:sz="0" w:space="0" w:color="auto"/>
        <w:right w:val="none" w:sz="0" w:space="0" w:color="auto"/>
      </w:divBdr>
      <w:divsChild>
        <w:div w:id="165302399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9734/jerr/2025/v27i21413"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2139/ssrn.5085205"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jerr/2025/v27i21399"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8211</Words>
  <Characters>46806</Characters>
  <Application>Microsoft Office Word</Application>
  <DocSecurity>4</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Oluwaseun Olaniyi</cp:lastModifiedBy>
  <cp:revision>2</cp:revision>
  <dcterms:created xsi:type="dcterms:W3CDTF">2025-10-05T02:03:00Z</dcterms:created>
  <dcterms:modified xsi:type="dcterms:W3CDTF">2025-10-05T02:03:00Z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dc959953-e92f-4936-a7b2-8ee02821d149</vt:lpwstr>
  </property>
</Properties>
</file>