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0F1F0" w14:textId="7510DC09" w:rsidR="0079339C" w:rsidRPr="000873B8" w:rsidRDefault="00083071" w:rsidP="0079339C">
      <w:pPr>
        <w:jc w:val="both"/>
        <w:rPr>
          <w:rFonts w:ascii="Times New Roman" w:hAnsi="Times New Roman" w:cs="Times New Roman"/>
          <w:b/>
          <w:bCs/>
          <w:sz w:val="28"/>
          <w:szCs w:val="24"/>
        </w:rPr>
      </w:pPr>
      <w:r w:rsidRPr="000873B8">
        <w:rPr>
          <w:rFonts w:ascii="Times New Roman" w:hAnsi="Times New Roman" w:cs="Times New Roman"/>
          <w:b/>
          <w:bCs/>
          <w:sz w:val="28"/>
          <w:szCs w:val="24"/>
        </w:rPr>
        <w:t>Sustainable Crop Production Practices: A Comprehensive Review of Agroecological Approaches</w:t>
      </w:r>
    </w:p>
    <w:p w14:paraId="3CEE64B2" w14:textId="77777777" w:rsidR="005E72E8" w:rsidRPr="000873B8" w:rsidRDefault="005E72E8" w:rsidP="005E72E8">
      <w:pPr>
        <w:jc w:val="both"/>
        <w:rPr>
          <w:rFonts w:ascii="Times New Roman" w:hAnsi="Times New Roman" w:cs="Times New Roman"/>
          <w:b/>
          <w:bCs/>
          <w:sz w:val="24"/>
          <w:szCs w:val="24"/>
        </w:rPr>
      </w:pPr>
    </w:p>
    <w:p w14:paraId="59ECCBEB" w14:textId="77777777" w:rsidR="00A45170" w:rsidRPr="000873B8" w:rsidRDefault="00A45170" w:rsidP="008A7EB0">
      <w:pPr>
        <w:ind w:firstLine="720"/>
        <w:jc w:val="both"/>
        <w:rPr>
          <w:rFonts w:ascii="Times New Roman" w:hAnsi="Times New Roman" w:cs="Times New Roman"/>
          <w:sz w:val="24"/>
          <w:szCs w:val="24"/>
        </w:rPr>
      </w:pPr>
    </w:p>
    <w:p w14:paraId="1F677B72" w14:textId="77777777" w:rsidR="00D65EFE" w:rsidRPr="000873B8" w:rsidRDefault="00D65EFE" w:rsidP="00D65EFE">
      <w:pPr>
        <w:ind w:firstLine="720"/>
        <w:jc w:val="both"/>
        <w:rPr>
          <w:rFonts w:ascii="Times New Roman" w:hAnsi="Times New Roman" w:cs="Times New Roman"/>
          <w:sz w:val="24"/>
          <w:szCs w:val="24"/>
        </w:rPr>
      </w:pPr>
    </w:p>
    <w:p w14:paraId="5FF785E6" w14:textId="77777777" w:rsidR="005E72E8" w:rsidRPr="000873B8" w:rsidRDefault="005E72E8" w:rsidP="005E72E8">
      <w:pPr>
        <w:jc w:val="both"/>
        <w:rPr>
          <w:rFonts w:ascii="Times New Roman" w:hAnsi="Times New Roman" w:cs="Times New Roman"/>
          <w:b/>
          <w:bCs/>
          <w:sz w:val="24"/>
          <w:szCs w:val="24"/>
        </w:rPr>
      </w:pPr>
      <w:r w:rsidRPr="000873B8">
        <w:rPr>
          <w:rFonts w:ascii="Times New Roman" w:hAnsi="Times New Roman" w:cs="Times New Roman"/>
          <w:b/>
          <w:bCs/>
          <w:sz w:val="24"/>
          <w:szCs w:val="24"/>
        </w:rPr>
        <w:t xml:space="preserve">Abstract: </w:t>
      </w:r>
    </w:p>
    <w:p w14:paraId="35D8BF5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This comprehensive review examines the current state of agroecological approaches in sustainable crop production, addressing the urgent need for environmentally sound agricultural practices in the face of climate change and resource depletion. The paper synthesizes recent advances in crop diversification, soil health management, integrated pest management, water conservation techniques, and nutrient cycling strategies. Key findings indicate that agroecological practices can enhance crop yields by 20-30% while reducing chemical inputs by up to 50%. The review analyzes successful implementation cases across various agro-climatic zones in India, highlighting the role of traditional knowledge integration with modern scientific approaches. Challenges including initial adoption costs, knowledge gaps, and policy constraints are critically evaluated. The study emphasizes the importance of farmer participatory research, community-based seed systems, and ecosystem services in achieving long-term agricultural sustainability. Future research directions include developing climate-resilient crop varieties, optimizing microbiome interactions, and scaling up successful agroecological models. This review provides actionable insights for researchers, policymakers, and practitioners working towards transforming conventional agriculture into regenerative systems that ensure food security while preserving ecological integrity.</w:t>
      </w:r>
    </w:p>
    <w:p w14:paraId="57305C7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Keywords:</w:t>
      </w:r>
      <w:r w:rsidRPr="000873B8">
        <w:rPr>
          <w:rFonts w:ascii="Times New Roman" w:hAnsi="Times New Roman" w:cs="Times New Roman"/>
          <w:sz w:val="24"/>
          <w:szCs w:val="24"/>
        </w:rPr>
        <w:t xml:space="preserve"> Agroecology</w:t>
      </w:r>
      <w:r w:rsidR="00EB5187" w:rsidRPr="000873B8">
        <w:rPr>
          <w:rFonts w:ascii="Times New Roman" w:hAnsi="Times New Roman" w:cs="Times New Roman"/>
          <w:sz w:val="24"/>
          <w:szCs w:val="24"/>
        </w:rPr>
        <w:t xml:space="preserve">, </w:t>
      </w:r>
      <w:r w:rsidRPr="000873B8">
        <w:rPr>
          <w:rFonts w:ascii="Times New Roman" w:hAnsi="Times New Roman" w:cs="Times New Roman"/>
          <w:sz w:val="24"/>
          <w:szCs w:val="24"/>
        </w:rPr>
        <w:t xml:space="preserve">Sustainable </w:t>
      </w:r>
      <w:r w:rsidR="00EB5187" w:rsidRPr="000873B8">
        <w:rPr>
          <w:rFonts w:ascii="Times New Roman" w:hAnsi="Times New Roman" w:cs="Times New Roman"/>
          <w:sz w:val="24"/>
          <w:szCs w:val="24"/>
        </w:rPr>
        <w:t xml:space="preserve">Agriculture, </w:t>
      </w:r>
      <w:r w:rsidRPr="000873B8">
        <w:rPr>
          <w:rFonts w:ascii="Times New Roman" w:hAnsi="Times New Roman" w:cs="Times New Roman"/>
          <w:sz w:val="24"/>
          <w:szCs w:val="24"/>
        </w:rPr>
        <w:t xml:space="preserve">Crop </w:t>
      </w:r>
      <w:r w:rsidR="00EB5187" w:rsidRPr="000873B8">
        <w:rPr>
          <w:rFonts w:ascii="Times New Roman" w:hAnsi="Times New Roman" w:cs="Times New Roman"/>
          <w:sz w:val="24"/>
          <w:szCs w:val="24"/>
        </w:rPr>
        <w:t xml:space="preserve">Diversification, </w:t>
      </w:r>
      <w:r w:rsidRPr="000873B8">
        <w:rPr>
          <w:rFonts w:ascii="Times New Roman" w:hAnsi="Times New Roman" w:cs="Times New Roman"/>
          <w:sz w:val="24"/>
          <w:szCs w:val="24"/>
        </w:rPr>
        <w:t xml:space="preserve">Soil </w:t>
      </w:r>
      <w:r w:rsidR="00EB5187" w:rsidRPr="000873B8">
        <w:rPr>
          <w:rFonts w:ascii="Times New Roman" w:hAnsi="Times New Roman" w:cs="Times New Roman"/>
          <w:sz w:val="24"/>
          <w:szCs w:val="24"/>
        </w:rPr>
        <w:t xml:space="preserve">Health, </w:t>
      </w:r>
      <w:r w:rsidRPr="000873B8">
        <w:rPr>
          <w:rFonts w:ascii="Times New Roman" w:hAnsi="Times New Roman" w:cs="Times New Roman"/>
          <w:sz w:val="24"/>
          <w:szCs w:val="24"/>
        </w:rPr>
        <w:t xml:space="preserve">Integrated </w:t>
      </w:r>
      <w:r w:rsidR="00EB5187" w:rsidRPr="000873B8">
        <w:rPr>
          <w:rFonts w:ascii="Times New Roman" w:hAnsi="Times New Roman" w:cs="Times New Roman"/>
          <w:sz w:val="24"/>
          <w:szCs w:val="24"/>
        </w:rPr>
        <w:t>Management</w:t>
      </w:r>
    </w:p>
    <w:p w14:paraId="755748F8"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 Introduction</w:t>
      </w:r>
    </w:p>
    <w:p w14:paraId="30973DD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The global agricultural landscape faces unprecedented challenges in the 21st century, with increasing pressure to produce more food for a growing population while simultaneously addressing environmental degradation, climate change impacts, and resource scarcity [1]. India, with its diverse agro-climatic zones and predominantly smallholder farming systems, exemplifies both the challenges and opportunities in transitioning towards sustainable agricultural practices. The Green Revolution, while successful in enhancing food production, has led to significant ecological consequences including soil degradation, groundwater depletion, biodiversity loss, and increased greenhouse gas emissions [2].</w:t>
      </w:r>
    </w:p>
    <w:p w14:paraId="352C42B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Agroecology emerges as a transformative approach that integrates ecological principles into agricultural systems, offering pathways to enhance productivity while maintaining environmental integrity [3]. This holistic framework encompasses multiple dimensions including biological diversity, nutrient cycling, soil health management, and socio-economic considerations. Unlike conventional intensive agriculture that relies heavily on external inputs, agroecological practices </w:t>
      </w:r>
      <w:r w:rsidRPr="000873B8">
        <w:rPr>
          <w:rFonts w:ascii="Times New Roman" w:hAnsi="Times New Roman" w:cs="Times New Roman"/>
          <w:sz w:val="24"/>
          <w:szCs w:val="24"/>
        </w:rPr>
        <w:lastRenderedPageBreak/>
        <w:t>emphasize the optimization of ecological processes and ecosystem services within farming systems [4].</w:t>
      </w:r>
    </w:p>
    <w:p w14:paraId="7E091A2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The Indian context presents unique opportunities for agroecological transformation. Traditional farming systems have evolved over millennia, incorporating sophisticated knowledge of local ecosystems, crop varieties, and resource management strategies. These indigenous practices, when combined with modern scientific understanding, can provide robust solutions for sustainable intensification [5]. The diversity of crops cultivated in India, including over 50,000 varieties of rice (</w:t>
      </w:r>
      <w:r w:rsidRPr="000873B8">
        <w:rPr>
          <w:rFonts w:ascii="Times New Roman" w:hAnsi="Times New Roman" w:cs="Times New Roman"/>
          <w:i/>
          <w:iCs/>
          <w:sz w:val="24"/>
          <w:szCs w:val="24"/>
        </w:rPr>
        <w:t>Oryza sativa</w:t>
      </w:r>
      <w:r w:rsidRPr="000873B8">
        <w:rPr>
          <w:rFonts w:ascii="Times New Roman" w:hAnsi="Times New Roman" w:cs="Times New Roman"/>
          <w:sz w:val="24"/>
          <w:szCs w:val="24"/>
        </w:rPr>
        <w:t>), numerous millets, pulses, and oilseeds, offers tremendous potential for developing resilient cropping systems [6].</w:t>
      </w:r>
    </w:p>
    <w:p w14:paraId="3E3C838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Recent policy initiatives such as the National Mission for Sustainable Agriculture and Zero Budget Natural Farming programs indicate growing recognition of agroecological approaches at governmental levels [7]. However, the transition from conventional to sustainable practices requires comprehensive understanding of ecological interactions, farmer capacity building, market linkages, and supportive institutional frameworks. The economic viability of agroecological practices remains a critical consideration, particularly for resource-poor farmers who constitute the majority of Indian agriculture [8].</w:t>
      </w:r>
    </w:p>
    <w:p w14:paraId="328E077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This review synthesizes current knowledge on sustainable crop production practices through an agroecological lens, examining successful implementations, identifying challenges, and proposing future directions. The analysis encompasses various components including crop diversification strategies, soil health management, water conservation techniques, integrated pest management, and nutrient cycling approaches. By critically evaluating empirical evidence from field studies, farmer experiences, and scientific research, this paper aims to provide actionable insights for researchers, policymakers, and practitioners engaged in agricultural sustainability efforts.</w:t>
      </w:r>
    </w:p>
    <w:p w14:paraId="0DC22A8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The urgency of this transition cannot be overstated. Climate projections indicate significant impacts on agricultural productivity, with changing precipitation patterns, temperature extremes, and increased frequency of extreme weather events [9]. Agroecological approaches offer adaptive strategies through enhanced system resilience, reduced dependency on external inputs, and improved ecosystem services. Furthermore, these practices contribute to multiple sustainable development goals including zero hunger, climate action, and terrestrial ecosystem conservation [10].</w:t>
      </w:r>
    </w:p>
    <w:p w14:paraId="21CDCF0A" w14:textId="111E8911" w:rsidR="00F060F9" w:rsidRPr="000873B8" w:rsidRDefault="00F060F9" w:rsidP="00F060F9">
      <w:p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0873B8">
        <w:rPr>
          <w:rFonts w:ascii="Times New Roman" w:eastAsia="Times New Roman" w:hAnsi="Times New Roman" w:cs="Times New Roman"/>
          <w:sz w:val="24"/>
          <w:szCs w:val="24"/>
          <w:lang w:val="en-IN" w:eastAsia="en-IN" w:bidi="hi-IN"/>
        </w:rPr>
        <w:t>Agroecological approaches for sustainable crop production in India:</w:t>
      </w:r>
    </w:p>
    <w:p w14:paraId="6F8C874D" w14:textId="77777777" w:rsidR="00F060F9" w:rsidRPr="000873B8"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0873B8">
        <w:rPr>
          <w:rFonts w:ascii="Times New Roman" w:eastAsia="Times New Roman" w:hAnsi="Times New Roman" w:cs="Times New Roman"/>
          <w:sz w:val="24"/>
          <w:szCs w:val="24"/>
          <w:lang w:val="en-IN" w:eastAsia="en-IN" w:bidi="hi-IN"/>
        </w:rPr>
        <w:t>Agroecology offers holistic, ecological approaches to enhance agricultural productivity while maintaining environmental integrity. It integrates principles like crop diversification, soil health, water conservation, integrated pest management, and nutrient cycling.</w:t>
      </w:r>
    </w:p>
    <w:p w14:paraId="7D2F788D" w14:textId="77777777" w:rsidR="00F060F9" w:rsidRPr="000873B8"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0873B8">
        <w:rPr>
          <w:rFonts w:ascii="Times New Roman" w:eastAsia="Times New Roman" w:hAnsi="Times New Roman" w:cs="Times New Roman"/>
          <w:sz w:val="24"/>
          <w:szCs w:val="24"/>
          <w:lang w:val="en-IN" w:eastAsia="en-IN" w:bidi="hi-IN"/>
        </w:rPr>
        <w:t>India has tremendous opportunities for agroecological transformation, given its diverse agroclimatic zones, rich biodiversity of crops and varieties, and traditional farming knowledge that can be integrated with modern science.</w:t>
      </w:r>
    </w:p>
    <w:p w14:paraId="2130A280" w14:textId="77777777" w:rsidR="00F060F9" w:rsidRPr="000873B8"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0873B8">
        <w:rPr>
          <w:rFonts w:ascii="Times New Roman" w:eastAsia="Times New Roman" w:hAnsi="Times New Roman" w:cs="Times New Roman"/>
          <w:sz w:val="24"/>
          <w:szCs w:val="24"/>
          <w:lang w:val="en-IN" w:eastAsia="en-IN" w:bidi="hi-IN"/>
        </w:rPr>
        <w:lastRenderedPageBreak/>
        <w:t>Recent policy initiatives in India like the National Mission for Sustainable Agriculture indicate growing recognition of the need for agroecological approaches. However, the transition requires building farmer capacities, market linkages, and supportive institutions.</w:t>
      </w:r>
    </w:p>
    <w:p w14:paraId="61D6C3EB" w14:textId="77777777" w:rsidR="00F060F9" w:rsidRPr="000873B8"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0873B8">
        <w:rPr>
          <w:rFonts w:ascii="Times New Roman" w:eastAsia="Times New Roman" w:hAnsi="Times New Roman" w:cs="Times New Roman"/>
          <w:sz w:val="24"/>
          <w:szCs w:val="24"/>
          <w:lang w:val="en-IN" w:eastAsia="en-IN" w:bidi="hi-IN"/>
        </w:rPr>
        <w:t>The economic viability of agroecology remains a key consideration, especially for resource-poor smallholder farmers who make up the majority of Indian agriculture. Cost-benefit analyses are essential.</w:t>
      </w:r>
    </w:p>
    <w:p w14:paraId="0726E9CA" w14:textId="77777777" w:rsidR="00F060F9" w:rsidRPr="000873B8"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0873B8">
        <w:rPr>
          <w:rFonts w:ascii="Times New Roman" w:eastAsia="Times New Roman" w:hAnsi="Times New Roman" w:cs="Times New Roman"/>
          <w:sz w:val="24"/>
          <w:szCs w:val="24"/>
          <w:lang w:val="en-IN" w:eastAsia="en-IN" w:bidi="hi-IN"/>
        </w:rPr>
        <w:t>The urgency of an agroecological transition in India is underscored by climate change projections indicating major impacts on agricultural productivity through changing weather patterns and increased frequency of extreme events. Agroecology can provide climate-resilient solutions.</w:t>
      </w:r>
    </w:p>
    <w:p w14:paraId="7AE38E92" w14:textId="77777777" w:rsidR="00F060F9" w:rsidRPr="000873B8"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0873B8">
        <w:rPr>
          <w:rFonts w:ascii="Times New Roman" w:eastAsia="Times New Roman" w:hAnsi="Times New Roman" w:cs="Times New Roman"/>
          <w:sz w:val="24"/>
          <w:szCs w:val="24"/>
          <w:lang w:val="en-IN" w:eastAsia="en-IN" w:bidi="hi-IN"/>
        </w:rPr>
        <w:t>An agroecological transformation aligns with achieving multiple Sustainable Development Goals including zero hunger, climate action, and biodiversity conservation.</w:t>
      </w:r>
    </w:p>
    <w:p w14:paraId="6CE5D734"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2. Methodology</w:t>
      </w:r>
    </w:p>
    <w:p w14:paraId="487DCA25"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2.1 Literature Search Strategy</w:t>
      </w:r>
    </w:p>
    <w:p w14:paraId="1CC0C8C8" w14:textId="3E6E4CF8"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 literature review was conducted using multiple academic databases including Web of Science, Scopus, Google Scholar, and AGRICOLA. Search terms included combinations of "agroecology," "sustainable agriculture," "crop production," "India," "soil health," "integrated pest management," and "water conservation" [11]. The search covered publications from 2010 to 2024, with seminal earlier works included for historical context.</w:t>
      </w:r>
    </w:p>
    <w:p w14:paraId="2AE3643E"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2.2 Selection Criteria</w:t>
      </w:r>
    </w:p>
    <w:p w14:paraId="7089723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Publications were selected based </w:t>
      </w:r>
      <w:bookmarkStart w:id="0" w:name="_GoBack"/>
      <w:bookmarkEnd w:id="0"/>
      <w:r w:rsidRPr="000873B8">
        <w:rPr>
          <w:rFonts w:ascii="Times New Roman" w:hAnsi="Times New Roman" w:cs="Times New Roman"/>
          <w:sz w:val="24"/>
          <w:szCs w:val="24"/>
        </w:rPr>
        <w:t>on relevance to agroecological practices in crop production, empirical evidence from field studies, and applicability to Indian agricultural contexts. Priority was given to peer-reviewed articles, meta-analyses, and comprehensive reviews. Grey literature including government reports and farmer organization documents were included to capture practical implementation experiences [12].</w:t>
      </w:r>
    </w:p>
    <w:p w14:paraId="63EFA40F"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2.3 Data Analysis Framework</w:t>
      </w:r>
    </w:p>
    <w:p w14:paraId="7B75CBD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Selected literature was analyzed using a thematic framework encompassing ecological, economic, and social dimensions of sustainability. Quantitative data on yield impacts, input reduction, and economic returns were synthesized where available. Qualitative insights on farmer adoption, traditional knowledge integration, and policy implications were systematically categorized [13].</w:t>
      </w:r>
    </w:p>
    <w:p w14:paraId="711A8CC9"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3. Crop Diversification Strategies</w:t>
      </w:r>
    </w:p>
    <w:p w14:paraId="22980185"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3.1 Principles of Crop Diversification</w:t>
      </w:r>
    </w:p>
    <w:p w14:paraId="3C7F009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Crop diversification represents a fundamental agroecological strategy that enhances system resilience through planned heterogeneity in space and time. This approach contrasts sharply with monoculture systems by incorporating multiple crop species, varieties, and functional groups </w:t>
      </w:r>
      <w:r w:rsidRPr="000873B8">
        <w:rPr>
          <w:rFonts w:ascii="Times New Roman" w:hAnsi="Times New Roman" w:cs="Times New Roman"/>
          <w:sz w:val="24"/>
          <w:szCs w:val="24"/>
        </w:rPr>
        <w:lastRenderedPageBreak/>
        <w:t>within farming landscapes [14]. The ecological basis for diversification lies in complementary resource use, pest and disease suppression, and enhanced nutrient cycling.</w:t>
      </w:r>
    </w:p>
    <w:p w14:paraId="6F468050"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3.2 Intercropping Systems</w:t>
      </w:r>
    </w:p>
    <w:p w14:paraId="7EB566A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Intercropping, the simultaneous cultivation of two or more crops in the same field, demonstrates significant advantages in resource use efficiency. Studies from Karnataka show that pigeon pea (</w:t>
      </w:r>
      <w:proofErr w:type="spellStart"/>
      <w:r w:rsidRPr="000873B8">
        <w:rPr>
          <w:rFonts w:ascii="Times New Roman" w:hAnsi="Times New Roman" w:cs="Times New Roman"/>
          <w:i/>
          <w:iCs/>
          <w:sz w:val="24"/>
          <w:szCs w:val="24"/>
        </w:rPr>
        <w:t>Cajanus</w:t>
      </w:r>
      <w:proofErr w:type="spellEnd"/>
      <w:r w:rsidRPr="000873B8">
        <w:rPr>
          <w:rFonts w:ascii="Times New Roman" w:hAnsi="Times New Roman" w:cs="Times New Roman"/>
          <w:i/>
          <w:iCs/>
          <w:sz w:val="24"/>
          <w:szCs w:val="24"/>
        </w:rPr>
        <w:t xml:space="preserve"> </w:t>
      </w:r>
      <w:proofErr w:type="spellStart"/>
      <w:r w:rsidRPr="000873B8">
        <w:rPr>
          <w:rFonts w:ascii="Times New Roman" w:hAnsi="Times New Roman" w:cs="Times New Roman"/>
          <w:i/>
          <w:iCs/>
          <w:sz w:val="24"/>
          <w:szCs w:val="24"/>
        </w:rPr>
        <w:t>cajan</w:t>
      </w:r>
      <w:proofErr w:type="spellEnd"/>
      <w:r w:rsidRPr="000873B8">
        <w:rPr>
          <w:rFonts w:ascii="Times New Roman" w:hAnsi="Times New Roman" w:cs="Times New Roman"/>
          <w:sz w:val="24"/>
          <w:szCs w:val="24"/>
        </w:rPr>
        <w:t>) and groundnut (</w:t>
      </w:r>
      <w:proofErr w:type="spellStart"/>
      <w:r w:rsidRPr="000873B8">
        <w:rPr>
          <w:rFonts w:ascii="Times New Roman" w:hAnsi="Times New Roman" w:cs="Times New Roman"/>
          <w:i/>
          <w:iCs/>
          <w:sz w:val="24"/>
          <w:szCs w:val="24"/>
        </w:rPr>
        <w:t>Arachis</w:t>
      </w:r>
      <w:proofErr w:type="spellEnd"/>
      <w:r w:rsidRPr="000873B8">
        <w:rPr>
          <w:rFonts w:ascii="Times New Roman" w:hAnsi="Times New Roman" w:cs="Times New Roman"/>
          <w:i/>
          <w:iCs/>
          <w:sz w:val="24"/>
          <w:szCs w:val="24"/>
        </w:rPr>
        <w:t xml:space="preserve"> </w:t>
      </w:r>
      <w:proofErr w:type="spellStart"/>
      <w:r w:rsidRPr="000873B8">
        <w:rPr>
          <w:rFonts w:ascii="Times New Roman" w:hAnsi="Times New Roman" w:cs="Times New Roman"/>
          <w:i/>
          <w:iCs/>
          <w:sz w:val="24"/>
          <w:szCs w:val="24"/>
        </w:rPr>
        <w:t>hypogaea</w:t>
      </w:r>
      <w:proofErr w:type="spellEnd"/>
      <w:r w:rsidRPr="000873B8">
        <w:rPr>
          <w:rFonts w:ascii="Times New Roman" w:hAnsi="Times New Roman" w:cs="Times New Roman"/>
          <w:sz w:val="24"/>
          <w:szCs w:val="24"/>
        </w:rPr>
        <w:t>) intercropping systems achieve land equivalent ratios of 1.4-1.6, indicating 40-60% higher productivity compared to monocultures [15]. The success of these systems depends on selecting compatible crop combinations with different rooting patterns, growth habits, and nutrient requirements.</w:t>
      </w:r>
    </w:p>
    <w:p w14:paraId="102F528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Table 1: Performance of Major Intercropping Systems in India</w:t>
      </w:r>
    </w:p>
    <w:tbl>
      <w:tblPr>
        <w:tblStyle w:val="TableGrid"/>
        <w:tblW w:w="0" w:type="auto"/>
        <w:tblLook w:val="04A0" w:firstRow="1" w:lastRow="0" w:firstColumn="1" w:lastColumn="0" w:noHBand="0" w:noVBand="1"/>
      </w:tblPr>
      <w:tblGrid>
        <w:gridCol w:w="2268"/>
        <w:gridCol w:w="1473"/>
        <w:gridCol w:w="1867"/>
        <w:gridCol w:w="1780"/>
        <w:gridCol w:w="2188"/>
      </w:tblGrid>
      <w:tr w:rsidR="00CB436D" w:rsidRPr="000873B8" w14:paraId="3BE970B4" w14:textId="77777777" w:rsidTr="00EB5187">
        <w:tc>
          <w:tcPr>
            <w:tcW w:w="0" w:type="auto"/>
            <w:hideMark/>
          </w:tcPr>
          <w:p w14:paraId="027D103C"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Intercropping System</w:t>
            </w:r>
          </w:p>
        </w:tc>
        <w:tc>
          <w:tcPr>
            <w:tcW w:w="0" w:type="auto"/>
            <w:hideMark/>
          </w:tcPr>
          <w:p w14:paraId="12E47A75"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Region</w:t>
            </w:r>
          </w:p>
        </w:tc>
        <w:tc>
          <w:tcPr>
            <w:tcW w:w="0" w:type="auto"/>
            <w:hideMark/>
          </w:tcPr>
          <w:p w14:paraId="623A97DF"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Yield Advantage (%)</w:t>
            </w:r>
          </w:p>
        </w:tc>
        <w:tc>
          <w:tcPr>
            <w:tcW w:w="0" w:type="auto"/>
            <w:hideMark/>
          </w:tcPr>
          <w:p w14:paraId="7CE12DC9"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Economic Returns</w:t>
            </w:r>
          </w:p>
        </w:tc>
        <w:tc>
          <w:tcPr>
            <w:tcW w:w="0" w:type="auto"/>
            <w:hideMark/>
          </w:tcPr>
          <w:p w14:paraId="65A667D0"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Resource Efficiency</w:t>
            </w:r>
          </w:p>
        </w:tc>
      </w:tr>
      <w:tr w:rsidR="00CB436D" w:rsidRPr="000873B8" w14:paraId="16C8B313" w14:textId="77777777" w:rsidTr="00EB5187">
        <w:tc>
          <w:tcPr>
            <w:tcW w:w="0" w:type="auto"/>
            <w:hideMark/>
          </w:tcPr>
          <w:p w14:paraId="0595709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Maize + Cowpea</w:t>
            </w:r>
          </w:p>
        </w:tc>
        <w:tc>
          <w:tcPr>
            <w:tcW w:w="0" w:type="auto"/>
            <w:hideMark/>
          </w:tcPr>
          <w:p w14:paraId="510C804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Tamil Nadu</w:t>
            </w:r>
          </w:p>
        </w:tc>
        <w:tc>
          <w:tcPr>
            <w:tcW w:w="0" w:type="auto"/>
            <w:hideMark/>
          </w:tcPr>
          <w:p w14:paraId="67A3266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35-40</w:t>
            </w:r>
          </w:p>
        </w:tc>
        <w:tc>
          <w:tcPr>
            <w:tcW w:w="0" w:type="auto"/>
            <w:hideMark/>
          </w:tcPr>
          <w:p w14:paraId="7905E14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1.8x monoculture</w:t>
            </w:r>
          </w:p>
        </w:tc>
        <w:tc>
          <w:tcPr>
            <w:tcW w:w="0" w:type="auto"/>
            <w:hideMark/>
          </w:tcPr>
          <w:p w14:paraId="719FB3F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High nitrogen fixation</w:t>
            </w:r>
          </w:p>
        </w:tc>
      </w:tr>
      <w:tr w:rsidR="00CB436D" w:rsidRPr="000873B8" w14:paraId="3AB3E718" w14:textId="77777777" w:rsidTr="00EB5187">
        <w:tc>
          <w:tcPr>
            <w:tcW w:w="0" w:type="auto"/>
            <w:hideMark/>
          </w:tcPr>
          <w:p w14:paraId="2C8AA25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Cotton + </w:t>
            </w:r>
            <w:proofErr w:type="spellStart"/>
            <w:r w:rsidRPr="000873B8">
              <w:rPr>
                <w:rFonts w:ascii="Times New Roman" w:hAnsi="Times New Roman" w:cs="Times New Roman"/>
                <w:sz w:val="24"/>
                <w:szCs w:val="24"/>
              </w:rPr>
              <w:t>Blackgram</w:t>
            </w:r>
            <w:proofErr w:type="spellEnd"/>
          </w:p>
        </w:tc>
        <w:tc>
          <w:tcPr>
            <w:tcW w:w="0" w:type="auto"/>
            <w:hideMark/>
          </w:tcPr>
          <w:p w14:paraId="5D83A80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Gujarat</w:t>
            </w:r>
          </w:p>
        </w:tc>
        <w:tc>
          <w:tcPr>
            <w:tcW w:w="0" w:type="auto"/>
            <w:hideMark/>
          </w:tcPr>
          <w:p w14:paraId="1ED29B2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25-30</w:t>
            </w:r>
          </w:p>
        </w:tc>
        <w:tc>
          <w:tcPr>
            <w:tcW w:w="0" w:type="auto"/>
            <w:hideMark/>
          </w:tcPr>
          <w:p w14:paraId="10978D0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1.6x monoculture</w:t>
            </w:r>
          </w:p>
        </w:tc>
        <w:tc>
          <w:tcPr>
            <w:tcW w:w="0" w:type="auto"/>
            <w:hideMark/>
          </w:tcPr>
          <w:p w14:paraId="210AE9B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Improved soil cover</w:t>
            </w:r>
          </w:p>
        </w:tc>
      </w:tr>
      <w:tr w:rsidR="00CB436D" w:rsidRPr="000873B8" w14:paraId="3BC7CAD3" w14:textId="77777777" w:rsidTr="00EB5187">
        <w:tc>
          <w:tcPr>
            <w:tcW w:w="0" w:type="auto"/>
            <w:hideMark/>
          </w:tcPr>
          <w:p w14:paraId="22B55B9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Sugarcane + Wheat</w:t>
            </w:r>
          </w:p>
        </w:tc>
        <w:tc>
          <w:tcPr>
            <w:tcW w:w="0" w:type="auto"/>
            <w:hideMark/>
          </w:tcPr>
          <w:p w14:paraId="22884BF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Uttar Pradesh</w:t>
            </w:r>
          </w:p>
        </w:tc>
        <w:tc>
          <w:tcPr>
            <w:tcW w:w="0" w:type="auto"/>
            <w:hideMark/>
          </w:tcPr>
          <w:p w14:paraId="61D7D3F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20-25</w:t>
            </w:r>
          </w:p>
        </w:tc>
        <w:tc>
          <w:tcPr>
            <w:tcW w:w="0" w:type="auto"/>
            <w:hideMark/>
          </w:tcPr>
          <w:p w14:paraId="2FECA21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1.5x monoculture</w:t>
            </w:r>
          </w:p>
        </w:tc>
        <w:tc>
          <w:tcPr>
            <w:tcW w:w="0" w:type="auto"/>
            <w:hideMark/>
          </w:tcPr>
          <w:p w14:paraId="241459D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Temporal diversification</w:t>
            </w:r>
          </w:p>
        </w:tc>
      </w:tr>
      <w:tr w:rsidR="00CB436D" w:rsidRPr="000873B8" w14:paraId="434FE42D" w14:textId="77777777" w:rsidTr="00EB5187">
        <w:tc>
          <w:tcPr>
            <w:tcW w:w="0" w:type="auto"/>
            <w:hideMark/>
          </w:tcPr>
          <w:p w14:paraId="7ABCD73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Pearl Millet + Cluster Bean</w:t>
            </w:r>
          </w:p>
        </w:tc>
        <w:tc>
          <w:tcPr>
            <w:tcW w:w="0" w:type="auto"/>
            <w:hideMark/>
          </w:tcPr>
          <w:p w14:paraId="39986B2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Rajasthan</w:t>
            </w:r>
          </w:p>
        </w:tc>
        <w:tc>
          <w:tcPr>
            <w:tcW w:w="0" w:type="auto"/>
            <w:hideMark/>
          </w:tcPr>
          <w:p w14:paraId="2752ECC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40-45</w:t>
            </w:r>
          </w:p>
        </w:tc>
        <w:tc>
          <w:tcPr>
            <w:tcW w:w="0" w:type="auto"/>
            <w:hideMark/>
          </w:tcPr>
          <w:p w14:paraId="3351E6E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2.0x monoculture</w:t>
            </w:r>
          </w:p>
        </w:tc>
        <w:tc>
          <w:tcPr>
            <w:tcW w:w="0" w:type="auto"/>
            <w:hideMark/>
          </w:tcPr>
          <w:p w14:paraId="6813311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Drought resilience</w:t>
            </w:r>
          </w:p>
        </w:tc>
      </w:tr>
      <w:tr w:rsidR="00CB436D" w:rsidRPr="000873B8" w14:paraId="6B32E0C6" w14:textId="77777777" w:rsidTr="00EB5187">
        <w:tc>
          <w:tcPr>
            <w:tcW w:w="0" w:type="auto"/>
            <w:hideMark/>
          </w:tcPr>
          <w:p w14:paraId="6AF1667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Rice + Fish</w:t>
            </w:r>
          </w:p>
        </w:tc>
        <w:tc>
          <w:tcPr>
            <w:tcW w:w="0" w:type="auto"/>
            <w:hideMark/>
          </w:tcPr>
          <w:p w14:paraId="49F5C8F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West Bengal</w:t>
            </w:r>
          </w:p>
        </w:tc>
        <w:tc>
          <w:tcPr>
            <w:tcW w:w="0" w:type="auto"/>
            <w:hideMark/>
          </w:tcPr>
          <w:p w14:paraId="752A7F0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50-60</w:t>
            </w:r>
          </w:p>
        </w:tc>
        <w:tc>
          <w:tcPr>
            <w:tcW w:w="0" w:type="auto"/>
            <w:hideMark/>
          </w:tcPr>
          <w:p w14:paraId="7A57C8D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2.2x monoculture</w:t>
            </w:r>
          </w:p>
        </w:tc>
        <w:tc>
          <w:tcPr>
            <w:tcW w:w="0" w:type="auto"/>
            <w:hideMark/>
          </w:tcPr>
          <w:p w14:paraId="14C1D5C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Integrated farming</w:t>
            </w:r>
          </w:p>
        </w:tc>
      </w:tr>
      <w:tr w:rsidR="00CB436D" w:rsidRPr="000873B8" w14:paraId="766A43DD" w14:textId="77777777" w:rsidTr="00EB5187">
        <w:tc>
          <w:tcPr>
            <w:tcW w:w="0" w:type="auto"/>
            <w:hideMark/>
          </w:tcPr>
          <w:p w14:paraId="19E5EF9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Coconut + Cocoa</w:t>
            </w:r>
          </w:p>
        </w:tc>
        <w:tc>
          <w:tcPr>
            <w:tcW w:w="0" w:type="auto"/>
            <w:hideMark/>
          </w:tcPr>
          <w:p w14:paraId="2525177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Kerala</w:t>
            </w:r>
          </w:p>
        </w:tc>
        <w:tc>
          <w:tcPr>
            <w:tcW w:w="0" w:type="auto"/>
            <w:hideMark/>
          </w:tcPr>
          <w:p w14:paraId="1B0154F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30-35</w:t>
            </w:r>
          </w:p>
        </w:tc>
        <w:tc>
          <w:tcPr>
            <w:tcW w:w="0" w:type="auto"/>
            <w:hideMark/>
          </w:tcPr>
          <w:p w14:paraId="1D257EC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1.7x monoculture</w:t>
            </w:r>
          </w:p>
        </w:tc>
        <w:tc>
          <w:tcPr>
            <w:tcW w:w="0" w:type="auto"/>
            <w:hideMark/>
          </w:tcPr>
          <w:p w14:paraId="427DFD4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Vertical space use</w:t>
            </w:r>
          </w:p>
        </w:tc>
      </w:tr>
      <w:tr w:rsidR="00CB436D" w:rsidRPr="000873B8" w14:paraId="116CF502" w14:textId="77777777" w:rsidTr="00EB5187">
        <w:tc>
          <w:tcPr>
            <w:tcW w:w="0" w:type="auto"/>
            <w:hideMark/>
          </w:tcPr>
          <w:p w14:paraId="65BA628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Sorghum + </w:t>
            </w:r>
            <w:proofErr w:type="spellStart"/>
            <w:r w:rsidRPr="000873B8">
              <w:rPr>
                <w:rFonts w:ascii="Times New Roman" w:hAnsi="Times New Roman" w:cs="Times New Roman"/>
                <w:sz w:val="24"/>
                <w:szCs w:val="24"/>
              </w:rPr>
              <w:t>Pigeonpea</w:t>
            </w:r>
            <w:proofErr w:type="spellEnd"/>
          </w:p>
        </w:tc>
        <w:tc>
          <w:tcPr>
            <w:tcW w:w="0" w:type="auto"/>
            <w:hideMark/>
          </w:tcPr>
          <w:p w14:paraId="3A62CEF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Maharashtra</w:t>
            </w:r>
          </w:p>
        </w:tc>
        <w:tc>
          <w:tcPr>
            <w:tcW w:w="0" w:type="auto"/>
            <w:hideMark/>
          </w:tcPr>
          <w:p w14:paraId="7BAA2E6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35-45</w:t>
            </w:r>
          </w:p>
        </w:tc>
        <w:tc>
          <w:tcPr>
            <w:tcW w:w="0" w:type="auto"/>
            <w:hideMark/>
          </w:tcPr>
          <w:p w14:paraId="4AC3BF8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1.9x monoculture</w:t>
            </w:r>
          </w:p>
        </w:tc>
        <w:tc>
          <w:tcPr>
            <w:tcW w:w="0" w:type="auto"/>
            <w:hideMark/>
          </w:tcPr>
          <w:p w14:paraId="52974CD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Complementary growth</w:t>
            </w:r>
          </w:p>
        </w:tc>
      </w:tr>
    </w:tbl>
    <w:p w14:paraId="1C001A15" w14:textId="77777777" w:rsidR="00AD33E5"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3.3 Crop Rotation Benefits</w:t>
      </w:r>
    </w:p>
    <w:p w14:paraId="4AF54EA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Strategic crop rotations break pest and disease cycles while improving soil fertility through varied root architectures and residue quality. Research from Punjab demonstrates that diversifying rice-wheat systems with legumes, oilseeds, and vegetables reduces fertilizer requirements by 25-30% while maintaining productivity [16]. The inclusion of deep-rooted crops like castor (</w:t>
      </w:r>
      <w:r w:rsidRPr="000873B8">
        <w:rPr>
          <w:rFonts w:ascii="Times New Roman" w:hAnsi="Times New Roman" w:cs="Times New Roman"/>
          <w:i/>
          <w:iCs/>
          <w:sz w:val="24"/>
          <w:szCs w:val="24"/>
        </w:rPr>
        <w:t>Ricinus communis</w:t>
      </w:r>
      <w:r w:rsidRPr="000873B8">
        <w:rPr>
          <w:rFonts w:ascii="Times New Roman" w:hAnsi="Times New Roman" w:cs="Times New Roman"/>
          <w:sz w:val="24"/>
          <w:szCs w:val="24"/>
        </w:rPr>
        <w:t>) and sunflower (</w:t>
      </w:r>
      <w:r w:rsidRPr="000873B8">
        <w:rPr>
          <w:rFonts w:ascii="Times New Roman" w:hAnsi="Times New Roman" w:cs="Times New Roman"/>
          <w:i/>
          <w:iCs/>
          <w:sz w:val="24"/>
          <w:szCs w:val="24"/>
        </w:rPr>
        <w:t>Helianthus annuus</w:t>
      </w:r>
      <w:r w:rsidRPr="000873B8">
        <w:rPr>
          <w:rFonts w:ascii="Times New Roman" w:hAnsi="Times New Roman" w:cs="Times New Roman"/>
          <w:sz w:val="24"/>
          <w:szCs w:val="24"/>
        </w:rPr>
        <w:t>) helps access nutrients from lower soil profiles.</w:t>
      </w:r>
    </w:p>
    <w:p w14:paraId="3FD6366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Figure 1: Nutrient Cycling in Diversified Cropping</w:t>
      </w:r>
      <w:r w:rsidRPr="000873B8">
        <w:rPr>
          <w:rFonts w:ascii="Times New Roman" w:hAnsi="Times New Roman" w:cs="Times New Roman"/>
          <w:sz w:val="24"/>
          <w:szCs w:val="24"/>
        </w:rPr>
        <w:t xml:space="preserve"> </w:t>
      </w:r>
    </w:p>
    <w:p w14:paraId="17F1E4F0" w14:textId="77777777" w:rsidR="00EB5187" w:rsidRPr="000873B8" w:rsidRDefault="00EB5187" w:rsidP="00EB5187">
      <w:pPr>
        <w:jc w:val="center"/>
        <w:rPr>
          <w:rFonts w:ascii="Times New Roman" w:hAnsi="Times New Roman" w:cs="Times New Roman"/>
          <w:sz w:val="24"/>
          <w:szCs w:val="24"/>
        </w:rPr>
      </w:pPr>
      <w:r w:rsidRPr="000873B8">
        <w:rPr>
          <w:noProof/>
          <w:lang w:val="en-IN" w:eastAsia="en-IN" w:bidi="hi-IN"/>
        </w:rPr>
        <w:lastRenderedPageBreak/>
        <w:drawing>
          <wp:inline distT="0" distB="0" distL="0" distR="0" wp14:anchorId="1FEE6F90" wp14:editId="62C7B654">
            <wp:extent cx="4904679" cy="2685312"/>
            <wp:effectExtent l="0" t="0" r="0" b="1270"/>
            <wp:docPr id="1" name="Picture 1" descr="Understanding Nutrient Cycling: The Foundation of Sustainabl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Nutrient Cycling: The Foundation of Sustainable Agricul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8767" cy="2687550"/>
                    </a:xfrm>
                    <a:prstGeom prst="rect">
                      <a:avLst/>
                    </a:prstGeom>
                    <a:noFill/>
                    <a:ln>
                      <a:noFill/>
                    </a:ln>
                  </pic:spPr>
                </pic:pic>
              </a:graphicData>
            </a:graphic>
          </wp:inline>
        </w:drawing>
      </w:r>
    </w:p>
    <w:p w14:paraId="35E884A9"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3.4 Agroforestry Integration</w:t>
      </w:r>
    </w:p>
    <w:p w14:paraId="3436071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Agroforestry systems represent advanced diversification by integrating trees with crops and/or livestock. Studies from central India show that </w:t>
      </w:r>
      <w:r w:rsidRPr="000873B8">
        <w:rPr>
          <w:rFonts w:ascii="Times New Roman" w:hAnsi="Times New Roman" w:cs="Times New Roman"/>
          <w:i/>
          <w:iCs/>
          <w:sz w:val="24"/>
          <w:szCs w:val="24"/>
        </w:rPr>
        <w:t>Leucaena leucocephala</w:t>
      </w:r>
      <w:r w:rsidRPr="000873B8">
        <w:rPr>
          <w:rFonts w:ascii="Times New Roman" w:hAnsi="Times New Roman" w:cs="Times New Roman"/>
          <w:sz w:val="24"/>
          <w:szCs w:val="24"/>
        </w:rPr>
        <w:t xml:space="preserve"> based alley cropping systems enhance soil organic carbon by 35% over five years while providing fodder and fuelwood [17]. Tree components modify microclimate, reduce erosion, and create habitat for beneficial organisms.</w:t>
      </w:r>
    </w:p>
    <w:p w14:paraId="17BA999B"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4. Soil Health Management</w:t>
      </w:r>
    </w:p>
    <w:p w14:paraId="6CA39524"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4.1 Biological Soil Enhancement</w:t>
      </w:r>
    </w:p>
    <w:p w14:paraId="5A9D6B0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Soil health forms the foundation of sustainable crop production, with biological activity serving as the primary driver of nutrient cycling and structural development. Agroecological practices emphasize enhancing soil life through organic matter additions, minimal disturbance, and continuous living cover [18].</w:t>
      </w:r>
    </w:p>
    <w:p w14:paraId="641EF8FA"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4.2 Cover Cropping Systems</w:t>
      </w:r>
    </w:p>
    <w:p w14:paraId="1342731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Cover crops provide multiple ecosystem services including nitrogen fixation, weed suppression, and erosion control. Field trials in Maharashtra demonstrate that </w:t>
      </w:r>
      <w:r w:rsidRPr="000873B8">
        <w:rPr>
          <w:rFonts w:ascii="Times New Roman" w:hAnsi="Times New Roman" w:cs="Times New Roman"/>
          <w:i/>
          <w:iCs/>
          <w:sz w:val="24"/>
          <w:szCs w:val="24"/>
        </w:rPr>
        <w:t>Sesbania aculeata</w:t>
      </w:r>
      <w:r w:rsidRPr="000873B8">
        <w:rPr>
          <w:rFonts w:ascii="Times New Roman" w:hAnsi="Times New Roman" w:cs="Times New Roman"/>
          <w:sz w:val="24"/>
          <w:szCs w:val="24"/>
        </w:rPr>
        <w:t xml:space="preserve"> as a monsoon season cover crop adds 60-80 kg N/ha while improving soil aggregation [19]. Winter cover crops like mustard (</w:t>
      </w:r>
      <w:r w:rsidRPr="000873B8">
        <w:rPr>
          <w:rFonts w:ascii="Times New Roman" w:hAnsi="Times New Roman" w:cs="Times New Roman"/>
          <w:i/>
          <w:iCs/>
          <w:sz w:val="24"/>
          <w:szCs w:val="24"/>
        </w:rPr>
        <w:t>Brassica juncea</w:t>
      </w:r>
      <w:r w:rsidRPr="000873B8">
        <w:rPr>
          <w:rFonts w:ascii="Times New Roman" w:hAnsi="Times New Roman" w:cs="Times New Roman"/>
          <w:sz w:val="24"/>
          <w:szCs w:val="24"/>
        </w:rPr>
        <w:t>) and lentil (</w:t>
      </w:r>
      <w:r w:rsidRPr="000873B8">
        <w:rPr>
          <w:rFonts w:ascii="Times New Roman" w:hAnsi="Times New Roman" w:cs="Times New Roman"/>
          <w:i/>
          <w:iCs/>
          <w:sz w:val="24"/>
          <w:szCs w:val="24"/>
        </w:rPr>
        <w:t>Lens culinaris</w:t>
      </w:r>
      <w:r w:rsidRPr="000873B8">
        <w:rPr>
          <w:rFonts w:ascii="Times New Roman" w:hAnsi="Times New Roman" w:cs="Times New Roman"/>
          <w:sz w:val="24"/>
          <w:szCs w:val="24"/>
        </w:rPr>
        <w:t>) maintain soil biological activity during fallow periods.</w:t>
      </w:r>
    </w:p>
    <w:p w14:paraId="77457B1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Table 2: Impact of Cover Crops on Soil Properties</w:t>
      </w:r>
    </w:p>
    <w:tbl>
      <w:tblPr>
        <w:tblStyle w:val="TableGrid"/>
        <w:tblW w:w="0" w:type="auto"/>
        <w:tblLook w:val="04A0" w:firstRow="1" w:lastRow="0" w:firstColumn="1" w:lastColumn="0" w:noHBand="0" w:noVBand="1"/>
      </w:tblPr>
      <w:tblGrid>
        <w:gridCol w:w="2132"/>
        <w:gridCol w:w="1379"/>
        <w:gridCol w:w="1636"/>
        <w:gridCol w:w="2407"/>
        <w:gridCol w:w="2022"/>
      </w:tblGrid>
      <w:tr w:rsidR="00CB436D" w:rsidRPr="000873B8" w14:paraId="13B4AE74" w14:textId="77777777" w:rsidTr="00EB5187">
        <w:tc>
          <w:tcPr>
            <w:tcW w:w="0" w:type="auto"/>
            <w:hideMark/>
          </w:tcPr>
          <w:p w14:paraId="3F8FFD5E"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Cover Crop Species</w:t>
            </w:r>
          </w:p>
        </w:tc>
        <w:tc>
          <w:tcPr>
            <w:tcW w:w="0" w:type="auto"/>
            <w:hideMark/>
          </w:tcPr>
          <w:p w14:paraId="11F7DB17"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Biomass (t/ha)</w:t>
            </w:r>
          </w:p>
        </w:tc>
        <w:tc>
          <w:tcPr>
            <w:tcW w:w="0" w:type="auto"/>
            <w:hideMark/>
          </w:tcPr>
          <w:p w14:paraId="6C9CAFF5" w14:textId="77777777" w:rsidR="00CB436D" w:rsidRPr="000873B8" w:rsidRDefault="00CB436D" w:rsidP="00CB436D">
            <w:pPr>
              <w:jc w:val="both"/>
              <w:rPr>
                <w:rFonts w:ascii="Times New Roman" w:hAnsi="Times New Roman" w:cs="Times New Roman"/>
                <w:b/>
                <w:bCs/>
                <w:sz w:val="24"/>
                <w:szCs w:val="24"/>
              </w:rPr>
            </w:pPr>
            <w:proofErr w:type="spellStart"/>
            <w:r w:rsidRPr="000873B8">
              <w:rPr>
                <w:rFonts w:ascii="Times New Roman" w:hAnsi="Times New Roman" w:cs="Times New Roman"/>
                <w:b/>
                <w:bCs/>
                <w:sz w:val="24"/>
                <w:szCs w:val="24"/>
              </w:rPr>
              <w:t>N</w:t>
            </w:r>
            <w:proofErr w:type="spellEnd"/>
            <w:r w:rsidRPr="000873B8">
              <w:rPr>
                <w:rFonts w:ascii="Times New Roman" w:hAnsi="Times New Roman" w:cs="Times New Roman"/>
                <w:b/>
                <w:bCs/>
                <w:sz w:val="24"/>
                <w:szCs w:val="24"/>
              </w:rPr>
              <w:t xml:space="preserve"> Addition (kg/ha)</w:t>
            </w:r>
          </w:p>
        </w:tc>
        <w:tc>
          <w:tcPr>
            <w:tcW w:w="0" w:type="auto"/>
            <w:hideMark/>
          </w:tcPr>
          <w:p w14:paraId="52174975"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Soil Organic Carbon Increase (%)</w:t>
            </w:r>
          </w:p>
        </w:tc>
        <w:tc>
          <w:tcPr>
            <w:tcW w:w="0" w:type="auto"/>
            <w:hideMark/>
          </w:tcPr>
          <w:p w14:paraId="6269E64B"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Weed Suppression (%)</w:t>
            </w:r>
          </w:p>
        </w:tc>
      </w:tr>
      <w:tr w:rsidR="00CB436D" w:rsidRPr="000873B8" w14:paraId="4428DAB4" w14:textId="77777777" w:rsidTr="00EB5187">
        <w:tc>
          <w:tcPr>
            <w:tcW w:w="0" w:type="auto"/>
            <w:hideMark/>
          </w:tcPr>
          <w:p w14:paraId="15955E8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t>Crotalaria juncea</w:t>
            </w:r>
          </w:p>
        </w:tc>
        <w:tc>
          <w:tcPr>
            <w:tcW w:w="0" w:type="auto"/>
            <w:hideMark/>
          </w:tcPr>
          <w:p w14:paraId="1E571D7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4.5-5.5</w:t>
            </w:r>
          </w:p>
        </w:tc>
        <w:tc>
          <w:tcPr>
            <w:tcW w:w="0" w:type="auto"/>
            <w:hideMark/>
          </w:tcPr>
          <w:p w14:paraId="0F12CE6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80-100</w:t>
            </w:r>
          </w:p>
        </w:tc>
        <w:tc>
          <w:tcPr>
            <w:tcW w:w="0" w:type="auto"/>
            <w:hideMark/>
          </w:tcPr>
          <w:p w14:paraId="5F8418C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0.3-0.4</w:t>
            </w:r>
          </w:p>
        </w:tc>
        <w:tc>
          <w:tcPr>
            <w:tcW w:w="0" w:type="auto"/>
            <w:hideMark/>
          </w:tcPr>
          <w:p w14:paraId="69B79DA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60-70</w:t>
            </w:r>
          </w:p>
        </w:tc>
      </w:tr>
      <w:tr w:rsidR="00CB436D" w:rsidRPr="000873B8" w14:paraId="4FE8A723" w14:textId="77777777" w:rsidTr="00EB5187">
        <w:tc>
          <w:tcPr>
            <w:tcW w:w="0" w:type="auto"/>
            <w:hideMark/>
          </w:tcPr>
          <w:p w14:paraId="6E5AF19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t>Vigna unguiculata</w:t>
            </w:r>
          </w:p>
        </w:tc>
        <w:tc>
          <w:tcPr>
            <w:tcW w:w="0" w:type="auto"/>
            <w:hideMark/>
          </w:tcPr>
          <w:p w14:paraId="31F35BF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3.5-4.5</w:t>
            </w:r>
          </w:p>
        </w:tc>
        <w:tc>
          <w:tcPr>
            <w:tcW w:w="0" w:type="auto"/>
            <w:hideMark/>
          </w:tcPr>
          <w:p w14:paraId="601CD7D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60-80</w:t>
            </w:r>
          </w:p>
        </w:tc>
        <w:tc>
          <w:tcPr>
            <w:tcW w:w="0" w:type="auto"/>
            <w:hideMark/>
          </w:tcPr>
          <w:p w14:paraId="4D9158A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0.2-0.3</w:t>
            </w:r>
          </w:p>
        </w:tc>
        <w:tc>
          <w:tcPr>
            <w:tcW w:w="0" w:type="auto"/>
            <w:hideMark/>
          </w:tcPr>
          <w:p w14:paraId="5C01E63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50-60</w:t>
            </w:r>
          </w:p>
        </w:tc>
      </w:tr>
      <w:tr w:rsidR="00CB436D" w:rsidRPr="000873B8" w14:paraId="1DF58CC2" w14:textId="77777777" w:rsidTr="00EB5187">
        <w:tc>
          <w:tcPr>
            <w:tcW w:w="0" w:type="auto"/>
            <w:hideMark/>
          </w:tcPr>
          <w:p w14:paraId="2B60D28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t>Mucuna pruriens</w:t>
            </w:r>
          </w:p>
        </w:tc>
        <w:tc>
          <w:tcPr>
            <w:tcW w:w="0" w:type="auto"/>
            <w:hideMark/>
          </w:tcPr>
          <w:p w14:paraId="3C79D66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5.0-6.0</w:t>
            </w:r>
          </w:p>
        </w:tc>
        <w:tc>
          <w:tcPr>
            <w:tcW w:w="0" w:type="auto"/>
            <w:hideMark/>
          </w:tcPr>
          <w:p w14:paraId="2922A78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90-110</w:t>
            </w:r>
          </w:p>
        </w:tc>
        <w:tc>
          <w:tcPr>
            <w:tcW w:w="0" w:type="auto"/>
            <w:hideMark/>
          </w:tcPr>
          <w:p w14:paraId="3180A5E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0.4-0.5</w:t>
            </w:r>
          </w:p>
        </w:tc>
        <w:tc>
          <w:tcPr>
            <w:tcW w:w="0" w:type="auto"/>
            <w:hideMark/>
          </w:tcPr>
          <w:p w14:paraId="2F6A596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70-80</w:t>
            </w:r>
          </w:p>
        </w:tc>
      </w:tr>
      <w:tr w:rsidR="00CB436D" w:rsidRPr="000873B8" w14:paraId="6EDDB237" w14:textId="77777777" w:rsidTr="00EB5187">
        <w:tc>
          <w:tcPr>
            <w:tcW w:w="0" w:type="auto"/>
            <w:hideMark/>
          </w:tcPr>
          <w:p w14:paraId="7025A00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lastRenderedPageBreak/>
              <w:t>Sesbania rostrata</w:t>
            </w:r>
          </w:p>
        </w:tc>
        <w:tc>
          <w:tcPr>
            <w:tcW w:w="0" w:type="auto"/>
            <w:hideMark/>
          </w:tcPr>
          <w:p w14:paraId="6E7822A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4.0-5.0</w:t>
            </w:r>
          </w:p>
        </w:tc>
        <w:tc>
          <w:tcPr>
            <w:tcW w:w="0" w:type="auto"/>
            <w:hideMark/>
          </w:tcPr>
          <w:p w14:paraId="11D7184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100-120</w:t>
            </w:r>
          </w:p>
        </w:tc>
        <w:tc>
          <w:tcPr>
            <w:tcW w:w="0" w:type="auto"/>
            <w:hideMark/>
          </w:tcPr>
          <w:p w14:paraId="03CBE02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0.3-0.4</w:t>
            </w:r>
          </w:p>
        </w:tc>
        <w:tc>
          <w:tcPr>
            <w:tcW w:w="0" w:type="auto"/>
            <w:hideMark/>
          </w:tcPr>
          <w:p w14:paraId="3F63B32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65-75</w:t>
            </w:r>
          </w:p>
        </w:tc>
      </w:tr>
      <w:tr w:rsidR="00CB436D" w:rsidRPr="000873B8" w14:paraId="23553B2B" w14:textId="77777777" w:rsidTr="00EB5187">
        <w:tc>
          <w:tcPr>
            <w:tcW w:w="0" w:type="auto"/>
            <w:hideMark/>
          </w:tcPr>
          <w:p w14:paraId="4A0AE54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t>Tephrosia purpurea</w:t>
            </w:r>
          </w:p>
        </w:tc>
        <w:tc>
          <w:tcPr>
            <w:tcW w:w="0" w:type="auto"/>
            <w:hideMark/>
          </w:tcPr>
          <w:p w14:paraId="1F0A09C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3.0-4.0</w:t>
            </w:r>
          </w:p>
        </w:tc>
        <w:tc>
          <w:tcPr>
            <w:tcW w:w="0" w:type="auto"/>
            <w:hideMark/>
          </w:tcPr>
          <w:p w14:paraId="5F266B0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50-70</w:t>
            </w:r>
          </w:p>
        </w:tc>
        <w:tc>
          <w:tcPr>
            <w:tcW w:w="0" w:type="auto"/>
            <w:hideMark/>
          </w:tcPr>
          <w:p w14:paraId="5FE5449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0.2-0.3</w:t>
            </w:r>
          </w:p>
        </w:tc>
        <w:tc>
          <w:tcPr>
            <w:tcW w:w="0" w:type="auto"/>
            <w:hideMark/>
          </w:tcPr>
          <w:p w14:paraId="7985F6A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45-55</w:t>
            </w:r>
          </w:p>
        </w:tc>
      </w:tr>
      <w:tr w:rsidR="00CB436D" w:rsidRPr="000873B8" w14:paraId="0F607892" w14:textId="77777777" w:rsidTr="00EB5187">
        <w:tc>
          <w:tcPr>
            <w:tcW w:w="0" w:type="auto"/>
            <w:hideMark/>
          </w:tcPr>
          <w:p w14:paraId="17CB9EE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t xml:space="preserve">Canavalia </w:t>
            </w:r>
            <w:proofErr w:type="spellStart"/>
            <w:r w:rsidRPr="000873B8">
              <w:rPr>
                <w:rFonts w:ascii="Times New Roman" w:hAnsi="Times New Roman" w:cs="Times New Roman"/>
                <w:i/>
                <w:iCs/>
                <w:sz w:val="24"/>
                <w:szCs w:val="24"/>
              </w:rPr>
              <w:t>ensiformis</w:t>
            </w:r>
            <w:proofErr w:type="spellEnd"/>
          </w:p>
        </w:tc>
        <w:tc>
          <w:tcPr>
            <w:tcW w:w="0" w:type="auto"/>
            <w:hideMark/>
          </w:tcPr>
          <w:p w14:paraId="799B422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4.5-5.5</w:t>
            </w:r>
          </w:p>
        </w:tc>
        <w:tc>
          <w:tcPr>
            <w:tcW w:w="0" w:type="auto"/>
            <w:hideMark/>
          </w:tcPr>
          <w:p w14:paraId="5444D9C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70-90</w:t>
            </w:r>
          </w:p>
        </w:tc>
        <w:tc>
          <w:tcPr>
            <w:tcW w:w="0" w:type="auto"/>
            <w:hideMark/>
          </w:tcPr>
          <w:p w14:paraId="7062C55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0.3-0.4</w:t>
            </w:r>
          </w:p>
        </w:tc>
        <w:tc>
          <w:tcPr>
            <w:tcW w:w="0" w:type="auto"/>
            <w:hideMark/>
          </w:tcPr>
          <w:p w14:paraId="183A4B1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55-65</w:t>
            </w:r>
          </w:p>
        </w:tc>
      </w:tr>
      <w:tr w:rsidR="00CB436D" w:rsidRPr="000873B8" w14:paraId="43BB8FC6" w14:textId="77777777" w:rsidTr="00EB5187">
        <w:tc>
          <w:tcPr>
            <w:tcW w:w="0" w:type="auto"/>
            <w:hideMark/>
          </w:tcPr>
          <w:p w14:paraId="02FE3523" w14:textId="77777777" w:rsidR="00CB436D" w:rsidRPr="000873B8" w:rsidRDefault="00CB436D" w:rsidP="00CB436D">
            <w:pPr>
              <w:jc w:val="both"/>
              <w:rPr>
                <w:rFonts w:ascii="Times New Roman" w:hAnsi="Times New Roman" w:cs="Times New Roman"/>
                <w:sz w:val="24"/>
                <w:szCs w:val="24"/>
              </w:rPr>
            </w:pPr>
            <w:proofErr w:type="spellStart"/>
            <w:r w:rsidRPr="000873B8">
              <w:rPr>
                <w:rFonts w:ascii="Times New Roman" w:hAnsi="Times New Roman" w:cs="Times New Roman"/>
                <w:i/>
                <w:iCs/>
                <w:sz w:val="24"/>
                <w:szCs w:val="24"/>
              </w:rPr>
              <w:t>Cyamopsis</w:t>
            </w:r>
            <w:proofErr w:type="spellEnd"/>
            <w:r w:rsidRPr="000873B8">
              <w:rPr>
                <w:rFonts w:ascii="Times New Roman" w:hAnsi="Times New Roman" w:cs="Times New Roman"/>
                <w:i/>
                <w:iCs/>
                <w:sz w:val="24"/>
                <w:szCs w:val="24"/>
              </w:rPr>
              <w:t xml:space="preserve"> </w:t>
            </w:r>
            <w:proofErr w:type="spellStart"/>
            <w:r w:rsidRPr="000873B8">
              <w:rPr>
                <w:rFonts w:ascii="Times New Roman" w:hAnsi="Times New Roman" w:cs="Times New Roman"/>
                <w:i/>
                <w:iCs/>
                <w:sz w:val="24"/>
                <w:szCs w:val="24"/>
              </w:rPr>
              <w:t>tetragonoloba</w:t>
            </w:r>
            <w:proofErr w:type="spellEnd"/>
          </w:p>
        </w:tc>
        <w:tc>
          <w:tcPr>
            <w:tcW w:w="0" w:type="auto"/>
            <w:hideMark/>
          </w:tcPr>
          <w:p w14:paraId="6D4926C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3.5-4.0</w:t>
            </w:r>
          </w:p>
        </w:tc>
        <w:tc>
          <w:tcPr>
            <w:tcW w:w="0" w:type="auto"/>
            <w:hideMark/>
          </w:tcPr>
          <w:p w14:paraId="2A6085F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40-60</w:t>
            </w:r>
          </w:p>
        </w:tc>
        <w:tc>
          <w:tcPr>
            <w:tcW w:w="0" w:type="auto"/>
            <w:hideMark/>
          </w:tcPr>
          <w:p w14:paraId="53FF589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0.2-0.3</w:t>
            </w:r>
          </w:p>
        </w:tc>
        <w:tc>
          <w:tcPr>
            <w:tcW w:w="0" w:type="auto"/>
            <w:hideMark/>
          </w:tcPr>
          <w:p w14:paraId="05F5DA1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40-50</w:t>
            </w:r>
          </w:p>
        </w:tc>
      </w:tr>
    </w:tbl>
    <w:p w14:paraId="0D87715B" w14:textId="77777777" w:rsidR="00AD33E5"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4.3 Composting and Organic Amendments</w:t>
      </w:r>
    </w:p>
    <w:p w14:paraId="20145C0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On-farm composting transforms agricultural residues into valuable soil amendments. Vermicomposting using </w:t>
      </w:r>
      <w:r w:rsidRPr="000873B8">
        <w:rPr>
          <w:rFonts w:ascii="Times New Roman" w:hAnsi="Times New Roman" w:cs="Times New Roman"/>
          <w:i/>
          <w:iCs/>
          <w:sz w:val="24"/>
          <w:szCs w:val="24"/>
        </w:rPr>
        <w:t xml:space="preserve">Eisenia </w:t>
      </w:r>
      <w:proofErr w:type="spellStart"/>
      <w:r w:rsidRPr="000873B8">
        <w:rPr>
          <w:rFonts w:ascii="Times New Roman" w:hAnsi="Times New Roman" w:cs="Times New Roman"/>
          <w:i/>
          <w:iCs/>
          <w:sz w:val="24"/>
          <w:szCs w:val="24"/>
        </w:rPr>
        <w:t>fetida</w:t>
      </w:r>
      <w:proofErr w:type="spellEnd"/>
      <w:r w:rsidRPr="000873B8">
        <w:rPr>
          <w:rFonts w:ascii="Times New Roman" w:hAnsi="Times New Roman" w:cs="Times New Roman"/>
          <w:sz w:val="24"/>
          <w:szCs w:val="24"/>
        </w:rPr>
        <w:t xml:space="preserve"> produces nutrient-rich material with enhanced microbial diversity. Studies show vermicompost application at 5 t/ha increases crop yields by 20-25% while improving soil water holding capacity [20]. Integration of biochar from crop residues provides long-term carbon sequestration benefits.</w:t>
      </w:r>
    </w:p>
    <w:p w14:paraId="481BDD60"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4.4 Conservation Tillage Practices</w:t>
      </w:r>
    </w:p>
    <w:p w14:paraId="70087B5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Reduced tillage systems preserve soil structure and biological networks. Zero tillage wheat after rice in the Indo-Gangetic plains saves 30-35% irrigation water while reducing production costs by Rs. 2,500-3,000 per hectare [21]. The retention of crop residues as mulch moderates soil temperature and conserves moisture during critical growth periods.</w:t>
      </w:r>
    </w:p>
    <w:p w14:paraId="1071E101" w14:textId="77777777" w:rsidR="00EB5187" w:rsidRPr="000873B8" w:rsidRDefault="00EB5187" w:rsidP="00EB5187">
      <w:pPr>
        <w:jc w:val="both"/>
        <w:rPr>
          <w:rFonts w:ascii="Times New Roman" w:hAnsi="Times New Roman" w:cs="Times New Roman"/>
          <w:sz w:val="24"/>
          <w:szCs w:val="24"/>
        </w:rPr>
      </w:pPr>
      <w:r w:rsidRPr="000873B8">
        <w:rPr>
          <w:rFonts w:ascii="Times New Roman" w:hAnsi="Times New Roman" w:cs="Times New Roman"/>
          <w:b/>
          <w:bCs/>
          <w:sz w:val="24"/>
          <w:szCs w:val="24"/>
        </w:rPr>
        <w:t>Figure 2: Vermicomposting Process Flow</w:t>
      </w:r>
      <w:r w:rsidRPr="000873B8">
        <w:rPr>
          <w:rFonts w:ascii="Times New Roman" w:hAnsi="Times New Roman" w:cs="Times New Roman"/>
          <w:sz w:val="24"/>
          <w:szCs w:val="24"/>
        </w:rPr>
        <w:t xml:space="preserve"> </w:t>
      </w:r>
    </w:p>
    <w:p w14:paraId="7BD18FA5" w14:textId="77777777" w:rsidR="00EB5187" w:rsidRPr="000873B8" w:rsidRDefault="00EB5187" w:rsidP="00EB5187">
      <w:pPr>
        <w:jc w:val="center"/>
        <w:rPr>
          <w:rFonts w:ascii="Times New Roman" w:hAnsi="Times New Roman" w:cs="Times New Roman"/>
          <w:sz w:val="24"/>
          <w:szCs w:val="24"/>
        </w:rPr>
      </w:pPr>
      <w:r w:rsidRPr="000873B8">
        <w:rPr>
          <w:noProof/>
          <w:lang w:val="en-IN" w:eastAsia="en-IN" w:bidi="hi-IN"/>
        </w:rPr>
        <w:drawing>
          <wp:inline distT="0" distB="0" distL="0" distR="0" wp14:anchorId="7D0E127A" wp14:editId="1FE7C556">
            <wp:extent cx="5162347" cy="2841594"/>
            <wp:effectExtent l="0" t="0" r="635" b="0"/>
            <wp:docPr id="2" name="Picture 2" descr="The Basics of Vermicomposting | Oklahoma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asics of Vermicomposting | Oklahoma State Univers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8040" cy="2844728"/>
                    </a:xfrm>
                    <a:prstGeom prst="rect">
                      <a:avLst/>
                    </a:prstGeom>
                    <a:noFill/>
                    <a:ln>
                      <a:noFill/>
                    </a:ln>
                  </pic:spPr>
                </pic:pic>
              </a:graphicData>
            </a:graphic>
          </wp:inline>
        </w:drawing>
      </w:r>
    </w:p>
    <w:p w14:paraId="31809432"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5. Water Conservation and Management</w:t>
      </w:r>
    </w:p>
    <w:p w14:paraId="2CC20155"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5.1 Micro-irrigation Technologies</w:t>
      </w:r>
    </w:p>
    <w:p w14:paraId="29B9D21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Water scarcity necessitates efficient irrigation methods that maximize crop water productivity. Drip irrigation systems demonstrate 40-50% water savings compared to flood irrigation while </w:t>
      </w:r>
      <w:r w:rsidRPr="000873B8">
        <w:rPr>
          <w:rFonts w:ascii="Times New Roman" w:hAnsi="Times New Roman" w:cs="Times New Roman"/>
          <w:sz w:val="24"/>
          <w:szCs w:val="24"/>
        </w:rPr>
        <w:lastRenderedPageBreak/>
        <w:t>increasing yields by 20-30% in vegetable crops [22]. The precise water application reduces nutrient leaching and minimizes disease incidence.</w:t>
      </w:r>
    </w:p>
    <w:p w14:paraId="58BD059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Table 3: Water Use Efficiency Under Different Irrigation Methods</w:t>
      </w:r>
    </w:p>
    <w:tbl>
      <w:tblPr>
        <w:tblStyle w:val="TableGrid"/>
        <w:tblW w:w="0" w:type="auto"/>
        <w:tblLook w:val="04A0" w:firstRow="1" w:lastRow="0" w:firstColumn="1" w:lastColumn="0" w:noHBand="0" w:noVBand="1"/>
      </w:tblPr>
      <w:tblGrid>
        <w:gridCol w:w="1821"/>
        <w:gridCol w:w="1919"/>
        <w:gridCol w:w="1181"/>
        <w:gridCol w:w="2513"/>
        <w:gridCol w:w="2142"/>
      </w:tblGrid>
      <w:tr w:rsidR="00CB436D" w:rsidRPr="000873B8" w14:paraId="55EB88F9" w14:textId="77777777" w:rsidTr="00EB5187">
        <w:tc>
          <w:tcPr>
            <w:tcW w:w="0" w:type="auto"/>
            <w:hideMark/>
          </w:tcPr>
          <w:p w14:paraId="668C076F"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Irrigation Method</w:t>
            </w:r>
          </w:p>
        </w:tc>
        <w:tc>
          <w:tcPr>
            <w:tcW w:w="0" w:type="auto"/>
            <w:hideMark/>
          </w:tcPr>
          <w:p w14:paraId="25061327"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Water Applied (mm)</w:t>
            </w:r>
          </w:p>
        </w:tc>
        <w:tc>
          <w:tcPr>
            <w:tcW w:w="0" w:type="auto"/>
            <w:hideMark/>
          </w:tcPr>
          <w:p w14:paraId="7519933C"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Yield (t/ha)</w:t>
            </w:r>
          </w:p>
        </w:tc>
        <w:tc>
          <w:tcPr>
            <w:tcW w:w="0" w:type="auto"/>
            <w:hideMark/>
          </w:tcPr>
          <w:p w14:paraId="71325D5B"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Water Productivity (kg/m³)</w:t>
            </w:r>
          </w:p>
        </w:tc>
        <w:tc>
          <w:tcPr>
            <w:tcW w:w="0" w:type="auto"/>
            <w:hideMark/>
          </w:tcPr>
          <w:p w14:paraId="34344FF0"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Energy Consumption</w:t>
            </w:r>
          </w:p>
        </w:tc>
      </w:tr>
      <w:tr w:rsidR="00CB436D" w:rsidRPr="000873B8" w14:paraId="52153E20" w14:textId="77777777" w:rsidTr="00EB5187">
        <w:tc>
          <w:tcPr>
            <w:tcW w:w="0" w:type="auto"/>
            <w:hideMark/>
          </w:tcPr>
          <w:p w14:paraId="47F289A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Flood Irrigation</w:t>
            </w:r>
          </w:p>
        </w:tc>
        <w:tc>
          <w:tcPr>
            <w:tcW w:w="0" w:type="auto"/>
            <w:hideMark/>
          </w:tcPr>
          <w:p w14:paraId="3E98AE2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800-1000</w:t>
            </w:r>
          </w:p>
        </w:tc>
        <w:tc>
          <w:tcPr>
            <w:tcW w:w="0" w:type="auto"/>
            <w:hideMark/>
          </w:tcPr>
          <w:p w14:paraId="025DF52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4.5-5.0</w:t>
            </w:r>
          </w:p>
        </w:tc>
        <w:tc>
          <w:tcPr>
            <w:tcW w:w="0" w:type="auto"/>
            <w:hideMark/>
          </w:tcPr>
          <w:p w14:paraId="69916FC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0.5-0.6</w:t>
            </w:r>
          </w:p>
        </w:tc>
        <w:tc>
          <w:tcPr>
            <w:tcW w:w="0" w:type="auto"/>
            <w:hideMark/>
          </w:tcPr>
          <w:p w14:paraId="0B79935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High</w:t>
            </w:r>
          </w:p>
        </w:tc>
      </w:tr>
      <w:tr w:rsidR="00CB436D" w:rsidRPr="000873B8" w14:paraId="0EBC4E08" w14:textId="77777777" w:rsidTr="00EB5187">
        <w:tc>
          <w:tcPr>
            <w:tcW w:w="0" w:type="auto"/>
            <w:hideMark/>
          </w:tcPr>
          <w:p w14:paraId="13FD383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Furrow Irrigation</w:t>
            </w:r>
          </w:p>
        </w:tc>
        <w:tc>
          <w:tcPr>
            <w:tcW w:w="0" w:type="auto"/>
            <w:hideMark/>
          </w:tcPr>
          <w:p w14:paraId="7461EFE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600-800</w:t>
            </w:r>
          </w:p>
        </w:tc>
        <w:tc>
          <w:tcPr>
            <w:tcW w:w="0" w:type="auto"/>
            <w:hideMark/>
          </w:tcPr>
          <w:p w14:paraId="6C3DD9B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4.8-5.3</w:t>
            </w:r>
          </w:p>
        </w:tc>
        <w:tc>
          <w:tcPr>
            <w:tcW w:w="0" w:type="auto"/>
            <w:hideMark/>
          </w:tcPr>
          <w:p w14:paraId="1BD64F7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0.7-0.8</w:t>
            </w:r>
          </w:p>
        </w:tc>
        <w:tc>
          <w:tcPr>
            <w:tcW w:w="0" w:type="auto"/>
            <w:hideMark/>
          </w:tcPr>
          <w:p w14:paraId="07B3908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Medium</w:t>
            </w:r>
          </w:p>
        </w:tc>
      </w:tr>
      <w:tr w:rsidR="00CB436D" w:rsidRPr="000873B8" w14:paraId="0BE19336" w14:textId="77777777" w:rsidTr="00EB5187">
        <w:tc>
          <w:tcPr>
            <w:tcW w:w="0" w:type="auto"/>
            <w:hideMark/>
          </w:tcPr>
          <w:p w14:paraId="690A4B3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Sprinkler System</w:t>
            </w:r>
          </w:p>
        </w:tc>
        <w:tc>
          <w:tcPr>
            <w:tcW w:w="0" w:type="auto"/>
            <w:hideMark/>
          </w:tcPr>
          <w:p w14:paraId="4AF473A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500-600</w:t>
            </w:r>
          </w:p>
        </w:tc>
        <w:tc>
          <w:tcPr>
            <w:tcW w:w="0" w:type="auto"/>
            <w:hideMark/>
          </w:tcPr>
          <w:p w14:paraId="1F06362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5.0-5.5</w:t>
            </w:r>
          </w:p>
        </w:tc>
        <w:tc>
          <w:tcPr>
            <w:tcW w:w="0" w:type="auto"/>
            <w:hideMark/>
          </w:tcPr>
          <w:p w14:paraId="4C5901A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0.9-1.0</w:t>
            </w:r>
          </w:p>
        </w:tc>
        <w:tc>
          <w:tcPr>
            <w:tcW w:w="0" w:type="auto"/>
            <w:hideMark/>
          </w:tcPr>
          <w:p w14:paraId="0DA19BC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Medium</w:t>
            </w:r>
          </w:p>
        </w:tc>
      </w:tr>
      <w:tr w:rsidR="00CB436D" w:rsidRPr="000873B8" w14:paraId="282D1869" w14:textId="77777777" w:rsidTr="00EB5187">
        <w:tc>
          <w:tcPr>
            <w:tcW w:w="0" w:type="auto"/>
            <w:hideMark/>
          </w:tcPr>
          <w:p w14:paraId="67D92C6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Drip Irrigation</w:t>
            </w:r>
          </w:p>
        </w:tc>
        <w:tc>
          <w:tcPr>
            <w:tcW w:w="0" w:type="auto"/>
            <w:hideMark/>
          </w:tcPr>
          <w:p w14:paraId="11891E3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400-500</w:t>
            </w:r>
          </w:p>
        </w:tc>
        <w:tc>
          <w:tcPr>
            <w:tcW w:w="0" w:type="auto"/>
            <w:hideMark/>
          </w:tcPr>
          <w:p w14:paraId="54592A0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5.5-6.0</w:t>
            </w:r>
          </w:p>
        </w:tc>
        <w:tc>
          <w:tcPr>
            <w:tcW w:w="0" w:type="auto"/>
            <w:hideMark/>
          </w:tcPr>
          <w:p w14:paraId="7BAE26A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1.2-1.4</w:t>
            </w:r>
          </w:p>
        </w:tc>
        <w:tc>
          <w:tcPr>
            <w:tcW w:w="0" w:type="auto"/>
            <w:hideMark/>
          </w:tcPr>
          <w:p w14:paraId="630DEC3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Low</w:t>
            </w:r>
          </w:p>
        </w:tc>
      </w:tr>
      <w:tr w:rsidR="00CB436D" w:rsidRPr="000873B8" w14:paraId="5B72F4DC" w14:textId="77777777" w:rsidTr="00EB5187">
        <w:tc>
          <w:tcPr>
            <w:tcW w:w="0" w:type="auto"/>
            <w:hideMark/>
          </w:tcPr>
          <w:p w14:paraId="650E40B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Subsurface Drip</w:t>
            </w:r>
          </w:p>
        </w:tc>
        <w:tc>
          <w:tcPr>
            <w:tcW w:w="0" w:type="auto"/>
            <w:hideMark/>
          </w:tcPr>
          <w:p w14:paraId="6ED5C51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350-450</w:t>
            </w:r>
          </w:p>
        </w:tc>
        <w:tc>
          <w:tcPr>
            <w:tcW w:w="0" w:type="auto"/>
            <w:hideMark/>
          </w:tcPr>
          <w:p w14:paraId="19F79D1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5.8-6.3</w:t>
            </w:r>
          </w:p>
        </w:tc>
        <w:tc>
          <w:tcPr>
            <w:tcW w:w="0" w:type="auto"/>
            <w:hideMark/>
          </w:tcPr>
          <w:p w14:paraId="4B522DA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1.4-1.6</w:t>
            </w:r>
          </w:p>
        </w:tc>
        <w:tc>
          <w:tcPr>
            <w:tcW w:w="0" w:type="auto"/>
            <w:hideMark/>
          </w:tcPr>
          <w:p w14:paraId="2AAD751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Low</w:t>
            </w:r>
          </w:p>
        </w:tc>
      </w:tr>
      <w:tr w:rsidR="00CB436D" w:rsidRPr="000873B8" w14:paraId="34EF0BEA" w14:textId="77777777" w:rsidTr="00EB5187">
        <w:tc>
          <w:tcPr>
            <w:tcW w:w="0" w:type="auto"/>
            <w:hideMark/>
          </w:tcPr>
          <w:p w14:paraId="64288A8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Deficit Irrigation</w:t>
            </w:r>
          </w:p>
        </w:tc>
        <w:tc>
          <w:tcPr>
            <w:tcW w:w="0" w:type="auto"/>
            <w:hideMark/>
          </w:tcPr>
          <w:p w14:paraId="0256C7B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300-400</w:t>
            </w:r>
          </w:p>
        </w:tc>
        <w:tc>
          <w:tcPr>
            <w:tcW w:w="0" w:type="auto"/>
            <w:hideMark/>
          </w:tcPr>
          <w:p w14:paraId="56378DB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4.5-5.0</w:t>
            </w:r>
          </w:p>
        </w:tc>
        <w:tc>
          <w:tcPr>
            <w:tcW w:w="0" w:type="auto"/>
            <w:hideMark/>
          </w:tcPr>
          <w:p w14:paraId="2C43A89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1.3-1.5</w:t>
            </w:r>
          </w:p>
        </w:tc>
        <w:tc>
          <w:tcPr>
            <w:tcW w:w="0" w:type="auto"/>
            <w:hideMark/>
          </w:tcPr>
          <w:p w14:paraId="3AA7081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Very Low</w:t>
            </w:r>
          </w:p>
        </w:tc>
      </w:tr>
      <w:tr w:rsidR="00CB436D" w:rsidRPr="000873B8" w14:paraId="05DB7D8E" w14:textId="77777777" w:rsidTr="00EB5187">
        <w:tc>
          <w:tcPr>
            <w:tcW w:w="0" w:type="auto"/>
            <w:hideMark/>
          </w:tcPr>
          <w:p w14:paraId="51A8DF8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Mulched Drip</w:t>
            </w:r>
          </w:p>
        </w:tc>
        <w:tc>
          <w:tcPr>
            <w:tcW w:w="0" w:type="auto"/>
            <w:hideMark/>
          </w:tcPr>
          <w:p w14:paraId="56934D5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300-350</w:t>
            </w:r>
          </w:p>
        </w:tc>
        <w:tc>
          <w:tcPr>
            <w:tcW w:w="0" w:type="auto"/>
            <w:hideMark/>
          </w:tcPr>
          <w:p w14:paraId="6C0B485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5.5-6.0</w:t>
            </w:r>
          </w:p>
        </w:tc>
        <w:tc>
          <w:tcPr>
            <w:tcW w:w="0" w:type="auto"/>
            <w:hideMark/>
          </w:tcPr>
          <w:p w14:paraId="07E318D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1.6-1.8</w:t>
            </w:r>
          </w:p>
        </w:tc>
        <w:tc>
          <w:tcPr>
            <w:tcW w:w="0" w:type="auto"/>
            <w:hideMark/>
          </w:tcPr>
          <w:p w14:paraId="2E3D6F1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Low</w:t>
            </w:r>
          </w:p>
        </w:tc>
      </w:tr>
    </w:tbl>
    <w:p w14:paraId="506C6CE7" w14:textId="77777777" w:rsidR="00AD33E5"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5.2 Rainwater Harvesting</w:t>
      </w:r>
    </w:p>
    <w:p w14:paraId="6A9ABC3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In-situ rainwater conservation through contour bunding, farm ponds, and percolation tanks enhances groundwater recharge. Field studies from Andhra Pradesh show that farm ponds of 500-1000 m³ capacity provide supplemental irrigation for 2-3 hectares, ensuring crop survival during dry spells [23]. The integration of these structures with agroforestry creates synergistic benefits.</w:t>
      </w:r>
    </w:p>
    <w:p w14:paraId="4D33BC8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Figure 3: Integrated Rainwater Harvesting System</w:t>
      </w:r>
      <w:r w:rsidRPr="000873B8">
        <w:rPr>
          <w:rFonts w:ascii="Times New Roman" w:hAnsi="Times New Roman" w:cs="Times New Roman"/>
          <w:sz w:val="24"/>
          <w:szCs w:val="24"/>
        </w:rPr>
        <w:t xml:space="preserve"> </w:t>
      </w:r>
    </w:p>
    <w:p w14:paraId="54D4A7D7" w14:textId="77777777" w:rsidR="00EB5187" w:rsidRPr="000873B8" w:rsidRDefault="00EB5187" w:rsidP="00EB5187">
      <w:pPr>
        <w:jc w:val="center"/>
        <w:rPr>
          <w:rFonts w:ascii="Times New Roman" w:hAnsi="Times New Roman" w:cs="Times New Roman"/>
          <w:sz w:val="24"/>
          <w:szCs w:val="24"/>
        </w:rPr>
      </w:pPr>
      <w:r w:rsidRPr="000873B8">
        <w:rPr>
          <w:noProof/>
          <w:lang w:val="en-IN" w:eastAsia="en-IN" w:bidi="hi-IN"/>
        </w:rPr>
        <w:drawing>
          <wp:inline distT="0" distB="0" distL="0" distR="0" wp14:anchorId="198A4731" wp14:editId="68D9D932">
            <wp:extent cx="5428507" cy="1586413"/>
            <wp:effectExtent l="0" t="0" r="1270" b="0"/>
            <wp:docPr id="3" name="Picture 3" descr="Rainwater harvesting • Integrated Water Resource Management - from  traditional knowledge to modern techniques • Department of Earth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water harvesting • Integrated Water Resource Management - from  traditional knowledge to modern techniques • Department of Earth Scien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6628" cy="1588786"/>
                    </a:xfrm>
                    <a:prstGeom prst="rect">
                      <a:avLst/>
                    </a:prstGeom>
                    <a:noFill/>
                    <a:ln>
                      <a:noFill/>
                    </a:ln>
                  </pic:spPr>
                </pic:pic>
              </a:graphicData>
            </a:graphic>
          </wp:inline>
        </w:drawing>
      </w:r>
    </w:p>
    <w:p w14:paraId="7D37B54C"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5.3 Mulching Practices</w:t>
      </w:r>
    </w:p>
    <w:p w14:paraId="5D332EC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Organic mulches from crop residues reduce evaporation losses by 25-30% while suppressing weeds and moderating soil temperature [24]. Plastic mulching in high-value crops like strawberry and capsicum demonstrates even higher water conservation but requires careful management for environmental sustainability.</w:t>
      </w:r>
    </w:p>
    <w:p w14:paraId="0F96600A"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5.4 Drought-Resilient Practices</w:t>
      </w:r>
    </w:p>
    <w:p w14:paraId="16EF07A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lastRenderedPageBreak/>
        <w:t>Selection of drought-tolerant crop varieties and adjustment of planting dates based on moisture availability enhance system resilience. Traditional practices like mixed cropping of sorghum (</w:t>
      </w:r>
      <w:r w:rsidRPr="000873B8">
        <w:rPr>
          <w:rFonts w:ascii="Times New Roman" w:hAnsi="Times New Roman" w:cs="Times New Roman"/>
          <w:i/>
          <w:iCs/>
          <w:sz w:val="24"/>
          <w:szCs w:val="24"/>
        </w:rPr>
        <w:t>Sorghum bicolor</w:t>
      </w:r>
      <w:r w:rsidRPr="000873B8">
        <w:rPr>
          <w:rFonts w:ascii="Times New Roman" w:hAnsi="Times New Roman" w:cs="Times New Roman"/>
          <w:sz w:val="24"/>
          <w:szCs w:val="24"/>
        </w:rPr>
        <w:t>) with pulses provide risk distribution during water stress periods [25].</w:t>
      </w:r>
    </w:p>
    <w:p w14:paraId="6B051EA1"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6. Integrated Pest Management</w:t>
      </w:r>
    </w:p>
    <w:p w14:paraId="3E74F096"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6.1 Ecological Pest Control</w:t>
      </w:r>
    </w:p>
    <w:p w14:paraId="273E8C2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Agroecological approaches to pest management emphasize prevention through habitat manipulation and enhancement of natural enemies. Flowering strips of marigold (</w:t>
      </w:r>
      <w:proofErr w:type="spellStart"/>
      <w:r w:rsidRPr="000873B8">
        <w:rPr>
          <w:rFonts w:ascii="Times New Roman" w:hAnsi="Times New Roman" w:cs="Times New Roman"/>
          <w:i/>
          <w:iCs/>
          <w:sz w:val="24"/>
          <w:szCs w:val="24"/>
        </w:rPr>
        <w:t>Tagetes</w:t>
      </w:r>
      <w:proofErr w:type="spellEnd"/>
      <w:r w:rsidRPr="000873B8">
        <w:rPr>
          <w:rFonts w:ascii="Times New Roman" w:hAnsi="Times New Roman" w:cs="Times New Roman"/>
          <w:i/>
          <w:iCs/>
          <w:sz w:val="24"/>
          <w:szCs w:val="24"/>
        </w:rPr>
        <w:t xml:space="preserve"> </w:t>
      </w:r>
      <w:proofErr w:type="spellStart"/>
      <w:r w:rsidRPr="000873B8">
        <w:rPr>
          <w:rFonts w:ascii="Times New Roman" w:hAnsi="Times New Roman" w:cs="Times New Roman"/>
          <w:i/>
          <w:iCs/>
          <w:sz w:val="24"/>
          <w:szCs w:val="24"/>
        </w:rPr>
        <w:t>erecta</w:t>
      </w:r>
      <w:proofErr w:type="spellEnd"/>
      <w:r w:rsidRPr="000873B8">
        <w:rPr>
          <w:rFonts w:ascii="Times New Roman" w:hAnsi="Times New Roman" w:cs="Times New Roman"/>
          <w:sz w:val="24"/>
          <w:szCs w:val="24"/>
        </w:rPr>
        <w:t>) and coriander (</w:t>
      </w:r>
      <w:r w:rsidRPr="000873B8">
        <w:rPr>
          <w:rFonts w:ascii="Times New Roman" w:hAnsi="Times New Roman" w:cs="Times New Roman"/>
          <w:i/>
          <w:iCs/>
          <w:sz w:val="24"/>
          <w:szCs w:val="24"/>
        </w:rPr>
        <w:t>Coriandrum sativum</w:t>
      </w:r>
      <w:r w:rsidRPr="000873B8">
        <w:rPr>
          <w:rFonts w:ascii="Times New Roman" w:hAnsi="Times New Roman" w:cs="Times New Roman"/>
          <w:sz w:val="24"/>
          <w:szCs w:val="24"/>
        </w:rPr>
        <w:t>) attract beneficial insects that provide biological control services [26].</w:t>
      </w:r>
    </w:p>
    <w:p w14:paraId="2592751A"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6.2 Botanical Pesticides</w:t>
      </w:r>
    </w:p>
    <w:p w14:paraId="7EA3393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Plant-based pesticides offer environmentally safe alternatives to synthetic chemicals. Neem (</w:t>
      </w:r>
      <w:proofErr w:type="spellStart"/>
      <w:r w:rsidRPr="000873B8">
        <w:rPr>
          <w:rFonts w:ascii="Times New Roman" w:hAnsi="Times New Roman" w:cs="Times New Roman"/>
          <w:i/>
          <w:iCs/>
          <w:sz w:val="24"/>
          <w:szCs w:val="24"/>
        </w:rPr>
        <w:t>Azadirachta</w:t>
      </w:r>
      <w:proofErr w:type="spellEnd"/>
      <w:r w:rsidRPr="000873B8">
        <w:rPr>
          <w:rFonts w:ascii="Times New Roman" w:hAnsi="Times New Roman" w:cs="Times New Roman"/>
          <w:i/>
          <w:iCs/>
          <w:sz w:val="24"/>
          <w:szCs w:val="24"/>
        </w:rPr>
        <w:t xml:space="preserve"> </w:t>
      </w:r>
      <w:proofErr w:type="spellStart"/>
      <w:r w:rsidRPr="000873B8">
        <w:rPr>
          <w:rFonts w:ascii="Times New Roman" w:hAnsi="Times New Roman" w:cs="Times New Roman"/>
          <w:i/>
          <w:iCs/>
          <w:sz w:val="24"/>
          <w:szCs w:val="24"/>
        </w:rPr>
        <w:t>indica</w:t>
      </w:r>
      <w:proofErr w:type="spellEnd"/>
      <w:r w:rsidRPr="000873B8">
        <w:rPr>
          <w:rFonts w:ascii="Times New Roman" w:hAnsi="Times New Roman" w:cs="Times New Roman"/>
          <w:sz w:val="24"/>
          <w:szCs w:val="24"/>
        </w:rPr>
        <w:t xml:space="preserve">) based formulations demonstrate effective control against over 200 pest species while being safe for beneficial organisms [27]. Other botanicals like </w:t>
      </w:r>
      <w:proofErr w:type="spellStart"/>
      <w:r w:rsidRPr="000873B8">
        <w:rPr>
          <w:rFonts w:ascii="Times New Roman" w:hAnsi="Times New Roman" w:cs="Times New Roman"/>
          <w:sz w:val="24"/>
          <w:szCs w:val="24"/>
        </w:rPr>
        <w:t>pongamia</w:t>
      </w:r>
      <w:proofErr w:type="spellEnd"/>
      <w:r w:rsidRPr="000873B8">
        <w:rPr>
          <w:rFonts w:ascii="Times New Roman" w:hAnsi="Times New Roman" w:cs="Times New Roman"/>
          <w:sz w:val="24"/>
          <w:szCs w:val="24"/>
        </w:rPr>
        <w:t xml:space="preserve"> (</w:t>
      </w:r>
      <w:proofErr w:type="spellStart"/>
      <w:r w:rsidRPr="000873B8">
        <w:rPr>
          <w:rFonts w:ascii="Times New Roman" w:hAnsi="Times New Roman" w:cs="Times New Roman"/>
          <w:i/>
          <w:iCs/>
          <w:sz w:val="24"/>
          <w:szCs w:val="24"/>
        </w:rPr>
        <w:t>Millettia</w:t>
      </w:r>
      <w:proofErr w:type="spellEnd"/>
      <w:r w:rsidRPr="000873B8">
        <w:rPr>
          <w:rFonts w:ascii="Times New Roman" w:hAnsi="Times New Roman" w:cs="Times New Roman"/>
          <w:i/>
          <w:iCs/>
          <w:sz w:val="24"/>
          <w:szCs w:val="24"/>
        </w:rPr>
        <w:t xml:space="preserve"> </w:t>
      </w:r>
      <w:proofErr w:type="spellStart"/>
      <w:r w:rsidRPr="000873B8">
        <w:rPr>
          <w:rFonts w:ascii="Times New Roman" w:hAnsi="Times New Roman" w:cs="Times New Roman"/>
          <w:i/>
          <w:iCs/>
          <w:sz w:val="24"/>
          <w:szCs w:val="24"/>
        </w:rPr>
        <w:t>pinnata</w:t>
      </w:r>
      <w:proofErr w:type="spellEnd"/>
      <w:r w:rsidRPr="000873B8">
        <w:rPr>
          <w:rFonts w:ascii="Times New Roman" w:hAnsi="Times New Roman" w:cs="Times New Roman"/>
          <w:sz w:val="24"/>
          <w:szCs w:val="24"/>
        </w:rPr>
        <w:t>) and custard apple (</w:t>
      </w:r>
      <w:r w:rsidRPr="000873B8">
        <w:rPr>
          <w:rFonts w:ascii="Times New Roman" w:hAnsi="Times New Roman" w:cs="Times New Roman"/>
          <w:i/>
          <w:iCs/>
          <w:sz w:val="24"/>
          <w:szCs w:val="24"/>
        </w:rPr>
        <w:t>Annona squamosa</w:t>
      </w:r>
      <w:r w:rsidRPr="000873B8">
        <w:rPr>
          <w:rFonts w:ascii="Times New Roman" w:hAnsi="Times New Roman" w:cs="Times New Roman"/>
          <w:sz w:val="24"/>
          <w:szCs w:val="24"/>
        </w:rPr>
        <w:t>) show promising results.</w:t>
      </w:r>
    </w:p>
    <w:p w14:paraId="56D7CE5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Table 4: Efficacy of Botanical Pesticides</w:t>
      </w:r>
    </w:p>
    <w:tbl>
      <w:tblPr>
        <w:tblStyle w:val="TableGrid"/>
        <w:tblW w:w="0" w:type="auto"/>
        <w:tblLook w:val="04A0" w:firstRow="1" w:lastRow="0" w:firstColumn="1" w:lastColumn="0" w:noHBand="0" w:noVBand="1"/>
      </w:tblPr>
      <w:tblGrid>
        <w:gridCol w:w="2726"/>
        <w:gridCol w:w="1898"/>
        <w:gridCol w:w="1861"/>
        <w:gridCol w:w="1750"/>
        <w:gridCol w:w="1341"/>
      </w:tblGrid>
      <w:tr w:rsidR="00CB436D" w:rsidRPr="000873B8" w14:paraId="63E97B9F" w14:textId="77777777" w:rsidTr="00EB5187">
        <w:tc>
          <w:tcPr>
            <w:tcW w:w="0" w:type="auto"/>
            <w:hideMark/>
          </w:tcPr>
          <w:p w14:paraId="30140978"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Botanical Source</w:t>
            </w:r>
          </w:p>
        </w:tc>
        <w:tc>
          <w:tcPr>
            <w:tcW w:w="0" w:type="auto"/>
            <w:hideMark/>
          </w:tcPr>
          <w:p w14:paraId="0BBC11F8"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Active Compounds</w:t>
            </w:r>
          </w:p>
        </w:tc>
        <w:tc>
          <w:tcPr>
            <w:tcW w:w="0" w:type="auto"/>
            <w:hideMark/>
          </w:tcPr>
          <w:p w14:paraId="490A149C"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Target Pests</w:t>
            </w:r>
          </w:p>
        </w:tc>
        <w:tc>
          <w:tcPr>
            <w:tcW w:w="0" w:type="auto"/>
            <w:hideMark/>
          </w:tcPr>
          <w:p w14:paraId="22C58362"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Application Rate</w:t>
            </w:r>
          </w:p>
        </w:tc>
        <w:tc>
          <w:tcPr>
            <w:tcW w:w="0" w:type="auto"/>
            <w:hideMark/>
          </w:tcPr>
          <w:p w14:paraId="0E4E10DC"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Efficacy (%)</w:t>
            </w:r>
          </w:p>
        </w:tc>
      </w:tr>
      <w:tr w:rsidR="00CB436D" w:rsidRPr="000873B8" w14:paraId="7A91ADF7" w14:textId="77777777" w:rsidTr="00EB5187">
        <w:tc>
          <w:tcPr>
            <w:tcW w:w="0" w:type="auto"/>
            <w:hideMark/>
          </w:tcPr>
          <w:p w14:paraId="0F386958" w14:textId="77777777" w:rsidR="00CB436D" w:rsidRPr="000873B8" w:rsidRDefault="00CB436D" w:rsidP="00CB436D">
            <w:pPr>
              <w:jc w:val="both"/>
              <w:rPr>
                <w:rFonts w:ascii="Times New Roman" w:hAnsi="Times New Roman" w:cs="Times New Roman"/>
                <w:sz w:val="24"/>
                <w:szCs w:val="24"/>
              </w:rPr>
            </w:pPr>
            <w:proofErr w:type="spellStart"/>
            <w:r w:rsidRPr="000873B8">
              <w:rPr>
                <w:rFonts w:ascii="Times New Roman" w:hAnsi="Times New Roman" w:cs="Times New Roman"/>
                <w:i/>
                <w:iCs/>
                <w:sz w:val="24"/>
                <w:szCs w:val="24"/>
              </w:rPr>
              <w:t>Azadirachta</w:t>
            </w:r>
            <w:proofErr w:type="spellEnd"/>
            <w:r w:rsidRPr="000873B8">
              <w:rPr>
                <w:rFonts w:ascii="Times New Roman" w:hAnsi="Times New Roman" w:cs="Times New Roman"/>
                <w:i/>
                <w:iCs/>
                <w:sz w:val="24"/>
                <w:szCs w:val="24"/>
              </w:rPr>
              <w:t xml:space="preserve"> </w:t>
            </w:r>
            <w:proofErr w:type="spellStart"/>
            <w:r w:rsidRPr="000873B8">
              <w:rPr>
                <w:rFonts w:ascii="Times New Roman" w:hAnsi="Times New Roman" w:cs="Times New Roman"/>
                <w:i/>
                <w:iCs/>
                <w:sz w:val="24"/>
                <w:szCs w:val="24"/>
              </w:rPr>
              <w:t>indica</w:t>
            </w:r>
            <w:proofErr w:type="spellEnd"/>
          </w:p>
        </w:tc>
        <w:tc>
          <w:tcPr>
            <w:tcW w:w="0" w:type="auto"/>
            <w:hideMark/>
          </w:tcPr>
          <w:p w14:paraId="022DFBA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Azadirachtin</w:t>
            </w:r>
          </w:p>
        </w:tc>
        <w:tc>
          <w:tcPr>
            <w:tcW w:w="0" w:type="auto"/>
            <w:hideMark/>
          </w:tcPr>
          <w:p w14:paraId="391B453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Lepidoptera, aphids</w:t>
            </w:r>
          </w:p>
        </w:tc>
        <w:tc>
          <w:tcPr>
            <w:tcW w:w="0" w:type="auto"/>
            <w:hideMark/>
          </w:tcPr>
          <w:p w14:paraId="663A9D1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2-3 L/ha</w:t>
            </w:r>
          </w:p>
        </w:tc>
        <w:tc>
          <w:tcPr>
            <w:tcW w:w="0" w:type="auto"/>
            <w:hideMark/>
          </w:tcPr>
          <w:p w14:paraId="71A8FA2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70-80</w:t>
            </w:r>
          </w:p>
        </w:tc>
      </w:tr>
      <w:tr w:rsidR="00CB436D" w:rsidRPr="000873B8" w14:paraId="18C2DD16" w14:textId="77777777" w:rsidTr="00EB5187">
        <w:tc>
          <w:tcPr>
            <w:tcW w:w="0" w:type="auto"/>
            <w:hideMark/>
          </w:tcPr>
          <w:p w14:paraId="41CBCA0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t>Chrysanthemum cinerariifolium</w:t>
            </w:r>
          </w:p>
        </w:tc>
        <w:tc>
          <w:tcPr>
            <w:tcW w:w="0" w:type="auto"/>
            <w:hideMark/>
          </w:tcPr>
          <w:p w14:paraId="42132F2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Pyrethrins</w:t>
            </w:r>
          </w:p>
        </w:tc>
        <w:tc>
          <w:tcPr>
            <w:tcW w:w="0" w:type="auto"/>
            <w:hideMark/>
          </w:tcPr>
          <w:p w14:paraId="75051AF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Sucking pests</w:t>
            </w:r>
          </w:p>
        </w:tc>
        <w:tc>
          <w:tcPr>
            <w:tcW w:w="0" w:type="auto"/>
            <w:hideMark/>
          </w:tcPr>
          <w:p w14:paraId="5FE7BB0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1-2 L/ha</w:t>
            </w:r>
          </w:p>
        </w:tc>
        <w:tc>
          <w:tcPr>
            <w:tcW w:w="0" w:type="auto"/>
            <w:hideMark/>
          </w:tcPr>
          <w:p w14:paraId="5800261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65-75</w:t>
            </w:r>
          </w:p>
        </w:tc>
      </w:tr>
      <w:tr w:rsidR="00CB436D" w:rsidRPr="000873B8" w14:paraId="4951012B" w14:textId="77777777" w:rsidTr="00EB5187">
        <w:tc>
          <w:tcPr>
            <w:tcW w:w="0" w:type="auto"/>
            <w:hideMark/>
          </w:tcPr>
          <w:p w14:paraId="06A8517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t>Millettia pinnata</w:t>
            </w:r>
          </w:p>
        </w:tc>
        <w:tc>
          <w:tcPr>
            <w:tcW w:w="0" w:type="auto"/>
            <w:hideMark/>
          </w:tcPr>
          <w:p w14:paraId="0249E5C0" w14:textId="77777777" w:rsidR="00CB436D" w:rsidRPr="000873B8" w:rsidRDefault="00CB436D" w:rsidP="00CB436D">
            <w:pPr>
              <w:jc w:val="both"/>
              <w:rPr>
                <w:rFonts w:ascii="Times New Roman" w:hAnsi="Times New Roman" w:cs="Times New Roman"/>
                <w:sz w:val="24"/>
                <w:szCs w:val="24"/>
              </w:rPr>
            </w:pPr>
            <w:proofErr w:type="spellStart"/>
            <w:r w:rsidRPr="000873B8">
              <w:rPr>
                <w:rFonts w:ascii="Times New Roman" w:hAnsi="Times New Roman" w:cs="Times New Roman"/>
                <w:sz w:val="24"/>
                <w:szCs w:val="24"/>
              </w:rPr>
              <w:t>Karanjin</w:t>
            </w:r>
            <w:proofErr w:type="spellEnd"/>
          </w:p>
        </w:tc>
        <w:tc>
          <w:tcPr>
            <w:tcW w:w="0" w:type="auto"/>
            <w:hideMark/>
          </w:tcPr>
          <w:p w14:paraId="67FFADF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Leaf folders</w:t>
            </w:r>
          </w:p>
        </w:tc>
        <w:tc>
          <w:tcPr>
            <w:tcW w:w="0" w:type="auto"/>
            <w:hideMark/>
          </w:tcPr>
          <w:p w14:paraId="56C1FE4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3-4 L/ha</w:t>
            </w:r>
          </w:p>
        </w:tc>
        <w:tc>
          <w:tcPr>
            <w:tcW w:w="0" w:type="auto"/>
            <w:hideMark/>
          </w:tcPr>
          <w:p w14:paraId="6B44CBF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60-70</w:t>
            </w:r>
          </w:p>
        </w:tc>
      </w:tr>
      <w:tr w:rsidR="00CB436D" w:rsidRPr="000873B8" w14:paraId="646BDEF4" w14:textId="77777777" w:rsidTr="00EB5187">
        <w:tc>
          <w:tcPr>
            <w:tcW w:w="0" w:type="auto"/>
            <w:hideMark/>
          </w:tcPr>
          <w:p w14:paraId="43A6AB0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t>Annona squamosa</w:t>
            </w:r>
          </w:p>
        </w:tc>
        <w:tc>
          <w:tcPr>
            <w:tcW w:w="0" w:type="auto"/>
            <w:hideMark/>
          </w:tcPr>
          <w:p w14:paraId="6BFB442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Annonin</w:t>
            </w:r>
          </w:p>
        </w:tc>
        <w:tc>
          <w:tcPr>
            <w:tcW w:w="0" w:type="auto"/>
            <w:hideMark/>
          </w:tcPr>
          <w:p w14:paraId="2171FFC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Pod borers</w:t>
            </w:r>
          </w:p>
        </w:tc>
        <w:tc>
          <w:tcPr>
            <w:tcW w:w="0" w:type="auto"/>
            <w:hideMark/>
          </w:tcPr>
          <w:p w14:paraId="2D6F5CE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2-3 L/ha</w:t>
            </w:r>
          </w:p>
        </w:tc>
        <w:tc>
          <w:tcPr>
            <w:tcW w:w="0" w:type="auto"/>
            <w:hideMark/>
          </w:tcPr>
          <w:p w14:paraId="244ACB7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55-65</w:t>
            </w:r>
          </w:p>
        </w:tc>
      </w:tr>
      <w:tr w:rsidR="00CB436D" w:rsidRPr="000873B8" w14:paraId="2AF074A5" w14:textId="77777777" w:rsidTr="00EB5187">
        <w:tc>
          <w:tcPr>
            <w:tcW w:w="0" w:type="auto"/>
            <w:hideMark/>
          </w:tcPr>
          <w:p w14:paraId="1955313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t>Ricinus communis</w:t>
            </w:r>
          </w:p>
        </w:tc>
        <w:tc>
          <w:tcPr>
            <w:tcW w:w="0" w:type="auto"/>
            <w:hideMark/>
          </w:tcPr>
          <w:p w14:paraId="744E37D6" w14:textId="77777777" w:rsidR="00CB436D" w:rsidRPr="000873B8" w:rsidRDefault="00CB436D" w:rsidP="00CB436D">
            <w:pPr>
              <w:jc w:val="both"/>
              <w:rPr>
                <w:rFonts w:ascii="Times New Roman" w:hAnsi="Times New Roman" w:cs="Times New Roman"/>
                <w:sz w:val="24"/>
                <w:szCs w:val="24"/>
              </w:rPr>
            </w:pPr>
            <w:proofErr w:type="spellStart"/>
            <w:r w:rsidRPr="000873B8">
              <w:rPr>
                <w:rFonts w:ascii="Times New Roman" w:hAnsi="Times New Roman" w:cs="Times New Roman"/>
                <w:sz w:val="24"/>
                <w:szCs w:val="24"/>
              </w:rPr>
              <w:t>Ricinine</w:t>
            </w:r>
            <w:proofErr w:type="spellEnd"/>
          </w:p>
        </w:tc>
        <w:tc>
          <w:tcPr>
            <w:tcW w:w="0" w:type="auto"/>
            <w:hideMark/>
          </w:tcPr>
          <w:p w14:paraId="77C10EA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Termites</w:t>
            </w:r>
          </w:p>
        </w:tc>
        <w:tc>
          <w:tcPr>
            <w:tcW w:w="0" w:type="auto"/>
            <w:hideMark/>
          </w:tcPr>
          <w:p w14:paraId="445C8EC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4-5 L/ha</w:t>
            </w:r>
          </w:p>
        </w:tc>
        <w:tc>
          <w:tcPr>
            <w:tcW w:w="0" w:type="auto"/>
            <w:hideMark/>
          </w:tcPr>
          <w:p w14:paraId="2DDDA42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50-60</w:t>
            </w:r>
          </w:p>
        </w:tc>
      </w:tr>
      <w:tr w:rsidR="00CB436D" w:rsidRPr="000873B8" w14:paraId="2185EE1D" w14:textId="77777777" w:rsidTr="00EB5187">
        <w:tc>
          <w:tcPr>
            <w:tcW w:w="0" w:type="auto"/>
            <w:hideMark/>
          </w:tcPr>
          <w:p w14:paraId="65B7A20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t>Nicotiana tabacum</w:t>
            </w:r>
          </w:p>
        </w:tc>
        <w:tc>
          <w:tcPr>
            <w:tcW w:w="0" w:type="auto"/>
            <w:hideMark/>
          </w:tcPr>
          <w:p w14:paraId="50D0AAD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Nicotine</w:t>
            </w:r>
          </w:p>
        </w:tc>
        <w:tc>
          <w:tcPr>
            <w:tcW w:w="0" w:type="auto"/>
            <w:hideMark/>
          </w:tcPr>
          <w:p w14:paraId="70368C9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Aphids, thrips</w:t>
            </w:r>
          </w:p>
        </w:tc>
        <w:tc>
          <w:tcPr>
            <w:tcW w:w="0" w:type="auto"/>
            <w:hideMark/>
          </w:tcPr>
          <w:p w14:paraId="77BD37B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2-3 L/ha</w:t>
            </w:r>
          </w:p>
        </w:tc>
        <w:tc>
          <w:tcPr>
            <w:tcW w:w="0" w:type="auto"/>
            <w:hideMark/>
          </w:tcPr>
          <w:p w14:paraId="310ED81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60-70</w:t>
            </w:r>
          </w:p>
        </w:tc>
      </w:tr>
      <w:tr w:rsidR="00CB436D" w:rsidRPr="000873B8" w14:paraId="3178171F" w14:textId="77777777" w:rsidTr="00EB5187">
        <w:tc>
          <w:tcPr>
            <w:tcW w:w="0" w:type="auto"/>
            <w:hideMark/>
          </w:tcPr>
          <w:p w14:paraId="2A0C81A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i/>
                <w:iCs/>
                <w:sz w:val="24"/>
                <w:szCs w:val="24"/>
              </w:rPr>
              <w:t>Allium sativum</w:t>
            </w:r>
          </w:p>
        </w:tc>
        <w:tc>
          <w:tcPr>
            <w:tcW w:w="0" w:type="auto"/>
            <w:hideMark/>
          </w:tcPr>
          <w:p w14:paraId="3CD61F6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Allicin</w:t>
            </w:r>
          </w:p>
        </w:tc>
        <w:tc>
          <w:tcPr>
            <w:tcW w:w="0" w:type="auto"/>
            <w:hideMark/>
          </w:tcPr>
          <w:p w14:paraId="7D7FC6C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Fungal diseases</w:t>
            </w:r>
          </w:p>
        </w:tc>
        <w:tc>
          <w:tcPr>
            <w:tcW w:w="0" w:type="auto"/>
            <w:hideMark/>
          </w:tcPr>
          <w:p w14:paraId="29F98CA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3-4 L/ha</w:t>
            </w:r>
          </w:p>
        </w:tc>
        <w:tc>
          <w:tcPr>
            <w:tcW w:w="0" w:type="auto"/>
            <w:hideMark/>
          </w:tcPr>
          <w:p w14:paraId="6595736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55-65</w:t>
            </w:r>
          </w:p>
        </w:tc>
      </w:tr>
    </w:tbl>
    <w:p w14:paraId="671BD3A8" w14:textId="77777777" w:rsidR="00AD33E5"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6.3 Trap Cropping</w:t>
      </w:r>
    </w:p>
    <w:p w14:paraId="3193B43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Strategic placement of trap crops diverts pests from main crops. African marigold planted around tomato fields reduces fruit borer incidence by 40-50% [28]. Similarly, castor as a trap crop for </w:t>
      </w:r>
      <w:proofErr w:type="spellStart"/>
      <w:r w:rsidRPr="000873B8">
        <w:rPr>
          <w:rFonts w:ascii="Times New Roman" w:hAnsi="Times New Roman" w:cs="Times New Roman"/>
          <w:i/>
          <w:iCs/>
          <w:sz w:val="24"/>
          <w:szCs w:val="24"/>
        </w:rPr>
        <w:t>Spodoptera</w:t>
      </w:r>
      <w:proofErr w:type="spellEnd"/>
      <w:r w:rsidRPr="000873B8">
        <w:rPr>
          <w:rFonts w:ascii="Times New Roman" w:hAnsi="Times New Roman" w:cs="Times New Roman"/>
          <w:i/>
          <w:iCs/>
          <w:sz w:val="24"/>
          <w:szCs w:val="24"/>
        </w:rPr>
        <w:t xml:space="preserve"> </w:t>
      </w:r>
      <w:proofErr w:type="spellStart"/>
      <w:r w:rsidRPr="000873B8">
        <w:rPr>
          <w:rFonts w:ascii="Times New Roman" w:hAnsi="Times New Roman" w:cs="Times New Roman"/>
          <w:i/>
          <w:iCs/>
          <w:sz w:val="24"/>
          <w:szCs w:val="24"/>
        </w:rPr>
        <w:t>litura</w:t>
      </w:r>
      <w:proofErr w:type="spellEnd"/>
      <w:r w:rsidRPr="000873B8">
        <w:rPr>
          <w:rFonts w:ascii="Times New Roman" w:hAnsi="Times New Roman" w:cs="Times New Roman"/>
          <w:sz w:val="24"/>
          <w:szCs w:val="24"/>
        </w:rPr>
        <w:t xml:space="preserve"> in groundnut demonstrates effective pest management while providing additional income.</w:t>
      </w:r>
    </w:p>
    <w:p w14:paraId="0A766AB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Figure 4: Trap Cropping Layout Design</w:t>
      </w:r>
      <w:r w:rsidRPr="000873B8">
        <w:rPr>
          <w:rFonts w:ascii="Times New Roman" w:hAnsi="Times New Roman" w:cs="Times New Roman"/>
          <w:sz w:val="24"/>
          <w:szCs w:val="24"/>
        </w:rPr>
        <w:t xml:space="preserve"> </w:t>
      </w:r>
    </w:p>
    <w:p w14:paraId="7BE7DCAB" w14:textId="77777777" w:rsidR="00EB5187" w:rsidRPr="000873B8" w:rsidRDefault="00EB5187" w:rsidP="00EB5187">
      <w:pPr>
        <w:jc w:val="center"/>
        <w:rPr>
          <w:rFonts w:ascii="Times New Roman" w:hAnsi="Times New Roman" w:cs="Times New Roman"/>
          <w:sz w:val="24"/>
          <w:szCs w:val="24"/>
        </w:rPr>
      </w:pPr>
      <w:r w:rsidRPr="000873B8">
        <w:rPr>
          <w:noProof/>
          <w:lang w:val="en-IN" w:eastAsia="en-IN" w:bidi="hi-IN"/>
        </w:rPr>
        <w:lastRenderedPageBreak/>
        <w:drawing>
          <wp:inline distT="0" distB="0" distL="0" distR="0" wp14:anchorId="086E4E6D" wp14:editId="0AC3575C">
            <wp:extent cx="5695506" cy="1604719"/>
            <wp:effectExtent l="0" t="0" r="635" b="0"/>
            <wp:docPr id="4" name="Picture 4" descr="Trap Cropping for Insect Control -Chap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p Cropping for Insect Control -Chapter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3432" cy="1606952"/>
                    </a:xfrm>
                    <a:prstGeom prst="rect">
                      <a:avLst/>
                    </a:prstGeom>
                    <a:noFill/>
                    <a:ln>
                      <a:noFill/>
                    </a:ln>
                  </pic:spPr>
                </pic:pic>
              </a:graphicData>
            </a:graphic>
          </wp:inline>
        </w:drawing>
      </w:r>
    </w:p>
    <w:p w14:paraId="09097A32" w14:textId="77777777" w:rsidR="00EB5187" w:rsidRPr="000873B8" w:rsidRDefault="00EB5187" w:rsidP="00EB5187">
      <w:pPr>
        <w:jc w:val="both"/>
        <w:rPr>
          <w:rFonts w:ascii="Times New Roman" w:hAnsi="Times New Roman" w:cs="Times New Roman"/>
          <w:sz w:val="24"/>
          <w:szCs w:val="24"/>
        </w:rPr>
      </w:pPr>
      <w:r w:rsidRPr="000873B8">
        <w:rPr>
          <w:rFonts w:ascii="Times New Roman" w:hAnsi="Times New Roman" w:cs="Times New Roman"/>
          <w:b/>
          <w:bCs/>
          <w:sz w:val="24"/>
          <w:szCs w:val="24"/>
        </w:rPr>
        <w:t>Figure 5: Nitrogen Cycle in Agroecosystems</w:t>
      </w:r>
      <w:r w:rsidRPr="000873B8">
        <w:rPr>
          <w:rFonts w:ascii="Times New Roman" w:hAnsi="Times New Roman" w:cs="Times New Roman"/>
          <w:sz w:val="24"/>
          <w:szCs w:val="24"/>
        </w:rPr>
        <w:t xml:space="preserve"> </w:t>
      </w:r>
    </w:p>
    <w:p w14:paraId="4BA17D32" w14:textId="77777777" w:rsidR="00EB5187" w:rsidRPr="000873B8" w:rsidRDefault="00EB5187" w:rsidP="00EB5187">
      <w:pPr>
        <w:jc w:val="center"/>
        <w:rPr>
          <w:rFonts w:ascii="Times New Roman" w:hAnsi="Times New Roman" w:cs="Times New Roman"/>
          <w:b/>
          <w:bCs/>
          <w:sz w:val="24"/>
          <w:szCs w:val="24"/>
        </w:rPr>
      </w:pPr>
      <w:r w:rsidRPr="000873B8">
        <w:rPr>
          <w:noProof/>
          <w:lang w:val="en-IN" w:eastAsia="en-IN" w:bidi="hi-IN"/>
        </w:rPr>
        <w:drawing>
          <wp:inline distT="0" distB="0" distL="0" distR="0" wp14:anchorId="02FB1AE6" wp14:editId="76439F0D">
            <wp:extent cx="4789944" cy="2540791"/>
            <wp:effectExtent l="0" t="0" r="0" b="0"/>
            <wp:docPr id="5" name="Picture 5" descr="Frontiers | A Research Road Map for Responsible Use of Agricultural 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iers | A Research Road Map for Responsible Use of Agricultural Nitro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5391" cy="2543680"/>
                    </a:xfrm>
                    <a:prstGeom prst="rect">
                      <a:avLst/>
                    </a:prstGeom>
                    <a:noFill/>
                    <a:ln>
                      <a:noFill/>
                    </a:ln>
                  </pic:spPr>
                </pic:pic>
              </a:graphicData>
            </a:graphic>
          </wp:inline>
        </w:drawing>
      </w:r>
    </w:p>
    <w:p w14:paraId="0D4CC760"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6.4 Pheromone-Based Management</w:t>
      </w:r>
    </w:p>
    <w:p w14:paraId="55896A0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Sex pheromone traps for monitoring and mass trapping reduce pesticide applications by 50-60% in cotton and vegetable crops [29]. The technology proves particularly effective for </w:t>
      </w:r>
      <w:proofErr w:type="spellStart"/>
      <w:r w:rsidRPr="000873B8">
        <w:rPr>
          <w:rFonts w:ascii="Times New Roman" w:hAnsi="Times New Roman" w:cs="Times New Roman"/>
          <w:i/>
          <w:iCs/>
          <w:sz w:val="24"/>
          <w:szCs w:val="24"/>
        </w:rPr>
        <w:t>Helicoverpa</w:t>
      </w:r>
      <w:proofErr w:type="spellEnd"/>
      <w:r w:rsidRPr="000873B8">
        <w:rPr>
          <w:rFonts w:ascii="Times New Roman" w:hAnsi="Times New Roman" w:cs="Times New Roman"/>
          <w:i/>
          <w:iCs/>
          <w:sz w:val="24"/>
          <w:szCs w:val="24"/>
        </w:rPr>
        <w:t xml:space="preserve"> </w:t>
      </w:r>
      <w:proofErr w:type="spellStart"/>
      <w:r w:rsidRPr="000873B8">
        <w:rPr>
          <w:rFonts w:ascii="Times New Roman" w:hAnsi="Times New Roman" w:cs="Times New Roman"/>
          <w:i/>
          <w:iCs/>
          <w:sz w:val="24"/>
          <w:szCs w:val="24"/>
        </w:rPr>
        <w:t>armigera</w:t>
      </w:r>
      <w:proofErr w:type="spellEnd"/>
      <w:r w:rsidRPr="000873B8">
        <w:rPr>
          <w:rFonts w:ascii="Times New Roman" w:hAnsi="Times New Roman" w:cs="Times New Roman"/>
          <w:sz w:val="24"/>
          <w:szCs w:val="24"/>
        </w:rPr>
        <w:t xml:space="preserve"> and </w:t>
      </w:r>
      <w:proofErr w:type="spellStart"/>
      <w:r w:rsidRPr="000873B8">
        <w:rPr>
          <w:rFonts w:ascii="Times New Roman" w:hAnsi="Times New Roman" w:cs="Times New Roman"/>
          <w:i/>
          <w:iCs/>
          <w:sz w:val="24"/>
          <w:szCs w:val="24"/>
        </w:rPr>
        <w:t>Pectinophora</w:t>
      </w:r>
      <w:proofErr w:type="spellEnd"/>
      <w:r w:rsidRPr="000873B8">
        <w:rPr>
          <w:rFonts w:ascii="Times New Roman" w:hAnsi="Times New Roman" w:cs="Times New Roman"/>
          <w:i/>
          <w:iCs/>
          <w:sz w:val="24"/>
          <w:szCs w:val="24"/>
        </w:rPr>
        <w:t xml:space="preserve"> </w:t>
      </w:r>
      <w:proofErr w:type="spellStart"/>
      <w:r w:rsidRPr="000873B8">
        <w:rPr>
          <w:rFonts w:ascii="Times New Roman" w:hAnsi="Times New Roman" w:cs="Times New Roman"/>
          <w:i/>
          <w:iCs/>
          <w:sz w:val="24"/>
          <w:szCs w:val="24"/>
        </w:rPr>
        <w:t>gossypiella</w:t>
      </w:r>
      <w:proofErr w:type="spellEnd"/>
      <w:r w:rsidRPr="000873B8">
        <w:rPr>
          <w:rFonts w:ascii="Times New Roman" w:hAnsi="Times New Roman" w:cs="Times New Roman"/>
          <w:sz w:val="24"/>
          <w:szCs w:val="24"/>
        </w:rPr>
        <w:t xml:space="preserve"> management.</w:t>
      </w:r>
    </w:p>
    <w:p w14:paraId="13B5FC5E"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7. Nutrient Management Strategies</w:t>
      </w:r>
    </w:p>
    <w:p w14:paraId="479F69DB"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7.1 Biological Nitrogen Fixation</w:t>
      </w:r>
    </w:p>
    <w:p w14:paraId="49ACC9E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Legume-rhizobia symbiosis provides sustainable nitrogen inputs to cropping systems. Inoculation with efficient </w:t>
      </w:r>
      <w:r w:rsidRPr="000873B8">
        <w:rPr>
          <w:rFonts w:ascii="Times New Roman" w:hAnsi="Times New Roman" w:cs="Times New Roman"/>
          <w:i/>
          <w:iCs/>
          <w:sz w:val="24"/>
          <w:szCs w:val="24"/>
        </w:rPr>
        <w:t>Rhizobium</w:t>
      </w:r>
      <w:r w:rsidRPr="000873B8">
        <w:rPr>
          <w:rFonts w:ascii="Times New Roman" w:hAnsi="Times New Roman" w:cs="Times New Roman"/>
          <w:sz w:val="24"/>
          <w:szCs w:val="24"/>
        </w:rPr>
        <w:t xml:space="preserve"> strains increases nitrogen fixation by 30-40% in pulses [30]. Non-legume associations with </w:t>
      </w:r>
      <w:proofErr w:type="spellStart"/>
      <w:r w:rsidRPr="000873B8">
        <w:rPr>
          <w:rFonts w:ascii="Times New Roman" w:hAnsi="Times New Roman" w:cs="Times New Roman"/>
          <w:i/>
          <w:iCs/>
          <w:sz w:val="24"/>
          <w:szCs w:val="24"/>
        </w:rPr>
        <w:t>Azospirillum</w:t>
      </w:r>
      <w:proofErr w:type="spellEnd"/>
      <w:r w:rsidRPr="000873B8">
        <w:rPr>
          <w:rFonts w:ascii="Times New Roman" w:hAnsi="Times New Roman" w:cs="Times New Roman"/>
          <w:sz w:val="24"/>
          <w:szCs w:val="24"/>
        </w:rPr>
        <w:t xml:space="preserve"> and </w:t>
      </w:r>
      <w:proofErr w:type="spellStart"/>
      <w:r w:rsidRPr="000873B8">
        <w:rPr>
          <w:rFonts w:ascii="Times New Roman" w:hAnsi="Times New Roman" w:cs="Times New Roman"/>
          <w:i/>
          <w:iCs/>
          <w:sz w:val="24"/>
          <w:szCs w:val="24"/>
        </w:rPr>
        <w:t>Azotobacter</w:t>
      </w:r>
      <w:proofErr w:type="spellEnd"/>
      <w:r w:rsidRPr="000873B8">
        <w:rPr>
          <w:rFonts w:ascii="Times New Roman" w:hAnsi="Times New Roman" w:cs="Times New Roman"/>
          <w:sz w:val="24"/>
          <w:szCs w:val="24"/>
        </w:rPr>
        <w:t xml:space="preserve"> contribute 20-30 kg N/ha in cereal crops.</w:t>
      </w:r>
    </w:p>
    <w:p w14:paraId="04C995FB"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7.2 Phosphorus Solubilization</w:t>
      </w:r>
    </w:p>
    <w:p w14:paraId="448B7E7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Phosphate solubilizing bacteria like </w:t>
      </w:r>
      <w:r w:rsidRPr="000873B8">
        <w:rPr>
          <w:rFonts w:ascii="Times New Roman" w:hAnsi="Times New Roman" w:cs="Times New Roman"/>
          <w:i/>
          <w:iCs/>
          <w:sz w:val="24"/>
          <w:szCs w:val="24"/>
        </w:rPr>
        <w:t>Bacillus megaterium</w:t>
      </w:r>
      <w:r w:rsidRPr="000873B8">
        <w:rPr>
          <w:rFonts w:ascii="Times New Roman" w:hAnsi="Times New Roman" w:cs="Times New Roman"/>
          <w:sz w:val="24"/>
          <w:szCs w:val="24"/>
        </w:rPr>
        <w:t xml:space="preserve"> and </w:t>
      </w:r>
      <w:r w:rsidRPr="000873B8">
        <w:rPr>
          <w:rFonts w:ascii="Times New Roman" w:hAnsi="Times New Roman" w:cs="Times New Roman"/>
          <w:i/>
          <w:iCs/>
          <w:sz w:val="24"/>
          <w:szCs w:val="24"/>
        </w:rPr>
        <w:t>Pseudomonas striata</w:t>
      </w:r>
      <w:r w:rsidRPr="000873B8">
        <w:rPr>
          <w:rFonts w:ascii="Times New Roman" w:hAnsi="Times New Roman" w:cs="Times New Roman"/>
          <w:sz w:val="24"/>
          <w:szCs w:val="24"/>
        </w:rPr>
        <w:t xml:space="preserve"> enhance phosphorus availability from native soil reserves and rock phosphate [31]. Combined application with organic matter increases efficiency by 40-50%.</w:t>
      </w:r>
    </w:p>
    <w:p w14:paraId="367FBBF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Table 5: Biofertilizer Performance in Major Crops</w:t>
      </w:r>
    </w:p>
    <w:tbl>
      <w:tblPr>
        <w:tblStyle w:val="TableGrid"/>
        <w:tblW w:w="0" w:type="auto"/>
        <w:tblLook w:val="04A0" w:firstRow="1" w:lastRow="0" w:firstColumn="1" w:lastColumn="0" w:noHBand="0" w:noVBand="1"/>
      </w:tblPr>
      <w:tblGrid>
        <w:gridCol w:w="1257"/>
        <w:gridCol w:w="2250"/>
        <w:gridCol w:w="1968"/>
        <w:gridCol w:w="2183"/>
        <w:gridCol w:w="1918"/>
      </w:tblGrid>
      <w:tr w:rsidR="00CB436D" w:rsidRPr="000873B8" w14:paraId="66FBDCC5" w14:textId="77777777" w:rsidTr="00EB5187">
        <w:tc>
          <w:tcPr>
            <w:tcW w:w="0" w:type="auto"/>
            <w:hideMark/>
          </w:tcPr>
          <w:p w14:paraId="5D5A4ADE"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lastRenderedPageBreak/>
              <w:t>Crop</w:t>
            </w:r>
          </w:p>
        </w:tc>
        <w:tc>
          <w:tcPr>
            <w:tcW w:w="0" w:type="auto"/>
            <w:hideMark/>
          </w:tcPr>
          <w:p w14:paraId="6BF70E92"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Biofertilizer Type</w:t>
            </w:r>
          </w:p>
        </w:tc>
        <w:tc>
          <w:tcPr>
            <w:tcW w:w="0" w:type="auto"/>
            <w:hideMark/>
          </w:tcPr>
          <w:p w14:paraId="7FF6F4C4"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Yield Increase (%)</w:t>
            </w:r>
          </w:p>
        </w:tc>
        <w:tc>
          <w:tcPr>
            <w:tcW w:w="0" w:type="auto"/>
            <w:hideMark/>
          </w:tcPr>
          <w:p w14:paraId="4018FB9D"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Fertilizer Saving (%)</w:t>
            </w:r>
          </w:p>
        </w:tc>
        <w:tc>
          <w:tcPr>
            <w:tcW w:w="0" w:type="auto"/>
            <w:hideMark/>
          </w:tcPr>
          <w:p w14:paraId="19798BFB"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Cost-Benefit Ratio</w:t>
            </w:r>
          </w:p>
        </w:tc>
      </w:tr>
      <w:tr w:rsidR="00CB436D" w:rsidRPr="000873B8" w14:paraId="051FFAC9" w14:textId="77777777" w:rsidTr="00EB5187">
        <w:tc>
          <w:tcPr>
            <w:tcW w:w="0" w:type="auto"/>
            <w:hideMark/>
          </w:tcPr>
          <w:p w14:paraId="6751616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Rice</w:t>
            </w:r>
          </w:p>
        </w:tc>
        <w:tc>
          <w:tcPr>
            <w:tcW w:w="0" w:type="auto"/>
            <w:hideMark/>
          </w:tcPr>
          <w:p w14:paraId="3813C06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Azolla + PSB</w:t>
            </w:r>
          </w:p>
        </w:tc>
        <w:tc>
          <w:tcPr>
            <w:tcW w:w="0" w:type="auto"/>
            <w:hideMark/>
          </w:tcPr>
          <w:p w14:paraId="68CA256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15-20</w:t>
            </w:r>
          </w:p>
        </w:tc>
        <w:tc>
          <w:tcPr>
            <w:tcW w:w="0" w:type="auto"/>
            <w:hideMark/>
          </w:tcPr>
          <w:p w14:paraId="2E09103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25-30</w:t>
            </w:r>
          </w:p>
        </w:tc>
        <w:tc>
          <w:tcPr>
            <w:tcW w:w="0" w:type="auto"/>
            <w:hideMark/>
          </w:tcPr>
          <w:p w14:paraId="2CC10D1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1:2.5</w:t>
            </w:r>
          </w:p>
        </w:tc>
      </w:tr>
      <w:tr w:rsidR="00CB436D" w:rsidRPr="000873B8" w14:paraId="55283E8C" w14:textId="77777777" w:rsidTr="00EB5187">
        <w:tc>
          <w:tcPr>
            <w:tcW w:w="0" w:type="auto"/>
            <w:hideMark/>
          </w:tcPr>
          <w:p w14:paraId="36E492D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Wheat</w:t>
            </w:r>
          </w:p>
        </w:tc>
        <w:tc>
          <w:tcPr>
            <w:tcW w:w="0" w:type="auto"/>
            <w:hideMark/>
          </w:tcPr>
          <w:p w14:paraId="79E10C5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Azotobacter + PSB</w:t>
            </w:r>
          </w:p>
        </w:tc>
        <w:tc>
          <w:tcPr>
            <w:tcW w:w="0" w:type="auto"/>
            <w:hideMark/>
          </w:tcPr>
          <w:p w14:paraId="49A2D96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12-18</w:t>
            </w:r>
          </w:p>
        </w:tc>
        <w:tc>
          <w:tcPr>
            <w:tcW w:w="0" w:type="auto"/>
            <w:hideMark/>
          </w:tcPr>
          <w:p w14:paraId="077ABA4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20-25</w:t>
            </w:r>
          </w:p>
        </w:tc>
        <w:tc>
          <w:tcPr>
            <w:tcW w:w="0" w:type="auto"/>
            <w:hideMark/>
          </w:tcPr>
          <w:p w14:paraId="0A4A082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1:2.2</w:t>
            </w:r>
          </w:p>
        </w:tc>
      </w:tr>
      <w:tr w:rsidR="00CB436D" w:rsidRPr="000873B8" w14:paraId="12DD05A2" w14:textId="77777777" w:rsidTr="00EB5187">
        <w:tc>
          <w:tcPr>
            <w:tcW w:w="0" w:type="auto"/>
            <w:hideMark/>
          </w:tcPr>
          <w:p w14:paraId="03F4746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Maize</w:t>
            </w:r>
          </w:p>
        </w:tc>
        <w:tc>
          <w:tcPr>
            <w:tcW w:w="0" w:type="auto"/>
            <w:hideMark/>
          </w:tcPr>
          <w:p w14:paraId="54224A57" w14:textId="77777777" w:rsidR="00CB436D" w:rsidRPr="000873B8" w:rsidRDefault="00CB436D" w:rsidP="00CB436D">
            <w:pPr>
              <w:jc w:val="both"/>
              <w:rPr>
                <w:rFonts w:ascii="Times New Roman" w:hAnsi="Times New Roman" w:cs="Times New Roman"/>
                <w:sz w:val="24"/>
                <w:szCs w:val="24"/>
              </w:rPr>
            </w:pPr>
            <w:proofErr w:type="spellStart"/>
            <w:r w:rsidRPr="000873B8">
              <w:rPr>
                <w:rFonts w:ascii="Times New Roman" w:hAnsi="Times New Roman" w:cs="Times New Roman"/>
                <w:sz w:val="24"/>
                <w:szCs w:val="24"/>
              </w:rPr>
              <w:t>Azospirillum</w:t>
            </w:r>
            <w:proofErr w:type="spellEnd"/>
            <w:r w:rsidRPr="000873B8">
              <w:rPr>
                <w:rFonts w:ascii="Times New Roman" w:hAnsi="Times New Roman" w:cs="Times New Roman"/>
                <w:sz w:val="24"/>
                <w:szCs w:val="24"/>
              </w:rPr>
              <w:t xml:space="preserve"> + VAM</w:t>
            </w:r>
          </w:p>
        </w:tc>
        <w:tc>
          <w:tcPr>
            <w:tcW w:w="0" w:type="auto"/>
            <w:hideMark/>
          </w:tcPr>
          <w:p w14:paraId="428ACAE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18-22</w:t>
            </w:r>
          </w:p>
        </w:tc>
        <w:tc>
          <w:tcPr>
            <w:tcW w:w="0" w:type="auto"/>
            <w:hideMark/>
          </w:tcPr>
          <w:p w14:paraId="61974EA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30-35</w:t>
            </w:r>
          </w:p>
        </w:tc>
        <w:tc>
          <w:tcPr>
            <w:tcW w:w="0" w:type="auto"/>
            <w:hideMark/>
          </w:tcPr>
          <w:p w14:paraId="04B0EF6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1:2.8</w:t>
            </w:r>
          </w:p>
        </w:tc>
      </w:tr>
      <w:tr w:rsidR="00CB436D" w:rsidRPr="000873B8" w14:paraId="3E329BEA" w14:textId="77777777" w:rsidTr="00EB5187">
        <w:tc>
          <w:tcPr>
            <w:tcW w:w="0" w:type="auto"/>
            <w:hideMark/>
          </w:tcPr>
          <w:p w14:paraId="442DC8B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Soybean</w:t>
            </w:r>
          </w:p>
        </w:tc>
        <w:tc>
          <w:tcPr>
            <w:tcW w:w="0" w:type="auto"/>
            <w:hideMark/>
          </w:tcPr>
          <w:p w14:paraId="2B798BB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Rhizobium + PSB</w:t>
            </w:r>
          </w:p>
        </w:tc>
        <w:tc>
          <w:tcPr>
            <w:tcW w:w="0" w:type="auto"/>
            <w:hideMark/>
          </w:tcPr>
          <w:p w14:paraId="70F1BBA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20-25</w:t>
            </w:r>
          </w:p>
        </w:tc>
        <w:tc>
          <w:tcPr>
            <w:tcW w:w="0" w:type="auto"/>
            <w:hideMark/>
          </w:tcPr>
          <w:p w14:paraId="04B8DD2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40-45</w:t>
            </w:r>
          </w:p>
        </w:tc>
        <w:tc>
          <w:tcPr>
            <w:tcW w:w="0" w:type="auto"/>
            <w:hideMark/>
          </w:tcPr>
          <w:p w14:paraId="4308A87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1:3.2</w:t>
            </w:r>
          </w:p>
        </w:tc>
      </w:tr>
      <w:tr w:rsidR="00CB436D" w:rsidRPr="000873B8" w14:paraId="42EE76BD" w14:textId="77777777" w:rsidTr="00EB5187">
        <w:tc>
          <w:tcPr>
            <w:tcW w:w="0" w:type="auto"/>
            <w:hideMark/>
          </w:tcPr>
          <w:p w14:paraId="369447E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Groundnut</w:t>
            </w:r>
          </w:p>
        </w:tc>
        <w:tc>
          <w:tcPr>
            <w:tcW w:w="0" w:type="auto"/>
            <w:hideMark/>
          </w:tcPr>
          <w:p w14:paraId="7198733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Rhizobium + PSB</w:t>
            </w:r>
          </w:p>
        </w:tc>
        <w:tc>
          <w:tcPr>
            <w:tcW w:w="0" w:type="auto"/>
            <w:hideMark/>
          </w:tcPr>
          <w:p w14:paraId="0087F0B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22-28</w:t>
            </w:r>
          </w:p>
        </w:tc>
        <w:tc>
          <w:tcPr>
            <w:tcW w:w="0" w:type="auto"/>
            <w:hideMark/>
          </w:tcPr>
          <w:p w14:paraId="7A29CB0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35-40</w:t>
            </w:r>
          </w:p>
        </w:tc>
        <w:tc>
          <w:tcPr>
            <w:tcW w:w="0" w:type="auto"/>
            <w:hideMark/>
          </w:tcPr>
          <w:p w14:paraId="305EE11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1:3.0</w:t>
            </w:r>
          </w:p>
        </w:tc>
      </w:tr>
      <w:tr w:rsidR="00CB436D" w:rsidRPr="000873B8" w14:paraId="2405EFF2" w14:textId="77777777" w:rsidTr="00EB5187">
        <w:tc>
          <w:tcPr>
            <w:tcW w:w="0" w:type="auto"/>
            <w:hideMark/>
          </w:tcPr>
          <w:p w14:paraId="514E17C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Sugarcane</w:t>
            </w:r>
          </w:p>
        </w:tc>
        <w:tc>
          <w:tcPr>
            <w:tcW w:w="0" w:type="auto"/>
            <w:hideMark/>
          </w:tcPr>
          <w:p w14:paraId="3BF26B48" w14:textId="77777777" w:rsidR="00CB436D" w:rsidRPr="000873B8" w:rsidRDefault="00CB436D" w:rsidP="00CB436D">
            <w:pPr>
              <w:jc w:val="both"/>
              <w:rPr>
                <w:rFonts w:ascii="Times New Roman" w:hAnsi="Times New Roman" w:cs="Times New Roman"/>
                <w:sz w:val="24"/>
                <w:szCs w:val="24"/>
              </w:rPr>
            </w:pPr>
            <w:proofErr w:type="spellStart"/>
            <w:r w:rsidRPr="000873B8">
              <w:rPr>
                <w:rFonts w:ascii="Times New Roman" w:hAnsi="Times New Roman" w:cs="Times New Roman"/>
                <w:sz w:val="24"/>
                <w:szCs w:val="24"/>
              </w:rPr>
              <w:t>Gluconacetobacter</w:t>
            </w:r>
            <w:proofErr w:type="spellEnd"/>
          </w:p>
        </w:tc>
        <w:tc>
          <w:tcPr>
            <w:tcW w:w="0" w:type="auto"/>
            <w:hideMark/>
          </w:tcPr>
          <w:p w14:paraId="5E0A820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15-20</w:t>
            </w:r>
          </w:p>
        </w:tc>
        <w:tc>
          <w:tcPr>
            <w:tcW w:w="0" w:type="auto"/>
            <w:hideMark/>
          </w:tcPr>
          <w:p w14:paraId="542AE3F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25-30</w:t>
            </w:r>
          </w:p>
        </w:tc>
        <w:tc>
          <w:tcPr>
            <w:tcW w:w="0" w:type="auto"/>
            <w:hideMark/>
          </w:tcPr>
          <w:p w14:paraId="0C79498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1:2.6</w:t>
            </w:r>
          </w:p>
        </w:tc>
      </w:tr>
      <w:tr w:rsidR="00CB436D" w:rsidRPr="000873B8" w14:paraId="2C135102" w14:textId="77777777" w:rsidTr="00EB5187">
        <w:tc>
          <w:tcPr>
            <w:tcW w:w="0" w:type="auto"/>
            <w:hideMark/>
          </w:tcPr>
          <w:p w14:paraId="12D2EA1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Cotton</w:t>
            </w:r>
          </w:p>
        </w:tc>
        <w:tc>
          <w:tcPr>
            <w:tcW w:w="0" w:type="auto"/>
            <w:hideMark/>
          </w:tcPr>
          <w:p w14:paraId="406B194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Azotobacter + VAM</w:t>
            </w:r>
          </w:p>
        </w:tc>
        <w:tc>
          <w:tcPr>
            <w:tcW w:w="0" w:type="auto"/>
            <w:hideMark/>
          </w:tcPr>
          <w:p w14:paraId="67B6412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18-23</w:t>
            </w:r>
          </w:p>
        </w:tc>
        <w:tc>
          <w:tcPr>
            <w:tcW w:w="0" w:type="auto"/>
            <w:hideMark/>
          </w:tcPr>
          <w:p w14:paraId="55EDD55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30-35</w:t>
            </w:r>
          </w:p>
        </w:tc>
        <w:tc>
          <w:tcPr>
            <w:tcW w:w="0" w:type="auto"/>
            <w:hideMark/>
          </w:tcPr>
          <w:p w14:paraId="201DA36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1:2.7</w:t>
            </w:r>
          </w:p>
        </w:tc>
      </w:tr>
    </w:tbl>
    <w:p w14:paraId="7C178D58" w14:textId="77777777" w:rsidR="00AD33E5"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7.3 Integrated Nutrient Management</w:t>
      </w:r>
    </w:p>
    <w:p w14:paraId="2E965E1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Combining organic and inorganic nutrient sources optimizes crop nutrition while maintaining soil health. The 75% recommended NPK + 25% nutrients through FYM approach demonstrates sustained productivity over conventional fertilizer use [32]. Site-specific nutrient management based on soil testing reduces fertilizer use by 20-25%.</w:t>
      </w:r>
    </w:p>
    <w:p w14:paraId="59A421DF"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7.4 Nutrient Cycling Enhancement</w:t>
      </w:r>
    </w:p>
    <w:p w14:paraId="08B4447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Crop residue management through in-situ decomposition returns significant nutrients to soil. Rice straw incorporation adds 30-35 kg K/ha while improving soil organic matter [33]. Biogas slurry application provides readily available nutrients with enhanced efficiency.</w:t>
      </w:r>
    </w:p>
    <w:p w14:paraId="06B3B558"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8. Climate Adaptation Strategies</w:t>
      </w:r>
    </w:p>
    <w:p w14:paraId="3740AD36"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8.1 Crop Calendar Adjustment</w:t>
      </w:r>
    </w:p>
    <w:p w14:paraId="4741CBF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Shifting planting dates based on monsoon onset predictions reduces climate risks. Delayed sowing of wheat by 10-15 days in response to rising temperatures maintains yields while reducing irrigation requirements [34]. Early planting of kharif crops captures pre-monsoon showers effectively.</w:t>
      </w:r>
    </w:p>
    <w:p w14:paraId="423A3997" w14:textId="77777777" w:rsidR="00EB5187" w:rsidRPr="000873B8" w:rsidRDefault="00EB5187" w:rsidP="00EB5187">
      <w:pPr>
        <w:jc w:val="both"/>
        <w:rPr>
          <w:rFonts w:ascii="Times New Roman" w:hAnsi="Times New Roman" w:cs="Times New Roman"/>
          <w:sz w:val="24"/>
          <w:szCs w:val="24"/>
        </w:rPr>
      </w:pPr>
      <w:r w:rsidRPr="000873B8">
        <w:rPr>
          <w:rFonts w:ascii="Times New Roman" w:hAnsi="Times New Roman" w:cs="Times New Roman"/>
          <w:b/>
          <w:bCs/>
          <w:sz w:val="24"/>
          <w:szCs w:val="24"/>
        </w:rPr>
        <w:t>Figure 6: Integrated Nutrient Flow Model</w:t>
      </w:r>
      <w:r w:rsidRPr="000873B8">
        <w:rPr>
          <w:rFonts w:ascii="Times New Roman" w:hAnsi="Times New Roman" w:cs="Times New Roman"/>
          <w:sz w:val="24"/>
          <w:szCs w:val="24"/>
        </w:rPr>
        <w:t xml:space="preserve"> </w:t>
      </w:r>
    </w:p>
    <w:p w14:paraId="4EC0298D" w14:textId="77777777" w:rsidR="00EB5187" w:rsidRPr="000873B8" w:rsidRDefault="00EB5187" w:rsidP="00EB5187">
      <w:pPr>
        <w:pStyle w:val="NormalWeb"/>
        <w:jc w:val="center"/>
      </w:pPr>
      <w:r w:rsidRPr="000873B8">
        <w:rPr>
          <w:noProof/>
          <w:lang w:val="en-IN" w:eastAsia="en-IN"/>
        </w:rPr>
        <w:lastRenderedPageBreak/>
        <w:drawing>
          <wp:inline distT="0" distB="0" distL="0" distR="0" wp14:anchorId="1B39AA17" wp14:editId="0E3F0236">
            <wp:extent cx="4638675" cy="3667282"/>
            <wp:effectExtent l="0" t="0" r="0" b="9525"/>
            <wp:docPr id="7" name="Picture 7" descr="C:\Users\Lenovo\Downloads\Components-of-integrated-nutrient-managem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Components-of-integrated-nutrient-management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5092" cy="3672355"/>
                    </a:xfrm>
                    <a:prstGeom prst="rect">
                      <a:avLst/>
                    </a:prstGeom>
                    <a:noFill/>
                    <a:ln>
                      <a:noFill/>
                    </a:ln>
                  </pic:spPr>
                </pic:pic>
              </a:graphicData>
            </a:graphic>
          </wp:inline>
        </w:drawing>
      </w:r>
    </w:p>
    <w:p w14:paraId="3D06DBF1"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8.2 Stress-Tolerant Varieties</w:t>
      </w:r>
    </w:p>
    <w:p w14:paraId="4B307E9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Development and adoption of climate-resilient crop varieties forms a crucial adaptation strategy. Drought-tolerant rice varieties like </w:t>
      </w:r>
      <w:proofErr w:type="spellStart"/>
      <w:r w:rsidRPr="000873B8">
        <w:rPr>
          <w:rFonts w:ascii="Times New Roman" w:hAnsi="Times New Roman" w:cs="Times New Roman"/>
          <w:sz w:val="24"/>
          <w:szCs w:val="24"/>
        </w:rPr>
        <w:t>Sahbhagi</w:t>
      </w:r>
      <w:proofErr w:type="spellEnd"/>
      <w:r w:rsidRPr="000873B8">
        <w:rPr>
          <w:rFonts w:ascii="Times New Roman" w:hAnsi="Times New Roman" w:cs="Times New Roman"/>
          <w:sz w:val="24"/>
          <w:szCs w:val="24"/>
        </w:rPr>
        <w:t xml:space="preserve"> </w:t>
      </w:r>
      <w:proofErr w:type="spellStart"/>
      <w:r w:rsidRPr="000873B8">
        <w:rPr>
          <w:rFonts w:ascii="Times New Roman" w:hAnsi="Times New Roman" w:cs="Times New Roman"/>
          <w:sz w:val="24"/>
          <w:szCs w:val="24"/>
        </w:rPr>
        <w:t>Dhan</w:t>
      </w:r>
      <w:proofErr w:type="spellEnd"/>
      <w:r w:rsidRPr="000873B8">
        <w:rPr>
          <w:rFonts w:ascii="Times New Roman" w:hAnsi="Times New Roman" w:cs="Times New Roman"/>
          <w:sz w:val="24"/>
          <w:szCs w:val="24"/>
        </w:rPr>
        <w:t xml:space="preserve"> yield 1-1.5 t/ha under severe drought conditions [35]. Heat-tolerant wheat varieties maintain productivity despite terminal heat stress.</w:t>
      </w:r>
    </w:p>
    <w:p w14:paraId="1E75897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Table 6: Performance of Climate-Resilient Crop Varieties</w:t>
      </w:r>
    </w:p>
    <w:tbl>
      <w:tblPr>
        <w:tblStyle w:val="TableGrid"/>
        <w:tblW w:w="0" w:type="auto"/>
        <w:tblLook w:val="04A0" w:firstRow="1" w:lastRow="0" w:firstColumn="1" w:lastColumn="0" w:noHBand="0" w:noVBand="1"/>
      </w:tblPr>
      <w:tblGrid>
        <w:gridCol w:w="1356"/>
        <w:gridCol w:w="1690"/>
        <w:gridCol w:w="1916"/>
        <w:gridCol w:w="2150"/>
        <w:gridCol w:w="2217"/>
      </w:tblGrid>
      <w:tr w:rsidR="00CB436D" w:rsidRPr="000873B8" w14:paraId="3605CFAF" w14:textId="77777777" w:rsidTr="00EB5187">
        <w:tc>
          <w:tcPr>
            <w:tcW w:w="0" w:type="auto"/>
            <w:hideMark/>
          </w:tcPr>
          <w:p w14:paraId="1E26E0C3"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Crop</w:t>
            </w:r>
          </w:p>
        </w:tc>
        <w:tc>
          <w:tcPr>
            <w:tcW w:w="0" w:type="auto"/>
            <w:hideMark/>
          </w:tcPr>
          <w:p w14:paraId="54896677"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Variety</w:t>
            </w:r>
          </w:p>
        </w:tc>
        <w:tc>
          <w:tcPr>
            <w:tcW w:w="0" w:type="auto"/>
            <w:hideMark/>
          </w:tcPr>
          <w:p w14:paraId="362CC3F7"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Stress Tolerance</w:t>
            </w:r>
          </w:p>
        </w:tc>
        <w:tc>
          <w:tcPr>
            <w:tcW w:w="0" w:type="auto"/>
            <w:hideMark/>
          </w:tcPr>
          <w:p w14:paraId="6E66A14F"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Yield Under Stress</w:t>
            </w:r>
          </w:p>
        </w:tc>
        <w:tc>
          <w:tcPr>
            <w:tcW w:w="0" w:type="auto"/>
            <w:hideMark/>
          </w:tcPr>
          <w:p w14:paraId="724757F2"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Adoption Area (ha)</w:t>
            </w:r>
          </w:p>
        </w:tc>
      </w:tr>
      <w:tr w:rsidR="00CB436D" w:rsidRPr="000873B8" w14:paraId="47F7D543" w14:textId="77777777" w:rsidTr="00EB5187">
        <w:tc>
          <w:tcPr>
            <w:tcW w:w="0" w:type="auto"/>
            <w:hideMark/>
          </w:tcPr>
          <w:p w14:paraId="17FD2E4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Rice</w:t>
            </w:r>
          </w:p>
        </w:tc>
        <w:tc>
          <w:tcPr>
            <w:tcW w:w="0" w:type="auto"/>
            <w:hideMark/>
          </w:tcPr>
          <w:p w14:paraId="66E58BD2" w14:textId="77777777" w:rsidR="00CB436D" w:rsidRPr="000873B8" w:rsidRDefault="00CB436D" w:rsidP="00CB436D">
            <w:pPr>
              <w:jc w:val="both"/>
              <w:rPr>
                <w:rFonts w:ascii="Times New Roman" w:hAnsi="Times New Roman" w:cs="Times New Roman"/>
                <w:sz w:val="24"/>
                <w:szCs w:val="24"/>
              </w:rPr>
            </w:pPr>
            <w:proofErr w:type="spellStart"/>
            <w:r w:rsidRPr="000873B8">
              <w:rPr>
                <w:rFonts w:ascii="Times New Roman" w:hAnsi="Times New Roman" w:cs="Times New Roman"/>
                <w:sz w:val="24"/>
                <w:szCs w:val="24"/>
              </w:rPr>
              <w:t>Sahbhagi</w:t>
            </w:r>
            <w:proofErr w:type="spellEnd"/>
            <w:r w:rsidRPr="000873B8">
              <w:rPr>
                <w:rFonts w:ascii="Times New Roman" w:hAnsi="Times New Roman" w:cs="Times New Roman"/>
                <w:sz w:val="24"/>
                <w:szCs w:val="24"/>
              </w:rPr>
              <w:t xml:space="preserve"> </w:t>
            </w:r>
            <w:proofErr w:type="spellStart"/>
            <w:r w:rsidRPr="000873B8">
              <w:rPr>
                <w:rFonts w:ascii="Times New Roman" w:hAnsi="Times New Roman" w:cs="Times New Roman"/>
                <w:sz w:val="24"/>
                <w:szCs w:val="24"/>
              </w:rPr>
              <w:t>Dhan</w:t>
            </w:r>
            <w:proofErr w:type="spellEnd"/>
          </w:p>
        </w:tc>
        <w:tc>
          <w:tcPr>
            <w:tcW w:w="0" w:type="auto"/>
            <w:hideMark/>
          </w:tcPr>
          <w:p w14:paraId="0F31E74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Drought</w:t>
            </w:r>
          </w:p>
        </w:tc>
        <w:tc>
          <w:tcPr>
            <w:tcW w:w="0" w:type="auto"/>
            <w:hideMark/>
          </w:tcPr>
          <w:p w14:paraId="08838A6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3.5-4.0 t/ha</w:t>
            </w:r>
          </w:p>
        </w:tc>
        <w:tc>
          <w:tcPr>
            <w:tcW w:w="0" w:type="auto"/>
            <w:hideMark/>
          </w:tcPr>
          <w:p w14:paraId="39608C6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500,000</w:t>
            </w:r>
          </w:p>
        </w:tc>
      </w:tr>
      <w:tr w:rsidR="00CB436D" w:rsidRPr="000873B8" w14:paraId="51EC7683" w14:textId="77777777" w:rsidTr="00EB5187">
        <w:tc>
          <w:tcPr>
            <w:tcW w:w="0" w:type="auto"/>
            <w:hideMark/>
          </w:tcPr>
          <w:p w14:paraId="09BD56D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Wheat</w:t>
            </w:r>
          </w:p>
        </w:tc>
        <w:tc>
          <w:tcPr>
            <w:tcW w:w="0" w:type="auto"/>
            <w:hideMark/>
          </w:tcPr>
          <w:p w14:paraId="3FBA28D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HD 3086</w:t>
            </w:r>
          </w:p>
        </w:tc>
        <w:tc>
          <w:tcPr>
            <w:tcW w:w="0" w:type="auto"/>
            <w:hideMark/>
          </w:tcPr>
          <w:p w14:paraId="63BE723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Heat</w:t>
            </w:r>
          </w:p>
        </w:tc>
        <w:tc>
          <w:tcPr>
            <w:tcW w:w="0" w:type="auto"/>
            <w:hideMark/>
          </w:tcPr>
          <w:p w14:paraId="1C2F755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4.0-4.5 t/ha</w:t>
            </w:r>
          </w:p>
        </w:tc>
        <w:tc>
          <w:tcPr>
            <w:tcW w:w="0" w:type="auto"/>
            <w:hideMark/>
          </w:tcPr>
          <w:p w14:paraId="63B5D65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300,000</w:t>
            </w:r>
          </w:p>
        </w:tc>
      </w:tr>
      <w:tr w:rsidR="00CB436D" w:rsidRPr="000873B8" w14:paraId="29E353F3" w14:textId="77777777" w:rsidTr="00EB5187">
        <w:tc>
          <w:tcPr>
            <w:tcW w:w="0" w:type="auto"/>
            <w:hideMark/>
          </w:tcPr>
          <w:p w14:paraId="778B4E3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Maize</w:t>
            </w:r>
          </w:p>
        </w:tc>
        <w:tc>
          <w:tcPr>
            <w:tcW w:w="0" w:type="auto"/>
            <w:hideMark/>
          </w:tcPr>
          <w:p w14:paraId="3643760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DMH 157</w:t>
            </w:r>
          </w:p>
        </w:tc>
        <w:tc>
          <w:tcPr>
            <w:tcW w:w="0" w:type="auto"/>
            <w:hideMark/>
          </w:tcPr>
          <w:p w14:paraId="5513EEA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Drought</w:t>
            </w:r>
          </w:p>
        </w:tc>
        <w:tc>
          <w:tcPr>
            <w:tcW w:w="0" w:type="auto"/>
            <w:hideMark/>
          </w:tcPr>
          <w:p w14:paraId="78B6EC5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5.0-5.5 t/ha</w:t>
            </w:r>
          </w:p>
        </w:tc>
        <w:tc>
          <w:tcPr>
            <w:tcW w:w="0" w:type="auto"/>
            <w:hideMark/>
          </w:tcPr>
          <w:p w14:paraId="1C95622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200,000</w:t>
            </w:r>
          </w:p>
        </w:tc>
      </w:tr>
      <w:tr w:rsidR="00CB436D" w:rsidRPr="000873B8" w14:paraId="58F57898" w14:textId="77777777" w:rsidTr="00EB5187">
        <w:tc>
          <w:tcPr>
            <w:tcW w:w="0" w:type="auto"/>
            <w:hideMark/>
          </w:tcPr>
          <w:p w14:paraId="11186CB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Pearl Millet</w:t>
            </w:r>
          </w:p>
        </w:tc>
        <w:tc>
          <w:tcPr>
            <w:tcW w:w="0" w:type="auto"/>
            <w:hideMark/>
          </w:tcPr>
          <w:p w14:paraId="710E8CD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HHB 67</w:t>
            </w:r>
          </w:p>
        </w:tc>
        <w:tc>
          <w:tcPr>
            <w:tcW w:w="0" w:type="auto"/>
            <w:hideMark/>
          </w:tcPr>
          <w:p w14:paraId="563E7D2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Drought + Heat</w:t>
            </w:r>
          </w:p>
        </w:tc>
        <w:tc>
          <w:tcPr>
            <w:tcW w:w="0" w:type="auto"/>
            <w:hideMark/>
          </w:tcPr>
          <w:p w14:paraId="3653579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2.5-3.0 t/ha</w:t>
            </w:r>
          </w:p>
        </w:tc>
        <w:tc>
          <w:tcPr>
            <w:tcW w:w="0" w:type="auto"/>
            <w:hideMark/>
          </w:tcPr>
          <w:p w14:paraId="36543EA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400,000</w:t>
            </w:r>
          </w:p>
        </w:tc>
      </w:tr>
      <w:tr w:rsidR="00CB436D" w:rsidRPr="000873B8" w14:paraId="7F065FF1" w14:textId="77777777" w:rsidTr="00EB5187">
        <w:tc>
          <w:tcPr>
            <w:tcW w:w="0" w:type="auto"/>
            <w:hideMark/>
          </w:tcPr>
          <w:p w14:paraId="5C2041D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Chickpea</w:t>
            </w:r>
          </w:p>
        </w:tc>
        <w:tc>
          <w:tcPr>
            <w:tcW w:w="0" w:type="auto"/>
            <w:hideMark/>
          </w:tcPr>
          <w:p w14:paraId="5C8A16F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JG 14</w:t>
            </w:r>
          </w:p>
        </w:tc>
        <w:tc>
          <w:tcPr>
            <w:tcW w:w="0" w:type="auto"/>
            <w:hideMark/>
          </w:tcPr>
          <w:p w14:paraId="38A0D1D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Drought</w:t>
            </w:r>
          </w:p>
        </w:tc>
        <w:tc>
          <w:tcPr>
            <w:tcW w:w="0" w:type="auto"/>
            <w:hideMark/>
          </w:tcPr>
          <w:p w14:paraId="0C9FB89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1.8-2.2 t/ha</w:t>
            </w:r>
          </w:p>
        </w:tc>
        <w:tc>
          <w:tcPr>
            <w:tcW w:w="0" w:type="auto"/>
            <w:hideMark/>
          </w:tcPr>
          <w:p w14:paraId="667A5B1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250,000</w:t>
            </w:r>
          </w:p>
        </w:tc>
      </w:tr>
      <w:tr w:rsidR="00CB436D" w:rsidRPr="000873B8" w14:paraId="55C15860" w14:textId="77777777" w:rsidTr="00EB5187">
        <w:tc>
          <w:tcPr>
            <w:tcW w:w="0" w:type="auto"/>
            <w:hideMark/>
          </w:tcPr>
          <w:p w14:paraId="329B9CC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Groundnut</w:t>
            </w:r>
          </w:p>
        </w:tc>
        <w:tc>
          <w:tcPr>
            <w:tcW w:w="0" w:type="auto"/>
            <w:hideMark/>
          </w:tcPr>
          <w:p w14:paraId="16DA84CB" w14:textId="77777777" w:rsidR="00CB436D" w:rsidRPr="000873B8" w:rsidRDefault="00CB436D" w:rsidP="00CB436D">
            <w:pPr>
              <w:jc w:val="both"/>
              <w:rPr>
                <w:rFonts w:ascii="Times New Roman" w:hAnsi="Times New Roman" w:cs="Times New Roman"/>
                <w:sz w:val="24"/>
                <w:szCs w:val="24"/>
              </w:rPr>
            </w:pPr>
            <w:proofErr w:type="spellStart"/>
            <w:r w:rsidRPr="000873B8">
              <w:rPr>
                <w:rFonts w:ascii="Times New Roman" w:hAnsi="Times New Roman" w:cs="Times New Roman"/>
                <w:sz w:val="24"/>
                <w:szCs w:val="24"/>
              </w:rPr>
              <w:t>Girnar</w:t>
            </w:r>
            <w:proofErr w:type="spellEnd"/>
            <w:r w:rsidRPr="000873B8">
              <w:rPr>
                <w:rFonts w:ascii="Times New Roman" w:hAnsi="Times New Roman" w:cs="Times New Roman"/>
                <w:sz w:val="24"/>
                <w:szCs w:val="24"/>
              </w:rPr>
              <w:t xml:space="preserve"> 4</w:t>
            </w:r>
          </w:p>
        </w:tc>
        <w:tc>
          <w:tcPr>
            <w:tcW w:w="0" w:type="auto"/>
            <w:hideMark/>
          </w:tcPr>
          <w:p w14:paraId="582514F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Drought</w:t>
            </w:r>
          </w:p>
        </w:tc>
        <w:tc>
          <w:tcPr>
            <w:tcW w:w="0" w:type="auto"/>
            <w:hideMark/>
          </w:tcPr>
          <w:p w14:paraId="21A1606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2.0-2.5 t/ha</w:t>
            </w:r>
          </w:p>
        </w:tc>
        <w:tc>
          <w:tcPr>
            <w:tcW w:w="0" w:type="auto"/>
            <w:hideMark/>
          </w:tcPr>
          <w:p w14:paraId="46FC3D1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150,000</w:t>
            </w:r>
          </w:p>
        </w:tc>
      </w:tr>
      <w:tr w:rsidR="00CB436D" w:rsidRPr="000873B8" w14:paraId="66E13EA5" w14:textId="77777777" w:rsidTr="00EB5187">
        <w:tc>
          <w:tcPr>
            <w:tcW w:w="0" w:type="auto"/>
            <w:hideMark/>
          </w:tcPr>
          <w:p w14:paraId="756848B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Mustard</w:t>
            </w:r>
          </w:p>
        </w:tc>
        <w:tc>
          <w:tcPr>
            <w:tcW w:w="0" w:type="auto"/>
            <w:hideMark/>
          </w:tcPr>
          <w:p w14:paraId="3CBA9F9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RH 0749</w:t>
            </w:r>
          </w:p>
        </w:tc>
        <w:tc>
          <w:tcPr>
            <w:tcW w:w="0" w:type="auto"/>
            <w:hideMark/>
          </w:tcPr>
          <w:p w14:paraId="5E8A7C7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Heat</w:t>
            </w:r>
          </w:p>
        </w:tc>
        <w:tc>
          <w:tcPr>
            <w:tcW w:w="0" w:type="auto"/>
            <w:hideMark/>
          </w:tcPr>
          <w:p w14:paraId="01D4C13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2.2-2.5 t/ha</w:t>
            </w:r>
          </w:p>
        </w:tc>
        <w:tc>
          <w:tcPr>
            <w:tcW w:w="0" w:type="auto"/>
            <w:hideMark/>
          </w:tcPr>
          <w:p w14:paraId="5A04028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180,000</w:t>
            </w:r>
          </w:p>
        </w:tc>
      </w:tr>
    </w:tbl>
    <w:p w14:paraId="6A2D35BA" w14:textId="77777777" w:rsidR="00AD33E5"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8.3 Microclimate Modification</w:t>
      </w:r>
    </w:p>
    <w:p w14:paraId="63730F1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Agroforestry and windbreaks moderate temperature extremes and reduce evapotranspiration. Studies show that shelterbelts of </w:t>
      </w:r>
      <w:r w:rsidRPr="000873B8">
        <w:rPr>
          <w:rFonts w:ascii="Times New Roman" w:hAnsi="Times New Roman" w:cs="Times New Roman"/>
          <w:i/>
          <w:iCs/>
          <w:sz w:val="24"/>
          <w:szCs w:val="24"/>
        </w:rPr>
        <w:t xml:space="preserve">Casuarina </w:t>
      </w:r>
      <w:proofErr w:type="spellStart"/>
      <w:r w:rsidRPr="000873B8">
        <w:rPr>
          <w:rFonts w:ascii="Times New Roman" w:hAnsi="Times New Roman" w:cs="Times New Roman"/>
          <w:i/>
          <w:iCs/>
          <w:sz w:val="24"/>
          <w:szCs w:val="24"/>
        </w:rPr>
        <w:t>equisetifolia</w:t>
      </w:r>
      <w:proofErr w:type="spellEnd"/>
      <w:r w:rsidRPr="000873B8">
        <w:rPr>
          <w:rFonts w:ascii="Times New Roman" w:hAnsi="Times New Roman" w:cs="Times New Roman"/>
          <w:sz w:val="24"/>
          <w:szCs w:val="24"/>
        </w:rPr>
        <w:t xml:space="preserve"> reduce wind speed by 40-50% and increase crop yields by 15-20% in coastal areas [36].</w:t>
      </w:r>
    </w:p>
    <w:p w14:paraId="5016BC1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Figure 7: Microclimate Modification Through Agroforestry</w:t>
      </w:r>
      <w:r w:rsidRPr="000873B8">
        <w:rPr>
          <w:rFonts w:ascii="Times New Roman" w:hAnsi="Times New Roman" w:cs="Times New Roman"/>
          <w:sz w:val="24"/>
          <w:szCs w:val="24"/>
        </w:rPr>
        <w:t xml:space="preserve"> </w:t>
      </w:r>
    </w:p>
    <w:p w14:paraId="133BD824" w14:textId="77777777" w:rsidR="005768AA" w:rsidRPr="000873B8" w:rsidRDefault="005768AA" w:rsidP="005768AA">
      <w:pPr>
        <w:jc w:val="center"/>
        <w:rPr>
          <w:rFonts w:ascii="Times New Roman" w:hAnsi="Times New Roman" w:cs="Times New Roman"/>
          <w:sz w:val="24"/>
          <w:szCs w:val="24"/>
        </w:rPr>
      </w:pPr>
      <w:r w:rsidRPr="000873B8">
        <w:rPr>
          <w:noProof/>
          <w:lang w:val="en-IN" w:eastAsia="en-IN" w:bidi="hi-IN"/>
        </w:rPr>
        <w:lastRenderedPageBreak/>
        <w:drawing>
          <wp:inline distT="0" distB="0" distL="0" distR="0" wp14:anchorId="22447A88" wp14:editId="381D6DA0">
            <wp:extent cx="5066307" cy="3235183"/>
            <wp:effectExtent l="0" t="0" r="1270" b="3810"/>
            <wp:docPr id="8" name="Picture 8" descr="How can agroforestry support climate change mitigation in the Northeast? |  USDA Climate H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can agroforestry support climate change mitigation in the Northeast? |  USDA Climate Hub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635" cy="3239863"/>
                    </a:xfrm>
                    <a:prstGeom prst="rect">
                      <a:avLst/>
                    </a:prstGeom>
                    <a:noFill/>
                    <a:ln>
                      <a:noFill/>
                    </a:ln>
                  </pic:spPr>
                </pic:pic>
              </a:graphicData>
            </a:graphic>
          </wp:inline>
        </w:drawing>
      </w:r>
    </w:p>
    <w:p w14:paraId="79DF9F9C"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8.4 Water-Smart Practices</w:t>
      </w:r>
    </w:p>
    <w:p w14:paraId="12FB2F4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Alternate wetting and drying in rice reduces methane emissions by 30-40% while saving 25-30% irrigation water [37]. System of Rice Intensification (SRI) demonstrates 40-50% water savings with increased yields through enhanced root growth and tillering.</w:t>
      </w:r>
    </w:p>
    <w:p w14:paraId="49510677"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9. Biodiversity Conservation</w:t>
      </w:r>
    </w:p>
    <w:p w14:paraId="4471D700"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9.1 In-Situ Conservation</w:t>
      </w:r>
    </w:p>
    <w:p w14:paraId="5E51F7A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On-farm conservation of traditional varieties maintains genetic diversity crucial for future crop improvement. Community seed banks in Odisha conserve over 350 traditional rice varieties adapted to specific micro-environments [38]. Participatory plant breeding involves farmers in variety selection and improvement.</w:t>
      </w:r>
    </w:p>
    <w:p w14:paraId="0997E8DE"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9.2 Pollinator Enhancement</w:t>
      </w:r>
    </w:p>
    <w:p w14:paraId="23CD3C8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Creating pollinator habitat through hedgerows and insectary plants increases crop yields by 20-25% in cross-pollinated crops [39]. Native bee species prove more efficient than honeybees for many crops including sunflower and </w:t>
      </w:r>
      <w:proofErr w:type="spellStart"/>
      <w:r w:rsidRPr="000873B8">
        <w:rPr>
          <w:rFonts w:ascii="Times New Roman" w:hAnsi="Times New Roman" w:cs="Times New Roman"/>
          <w:sz w:val="24"/>
          <w:szCs w:val="24"/>
        </w:rPr>
        <w:t>niger</w:t>
      </w:r>
      <w:proofErr w:type="spellEnd"/>
      <w:r w:rsidRPr="000873B8">
        <w:rPr>
          <w:rFonts w:ascii="Times New Roman" w:hAnsi="Times New Roman" w:cs="Times New Roman"/>
          <w:sz w:val="24"/>
          <w:szCs w:val="24"/>
        </w:rPr>
        <w:t>.</w:t>
      </w:r>
    </w:p>
    <w:p w14:paraId="1397E382"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9.3 Soil Biodiversity</w:t>
      </w:r>
    </w:p>
    <w:p w14:paraId="44FFAB3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Earthworm populations indicate soil health status, with organic management supporting 3-4 times higher abundance than conventional systems [40]. Mycorrhizal associations enhance nutrient uptake and drought tolerance in 90% of crop species.</w:t>
      </w:r>
    </w:p>
    <w:p w14:paraId="1F59727F" w14:textId="77777777" w:rsidR="005768AA" w:rsidRPr="000873B8" w:rsidRDefault="005768AA" w:rsidP="005768AA">
      <w:pPr>
        <w:jc w:val="both"/>
        <w:rPr>
          <w:rFonts w:ascii="Times New Roman" w:hAnsi="Times New Roman" w:cs="Times New Roman"/>
          <w:sz w:val="24"/>
          <w:szCs w:val="24"/>
        </w:rPr>
      </w:pPr>
      <w:r w:rsidRPr="000873B8">
        <w:rPr>
          <w:rFonts w:ascii="Times New Roman" w:hAnsi="Times New Roman" w:cs="Times New Roman"/>
          <w:b/>
          <w:bCs/>
          <w:sz w:val="24"/>
          <w:szCs w:val="24"/>
        </w:rPr>
        <w:t>Figure 8: Pollinator-Friendly Farm Design</w:t>
      </w:r>
      <w:r w:rsidRPr="000873B8">
        <w:rPr>
          <w:rFonts w:ascii="Times New Roman" w:hAnsi="Times New Roman" w:cs="Times New Roman"/>
          <w:sz w:val="24"/>
          <w:szCs w:val="24"/>
        </w:rPr>
        <w:t xml:space="preserve"> </w:t>
      </w:r>
    </w:p>
    <w:p w14:paraId="458A271C" w14:textId="77777777" w:rsidR="005768AA" w:rsidRPr="000873B8" w:rsidRDefault="005768AA" w:rsidP="005768AA">
      <w:pPr>
        <w:jc w:val="center"/>
        <w:rPr>
          <w:rFonts w:ascii="Times New Roman" w:hAnsi="Times New Roman" w:cs="Times New Roman"/>
          <w:sz w:val="24"/>
          <w:szCs w:val="24"/>
        </w:rPr>
      </w:pPr>
      <w:r w:rsidRPr="000873B8">
        <w:rPr>
          <w:noProof/>
          <w:lang w:val="en-IN" w:eastAsia="en-IN" w:bidi="hi-IN"/>
        </w:rPr>
        <w:lastRenderedPageBreak/>
        <w:drawing>
          <wp:inline distT="0" distB="0" distL="0" distR="0" wp14:anchorId="5C037222" wp14:editId="0B3E687B">
            <wp:extent cx="3209925" cy="1419225"/>
            <wp:effectExtent l="0" t="0" r="9525" b="9525"/>
            <wp:docPr id="9" name="Picture 9" descr="Supporting Pollinators on Farmland | Xerces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pporting Pollinators on Farmland | Xerces Socie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1419225"/>
                    </a:xfrm>
                    <a:prstGeom prst="rect">
                      <a:avLst/>
                    </a:prstGeom>
                    <a:noFill/>
                    <a:ln>
                      <a:noFill/>
                    </a:ln>
                  </pic:spPr>
                </pic:pic>
              </a:graphicData>
            </a:graphic>
          </wp:inline>
        </w:drawing>
      </w:r>
    </w:p>
    <w:p w14:paraId="600B471E"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9.4 Functional Agrobiodiversity</w:t>
      </w:r>
    </w:p>
    <w:p w14:paraId="2BB443F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Strategic management of biodiversity for ecosystem services includes pest control, pollination, and nutrient cycling. Multi-story cropping systems in Kerala support 50-60 species providing various products and services [41].</w:t>
      </w:r>
    </w:p>
    <w:p w14:paraId="3D9FE3B9"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10. Economic Viability and Market Linkages</w:t>
      </w:r>
    </w:p>
    <w:p w14:paraId="39F00241"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10.1 Cost-Benefit Analysis</w:t>
      </w:r>
    </w:p>
    <w:p w14:paraId="47934D7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Transition to agroecological practices involves initial investment but demonstrates long-term economic benefits. Organic farming systems show 20-30% higher net returns after the conversion period due to premium prices and reduced input costs [42].</w:t>
      </w:r>
    </w:p>
    <w:p w14:paraId="791047A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Table 7: Economic Analysis of Agroecological Practices</w:t>
      </w:r>
    </w:p>
    <w:tbl>
      <w:tblPr>
        <w:tblStyle w:val="TableGrid"/>
        <w:tblW w:w="0" w:type="auto"/>
        <w:tblLook w:val="04A0" w:firstRow="1" w:lastRow="0" w:firstColumn="1" w:lastColumn="0" w:noHBand="0" w:noVBand="1"/>
      </w:tblPr>
      <w:tblGrid>
        <w:gridCol w:w="1919"/>
        <w:gridCol w:w="2092"/>
        <w:gridCol w:w="2151"/>
        <w:gridCol w:w="1470"/>
        <w:gridCol w:w="1944"/>
      </w:tblGrid>
      <w:tr w:rsidR="00CB436D" w:rsidRPr="000873B8" w14:paraId="5AFF2444" w14:textId="77777777" w:rsidTr="005768AA">
        <w:tc>
          <w:tcPr>
            <w:tcW w:w="0" w:type="auto"/>
            <w:hideMark/>
          </w:tcPr>
          <w:p w14:paraId="009A38C0"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Practice</w:t>
            </w:r>
          </w:p>
        </w:tc>
        <w:tc>
          <w:tcPr>
            <w:tcW w:w="0" w:type="auto"/>
            <w:hideMark/>
          </w:tcPr>
          <w:p w14:paraId="377FD81F"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Initial Investment (Rs/ha)</w:t>
            </w:r>
          </w:p>
        </w:tc>
        <w:tc>
          <w:tcPr>
            <w:tcW w:w="0" w:type="auto"/>
            <w:hideMark/>
          </w:tcPr>
          <w:p w14:paraId="3E92E3D9"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Annual Cost Reduction (%)</w:t>
            </w:r>
          </w:p>
        </w:tc>
        <w:tc>
          <w:tcPr>
            <w:tcW w:w="0" w:type="auto"/>
            <w:hideMark/>
          </w:tcPr>
          <w:p w14:paraId="243BBED2"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Yield Impact (%)</w:t>
            </w:r>
          </w:p>
        </w:tc>
        <w:tc>
          <w:tcPr>
            <w:tcW w:w="0" w:type="auto"/>
            <w:hideMark/>
          </w:tcPr>
          <w:p w14:paraId="2314409A"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Net Returns Increase (%)</w:t>
            </w:r>
          </w:p>
        </w:tc>
      </w:tr>
      <w:tr w:rsidR="00CB436D" w:rsidRPr="000873B8" w14:paraId="4A137D42" w14:textId="77777777" w:rsidTr="005768AA">
        <w:tc>
          <w:tcPr>
            <w:tcW w:w="0" w:type="auto"/>
            <w:hideMark/>
          </w:tcPr>
          <w:p w14:paraId="091F3A1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Organic Farming</w:t>
            </w:r>
          </w:p>
        </w:tc>
        <w:tc>
          <w:tcPr>
            <w:tcW w:w="0" w:type="auto"/>
            <w:hideMark/>
          </w:tcPr>
          <w:p w14:paraId="0E055C9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15,000-20,000</w:t>
            </w:r>
          </w:p>
        </w:tc>
        <w:tc>
          <w:tcPr>
            <w:tcW w:w="0" w:type="auto"/>
            <w:hideMark/>
          </w:tcPr>
          <w:p w14:paraId="7EBD5EC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30-40</w:t>
            </w:r>
          </w:p>
        </w:tc>
        <w:tc>
          <w:tcPr>
            <w:tcW w:w="0" w:type="auto"/>
            <w:hideMark/>
          </w:tcPr>
          <w:p w14:paraId="41E9B6E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-10 to +5</w:t>
            </w:r>
          </w:p>
        </w:tc>
        <w:tc>
          <w:tcPr>
            <w:tcW w:w="0" w:type="auto"/>
            <w:hideMark/>
          </w:tcPr>
          <w:p w14:paraId="3E1BC2F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25-35</w:t>
            </w:r>
          </w:p>
        </w:tc>
      </w:tr>
      <w:tr w:rsidR="00CB436D" w:rsidRPr="000873B8" w14:paraId="4B7CC332" w14:textId="77777777" w:rsidTr="005768AA">
        <w:tc>
          <w:tcPr>
            <w:tcW w:w="0" w:type="auto"/>
            <w:hideMark/>
          </w:tcPr>
          <w:p w14:paraId="68B92CA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Zero Tillage</w:t>
            </w:r>
          </w:p>
        </w:tc>
        <w:tc>
          <w:tcPr>
            <w:tcW w:w="0" w:type="auto"/>
            <w:hideMark/>
          </w:tcPr>
          <w:p w14:paraId="22F3278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5,000-8,000</w:t>
            </w:r>
          </w:p>
        </w:tc>
        <w:tc>
          <w:tcPr>
            <w:tcW w:w="0" w:type="auto"/>
            <w:hideMark/>
          </w:tcPr>
          <w:p w14:paraId="653F977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20-25</w:t>
            </w:r>
          </w:p>
        </w:tc>
        <w:tc>
          <w:tcPr>
            <w:tcW w:w="0" w:type="auto"/>
            <w:hideMark/>
          </w:tcPr>
          <w:p w14:paraId="53A1B57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0 to +5</w:t>
            </w:r>
          </w:p>
        </w:tc>
        <w:tc>
          <w:tcPr>
            <w:tcW w:w="0" w:type="auto"/>
            <w:hideMark/>
          </w:tcPr>
          <w:p w14:paraId="7DBCB51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15-20</w:t>
            </w:r>
          </w:p>
        </w:tc>
      </w:tr>
      <w:tr w:rsidR="00CB436D" w:rsidRPr="000873B8" w14:paraId="5C862961" w14:textId="77777777" w:rsidTr="005768AA">
        <w:tc>
          <w:tcPr>
            <w:tcW w:w="0" w:type="auto"/>
            <w:hideMark/>
          </w:tcPr>
          <w:p w14:paraId="0C592EB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IPM Adoption</w:t>
            </w:r>
          </w:p>
        </w:tc>
        <w:tc>
          <w:tcPr>
            <w:tcW w:w="0" w:type="auto"/>
            <w:hideMark/>
          </w:tcPr>
          <w:p w14:paraId="54618B8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3,000-5,000</w:t>
            </w:r>
          </w:p>
        </w:tc>
        <w:tc>
          <w:tcPr>
            <w:tcW w:w="0" w:type="auto"/>
            <w:hideMark/>
          </w:tcPr>
          <w:p w14:paraId="3D338A1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40-50</w:t>
            </w:r>
          </w:p>
        </w:tc>
        <w:tc>
          <w:tcPr>
            <w:tcW w:w="0" w:type="auto"/>
            <w:hideMark/>
          </w:tcPr>
          <w:p w14:paraId="7D45ADC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 to +10</w:t>
            </w:r>
          </w:p>
        </w:tc>
        <w:tc>
          <w:tcPr>
            <w:tcW w:w="0" w:type="auto"/>
            <w:hideMark/>
          </w:tcPr>
          <w:p w14:paraId="7529B80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20-30</w:t>
            </w:r>
          </w:p>
        </w:tc>
      </w:tr>
      <w:tr w:rsidR="00CB436D" w:rsidRPr="000873B8" w14:paraId="38A25F4A" w14:textId="77777777" w:rsidTr="005768AA">
        <w:tc>
          <w:tcPr>
            <w:tcW w:w="0" w:type="auto"/>
            <w:hideMark/>
          </w:tcPr>
          <w:p w14:paraId="21EE4EA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Crop Diversification</w:t>
            </w:r>
          </w:p>
        </w:tc>
        <w:tc>
          <w:tcPr>
            <w:tcW w:w="0" w:type="auto"/>
            <w:hideMark/>
          </w:tcPr>
          <w:p w14:paraId="4E4CED8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8,000-12,000</w:t>
            </w:r>
          </w:p>
        </w:tc>
        <w:tc>
          <w:tcPr>
            <w:tcW w:w="0" w:type="auto"/>
            <w:hideMark/>
          </w:tcPr>
          <w:p w14:paraId="78424EF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15-20</w:t>
            </w:r>
          </w:p>
        </w:tc>
        <w:tc>
          <w:tcPr>
            <w:tcW w:w="0" w:type="auto"/>
            <w:hideMark/>
          </w:tcPr>
          <w:p w14:paraId="22DBD5D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+15 to +25</w:t>
            </w:r>
          </w:p>
        </w:tc>
        <w:tc>
          <w:tcPr>
            <w:tcW w:w="0" w:type="auto"/>
            <w:hideMark/>
          </w:tcPr>
          <w:p w14:paraId="66A73B7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30-40</w:t>
            </w:r>
          </w:p>
        </w:tc>
      </w:tr>
      <w:tr w:rsidR="00CB436D" w:rsidRPr="000873B8" w14:paraId="33D56E29" w14:textId="77777777" w:rsidTr="005768AA">
        <w:tc>
          <w:tcPr>
            <w:tcW w:w="0" w:type="auto"/>
            <w:hideMark/>
          </w:tcPr>
          <w:p w14:paraId="482E5FC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Water Conservation</w:t>
            </w:r>
          </w:p>
        </w:tc>
        <w:tc>
          <w:tcPr>
            <w:tcW w:w="0" w:type="auto"/>
            <w:hideMark/>
          </w:tcPr>
          <w:p w14:paraId="361DB44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20,000-30,000</w:t>
            </w:r>
          </w:p>
        </w:tc>
        <w:tc>
          <w:tcPr>
            <w:tcW w:w="0" w:type="auto"/>
            <w:hideMark/>
          </w:tcPr>
          <w:p w14:paraId="2C99F73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25-30</w:t>
            </w:r>
          </w:p>
        </w:tc>
        <w:tc>
          <w:tcPr>
            <w:tcW w:w="0" w:type="auto"/>
            <w:hideMark/>
          </w:tcPr>
          <w:p w14:paraId="29ADB04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+10 to +20</w:t>
            </w:r>
          </w:p>
        </w:tc>
        <w:tc>
          <w:tcPr>
            <w:tcW w:w="0" w:type="auto"/>
            <w:hideMark/>
          </w:tcPr>
          <w:p w14:paraId="07506F9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35-45</w:t>
            </w:r>
          </w:p>
        </w:tc>
      </w:tr>
      <w:tr w:rsidR="00CB436D" w:rsidRPr="000873B8" w14:paraId="27F5B9B3" w14:textId="77777777" w:rsidTr="005768AA">
        <w:tc>
          <w:tcPr>
            <w:tcW w:w="0" w:type="auto"/>
            <w:hideMark/>
          </w:tcPr>
          <w:p w14:paraId="1DEFFC3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Agroforestry</w:t>
            </w:r>
          </w:p>
        </w:tc>
        <w:tc>
          <w:tcPr>
            <w:tcW w:w="0" w:type="auto"/>
            <w:hideMark/>
          </w:tcPr>
          <w:p w14:paraId="1AAC150A"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25,000-35,000</w:t>
            </w:r>
          </w:p>
        </w:tc>
        <w:tc>
          <w:tcPr>
            <w:tcW w:w="0" w:type="auto"/>
            <w:hideMark/>
          </w:tcPr>
          <w:p w14:paraId="56AFDD8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10-15</w:t>
            </w:r>
          </w:p>
        </w:tc>
        <w:tc>
          <w:tcPr>
            <w:tcW w:w="0" w:type="auto"/>
            <w:hideMark/>
          </w:tcPr>
          <w:p w14:paraId="33D3378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+20 to +30</w:t>
            </w:r>
          </w:p>
        </w:tc>
        <w:tc>
          <w:tcPr>
            <w:tcW w:w="0" w:type="auto"/>
            <w:hideMark/>
          </w:tcPr>
          <w:p w14:paraId="4906E11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40-50</w:t>
            </w:r>
          </w:p>
        </w:tc>
      </w:tr>
      <w:tr w:rsidR="00CB436D" w:rsidRPr="000873B8" w14:paraId="7C4C2A3F" w14:textId="77777777" w:rsidTr="005768AA">
        <w:tc>
          <w:tcPr>
            <w:tcW w:w="0" w:type="auto"/>
            <w:hideMark/>
          </w:tcPr>
          <w:p w14:paraId="18E1BE0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Integrated Farming</w:t>
            </w:r>
          </w:p>
        </w:tc>
        <w:tc>
          <w:tcPr>
            <w:tcW w:w="0" w:type="auto"/>
            <w:hideMark/>
          </w:tcPr>
          <w:p w14:paraId="2744D12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30,000-40,000</w:t>
            </w:r>
          </w:p>
        </w:tc>
        <w:tc>
          <w:tcPr>
            <w:tcW w:w="0" w:type="auto"/>
            <w:hideMark/>
          </w:tcPr>
          <w:p w14:paraId="1618127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35-45</w:t>
            </w:r>
          </w:p>
        </w:tc>
        <w:tc>
          <w:tcPr>
            <w:tcW w:w="0" w:type="auto"/>
            <w:hideMark/>
          </w:tcPr>
          <w:p w14:paraId="3488540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+30 to +40</w:t>
            </w:r>
          </w:p>
        </w:tc>
        <w:tc>
          <w:tcPr>
            <w:tcW w:w="0" w:type="auto"/>
            <w:hideMark/>
          </w:tcPr>
          <w:p w14:paraId="6D0BE48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50-60</w:t>
            </w:r>
          </w:p>
        </w:tc>
      </w:tr>
    </w:tbl>
    <w:p w14:paraId="10FDAD19" w14:textId="77777777" w:rsidR="00AD33E5"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10.2 Value Chain Development</w:t>
      </w:r>
    </w:p>
    <w:p w14:paraId="6EE6557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Farmer producer organizations facilitate collective marketing and value addition. Processing facilities for millets and pulses increase farmer income by 40-50% through direct market linkages [43]. Certification systems for organic and ecological products access premium markets.</w:t>
      </w:r>
    </w:p>
    <w:p w14:paraId="1568ED8E"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10.3 Ecosystem Service Payments</w:t>
      </w:r>
    </w:p>
    <w:p w14:paraId="756E0CD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Carbon credits from conservation agriculture practices provide additional income streams. Soil carbon sequestration of 0.5-1.0 t C/ha/year translates to potential earnings of Rs. 2,000-4,000/ha [44]. Water conservation credits and biodiversity offsets offer emerging opportunities.</w:t>
      </w:r>
    </w:p>
    <w:p w14:paraId="19F087E7"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lastRenderedPageBreak/>
        <w:t>10.4 Risk Management</w:t>
      </w:r>
    </w:p>
    <w:p w14:paraId="3B9A681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Crop diversification and integrated farming systems reduce income volatility by 30-40% compared to monocultures [45]. Weather-based crop insurance schemes aligned with sustainable practices encourage adoption while providing safety nets.</w:t>
      </w:r>
    </w:p>
    <w:p w14:paraId="2D97CC3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b/>
          <w:bCs/>
          <w:sz w:val="24"/>
          <w:szCs w:val="24"/>
        </w:rPr>
        <w:t>Figure 9: Income Stability in Diversified Systems</w:t>
      </w:r>
      <w:r w:rsidRPr="000873B8">
        <w:rPr>
          <w:rFonts w:ascii="Times New Roman" w:hAnsi="Times New Roman" w:cs="Times New Roman"/>
          <w:sz w:val="24"/>
          <w:szCs w:val="24"/>
        </w:rPr>
        <w:t xml:space="preserve"> </w:t>
      </w:r>
    </w:p>
    <w:p w14:paraId="3381301F" w14:textId="77777777" w:rsidR="005768AA" w:rsidRPr="000873B8" w:rsidRDefault="005768AA" w:rsidP="00CB436D">
      <w:pPr>
        <w:jc w:val="both"/>
        <w:rPr>
          <w:rFonts w:ascii="Times New Roman" w:hAnsi="Times New Roman" w:cs="Times New Roman"/>
          <w:sz w:val="24"/>
          <w:szCs w:val="24"/>
        </w:rPr>
      </w:pPr>
      <w:r w:rsidRPr="000873B8">
        <w:rPr>
          <w:noProof/>
          <w:lang w:val="en-IN" w:eastAsia="en-IN" w:bidi="hi-IN"/>
        </w:rPr>
        <w:drawing>
          <wp:inline distT="0" distB="0" distL="0" distR="0" wp14:anchorId="743B0043" wp14:editId="1685F26B">
            <wp:extent cx="5943600" cy="2971800"/>
            <wp:effectExtent l="0" t="0" r="0" b="0"/>
            <wp:docPr id="14" name="Picture 14" descr="Diversification Strategy : Meaning, Advantages, Disadvantages and Risk  Factors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versification Strategy : Meaning, Advantages, Disadvantages and Risk  Factors - GeeksforGee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E1FD133"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11. Policy Framework and Institutional Support</w:t>
      </w:r>
    </w:p>
    <w:p w14:paraId="25A99DB8"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11.1 Government Initiatives</w:t>
      </w:r>
    </w:p>
    <w:p w14:paraId="77146FF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National programs promoting sustainable agriculture require strengthening implementation mechanisms. </w:t>
      </w:r>
      <w:proofErr w:type="spellStart"/>
      <w:r w:rsidRPr="000873B8">
        <w:rPr>
          <w:rFonts w:ascii="Times New Roman" w:hAnsi="Times New Roman" w:cs="Times New Roman"/>
          <w:sz w:val="24"/>
          <w:szCs w:val="24"/>
        </w:rPr>
        <w:t>Paramparagat</w:t>
      </w:r>
      <w:proofErr w:type="spellEnd"/>
      <w:r w:rsidRPr="000873B8">
        <w:rPr>
          <w:rFonts w:ascii="Times New Roman" w:hAnsi="Times New Roman" w:cs="Times New Roman"/>
          <w:sz w:val="24"/>
          <w:szCs w:val="24"/>
        </w:rPr>
        <w:t xml:space="preserve"> Krishi Vikas Yojana supports organic farming clusters, while MGNREGA convergence enables creation of water harvesting structures [46]. Policy coherence across agriculture, water, and environment sectors remains crucial.</w:t>
      </w:r>
    </w:p>
    <w:p w14:paraId="66191613"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11.2 Extension System Reform</w:t>
      </w:r>
    </w:p>
    <w:p w14:paraId="6B70B6B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Participatory technology development and farmer-to-farmer extension prove more effective than top-down approaches. Farmer field schools demonstrate 60-70% adoption rates for agroecological practices compared to 20-30% through conventional extension [47].</w:t>
      </w:r>
    </w:p>
    <w:p w14:paraId="5E1F3059"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11.3 Research Priorities</w:t>
      </w:r>
    </w:p>
    <w:p w14:paraId="6D8EAF7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Investment in agroecological research lags behind conventional agriculture. Priority areas include understanding soil-plant-microbe interactions, developing location-specific practices, and quantifying ecosystem services [48]. Transdisciplinary research involving farmers, scientists, and social scientists accelerates innovation.</w:t>
      </w:r>
    </w:p>
    <w:p w14:paraId="15EDEF47"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11.4 Market Reforms</w:t>
      </w:r>
    </w:p>
    <w:p w14:paraId="64012D4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lastRenderedPageBreak/>
        <w:t>Procurement policies favoring crop diversity and sustainable production incentivize adoption. Minimum support prices for millets and pulses encourage diversification from rice-wheat systems [49]. Public procurement for nutrition programs creates assured markets for diverse crops.</w:t>
      </w:r>
    </w:p>
    <w:p w14:paraId="1C326591"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12. Future Perspectives and Research Directions</w:t>
      </w:r>
    </w:p>
    <w:p w14:paraId="546F39AD"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12.1 Technological Integration</w:t>
      </w:r>
    </w:p>
    <w:p w14:paraId="4A047F0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Digital technologies enhance precision in agroecological management. Remote sensing for pest monitoring, mobile apps for knowledge dissemination, and blockchain for supply chain transparency offer new opportunities [50]. Integration must ensure accessibility for smallholder farmers.</w:t>
      </w:r>
    </w:p>
    <w:p w14:paraId="298B3ACB"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12.2 Climate-Smart Innovation</w:t>
      </w:r>
    </w:p>
    <w:p w14:paraId="5D5B372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Development of climate-resilient agroecological practices requires continued research. Breeding for nutritional quality alongside stress tolerance, optimizing crop combinations for changing climates, and enhancing carbon sequestration potential represent priority areas [51].</w:t>
      </w:r>
    </w:p>
    <w:p w14:paraId="0F5F3F2A"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12.3 Scaling Strategies</w:t>
      </w:r>
    </w:p>
    <w:p w14:paraId="5406F4F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Moving from successful pilots to landscape-level transformation requires systematic approaches. Territorial development models linking sustainable production with local food systems demonstrate promise [52]. Multi-stakeholder platforms facilitate coordinated action.</w:t>
      </w:r>
    </w:p>
    <w:p w14:paraId="29F179BC"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12.4 Knowledge Systems Integration</w:t>
      </w:r>
    </w:p>
    <w:p w14:paraId="2FD7E36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Documenting and validating traditional ecological knowledge enriches scientific understanding. Participatory research methodologies ensure farmer innovations receive recognition and refinement [53]. Educational curricula incorporating agroecological principles prepare future practitioners.</w:t>
      </w:r>
    </w:p>
    <w:p w14:paraId="083B0863"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13. Conclusion</w:t>
      </w:r>
    </w:p>
    <w:p w14:paraId="5BBD7303" w14:textId="4A87E733"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Agroecological approaches offer viable pathways for transforming Indian agriculture towards sustainability while addressing productivity, profitability, and environmental challenges. The evidence synthesized demonstrates multiple benefits including yield stability, resource conservation, biodiversity enhancement, and climate resilience. Successful implementation requires integrated strategies encompassing technological innovation, institutional support, market development, and policy coherence. The transition demands paradigm shifts from input-intensive to knowledge-intensive agriculture, recognizing farmers as innovators rather than mere adopters. Future research must focus on location-specific optimization, ecosystem service quantification, and scaling mechanisms. The urgency of agricultural transformation in the face of climate change and resource constraints makes agroecological transition not just desirable but imperative for ensuring food security and ecological integrity for future generations.</w:t>
      </w:r>
    </w:p>
    <w:p w14:paraId="5ABD7E58" w14:textId="32A4E89C" w:rsidR="00203600" w:rsidRPr="000873B8" w:rsidRDefault="00203600" w:rsidP="00CB436D">
      <w:pPr>
        <w:jc w:val="both"/>
        <w:rPr>
          <w:rFonts w:ascii="Times New Roman" w:hAnsi="Times New Roman" w:cs="Times New Roman"/>
          <w:sz w:val="24"/>
          <w:szCs w:val="24"/>
        </w:rPr>
      </w:pPr>
    </w:p>
    <w:p w14:paraId="7B7C7F10" w14:textId="72237335" w:rsidR="00203600" w:rsidRPr="000873B8" w:rsidRDefault="00203600" w:rsidP="00CB436D">
      <w:pPr>
        <w:jc w:val="both"/>
        <w:rPr>
          <w:rFonts w:ascii="Times New Roman" w:hAnsi="Times New Roman" w:cs="Times New Roman"/>
          <w:sz w:val="24"/>
          <w:szCs w:val="24"/>
        </w:rPr>
      </w:pPr>
    </w:p>
    <w:p w14:paraId="23D4B6E9" w14:textId="77777777" w:rsidR="00203600" w:rsidRPr="000873B8" w:rsidRDefault="00203600" w:rsidP="00203600">
      <w:pPr>
        <w:rPr>
          <w:rFonts w:ascii="Calibri" w:eastAsia="Calibri" w:hAnsi="Calibri" w:cs="Times New Roman"/>
          <w:kern w:val="2"/>
        </w:rPr>
      </w:pPr>
      <w:bookmarkStart w:id="1" w:name="_Hlk192511329"/>
      <w:bookmarkStart w:id="2" w:name="_Hlk187485061"/>
      <w:bookmarkStart w:id="3" w:name="_Hlk194655630"/>
      <w:bookmarkStart w:id="4" w:name="_Hlk209008097"/>
    </w:p>
    <w:p w14:paraId="3279BD8C" w14:textId="77777777" w:rsidR="00203600" w:rsidRPr="000873B8" w:rsidRDefault="00203600" w:rsidP="00203600">
      <w:pPr>
        <w:rPr>
          <w:rFonts w:ascii="Calibri" w:eastAsia="Calibri" w:hAnsi="Calibri" w:cs="Times New Roman"/>
          <w:b/>
          <w:kern w:val="2"/>
        </w:rPr>
      </w:pPr>
      <w:bookmarkStart w:id="5" w:name="_Hlk204003461"/>
      <w:bookmarkStart w:id="6" w:name="_Hlk209007716"/>
      <w:bookmarkEnd w:id="1"/>
      <w:bookmarkEnd w:id="2"/>
      <w:bookmarkEnd w:id="3"/>
      <w:r w:rsidRPr="000873B8">
        <w:rPr>
          <w:rFonts w:ascii="Calibri" w:eastAsia="Calibri" w:hAnsi="Calibri" w:cs="Times New Roman"/>
          <w:b/>
          <w:kern w:val="2"/>
        </w:rPr>
        <w:t>Disclaimer (Artificial intelligence)</w:t>
      </w:r>
    </w:p>
    <w:p w14:paraId="0369607B" w14:textId="77777777" w:rsidR="00203600" w:rsidRPr="000873B8" w:rsidRDefault="00203600" w:rsidP="00203600">
      <w:pPr>
        <w:rPr>
          <w:rFonts w:ascii="Calibri" w:eastAsia="Calibri" w:hAnsi="Calibri" w:cs="Times New Roman"/>
          <w:kern w:val="2"/>
        </w:rPr>
      </w:pPr>
      <w:r w:rsidRPr="000873B8">
        <w:rPr>
          <w:rFonts w:ascii="Calibri" w:eastAsia="Calibri" w:hAnsi="Calibri" w:cs="Times New Roman"/>
          <w:kern w:val="2"/>
        </w:rPr>
        <w:t>Option 1:</w:t>
      </w:r>
    </w:p>
    <w:p w14:paraId="7CA70022" w14:textId="77777777" w:rsidR="00203600" w:rsidRPr="000873B8" w:rsidRDefault="00203600" w:rsidP="00203600">
      <w:pPr>
        <w:rPr>
          <w:rFonts w:ascii="Calibri" w:eastAsia="Calibri" w:hAnsi="Calibri" w:cs="Times New Roman"/>
          <w:kern w:val="2"/>
        </w:rPr>
      </w:pPr>
      <w:r w:rsidRPr="000873B8">
        <w:rPr>
          <w:rFonts w:ascii="Calibri" w:eastAsia="Calibri" w:hAnsi="Calibri" w:cs="Times New Roman"/>
          <w:kern w:val="2"/>
        </w:rPr>
        <w:t>Author(s) hereby declare that NO generative AI technologies such as Large Language Models (</w:t>
      </w:r>
      <w:proofErr w:type="spellStart"/>
      <w:r w:rsidRPr="000873B8">
        <w:rPr>
          <w:rFonts w:ascii="Calibri" w:eastAsia="Calibri" w:hAnsi="Calibri" w:cs="Times New Roman"/>
          <w:kern w:val="2"/>
        </w:rPr>
        <w:t>ChatGPT</w:t>
      </w:r>
      <w:proofErr w:type="spellEnd"/>
      <w:r w:rsidRPr="000873B8">
        <w:rPr>
          <w:rFonts w:ascii="Calibri" w:eastAsia="Calibri" w:hAnsi="Calibri" w:cs="Times New Roman"/>
          <w:kern w:val="2"/>
        </w:rPr>
        <w:t xml:space="preserve">, COPILOT, etc.) and text-to-image generators have been used during the writing or editing of this manuscript. </w:t>
      </w:r>
    </w:p>
    <w:p w14:paraId="2DBD140F" w14:textId="77777777" w:rsidR="00203600" w:rsidRPr="000873B8" w:rsidRDefault="00203600" w:rsidP="00203600">
      <w:pPr>
        <w:rPr>
          <w:rFonts w:ascii="Calibri" w:eastAsia="Calibri" w:hAnsi="Calibri" w:cs="Times New Roman"/>
          <w:kern w:val="2"/>
        </w:rPr>
      </w:pPr>
      <w:r w:rsidRPr="000873B8">
        <w:rPr>
          <w:rFonts w:ascii="Calibri" w:eastAsia="Calibri" w:hAnsi="Calibri" w:cs="Times New Roman"/>
          <w:kern w:val="2"/>
        </w:rPr>
        <w:t xml:space="preserve">Option 2: </w:t>
      </w:r>
    </w:p>
    <w:p w14:paraId="49B75918" w14:textId="77777777" w:rsidR="00203600" w:rsidRPr="000873B8" w:rsidRDefault="00203600" w:rsidP="00203600">
      <w:pPr>
        <w:rPr>
          <w:rFonts w:ascii="Calibri" w:eastAsia="Calibri" w:hAnsi="Calibri" w:cs="Times New Roman"/>
          <w:kern w:val="2"/>
        </w:rPr>
      </w:pPr>
      <w:r w:rsidRPr="000873B8">
        <w:rPr>
          <w:rFonts w:ascii="Calibri" w:eastAsia="Calibri" w:hAnsi="Calibri" w:cs="Times New Roman"/>
          <w:kern w:val="2"/>
        </w:rPr>
        <w:t xml:space="preserve">Author(s) hereby declare that </w:t>
      </w:r>
      <w:proofErr w:type="spellStart"/>
      <w:r w:rsidRPr="000873B8">
        <w:rPr>
          <w:rFonts w:ascii="Calibri" w:eastAsia="Calibri" w:hAnsi="Calibri" w:cs="Times New Roman"/>
          <w:kern w:val="2"/>
        </w:rPr>
        <w:t>generativ</w:t>
      </w:r>
      <w:proofErr w:type="spellEnd"/>
      <w:r w:rsidRPr="000873B8">
        <w:rPr>
          <w:rFonts w:ascii="Calibri" w:eastAsia="Calibri" w:hAnsi="Calibri" w:cs="Times New Roman"/>
          <w:kern w:val="2"/>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E1B8CD" w14:textId="77777777" w:rsidR="00203600" w:rsidRPr="000873B8" w:rsidRDefault="00203600" w:rsidP="00203600">
      <w:pPr>
        <w:rPr>
          <w:rFonts w:ascii="Calibri" w:eastAsia="Calibri" w:hAnsi="Calibri" w:cs="Times New Roman"/>
          <w:kern w:val="2"/>
        </w:rPr>
      </w:pPr>
      <w:r w:rsidRPr="000873B8">
        <w:rPr>
          <w:rFonts w:ascii="Calibri" w:eastAsia="Calibri" w:hAnsi="Calibri" w:cs="Times New Roman"/>
          <w:kern w:val="2"/>
        </w:rPr>
        <w:t>Details of the AI usage are given below:</w:t>
      </w:r>
    </w:p>
    <w:p w14:paraId="037B441A" w14:textId="77777777" w:rsidR="00203600" w:rsidRPr="000873B8" w:rsidRDefault="00203600" w:rsidP="00203600">
      <w:pPr>
        <w:rPr>
          <w:rFonts w:ascii="Calibri" w:eastAsia="Calibri" w:hAnsi="Calibri" w:cs="Times New Roman"/>
          <w:kern w:val="2"/>
        </w:rPr>
      </w:pPr>
      <w:r w:rsidRPr="000873B8">
        <w:rPr>
          <w:rFonts w:ascii="Calibri" w:eastAsia="Calibri" w:hAnsi="Calibri" w:cs="Times New Roman"/>
          <w:kern w:val="2"/>
        </w:rPr>
        <w:t>1.</w:t>
      </w:r>
    </w:p>
    <w:p w14:paraId="2AF052B1" w14:textId="77777777" w:rsidR="00203600" w:rsidRPr="000873B8" w:rsidRDefault="00203600" w:rsidP="00203600">
      <w:pPr>
        <w:rPr>
          <w:rFonts w:ascii="Calibri" w:eastAsia="Calibri" w:hAnsi="Calibri" w:cs="Times New Roman"/>
          <w:kern w:val="2"/>
        </w:rPr>
      </w:pPr>
      <w:r w:rsidRPr="000873B8">
        <w:rPr>
          <w:rFonts w:ascii="Calibri" w:eastAsia="Calibri" w:hAnsi="Calibri" w:cs="Times New Roman"/>
          <w:kern w:val="2"/>
        </w:rPr>
        <w:t>2.</w:t>
      </w:r>
    </w:p>
    <w:p w14:paraId="60A12172" w14:textId="77777777" w:rsidR="00203600" w:rsidRPr="000873B8" w:rsidRDefault="00203600" w:rsidP="00203600">
      <w:pPr>
        <w:rPr>
          <w:rFonts w:ascii="Calibri" w:eastAsia="Calibri" w:hAnsi="Calibri" w:cs="Times New Roman"/>
          <w:kern w:val="2"/>
        </w:rPr>
      </w:pPr>
      <w:r w:rsidRPr="000873B8">
        <w:rPr>
          <w:rFonts w:ascii="Calibri" w:eastAsia="Calibri" w:hAnsi="Calibri" w:cs="Times New Roman"/>
          <w:kern w:val="2"/>
        </w:rPr>
        <w:t>3.</w:t>
      </w:r>
      <w:bookmarkEnd w:id="5"/>
    </w:p>
    <w:bookmarkEnd w:id="4"/>
    <w:bookmarkEnd w:id="6"/>
    <w:p w14:paraId="5507B5C2" w14:textId="77777777" w:rsidR="00203600" w:rsidRPr="000873B8" w:rsidRDefault="00203600" w:rsidP="00CB436D">
      <w:pPr>
        <w:jc w:val="both"/>
        <w:rPr>
          <w:rFonts w:ascii="Times New Roman" w:hAnsi="Times New Roman" w:cs="Times New Roman"/>
          <w:sz w:val="24"/>
          <w:szCs w:val="24"/>
        </w:rPr>
      </w:pPr>
    </w:p>
    <w:p w14:paraId="0DF22B03" w14:textId="77777777" w:rsidR="00CB436D" w:rsidRPr="000873B8" w:rsidRDefault="00CB436D" w:rsidP="00CB436D">
      <w:pPr>
        <w:jc w:val="both"/>
        <w:rPr>
          <w:rFonts w:ascii="Times New Roman" w:hAnsi="Times New Roman" w:cs="Times New Roman"/>
          <w:b/>
          <w:bCs/>
          <w:sz w:val="24"/>
          <w:szCs w:val="24"/>
        </w:rPr>
      </w:pPr>
      <w:r w:rsidRPr="000873B8">
        <w:rPr>
          <w:rFonts w:ascii="Times New Roman" w:hAnsi="Times New Roman" w:cs="Times New Roman"/>
          <w:b/>
          <w:bCs/>
          <w:sz w:val="24"/>
          <w:szCs w:val="24"/>
        </w:rPr>
        <w:t>References</w:t>
      </w:r>
    </w:p>
    <w:p w14:paraId="1E68BB4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[1] Altieri, M. A., &amp; Nicholls, C. I. (2020). Agroecology and the reconstruction of a post-COVID-19 agriculture. </w:t>
      </w:r>
      <w:r w:rsidRPr="000873B8">
        <w:rPr>
          <w:rFonts w:ascii="Times New Roman" w:hAnsi="Times New Roman" w:cs="Times New Roman"/>
          <w:i/>
          <w:iCs/>
          <w:sz w:val="24"/>
          <w:szCs w:val="24"/>
        </w:rPr>
        <w:t>The Journal of Peasant Studies</w:t>
      </w:r>
      <w:r w:rsidRPr="000873B8">
        <w:rPr>
          <w:rFonts w:ascii="Times New Roman" w:hAnsi="Times New Roman" w:cs="Times New Roman"/>
          <w:sz w:val="24"/>
          <w:szCs w:val="24"/>
        </w:rPr>
        <w:t>, 47(5), 881-898.</w:t>
      </w:r>
    </w:p>
    <w:p w14:paraId="32E64F1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[2] Singh, R. B. (2021). Environmental consequences of agricultural development: A case study from the Green Revolution state of Haryana, India. </w:t>
      </w:r>
      <w:r w:rsidRPr="000873B8">
        <w:rPr>
          <w:rFonts w:ascii="Times New Roman" w:hAnsi="Times New Roman" w:cs="Times New Roman"/>
          <w:i/>
          <w:iCs/>
          <w:sz w:val="24"/>
          <w:szCs w:val="24"/>
        </w:rPr>
        <w:t>Agriculture, Ecosystems &amp; Environment</w:t>
      </w:r>
      <w:r w:rsidRPr="000873B8">
        <w:rPr>
          <w:rFonts w:ascii="Times New Roman" w:hAnsi="Times New Roman" w:cs="Times New Roman"/>
          <w:sz w:val="24"/>
          <w:szCs w:val="24"/>
        </w:rPr>
        <w:t>, 82(1-3), 97-103.</w:t>
      </w:r>
    </w:p>
    <w:p w14:paraId="48740DB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[3] </w:t>
      </w:r>
      <w:proofErr w:type="spellStart"/>
      <w:r w:rsidRPr="000873B8">
        <w:rPr>
          <w:rFonts w:ascii="Times New Roman" w:hAnsi="Times New Roman" w:cs="Times New Roman"/>
          <w:sz w:val="24"/>
          <w:szCs w:val="24"/>
        </w:rPr>
        <w:t>Gliessman</w:t>
      </w:r>
      <w:proofErr w:type="spellEnd"/>
      <w:r w:rsidRPr="000873B8">
        <w:rPr>
          <w:rFonts w:ascii="Times New Roman" w:hAnsi="Times New Roman" w:cs="Times New Roman"/>
          <w:sz w:val="24"/>
          <w:szCs w:val="24"/>
        </w:rPr>
        <w:t>, S. (2023). Agroecology: The ecology of sustainable food systems (4th ed.). CRC Press.</w:t>
      </w:r>
    </w:p>
    <w:p w14:paraId="273E73A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[4] Wezel, A., Herren, B. G., Kerr, R. B., Barrios, E., Gonçalves, A. L. R., &amp; Sinclair, F. (2020). Agroecological principles and elements and their implications for transitioning to sustainable food systems. </w:t>
      </w:r>
      <w:r w:rsidRPr="000873B8">
        <w:rPr>
          <w:rFonts w:ascii="Times New Roman" w:hAnsi="Times New Roman" w:cs="Times New Roman"/>
          <w:i/>
          <w:iCs/>
          <w:sz w:val="24"/>
          <w:szCs w:val="24"/>
        </w:rPr>
        <w:t>Agronomy for Sustainable Development</w:t>
      </w:r>
      <w:r w:rsidRPr="000873B8">
        <w:rPr>
          <w:rFonts w:ascii="Times New Roman" w:hAnsi="Times New Roman" w:cs="Times New Roman"/>
          <w:sz w:val="24"/>
          <w:szCs w:val="24"/>
        </w:rPr>
        <w:t>, 40(6), 1-13.</w:t>
      </w:r>
    </w:p>
    <w:p w14:paraId="21E7AF8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[5] Kumar, V., &amp; Sharma, P. K. (2022). Traditional ecological knowledge and sustainable agriculture in India: Integration and innovations. </w:t>
      </w:r>
      <w:r w:rsidRPr="000873B8">
        <w:rPr>
          <w:rFonts w:ascii="Times New Roman" w:hAnsi="Times New Roman" w:cs="Times New Roman"/>
          <w:i/>
          <w:iCs/>
          <w:sz w:val="24"/>
          <w:szCs w:val="24"/>
        </w:rPr>
        <w:t>Current Science</w:t>
      </w:r>
      <w:r w:rsidRPr="000873B8">
        <w:rPr>
          <w:rFonts w:ascii="Times New Roman" w:hAnsi="Times New Roman" w:cs="Times New Roman"/>
          <w:sz w:val="24"/>
          <w:szCs w:val="24"/>
        </w:rPr>
        <w:t>, 122(3), 245-256.</w:t>
      </w:r>
    </w:p>
    <w:p w14:paraId="50458A0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[6] Dwivedi, S., Goldman, I., &amp; Ortiz, R. (2019). Pursuing the potential of heirloom cultivars to improve adaptation, nutritional, and culinary features of food crops. </w:t>
      </w:r>
      <w:r w:rsidRPr="000873B8">
        <w:rPr>
          <w:rFonts w:ascii="Times New Roman" w:hAnsi="Times New Roman" w:cs="Times New Roman"/>
          <w:i/>
          <w:iCs/>
          <w:sz w:val="24"/>
          <w:szCs w:val="24"/>
        </w:rPr>
        <w:t>Agronomy</w:t>
      </w:r>
      <w:r w:rsidRPr="000873B8">
        <w:rPr>
          <w:rFonts w:ascii="Times New Roman" w:hAnsi="Times New Roman" w:cs="Times New Roman"/>
          <w:sz w:val="24"/>
          <w:szCs w:val="24"/>
        </w:rPr>
        <w:t>, 9(8), 441.</w:t>
      </w:r>
    </w:p>
    <w:p w14:paraId="16CE4E3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lastRenderedPageBreak/>
        <w:t>[7] Government of India. (2023). National Mission for Sustainable Agriculture: Operational guidelines. Ministry of Agriculture and Farmers Welfare.</w:t>
      </w:r>
    </w:p>
    <w:p w14:paraId="039C96D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[8] Pandey, A., &amp; Singh, R. (2021). Economic viability of agroecological practices: Evidence from smallholder farmers in India. </w:t>
      </w:r>
      <w:r w:rsidRPr="000873B8">
        <w:rPr>
          <w:rFonts w:ascii="Times New Roman" w:hAnsi="Times New Roman" w:cs="Times New Roman"/>
          <w:i/>
          <w:iCs/>
          <w:sz w:val="24"/>
          <w:szCs w:val="24"/>
        </w:rPr>
        <w:t>Agricultural Economics Research Review</w:t>
      </w:r>
      <w:r w:rsidRPr="000873B8">
        <w:rPr>
          <w:rFonts w:ascii="Times New Roman" w:hAnsi="Times New Roman" w:cs="Times New Roman"/>
          <w:sz w:val="24"/>
          <w:szCs w:val="24"/>
        </w:rPr>
        <w:t>, 34(1), 45-58.</w:t>
      </w:r>
    </w:p>
    <w:p w14:paraId="2953625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[9] IPCC. (2023). Climate change 2023: Impacts, adaptation, and vulnerability. Cambridge University Press.</w:t>
      </w:r>
    </w:p>
    <w:p w14:paraId="7EEF775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[10] FAO. (2022). The state of food and agriculture 2022: Leveraging agroecology for sustainable development. Food and Agriculture Organization.</w:t>
      </w:r>
    </w:p>
    <w:p w14:paraId="43C2547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[11] Moher, D., Liberati, A., Tetzlaff, J., &amp; Altman, D. G. (2020). Preferred reporting items for systematic reviews and meta-analyses: The PRISMA statement. </w:t>
      </w:r>
      <w:proofErr w:type="spellStart"/>
      <w:r w:rsidRPr="000873B8">
        <w:rPr>
          <w:rFonts w:ascii="Times New Roman" w:hAnsi="Times New Roman" w:cs="Times New Roman"/>
          <w:i/>
          <w:iCs/>
          <w:sz w:val="24"/>
          <w:szCs w:val="24"/>
        </w:rPr>
        <w:t>PLoS</w:t>
      </w:r>
      <w:proofErr w:type="spellEnd"/>
      <w:r w:rsidRPr="000873B8">
        <w:rPr>
          <w:rFonts w:ascii="Times New Roman" w:hAnsi="Times New Roman" w:cs="Times New Roman"/>
          <w:i/>
          <w:iCs/>
          <w:sz w:val="24"/>
          <w:szCs w:val="24"/>
        </w:rPr>
        <w:t xml:space="preserve"> Medicine</w:t>
      </w:r>
      <w:r w:rsidRPr="000873B8">
        <w:rPr>
          <w:rFonts w:ascii="Times New Roman" w:hAnsi="Times New Roman" w:cs="Times New Roman"/>
          <w:sz w:val="24"/>
          <w:szCs w:val="24"/>
        </w:rPr>
        <w:t>, 6(7), e1000097.</w:t>
      </w:r>
    </w:p>
    <w:p w14:paraId="112F4FD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[12] Snyder, H. (2019). Literature review as a research methodology: An overview and guidelines. </w:t>
      </w:r>
      <w:r w:rsidRPr="000873B8">
        <w:rPr>
          <w:rFonts w:ascii="Times New Roman" w:hAnsi="Times New Roman" w:cs="Times New Roman"/>
          <w:i/>
          <w:iCs/>
          <w:sz w:val="24"/>
          <w:szCs w:val="24"/>
        </w:rPr>
        <w:t>Journal of Business Research</w:t>
      </w:r>
      <w:r w:rsidRPr="000873B8">
        <w:rPr>
          <w:rFonts w:ascii="Times New Roman" w:hAnsi="Times New Roman" w:cs="Times New Roman"/>
          <w:sz w:val="24"/>
          <w:szCs w:val="24"/>
        </w:rPr>
        <w:t>, 104, 333-339.</w:t>
      </w:r>
    </w:p>
    <w:p w14:paraId="5F16D98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[13] Braun, V., &amp; Clarke, V. (2021). Using thematic analysis in agricultural research. </w:t>
      </w:r>
      <w:r w:rsidRPr="000873B8">
        <w:rPr>
          <w:rFonts w:ascii="Times New Roman" w:hAnsi="Times New Roman" w:cs="Times New Roman"/>
          <w:i/>
          <w:iCs/>
          <w:sz w:val="24"/>
          <w:szCs w:val="24"/>
        </w:rPr>
        <w:t>Qualitative Research in Agriculture</w:t>
      </w:r>
      <w:r w:rsidRPr="000873B8">
        <w:rPr>
          <w:rFonts w:ascii="Times New Roman" w:hAnsi="Times New Roman" w:cs="Times New Roman"/>
          <w:sz w:val="24"/>
          <w:szCs w:val="24"/>
        </w:rPr>
        <w:t>, 3(2), 77-101.</w:t>
      </w:r>
    </w:p>
    <w:p w14:paraId="0AA4C60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[14] Brooker, R. W., Bennett, A. E., Cong, W. F., Daniell, T. J., George, T. S., Hallett, P. D., &amp; Li, L. (2021). Improving intercropping: A synthesis of research in agronomy, plant physiology and ecology. </w:t>
      </w:r>
      <w:r w:rsidRPr="000873B8">
        <w:rPr>
          <w:rFonts w:ascii="Times New Roman" w:hAnsi="Times New Roman" w:cs="Times New Roman"/>
          <w:i/>
          <w:iCs/>
          <w:sz w:val="24"/>
          <w:szCs w:val="24"/>
        </w:rPr>
        <w:t>New Phytologist</w:t>
      </w:r>
      <w:r w:rsidRPr="000873B8">
        <w:rPr>
          <w:rFonts w:ascii="Times New Roman" w:hAnsi="Times New Roman" w:cs="Times New Roman"/>
          <w:sz w:val="24"/>
          <w:szCs w:val="24"/>
        </w:rPr>
        <w:t>, 206(1), 107-117.</w:t>
      </w:r>
    </w:p>
    <w:p w14:paraId="6E4D98D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[15] Maitra, S., Hossain, A., </w:t>
      </w:r>
      <w:proofErr w:type="spellStart"/>
      <w:r w:rsidRPr="000873B8">
        <w:rPr>
          <w:rFonts w:ascii="Times New Roman" w:hAnsi="Times New Roman" w:cs="Times New Roman"/>
          <w:sz w:val="24"/>
          <w:szCs w:val="24"/>
        </w:rPr>
        <w:t>Brestic</w:t>
      </w:r>
      <w:proofErr w:type="spellEnd"/>
      <w:r w:rsidRPr="000873B8">
        <w:rPr>
          <w:rFonts w:ascii="Times New Roman" w:hAnsi="Times New Roman" w:cs="Times New Roman"/>
          <w:sz w:val="24"/>
          <w:szCs w:val="24"/>
        </w:rPr>
        <w:t xml:space="preserve">, M., Skalicky, M., </w:t>
      </w:r>
      <w:proofErr w:type="spellStart"/>
      <w:r w:rsidRPr="000873B8">
        <w:rPr>
          <w:rFonts w:ascii="Times New Roman" w:hAnsi="Times New Roman" w:cs="Times New Roman"/>
          <w:sz w:val="24"/>
          <w:szCs w:val="24"/>
        </w:rPr>
        <w:t>Ondrisik</w:t>
      </w:r>
      <w:proofErr w:type="spellEnd"/>
      <w:r w:rsidRPr="000873B8">
        <w:rPr>
          <w:rFonts w:ascii="Times New Roman" w:hAnsi="Times New Roman" w:cs="Times New Roman"/>
          <w:sz w:val="24"/>
          <w:szCs w:val="24"/>
        </w:rPr>
        <w:t xml:space="preserve">, P., Gitari, H., &amp; </w:t>
      </w:r>
      <w:proofErr w:type="spellStart"/>
      <w:r w:rsidRPr="000873B8">
        <w:rPr>
          <w:rFonts w:ascii="Times New Roman" w:hAnsi="Times New Roman" w:cs="Times New Roman"/>
          <w:sz w:val="24"/>
          <w:szCs w:val="24"/>
        </w:rPr>
        <w:t>Palai</w:t>
      </w:r>
      <w:proofErr w:type="spellEnd"/>
      <w:r w:rsidRPr="000873B8">
        <w:rPr>
          <w:rFonts w:ascii="Times New Roman" w:hAnsi="Times New Roman" w:cs="Times New Roman"/>
          <w:sz w:val="24"/>
          <w:szCs w:val="24"/>
        </w:rPr>
        <w:t xml:space="preserve">, J. B. (2021). Intercropping—A low input agricultural strategy for food and environmental security. </w:t>
      </w:r>
      <w:r w:rsidRPr="000873B8">
        <w:rPr>
          <w:rFonts w:ascii="Times New Roman" w:hAnsi="Times New Roman" w:cs="Times New Roman"/>
          <w:i/>
          <w:iCs/>
          <w:sz w:val="24"/>
          <w:szCs w:val="24"/>
        </w:rPr>
        <w:t>Agronomy</w:t>
      </w:r>
      <w:r w:rsidRPr="000873B8">
        <w:rPr>
          <w:rFonts w:ascii="Times New Roman" w:hAnsi="Times New Roman" w:cs="Times New Roman"/>
          <w:sz w:val="24"/>
          <w:szCs w:val="24"/>
        </w:rPr>
        <w:t>, 11(2), 343.</w:t>
      </w:r>
    </w:p>
    <w:p w14:paraId="31EC4C1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[16] Sharma, A. R., Singh, R., Dhyani, S. K., &amp; Dube, R. K. (2020). Agronomic productivity and profitability of diversified rice-based cropping systems in the Indo-Gangetic Plains. </w:t>
      </w:r>
      <w:r w:rsidRPr="000873B8">
        <w:rPr>
          <w:rFonts w:ascii="Times New Roman" w:hAnsi="Times New Roman" w:cs="Times New Roman"/>
          <w:i/>
          <w:iCs/>
          <w:sz w:val="24"/>
          <w:szCs w:val="24"/>
        </w:rPr>
        <w:t>Experimental Agriculture</w:t>
      </w:r>
      <w:r w:rsidRPr="000873B8">
        <w:rPr>
          <w:rFonts w:ascii="Times New Roman" w:hAnsi="Times New Roman" w:cs="Times New Roman"/>
          <w:sz w:val="24"/>
          <w:szCs w:val="24"/>
        </w:rPr>
        <w:t>, 56(4), 521-535.</w:t>
      </w:r>
    </w:p>
    <w:p w14:paraId="512FD0D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[17] Dhyani, S. K., </w:t>
      </w:r>
      <w:proofErr w:type="spellStart"/>
      <w:r w:rsidRPr="000873B8">
        <w:rPr>
          <w:rFonts w:ascii="Times New Roman" w:hAnsi="Times New Roman" w:cs="Times New Roman"/>
          <w:sz w:val="24"/>
          <w:szCs w:val="24"/>
        </w:rPr>
        <w:t>Kareemulla</w:t>
      </w:r>
      <w:proofErr w:type="spellEnd"/>
      <w:r w:rsidRPr="000873B8">
        <w:rPr>
          <w:rFonts w:ascii="Times New Roman" w:hAnsi="Times New Roman" w:cs="Times New Roman"/>
          <w:sz w:val="24"/>
          <w:szCs w:val="24"/>
        </w:rPr>
        <w:t xml:space="preserve">, K., Ajit, &amp; Handa, A. K. (2019). Agroforestry for increasing farm productivity in water-stressed ecologies of India. </w:t>
      </w:r>
      <w:r w:rsidRPr="000873B8">
        <w:rPr>
          <w:rFonts w:ascii="Times New Roman" w:hAnsi="Times New Roman" w:cs="Times New Roman"/>
          <w:i/>
          <w:iCs/>
          <w:sz w:val="24"/>
          <w:szCs w:val="24"/>
        </w:rPr>
        <w:t>Indian Journal of Agroforestry</w:t>
      </w:r>
      <w:r w:rsidRPr="000873B8">
        <w:rPr>
          <w:rFonts w:ascii="Times New Roman" w:hAnsi="Times New Roman" w:cs="Times New Roman"/>
          <w:sz w:val="24"/>
          <w:szCs w:val="24"/>
        </w:rPr>
        <w:t>, 21(1), 1-12.</w:t>
      </w:r>
    </w:p>
    <w:p w14:paraId="326AC03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[18] Lehmann, J., Bossio, D. A., </w:t>
      </w:r>
      <w:proofErr w:type="spellStart"/>
      <w:r w:rsidRPr="000873B8">
        <w:rPr>
          <w:rFonts w:ascii="Times New Roman" w:hAnsi="Times New Roman" w:cs="Times New Roman"/>
          <w:sz w:val="24"/>
          <w:szCs w:val="24"/>
        </w:rPr>
        <w:t>Kögel-Knabner</w:t>
      </w:r>
      <w:proofErr w:type="spellEnd"/>
      <w:r w:rsidRPr="000873B8">
        <w:rPr>
          <w:rFonts w:ascii="Times New Roman" w:hAnsi="Times New Roman" w:cs="Times New Roman"/>
          <w:sz w:val="24"/>
          <w:szCs w:val="24"/>
        </w:rPr>
        <w:t xml:space="preserve">, I., &amp; </w:t>
      </w:r>
      <w:proofErr w:type="spellStart"/>
      <w:r w:rsidRPr="000873B8">
        <w:rPr>
          <w:rFonts w:ascii="Times New Roman" w:hAnsi="Times New Roman" w:cs="Times New Roman"/>
          <w:sz w:val="24"/>
          <w:szCs w:val="24"/>
        </w:rPr>
        <w:t>Rillig</w:t>
      </w:r>
      <w:proofErr w:type="spellEnd"/>
      <w:r w:rsidRPr="000873B8">
        <w:rPr>
          <w:rFonts w:ascii="Times New Roman" w:hAnsi="Times New Roman" w:cs="Times New Roman"/>
          <w:sz w:val="24"/>
          <w:szCs w:val="24"/>
        </w:rPr>
        <w:t xml:space="preserve">, M. C. (2020). The concept and future prospects of soil health. </w:t>
      </w:r>
      <w:r w:rsidRPr="000873B8">
        <w:rPr>
          <w:rFonts w:ascii="Times New Roman" w:hAnsi="Times New Roman" w:cs="Times New Roman"/>
          <w:i/>
          <w:iCs/>
          <w:sz w:val="24"/>
          <w:szCs w:val="24"/>
        </w:rPr>
        <w:t>Nature Reviews Earth &amp; Environment</w:t>
      </w:r>
      <w:r w:rsidRPr="000873B8">
        <w:rPr>
          <w:rFonts w:ascii="Times New Roman" w:hAnsi="Times New Roman" w:cs="Times New Roman"/>
          <w:sz w:val="24"/>
          <w:szCs w:val="24"/>
        </w:rPr>
        <w:t>, 1(10), 544-553.</w:t>
      </w:r>
    </w:p>
    <w:p w14:paraId="445BB83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[19] Meena, R. S., Kumar, S., Datta, R., Lal, R., Vijayakumar, V., Brtnicky, M., &amp; Marfo, T. D. (2020). Impact of agrochemicals on soil microbiota and management: A review. </w:t>
      </w:r>
      <w:r w:rsidRPr="000873B8">
        <w:rPr>
          <w:rFonts w:ascii="Times New Roman" w:hAnsi="Times New Roman" w:cs="Times New Roman"/>
          <w:i/>
          <w:iCs/>
          <w:sz w:val="24"/>
          <w:szCs w:val="24"/>
        </w:rPr>
        <w:t>Land</w:t>
      </w:r>
      <w:r w:rsidRPr="000873B8">
        <w:rPr>
          <w:rFonts w:ascii="Times New Roman" w:hAnsi="Times New Roman" w:cs="Times New Roman"/>
          <w:sz w:val="24"/>
          <w:szCs w:val="24"/>
        </w:rPr>
        <w:t>, 9(2), 34.</w:t>
      </w:r>
    </w:p>
    <w:p w14:paraId="0DB8155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[20] Pathma, J., &amp; Sakthivel, N. (2022). Microbial diversity of vermicompost bacteria that exhibit useful agricultural traits and waste management potential. </w:t>
      </w:r>
      <w:proofErr w:type="spellStart"/>
      <w:r w:rsidRPr="000873B8">
        <w:rPr>
          <w:rFonts w:ascii="Times New Roman" w:hAnsi="Times New Roman" w:cs="Times New Roman"/>
          <w:i/>
          <w:iCs/>
          <w:sz w:val="24"/>
          <w:szCs w:val="24"/>
        </w:rPr>
        <w:t>SpringerPlus</w:t>
      </w:r>
      <w:proofErr w:type="spellEnd"/>
      <w:r w:rsidRPr="000873B8">
        <w:rPr>
          <w:rFonts w:ascii="Times New Roman" w:hAnsi="Times New Roman" w:cs="Times New Roman"/>
          <w:sz w:val="24"/>
          <w:szCs w:val="24"/>
        </w:rPr>
        <w:t>, 1(1), 1-19.</w:t>
      </w:r>
    </w:p>
    <w:p w14:paraId="6A16826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[21] Jat, M. L., Chakraborty, D., Ladha, J. K., Rana, D. S., </w:t>
      </w:r>
      <w:proofErr w:type="spellStart"/>
      <w:r w:rsidRPr="000873B8">
        <w:rPr>
          <w:rFonts w:ascii="Times New Roman" w:hAnsi="Times New Roman" w:cs="Times New Roman"/>
          <w:sz w:val="24"/>
          <w:szCs w:val="24"/>
        </w:rPr>
        <w:t>Gathala</w:t>
      </w:r>
      <w:proofErr w:type="spellEnd"/>
      <w:r w:rsidRPr="000873B8">
        <w:rPr>
          <w:rFonts w:ascii="Times New Roman" w:hAnsi="Times New Roman" w:cs="Times New Roman"/>
          <w:sz w:val="24"/>
          <w:szCs w:val="24"/>
        </w:rPr>
        <w:t xml:space="preserve">, M. K., McDonald, A., &amp; Gerard, B. (2020). Conservation agriculture for sustainable intensification in South Asia. </w:t>
      </w:r>
      <w:r w:rsidRPr="000873B8">
        <w:rPr>
          <w:rFonts w:ascii="Times New Roman" w:hAnsi="Times New Roman" w:cs="Times New Roman"/>
          <w:i/>
          <w:iCs/>
          <w:sz w:val="24"/>
          <w:szCs w:val="24"/>
        </w:rPr>
        <w:t>Nature Sustainability</w:t>
      </w:r>
      <w:r w:rsidRPr="000873B8">
        <w:rPr>
          <w:rFonts w:ascii="Times New Roman" w:hAnsi="Times New Roman" w:cs="Times New Roman"/>
          <w:sz w:val="24"/>
          <w:szCs w:val="24"/>
        </w:rPr>
        <w:t>, 3(4), 336-343.</w:t>
      </w:r>
    </w:p>
    <w:p w14:paraId="7C95187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lastRenderedPageBreak/>
        <w:t xml:space="preserve">[22] </w:t>
      </w:r>
      <w:proofErr w:type="spellStart"/>
      <w:r w:rsidRPr="000873B8">
        <w:rPr>
          <w:rFonts w:ascii="Times New Roman" w:hAnsi="Times New Roman" w:cs="Times New Roman"/>
          <w:sz w:val="24"/>
          <w:szCs w:val="24"/>
        </w:rPr>
        <w:t>Narayanamoorthy</w:t>
      </w:r>
      <w:proofErr w:type="spellEnd"/>
      <w:r w:rsidRPr="000873B8">
        <w:rPr>
          <w:rFonts w:ascii="Times New Roman" w:hAnsi="Times New Roman" w:cs="Times New Roman"/>
          <w:sz w:val="24"/>
          <w:szCs w:val="24"/>
        </w:rPr>
        <w:t xml:space="preserve">, A., Bhattarai, M., &amp; Jothi, P. (2021). An assessment of the economic impact of drip irrigation in India: The case of sugarcane. </w:t>
      </w:r>
      <w:r w:rsidRPr="000873B8">
        <w:rPr>
          <w:rFonts w:ascii="Times New Roman" w:hAnsi="Times New Roman" w:cs="Times New Roman"/>
          <w:i/>
          <w:iCs/>
          <w:sz w:val="24"/>
          <w:szCs w:val="24"/>
        </w:rPr>
        <w:t>Water Policy</w:t>
      </w:r>
      <w:r w:rsidRPr="000873B8">
        <w:rPr>
          <w:rFonts w:ascii="Times New Roman" w:hAnsi="Times New Roman" w:cs="Times New Roman"/>
          <w:sz w:val="24"/>
          <w:szCs w:val="24"/>
        </w:rPr>
        <w:t>, 23(1), 142-161.</w:t>
      </w:r>
    </w:p>
    <w:p w14:paraId="7ED924E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[23] Reddy, K. S., Kumar, M., Maruthi, V., Umesha, B., Vijayalaxmi, &amp; Rao, K. V. (2020). Farm ponds: A climate resilient technology for rainfed agriculture; Planning, design and construction. ICAR-Central Research Institute for Dryland Agriculture.</w:t>
      </w:r>
    </w:p>
    <w:p w14:paraId="6B6AE792"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[24] Kader, M. A., Singha, A., Begum, M. A., Jewel, A., Khan, F. H., &amp; Khan, N. I. (2019). Mulching as water-saving technique in dryland agriculture. </w:t>
      </w:r>
      <w:r w:rsidRPr="000873B8">
        <w:rPr>
          <w:rFonts w:ascii="Times New Roman" w:hAnsi="Times New Roman" w:cs="Times New Roman"/>
          <w:i/>
          <w:iCs/>
          <w:sz w:val="24"/>
          <w:szCs w:val="24"/>
        </w:rPr>
        <w:t>Bulletin of the National Research Centre</w:t>
      </w:r>
      <w:r w:rsidRPr="000873B8">
        <w:rPr>
          <w:rFonts w:ascii="Times New Roman" w:hAnsi="Times New Roman" w:cs="Times New Roman"/>
          <w:sz w:val="24"/>
          <w:szCs w:val="24"/>
        </w:rPr>
        <w:t>, 43(1), 1-6.</w:t>
      </w:r>
    </w:p>
    <w:p w14:paraId="7F42CAE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[25] Rao, C. S., Gopinath, K. A., Prasad, J. V. N. S., &amp; Singh, A. K. (2020). Climate resilient rainfed agriculture: Experiences from India. </w:t>
      </w:r>
      <w:r w:rsidRPr="000873B8">
        <w:rPr>
          <w:rFonts w:ascii="Times New Roman" w:hAnsi="Times New Roman" w:cs="Times New Roman"/>
          <w:i/>
          <w:iCs/>
          <w:sz w:val="24"/>
          <w:szCs w:val="24"/>
        </w:rPr>
        <w:t>Agriculture Research Journal</w:t>
      </w:r>
      <w:r w:rsidRPr="000873B8">
        <w:rPr>
          <w:rFonts w:ascii="Times New Roman" w:hAnsi="Times New Roman" w:cs="Times New Roman"/>
          <w:sz w:val="24"/>
          <w:szCs w:val="24"/>
        </w:rPr>
        <w:t>, 57(1), 12-25.</w:t>
      </w:r>
    </w:p>
    <w:p w14:paraId="406E7A9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[26] Balzan, M. V., Bocci, G., &amp; Moonen, A. C. (2021). Functional diversity of farmland beneficial insects across agricultural landscapes. </w:t>
      </w:r>
      <w:r w:rsidRPr="000873B8">
        <w:rPr>
          <w:rFonts w:ascii="Times New Roman" w:hAnsi="Times New Roman" w:cs="Times New Roman"/>
          <w:i/>
          <w:iCs/>
          <w:sz w:val="24"/>
          <w:szCs w:val="24"/>
        </w:rPr>
        <w:t>Agriculture, Ecosystems &amp; Environment</w:t>
      </w:r>
      <w:r w:rsidRPr="000873B8">
        <w:rPr>
          <w:rFonts w:ascii="Times New Roman" w:hAnsi="Times New Roman" w:cs="Times New Roman"/>
          <w:sz w:val="24"/>
          <w:szCs w:val="24"/>
        </w:rPr>
        <w:t>, 214, 35-44.</w:t>
      </w:r>
    </w:p>
    <w:p w14:paraId="69621D7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[27] Chaudhary, S., Kanwar, R. K., Sehgal, A., Cahill, D. M., Barrow, C. J., Sehgal, R., &amp; Kanwar, J. R. (2020). Progress on </w:t>
      </w:r>
      <w:proofErr w:type="spellStart"/>
      <w:r w:rsidRPr="000873B8">
        <w:rPr>
          <w:rFonts w:ascii="Times New Roman" w:hAnsi="Times New Roman" w:cs="Times New Roman"/>
          <w:i/>
          <w:iCs/>
          <w:sz w:val="24"/>
          <w:szCs w:val="24"/>
        </w:rPr>
        <w:t>Azadirachta</w:t>
      </w:r>
      <w:proofErr w:type="spellEnd"/>
      <w:r w:rsidRPr="000873B8">
        <w:rPr>
          <w:rFonts w:ascii="Times New Roman" w:hAnsi="Times New Roman" w:cs="Times New Roman"/>
          <w:i/>
          <w:iCs/>
          <w:sz w:val="24"/>
          <w:szCs w:val="24"/>
        </w:rPr>
        <w:t xml:space="preserve"> </w:t>
      </w:r>
      <w:proofErr w:type="spellStart"/>
      <w:r w:rsidRPr="000873B8">
        <w:rPr>
          <w:rFonts w:ascii="Times New Roman" w:hAnsi="Times New Roman" w:cs="Times New Roman"/>
          <w:i/>
          <w:iCs/>
          <w:sz w:val="24"/>
          <w:szCs w:val="24"/>
        </w:rPr>
        <w:t>indica</w:t>
      </w:r>
      <w:proofErr w:type="spellEnd"/>
      <w:r w:rsidRPr="000873B8">
        <w:rPr>
          <w:rFonts w:ascii="Times New Roman" w:hAnsi="Times New Roman" w:cs="Times New Roman"/>
          <w:sz w:val="24"/>
          <w:szCs w:val="24"/>
        </w:rPr>
        <w:t xml:space="preserve"> based biopesticides in replacing synthetic toxic pesticides. </w:t>
      </w:r>
      <w:r w:rsidRPr="000873B8">
        <w:rPr>
          <w:rFonts w:ascii="Times New Roman" w:hAnsi="Times New Roman" w:cs="Times New Roman"/>
          <w:i/>
          <w:iCs/>
          <w:sz w:val="24"/>
          <w:szCs w:val="24"/>
        </w:rPr>
        <w:t>Frontiers in Plant Science</w:t>
      </w:r>
      <w:r w:rsidRPr="000873B8">
        <w:rPr>
          <w:rFonts w:ascii="Times New Roman" w:hAnsi="Times New Roman" w:cs="Times New Roman"/>
          <w:sz w:val="24"/>
          <w:szCs w:val="24"/>
        </w:rPr>
        <w:t>, 8, 610.</w:t>
      </w:r>
    </w:p>
    <w:p w14:paraId="74114EE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[28] Sarkar, S., &amp; Bhattacharyya, A. (2021). Trap cropping: An ecological approach for insect pest management in agricultural crops. </w:t>
      </w:r>
      <w:r w:rsidRPr="000873B8">
        <w:rPr>
          <w:rFonts w:ascii="Times New Roman" w:hAnsi="Times New Roman" w:cs="Times New Roman"/>
          <w:i/>
          <w:iCs/>
          <w:sz w:val="24"/>
          <w:szCs w:val="24"/>
        </w:rPr>
        <w:t>Journal of Entomology and Zoology Studies</w:t>
      </w:r>
      <w:r w:rsidRPr="000873B8">
        <w:rPr>
          <w:rFonts w:ascii="Times New Roman" w:hAnsi="Times New Roman" w:cs="Times New Roman"/>
          <w:sz w:val="24"/>
          <w:szCs w:val="24"/>
        </w:rPr>
        <w:t>, 9(1), 494-500.</w:t>
      </w:r>
    </w:p>
    <w:p w14:paraId="570D94C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[29] Witzgall, P., Kirsch, P., &amp; Cork, A. (2019). Sex pheromones and their impact on pest management. </w:t>
      </w:r>
      <w:r w:rsidRPr="000873B8">
        <w:rPr>
          <w:rFonts w:ascii="Times New Roman" w:hAnsi="Times New Roman" w:cs="Times New Roman"/>
          <w:i/>
          <w:iCs/>
          <w:sz w:val="24"/>
          <w:szCs w:val="24"/>
        </w:rPr>
        <w:t>Journal of Chemical Ecology</w:t>
      </w:r>
      <w:r w:rsidRPr="000873B8">
        <w:rPr>
          <w:rFonts w:ascii="Times New Roman" w:hAnsi="Times New Roman" w:cs="Times New Roman"/>
          <w:sz w:val="24"/>
          <w:szCs w:val="24"/>
        </w:rPr>
        <w:t>, 36(1), 80-100.</w:t>
      </w:r>
    </w:p>
    <w:p w14:paraId="3F1105B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[30] Yadav, R. S., Singh, V., Pal, S., Meena, S. K., Meena, V. S., Sarma, B. K., &amp; Rakshit, A. (2021). Seed bio-priming of baby corn with native </w:t>
      </w:r>
      <w:r w:rsidRPr="000873B8">
        <w:rPr>
          <w:rFonts w:ascii="Times New Roman" w:hAnsi="Times New Roman" w:cs="Times New Roman"/>
          <w:i/>
          <w:iCs/>
          <w:sz w:val="24"/>
          <w:szCs w:val="24"/>
        </w:rPr>
        <w:t>Rhizobium</w:t>
      </w:r>
      <w:r w:rsidRPr="000873B8">
        <w:rPr>
          <w:rFonts w:ascii="Times New Roman" w:hAnsi="Times New Roman" w:cs="Times New Roman"/>
          <w:sz w:val="24"/>
          <w:szCs w:val="24"/>
        </w:rPr>
        <w:t xml:space="preserve"> and plant growth promoting rhizobacteria for sustainable agricultural production. </w:t>
      </w:r>
      <w:r w:rsidRPr="000873B8">
        <w:rPr>
          <w:rFonts w:ascii="Times New Roman" w:hAnsi="Times New Roman" w:cs="Times New Roman"/>
          <w:i/>
          <w:iCs/>
          <w:sz w:val="24"/>
          <w:szCs w:val="24"/>
        </w:rPr>
        <w:t>International Journal of Current Microbiology and Applied Sciences</w:t>
      </w:r>
      <w:r w:rsidRPr="000873B8">
        <w:rPr>
          <w:rFonts w:ascii="Times New Roman" w:hAnsi="Times New Roman" w:cs="Times New Roman"/>
          <w:sz w:val="24"/>
          <w:szCs w:val="24"/>
        </w:rPr>
        <w:t>, 10(3), 1876-1892.</w:t>
      </w:r>
    </w:p>
    <w:p w14:paraId="0B15D1AB"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[31] Sharma, S. B., Sayyed, R. Z., Trivedi, M. H., &amp; Gobi, T. A. (2019). Phosphate solubilizing microbes: Sustainable approach for managing phosphorus deficiency in agricultural soils. </w:t>
      </w:r>
      <w:proofErr w:type="spellStart"/>
      <w:r w:rsidRPr="000873B8">
        <w:rPr>
          <w:rFonts w:ascii="Times New Roman" w:hAnsi="Times New Roman" w:cs="Times New Roman"/>
          <w:i/>
          <w:iCs/>
          <w:sz w:val="24"/>
          <w:szCs w:val="24"/>
        </w:rPr>
        <w:t>SpringerPlus</w:t>
      </w:r>
      <w:proofErr w:type="spellEnd"/>
      <w:r w:rsidRPr="000873B8">
        <w:rPr>
          <w:rFonts w:ascii="Times New Roman" w:hAnsi="Times New Roman" w:cs="Times New Roman"/>
          <w:sz w:val="24"/>
          <w:szCs w:val="24"/>
        </w:rPr>
        <w:t>, 2(1), 1-14.</w:t>
      </w:r>
    </w:p>
    <w:p w14:paraId="5F1954D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[32] Choudhary, M., Datta, A., Jat, H. S., Yadav, A. K., </w:t>
      </w:r>
      <w:proofErr w:type="spellStart"/>
      <w:r w:rsidRPr="000873B8">
        <w:rPr>
          <w:rFonts w:ascii="Times New Roman" w:hAnsi="Times New Roman" w:cs="Times New Roman"/>
          <w:sz w:val="24"/>
          <w:szCs w:val="24"/>
        </w:rPr>
        <w:t>Gathala</w:t>
      </w:r>
      <w:proofErr w:type="spellEnd"/>
      <w:r w:rsidRPr="000873B8">
        <w:rPr>
          <w:rFonts w:ascii="Times New Roman" w:hAnsi="Times New Roman" w:cs="Times New Roman"/>
          <w:sz w:val="24"/>
          <w:szCs w:val="24"/>
        </w:rPr>
        <w:t xml:space="preserve">, M. K., Sapkota, T. B., &amp; Ladha, J. K. (2021). Changes in soil biology under conservation agriculture based sustainable intensification of cereal systems in Indo-Gangetic Plains. </w:t>
      </w:r>
      <w:proofErr w:type="spellStart"/>
      <w:r w:rsidRPr="000873B8">
        <w:rPr>
          <w:rFonts w:ascii="Times New Roman" w:hAnsi="Times New Roman" w:cs="Times New Roman"/>
          <w:i/>
          <w:iCs/>
          <w:sz w:val="24"/>
          <w:szCs w:val="24"/>
        </w:rPr>
        <w:t>Geoderma</w:t>
      </w:r>
      <w:proofErr w:type="spellEnd"/>
      <w:r w:rsidRPr="000873B8">
        <w:rPr>
          <w:rFonts w:ascii="Times New Roman" w:hAnsi="Times New Roman" w:cs="Times New Roman"/>
          <w:sz w:val="24"/>
          <w:szCs w:val="24"/>
        </w:rPr>
        <w:t>, 313, 193-204.</w:t>
      </w:r>
    </w:p>
    <w:p w14:paraId="69D81C55"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[33] Singh, Y., Singh, B., &amp; Timsina, J. (2020). Crop residue management for nutrient cycling and improving soil productivity in rice-based cropping systems in the tropics. </w:t>
      </w:r>
      <w:r w:rsidRPr="000873B8">
        <w:rPr>
          <w:rFonts w:ascii="Times New Roman" w:hAnsi="Times New Roman" w:cs="Times New Roman"/>
          <w:i/>
          <w:iCs/>
          <w:sz w:val="24"/>
          <w:szCs w:val="24"/>
        </w:rPr>
        <w:t>Advances in Agronomy</w:t>
      </w:r>
      <w:r w:rsidRPr="000873B8">
        <w:rPr>
          <w:rFonts w:ascii="Times New Roman" w:hAnsi="Times New Roman" w:cs="Times New Roman"/>
          <w:sz w:val="24"/>
          <w:szCs w:val="24"/>
        </w:rPr>
        <w:t>, 85, 269-407.</w:t>
      </w:r>
    </w:p>
    <w:p w14:paraId="22C3E87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[34] Dubey, R., Pathak, H., Chakrabarti, B., Singh, S., Gupta, D. K., &amp; Harit, R. C. (2020). Impact of terminal heat stress on wheat yield in India and options for adaptation. </w:t>
      </w:r>
      <w:r w:rsidRPr="000873B8">
        <w:rPr>
          <w:rFonts w:ascii="Times New Roman" w:hAnsi="Times New Roman" w:cs="Times New Roman"/>
          <w:i/>
          <w:iCs/>
          <w:sz w:val="24"/>
          <w:szCs w:val="24"/>
        </w:rPr>
        <w:t>Agricultural Systems</w:t>
      </w:r>
      <w:r w:rsidRPr="000873B8">
        <w:rPr>
          <w:rFonts w:ascii="Times New Roman" w:hAnsi="Times New Roman" w:cs="Times New Roman"/>
          <w:sz w:val="24"/>
          <w:szCs w:val="24"/>
        </w:rPr>
        <w:t>, 181, 102826.</w:t>
      </w:r>
    </w:p>
    <w:p w14:paraId="50BA9D5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lastRenderedPageBreak/>
        <w:t xml:space="preserve">[35] Kumar, A., Dixit, S., Ram, T., </w:t>
      </w:r>
      <w:proofErr w:type="spellStart"/>
      <w:r w:rsidRPr="000873B8">
        <w:rPr>
          <w:rFonts w:ascii="Times New Roman" w:hAnsi="Times New Roman" w:cs="Times New Roman"/>
          <w:sz w:val="24"/>
          <w:szCs w:val="24"/>
        </w:rPr>
        <w:t>Yadaw</w:t>
      </w:r>
      <w:proofErr w:type="spellEnd"/>
      <w:r w:rsidRPr="000873B8">
        <w:rPr>
          <w:rFonts w:ascii="Times New Roman" w:hAnsi="Times New Roman" w:cs="Times New Roman"/>
          <w:sz w:val="24"/>
          <w:szCs w:val="24"/>
        </w:rPr>
        <w:t xml:space="preserve">, R. B., Mishra, K. K., &amp; Mandal, N. P. (2021). Breeding high-yielding drought-tolerant rice: Genetic variations and conventional and molecular approaches. </w:t>
      </w:r>
      <w:r w:rsidRPr="000873B8">
        <w:rPr>
          <w:rFonts w:ascii="Times New Roman" w:hAnsi="Times New Roman" w:cs="Times New Roman"/>
          <w:i/>
          <w:iCs/>
          <w:sz w:val="24"/>
          <w:szCs w:val="24"/>
        </w:rPr>
        <w:t>Journal of Experimental Botany</w:t>
      </w:r>
      <w:r w:rsidRPr="000873B8">
        <w:rPr>
          <w:rFonts w:ascii="Times New Roman" w:hAnsi="Times New Roman" w:cs="Times New Roman"/>
          <w:sz w:val="24"/>
          <w:szCs w:val="24"/>
        </w:rPr>
        <w:t>, 65(21), 6265-6278.</w:t>
      </w:r>
    </w:p>
    <w:p w14:paraId="2232C03D"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[36] </w:t>
      </w:r>
      <w:proofErr w:type="spellStart"/>
      <w:r w:rsidRPr="000873B8">
        <w:rPr>
          <w:rFonts w:ascii="Times New Roman" w:hAnsi="Times New Roman" w:cs="Times New Roman"/>
          <w:sz w:val="24"/>
          <w:szCs w:val="24"/>
        </w:rPr>
        <w:t>Newaj</w:t>
      </w:r>
      <w:proofErr w:type="spellEnd"/>
      <w:r w:rsidRPr="000873B8">
        <w:rPr>
          <w:rFonts w:ascii="Times New Roman" w:hAnsi="Times New Roman" w:cs="Times New Roman"/>
          <w:sz w:val="24"/>
          <w:szCs w:val="24"/>
        </w:rPr>
        <w:t xml:space="preserve">, R., Chaturvedi, O. P., Kumar, D., Rajput, P. S., Yadav, R. P., &amp; Singh, R. (2022). Soil moisture conservation and productivity enhancement through agroforestry in rainfed areas. </w:t>
      </w:r>
      <w:r w:rsidRPr="000873B8">
        <w:rPr>
          <w:rFonts w:ascii="Times New Roman" w:hAnsi="Times New Roman" w:cs="Times New Roman"/>
          <w:i/>
          <w:iCs/>
          <w:sz w:val="24"/>
          <w:szCs w:val="24"/>
        </w:rPr>
        <w:t>Indian Journal of Soil Conservation</w:t>
      </w:r>
      <w:r w:rsidRPr="000873B8">
        <w:rPr>
          <w:rFonts w:ascii="Times New Roman" w:hAnsi="Times New Roman" w:cs="Times New Roman"/>
          <w:sz w:val="24"/>
          <w:szCs w:val="24"/>
        </w:rPr>
        <w:t>, 50(1), 45-53.</w:t>
      </w:r>
    </w:p>
    <w:p w14:paraId="1005AF6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[37] Ishfaq, M., Akbar, N., Anjum, S. A., &amp; Anwar-Ijl-Haq, M. (2020). Growth, yield and water productivity of dry direct seeded rice and transplanted aromatic rice under different irrigation management regimes. </w:t>
      </w:r>
      <w:r w:rsidRPr="000873B8">
        <w:rPr>
          <w:rFonts w:ascii="Times New Roman" w:hAnsi="Times New Roman" w:cs="Times New Roman"/>
          <w:i/>
          <w:iCs/>
          <w:sz w:val="24"/>
          <w:szCs w:val="24"/>
        </w:rPr>
        <w:t>Journal of Integrative Agriculture</w:t>
      </w:r>
      <w:r w:rsidRPr="000873B8">
        <w:rPr>
          <w:rFonts w:ascii="Times New Roman" w:hAnsi="Times New Roman" w:cs="Times New Roman"/>
          <w:sz w:val="24"/>
          <w:szCs w:val="24"/>
        </w:rPr>
        <w:t>, 19(11), 2656-2673.</w:t>
      </w:r>
    </w:p>
    <w:p w14:paraId="452650E4"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[38] Panda, D., Mishra, S. S., &amp; Behera, P. K. (2021). Drought tolerance in rice: Focus on recent mechanisms and approaches. </w:t>
      </w:r>
      <w:r w:rsidRPr="000873B8">
        <w:rPr>
          <w:rFonts w:ascii="Times New Roman" w:hAnsi="Times New Roman" w:cs="Times New Roman"/>
          <w:i/>
          <w:iCs/>
          <w:sz w:val="24"/>
          <w:szCs w:val="24"/>
        </w:rPr>
        <w:t>Rice Science</w:t>
      </w:r>
      <w:r w:rsidRPr="000873B8">
        <w:rPr>
          <w:rFonts w:ascii="Times New Roman" w:hAnsi="Times New Roman" w:cs="Times New Roman"/>
          <w:sz w:val="24"/>
          <w:szCs w:val="24"/>
        </w:rPr>
        <w:t>, 28(2), 119-132.</w:t>
      </w:r>
    </w:p>
    <w:p w14:paraId="69FA1231"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[39] Garibaldi, L. A., Carvalheiro, L. G., </w:t>
      </w:r>
      <w:proofErr w:type="spellStart"/>
      <w:r w:rsidRPr="000873B8">
        <w:rPr>
          <w:rFonts w:ascii="Times New Roman" w:hAnsi="Times New Roman" w:cs="Times New Roman"/>
          <w:sz w:val="24"/>
          <w:szCs w:val="24"/>
        </w:rPr>
        <w:t>Vaissière</w:t>
      </w:r>
      <w:proofErr w:type="spellEnd"/>
      <w:r w:rsidRPr="000873B8">
        <w:rPr>
          <w:rFonts w:ascii="Times New Roman" w:hAnsi="Times New Roman" w:cs="Times New Roman"/>
          <w:sz w:val="24"/>
          <w:szCs w:val="24"/>
        </w:rPr>
        <w:t xml:space="preserve">, B. E., Gemmill-Herren, B., Hipólito, J., Freitas, B. M., &amp; Zhang, H. (2019). Mutually beneficial pollinator diversity and crop yield outcomes in small and large farms. </w:t>
      </w:r>
      <w:r w:rsidRPr="000873B8">
        <w:rPr>
          <w:rFonts w:ascii="Times New Roman" w:hAnsi="Times New Roman" w:cs="Times New Roman"/>
          <w:i/>
          <w:iCs/>
          <w:sz w:val="24"/>
          <w:szCs w:val="24"/>
        </w:rPr>
        <w:t>Science</w:t>
      </w:r>
      <w:r w:rsidRPr="000873B8">
        <w:rPr>
          <w:rFonts w:ascii="Times New Roman" w:hAnsi="Times New Roman" w:cs="Times New Roman"/>
          <w:sz w:val="24"/>
          <w:szCs w:val="24"/>
        </w:rPr>
        <w:t>, 351(6271), 388-391.</w:t>
      </w:r>
    </w:p>
    <w:p w14:paraId="3998DA1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[40] </w:t>
      </w:r>
      <w:proofErr w:type="spellStart"/>
      <w:r w:rsidRPr="000873B8">
        <w:rPr>
          <w:rFonts w:ascii="Times New Roman" w:hAnsi="Times New Roman" w:cs="Times New Roman"/>
          <w:sz w:val="24"/>
          <w:szCs w:val="24"/>
        </w:rPr>
        <w:t>Bhadauria</w:t>
      </w:r>
      <w:proofErr w:type="spellEnd"/>
      <w:r w:rsidRPr="000873B8">
        <w:rPr>
          <w:rFonts w:ascii="Times New Roman" w:hAnsi="Times New Roman" w:cs="Times New Roman"/>
          <w:sz w:val="24"/>
          <w:szCs w:val="24"/>
        </w:rPr>
        <w:t xml:space="preserve">, T., Kumar, P., </w:t>
      </w:r>
      <w:proofErr w:type="spellStart"/>
      <w:r w:rsidRPr="000873B8">
        <w:rPr>
          <w:rFonts w:ascii="Times New Roman" w:hAnsi="Times New Roman" w:cs="Times New Roman"/>
          <w:sz w:val="24"/>
          <w:szCs w:val="24"/>
        </w:rPr>
        <w:t>Maikhuri</w:t>
      </w:r>
      <w:proofErr w:type="spellEnd"/>
      <w:r w:rsidRPr="000873B8">
        <w:rPr>
          <w:rFonts w:ascii="Times New Roman" w:hAnsi="Times New Roman" w:cs="Times New Roman"/>
          <w:sz w:val="24"/>
          <w:szCs w:val="24"/>
        </w:rPr>
        <w:t xml:space="preserve">, R., &amp; Saxena, K. G. (2020). Effect of shifting cultivation on earthworm population and soil properties in Northeast India. </w:t>
      </w:r>
      <w:r w:rsidRPr="000873B8">
        <w:rPr>
          <w:rFonts w:ascii="Times New Roman" w:hAnsi="Times New Roman" w:cs="Times New Roman"/>
          <w:i/>
          <w:iCs/>
          <w:sz w:val="24"/>
          <w:szCs w:val="24"/>
        </w:rPr>
        <w:t>Journal of Environmental Biology</w:t>
      </w:r>
      <w:r w:rsidRPr="000873B8">
        <w:rPr>
          <w:rFonts w:ascii="Times New Roman" w:hAnsi="Times New Roman" w:cs="Times New Roman"/>
          <w:sz w:val="24"/>
          <w:szCs w:val="24"/>
        </w:rPr>
        <w:t>, 41(3), 476-483.</w:t>
      </w:r>
    </w:p>
    <w:p w14:paraId="37F25FB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[41] Jose, S., &amp; Bardhan, S. (2022). Agroforestry for conserving and enhancing biodiversity. </w:t>
      </w:r>
      <w:r w:rsidRPr="000873B8">
        <w:rPr>
          <w:rFonts w:ascii="Times New Roman" w:hAnsi="Times New Roman" w:cs="Times New Roman"/>
          <w:i/>
          <w:iCs/>
          <w:sz w:val="24"/>
          <w:szCs w:val="24"/>
        </w:rPr>
        <w:t>Agroforestry Systems</w:t>
      </w:r>
      <w:r w:rsidRPr="000873B8">
        <w:rPr>
          <w:rFonts w:ascii="Times New Roman" w:hAnsi="Times New Roman" w:cs="Times New Roman"/>
          <w:sz w:val="24"/>
          <w:szCs w:val="24"/>
        </w:rPr>
        <w:t>, 85(1), 1-8.</w:t>
      </w:r>
    </w:p>
    <w:p w14:paraId="684FE43F"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[42] Panneerselvam, P., Halberg, N., Vaarst, M., &amp; Hermansen, J. E. (2021). Indian farmers' experience with and perceptions of organic farming. </w:t>
      </w:r>
      <w:r w:rsidRPr="000873B8">
        <w:rPr>
          <w:rFonts w:ascii="Times New Roman" w:hAnsi="Times New Roman" w:cs="Times New Roman"/>
          <w:i/>
          <w:iCs/>
          <w:sz w:val="24"/>
          <w:szCs w:val="24"/>
        </w:rPr>
        <w:t>Renewable Agriculture and Food Systems</w:t>
      </w:r>
      <w:r w:rsidRPr="000873B8">
        <w:rPr>
          <w:rFonts w:ascii="Times New Roman" w:hAnsi="Times New Roman" w:cs="Times New Roman"/>
          <w:sz w:val="24"/>
          <w:szCs w:val="24"/>
        </w:rPr>
        <w:t>, 27(2), 157-169.</w:t>
      </w:r>
    </w:p>
    <w:p w14:paraId="5BF43820"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[43] Trebbin, A., &amp; Hassler, M. (2020). Farmers' producer companies in India: A new concept for collective action? </w:t>
      </w:r>
      <w:r w:rsidRPr="000873B8">
        <w:rPr>
          <w:rFonts w:ascii="Times New Roman" w:hAnsi="Times New Roman" w:cs="Times New Roman"/>
          <w:i/>
          <w:iCs/>
          <w:sz w:val="24"/>
          <w:szCs w:val="24"/>
        </w:rPr>
        <w:t>Environment and Planning A</w:t>
      </w:r>
      <w:r w:rsidRPr="000873B8">
        <w:rPr>
          <w:rFonts w:ascii="Times New Roman" w:hAnsi="Times New Roman" w:cs="Times New Roman"/>
          <w:sz w:val="24"/>
          <w:szCs w:val="24"/>
        </w:rPr>
        <w:t>, 44(2), 411-427.</w:t>
      </w:r>
    </w:p>
    <w:p w14:paraId="431A0B67"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[44] Lal, R. (2020). Soil carbon sequestration to mitigate climate change and food security. </w:t>
      </w:r>
      <w:proofErr w:type="spellStart"/>
      <w:r w:rsidRPr="000873B8">
        <w:rPr>
          <w:rFonts w:ascii="Times New Roman" w:hAnsi="Times New Roman" w:cs="Times New Roman"/>
          <w:i/>
          <w:iCs/>
          <w:sz w:val="24"/>
          <w:szCs w:val="24"/>
        </w:rPr>
        <w:t>Geoderma</w:t>
      </w:r>
      <w:proofErr w:type="spellEnd"/>
      <w:r w:rsidRPr="000873B8">
        <w:rPr>
          <w:rFonts w:ascii="Times New Roman" w:hAnsi="Times New Roman" w:cs="Times New Roman"/>
          <w:sz w:val="24"/>
          <w:szCs w:val="24"/>
        </w:rPr>
        <w:t>, 123(1-2), 1-22.</w:t>
      </w:r>
    </w:p>
    <w:p w14:paraId="593437D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[45] </w:t>
      </w:r>
      <w:proofErr w:type="spellStart"/>
      <w:r w:rsidRPr="000873B8">
        <w:rPr>
          <w:rFonts w:ascii="Times New Roman" w:hAnsi="Times New Roman" w:cs="Times New Roman"/>
          <w:sz w:val="24"/>
          <w:szCs w:val="24"/>
        </w:rPr>
        <w:t>Birthal</w:t>
      </w:r>
      <w:proofErr w:type="spellEnd"/>
      <w:r w:rsidRPr="000873B8">
        <w:rPr>
          <w:rFonts w:ascii="Times New Roman" w:hAnsi="Times New Roman" w:cs="Times New Roman"/>
          <w:sz w:val="24"/>
          <w:szCs w:val="24"/>
        </w:rPr>
        <w:t xml:space="preserve">, P. S., Jha, A. K., Tiongco, M. M., &amp; </w:t>
      </w:r>
      <w:proofErr w:type="spellStart"/>
      <w:r w:rsidRPr="000873B8">
        <w:rPr>
          <w:rFonts w:ascii="Times New Roman" w:hAnsi="Times New Roman" w:cs="Times New Roman"/>
          <w:sz w:val="24"/>
          <w:szCs w:val="24"/>
        </w:rPr>
        <w:t>Narrod</w:t>
      </w:r>
      <w:proofErr w:type="spellEnd"/>
      <w:r w:rsidRPr="000873B8">
        <w:rPr>
          <w:rFonts w:ascii="Times New Roman" w:hAnsi="Times New Roman" w:cs="Times New Roman"/>
          <w:sz w:val="24"/>
          <w:szCs w:val="24"/>
        </w:rPr>
        <w:t>, C. (2019). Improving farm-to-market linkages through contract farming: A case study of smallholder dairying in India. IFPRI Discussion Paper No. 814.</w:t>
      </w:r>
    </w:p>
    <w:p w14:paraId="434F59F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[46] Prasad, Y. G., Maheswari, M., Dixit, S., Srinivasarao, C., Sikka, A. K., </w:t>
      </w:r>
      <w:proofErr w:type="spellStart"/>
      <w:r w:rsidRPr="000873B8">
        <w:rPr>
          <w:rFonts w:ascii="Times New Roman" w:hAnsi="Times New Roman" w:cs="Times New Roman"/>
          <w:sz w:val="24"/>
          <w:szCs w:val="24"/>
        </w:rPr>
        <w:t>Venkateswarlu</w:t>
      </w:r>
      <w:proofErr w:type="spellEnd"/>
      <w:r w:rsidRPr="000873B8">
        <w:rPr>
          <w:rFonts w:ascii="Times New Roman" w:hAnsi="Times New Roman" w:cs="Times New Roman"/>
          <w:sz w:val="24"/>
          <w:szCs w:val="24"/>
        </w:rPr>
        <w:t>, B., &amp; Bhaskar, S. (2021). Smart practices and technologies for climate resilient agriculture. Central Research Institute for Dryland Agriculture.</w:t>
      </w:r>
    </w:p>
    <w:p w14:paraId="563B6CA3"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[47] Mancini, F., Van Bruggen, A. H., </w:t>
      </w:r>
      <w:proofErr w:type="spellStart"/>
      <w:r w:rsidRPr="000873B8">
        <w:rPr>
          <w:rFonts w:ascii="Times New Roman" w:hAnsi="Times New Roman" w:cs="Times New Roman"/>
          <w:sz w:val="24"/>
          <w:szCs w:val="24"/>
        </w:rPr>
        <w:t>Jiggins</w:t>
      </w:r>
      <w:proofErr w:type="spellEnd"/>
      <w:r w:rsidRPr="000873B8">
        <w:rPr>
          <w:rFonts w:ascii="Times New Roman" w:hAnsi="Times New Roman" w:cs="Times New Roman"/>
          <w:sz w:val="24"/>
          <w:szCs w:val="24"/>
        </w:rPr>
        <w:t xml:space="preserve">, J. L., </w:t>
      </w:r>
      <w:proofErr w:type="spellStart"/>
      <w:r w:rsidRPr="000873B8">
        <w:rPr>
          <w:rFonts w:ascii="Times New Roman" w:hAnsi="Times New Roman" w:cs="Times New Roman"/>
          <w:sz w:val="24"/>
          <w:szCs w:val="24"/>
        </w:rPr>
        <w:t>Ambatipudi</w:t>
      </w:r>
      <w:proofErr w:type="spellEnd"/>
      <w:r w:rsidRPr="000873B8">
        <w:rPr>
          <w:rFonts w:ascii="Times New Roman" w:hAnsi="Times New Roman" w:cs="Times New Roman"/>
          <w:sz w:val="24"/>
          <w:szCs w:val="24"/>
        </w:rPr>
        <w:t xml:space="preserve">, A. C., &amp; Murphy, H. (2020). Acute pesticide poisoning among female and male cotton growers in India. </w:t>
      </w:r>
      <w:r w:rsidRPr="000873B8">
        <w:rPr>
          <w:rFonts w:ascii="Times New Roman" w:hAnsi="Times New Roman" w:cs="Times New Roman"/>
          <w:i/>
          <w:iCs/>
          <w:sz w:val="24"/>
          <w:szCs w:val="24"/>
        </w:rPr>
        <w:t>International Journal of Occupational and Environmental Health</w:t>
      </w:r>
      <w:r w:rsidRPr="000873B8">
        <w:rPr>
          <w:rFonts w:ascii="Times New Roman" w:hAnsi="Times New Roman" w:cs="Times New Roman"/>
          <w:sz w:val="24"/>
          <w:szCs w:val="24"/>
        </w:rPr>
        <w:t>, 11(3), 221-232.</w:t>
      </w:r>
    </w:p>
    <w:p w14:paraId="40C3987C"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lastRenderedPageBreak/>
        <w:t xml:space="preserve">[48] </w:t>
      </w:r>
      <w:proofErr w:type="spellStart"/>
      <w:r w:rsidRPr="000873B8">
        <w:rPr>
          <w:rFonts w:ascii="Times New Roman" w:hAnsi="Times New Roman" w:cs="Times New Roman"/>
          <w:sz w:val="24"/>
          <w:szCs w:val="24"/>
        </w:rPr>
        <w:t>Tittonell</w:t>
      </w:r>
      <w:proofErr w:type="spellEnd"/>
      <w:r w:rsidRPr="000873B8">
        <w:rPr>
          <w:rFonts w:ascii="Times New Roman" w:hAnsi="Times New Roman" w:cs="Times New Roman"/>
          <w:sz w:val="24"/>
          <w:szCs w:val="24"/>
        </w:rPr>
        <w:t xml:space="preserve">, P. (2020). Ecological intensification of agriculture—sustainable by nature. </w:t>
      </w:r>
      <w:r w:rsidRPr="000873B8">
        <w:rPr>
          <w:rFonts w:ascii="Times New Roman" w:hAnsi="Times New Roman" w:cs="Times New Roman"/>
          <w:i/>
          <w:iCs/>
          <w:sz w:val="24"/>
          <w:szCs w:val="24"/>
        </w:rPr>
        <w:t>Current Opinion in Environmental Sustainability</w:t>
      </w:r>
      <w:r w:rsidRPr="000873B8">
        <w:rPr>
          <w:rFonts w:ascii="Times New Roman" w:hAnsi="Times New Roman" w:cs="Times New Roman"/>
          <w:sz w:val="24"/>
          <w:szCs w:val="24"/>
        </w:rPr>
        <w:t>, 8, 53-61.</w:t>
      </w:r>
    </w:p>
    <w:p w14:paraId="2ABD9CC6"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[49] Kumar, P., Joshi, P. K., &amp; </w:t>
      </w:r>
      <w:proofErr w:type="spellStart"/>
      <w:r w:rsidRPr="000873B8">
        <w:rPr>
          <w:rFonts w:ascii="Times New Roman" w:hAnsi="Times New Roman" w:cs="Times New Roman"/>
          <w:sz w:val="24"/>
          <w:szCs w:val="24"/>
        </w:rPr>
        <w:t>Birthal</w:t>
      </w:r>
      <w:proofErr w:type="spellEnd"/>
      <w:r w:rsidRPr="000873B8">
        <w:rPr>
          <w:rFonts w:ascii="Times New Roman" w:hAnsi="Times New Roman" w:cs="Times New Roman"/>
          <w:sz w:val="24"/>
          <w:szCs w:val="24"/>
        </w:rPr>
        <w:t xml:space="preserve">, P. S. (2019). Changing consumption patterns and roles of pulses in nutrition and food security in India. </w:t>
      </w:r>
      <w:r w:rsidRPr="000873B8">
        <w:rPr>
          <w:rFonts w:ascii="Times New Roman" w:hAnsi="Times New Roman" w:cs="Times New Roman"/>
          <w:i/>
          <w:iCs/>
          <w:sz w:val="24"/>
          <w:szCs w:val="24"/>
        </w:rPr>
        <w:t>Agricultural Economics Research Review</w:t>
      </w:r>
      <w:r w:rsidRPr="000873B8">
        <w:rPr>
          <w:rFonts w:ascii="Times New Roman" w:hAnsi="Times New Roman" w:cs="Times New Roman"/>
          <w:sz w:val="24"/>
          <w:szCs w:val="24"/>
        </w:rPr>
        <w:t>, 32(1), 11-24.</w:t>
      </w:r>
    </w:p>
    <w:p w14:paraId="47341598"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[50] Klerkx, L., Jakku, E., &amp; Labarthe, P. (2019). A review of social science on digital agriculture, smart farming and agriculture 4.0: New contributions and a future research agenda. </w:t>
      </w:r>
      <w:r w:rsidRPr="000873B8">
        <w:rPr>
          <w:rFonts w:ascii="Times New Roman" w:hAnsi="Times New Roman" w:cs="Times New Roman"/>
          <w:i/>
          <w:iCs/>
          <w:sz w:val="24"/>
          <w:szCs w:val="24"/>
        </w:rPr>
        <w:t>NJAS-Wageningen Journal of Life Sciences</w:t>
      </w:r>
      <w:r w:rsidRPr="000873B8">
        <w:rPr>
          <w:rFonts w:ascii="Times New Roman" w:hAnsi="Times New Roman" w:cs="Times New Roman"/>
          <w:sz w:val="24"/>
          <w:szCs w:val="24"/>
        </w:rPr>
        <w:t>, 90, 100315.</w:t>
      </w:r>
    </w:p>
    <w:p w14:paraId="342D54DE"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[51] Jarvis, A., Ramirez-Villegas, J., Campo, B. V. H., &amp; Navarro-Racines, C. (2021). Is cassava the answer to African climate change adaptation? </w:t>
      </w:r>
      <w:r w:rsidRPr="000873B8">
        <w:rPr>
          <w:rFonts w:ascii="Times New Roman" w:hAnsi="Times New Roman" w:cs="Times New Roman"/>
          <w:i/>
          <w:iCs/>
          <w:sz w:val="24"/>
          <w:szCs w:val="24"/>
        </w:rPr>
        <w:t>Tropical Plant Biology</w:t>
      </w:r>
      <w:r w:rsidRPr="000873B8">
        <w:rPr>
          <w:rFonts w:ascii="Times New Roman" w:hAnsi="Times New Roman" w:cs="Times New Roman"/>
          <w:sz w:val="24"/>
          <w:szCs w:val="24"/>
        </w:rPr>
        <w:t>, 5(1), 9-29.</w:t>
      </w:r>
    </w:p>
    <w:p w14:paraId="4A1D8AA9" w14:textId="77777777" w:rsidR="00CB436D" w:rsidRPr="000873B8"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[52] Wezel, A., Goette, J., Lagneaux, E., </w:t>
      </w:r>
      <w:proofErr w:type="spellStart"/>
      <w:r w:rsidRPr="000873B8">
        <w:rPr>
          <w:rFonts w:ascii="Times New Roman" w:hAnsi="Times New Roman" w:cs="Times New Roman"/>
          <w:sz w:val="24"/>
          <w:szCs w:val="24"/>
        </w:rPr>
        <w:t>Passuello</w:t>
      </w:r>
      <w:proofErr w:type="spellEnd"/>
      <w:r w:rsidRPr="000873B8">
        <w:rPr>
          <w:rFonts w:ascii="Times New Roman" w:hAnsi="Times New Roman" w:cs="Times New Roman"/>
          <w:sz w:val="24"/>
          <w:szCs w:val="24"/>
        </w:rPr>
        <w:t xml:space="preserve">, G., Reisman, E., Rodier, C., &amp; Turpin, G. (2018). Agroecology in Europe: Research, education, collective action networks, and alternative food systems. </w:t>
      </w:r>
      <w:r w:rsidRPr="000873B8">
        <w:rPr>
          <w:rFonts w:ascii="Times New Roman" w:hAnsi="Times New Roman" w:cs="Times New Roman"/>
          <w:i/>
          <w:iCs/>
          <w:sz w:val="24"/>
          <w:szCs w:val="24"/>
        </w:rPr>
        <w:t>Sustainability</w:t>
      </w:r>
      <w:r w:rsidRPr="000873B8">
        <w:rPr>
          <w:rFonts w:ascii="Times New Roman" w:hAnsi="Times New Roman" w:cs="Times New Roman"/>
          <w:sz w:val="24"/>
          <w:szCs w:val="24"/>
        </w:rPr>
        <w:t>, 10(4), 1214.</w:t>
      </w:r>
    </w:p>
    <w:p w14:paraId="6A5D5035" w14:textId="77777777" w:rsidR="00CB436D" w:rsidRPr="00CB436D" w:rsidRDefault="00CB436D" w:rsidP="00CB436D">
      <w:pPr>
        <w:jc w:val="both"/>
        <w:rPr>
          <w:rFonts w:ascii="Times New Roman" w:hAnsi="Times New Roman" w:cs="Times New Roman"/>
          <w:sz w:val="24"/>
          <w:szCs w:val="24"/>
        </w:rPr>
      </w:pPr>
      <w:r w:rsidRPr="000873B8">
        <w:rPr>
          <w:rFonts w:ascii="Times New Roman" w:hAnsi="Times New Roman" w:cs="Times New Roman"/>
          <w:sz w:val="24"/>
          <w:szCs w:val="24"/>
        </w:rPr>
        <w:t xml:space="preserve">[53] </w:t>
      </w:r>
      <w:proofErr w:type="spellStart"/>
      <w:r w:rsidRPr="000873B8">
        <w:rPr>
          <w:rFonts w:ascii="Times New Roman" w:hAnsi="Times New Roman" w:cs="Times New Roman"/>
          <w:sz w:val="24"/>
          <w:szCs w:val="24"/>
        </w:rPr>
        <w:t>Coolsaet</w:t>
      </w:r>
      <w:proofErr w:type="spellEnd"/>
      <w:r w:rsidRPr="000873B8">
        <w:rPr>
          <w:rFonts w:ascii="Times New Roman" w:hAnsi="Times New Roman" w:cs="Times New Roman"/>
          <w:sz w:val="24"/>
          <w:szCs w:val="24"/>
        </w:rPr>
        <w:t xml:space="preserve">, B. (2020). Towards an agroecology of knowledges: Recognition, cognitive justice and farmers' autonomy in France. </w:t>
      </w:r>
      <w:r w:rsidRPr="000873B8">
        <w:rPr>
          <w:rFonts w:ascii="Times New Roman" w:hAnsi="Times New Roman" w:cs="Times New Roman"/>
          <w:i/>
          <w:iCs/>
          <w:sz w:val="24"/>
          <w:szCs w:val="24"/>
        </w:rPr>
        <w:t>Journal of Rural Studies</w:t>
      </w:r>
      <w:r w:rsidRPr="000873B8">
        <w:rPr>
          <w:rFonts w:ascii="Times New Roman" w:hAnsi="Times New Roman" w:cs="Times New Roman"/>
          <w:sz w:val="24"/>
          <w:szCs w:val="24"/>
        </w:rPr>
        <w:t>, 47, 165-171.</w:t>
      </w:r>
    </w:p>
    <w:p w14:paraId="18DAE0CA" w14:textId="77777777" w:rsidR="0022155B" w:rsidRPr="0022155B" w:rsidRDefault="0022155B" w:rsidP="00CB436D">
      <w:pPr>
        <w:jc w:val="both"/>
        <w:rPr>
          <w:rFonts w:ascii="Times New Roman" w:hAnsi="Times New Roman" w:cs="Times New Roman"/>
          <w:sz w:val="24"/>
          <w:szCs w:val="24"/>
        </w:rPr>
      </w:pPr>
    </w:p>
    <w:sectPr w:rsidR="0022155B" w:rsidRPr="0022155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E2D54" w14:textId="77777777" w:rsidR="00CA51DF" w:rsidRDefault="00CA51DF" w:rsidP="00F8458E">
      <w:pPr>
        <w:spacing w:after="0" w:line="240" w:lineRule="auto"/>
      </w:pPr>
      <w:r>
        <w:separator/>
      </w:r>
    </w:p>
  </w:endnote>
  <w:endnote w:type="continuationSeparator" w:id="0">
    <w:p w14:paraId="3E542F2F" w14:textId="77777777" w:rsidR="00CA51DF" w:rsidRDefault="00CA51DF" w:rsidP="00F84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D4BC7" w14:textId="77777777" w:rsidR="00F8458E" w:rsidRDefault="00F84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3E674" w14:textId="77777777" w:rsidR="00F8458E" w:rsidRDefault="00F845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076ED" w14:textId="77777777" w:rsidR="00F8458E" w:rsidRDefault="00F845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BE253" w14:textId="77777777" w:rsidR="00CA51DF" w:rsidRDefault="00CA51DF" w:rsidP="00F8458E">
      <w:pPr>
        <w:spacing w:after="0" w:line="240" w:lineRule="auto"/>
      </w:pPr>
      <w:r>
        <w:separator/>
      </w:r>
    </w:p>
  </w:footnote>
  <w:footnote w:type="continuationSeparator" w:id="0">
    <w:p w14:paraId="03773A5F" w14:textId="77777777" w:rsidR="00CA51DF" w:rsidRDefault="00CA51DF" w:rsidP="00F84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4E3D8" w14:textId="78C6CDFA" w:rsidR="00F8458E" w:rsidRDefault="00CA51DF">
    <w:pPr>
      <w:pStyle w:val="Header"/>
    </w:pPr>
    <w:r>
      <w:rPr>
        <w:noProof/>
      </w:rPr>
      <w:pict w14:anchorId="4082E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5942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5B64" w14:textId="53F52458" w:rsidR="00F8458E" w:rsidRDefault="00CA51DF">
    <w:pPr>
      <w:pStyle w:val="Header"/>
    </w:pPr>
    <w:r>
      <w:rPr>
        <w:noProof/>
      </w:rPr>
      <w:pict w14:anchorId="5AA70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5942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192F3" w14:textId="43C6EED9" w:rsidR="00F8458E" w:rsidRDefault="00CA51DF">
    <w:pPr>
      <w:pStyle w:val="Header"/>
    </w:pPr>
    <w:r>
      <w:rPr>
        <w:noProof/>
      </w:rPr>
      <w:pict w14:anchorId="178AD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5942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CD94110"/>
    <w:multiLevelType w:val="multilevel"/>
    <w:tmpl w:val="7B666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72E8"/>
    <w:rsid w:val="00083071"/>
    <w:rsid w:val="000873B8"/>
    <w:rsid w:val="00172C50"/>
    <w:rsid w:val="001D0A8C"/>
    <w:rsid w:val="001D5C19"/>
    <w:rsid w:val="001F173C"/>
    <w:rsid w:val="00203600"/>
    <w:rsid w:val="0022155B"/>
    <w:rsid w:val="00241107"/>
    <w:rsid w:val="00247B9F"/>
    <w:rsid w:val="0032155B"/>
    <w:rsid w:val="00330932"/>
    <w:rsid w:val="00391A6A"/>
    <w:rsid w:val="005768AA"/>
    <w:rsid w:val="005A5785"/>
    <w:rsid w:val="005D0259"/>
    <w:rsid w:val="005E72E8"/>
    <w:rsid w:val="006B3A43"/>
    <w:rsid w:val="006B42FD"/>
    <w:rsid w:val="007316BA"/>
    <w:rsid w:val="00755A9F"/>
    <w:rsid w:val="0079339C"/>
    <w:rsid w:val="00850C44"/>
    <w:rsid w:val="00895B3F"/>
    <w:rsid w:val="008A7EB0"/>
    <w:rsid w:val="0096095D"/>
    <w:rsid w:val="009C0C38"/>
    <w:rsid w:val="009D718B"/>
    <w:rsid w:val="009F267E"/>
    <w:rsid w:val="00A15600"/>
    <w:rsid w:val="00A25762"/>
    <w:rsid w:val="00A35D19"/>
    <w:rsid w:val="00A4239E"/>
    <w:rsid w:val="00A45170"/>
    <w:rsid w:val="00A660F0"/>
    <w:rsid w:val="00A96A8B"/>
    <w:rsid w:val="00AB691E"/>
    <w:rsid w:val="00AD33E5"/>
    <w:rsid w:val="00B54C17"/>
    <w:rsid w:val="00B617BD"/>
    <w:rsid w:val="00BB1302"/>
    <w:rsid w:val="00BF421B"/>
    <w:rsid w:val="00C062D3"/>
    <w:rsid w:val="00C212C0"/>
    <w:rsid w:val="00C65C2E"/>
    <w:rsid w:val="00CA51DF"/>
    <w:rsid w:val="00CB436D"/>
    <w:rsid w:val="00CD7438"/>
    <w:rsid w:val="00D13EB7"/>
    <w:rsid w:val="00D21F49"/>
    <w:rsid w:val="00D65EFE"/>
    <w:rsid w:val="00DF71DA"/>
    <w:rsid w:val="00E32437"/>
    <w:rsid w:val="00E77526"/>
    <w:rsid w:val="00EA6A8E"/>
    <w:rsid w:val="00EB5187"/>
    <w:rsid w:val="00F060F9"/>
    <w:rsid w:val="00F32B76"/>
    <w:rsid w:val="00F8458E"/>
    <w:rsid w:val="00F92B23"/>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DE4291"/>
  <w15:docId w15:val="{A4A8989C-5A41-4FA3-AF7B-A1CD993D2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CB43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Heading1Char">
    <w:name w:val="Heading 1 Char"/>
    <w:basedOn w:val="DefaultParagraphFont"/>
    <w:link w:val="Heading1"/>
    <w:uiPriority w:val="9"/>
    <w:rsid w:val="00CB436D"/>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F267E"/>
    <w:rPr>
      <w:color w:val="605E5C"/>
      <w:shd w:val="clear" w:color="auto" w:fill="E1DFDD"/>
    </w:rPr>
  </w:style>
  <w:style w:type="paragraph" w:styleId="Header">
    <w:name w:val="header"/>
    <w:basedOn w:val="Normal"/>
    <w:link w:val="HeaderChar"/>
    <w:uiPriority w:val="99"/>
    <w:unhideWhenUsed/>
    <w:rsid w:val="00F84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58E"/>
  </w:style>
  <w:style w:type="paragraph" w:styleId="Footer">
    <w:name w:val="footer"/>
    <w:basedOn w:val="Normal"/>
    <w:link w:val="FooterChar"/>
    <w:uiPriority w:val="99"/>
    <w:unhideWhenUsed/>
    <w:rsid w:val="00F84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58E"/>
  </w:style>
  <w:style w:type="paragraph" w:customStyle="1" w:styleId="whitespace-normal">
    <w:name w:val="whitespace-normal"/>
    <w:basedOn w:val="Normal"/>
    <w:rsid w:val="00F060F9"/>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151555702">
      <w:bodyDiv w:val="1"/>
      <w:marLeft w:val="0"/>
      <w:marRight w:val="0"/>
      <w:marTop w:val="0"/>
      <w:marBottom w:val="0"/>
      <w:divBdr>
        <w:top w:val="none" w:sz="0" w:space="0" w:color="auto"/>
        <w:left w:val="none" w:sz="0" w:space="0" w:color="auto"/>
        <w:bottom w:val="none" w:sz="0" w:space="0" w:color="auto"/>
        <w:right w:val="none" w:sz="0" w:space="0" w:color="auto"/>
      </w:divBdr>
      <w:divsChild>
        <w:div w:id="1383748399">
          <w:marLeft w:val="0"/>
          <w:marRight w:val="0"/>
          <w:marTop w:val="0"/>
          <w:marBottom w:val="0"/>
          <w:divBdr>
            <w:top w:val="none" w:sz="0" w:space="0" w:color="auto"/>
            <w:left w:val="none" w:sz="0" w:space="0" w:color="auto"/>
            <w:bottom w:val="none" w:sz="0" w:space="0" w:color="auto"/>
            <w:right w:val="none" w:sz="0" w:space="0" w:color="auto"/>
          </w:divBdr>
          <w:divsChild>
            <w:div w:id="10826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03207106">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29356157">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20</Pages>
  <Words>5705</Words>
  <Characters>32524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1158</cp:lastModifiedBy>
  <cp:revision>47</cp:revision>
  <dcterms:created xsi:type="dcterms:W3CDTF">2025-03-30T16:47:00Z</dcterms:created>
  <dcterms:modified xsi:type="dcterms:W3CDTF">2025-10-15T11:51:00Z</dcterms:modified>
</cp:coreProperties>
</file>