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A0593" w14:textId="4ED1D9D9" w:rsidR="0079339C" w:rsidRPr="008F603E" w:rsidRDefault="00722A73" w:rsidP="0079339C">
      <w:pPr>
        <w:jc w:val="both"/>
        <w:rPr>
          <w:rFonts w:ascii="Times New Roman" w:hAnsi="Times New Roman" w:cs="Times New Roman"/>
          <w:b/>
          <w:bCs/>
          <w:sz w:val="24"/>
          <w:szCs w:val="24"/>
        </w:rPr>
      </w:pPr>
      <w:r w:rsidRPr="00CD100C">
        <w:rPr>
          <w:rFonts w:ascii="Times New Roman" w:hAnsi="Times New Roman" w:cs="Times New Roman"/>
          <w:b/>
          <w:bCs/>
          <w:highlight w:val="yellow"/>
        </w:rPr>
        <w:t xml:space="preserve">Impact of </w:t>
      </w:r>
      <w:r w:rsidR="00992B84" w:rsidRPr="00CD100C">
        <w:rPr>
          <w:rFonts w:ascii="Times New Roman" w:hAnsi="Times New Roman" w:cs="Times New Roman"/>
          <w:b/>
          <w:bCs/>
          <w:highlight w:val="yellow"/>
        </w:rPr>
        <w:t>Climate</w:t>
      </w:r>
      <w:r w:rsidR="00992B84" w:rsidRPr="00992B84">
        <w:rPr>
          <w:rFonts w:ascii="Times New Roman" w:hAnsi="Times New Roman" w:cs="Times New Roman"/>
          <w:b/>
          <w:bCs/>
        </w:rPr>
        <w:t xml:space="preserve"> Change </w:t>
      </w:r>
      <w:r w:rsidR="00992B84" w:rsidRPr="00CD100C">
        <w:rPr>
          <w:rFonts w:ascii="Times New Roman" w:hAnsi="Times New Roman" w:cs="Times New Roman"/>
          <w:b/>
          <w:bCs/>
          <w:highlight w:val="yellow"/>
        </w:rPr>
        <w:t>on Global</w:t>
      </w:r>
      <w:r w:rsidR="00992B84" w:rsidRPr="00992B84">
        <w:rPr>
          <w:rFonts w:ascii="Times New Roman" w:hAnsi="Times New Roman" w:cs="Times New Roman"/>
          <w:b/>
          <w:bCs/>
        </w:rPr>
        <w:t xml:space="preserve"> Agriculture</w:t>
      </w:r>
      <w:r w:rsidR="00144431">
        <w:rPr>
          <w:rFonts w:ascii="Times New Roman" w:hAnsi="Times New Roman" w:cs="Times New Roman"/>
          <w:b/>
          <w:bCs/>
        </w:rPr>
        <w:t xml:space="preserve">: </w:t>
      </w:r>
      <w:r w:rsidR="00992B84" w:rsidRPr="00992B84">
        <w:rPr>
          <w:rFonts w:ascii="Times New Roman" w:hAnsi="Times New Roman" w:cs="Times New Roman"/>
          <w:b/>
          <w:bCs/>
        </w:rPr>
        <w:t>A Review of Adaptation and Mitigation Strategies</w:t>
      </w:r>
    </w:p>
    <w:p w14:paraId="2D54868F" w14:textId="77777777" w:rsidR="005E72E8" w:rsidRDefault="005E72E8" w:rsidP="005E72E8">
      <w:pPr>
        <w:jc w:val="both"/>
        <w:rPr>
          <w:rFonts w:ascii="Times New Roman" w:hAnsi="Times New Roman" w:cs="Times New Roman"/>
          <w:b/>
          <w:bCs/>
          <w:sz w:val="24"/>
          <w:szCs w:val="24"/>
        </w:rPr>
      </w:pPr>
    </w:p>
    <w:p w14:paraId="48A6C7A5" w14:textId="77777777" w:rsidR="00E9679B" w:rsidRDefault="00E9679B" w:rsidP="00A605A1">
      <w:pPr>
        <w:jc w:val="both"/>
        <w:rPr>
          <w:rFonts w:ascii="Times New Roman" w:hAnsi="Times New Roman" w:cs="Times New Roman"/>
          <w:b/>
          <w:bCs/>
          <w:sz w:val="24"/>
          <w:szCs w:val="24"/>
        </w:rPr>
      </w:pPr>
    </w:p>
    <w:p w14:paraId="4145D664"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Abstract</w:t>
      </w:r>
    </w:p>
    <w:p w14:paraId="2F3E7ED0" w14:textId="7050AB5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 change poses unprecedented challenges to global agricultural systems, threatening food security and rural livelihoods worldwide</w:t>
      </w:r>
      <w:r w:rsidR="00722A73" w:rsidRPr="00CD100C">
        <w:rPr>
          <w:rFonts w:ascii="Times New Roman" w:hAnsi="Times New Roman" w:cs="Times New Roman"/>
          <w:sz w:val="24"/>
          <w:szCs w:val="24"/>
          <w:highlight w:val="yellow"/>
        </w:rPr>
        <w:t>. These climatic alterations directly affect crop phenology, pest and disease dynamics, water availability, and soil health, ultimately compromising agricultural productivity and farmer livelihoods.</w:t>
      </w:r>
      <w:r w:rsidR="00722A73">
        <w:rPr>
          <w:rFonts w:ascii="Times New Roman" w:hAnsi="Times New Roman" w:cs="Times New Roman"/>
          <w:sz w:val="24"/>
          <w:szCs w:val="24"/>
        </w:rPr>
        <w:t xml:space="preserve"> </w:t>
      </w:r>
      <w:r w:rsidRPr="00A605A1">
        <w:rPr>
          <w:rFonts w:ascii="Times New Roman" w:hAnsi="Times New Roman" w:cs="Times New Roman"/>
          <w:sz w:val="24"/>
          <w:szCs w:val="24"/>
        </w:rPr>
        <w:t>This comprehensive review examines the multifaceted impacts of climate change on agriculture, focusing on temperature variations, precipitation patterns, extreme weather events, and their cascading effects on crop productivity.</w:t>
      </w:r>
      <w:r w:rsidR="00C93131">
        <w:rPr>
          <w:rFonts w:ascii="Times New Roman" w:hAnsi="Times New Roman" w:cs="Times New Roman"/>
          <w:sz w:val="24"/>
          <w:szCs w:val="24"/>
        </w:rPr>
        <w:t xml:space="preserve"> </w:t>
      </w:r>
      <w:r w:rsidR="00C93131" w:rsidRPr="00CD100C">
        <w:rPr>
          <w:rFonts w:ascii="Times New Roman" w:hAnsi="Times New Roman" w:cs="Times New Roman"/>
          <w:sz w:val="24"/>
          <w:szCs w:val="24"/>
          <w:highlight w:val="yellow"/>
        </w:rPr>
        <w:t xml:space="preserve">The review </w:t>
      </w:r>
      <w:proofErr w:type="spellStart"/>
      <w:r w:rsidR="00C93131" w:rsidRPr="00CD100C">
        <w:rPr>
          <w:rFonts w:ascii="Times New Roman" w:hAnsi="Times New Roman" w:cs="Times New Roman"/>
          <w:sz w:val="24"/>
          <w:szCs w:val="24"/>
          <w:highlight w:val="yellow"/>
        </w:rPr>
        <w:t>synthesises</w:t>
      </w:r>
      <w:proofErr w:type="spellEnd"/>
      <w:r w:rsidR="00C93131" w:rsidRPr="00CD100C">
        <w:rPr>
          <w:rFonts w:ascii="Times New Roman" w:hAnsi="Times New Roman" w:cs="Times New Roman"/>
          <w:sz w:val="24"/>
          <w:szCs w:val="24"/>
          <w:highlight w:val="yellow"/>
        </w:rPr>
        <w:t xml:space="preserve"> current adaptation strategies, including crop diversification, improved irrigation systems, climate-resilient varieties, and precision agriculture technologies.</w:t>
      </w:r>
      <w:r w:rsidR="00C93131" w:rsidRPr="00A605A1">
        <w:rPr>
          <w:rFonts w:ascii="Times New Roman" w:hAnsi="Times New Roman" w:cs="Times New Roman"/>
          <w:sz w:val="24"/>
          <w:szCs w:val="24"/>
        </w:rPr>
        <w:t xml:space="preserve"> </w:t>
      </w:r>
      <w:r w:rsidRPr="00A605A1">
        <w:rPr>
          <w:rFonts w:ascii="Times New Roman" w:hAnsi="Times New Roman" w:cs="Times New Roman"/>
          <w:sz w:val="24"/>
          <w:szCs w:val="24"/>
        </w:rPr>
        <w:t>Rising temperatures</w:t>
      </w:r>
      <w:r w:rsidR="00C8346C">
        <w:rPr>
          <w:rFonts w:ascii="Times New Roman" w:hAnsi="Times New Roman" w:cs="Times New Roman"/>
          <w:sz w:val="24"/>
          <w:szCs w:val="24"/>
        </w:rPr>
        <w:t xml:space="preserve"> </w:t>
      </w:r>
      <w:r w:rsidR="00C8346C" w:rsidRPr="00CD100C">
        <w:rPr>
          <w:rFonts w:ascii="Times New Roman" w:hAnsi="Times New Roman" w:cs="Times New Roman"/>
          <w:sz w:val="24"/>
          <w:szCs w:val="24"/>
          <w:highlight w:val="yellow"/>
        </w:rPr>
        <w:t xml:space="preserve">led to </w:t>
      </w:r>
      <w:r w:rsidRPr="00CD100C">
        <w:rPr>
          <w:rFonts w:ascii="Times New Roman" w:hAnsi="Times New Roman" w:cs="Times New Roman"/>
          <w:sz w:val="24"/>
          <w:szCs w:val="24"/>
          <w:highlight w:val="yellow"/>
        </w:rPr>
        <w:t>alter</w:t>
      </w:r>
      <w:r w:rsidR="00C8346C" w:rsidRPr="00CD100C">
        <w:rPr>
          <w:rFonts w:ascii="Times New Roman" w:hAnsi="Times New Roman" w:cs="Times New Roman"/>
          <w:sz w:val="24"/>
          <w:szCs w:val="24"/>
          <w:highlight w:val="yellow"/>
        </w:rPr>
        <w:t>ations in the</w:t>
      </w:r>
      <w:r w:rsidRPr="00CD100C">
        <w:rPr>
          <w:rFonts w:ascii="Times New Roman" w:hAnsi="Times New Roman" w:cs="Times New Roman"/>
          <w:sz w:val="24"/>
          <w:szCs w:val="24"/>
          <w:highlight w:val="yellow"/>
        </w:rPr>
        <w:t xml:space="preserve"> rainfall</w:t>
      </w:r>
      <w:r w:rsidRPr="00A605A1">
        <w:rPr>
          <w:rFonts w:ascii="Times New Roman" w:hAnsi="Times New Roman" w:cs="Times New Roman"/>
          <w:sz w:val="24"/>
          <w:szCs w:val="24"/>
        </w:rPr>
        <w:t xml:space="preserve"> distributions</w:t>
      </w:r>
      <w:r w:rsidR="00C8346C" w:rsidRPr="00CD100C">
        <w:rPr>
          <w:rFonts w:ascii="Times New Roman" w:hAnsi="Times New Roman" w:cs="Times New Roman"/>
          <w:sz w:val="24"/>
          <w:szCs w:val="24"/>
          <w:highlight w:val="yellow"/>
        </w:rPr>
        <w:t xml:space="preserve">. Moreover, </w:t>
      </w:r>
      <w:r w:rsidRPr="00CD100C">
        <w:rPr>
          <w:rFonts w:ascii="Times New Roman" w:hAnsi="Times New Roman" w:cs="Times New Roman"/>
          <w:sz w:val="24"/>
          <w:szCs w:val="24"/>
          <w:highlight w:val="yellow"/>
        </w:rPr>
        <w:t>increased</w:t>
      </w:r>
      <w:r w:rsidRPr="00A605A1">
        <w:rPr>
          <w:rFonts w:ascii="Times New Roman" w:hAnsi="Times New Roman" w:cs="Times New Roman"/>
          <w:sz w:val="24"/>
          <w:szCs w:val="24"/>
        </w:rPr>
        <w:t xml:space="preserve"> frequency of droughts and floods </w:t>
      </w:r>
      <w:r w:rsidR="00C8346C" w:rsidRPr="00CD100C">
        <w:rPr>
          <w:rFonts w:ascii="Times New Roman" w:hAnsi="Times New Roman" w:cs="Times New Roman"/>
          <w:sz w:val="24"/>
          <w:szCs w:val="24"/>
          <w:highlight w:val="yellow"/>
        </w:rPr>
        <w:t xml:space="preserve">has </w:t>
      </w:r>
      <w:r w:rsidRPr="00CD100C">
        <w:rPr>
          <w:rFonts w:ascii="Times New Roman" w:hAnsi="Times New Roman" w:cs="Times New Roman"/>
          <w:sz w:val="24"/>
          <w:szCs w:val="24"/>
          <w:highlight w:val="yellow"/>
        </w:rPr>
        <w:t>si</w:t>
      </w:r>
      <w:r w:rsidRPr="00A605A1">
        <w:rPr>
          <w:rFonts w:ascii="Times New Roman" w:hAnsi="Times New Roman" w:cs="Times New Roman"/>
          <w:sz w:val="24"/>
          <w:szCs w:val="24"/>
        </w:rPr>
        <w:t xml:space="preserve">gnificantly disrupted traditional farming practices across diverse agro-ecological zones. </w:t>
      </w:r>
      <w:r w:rsidRPr="00CD100C">
        <w:rPr>
          <w:rFonts w:ascii="Times New Roman" w:hAnsi="Times New Roman" w:cs="Times New Roman"/>
          <w:sz w:val="24"/>
          <w:szCs w:val="24"/>
          <w:highlight w:val="yellow"/>
        </w:rPr>
        <w:t>Mitigation</w:t>
      </w:r>
      <w:r w:rsidRPr="00A605A1">
        <w:rPr>
          <w:rFonts w:ascii="Times New Roman" w:hAnsi="Times New Roman" w:cs="Times New Roman"/>
          <w:sz w:val="24"/>
          <w:szCs w:val="24"/>
        </w:rPr>
        <w:t xml:space="preserve"> approaches encompass carbon sequestration in agricultural soils, reduced greenhouse gas emissions from livestock, and sustainable land management practices. The analysis reveals that while developed nations have implemented advanced technological solutions, developing countries face substantial barriers in accessing and implementing climate-smart agricultural practices. Integrated approaches combining indigenous knowledge with modern scientific innovations show promise for enhancing agricultural resilience. The </w:t>
      </w:r>
      <w:r w:rsidRPr="00CD100C">
        <w:rPr>
          <w:rFonts w:ascii="Times New Roman" w:hAnsi="Times New Roman" w:cs="Times New Roman"/>
          <w:sz w:val="24"/>
          <w:szCs w:val="24"/>
          <w:highlight w:val="yellow"/>
        </w:rPr>
        <w:t xml:space="preserve">review </w:t>
      </w:r>
      <w:proofErr w:type="spellStart"/>
      <w:r w:rsidR="0039560F" w:rsidRPr="00CD100C">
        <w:rPr>
          <w:rFonts w:ascii="Times New Roman" w:hAnsi="Times New Roman" w:cs="Times New Roman"/>
          <w:sz w:val="24"/>
          <w:szCs w:val="24"/>
          <w:highlight w:val="yellow"/>
        </w:rPr>
        <w:t>emphasises</w:t>
      </w:r>
      <w:proofErr w:type="spellEnd"/>
      <w:r w:rsidR="0039560F"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the urgent need</w:t>
      </w:r>
      <w:r w:rsidRPr="00A605A1">
        <w:rPr>
          <w:rFonts w:ascii="Times New Roman" w:hAnsi="Times New Roman" w:cs="Times New Roman"/>
          <w:sz w:val="24"/>
          <w:szCs w:val="24"/>
        </w:rPr>
        <w:t xml:space="preserve"> for policy interventions, international cooperation, and increased investment in agricultural research and development. Future agricultural sustainability depends on implementing context-specific strategies that balance productivity, environmental conservation, and socio-economic viability. This synthesis provides critical insights for researchers, policymakers, and practitioners working towards climate-resilient agricultural systems in the face of ongoing environmental changes.</w:t>
      </w:r>
    </w:p>
    <w:p w14:paraId="0B93CC28" w14:textId="2E0AF04F" w:rsidR="00A605A1" w:rsidRPr="00CD100C" w:rsidRDefault="00A605A1" w:rsidP="00A605A1">
      <w:pPr>
        <w:jc w:val="both"/>
        <w:rPr>
          <w:rFonts w:ascii="Times New Roman" w:hAnsi="Times New Roman" w:cs="Times New Roman"/>
          <w:i/>
          <w:iCs/>
          <w:sz w:val="24"/>
          <w:szCs w:val="24"/>
        </w:rPr>
      </w:pPr>
      <w:r w:rsidRPr="00A605A1">
        <w:rPr>
          <w:rFonts w:ascii="Times New Roman" w:hAnsi="Times New Roman" w:cs="Times New Roman"/>
          <w:b/>
          <w:bCs/>
          <w:sz w:val="24"/>
          <w:szCs w:val="24"/>
        </w:rPr>
        <w:t>Keywords:</w:t>
      </w:r>
      <w:r w:rsidRPr="00A605A1">
        <w:rPr>
          <w:rFonts w:ascii="Times New Roman" w:hAnsi="Times New Roman" w:cs="Times New Roman"/>
          <w:sz w:val="24"/>
          <w:szCs w:val="24"/>
        </w:rPr>
        <w:t xml:space="preserve"> </w:t>
      </w:r>
      <w:r w:rsidR="0039560F" w:rsidRPr="0039560F">
        <w:rPr>
          <w:rFonts w:ascii="Times New Roman" w:hAnsi="Times New Roman" w:cs="Times New Roman"/>
          <w:i/>
          <w:iCs/>
          <w:sz w:val="24"/>
          <w:szCs w:val="24"/>
        </w:rPr>
        <w:t>climate adaptation, agricultural resilience, mitigation strategies, food security, sustainable farming</w:t>
      </w:r>
    </w:p>
    <w:p w14:paraId="400BBECC"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Introduction</w:t>
      </w:r>
    </w:p>
    <w:p w14:paraId="1DA36EA7" w14:textId="44E0B05C"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The intricate relationship between climate change and global agriculture represents one of the most pressing challenges of the 21st century. As anthropogenic activities continue to alter the Earth's climate system, agricultural sectors worldwide face unprecedented disruptions that threaten food security, economic stability, and environmental sustainability</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(Xing &amp; Wang, 2024</w:t>
      </w:r>
      <w:r w:rsidR="00222298">
        <w:rPr>
          <w:rFonts w:ascii="Times New Roman" w:hAnsi="Times New Roman" w:cs="Times New Roman"/>
          <w:sz w:val="24"/>
          <w:szCs w:val="24"/>
        </w:rPr>
        <w:t xml:space="preserve">; </w:t>
      </w:r>
      <w:r w:rsidR="00222298" w:rsidRPr="00222298">
        <w:rPr>
          <w:rFonts w:ascii="Times New Roman" w:hAnsi="Times New Roman" w:cs="Times New Roman"/>
          <w:sz w:val="24"/>
          <w:szCs w:val="24"/>
          <w:highlight w:val="yellow"/>
        </w:rPr>
        <w:t>Datta</w:t>
      </w:r>
      <w:r w:rsidR="00222298">
        <w:rPr>
          <w:rFonts w:ascii="Times New Roman" w:hAnsi="Times New Roman" w:cs="Times New Roman"/>
          <w:sz w:val="24"/>
          <w:szCs w:val="24"/>
          <w:highlight w:val="yellow"/>
        </w:rPr>
        <w:t xml:space="preserve"> </w:t>
      </w:r>
      <w:r w:rsidR="00222298" w:rsidRPr="00222298">
        <w:rPr>
          <w:rFonts w:ascii="Times New Roman" w:hAnsi="Times New Roman" w:cs="Times New Roman"/>
          <w:sz w:val="24"/>
          <w:szCs w:val="24"/>
          <w:highlight w:val="yellow"/>
        </w:rPr>
        <w:t xml:space="preserve">&amp; </w:t>
      </w:r>
      <w:r w:rsidR="00222298" w:rsidRPr="00D64DC9">
        <w:rPr>
          <w:rFonts w:ascii="Times New Roman" w:hAnsi="Times New Roman" w:cs="Times New Roman"/>
          <w:sz w:val="24"/>
          <w:szCs w:val="24"/>
          <w:highlight w:val="yellow"/>
        </w:rPr>
        <w:t xml:space="preserve">Behera, </w:t>
      </w:r>
      <w:r w:rsidR="00222298" w:rsidRPr="00CD100C">
        <w:rPr>
          <w:rFonts w:ascii="Times New Roman" w:hAnsi="Times New Roman" w:cs="Times New Roman"/>
          <w:sz w:val="24"/>
          <w:szCs w:val="24"/>
          <w:highlight w:val="yellow"/>
        </w:rPr>
        <w:t>2022</w:t>
      </w:r>
      <w:r w:rsidR="00EE4F6C" w:rsidRPr="00CD100C">
        <w:rPr>
          <w:rFonts w:ascii="Times New Roman" w:hAnsi="Times New Roman" w:cs="Times New Roman"/>
          <w:sz w:val="24"/>
          <w:szCs w:val="24"/>
          <w:highlight w:val="yellow"/>
        </w:rPr>
        <w:t>)</w:t>
      </w:r>
      <w:r w:rsidRPr="00CD100C">
        <w:rPr>
          <w:rFonts w:ascii="Times New Roman" w:hAnsi="Times New Roman" w:cs="Times New Roman"/>
          <w:sz w:val="24"/>
          <w:szCs w:val="24"/>
          <w:highlight w:val="yellow"/>
        </w:rPr>
        <w:t>.</w:t>
      </w:r>
      <w:r w:rsidRPr="00A605A1">
        <w:rPr>
          <w:rFonts w:ascii="Times New Roman" w:hAnsi="Times New Roman" w:cs="Times New Roman"/>
          <w:sz w:val="24"/>
          <w:szCs w:val="24"/>
        </w:rPr>
        <w:t xml:space="preserve"> The Intergovernmental Panel on Climate Change (IPCC) reports indicate that global average temperatures have risen by approximately 1.1°C since pre-industrial times, with projections suggesting further increases of 1.5°C to 4°C by 2100, depending on emission scenarios (IPCC, 2021).</w:t>
      </w:r>
      <w:r w:rsidR="00B074AF">
        <w:rPr>
          <w:rFonts w:ascii="Times New Roman" w:hAnsi="Times New Roman" w:cs="Times New Roman"/>
          <w:sz w:val="24"/>
          <w:szCs w:val="24"/>
        </w:rPr>
        <w:t xml:space="preserve"> </w:t>
      </w:r>
      <w:r w:rsidR="00B074AF" w:rsidRPr="00CD100C">
        <w:rPr>
          <w:rFonts w:ascii="Times New Roman" w:hAnsi="Times New Roman" w:cs="Times New Roman"/>
          <w:sz w:val="24"/>
          <w:szCs w:val="24"/>
          <w:highlight w:val="yellow"/>
        </w:rPr>
        <w:t>Vulnerability depends on climate factors and the extent to which a system is exposed, its sensitivity, and adaptation capacity (Das, 2021).</w:t>
      </w:r>
      <w:r w:rsidR="00B074AF">
        <w:rPr>
          <w:rFonts w:ascii="Times New Roman" w:hAnsi="Times New Roman" w:cs="Times New Roman"/>
          <w:sz w:val="24"/>
          <w:szCs w:val="24"/>
        </w:rPr>
        <w:t xml:space="preserve"> </w:t>
      </w:r>
    </w:p>
    <w:p w14:paraId="21D8CEA4" w14:textId="438F506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Agriculture, being inherently climate-dependent, experiences profound impacts from these changes. The sector, which employs approximately 26% of the global workforce and contributes 4% to global GDP, faces mounting pressures from temperature extremes, erratic precipitation patterns, and increased frequency of extreme weather events (FAO, 2020). These climatic alterations directly affect crop phenology, pest and disease dynamics, water availability, and soil health, ultimately compromising agricultural productivity and farmer livelihoods</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(Bibi &amp; Rahman, 2023</w:t>
      </w:r>
      <w:r w:rsidR="00D5193C">
        <w:rPr>
          <w:rFonts w:ascii="Times New Roman" w:hAnsi="Times New Roman" w:cs="Times New Roman"/>
          <w:sz w:val="24"/>
          <w:szCs w:val="24"/>
        </w:rPr>
        <w:t xml:space="preserve">; </w:t>
      </w:r>
      <w:r w:rsidR="00D5193C" w:rsidRPr="00D5193C">
        <w:rPr>
          <w:rFonts w:ascii="Times New Roman" w:hAnsi="Times New Roman" w:cs="Times New Roman"/>
          <w:sz w:val="24"/>
          <w:szCs w:val="24"/>
          <w:highlight w:val="yellow"/>
        </w:rPr>
        <w:t>Ofori</w:t>
      </w:r>
      <w:r w:rsidR="00D5193C" w:rsidRPr="00CD100C">
        <w:rPr>
          <w:rFonts w:ascii="Times New Roman" w:hAnsi="Times New Roman" w:cs="Times New Roman"/>
          <w:sz w:val="24"/>
          <w:szCs w:val="24"/>
          <w:highlight w:val="yellow"/>
        </w:rPr>
        <w:t xml:space="preserve"> et al., 2021</w:t>
      </w:r>
      <w:r w:rsidR="00EE4F6C" w:rsidRPr="00CD100C">
        <w:rPr>
          <w:rFonts w:ascii="Times New Roman" w:hAnsi="Times New Roman" w:cs="Times New Roman"/>
          <w:sz w:val="24"/>
          <w:szCs w:val="24"/>
          <w:highlight w:val="yellow"/>
        </w:rPr>
        <w:t>)</w:t>
      </w:r>
      <w:r w:rsidRPr="00CD100C">
        <w:rPr>
          <w:rFonts w:ascii="Times New Roman" w:hAnsi="Times New Roman" w:cs="Times New Roman"/>
          <w:sz w:val="24"/>
          <w:szCs w:val="24"/>
          <w:highlight w:val="yellow"/>
        </w:rPr>
        <w:t>.</w:t>
      </w:r>
    </w:p>
    <w:p w14:paraId="157C387B" w14:textId="10E8EFB8" w:rsidR="00A605A1" w:rsidRPr="00A605A1" w:rsidRDefault="00AB2007" w:rsidP="00A605A1">
      <w:pPr>
        <w:jc w:val="both"/>
        <w:rPr>
          <w:rFonts w:ascii="Times New Roman" w:hAnsi="Times New Roman" w:cs="Times New Roman"/>
          <w:sz w:val="24"/>
          <w:szCs w:val="24"/>
        </w:rPr>
      </w:pPr>
      <w:r w:rsidRPr="00CD100C">
        <w:rPr>
          <w:rFonts w:ascii="Times New Roman" w:hAnsi="Times New Roman" w:cs="Times New Roman"/>
          <w:sz w:val="24"/>
          <w:szCs w:val="24"/>
          <w:highlight w:val="yellow"/>
        </w:rPr>
        <w:t xml:space="preserve">The region of South Asia exhibits a significantly elevated susceptibility to land and soil degradation. Extreme weather events, trade restrictions, and rising oil prices have resulted in the </w:t>
      </w:r>
      <w:proofErr w:type="spellStart"/>
      <w:r w:rsidRPr="00CD100C">
        <w:rPr>
          <w:rFonts w:ascii="Times New Roman" w:hAnsi="Times New Roman" w:cs="Times New Roman"/>
          <w:sz w:val="24"/>
          <w:szCs w:val="24"/>
          <w:highlight w:val="yellow"/>
        </w:rPr>
        <w:t>destabilisation</w:t>
      </w:r>
      <w:proofErr w:type="spellEnd"/>
      <w:r w:rsidRPr="00CD100C">
        <w:rPr>
          <w:rFonts w:ascii="Times New Roman" w:hAnsi="Times New Roman" w:cs="Times New Roman"/>
          <w:sz w:val="24"/>
          <w:szCs w:val="24"/>
          <w:highlight w:val="yellow"/>
        </w:rPr>
        <w:t xml:space="preserve"> of food security in the area</w:t>
      </w:r>
      <w:r>
        <w:rPr>
          <w:rFonts w:ascii="Times New Roman" w:hAnsi="Times New Roman" w:cs="Times New Roman"/>
          <w:sz w:val="24"/>
          <w:szCs w:val="24"/>
          <w:highlight w:val="yellow"/>
        </w:rPr>
        <w:t xml:space="preserve"> (</w:t>
      </w:r>
      <w:r w:rsidRPr="00AB2007">
        <w:rPr>
          <w:rFonts w:ascii="Times New Roman" w:hAnsi="Times New Roman" w:cs="Times New Roman"/>
          <w:sz w:val="24"/>
          <w:szCs w:val="24"/>
          <w:highlight w:val="yellow"/>
        </w:rPr>
        <w:t>Rehman</w:t>
      </w:r>
      <w:r>
        <w:rPr>
          <w:rFonts w:ascii="Times New Roman" w:hAnsi="Times New Roman" w:cs="Times New Roman"/>
          <w:sz w:val="24"/>
          <w:szCs w:val="24"/>
          <w:highlight w:val="yellow"/>
        </w:rPr>
        <w:t xml:space="preserve"> et al., 2024)</w:t>
      </w:r>
      <w:r w:rsidRPr="00CD100C">
        <w:rPr>
          <w:rFonts w:ascii="Times New Roman" w:hAnsi="Times New Roman" w:cs="Times New Roman"/>
          <w:sz w:val="24"/>
          <w:szCs w:val="24"/>
          <w:highlight w:val="yellow"/>
        </w:rPr>
        <w:t>.</w:t>
      </w:r>
      <w:r w:rsidRPr="00AB2007">
        <w:rPr>
          <w:rFonts w:ascii="Times New Roman" w:hAnsi="Times New Roman" w:cs="Times New Roman"/>
          <w:sz w:val="24"/>
          <w:szCs w:val="24"/>
        </w:rPr>
        <w:t xml:space="preserve"> </w:t>
      </w:r>
      <w:r w:rsidR="00A605A1" w:rsidRPr="00A605A1">
        <w:rPr>
          <w:rFonts w:ascii="Times New Roman" w:hAnsi="Times New Roman" w:cs="Times New Roman"/>
          <w:sz w:val="24"/>
          <w:szCs w:val="24"/>
        </w:rPr>
        <w:t>The Indian subcontinent, home to diverse agro-ecological zones and supporting nearly 600 million farmers, exemplifies the complex challenges faced by agricultural systems under climate change. From the Indo-Gangetic plains to the coastal regions, farmers grapple with monsoon variability, heat stress, and unpredictable weather patterns that disrupt traditional farming calendars and practices (Kumar et al., 2021</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Praveen &amp; Sharma, 2019</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Nelson et al., 2009</w:t>
      </w:r>
      <w:r w:rsidR="00A605A1" w:rsidRPr="00A605A1">
        <w:rPr>
          <w:rFonts w:ascii="Times New Roman" w:hAnsi="Times New Roman" w:cs="Times New Roman"/>
          <w:sz w:val="24"/>
          <w:szCs w:val="24"/>
        </w:rPr>
        <w:t xml:space="preserve">). </w:t>
      </w:r>
      <w:r w:rsidR="006E3642" w:rsidRPr="00CD100C">
        <w:rPr>
          <w:rFonts w:ascii="Times New Roman" w:hAnsi="Times New Roman" w:cs="Times New Roman"/>
          <w:sz w:val="24"/>
          <w:szCs w:val="24"/>
          <w:highlight w:val="yellow"/>
        </w:rPr>
        <w:t>Drought and salinity are the two primary consequences of increasing temperatures that pose challenges to</w:t>
      </w:r>
      <w:r w:rsidR="00DB0935">
        <w:rPr>
          <w:rFonts w:ascii="Times New Roman" w:hAnsi="Times New Roman" w:cs="Times New Roman"/>
          <w:sz w:val="24"/>
          <w:szCs w:val="24"/>
          <w:highlight w:val="yellow"/>
        </w:rPr>
        <w:t xml:space="preserve"> </w:t>
      </w:r>
      <w:r w:rsidR="006E3642" w:rsidRPr="00CD100C">
        <w:rPr>
          <w:rFonts w:ascii="Times New Roman" w:hAnsi="Times New Roman" w:cs="Times New Roman"/>
          <w:sz w:val="24"/>
          <w:szCs w:val="24"/>
          <w:highlight w:val="yellow"/>
        </w:rPr>
        <w:t>vegetable cultivation (</w:t>
      </w:r>
      <w:r w:rsidR="00DB0935" w:rsidRPr="00DB0935">
        <w:rPr>
          <w:rFonts w:ascii="Times New Roman" w:hAnsi="Times New Roman" w:cs="Times New Roman"/>
          <w:sz w:val="24"/>
          <w:szCs w:val="24"/>
          <w:highlight w:val="yellow"/>
        </w:rPr>
        <w:t>Bhatia</w:t>
      </w:r>
      <w:r w:rsidR="00DB0935">
        <w:rPr>
          <w:rFonts w:ascii="Times New Roman" w:hAnsi="Times New Roman" w:cs="Times New Roman"/>
          <w:sz w:val="24"/>
          <w:szCs w:val="24"/>
          <w:highlight w:val="yellow"/>
        </w:rPr>
        <w:t xml:space="preserve"> et al., 2025</w:t>
      </w:r>
      <w:r w:rsidR="00DC58A8">
        <w:rPr>
          <w:rFonts w:ascii="Times New Roman" w:hAnsi="Times New Roman" w:cs="Times New Roman"/>
          <w:sz w:val="24"/>
          <w:szCs w:val="24"/>
          <w:highlight w:val="yellow"/>
        </w:rPr>
        <w:t xml:space="preserve">; </w:t>
      </w:r>
      <w:proofErr w:type="spellStart"/>
      <w:r w:rsidR="00DC58A8" w:rsidRPr="00DC58A8">
        <w:rPr>
          <w:rFonts w:ascii="Times New Roman" w:hAnsi="Times New Roman" w:cs="Times New Roman"/>
          <w:sz w:val="24"/>
          <w:szCs w:val="24"/>
          <w:highlight w:val="yellow"/>
        </w:rPr>
        <w:t>Bedeke</w:t>
      </w:r>
      <w:proofErr w:type="spellEnd"/>
      <w:r w:rsidR="00DC58A8">
        <w:rPr>
          <w:rFonts w:ascii="Times New Roman" w:hAnsi="Times New Roman" w:cs="Times New Roman"/>
          <w:sz w:val="24"/>
          <w:szCs w:val="24"/>
          <w:highlight w:val="yellow"/>
        </w:rPr>
        <w:t>, 2023</w:t>
      </w:r>
      <w:r w:rsidR="006E3642" w:rsidRPr="00CD100C">
        <w:rPr>
          <w:rFonts w:ascii="Times New Roman" w:hAnsi="Times New Roman" w:cs="Times New Roman"/>
          <w:sz w:val="24"/>
          <w:szCs w:val="24"/>
          <w:highlight w:val="yellow"/>
        </w:rPr>
        <w:t>).</w:t>
      </w:r>
      <w:r w:rsidR="006E3642">
        <w:rPr>
          <w:rFonts w:ascii="Times New Roman" w:hAnsi="Times New Roman" w:cs="Times New Roman"/>
          <w:sz w:val="24"/>
          <w:szCs w:val="24"/>
        </w:rPr>
        <w:t xml:space="preserve"> </w:t>
      </w:r>
      <w:r w:rsidR="00A605A1" w:rsidRPr="00A605A1">
        <w:rPr>
          <w:rFonts w:ascii="Times New Roman" w:hAnsi="Times New Roman" w:cs="Times New Roman"/>
          <w:sz w:val="24"/>
          <w:szCs w:val="24"/>
        </w:rPr>
        <w:t>The situation mirrors global trends where smallholder farmers, who produce 80% of the world's food, remain particularly vulnerable to climate impacts due to limited adaptive capacity and resource constraints</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w:t>
      </w:r>
      <w:proofErr w:type="spellStart"/>
      <w:r w:rsidR="00EE4F6C" w:rsidRPr="00EE4F6C">
        <w:rPr>
          <w:rFonts w:ascii="Times New Roman" w:hAnsi="Times New Roman" w:cs="Times New Roman"/>
          <w:sz w:val="24"/>
          <w:szCs w:val="24"/>
        </w:rPr>
        <w:t>Nsabiyeze</w:t>
      </w:r>
      <w:proofErr w:type="spellEnd"/>
      <w:r w:rsidR="00EE4F6C" w:rsidRPr="00EE4F6C">
        <w:rPr>
          <w:rFonts w:ascii="Times New Roman" w:hAnsi="Times New Roman" w:cs="Times New Roman"/>
          <w:sz w:val="24"/>
          <w:szCs w:val="24"/>
        </w:rPr>
        <w:t xml:space="preserve"> et al., 2024)</w:t>
      </w:r>
      <w:r w:rsidR="00A605A1" w:rsidRPr="00A605A1">
        <w:rPr>
          <w:rFonts w:ascii="Times New Roman" w:hAnsi="Times New Roman" w:cs="Times New Roman"/>
          <w:sz w:val="24"/>
          <w:szCs w:val="24"/>
        </w:rPr>
        <w:t>.</w:t>
      </w:r>
    </w:p>
    <w:p w14:paraId="598F846C"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1: Major Climate Change Impacts on Global Agriculture</w:t>
      </w:r>
    </w:p>
    <w:tbl>
      <w:tblPr>
        <w:tblStyle w:val="TableGrid"/>
        <w:tblW w:w="0" w:type="auto"/>
        <w:tblLook w:val="04A0" w:firstRow="1" w:lastRow="0" w:firstColumn="1" w:lastColumn="0" w:noHBand="0" w:noVBand="1"/>
      </w:tblPr>
      <w:tblGrid>
        <w:gridCol w:w="1430"/>
        <w:gridCol w:w="2026"/>
        <w:gridCol w:w="1597"/>
        <w:gridCol w:w="1363"/>
        <w:gridCol w:w="1662"/>
        <w:gridCol w:w="1272"/>
      </w:tblGrid>
      <w:tr w:rsidR="00E9679B" w:rsidRPr="00A605A1" w14:paraId="578D12F9" w14:textId="77777777" w:rsidTr="00E9679B">
        <w:tc>
          <w:tcPr>
            <w:tcW w:w="0" w:type="auto"/>
            <w:hideMark/>
          </w:tcPr>
          <w:p w14:paraId="71D816D9"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Impact Category</w:t>
            </w:r>
          </w:p>
        </w:tc>
        <w:tc>
          <w:tcPr>
            <w:tcW w:w="0" w:type="auto"/>
            <w:hideMark/>
          </w:tcPr>
          <w:p w14:paraId="09F16717"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Temperature Effects</w:t>
            </w:r>
          </w:p>
        </w:tc>
        <w:tc>
          <w:tcPr>
            <w:tcW w:w="0" w:type="auto"/>
            <w:hideMark/>
          </w:tcPr>
          <w:p w14:paraId="0D0C9255"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Precipitation Changes</w:t>
            </w:r>
          </w:p>
        </w:tc>
        <w:tc>
          <w:tcPr>
            <w:tcW w:w="0" w:type="auto"/>
            <w:hideMark/>
          </w:tcPr>
          <w:p w14:paraId="36568A77"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Extreme Events</w:t>
            </w:r>
          </w:p>
        </w:tc>
        <w:tc>
          <w:tcPr>
            <w:tcW w:w="0" w:type="auto"/>
            <w:hideMark/>
          </w:tcPr>
          <w:p w14:paraId="310ACAED"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Regional Variations</w:t>
            </w:r>
          </w:p>
        </w:tc>
        <w:tc>
          <w:tcPr>
            <w:tcW w:w="0" w:type="auto"/>
            <w:hideMark/>
          </w:tcPr>
          <w:p w14:paraId="0617BBD2"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Economic Losses (USD)</w:t>
            </w:r>
          </w:p>
        </w:tc>
      </w:tr>
      <w:tr w:rsidR="00E9679B" w:rsidRPr="00A605A1" w14:paraId="5B679B7B" w14:textId="77777777" w:rsidTr="00E9679B">
        <w:tc>
          <w:tcPr>
            <w:tcW w:w="0" w:type="auto"/>
            <w:hideMark/>
          </w:tcPr>
          <w:p w14:paraId="5A1DB05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Crop Yield Reduction</w:t>
            </w:r>
          </w:p>
        </w:tc>
        <w:tc>
          <w:tcPr>
            <w:tcW w:w="0" w:type="auto"/>
            <w:hideMark/>
          </w:tcPr>
          <w:p w14:paraId="4002402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Heat stress on grain filling</w:t>
            </w:r>
          </w:p>
        </w:tc>
        <w:tc>
          <w:tcPr>
            <w:tcW w:w="0" w:type="auto"/>
            <w:hideMark/>
          </w:tcPr>
          <w:p w14:paraId="31634C5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Drought-induced losses</w:t>
            </w:r>
          </w:p>
        </w:tc>
        <w:tc>
          <w:tcPr>
            <w:tcW w:w="0" w:type="auto"/>
            <w:hideMark/>
          </w:tcPr>
          <w:p w14:paraId="4974865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Flood damage to crops</w:t>
            </w:r>
          </w:p>
        </w:tc>
        <w:tc>
          <w:tcPr>
            <w:tcW w:w="0" w:type="auto"/>
            <w:hideMark/>
          </w:tcPr>
          <w:p w14:paraId="16527E3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Tropical regions most affected</w:t>
            </w:r>
          </w:p>
        </w:tc>
        <w:tc>
          <w:tcPr>
            <w:tcW w:w="0" w:type="auto"/>
            <w:hideMark/>
          </w:tcPr>
          <w:p w14:paraId="75BFD55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5-10 billion annually</w:t>
            </w:r>
          </w:p>
        </w:tc>
      </w:tr>
      <w:tr w:rsidR="00E9679B" w:rsidRPr="00A605A1" w14:paraId="10F9BF99" w14:textId="77777777" w:rsidTr="00E9679B">
        <w:tc>
          <w:tcPr>
            <w:tcW w:w="0" w:type="auto"/>
            <w:hideMark/>
          </w:tcPr>
          <w:p w14:paraId="30C49EB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Soil Degradation</w:t>
            </w:r>
          </w:p>
        </w:tc>
        <w:tc>
          <w:tcPr>
            <w:tcW w:w="0" w:type="auto"/>
            <w:hideMark/>
          </w:tcPr>
          <w:p w14:paraId="0209B4F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Increased erosion rates</w:t>
            </w:r>
          </w:p>
        </w:tc>
        <w:tc>
          <w:tcPr>
            <w:tcW w:w="0" w:type="auto"/>
            <w:hideMark/>
          </w:tcPr>
          <w:p w14:paraId="496F289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Reduced moisture retention</w:t>
            </w:r>
          </w:p>
        </w:tc>
        <w:tc>
          <w:tcPr>
            <w:tcW w:w="0" w:type="auto"/>
            <w:hideMark/>
          </w:tcPr>
          <w:p w14:paraId="4874F4A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Landslides and washouts</w:t>
            </w:r>
          </w:p>
        </w:tc>
        <w:tc>
          <w:tcPr>
            <w:tcW w:w="0" w:type="auto"/>
            <w:hideMark/>
          </w:tcPr>
          <w:p w14:paraId="49DBC78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Semi-arid zones vulnerable</w:t>
            </w:r>
          </w:p>
        </w:tc>
        <w:tc>
          <w:tcPr>
            <w:tcW w:w="0" w:type="auto"/>
            <w:hideMark/>
          </w:tcPr>
          <w:p w14:paraId="0F82336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3-5 billion annually</w:t>
            </w:r>
          </w:p>
        </w:tc>
      </w:tr>
      <w:tr w:rsidR="00E9679B" w:rsidRPr="00A605A1" w14:paraId="4D8747BD" w14:textId="77777777" w:rsidTr="00E9679B">
        <w:tc>
          <w:tcPr>
            <w:tcW w:w="0" w:type="auto"/>
            <w:hideMark/>
          </w:tcPr>
          <w:p w14:paraId="5837FC4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Water Stress</w:t>
            </w:r>
          </w:p>
        </w:tc>
        <w:tc>
          <w:tcPr>
            <w:tcW w:w="0" w:type="auto"/>
            <w:hideMark/>
          </w:tcPr>
          <w:p w14:paraId="76D5929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Higher evapotranspiration</w:t>
            </w:r>
          </w:p>
        </w:tc>
        <w:tc>
          <w:tcPr>
            <w:tcW w:w="0" w:type="auto"/>
            <w:hideMark/>
          </w:tcPr>
          <w:p w14:paraId="7A64CB0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Aquifer depletion</w:t>
            </w:r>
          </w:p>
        </w:tc>
        <w:tc>
          <w:tcPr>
            <w:tcW w:w="0" w:type="auto"/>
            <w:hideMark/>
          </w:tcPr>
          <w:p w14:paraId="07CD72E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Flash flood impacts</w:t>
            </w:r>
          </w:p>
        </w:tc>
        <w:tc>
          <w:tcPr>
            <w:tcW w:w="0" w:type="auto"/>
            <w:hideMark/>
          </w:tcPr>
          <w:p w14:paraId="6FBD098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Mediterranean regions critical</w:t>
            </w:r>
          </w:p>
        </w:tc>
        <w:tc>
          <w:tcPr>
            <w:tcW w:w="0" w:type="auto"/>
            <w:hideMark/>
          </w:tcPr>
          <w:p w14:paraId="4222D66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8-12 billion annually</w:t>
            </w:r>
          </w:p>
        </w:tc>
      </w:tr>
      <w:tr w:rsidR="00E9679B" w:rsidRPr="00A605A1" w14:paraId="72D39C5D" w14:textId="77777777" w:rsidTr="00E9679B">
        <w:tc>
          <w:tcPr>
            <w:tcW w:w="0" w:type="auto"/>
            <w:hideMark/>
          </w:tcPr>
          <w:p w14:paraId="59D80B3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Pest Outbreaks</w:t>
            </w:r>
          </w:p>
        </w:tc>
        <w:tc>
          <w:tcPr>
            <w:tcW w:w="0" w:type="auto"/>
            <w:hideMark/>
          </w:tcPr>
          <w:p w14:paraId="5032B92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Expanded pest ranges</w:t>
            </w:r>
          </w:p>
        </w:tc>
        <w:tc>
          <w:tcPr>
            <w:tcW w:w="0" w:type="auto"/>
            <w:hideMark/>
          </w:tcPr>
          <w:p w14:paraId="44F6299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Favorable breeding conditions</w:t>
            </w:r>
          </w:p>
        </w:tc>
        <w:tc>
          <w:tcPr>
            <w:tcW w:w="0" w:type="auto"/>
            <w:hideMark/>
          </w:tcPr>
          <w:p w14:paraId="32A7766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Storm-spread infestations</w:t>
            </w:r>
          </w:p>
        </w:tc>
        <w:tc>
          <w:tcPr>
            <w:tcW w:w="0" w:type="auto"/>
            <w:hideMark/>
          </w:tcPr>
          <w:p w14:paraId="5D77203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Temperate zone invasions</w:t>
            </w:r>
          </w:p>
        </w:tc>
        <w:tc>
          <w:tcPr>
            <w:tcW w:w="0" w:type="auto"/>
            <w:hideMark/>
          </w:tcPr>
          <w:p w14:paraId="3E1CD2E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2-4 billion annually</w:t>
            </w:r>
          </w:p>
        </w:tc>
      </w:tr>
      <w:tr w:rsidR="00E9679B" w:rsidRPr="00A605A1" w14:paraId="09F2229A" w14:textId="77777777" w:rsidTr="00E9679B">
        <w:tc>
          <w:tcPr>
            <w:tcW w:w="0" w:type="auto"/>
            <w:hideMark/>
          </w:tcPr>
          <w:p w14:paraId="3B22A1A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Livestock Impacts</w:t>
            </w:r>
          </w:p>
        </w:tc>
        <w:tc>
          <w:tcPr>
            <w:tcW w:w="0" w:type="auto"/>
            <w:hideMark/>
          </w:tcPr>
          <w:p w14:paraId="3AA180D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Heat stress mortality</w:t>
            </w:r>
          </w:p>
        </w:tc>
        <w:tc>
          <w:tcPr>
            <w:tcW w:w="0" w:type="auto"/>
            <w:hideMark/>
          </w:tcPr>
          <w:p w14:paraId="60D81F1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Pasture degradation</w:t>
            </w:r>
          </w:p>
        </w:tc>
        <w:tc>
          <w:tcPr>
            <w:tcW w:w="0" w:type="auto"/>
            <w:hideMark/>
          </w:tcPr>
          <w:p w14:paraId="5E2D28D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Disease outbreaks</w:t>
            </w:r>
          </w:p>
        </w:tc>
        <w:tc>
          <w:tcPr>
            <w:tcW w:w="0" w:type="auto"/>
            <w:hideMark/>
          </w:tcPr>
          <w:p w14:paraId="0584B38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Pastoral systems affected</w:t>
            </w:r>
          </w:p>
        </w:tc>
        <w:tc>
          <w:tcPr>
            <w:tcW w:w="0" w:type="auto"/>
            <w:hideMark/>
          </w:tcPr>
          <w:p w14:paraId="4EE6DE7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4-6 billion annually</w:t>
            </w:r>
          </w:p>
        </w:tc>
      </w:tr>
      <w:tr w:rsidR="00E9679B" w:rsidRPr="00A605A1" w14:paraId="53F28DF4" w14:textId="77777777" w:rsidTr="00E9679B">
        <w:tc>
          <w:tcPr>
            <w:tcW w:w="0" w:type="auto"/>
            <w:hideMark/>
          </w:tcPr>
          <w:p w14:paraId="2926227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Coastal Agriculture</w:t>
            </w:r>
          </w:p>
        </w:tc>
        <w:tc>
          <w:tcPr>
            <w:tcW w:w="0" w:type="auto"/>
            <w:hideMark/>
          </w:tcPr>
          <w:p w14:paraId="37053C1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Sea level rise effects</w:t>
            </w:r>
          </w:p>
        </w:tc>
        <w:tc>
          <w:tcPr>
            <w:tcW w:w="0" w:type="auto"/>
            <w:hideMark/>
          </w:tcPr>
          <w:p w14:paraId="5EDF512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Saltwater intrusion</w:t>
            </w:r>
          </w:p>
        </w:tc>
        <w:tc>
          <w:tcPr>
            <w:tcW w:w="0" w:type="auto"/>
            <w:hideMark/>
          </w:tcPr>
          <w:p w14:paraId="3838A58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Storm surge damage</w:t>
            </w:r>
          </w:p>
        </w:tc>
        <w:tc>
          <w:tcPr>
            <w:tcW w:w="0" w:type="auto"/>
            <w:hideMark/>
          </w:tcPr>
          <w:p w14:paraId="7033D30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Delta regions threatened</w:t>
            </w:r>
          </w:p>
        </w:tc>
        <w:tc>
          <w:tcPr>
            <w:tcW w:w="0" w:type="auto"/>
            <w:hideMark/>
          </w:tcPr>
          <w:p w14:paraId="0F33DEA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6-8 billion annually</w:t>
            </w:r>
          </w:p>
        </w:tc>
      </w:tr>
      <w:tr w:rsidR="00E9679B" w:rsidRPr="00A605A1" w14:paraId="01FE4E24" w14:textId="77777777" w:rsidTr="00E9679B">
        <w:tc>
          <w:tcPr>
            <w:tcW w:w="0" w:type="auto"/>
            <w:hideMark/>
          </w:tcPr>
          <w:p w14:paraId="1B3CB43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Mountain Agriculture</w:t>
            </w:r>
          </w:p>
        </w:tc>
        <w:tc>
          <w:tcPr>
            <w:tcW w:w="0" w:type="auto"/>
            <w:hideMark/>
          </w:tcPr>
          <w:p w14:paraId="02D97A8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Glacial melt impacts</w:t>
            </w:r>
          </w:p>
        </w:tc>
        <w:tc>
          <w:tcPr>
            <w:tcW w:w="0" w:type="auto"/>
            <w:hideMark/>
          </w:tcPr>
          <w:p w14:paraId="6C3DF51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Altered snow patterns</w:t>
            </w:r>
          </w:p>
        </w:tc>
        <w:tc>
          <w:tcPr>
            <w:tcW w:w="0" w:type="auto"/>
            <w:hideMark/>
          </w:tcPr>
          <w:p w14:paraId="1FEF623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Avalanche risks</w:t>
            </w:r>
          </w:p>
        </w:tc>
        <w:tc>
          <w:tcPr>
            <w:tcW w:w="0" w:type="auto"/>
            <w:hideMark/>
          </w:tcPr>
          <w:p w14:paraId="3D97F56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Himalayan regions vulnerable</w:t>
            </w:r>
          </w:p>
        </w:tc>
        <w:tc>
          <w:tcPr>
            <w:tcW w:w="0" w:type="auto"/>
            <w:hideMark/>
          </w:tcPr>
          <w:p w14:paraId="09AE625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1-2 billion annually</w:t>
            </w:r>
          </w:p>
        </w:tc>
      </w:tr>
    </w:tbl>
    <w:p w14:paraId="14085B9A" w14:textId="6F8CAC81" w:rsidR="00E9679B" w:rsidRPr="00A605A1" w:rsidRDefault="00E9679B" w:rsidP="00E9679B">
      <w:pPr>
        <w:jc w:val="both"/>
        <w:rPr>
          <w:rFonts w:ascii="Times New Roman" w:hAnsi="Times New Roman" w:cs="Times New Roman"/>
          <w:sz w:val="24"/>
          <w:szCs w:val="24"/>
        </w:rPr>
      </w:pPr>
      <w:r w:rsidRPr="00A605A1">
        <w:rPr>
          <w:rFonts w:ascii="Times New Roman" w:hAnsi="Times New Roman" w:cs="Times New Roman"/>
          <w:sz w:val="24"/>
          <w:szCs w:val="24"/>
        </w:rPr>
        <w:t>Recent scientific evidence demonstrates that climate change affects agriculture through multiple pathways. Direct impacts include alterations in crop growth rates, changes in water availability, and shifts in suitable cultivation zones. Indirect effects manifest through changes in pest and disease prevalence, soil degradation, and market volatility. For instance, wheat production in major growing regions has declined by 5.5% due to temperature increases, while maize yields show significant variability linked to precipitation changes (Lobell et al., 2022</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Yuan et al., 2024</w:t>
      </w:r>
      <w:r w:rsidR="00EE4F6C">
        <w:rPr>
          <w:rFonts w:ascii="Times New Roman" w:hAnsi="Times New Roman" w:cs="Times New Roman"/>
          <w:sz w:val="24"/>
          <w:szCs w:val="24"/>
        </w:rPr>
        <w:t xml:space="preserve">; </w:t>
      </w:r>
      <w:proofErr w:type="spellStart"/>
      <w:r w:rsidR="00EE4F6C" w:rsidRPr="00EE4F6C">
        <w:rPr>
          <w:rFonts w:ascii="Times New Roman" w:hAnsi="Times New Roman" w:cs="Times New Roman"/>
          <w:sz w:val="24"/>
          <w:szCs w:val="24"/>
        </w:rPr>
        <w:t>Sinore</w:t>
      </w:r>
      <w:proofErr w:type="spellEnd"/>
      <w:r w:rsidR="00EE4F6C" w:rsidRPr="00EE4F6C">
        <w:rPr>
          <w:rFonts w:ascii="Times New Roman" w:hAnsi="Times New Roman" w:cs="Times New Roman"/>
          <w:sz w:val="24"/>
          <w:szCs w:val="24"/>
        </w:rPr>
        <w:t xml:space="preserve"> &amp; Wang, 2024</w:t>
      </w:r>
      <w:r w:rsidRPr="00A605A1">
        <w:rPr>
          <w:rFonts w:ascii="Times New Roman" w:hAnsi="Times New Roman" w:cs="Times New Roman"/>
          <w:sz w:val="24"/>
          <w:szCs w:val="24"/>
        </w:rPr>
        <w:t>).</w:t>
      </w:r>
    </w:p>
    <w:p w14:paraId="1FAECFFB" w14:textId="69E88E76" w:rsidR="00E9679B" w:rsidRPr="00A605A1" w:rsidRDefault="00E9679B" w:rsidP="00E9679B">
      <w:pPr>
        <w:jc w:val="both"/>
        <w:rPr>
          <w:rFonts w:ascii="Times New Roman" w:hAnsi="Times New Roman" w:cs="Times New Roman"/>
          <w:sz w:val="24"/>
          <w:szCs w:val="24"/>
        </w:rPr>
      </w:pPr>
      <w:r w:rsidRPr="00A605A1">
        <w:rPr>
          <w:rFonts w:ascii="Times New Roman" w:hAnsi="Times New Roman" w:cs="Times New Roman"/>
          <w:sz w:val="24"/>
          <w:szCs w:val="24"/>
        </w:rPr>
        <w:t>The urgency of addressing climate-agriculture interactions stems from projections indicating that global food demand will increase by 50% by 2050, driven by population growth and changing dietary preferences. Simultaneously, climate change could reduce agricultural productivity by 10-25% globally by 2050, creating a critical gap between food supply and demand (Wheeler &amp; von Braun, 2020). This convergence of increasing demand and declining productivity necessitates comprehensive strategies that enhance agricultural resilience while contributing to climate change mitigation</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(Safi et al., 2024)</w:t>
      </w:r>
      <w:r w:rsidRPr="00A605A1">
        <w:rPr>
          <w:rFonts w:ascii="Times New Roman" w:hAnsi="Times New Roman" w:cs="Times New Roman"/>
          <w:sz w:val="24"/>
          <w:szCs w:val="24"/>
        </w:rPr>
        <w:t>.</w:t>
      </w:r>
    </w:p>
    <w:p w14:paraId="106DA109" w14:textId="61CA2D3A" w:rsidR="00E9679B" w:rsidRPr="00A605A1" w:rsidRDefault="00E9679B" w:rsidP="00E9679B">
      <w:pPr>
        <w:jc w:val="both"/>
        <w:rPr>
          <w:rFonts w:ascii="Times New Roman" w:hAnsi="Times New Roman" w:cs="Times New Roman"/>
          <w:sz w:val="24"/>
          <w:szCs w:val="24"/>
        </w:rPr>
      </w:pPr>
      <w:r w:rsidRPr="00A605A1">
        <w:rPr>
          <w:rFonts w:ascii="Times New Roman" w:hAnsi="Times New Roman" w:cs="Times New Roman"/>
          <w:sz w:val="24"/>
          <w:szCs w:val="24"/>
        </w:rPr>
        <w:t>Understanding the complex dynamics between climate change and agriculture requires interdisciplinary approaches that integrate climatology, agronomy, economics, and social sciences</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(Baraj et al., 2024</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Omotoso &amp; Omotayo, 2024)</w:t>
      </w:r>
      <w:r w:rsidRPr="00A605A1">
        <w:rPr>
          <w:rFonts w:ascii="Times New Roman" w:hAnsi="Times New Roman" w:cs="Times New Roman"/>
          <w:sz w:val="24"/>
          <w:szCs w:val="24"/>
        </w:rPr>
        <w:t xml:space="preserve">. This </w:t>
      </w:r>
      <w:r w:rsidRPr="00CD100C">
        <w:rPr>
          <w:rFonts w:ascii="Times New Roman" w:hAnsi="Times New Roman" w:cs="Times New Roman"/>
          <w:sz w:val="24"/>
          <w:szCs w:val="24"/>
          <w:highlight w:val="yellow"/>
        </w:rPr>
        <w:t xml:space="preserve">review </w:t>
      </w:r>
      <w:proofErr w:type="spellStart"/>
      <w:r w:rsidR="00CB12A2" w:rsidRPr="00CD100C">
        <w:rPr>
          <w:rFonts w:ascii="Times New Roman" w:hAnsi="Times New Roman" w:cs="Times New Roman"/>
          <w:sz w:val="24"/>
          <w:szCs w:val="24"/>
          <w:highlight w:val="yellow"/>
        </w:rPr>
        <w:t>synthesises</w:t>
      </w:r>
      <w:proofErr w:type="spellEnd"/>
      <w:r w:rsidR="00CB12A2" w:rsidRPr="00A605A1">
        <w:rPr>
          <w:rFonts w:ascii="Times New Roman" w:hAnsi="Times New Roman" w:cs="Times New Roman"/>
          <w:sz w:val="24"/>
          <w:szCs w:val="24"/>
        </w:rPr>
        <w:t xml:space="preserve"> </w:t>
      </w:r>
      <w:r w:rsidRPr="00A605A1">
        <w:rPr>
          <w:rFonts w:ascii="Times New Roman" w:hAnsi="Times New Roman" w:cs="Times New Roman"/>
          <w:sz w:val="24"/>
          <w:szCs w:val="24"/>
        </w:rPr>
        <w:t>current knowledge on climate change impacts across different agricultural systems, evaluates adaptation and mitigation strategies, and identifies pathways toward sustainable agricultural transformation. By examining successful interventions and persistent challenges, this analysis aims to inform evidence-based decision-making for building climate-resilient agricultural systems capable of ensuring food security in an uncertain climatic future.</w:t>
      </w:r>
    </w:p>
    <w:p w14:paraId="58C7895F"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1: Global Temperature Anomalies and Agricultural Productivity</w:t>
      </w:r>
    </w:p>
    <w:p w14:paraId="79EDD6B4" w14:textId="77777777" w:rsidR="00E9679B" w:rsidRPr="00A605A1" w:rsidRDefault="00E9679B" w:rsidP="00A605A1">
      <w:pPr>
        <w:jc w:val="both"/>
        <w:rPr>
          <w:rFonts w:ascii="Times New Roman" w:hAnsi="Times New Roman" w:cs="Times New Roman"/>
          <w:b/>
          <w:bCs/>
          <w:sz w:val="24"/>
          <w:szCs w:val="24"/>
        </w:rPr>
      </w:pPr>
      <w:r>
        <w:rPr>
          <w:noProof/>
          <w:lang w:bidi="hi-IN"/>
        </w:rPr>
        <w:lastRenderedPageBreak/>
        <w:drawing>
          <wp:inline distT="0" distB="0" distL="0" distR="0" wp14:anchorId="377756EC" wp14:editId="784E79EB">
            <wp:extent cx="5753100" cy="3143250"/>
            <wp:effectExtent l="0" t="0" r="0" b="0"/>
            <wp:docPr id="1" name="Picture 1" descr="Effects of Global Warming on Agricultural Production - Farm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ects of Global Warming on Agricultural Production - Farmolo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14:paraId="3452A56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Climate Change Manifestations in Agriculture</w:t>
      </w:r>
    </w:p>
    <w:p w14:paraId="619F935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Temperature Variations and Crop Response</w:t>
      </w:r>
    </w:p>
    <w:p w14:paraId="41E367C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Temperature changes represent the most direct climate impact on agricultural systems. Global surface temperatures have increased at an unprecedented rate, with the last decade recording the warmest years in instrumental history. This warming trend profoundly affects crop physiology, particularly during critical growth stages such as flowering and grain filling. Research indicates that for every 1°C increase in global mean temperature, yields of major crops decline by 3-7% (Zhao et al., 2021).</w:t>
      </w:r>
    </w:p>
    <w:p w14:paraId="4C11704C"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Heat stress impacts manifest differently across crop species. Wheat (</w:t>
      </w:r>
      <w:r w:rsidRPr="00A605A1">
        <w:rPr>
          <w:rFonts w:ascii="Times New Roman" w:hAnsi="Times New Roman" w:cs="Times New Roman"/>
          <w:i/>
          <w:iCs/>
          <w:sz w:val="24"/>
          <w:szCs w:val="24"/>
        </w:rPr>
        <w:t>Triticum aestivum</w:t>
      </w:r>
      <w:r w:rsidRPr="00A605A1">
        <w:rPr>
          <w:rFonts w:ascii="Times New Roman" w:hAnsi="Times New Roman" w:cs="Times New Roman"/>
          <w:sz w:val="24"/>
          <w:szCs w:val="24"/>
        </w:rPr>
        <w:t>) experiences reduced grain formation when temperatures exceed 30°C during anthesis, while rice (</w:t>
      </w:r>
      <w:r w:rsidRPr="00A605A1">
        <w:rPr>
          <w:rFonts w:ascii="Times New Roman" w:hAnsi="Times New Roman" w:cs="Times New Roman"/>
          <w:i/>
          <w:iCs/>
          <w:sz w:val="24"/>
          <w:szCs w:val="24"/>
        </w:rPr>
        <w:t>Oryza sativa</w:t>
      </w:r>
      <w:r w:rsidRPr="00A605A1">
        <w:rPr>
          <w:rFonts w:ascii="Times New Roman" w:hAnsi="Times New Roman" w:cs="Times New Roman"/>
          <w:sz w:val="24"/>
          <w:szCs w:val="24"/>
        </w:rPr>
        <w:t>) shows spikelet sterility at temperatures above 35°C during flowering. Maize (</w:t>
      </w:r>
      <w:r w:rsidRPr="00A605A1">
        <w:rPr>
          <w:rFonts w:ascii="Times New Roman" w:hAnsi="Times New Roman" w:cs="Times New Roman"/>
          <w:i/>
          <w:iCs/>
          <w:sz w:val="24"/>
          <w:szCs w:val="24"/>
        </w:rPr>
        <w:t>Zea mays</w:t>
      </w:r>
      <w:r w:rsidRPr="00A605A1">
        <w:rPr>
          <w:rFonts w:ascii="Times New Roman" w:hAnsi="Times New Roman" w:cs="Times New Roman"/>
          <w:sz w:val="24"/>
          <w:szCs w:val="24"/>
        </w:rPr>
        <w:t>) demonstrates particular vulnerability to heat stress during silk emergence and pollen shed, with yield reductions of up to 90% under extreme temperature conditions (Prasad et al., 2022).</w:t>
      </w:r>
    </w:p>
    <w:p w14:paraId="540DEB20" w14:textId="2435F765"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The phenomenon of heat waves, </w:t>
      </w:r>
      <w:proofErr w:type="spellStart"/>
      <w:r w:rsidR="00CB12A2" w:rsidRPr="00CD100C">
        <w:rPr>
          <w:rFonts w:ascii="Times New Roman" w:hAnsi="Times New Roman" w:cs="Times New Roman"/>
          <w:sz w:val="24"/>
          <w:szCs w:val="24"/>
          <w:highlight w:val="yellow"/>
        </w:rPr>
        <w:t>characterised</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by</w:t>
      </w:r>
      <w:r w:rsidRPr="00A605A1">
        <w:rPr>
          <w:rFonts w:ascii="Times New Roman" w:hAnsi="Times New Roman" w:cs="Times New Roman"/>
          <w:sz w:val="24"/>
          <w:szCs w:val="24"/>
        </w:rPr>
        <w:t xml:space="preserve"> prolonged periods of excessively hot weather, has become increasingly frequent and intense. These events cause immediate physiological stress in plants, disrupting photosynthesis, respiration, and water relations. Moreover, nighttime temperature increases, often overlooked in climate assessments, significantly impact crop productivity by increasing respiratory losses and reducing net carbon assimilation.</w:t>
      </w:r>
    </w:p>
    <w:p w14:paraId="35020A76"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Precipitation Patterns and Water Availability</w:t>
      </w:r>
    </w:p>
    <w:p w14:paraId="2A58108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Climate change has fundamentally altered global precipitation patterns, creating a mosaic of water-stressed and flood-prone agricultural regions. The intensification of the hydrological cycle has resulted in more extreme precipitation events, with longer dry periods punctuated by intense </w:t>
      </w:r>
      <w:r w:rsidRPr="00A605A1">
        <w:rPr>
          <w:rFonts w:ascii="Times New Roman" w:hAnsi="Times New Roman" w:cs="Times New Roman"/>
          <w:sz w:val="24"/>
          <w:szCs w:val="24"/>
        </w:rPr>
        <w:lastRenderedPageBreak/>
        <w:t>rainfall. This variability poses severe challenges for rain-fed agriculture, which supports 80% of global cropland and produces 60% of the world's food (Mueller et al., 2021).</w:t>
      </w:r>
    </w:p>
    <w:p w14:paraId="0F80009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Monsoon systems, critical for agricultural production in South and Southeast Asia, show increasing variability in onset, duration, and intensity. The Indian summer monsoon, which provides 70% of annual rainfall for the subcontinent, has exhibited a weakening trend with more frequent break periods and extreme rainfall events. These changes disrupt traditional cropping calendars and increase production risks for millions of smallholder farmers.</w:t>
      </w:r>
    </w:p>
    <w:p w14:paraId="3CA25A2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Drought frequency and severity have increased across major agricultural regions, with particularly severe impacts in Australia, sub-Saharan Africa, and parts of North and South America. Extended drought periods not only reduce crop yields but also degrade soil structure, deplete groundwater resources, and increase vulnerability to wind erosion. The 2022 drought in the Horn of Africa affected over 36 million people, demonstrating the cascading impacts of precipitation deficits on food security.</w:t>
      </w:r>
    </w:p>
    <w:p w14:paraId="3B69225F"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2: Regional Climate Change Impacts on Major Crops</w:t>
      </w:r>
    </w:p>
    <w:tbl>
      <w:tblPr>
        <w:tblStyle w:val="TableGrid"/>
        <w:tblW w:w="0" w:type="auto"/>
        <w:tblLook w:val="04A0" w:firstRow="1" w:lastRow="0" w:firstColumn="1" w:lastColumn="0" w:noHBand="0" w:noVBand="1"/>
      </w:tblPr>
      <w:tblGrid>
        <w:gridCol w:w="1352"/>
        <w:gridCol w:w="1423"/>
        <w:gridCol w:w="1775"/>
        <w:gridCol w:w="1762"/>
        <w:gridCol w:w="1270"/>
        <w:gridCol w:w="1768"/>
      </w:tblGrid>
      <w:tr w:rsidR="00E9679B" w:rsidRPr="00A605A1" w14:paraId="38CE46EF" w14:textId="77777777" w:rsidTr="00E9679B">
        <w:tc>
          <w:tcPr>
            <w:tcW w:w="0" w:type="auto"/>
            <w:hideMark/>
          </w:tcPr>
          <w:p w14:paraId="4B5863B0"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Region</w:t>
            </w:r>
          </w:p>
        </w:tc>
        <w:tc>
          <w:tcPr>
            <w:tcW w:w="0" w:type="auto"/>
            <w:hideMark/>
          </w:tcPr>
          <w:p w14:paraId="18F5343A"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Primary Crops</w:t>
            </w:r>
          </w:p>
        </w:tc>
        <w:tc>
          <w:tcPr>
            <w:tcW w:w="0" w:type="auto"/>
            <w:hideMark/>
          </w:tcPr>
          <w:p w14:paraId="11E14E05"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Temperature Impact</w:t>
            </w:r>
          </w:p>
        </w:tc>
        <w:tc>
          <w:tcPr>
            <w:tcW w:w="0" w:type="auto"/>
            <w:hideMark/>
          </w:tcPr>
          <w:p w14:paraId="0B7ACB18"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Precipitation Change</w:t>
            </w:r>
          </w:p>
        </w:tc>
        <w:tc>
          <w:tcPr>
            <w:tcW w:w="0" w:type="auto"/>
            <w:hideMark/>
          </w:tcPr>
          <w:p w14:paraId="00CE10D1"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Yield Change (%)</w:t>
            </w:r>
          </w:p>
        </w:tc>
        <w:tc>
          <w:tcPr>
            <w:tcW w:w="0" w:type="auto"/>
            <w:hideMark/>
          </w:tcPr>
          <w:p w14:paraId="7C67E522"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Adaptation Priority</w:t>
            </w:r>
          </w:p>
        </w:tc>
      </w:tr>
      <w:tr w:rsidR="00E9679B" w:rsidRPr="00A605A1" w14:paraId="77E5FB87" w14:textId="77777777" w:rsidTr="00E9679B">
        <w:tc>
          <w:tcPr>
            <w:tcW w:w="0" w:type="auto"/>
            <w:hideMark/>
          </w:tcPr>
          <w:p w14:paraId="5C840E5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South Asia</w:t>
            </w:r>
          </w:p>
        </w:tc>
        <w:tc>
          <w:tcPr>
            <w:tcW w:w="0" w:type="auto"/>
            <w:hideMark/>
          </w:tcPr>
          <w:p w14:paraId="5126554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Rice, Wheat</w:t>
            </w:r>
          </w:p>
        </w:tc>
        <w:tc>
          <w:tcPr>
            <w:tcW w:w="0" w:type="auto"/>
            <w:hideMark/>
          </w:tcPr>
          <w:p w14:paraId="46A2577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+2.5°C by 2050</w:t>
            </w:r>
          </w:p>
        </w:tc>
        <w:tc>
          <w:tcPr>
            <w:tcW w:w="0" w:type="auto"/>
            <w:hideMark/>
          </w:tcPr>
          <w:p w14:paraId="5D014AF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Monsoon variability</w:t>
            </w:r>
          </w:p>
        </w:tc>
        <w:tc>
          <w:tcPr>
            <w:tcW w:w="0" w:type="auto"/>
            <w:hideMark/>
          </w:tcPr>
          <w:p w14:paraId="15A4BE9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 to -20</w:t>
            </w:r>
          </w:p>
        </w:tc>
        <w:tc>
          <w:tcPr>
            <w:tcW w:w="0" w:type="auto"/>
            <w:hideMark/>
          </w:tcPr>
          <w:p w14:paraId="6C2F914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Water management</w:t>
            </w:r>
          </w:p>
        </w:tc>
      </w:tr>
      <w:tr w:rsidR="00E9679B" w:rsidRPr="00A605A1" w14:paraId="6516EB5E" w14:textId="77777777" w:rsidTr="00E9679B">
        <w:tc>
          <w:tcPr>
            <w:tcW w:w="0" w:type="auto"/>
            <w:hideMark/>
          </w:tcPr>
          <w:p w14:paraId="4CEF720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Sub-Saharan Africa</w:t>
            </w:r>
          </w:p>
        </w:tc>
        <w:tc>
          <w:tcPr>
            <w:tcW w:w="0" w:type="auto"/>
            <w:hideMark/>
          </w:tcPr>
          <w:p w14:paraId="18F6B73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Maize, Sorghum</w:t>
            </w:r>
          </w:p>
        </w:tc>
        <w:tc>
          <w:tcPr>
            <w:tcW w:w="0" w:type="auto"/>
            <w:hideMark/>
          </w:tcPr>
          <w:p w14:paraId="4BDE5FD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+2.8°C by 2050</w:t>
            </w:r>
          </w:p>
        </w:tc>
        <w:tc>
          <w:tcPr>
            <w:tcW w:w="0" w:type="auto"/>
            <w:hideMark/>
          </w:tcPr>
          <w:p w14:paraId="2D0F85C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Increased droughts</w:t>
            </w:r>
          </w:p>
        </w:tc>
        <w:tc>
          <w:tcPr>
            <w:tcW w:w="0" w:type="auto"/>
            <w:hideMark/>
          </w:tcPr>
          <w:p w14:paraId="478D33B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 to -25</w:t>
            </w:r>
          </w:p>
        </w:tc>
        <w:tc>
          <w:tcPr>
            <w:tcW w:w="0" w:type="auto"/>
            <w:hideMark/>
          </w:tcPr>
          <w:p w14:paraId="0F059AF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Drought tolerance</w:t>
            </w:r>
          </w:p>
        </w:tc>
      </w:tr>
      <w:tr w:rsidR="00E9679B" w:rsidRPr="00A605A1" w14:paraId="2194DCDB" w14:textId="77777777" w:rsidTr="00E9679B">
        <w:tc>
          <w:tcPr>
            <w:tcW w:w="0" w:type="auto"/>
            <w:hideMark/>
          </w:tcPr>
          <w:p w14:paraId="3B5055B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North America</w:t>
            </w:r>
          </w:p>
        </w:tc>
        <w:tc>
          <w:tcPr>
            <w:tcW w:w="0" w:type="auto"/>
            <w:hideMark/>
          </w:tcPr>
          <w:p w14:paraId="13F5C5F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Wheat, Corn</w:t>
            </w:r>
          </w:p>
        </w:tc>
        <w:tc>
          <w:tcPr>
            <w:tcW w:w="0" w:type="auto"/>
            <w:hideMark/>
          </w:tcPr>
          <w:p w14:paraId="56B794A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+2.0°C by 2050</w:t>
            </w:r>
          </w:p>
        </w:tc>
        <w:tc>
          <w:tcPr>
            <w:tcW w:w="0" w:type="auto"/>
            <w:hideMark/>
          </w:tcPr>
          <w:p w14:paraId="5BCFA0C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Regional variations</w:t>
            </w:r>
          </w:p>
        </w:tc>
        <w:tc>
          <w:tcPr>
            <w:tcW w:w="0" w:type="auto"/>
            <w:hideMark/>
          </w:tcPr>
          <w:p w14:paraId="47584D7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-10 to -15</w:t>
            </w:r>
          </w:p>
        </w:tc>
        <w:tc>
          <w:tcPr>
            <w:tcW w:w="0" w:type="auto"/>
            <w:hideMark/>
          </w:tcPr>
          <w:p w14:paraId="21A066C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Technology adoption</w:t>
            </w:r>
          </w:p>
        </w:tc>
      </w:tr>
      <w:tr w:rsidR="00E9679B" w:rsidRPr="00A605A1" w14:paraId="5A198D93" w14:textId="77777777" w:rsidTr="00E9679B">
        <w:tc>
          <w:tcPr>
            <w:tcW w:w="0" w:type="auto"/>
            <w:hideMark/>
          </w:tcPr>
          <w:p w14:paraId="66E9863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Europe</w:t>
            </w:r>
          </w:p>
        </w:tc>
        <w:tc>
          <w:tcPr>
            <w:tcW w:w="0" w:type="auto"/>
            <w:hideMark/>
          </w:tcPr>
          <w:p w14:paraId="27CFB35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Wheat, Barley</w:t>
            </w:r>
          </w:p>
        </w:tc>
        <w:tc>
          <w:tcPr>
            <w:tcW w:w="0" w:type="auto"/>
            <w:hideMark/>
          </w:tcPr>
          <w:p w14:paraId="662000F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+2.2°C by 2050</w:t>
            </w:r>
          </w:p>
        </w:tc>
        <w:tc>
          <w:tcPr>
            <w:tcW w:w="0" w:type="auto"/>
            <w:hideMark/>
          </w:tcPr>
          <w:p w14:paraId="74D3222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Northern shift</w:t>
            </w:r>
          </w:p>
        </w:tc>
        <w:tc>
          <w:tcPr>
            <w:tcW w:w="0" w:type="auto"/>
            <w:hideMark/>
          </w:tcPr>
          <w:p w14:paraId="62D24B7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-5 to +10</w:t>
            </w:r>
          </w:p>
        </w:tc>
        <w:tc>
          <w:tcPr>
            <w:tcW w:w="0" w:type="auto"/>
            <w:hideMark/>
          </w:tcPr>
          <w:p w14:paraId="38A62D0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Crop diversification</w:t>
            </w:r>
          </w:p>
        </w:tc>
      </w:tr>
      <w:tr w:rsidR="00E9679B" w:rsidRPr="00A605A1" w14:paraId="75A5041F" w14:textId="77777777" w:rsidTr="00E9679B">
        <w:tc>
          <w:tcPr>
            <w:tcW w:w="0" w:type="auto"/>
            <w:hideMark/>
          </w:tcPr>
          <w:p w14:paraId="2159372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South America</w:t>
            </w:r>
          </w:p>
        </w:tc>
        <w:tc>
          <w:tcPr>
            <w:tcW w:w="0" w:type="auto"/>
            <w:hideMark/>
          </w:tcPr>
          <w:p w14:paraId="76A61C4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Soybean, Maize</w:t>
            </w:r>
          </w:p>
        </w:tc>
        <w:tc>
          <w:tcPr>
            <w:tcW w:w="0" w:type="auto"/>
            <w:hideMark/>
          </w:tcPr>
          <w:p w14:paraId="5D97975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+2.4°C by 2050</w:t>
            </w:r>
          </w:p>
        </w:tc>
        <w:tc>
          <w:tcPr>
            <w:tcW w:w="0" w:type="auto"/>
            <w:hideMark/>
          </w:tcPr>
          <w:p w14:paraId="1B961D2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Amazon drying</w:t>
            </w:r>
          </w:p>
        </w:tc>
        <w:tc>
          <w:tcPr>
            <w:tcW w:w="0" w:type="auto"/>
            <w:hideMark/>
          </w:tcPr>
          <w:p w14:paraId="68E9499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 to -20</w:t>
            </w:r>
          </w:p>
        </w:tc>
        <w:tc>
          <w:tcPr>
            <w:tcW w:w="0" w:type="auto"/>
            <w:hideMark/>
          </w:tcPr>
          <w:p w14:paraId="58BA142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Forest conservation</w:t>
            </w:r>
          </w:p>
        </w:tc>
      </w:tr>
      <w:tr w:rsidR="00E9679B" w:rsidRPr="00A605A1" w14:paraId="38725857" w14:textId="77777777" w:rsidTr="00E9679B">
        <w:tc>
          <w:tcPr>
            <w:tcW w:w="0" w:type="auto"/>
            <w:hideMark/>
          </w:tcPr>
          <w:p w14:paraId="569C0A2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East Asia</w:t>
            </w:r>
          </w:p>
        </w:tc>
        <w:tc>
          <w:tcPr>
            <w:tcW w:w="0" w:type="auto"/>
            <w:hideMark/>
          </w:tcPr>
          <w:p w14:paraId="3B3F565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Rice, Vegetables</w:t>
            </w:r>
          </w:p>
        </w:tc>
        <w:tc>
          <w:tcPr>
            <w:tcW w:w="0" w:type="auto"/>
            <w:hideMark/>
          </w:tcPr>
          <w:p w14:paraId="07E0E47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+2.1°C by 2050</w:t>
            </w:r>
          </w:p>
        </w:tc>
        <w:tc>
          <w:tcPr>
            <w:tcW w:w="0" w:type="auto"/>
            <w:hideMark/>
          </w:tcPr>
          <w:p w14:paraId="59AA337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Typhoon intensity</w:t>
            </w:r>
          </w:p>
        </w:tc>
        <w:tc>
          <w:tcPr>
            <w:tcW w:w="0" w:type="auto"/>
            <w:hideMark/>
          </w:tcPr>
          <w:p w14:paraId="7184AAC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-10 to -15</w:t>
            </w:r>
          </w:p>
        </w:tc>
        <w:tc>
          <w:tcPr>
            <w:tcW w:w="0" w:type="auto"/>
            <w:hideMark/>
          </w:tcPr>
          <w:p w14:paraId="099872A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Coastal protection</w:t>
            </w:r>
          </w:p>
        </w:tc>
      </w:tr>
      <w:tr w:rsidR="00E9679B" w:rsidRPr="00A605A1" w14:paraId="7C7C4099" w14:textId="77777777" w:rsidTr="00E9679B">
        <w:tc>
          <w:tcPr>
            <w:tcW w:w="0" w:type="auto"/>
            <w:hideMark/>
          </w:tcPr>
          <w:p w14:paraId="15B3D0E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Australia</w:t>
            </w:r>
          </w:p>
        </w:tc>
        <w:tc>
          <w:tcPr>
            <w:tcW w:w="0" w:type="auto"/>
            <w:hideMark/>
          </w:tcPr>
          <w:p w14:paraId="2E61285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Wheat, Barley</w:t>
            </w:r>
          </w:p>
        </w:tc>
        <w:tc>
          <w:tcPr>
            <w:tcW w:w="0" w:type="auto"/>
            <w:hideMark/>
          </w:tcPr>
          <w:p w14:paraId="6054B0C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+2.6°C by 2050</w:t>
            </w:r>
          </w:p>
        </w:tc>
        <w:tc>
          <w:tcPr>
            <w:tcW w:w="0" w:type="auto"/>
            <w:hideMark/>
          </w:tcPr>
          <w:p w14:paraId="2C0F683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Severe droughts</w:t>
            </w:r>
          </w:p>
        </w:tc>
        <w:tc>
          <w:tcPr>
            <w:tcW w:w="0" w:type="auto"/>
            <w:hideMark/>
          </w:tcPr>
          <w:p w14:paraId="661EB5B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-25 to -30</w:t>
            </w:r>
          </w:p>
        </w:tc>
        <w:tc>
          <w:tcPr>
            <w:tcW w:w="0" w:type="auto"/>
            <w:hideMark/>
          </w:tcPr>
          <w:p w14:paraId="432EFBB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Water efficiency</w:t>
            </w:r>
          </w:p>
        </w:tc>
      </w:tr>
    </w:tbl>
    <w:p w14:paraId="45C71D9A" w14:textId="77777777" w:rsidR="00E9679B" w:rsidRDefault="00E9679B" w:rsidP="00A605A1">
      <w:pPr>
        <w:jc w:val="both"/>
        <w:rPr>
          <w:rFonts w:ascii="Times New Roman" w:hAnsi="Times New Roman" w:cs="Times New Roman"/>
          <w:b/>
          <w:bCs/>
          <w:sz w:val="24"/>
          <w:szCs w:val="24"/>
        </w:rPr>
      </w:pPr>
    </w:p>
    <w:p w14:paraId="02C765B4"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2: Precipitation Anomalies and Agricultural Zones</w:t>
      </w:r>
    </w:p>
    <w:p w14:paraId="36956C2E" w14:textId="77777777" w:rsidR="00E9679B" w:rsidRPr="00A605A1" w:rsidRDefault="00E9679B" w:rsidP="00A605A1">
      <w:pPr>
        <w:jc w:val="both"/>
        <w:rPr>
          <w:rFonts w:ascii="Times New Roman" w:hAnsi="Times New Roman" w:cs="Times New Roman"/>
          <w:b/>
          <w:bCs/>
          <w:sz w:val="24"/>
          <w:szCs w:val="24"/>
        </w:rPr>
      </w:pPr>
      <w:r>
        <w:rPr>
          <w:noProof/>
          <w:lang w:bidi="hi-IN"/>
        </w:rPr>
        <w:lastRenderedPageBreak/>
        <w:drawing>
          <wp:inline distT="0" distB="0" distL="0" distR="0" wp14:anchorId="75A81292" wp14:editId="4BDD61F3">
            <wp:extent cx="5428781" cy="3011587"/>
            <wp:effectExtent l="0" t="0" r="635" b="0"/>
            <wp:docPr id="2" name="Picture 2" descr="The impact of rainfall variability and crop production on vertisols in the  central highlands of Ethiopia | Environmental Systems Research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pact of rainfall variability and crop production on vertisols in the  central highlands of Ethiopia | Environmental Systems Research | Full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493" cy="3015311"/>
                    </a:xfrm>
                    <a:prstGeom prst="rect">
                      <a:avLst/>
                    </a:prstGeom>
                    <a:noFill/>
                    <a:ln>
                      <a:noFill/>
                    </a:ln>
                  </pic:spPr>
                </pic:pic>
              </a:graphicData>
            </a:graphic>
          </wp:inline>
        </w:drawing>
      </w:r>
    </w:p>
    <w:p w14:paraId="1D63E6A0"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Extreme Weather Events</w:t>
      </w:r>
    </w:p>
    <w:p w14:paraId="1C933E4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The increasing frequency and intensity of extreme weather events represent a paradigm shift in agricultural risk management. Tropical cyclones, with their destructive winds and flooding, cause immediate crop losses and long-term soil degradation. The 2020 Atlantic hurricane season, with a record 30 named storms, devastated agricultural areas across Central America and the Caribbean, destroying entire harvests and agricultural infrastructure.</w:t>
      </w:r>
    </w:p>
    <w:p w14:paraId="57C9CFF6" w14:textId="24C20F64"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Hailstorms, though </w:t>
      </w:r>
      <w:proofErr w:type="spellStart"/>
      <w:r w:rsidR="00CB12A2" w:rsidRPr="00CD100C">
        <w:rPr>
          <w:rFonts w:ascii="Times New Roman" w:hAnsi="Times New Roman" w:cs="Times New Roman"/>
          <w:sz w:val="24"/>
          <w:szCs w:val="24"/>
          <w:highlight w:val="yellow"/>
        </w:rPr>
        <w:t>localised</w:t>
      </w:r>
      <w:proofErr w:type="spellEnd"/>
      <w:r w:rsidRPr="00CD100C">
        <w:rPr>
          <w:rFonts w:ascii="Times New Roman" w:hAnsi="Times New Roman" w:cs="Times New Roman"/>
          <w:sz w:val="24"/>
          <w:szCs w:val="24"/>
          <w:highlight w:val="yellow"/>
        </w:rPr>
        <w:t>, inflict</w:t>
      </w:r>
      <w:r w:rsidRPr="00A605A1">
        <w:rPr>
          <w:rFonts w:ascii="Times New Roman" w:hAnsi="Times New Roman" w:cs="Times New Roman"/>
          <w:sz w:val="24"/>
          <w:szCs w:val="24"/>
        </w:rPr>
        <w:t xml:space="preserve"> severe damage on high-value crops such as fruits and vegetables. Climate models project increased hail frequency in certain regions, particularly in the mid-latitudes</w:t>
      </w:r>
      <w:r w:rsidR="00CB12A2">
        <w:rPr>
          <w:rFonts w:ascii="Times New Roman" w:hAnsi="Times New Roman" w:cs="Times New Roman"/>
          <w:sz w:val="24"/>
          <w:szCs w:val="24"/>
        </w:rPr>
        <w:t>,</w:t>
      </w:r>
      <w:r w:rsidRPr="00A605A1">
        <w:rPr>
          <w:rFonts w:ascii="Times New Roman" w:hAnsi="Times New Roman" w:cs="Times New Roman"/>
          <w:sz w:val="24"/>
          <w:szCs w:val="24"/>
        </w:rPr>
        <w:t xml:space="preserve"> where temperature and moisture conditions </w:t>
      </w:r>
      <w:proofErr w:type="spellStart"/>
      <w:r w:rsidR="00CB12A2" w:rsidRPr="00CD100C">
        <w:rPr>
          <w:rFonts w:ascii="Times New Roman" w:hAnsi="Times New Roman" w:cs="Times New Roman"/>
          <w:sz w:val="24"/>
          <w:szCs w:val="24"/>
          <w:highlight w:val="yellow"/>
        </w:rPr>
        <w:t>favour</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severe</w:t>
      </w:r>
      <w:r w:rsidRPr="00A605A1">
        <w:rPr>
          <w:rFonts w:ascii="Times New Roman" w:hAnsi="Times New Roman" w:cs="Times New Roman"/>
          <w:sz w:val="24"/>
          <w:szCs w:val="24"/>
        </w:rPr>
        <w:t xml:space="preserve"> convective storms. These events can destroy entire orchards in minutes, representing catastrophic losses for farmers who have invested years in establishing perennial crops.</w:t>
      </w:r>
    </w:p>
    <w:p w14:paraId="743BEED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Flooding, both riverine and flash floods, has intensified due to extreme precipitation events. The 2022 Pakistan floods submerged one-third of the country, affecting 33 million people and destroying crops on 2.2 million hectares. Such events not only cause immediate crop losses but also deposit sediments, alter soil chemistry, and facilitate the spread of water-borne plant diseases.</w:t>
      </w:r>
    </w:p>
    <w:p w14:paraId="3A46FCE9"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Agricultural Vulnerability Assessment</w:t>
      </w:r>
    </w:p>
    <w:p w14:paraId="506136B5"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Soil Health and Degradation</w:t>
      </w:r>
    </w:p>
    <w:p w14:paraId="3C7CA33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 change accelerates soil degradation through multiple pathways, threatening the foundation of agricultural productivity. Increased temperatures enhance organic matter decomposition, reducing soil carbon stocks and compromising soil structure. This degradation is particularly severe in tropical regions where high temperatures and intense rainfall create conditions for rapid nutrient loss and erosion.</w:t>
      </w:r>
    </w:p>
    <w:p w14:paraId="148DFFD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Soil erosion rates have increased dramatically under changing precipitation patterns. Intense rainfall events on bare or poorly covered soils can remove 50-100 tons of topsoil per hectare in a single event, representing centuries of soil formation lost in hours (Montgomery, 2021). Wind erosion, exacerbated by drought and higher temperatures, affects arid and semi-arid regions, creating dust storms that transport fertile topsoil across vast distances.</w:t>
      </w:r>
    </w:p>
    <w:p w14:paraId="269CE846"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The interaction between climate change and soil biology reveals complex feedback mechanisms. Soil microbial communities, essential for nutrient cycling and plant health, show altered composition and activity under changing temperature and moisture regimes. These shifts affect nitrogen fixation, organic matter decomposition, and disease suppression functions, ultimately impacting crop productivity and resilience.</w:t>
      </w:r>
    </w:p>
    <w:p w14:paraId="6C8780FF"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Water Resources and Irrigation</w:t>
      </w:r>
    </w:p>
    <w:p w14:paraId="256C9FFD" w14:textId="00AB2EE9"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Water scarcity, amplified by climate change, emerges as the primary constraint to agricultural productivity in many regions. Globally, agriculture consumes 70% of freshwater withdrawals, with irrigation covering 20% of cultivated land but producing 40% of </w:t>
      </w:r>
      <w:r w:rsidR="00CB12A2" w:rsidRPr="00CD100C">
        <w:rPr>
          <w:rFonts w:ascii="Times New Roman" w:hAnsi="Times New Roman" w:cs="Times New Roman"/>
          <w:sz w:val="24"/>
          <w:szCs w:val="24"/>
          <w:highlight w:val="yellow"/>
        </w:rPr>
        <w:t xml:space="preserve">the </w:t>
      </w:r>
      <w:r w:rsidRPr="00CD100C">
        <w:rPr>
          <w:rFonts w:ascii="Times New Roman" w:hAnsi="Times New Roman" w:cs="Times New Roman"/>
          <w:sz w:val="24"/>
          <w:szCs w:val="24"/>
          <w:highlight w:val="yellow"/>
        </w:rPr>
        <w:t>global</w:t>
      </w:r>
      <w:r w:rsidRPr="00A605A1">
        <w:rPr>
          <w:rFonts w:ascii="Times New Roman" w:hAnsi="Times New Roman" w:cs="Times New Roman"/>
          <w:sz w:val="24"/>
          <w:szCs w:val="24"/>
        </w:rPr>
        <w:t xml:space="preserve"> food supply (FAO, 2021). Climate change threatens this delicate balance through altered precipitation patterns, increased evapotranspiration, and declining groundwater resources.</w:t>
      </w:r>
    </w:p>
    <w:p w14:paraId="53426F5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Glacier-fed river systems, supporting agriculture for billions of people, face unprecedented changes. The Hindu Kush Himalayan region, often called the "Third Pole," shows accelerated glacial retreat, affecting water availability for downstream agricultural areas in India, Pakistan, Bangladesh, and China. Peak water scenarios, where glacial melt initially increases river flow before dramatic declines, create planning challenges for irrigation infrastructure and crop selection.</w:t>
      </w:r>
    </w:p>
    <w:p w14:paraId="36B76DC6"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Groundwater depletion, accelerated by climate-induced surface water scarcity, threatens agricultural sustainability in major food-producing regions. The Indo-Gangetic Basin, California's Central Valley, and the North China Plain show alarming rates of aquifer depletion, with water tables dropping 1-3 meters annually in intensive agricultural areas. This unsustainable extraction creates a vicious cycle where farmers drill deeper wells, increasing energy costs and carbon emissions.</w:t>
      </w:r>
    </w:p>
    <w:p w14:paraId="35FB0BBD"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3: Water Stress Indicators in Major Agricultural Regions</w:t>
      </w:r>
    </w:p>
    <w:tbl>
      <w:tblPr>
        <w:tblStyle w:val="TableGrid"/>
        <w:tblW w:w="0" w:type="auto"/>
        <w:tblLook w:val="04A0" w:firstRow="1" w:lastRow="0" w:firstColumn="1" w:lastColumn="0" w:noHBand="0" w:noVBand="1"/>
      </w:tblPr>
      <w:tblGrid>
        <w:gridCol w:w="1617"/>
        <w:gridCol w:w="1282"/>
        <w:gridCol w:w="1545"/>
        <w:gridCol w:w="1689"/>
        <w:gridCol w:w="1649"/>
        <w:gridCol w:w="1568"/>
      </w:tblGrid>
      <w:tr w:rsidR="00E9679B" w:rsidRPr="00A605A1" w14:paraId="010CBFE8" w14:textId="77777777" w:rsidTr="00E9679B">
        <w:tc>
          <w:tcPr>
            <w:tcW w:w="0" w:type="auto"/>
            <w:hideMark/>
          </w:tcPr>
          <w:p w14:paraId="7AFE1E15"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Region</w:t>
            </w:r>
          </w:p>
        </w:tc>
        <w:tc>
          <w:tcPr>
            <w:tcW w:w="0" w:type="auto"/>
            <w:hideMark/>
          </w:tcPr>
          <w:p w14:paraId="01D51653"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Water Stress Level</w:t>
            </w:r>
          </w:p>
        </w:tc>
        <w:tc>
          <w:tcPr>
            <w:tcW w:w="0" w:type="auto"/>
            <w:hideMark/>
          </w:tcPr>
          <w:p w14:paraId="66C62A05"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Irrigation Dependency</w:t>
            </w:r>
          </w:p>
        </w:tc>
        <w:tc>
          <w:tcPr>
            <w:tcW w:w="0" w:type="auto"/>
            <w:hideMark/>
          </w:tcPr>
          <w:p w14:paraId="5B46E0AD"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Groundwater Depletion</w:t>
            </w:r>
          </w:p>
        </w:tc>
        <w:tc>
          <w:tcPr>
            <w:tcW w:w="0" w:type="auto"/>
            <w:hideMark/>
          </w:tcPr>
          <w:p w14:paraId="49263C0A"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Climate Projection</w:t>
            </w:r>
          </w:p>
        </w:tc>
        <w:tc>
          <w:tcPr>
            <w:tcW w:w="0" w:type="auto"/>
            <w:hideMark/>
          </w:tcPr>
          <w:p w14:paraId="5ADA3AC0"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Adaptation Capacity</w:t>
            </w:r>
          </w:p>
        </w:tc>
      </w:tr>
      <w:tr w:rsidR="00E9679B" w:rsidRPr="00A605A1" w14:paraId="4C1B1390" w14:textId="77777777" w:rsidTr="00E9679B">
        <w:tc>
          <w:tcPr>
            <w:tcW w:w="0" w:type="auto"/>
            <w:hideMark/>
          </w:tcPr>
          <w:p w14:paraId="612AC6D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Middle East</w:t>
            </w:r>
          </w:p>
        </w:tc>
        <w:tc>
          <w:tcPr>
            <w:tcW w:w="0" w:type="auto"/>
            <w:hideMark/>
          </w:tcPr>
          <w:p w14:paraId="411A788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Extremely High</w:t>
            </w:r>
          </w:p>
        </w:tc>
        <w:tc>
          <w:tcPr>
            <w:tcW w:w="0" w:type="auto"/>
            <w:hideMark/>
          </w:tcPr>
          <w:p w14:paraId="2F8F8DB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85% cropland</w:t>
            </w:r>
          </w:p>
        </w:tc>
        <w:tc>
          <w:tcPr>
            <w:tcW w:w="0" w:type="auto"/>
            <w:hideMark/>
          </w:tcPr>
          <w:p w14:paraId="313D87A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5-8 m/year decline</w:t>
            </w:r>
          </w:p>
        </w:tc>
        <w:tc>
          <w:tcPr>
            <w:tcW w:w="0" w:type="auto"/>
            <w:hideMark/>
          </w:tcPr>
          <w:p w14:paraId="208A763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Severe water scarcity</w:t>
            </w:r>
          </w:p>
        </w:tc>
        <w:tc>
          <w:tcPr>
            <w:tcW w:w="0" w:type="auto"/>
            <w:hideMark/>
          </w:tcPr>
          <w:p w14:paraId="7AE55C8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Limited resources</w:t>
            </w:r>
          </w:p>
        </w:tc>
      </w:tr>
      <w:tr w:rsidR="00E9679B" w:rsidRPr="00A605A1" w14:paraId="70ED4756" w14:textId="77777777" w:rsidTr="00E9679B">
        <w:tc>
          <w:tcPr>
            <w:tcW w:w="0" w:type="auto"/>
            <w:hideMark/>
          </w:tcPr>
          <w:p w14:paraId="45CA4C7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North India</w:t>
            </w:r>
          </w:p>
        </w:tc>
        <w:tc>
          <w:tcPr>
            <w:tcW w:w="0" w:type="auto"/>
            <w:hideMark/>
          </w:tcPr>
          <w:p w14:paraId="7CE419D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w:t>
            </w:r>
          </w:p>
        </w:tc>
        <w:tc>
          <w:tcPr>
            <w:tcW w:w="0" w:type="auto"/>
            <w:hideMark/>
          </w:tcPr>
          <w:p w14:paraId="55C0382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65% cropland</w:t>
            </w:r>
          </w:p>
        </w:tc>
        <w:tc>
          <w:tcPr>
            <w:tcW w:w="0" w:type="auto"/>
            <w:hideMark/>
          </w:tcPr>
          <w:p w14:paraId="4A3805E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3-5 m/year decline</w:t>
            </w:r>
          </w:p>
        </w:tc>
        <w:tc>
          <w:tcPr>
            <w:tcW w:w="0" w:type="auto"/>
            <w:hideMark/>
          </w:tcPr>
          <w:p w14:paraId="6247CD9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Monsoon uncertainty</w:t>
            </w:r>
          </w:p>
        </w:tc>
        <w:tc>
          <w:tcPr>
            <w:tcW w:w="0" w:type="auto"/>
            <w:hideMark/>
          </w:tcPr>
          <w:p w14:paraId="77A786D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Moderate potential</w:t>
            </w:r>
          </w:p>
        </w:tc>
      </w:tr>
      <w:tr w:rsidR="00E9679B" w:rsidRPr="00A605A1" w14:paraId="79CCF584" w14:textId="77777777" w:rsidTr="00E9679B">
        <w:tc>
          <w:tcPr>
            <w:tcW w:w="0" w:type="auto"/>
            <w:hideMark/>
          </w:tcPr>
          <w:p w14:paraId="59D6AF0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California</w:t>
            </w:r>
          </w:p>
        </w:tc>
        <w:tc>
          <w:tcPr>
            <w:tcW w:w="0" w:type="auto"/>
            <w:hideMark/>
          </w:tcPr>
          <w:p w14:paraId="1C061C2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w:t>
            </w:r>
          </w:p>
        </w:tc>
        <w:tc>
          <w:tcPr>
            <w:tcW w:w="0" w:type="auto"/>
            <w:hideMark/>
          </w:tcPr>
          <w:p w14:paraId="3171DD6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70% cropland</w:t>
            </w:r>
          </w:p>
        </w:tc>
        <w:tc>
          <w:tcPr>
            <w:tcW w:w="0" w:type="auto"/>
            <w:hideMark/>
          </w:tcPr>
          <w:p w14:paraId="78469F5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2-4 m/year decline</w:t>
            </w:r>
          </w:p>
        </w:tc>
        <w:tc>
          <w:tcPr>
            <w:tcW w:w="0" w:type="auto"/>
            <w:hideMark/>
          </w:tcPr>
          <w:p w14:paraId="485BA2E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Drought intensification</w:t>
            </w:r>
          </w:p>
        </w:tc>
        <w:tc>
          <w:tcPr>
            <w:tcW w:w="0" w:type="auto"/>
            <w:hideMark/>
          </w:tcPr>
          <w:p w14:paraId="7E861B2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 technology</w:t>
            </w:r>
          </w:p>
        </w:tc>
      </w:tr>
      <w:tr w:rsidR="00E9679B" w:rsidRPr="00A605A1" w14:paraId="754D8335" w14:textId="77777777" w:rsidTr="00E9679B">
        <w:tc>
          <w:tcPr>
            <w:tcW w:w="0" w:type="auto"/>
            <w:hideMark/>
          </w:tcPr>
          <w:p w14:paraId="46F3D27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North China</w:t>
            </w:r>
          </w:p>
        </w:tc>
        <w:tc>
          <w:tcPr>
            <w:tcW w:w="0" w:type="auto"/>
            <w:hideMark/>
          </w:tcPr>
          <w:p w14:paraId="12DD453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Very High</w:t>
            </w:r>
          </w:p>
        </w:tc>
        <w:tc>
          <w:tcPr>
            <w:tcW w:w="0" w:type="auto"/>
            <w:hideMark/>
          </w:tcPr>
          <w:p w14:paraId="4DB62F9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75% cropland</w:t>
            </w:r>
          </w:p>
        </w:tc>
        <w:tc>
          <w:tcPr>
            <w:tcW w:w="0" w:type="auto"/>
            <w:hideMark/>
          </w:tcPr>
          <w:p w14:paraId="614CAC6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3-6 m/year decline</w:t>
            </w:r>
          </w:p>
        </w:tc>
        <w:tc>
          <w:tcPr>
            <w:tcW w:w="0" w:type="auto"/>
            <w:hideMark/>
          </w:tcPr>
          <w:p w14:paraId="557F425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Reduced precipitation</w:t>
            </w:r>
          </w:p>
        </w:tc>
        <w:tc>
          <w:tcPr>
            <w:tcW w:w="0" w:type="auto"/>
            <w:hideMark/>
          </w:tcPr>
          <w:p w14:paraId="0E1FCEC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Government support</w:t>
            </w:r>
          </w:p>
        </w:tc>
      </w:tr>
      <w:tr w:rsidR="00E9679B" w:rsidRPr="00A605A1" w14:paraId="4E257808" w14:textId="77777777" w:rsidTr="00E9679B">
        <w:tc>
          <w:tcPr>
            <w:tcW w:w="0" w:type="auto"/>
            <w:hideMark/>
          </w:tcPr>
          <w:p w14:paraId="39AF884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Sahel Africa</w:t>
            </w:r>
          </w:p>
        </w:tc>
        <w:tc>
          <w:tcPr>
            <w:tcW w:w="0" w:type="auto"/>
            <w:hideMark/>
          </w:tcPr>
          <w:p w14:paraId="1E0D028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w:t>
            </w:r>
          </w:p>
        </w:tc>
        <w:tc>
          <w:tcPr>
            <w:tcW w:w="0" w:type="auto"/>
            <w:hideMark/>
          </w:tcPr>
          <w:p w14:paraId="74261DD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 cropland</w:t>
            </w:r>
          </w:p>
        </w:tc>
        <w:tc>
          <w:tcPr>
            <w:tcW w:w="0" w:type="auto"/>
            <w:hideMark/>
          </w:tcPr>
          <w:p w14:paraId="7553175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Variable depletion</w:t>
            </w:r>
          </w:p>
        </w:tc>
        <w:tc>
          <w:tcPr>
            <w:tcW w:w="0" w:type="auto"/>
            <w:hideMark/>
          </w:tcPr>
          <w:p w14:paraId="0FB46AC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Extreme variability</w:t>
            </w:r>
          </w:p>
        </w:tc>
        <w:tc>
          <w:tcPr>
            <w:tcW w:w="0" w:type="auto"/>
            <w:hideMark/>
          </w:tcPr>
          <w:p w14:paraId="177066D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Low infrastructure</w:t>
            </w:r>
          </w:p>
        </w:tc>
      </w:tr>
      <w:tr w:rsidR="00E9679B" w:rsidRPr="00A605A1" w14:paraId="0A408D5E" w14:textId="77777777" w:rsidTr="00E9679B">
        <w:tc>
          <w:tcPr>
            <w:tcW w:w="0" w:type="auto"/>
            <w:hideMark/>
          </w:tcPr>
          <w:p w14:paraId="0E7A9A6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Mediterranean</w:t>
            </w:r>
          </w:p>
        </w:tc>
        <w:tc>
          <w:tcPr>
            <w:tcW w:w="0" w:type="auto"/>
            <w:hideMark/>
          </w:tcPr>
          <w:p w14:paraId="108256E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Moderate-High</w:t>
            </w:r>
          </w:p>
        </w:tc>
        <w:tc>
          <w:tcPr>
            <w:tcW w:w="0" w:type="auto"/>
            <w:hideMark/>
          </w:tcPr>
          <w:p w14:paraId="734CD4E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55% cropland</w:t>
            </w:r>
          </w:p>
        </w:tc>
        <w:tc>
          <w:tcPr>
            <w:tcW w:w="0" w:type="auto"/>
            <w:hideMark/>
          </w:tcPr>
          <w:p w14:paraId="65916F5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1-3 m/year decline</w:t>
            </w:r>
          </w:p>
        </w:tc>
        <w:tc>
          <w:tcPr>
            <w:tcW w:w="0" w:type="auto"/>
            <w:hideMark/>
          </w:tcPr>
          <w:p w14:paraId="17698ED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Summer drought</w:t>
            </w:r>
          </w:p>
        </w:tc>
        <w:tc>
          <w:tcPr>
            <w:tcW w:w="0" w:type="auto"/>
            <w:hideMark/>
          </w:tcPr>
          <w:p w14:paraId="479A6C7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EU funding available</w:t>
            </w:r>
          </w:p>
        </w:tc>
      </w:tr>
      <w:tr w:rsidR="00E9679B" w:rsidRPr="00A605A1" w14:paraId="5AA08537" w14:textId="77777777" w:rsidTr="00E9679B">
        <w:tc>
          <w:tcPr>
            <w:tcW w:w="0" w:type="auto"/>
            <w:hideMark/>
          </w:tcPr>
          <w:p w14:paraId="697C0B1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Australia</w:t>
            </w:r>
          </w:p>
        </w:tc>
        <w:tc>
          <w:tcPr>
            <w:tcW w:w="0" w:type="auto"/>
            <w:hideMark/>
          </w:tcPr>
          <w:p w14:paraId="56C2572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Variable</w:t>
            </w:r>
          </w:p>
        </w:tc>
        <w:tc>
          <w:tcPr>
            <w:tcW w:w="0" w:type="auto"/>
            <w:hideMark/>
          </w:tcPr>
          <w:p w14:paraId="78977A2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40% cropland</w:t>
            </w:r>
          </w:p>
        </w:tc>
        <w:tc>
          <w:tcPr>
            <w:tcW w:w="0" w:type="auto"/>
            <w:hideMark/>
          </w:tcPr>
          <w:p w14:paraId="6635AFA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2-4 m/year decline</w:t>
            </w:r>
          </w:p>
        </w:tc>
        <w:tc>
          <w:tcPr>
            <w:tcW w:w="0" w:type="auto"/>
            <w:hideMark/>
          </w:tcPr>
          <w:p w14:paraId="349FE41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Cyclical droughts</w:t>
            </w:r>
          </w:p>
        </w:tc>
        <w:tc>
          <w:tcPr>
            <w:tcW w:w="0" w:type="auto"/>
            <w:hideMark/>
          </w:tcPr>
          <w:p w14:paraId="74FE4B6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Advanced systems</w:t>
            </w:r>
          </w:p>
        </w:tc>
      </w:tr>
    </w:tbl>
    <w:p w14:paraId="5B23691E"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3: Global Water Stress and Agricultural Regions</w:t>
      </w:r>
    </w:p>
    <w:p w14:paraId="78849171" w14:textId="77777777" w:rsidR="00E9679B" w:rsidRPr="00A605A1" w:rsidRDefault="00E9679B" w:rsidP="00E9679B">
      <w:pPr>
        <w:jc w:val="center"/>
        <w:rPr>
          <w:rFonts w:ascii="Times New Roman" w:hAnsi="Times New Roman" w:cs="Times New Roman"/>
          <w:b/>
          <w:bCs/>
          <w:sz w:val="24"/>
          <w:szCs w:val="24"/>
        </w:rPr>
      </w:pPr>
      <w:r>
        <w:rPr>
          <w:noProof/>
          <w:lang w:bidi="hi-IN"/>
        </w:rPr>
        <w:drawing>
          <wp:inline distT="0" distB="0" distL="0" distR="0" wp14:anchorId="07038B4F" wp14:editId="2E041BFC">
            <wp:extent cx="5314950" cy="2657475"/>
            <wp:effectExtent l="0" t="0" r="0" b="9525"/>
            <wp:docPr id="3" name="Picture 3" descr="Water Scarcity: Definition, Causes and Solutions – Svalbarði Polar Iceber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 Scarcity: Definition, Causes and Solutions – Svalbarði Polar Iceberg  Wa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5582" cy="2657791"/>
                    </a:xfrm>
                    <a:prstGeom prst="rect">
                      <a:avLst/>
                    </a:prstGeom>
                    <a:noFill/>
                    <a:ln>
                      <a:noFill/>
                    </a:ln>
                  </pic:spPr>
                </pic:pic>
              </a:graphicData>
            </a:graphic>
          </wp:inline>
        </w:drawing>
      </w:r>
    </w:p>
    <w:p w14:paraId="10CC8B5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Pest and Disease Dynamics</w:t>
      </w:r>
    </w:p>
    <w:p w14:paraId="1209989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 change fundamentally alters the geographic distribution, life cycles, and population dynamics of agricultural pests and diseases. Warming temperatures enable pests to expand their ranges poleward and to higher elevations, invading previously unsuitable habitats. The fall armyworm (</w:t>
      </w:r>
      <w:proofErr w:type="spellStart"/>
      <w:r w:rsidRPr="00A605A1">
        <w:rPr>
          <w:rFonts w:ascii="Times New Roman" w:hAnsi="Times New Roman" w:cs="Times New Roman"/>
          <w:i/>
          <w:iCs/>
          <w:sz w:val="24"/>
          <w:szCs w:val="24"/>
        </w:rPr>
        <w:t>Spodoptera</w:t>
      </w:r>
      <w:proofErr w:type="spellEnd"/>
      <w:r w:rsidRPr="00A605A1">
        <w:rPr>
          <w:rFonts w:ascii="Times New Roman" w:hAnsi="Times New Roman" w:cs="Times New Roman"/>
          <w:i/>
          <w:iCs/>
          <w:sz w:val="24"/>
          <w:szCs w:val="24"/>
        </w:rPr>
        <w:t xml:space="preserve"> </w:t>
      </w:r>
      <w:proofErr w:type="spellStart"/>
      <w:r w:rsidRPr="00A605A1">
        <w:rPr>
          <w:rFonts w:ascii="Times New Roman" w:hAnsi="Times New Roman" w:cs="Times New Roman"/>
          <w:i/>
          <w:iCs/>
          <w:sz w:val="24"/>
          <w:szCs w:val="24"/>
        </w:rPr>
        <w:t>frugiperda</w:t>
      </w:r>
      <w:proofErr w:type="spellEnd"/>
      <w:r w:rsidRPr="00A605A1">
        <w:rPr>
          <w:rFonts w:ascii="Times New Roman" w:hAnsi="Times New Roman" w:cs="Times New Roman"/>
          <w:sz w:val="24"/>
          <w:szCs w:val="24"/>
        </w:rPr>
        <w:t>), native to the Americas, has rapidly spread across Africa and Asia since 2016, causing billions of dollars in crop losses.</w:t>
      </w:r>
    </w:p>
    <w:p w14:paraId="152F9D7E"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Temperature increases accelerate insect development rates, potentially increasing the number of generations per year. For every 1°C increase in temperature, insect metabolic rates increase by 10-15%, leading to higher feeding rates and faster reproduction. This acceleration particularly affects crops in temperate regions, where pest pressure has historically been limited by cold winters.</w:t>
      </w:r>
    </w:p>
    <w:p w14:paraId="5EB9ACEF" w14:textId="43D52BDF"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Plant diseases show complex responses to climate change, with fungal and bacterial pathogens exhibiting altered virulence and transmission patterns. Wheat rust diseases, caused by </w:t>
      </w:r>
      <w:r w:rsidRPr="00A605A1">
        <w:rPr>
          <w:rFonts w:ascii="Times New Roman" w:hAnsi="Times New Roman" w:cs="Times New Roman"/>
          <w:i/>
          <w:iCs/>
          <w:sz w:val="24"/>
          <w:szCs w:val="24"/>
        </w:rPr>
        <w:t>Puccinia</w:t>
      </w:r>
      <w:r w:rsidRPr="00A605A1">
        <w:rPr>
          <w:rFonts w:ascii="Times New Roman" w:hAnsi="Times New Roman" w:cs="Times New Roman"/>
          <w:sz w:val="24"/>
          <w:szCs w:val="24"/>
        </w:rPr>
        <w:t xml:space="preserve"> species, have evolved new strains capable of overcoming resistance genes, with warm, humid conditions </w:t>
      </w:r>
      <w:proofErr w:type="spellStart"/>
      <w:r w:rsidR="00CB12A2" w:rsidRPr="00CD100C">
        <w:rPr>
          <w:rFonts w:ascii="Times New Roman" w:hAnsi="Times New Roman" w:cs="Times New Roman"/>
          <w:sz w:val="24"/>
          <w:szCs w:val="24"/>
          <w:highlight w:val="yellow"/>
        </w:rPr>
        <w:t>favouring</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rapid</w:t>
      </w:r>
      <w:r w:rsidRPr="00A605A1">
        <w:rPr>
          <w:rFonts w:ascii="Times New Roman" w:hAnsi="Times New Roman" w:cs="Times New Roman"/>
          <w:sz w:val="24"/>
          <w:szCs w:val="24"/>
        </w:rPr>
        <w:t xml:space="preserve"> disease spread. The coffee berry borer (</w:t>
      </w:r>
      <w:proofErr w:type="spellStart"/>
      <w:r w:rsidRPr="00A605A1">
        <w:rPr>
          <w:rFonts w:ascii="Times New Roman" w:hAnsi="Times New Roman" w:cs="Times New Roman"/>
          <w:i/>
          <w:iCs/>
          <w:sz w:val="24"/>
          <w:szCs w:val="24"/>
        </w:rPr>
        <w:t>Hypothenemus</w:t>
      </w:r>
      <w:proofErr w:type="spellEnd"/>
      <w:r w:rsidRPr="00A605A1">
        <w:rPr>
          <w:rFonts w:ascii="Times New Roman" w:hAnsi="Times New Roman" w:cs="Times New Roman"/>
          <w:i/>
          <w:iCs/>
          <w:sz w:val="24"/>
          <w:szCs w:val="24"/>
        </w:rPr>
        <w:t xml:space="preserve"> </w:t>
      </w:r>
      <w:proofErr w:type="spellStart"/>
      <w:r w:rsidRPr="00A605A1">
        <w:rPr>
          <w:rFonts w:ascii="Times New Roman" w:hAnsi="Times New Roman" w:cs="Times New Roman"/>
          <w:i/>
          <w:iCs/>
          <w:sz w:val="24"/>
          <w:szCs w:val="24"/>
        </w:rPr>
        <w:t>hampei</w:t>
      </w:r>
      <w:proofErr w:type="spellEnd"/>
      <w:r w:rsidRPr="00A605A1">
        <w:rPr>
          <w:rFonts w:ascii="Times New Roman" w:hAnsi="Times New Roman" w:cs="Times New Roman"/>
          <w:sz w:val="24"/>
          <w:szCs w:val="24"/>
        </w:rPr>
        <w:t>), previously limited by temperature at high elevations, now infests coffee plantations above 1,500 meters, threatening premium arabica production.</w:t>
      </w:r>
    </w:p>
    <w:p w14:paraId="142C3594"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Adaptation Strategies in Agriculture</w:t>
      </w:r>
    </w:p>
    <w:p w14:paraId="7F101FB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Crop Diversification and Resilient Varieties</w:t>
      </w:r>
    </w:p>
    <w:p w14:paraId="289CBA9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Diversification represents a fundamental strategy for building agricultural resilience against climate variability. Moving beyond monoculture systems to incorporate multiple crops, varieties, and production systems spreads risk and enhances ecosystem services. Successful diversification includes spatial diversity (intercropping, agroforestry), temporal diversity (crop rotations, relay cropping), and genetic diversity (variety mixtures, landraces).</w:t>
      </w:r>
    </w:p>
    <w:p w14:paraId="1FAF2546"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Development of climate-resilient crop varieties through conventional breeding and biotechnology offers promising adaptation pathways. Drought-tolerant maize varieties, developed through marker-assisted selection, show yield advantages of 20-30% under water stress conditions. Heat-tolerant wheat varieties, incorporating genes from wild relatives, maintain productivity at temperatures 2-3°C higher than conventional varieties. The integration of indigenous knowledge in identifying stress-tolerant landraces provides valuable genetic resources for breeding programs.</w:t>
      </w:r>
    </w:p>
    <w:p w14:paraId="1D35AFE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Participatory plant breeding approaches, involving farmers in variety selection and testing, ensure that new varieties meet local preferences and perform well under diverse farm conditions. These programs have successfully developed varieties adapted to specific microclimates, soil types, and management practices, demonstrating the importance of decentralized adaptation strategies.</w:t>
      </w:r>
    </w:p>
    <w:p w14:paraId="2FAA9AC5"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Sustainable Water Management</w:t>
      </w:r>
    </w:p>
    <w:p w14:paraId="3F004D96"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Improving water use efficiency in agriculture requires integrated approaches combining infrastructure development, technology adoption, and institutional reforms. Micro-irrigation systems, including drip and sprinkler irrigation, can reduce water consumption by 30-50% while maintaining or increasing yields. However, adoption remains limited in developing countries due to high initial costs and technical knowledge requirements.</w:t>
      </w:r>
    </w:p>
    <w:p w14:paraId="09AD3B0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Deficit irrigation strategies, applying water below full crop requirements during specific growth stages, optimize water productivity without significant yield penalties. Research indicates that reducing irrigation by 20-30% during vegetative growth stages can maintain 90-95% of full irrigation yields while substantially reducing water consumption. These approaches require precise knowledge of crop water requirements and stress tolerance at different growth stages.</w:t>
      </w:r>
    </w:p>
    <w:p w14:paraId="55BF271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Rainwater harvesting and soil moisture conservation techniques offer low-cost adaptation options for smallholder farmers. Traditional practices such as contour bunding, terracing, and mulching, combined with modern innovations like permeable barriers and moisture sensors, enhance water capture and retention. Farm ponds and check dams provide supplemental irrigation during dry spells, reducing crop failure risks in rain-fed systems.</w:t>
      </w:r>
    </w:p>
    <w:p w14:paraId="214C184B"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4: Climate-Smart Agricultural Practices and Adoption Rates</w:t>
      </w:r>
    </w:p>
    <w:tbl>
      <w:tblPr>
        <w:tblStyle w:val="TableGrid"/>
        <w:tblW w:w="0" w:type="auto"/>
        <w:tblLook w:val="04A0" w:firstRow="1" w:lastRow="0" w:firstColumn="1" w:lastColumn="0" w:noHBand="0" w:noVBand="1"/>
      </w:tblPr>
      <w:tblGrid>
        <w:gridCol w:w="2089"/>
        <w:gridCol w:w="1730"/>
        <w:gridCol w:w="1742"/>
        <w:gridCol w:w="1181"/>
        <w:gridCol w:w="1214"/>
        <w:gridCol w:w="1394"/>
      </w:tblGrid>
      <w:tr w:rsidR="00E9679B" w:rsidRPr="00A605A1" w14:paraId="6630828C" w14:textId="77777777" w:rsidTr="00E9679B">
        <w:tc>
          <w:tcPr>
            <w:tcW w:w="0" w:type="auto"/>
            <w:hideMark/>
          </w:tcPr>
          <w:p w14:paraId="7F4CB4C8"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Practice Category</w:t>
            </w:r>
          </w:p>
        </w:tc>
        <w:tc>
          <w:tcPr>
            <w:tcW w:w="0" w:type="auto"/>
            <w:hideMark/>
          </w:tcPr>
          <w:p w14:paraId="3CC05E0F"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Specific Technology</w:t>
            </w:r>
          </w:p>
        </w:tc>
        <w:tc>
          <w:tcPr>
            <w:tcW w:w="0" w:type="auto"/>
            <w:hideMark/>
          </w:tcPr>
          <w:p w14:paraId="3AE5339A"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Adoption Rate (%)</w:t>
            </w:r>
          </w:p>
        </w:tc>
        <w:tc>
          <w:tcPr>
            <w:tcW w:w="0" w:type="auto"/>
            <w:hideMark/>
          </w:tcPr>
          <w:p w14:paraId="05F95FBC"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Yield Impact</w:t>
            </w:r>
          </w:p>
        </w:tc>
        <w:tc>
          <w:tcPr>
            <w:tcW w:w="0" w:type="auto"/>
            <w:hideMark/>
          </w:tcPr>
          <w:p w14:paraId="4ADA5908"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Water Saving</w:t>
            </w:r>
          </w:p>
        </w:tc>
        <w:tc>
          <w:tcPr>
            <w:tcW w:w="0" w:type="auto"/>
            <w:hideMark/>
          </w:tcPr>
          <w:p w14:paraId="3596686A"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Cost-Benefit Ratio</w:t>
            </w:r>
          </w:p>
        </w:tc>
      </w:tr>
      <w:tr w:rsidR="00E9679B" w:rsidRPr="00A605A1" w14:paraId="1F6B20EC" w14:textId="77777777" w:rsidTr="00E9679B">
        <w:tc>
          <w:tcPr>
            <w:tcW w:w="0" w:type="auto"/>
            <w:hideMark/>
          </w:tcPr>
          <w:p w14:paraId="6E0D1F1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Precision Agriculture</w:t>
            </w:r>
          </w:p>
        </w:tc>
        <w:tc>
          <w:tcPr>
            <w:tcW w:w="0" w:type="auto"/>
            <w:hideMark/>
          </w:tcPr>
          <w:p w14:paraId="086F3E6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GPS-guided systems</w:t>
            </w:r>
          </w:p>
        </w:tc>
        <w:tc>
          <w:tcPr>
            <w:tcW w:w="0" w:type="auto"/>
            <w:hideMark/>
          </w:tcPr>
          <w:p w14:paraId="2EB8D48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15-20 globally</w:t>
            </w:r>
          </w:p>
        </w:tc>
        <w:tc>
          <w:tcPr>
            <w:tcW w:w="0" w:type="auto"/>
            <w:hideMark/>
          </w:tcPr>
          <w:p w14:paraId="03BED96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+10-15%</w:t>
            </w:r>
          </w:p>
        </w:tc>
        <w:tc>
          <w:tcPr>
            <w:tcW w:w="0" w:type="auto"/>
            <w:hideMark/>
          </w:tcPr>
          <w:p w14:paraId="4BA5FB8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20-30%</w:t>
            </w:r>
          </w:p>
        </w:tc>
        <w:tc>
          <w:tcPr>
            <w:tcW w:w="0" w:type="auto"/>
            <w:hideMark/>
          </w:tcPr>
          <w:p w14:paraId="39AF916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1:2.5</w:t>
            </w:r>
          </w:p>
        </w:tc>
      </w:tr>
      <w:tr w:rsidR="00E9679B" w:rsidRPr="00A605A1" w14:paraId="14530DAF" w14:textId="77777777" w:rsidTr="00E9679B">
        <w:tc>
          <w:tcPr>
            <w:tcW w:w="0" w:type="auto"/>
            <w:hideMark/>
          </w:tcPr>
          <w:p w14:paraId="6BDAD02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Conservation Tillage</w:t>
            </w:r>
          </w:p>
        </w:tc>
        <w:tc>
          <w:tcPr>
            <w:tcW w:w="0" w:type="auto"/>
            <w:hideMark/>
          </w:tcPr>
          <w:p w14:paraId="447060E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Zero tillage</w:t>
            </w:r>
          </w:p>
        </w:tc>
        <w:tc>
          <w:tcPr>
            <w:tcW w:w="0" w:type="auto"/>
            <w:hideMark/>
          </w:tcPr>
          <w:p w14:paraId="2641633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25-30 globally</w:t>
            </w:r>
          </w:p>
        </w:tc>
        <w:tc>
          <w:tcPr>
            <w:tcW w:w="0" w:type="auto"/>
            <w:hideMark/>
          </w:tcPr>
          <w:p w14:paraId="3587254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+5-10%</w:t>
            </w:r>
          </w:p>
        </w:tc>
        <w:tc>
          <w:tcPr>
            <w:tcW w:w="0" w:type="auto"/>
            <w:hideMark/>
          </w:tcPr>
          <w:p w14:paraId="1CAD931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15-25%</w:t>
            </w:r>
          </w:p>
        </w:tc>
        <w:tc>
          <w:tcPr>
            <w:tcW w:w="0" w:type="auto"/>
            <w:hideMark/>
          </w:tcPr>
          <w:p w14:paraId="49EFEC8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1:3.0</w:t>
            </w:r>
          </w:p>
        </w:tc>
      </w:tr>
      <w:tr w:rsidR="00E9679B" w:rsidRPr="00A605A1" w14:paraId="15FFFCD4" w14:textId="77777777" w:rsidTr="00E9679B">
        <w:tc>
          <w:tcPr>
            <w:tcW w:w="0" w:type="auto"/>
            <w:hideMark/>
          </w:tcPr>
          <w:p w14:paraId="51409CF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Drought-Tolerant Varieties</w:t>
            </w:r>
          </w:p>
        </w:tc>
        <w:tc>
          <w:tcPr>
            <w:tcW w:w="0" w:type="auto"/>
            <w:hideMark/>
          </w:tcPr>
          <w:p w14:paraId="36D3420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Hybrid seeds</w:t>
            </w:r>
          </w:p>
        </w:tc>
        <w:tc>
          <w:tcPr>
            <w:tcW w:w="0" w:type="auto"/>
            <w:hideMark/>
          </w:tcPr>
          <w:p w14:paraId="6199794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35-40 in target areas</w:t>
            </w:r>
          </w:p>
        </w:tc>
        <w:tc>
          <w:tcPr>
            <w:tcW w:w="0" w:type="auto"/>
            <w:hideMark/>
          </w:tcPr>
          <w:p w14:paraId="57CFB95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+20-30%</w:t>
            </w:r>
          </w:p>
        </w:tc>
        <w:tc>
          <w:tcPr>
            <w:tcW w:w="0" w:type="auto"/>
            <w:hideMark/>
          </w:tcPr>
          <w:p w14:paraId="57054EA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25-35%</w:t>
            </w:r>
          </w:p>
        </w:tc>
        <w:tc>
          <w:tcPr>
            <w:tcW w:w="0" w:type="auto"/>
            <w:hideMark/>
          </w:tcPr>
          <w:p w14:paraId="01A79B5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1:4.0</w:t>
            </w:r>
          </w:p>
        </w:tc>
      </w:tr>
      <w:tr w:rsidR="00E9679B" w:rsidRPr="00A605A1" w14:paraId="02CB3E4E" w14:textId="77777777" w:rsidTr="00E9679B">
        <w:tc>
          <w:tcPr>
            <w:tcW w:w="0" w:type="auto"/>
            <w:hideMark/>
          </w:tcPr>
          <w:p w14:paraId="189313C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Micro-irrigation</w:t>
            </w:r>
          </w:p>
        </w:tc>
        <w:tc>
          <w:tcPr>
            <w:tcW w:w="0" w:type="auto"/>
            <w:hideMark/>
          </w:tcPr>
          <w:p w14:paraId="5D6A989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Drip systems</w:t>
            </w:r>
          </w:p>
        </w:tc>
        <w:tc>
          <w:tcPr>
            <w:tcW w:w="0" w:type="auto"/>
            <w:hideMark/>
          </w:tcPr>
          <w:p w14:paraId="5D6BB7A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10-15 globally</w:t>
            </w:r>
          </w:p>
        </w:tc>
        <w:tc>
          <w:tcPr>
            <w:tcW w:w="0" w:type="auto"/>
            <w:hideMark/>
          </w:tcPr>
          <w:p w14:paraId="087129A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+15-25%</w:t>
            </w:r>
          </w:p>
        </w:tc>
        <w:tc>
          <w:tcPr>
            <w:tcW w:w="0" w:type="auto"/>
            <w:hideMark/>
          </w:tcPr>
          <w:p w14:paraId="7858D1E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40-50%</w:t>
            </w:r>
          </w:p>
        </w:tc>
        <w:tc>
          <w:tcPr>
            <w:tcW w:w="0" w:type="auto"/>
            <w:hideMark/>
          </w:tcPr>
          <w:p w14:paraId="02794EA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1:2.0</w:t>
            </w:r>
          </w:p>
        </w:tc>
      </w:tr>
      <w:tr w:rsidR="00E9679B" w:rsidRPr="00A605A1" w14:paraId="48A9B3C9" w14:textId="77777777" w:rsidTr="00E9679B">
        <w:tc>
          <w:tcPr>
            <w:tcW w:w="0" w:type="auto"/>
            <w:hideMark/>
          </w:tcPr>
          <w:p w14:paraId="4A21DD7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Agroforestry</w:t>
            </w:r>
          </w:p>
        </w:tc>
        <w:tc>
          <w:tcPr>
            <w:tcW w:w="0" w:type="auto"/>
            <w:hideMark/>
          </w:tcPr>
          <w:p w14:paraId="10396E9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Tree-crop systems</w:t>
            </w:r>
          </w:p>
        </w:tc>
        <w:tc>
          <w:tcPr>
            <w:tcW w:w="0" w:type="auto"/>
            <w:hideMark/>
          </w:tcPr>
          <w:p w14:paraId="0653BB8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20-25 in suitable areas</w:t>
            </w:r>
          </w:p>
        </w:tc>
        <w:tc>
          <w:tcPr>
            <w:tcW w:w="0" w:type="auto"/>
            <w:hideMark/>
          </w:tcPr>
          <w:p w14:paraId="554DA70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+15-20%</w:t>
            </w:r>
          </w:p>
        </w:tc>
        <w:tc>
          <w:tcPr>
            <w:tcW w:w="0" w:type="auto"/>
            <w:hideMark/>
          </w:tcPr>
          <w:p w14:paraId="1F0E470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20-30%</w:t>
            </w:r>
          </w:p>
        </w:tc>
        <w:tc>
          <w:tcPr>
            <w:tcW w:w="0" w:type="auto"/>
            <w:hideMark/>
          </w:tcPr>
          <w:p w14:paraId="01C6F4C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1:3.5</w:t>
            </w:r>
          </w:p>
        </w:tc>
      </w:tr>
      <w:tr w:rsidR="00E9679B" w:rsidRPr="00A605A1" w14:paraId="5CA0DE33" w14:textId="77777777" w:rsidTr="00E9679B">
        <w:tc>
          <w:tcPr>
            <w:tcW w:w="0" w:type="auto"/>
            <w:hideMark/>
          </w:tcPr>
          <w:p w14:paraId="31630E0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Integrated Pest Management</w:t>
            </w:r>
          </w:p>
        </w:tc>
        <w:tc>
          <w:tcPr>
            <w:tcW w:w="0" w:type="auto"/>
            <w:hideMark/>
          </w:tcPr>
          <w:p w14:paraId="401DCB2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Biocontrol agents</w:t>
            </w:r>
          </w:p>
        </w:tc>
        <w:tc>
          <w:tcPr>
            <w:tcW w:w="0" w:type="auto"/>
            <w:hideMark/>
          </w:tcPr>
          <w:p w14:paraId="5207823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30-35 globally</w:t>
            </w:r>
          </w:p>
        </w:tc>
        <w:tc>
          <w:tcPr>
            <w:tcW w:w="0" w:type="auto"/>
            <w:hideMark/>
          </w:tcPr>
          <w:p w14:paraId="051C4DA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+10-15%</w:t>
            </w:r>
          </w:p>
        </w:tc>
        <w:tc>
          <w:tcPr>
            <w:tcW w:w="0" w:type="auto"/>
            <w:hideMark/>
          </w:tcPr>
          <w:p w14:paraId="29DBE44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Indirect</w:t>
            </w:r>
          </w:p>
        </w:tc>
        <w:tc>
          <w:tcPr>
            <w:tcW w:w="0" w:type="auto"/>
            <w:hideMark/>
          </w:tcPr>
          <w:p w14:paraId="73D20F4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1:2.8</w:t>
            </w:r>
          </w:p>
        </w:tc>
      </w:tr>
      <w:tr w:rsidR="00E9679B" w:rsidRPr="00A605A1" w14:paraId="3A6A7DC4" w14:textId="77777777" w:rsidTr="00E9679B">
        <w:tc>
          <w:tcPr>
            <w:tcW w:w="0" w:type="auto"/>
            <w:hideMark/>
          </w:tcPr>
          <w:p w14:paraId="2279286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Climate Information Services</w:t>
            </w:r>
          </w:p>
        </w:tc>
        <w:tc>
          <w:tcPr>
            <w:tcW w:w="0" w:type="auto"/>
            <w:hideMark/>
          </w:tcPr>
          <w:p w14:paraId="1D1034D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Weather advisories</w:t>
            </w:r>
          </w:p>
        </w:tc>
        <w:tc>
          <w:tcPr>
            <w:tcW w:w="0" w:type="auto"/>
            <w:hideMark/>
          </w:tcPr>
          <w:p w14:paraId="11C7D6C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40-50 with mobile access</w:t>
            </w:r>
          </w:p>
        </w:tc>
        <w:tc>
          <w:tcPr>
            <w:tcW w:w="0" w:type="auto"/>
            <w:hideMark/>
          </w:tcPr>
          <w:p w14:paraId="3A874C6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+8-12%</w:t>
            </w:r>
          </w:p>
        </w:tc>
        <w:tc>
          <w:tcPr>
            <w:tcW w:w="0" w:type="auto"/>
            <w:hideMark/>
          </w:tcPr>
          <w:p w14:paraId="738A3F5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15-20%</w:t>
            </w:r>
          </w:p>
        </w:tc>
        <w:tc>
          <w:tcPr>
            <w:tcW w:w="0" w:type="auto"/>
            <w:hideMark/>
          </w:tcPr>
          <w:p w14:paraId="19ADC4F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1:5.0</w:t>
            </w:r>
          </w:p>
        </w:tc>
      </w:tr>
    </w:tbl>
    <w:p w14:paraId="2267A4F7"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4: Adoption Rates of Climate-Smart Technologies</w:t>
      </w:r>
    </w:p>
    <w:p w14:paraId="7D306C9F" w14:textId="77777777" w:rsidR="00E9679B" w:rsidRPr="00A605A1" w:rsidRDefault="00E9679B" w:rsidP="00E9679B">
      <w:pPr>
        <w:jc w:val="center"/>
        <w:rPr>
          <w:rFonts w:ascii="Times New Roman" w:hAnsi="Times New Roman" w:cs="Times New Roman"/>
          <w:b/>
          <w:bCs/>
          <w:sz w:val="24"/>
          <w:szCs w:val="24"/>
        </w:rPr>
      </w:pPr>
      <w:r>
        <w:rPr>
          <w:noProof/>
          <w:lang w:bidi="hi-IN"/>
        </w:rPr>
        <w:drawing>
          <wp:inline distT="0" distB="0" distL="0" distR="0" wp14:anchorId="6EB2548E" wp14:editId="4A62CCC3">
            <wp:extent cx="4390915" cy="3888565"/>
            <wp:effectExtent l="0" t="0" r="0" b="0"/>
            <wp:docPr id="4" name="Picture 4" descr="Adopting Clean Technologies to Climate Change Adaptation Strategies in  Africa: a Systematic Literature Review | Environment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opting Clean Technologies to Climate Change Adaptation Strategies in  Africa: a Systematic Literature Review | Environmental Manag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4717" cy="3891932"/>
                    </a:xfrm>
                    <a:prstGeom prst="rect">
                      <a:avLst/>
                    </a:prstGeom>
                    <a:noFill/>
                    <a:ln>
                      <a:noFill/>
                    </a:ln>
                  </pic:spPr>
                </pic:pic>
              </a:graphicData>
            </a:graphic>
          </wp:inline>
        </w:drawing>
      </w:r>
    </w:p>
    <w:p w14:paraId="45C4083F"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Precision Agriculture Technologies</w:t>
      </w:r>
    </w:p>
    <w:p w14:paraId="0C7D35BA" w14:textId="0FD90364"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Digital technologies </w:t>
      </w:r>
      <w:proofErr w:type="spellStart"/>
      <w:r w:rsidR="00CB12A2" w:rsidRPr="00CD100C">
        <w:rPr>
          <w:rFonts w:ascii="Times New Roman" w:hAnsi="Times New Roman" w:cs="Times New Roman"/>
          <w:sz w:val="24"/>
          <w:szCs w:val="24"/>
          <w:highlight w:val="yellow"/>
        </w:rPr>
        <w:t>revolutionise</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agricultural</w:t>
      </w:r>
      <w:r w:rsidRPr="00A605A1">
        <w:rPr>
          <w:rFonts w:ascii="Times New Roman" w:hAnsi="Times New Roman" w:cs="Times New Roman"/>
          <w:sz w:val="24"/>
          <w:szCs w:val="24"/>
        </w:rPr>
        <w:t xml:space="preserve"> adaptation through precise resource management and data-driven decision-making. Remote sensing technologies, </w:t>
      </w:r>
      <w:proofErr w:type="spellStart"/>
      <w:r w:rsidR="00CB12A2" w:rsidRPr="00CD100C">
        <w:rPr>
          <w:rFonts w:ascii="Times New Roman" w:hAnsi="Times New Roman" w:cs="Times New Roman"/>
          <w:sz w:val="24"/>
          <w:szCs w:val="24"/>
          <w:highlight w:val="yellow"/>
        </w:rPr>
        <w:t>utilising</w:t>
      </w:r>
      <w:proofErr w:type="spellEnd"/>
      <w:r w:rsidR="00CB12A2" w:rsidRPr="00A605A1">
        <w:rPr>
          <w:rFonts w:ascii="Times New Roman" w:hAnsi="Times New Roman" w:cs="Times New Roman"/>
          <w:sz w:val="24"/>
          <w:szCs w:val="24"/>
        </w:rPr>
        <w:t xml:space="preserve"> </w:t>
      </w:r>
      <w:r w:rsidRPr="00A605A1">
        <w:rPr>
          <w:rFonts w:ascii="Times New Roman" w:hAnsi="Times New Roman" w:cs="Times New Roman"/>
          <w:sz w:val="24"/>
          <w:szCs w:val="24"/>
        </w:rPr>
        <w:t>satellite imagery and drones, enable real-time monitoring of crop health, soil moisture, and pest infestations. Machine learning algorithms process vast datasets to predict optimal planting dates, irrigation schedules, and harvest timing under variable climate conditions.</w:t>
      </w:r>
    </w:p>
    <w:p w14:paraId="3A82D612" w14:textId="751C6686"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Variable rate technology (VRT) allows farmers to apply inputs based on field variability, reducing waste and environmental impact while </w:t>
      </w:r>
      <w:proofErr w:type="spellStart"/>
      <w:r w:rsidR="00CB12A2" w:rsidRPr="00CD100C">
        <w:rPr>
          <w:rFonts w:ascii="Times New Roman" w:hAnsi="Times New Roman" w:cs="Times New Roman"/>
          <w:sz w:val="24"/>
          <w:szCs w:val="24"/>
          <w:highlight w:val="yellow"/>
        </w:rPr>
        <w:t>optimising</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productivity</w:t>
      </w:r>
      <w:r w:rsidRPr="00A605A1">
        <w:rPr>
          <w:rFonts w:ascii="Times New Roman" w:hAnsi="Times New Roman" w:cs="Times New Roman"/>
          <w:sz w:val="24"/>
          <w:szCs w:val="24"/>
        </w:rPr>
        <w:t xml:space="preserve">. GPS-guided tractors and implements ensure precise application of seeds, </w:t>
      </w:r>
      <w:proofErr w:type="spellStart"/>
      <w:r w:rsidR="00CB12A2" w:rsidRPr="00CD100C">
        <w:rPr>
          <w:rFonts w:ascii="Times New Roman" w:hAnsi="Times New Roman" w:cs="Times New Roman"/>
          <w:sz w:val="24"/>
          <w:szCs w:val="24"/>
          <w:highlight w:val="yellow"/>
        </w:rPr>
        <w:t>fertilisers</w:t>
      </w:r>
      <w:proofErr w:type="spellEnd"/>
      <w:r w:rsidRPr="00CD100C">
        <w:rPr>
          <w:rFonts w:ascii="Times New Roman" w:hAnsi="Times New Roman" w:cs="Times New Roman"/>
          <w:sz w:val="24"/>
          <w:szCs w:val="24"/>
          <w:highlight w:val="yellow"/>
        </w:rPr>
        <w:t>, and pesticides</w:t>
      </w:r>
      <w:r w:rsidRPr="00A605A1">
        <w:rPr>
          <w:rFonts w:ascii="Times New Roman" w:hAnsi="Times New Roman" w:cs="Times New Roman"/>
          <w:sz w:val="24"/>
          <w:szCs w:val="24"/>
        </w:rPr>
        <w:t xml:space="preserve">, reducing overlaps and </w:t>
      </w:r>
      <w:r w:rsidRPr="00A605A1">
        <w:rPr>
          <w:rFonts w:ascii="Times New Roman" w:hAnsi="Times New Roman" w:cs="Times New Roman"/>
          <w:sz w:val="24"/>
          <w:szCs w:val="24"/>
        </w:rPr>
        <w:lastRenderedPageBreak/>
        <w:t>gaps. These technologies show particular promise for large-scale farming operations, though costs remain prohibitive for smallholders.</w:t>
      </w:r>
    </w:p>
    <w:p w14:paraId="485B3E8A" w14:textId="37DFF88E"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Internet of Things (IoT) sensors deployed across farms provide continuous monitoring of environmental parameters</w:t>
      </w:r>
      <w:r w:rsidR="00CB12A2">
        <w:rPr>
          <w:rFonts w:ascii="Times New Roman" w:hAnsi="Times New Roman" w:cs="Times New Roman"/>
          <w:sz w:val="24"/>
          <w:szCs w:val="24"/>
        </w:rPr>
        <w:t>,</w:t>
      </w:r>
      <w:r w:rsidRPr="00A605A1">
        <w:rPr>
          <w:rFonts w:ascii="Times New Roman" w:hAnsi="Times New Roman" w:cs="Times New Roman"/>
          <w:sz w:val="24"/>
          <w:szCs w:val="24"/>
        </w:rPr>
        <w:t xml:space="preserve"> including temperature, humidity, soil moisture, and wind speed. This data, integrated with weather forecasts and crop models, enables predictive analytics for pest outbreaks, disease risk, and irrigation requirements. Early warning systems based on these technologies can reduce crop losses by 15-25% through timely interventions.</w:t>
      </w:r>
    </w:p>
    <w:p w14:paraId="6F7B115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Mitigation Approaches in Agriculture</w:t>
      </w:r>
    </w:p>
    <w:p w14:paraId="5F55354F"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Carbon Sequestration Strategies</w:t>
      </w:r>
    </w:p>
    <w:p w14:paraId="62EAF788" w14:textId="70D375B0"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Agricultural soils represent a significant carbon sink with </w:t>
      </w:r>
      <w:r w:rsidR="00CB12A2" w:rsidRPr="00CD100C">
        <w:rPr>
          <w:rFonts w:ascii="Times New Roman" w:hAnsi="Times New Roman" w:cs="Times New Roman"/>
          <w:sz w:val="24"/>
          <w:szCs w:val="24"/>
          <w:highlight w:val="yellow"/>
        </w:rPr>
        <w:t xml:space="preserve">the </w:t>
      </w:r>
      <w:r w:rsidRPr="00CD100C">
        <w:rPr>
          <w:rFonts w:ascii="Times New Roman" w:hAnsi="Times New Roman" w:cs="Times New Roman"/>
          <w:sz w:val="24"/>
          <w:szCs w:val="24"/>
          <w:highlight w:val="yellow"/>
        </w:rPr>
        <w:t>potential</w:t>
      </w:r>
      <w:r w:rsidRPr="00A605A1">
        <w:rPr>
          <w:rFonts w:ascii="Times New Roman" w:hAnsi="Times New Roman" w:cs="Times New Roman"/>
          <w:sz w:val="24"/>
          <w:szCs w:val="24"/>
        </w:rPr>
        <w:t xml:space="preserve"> to mitigate climate change while improving soil health and productivity. Conservation agriculture practices, including minimal tillage, permanent soil cover, and crop rotations, can sequester 0.5-1.5 tons of carbon per hectare annually. Global adoption of these practices on suitable croplands could offset 5-10% of agricultural greenhouse gas emissions.</w:t>
      </w:r>
    </w:p>
    <w:p w14:paraId="6B27027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Cover cropping, incorporating nitrogen-fixing legumes and deep-rooted species, enhances soil carbon storage while providing multiple co-benefits. Research demonstrates that winter cover crops can add 1-2 tons of organic matter per hectare annually, improving soil structure, water retention, and nutrient cycling. The selection of appropriate cover crop species based on local climate and soil conditions determines sequestration potential and economic viability.</w:t>
      </w:r>
    </w:p>
    <w:p w14:paraId="52962B7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Biochar application, produced from agricultural residues through pyrolysis, offers long-term carbon storage potential. Studies indicate that biochar can persist in soils for hundreds to thousands of years while improving soil fertility and water retention. Application rates of 5-10 tons per hectare show significant improvements in crop yields, particularly in degraded tropical soils, while sequestering carbon equivalent to 2-4 tons of CO₂ per hectare.</w:t>
      </w:r>
    </w:p>
    <w:p w14:paraId="660ED39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Greenhouse Gas Emission Reduction</w:t>
      </w:r>
    </w:p>
    <w:p w14:paraId="61D833C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Methane emissions from rice cultivation, contributing 10% of agricultural greenhouse gas emissions, can be reduced through alternate wetting and drying (AWD) irrigation. This practice reduces methane emissions by 30-50% while saving 15-30% of irrigation water without yield penalties. Successful implementation requires farmer training and reliable water control infrastructure.</w:t>
      </w:r>
    </w:p>
    <w:p w14:paraId="3E463C2B" w14:textId="0F9535E0"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Nitrogen </w:t>
      </w:r>
      <w:r w:rsidRPr="00CD100C">
        <w:rPr>
          <w:rFonts w:ascii="Times New Roman" w:hAnsi="Times New Roman" w:cs="Times New Roman"/>
          <w:sz w:val="24"/>
          <w:szCs w:val="24"/>
          <w:highlight w:val="yellow"/>
        </w:rPr>
        <w:t xml:space="preserve">management </w:t>
      </w:r>
      <w:proofErr w:type="spellStart"/>
      <w:r w:rsidR="00CB12A2" w:rsidRPr="00CD100C">
        <w:rPr>
          <w:rFonts w:ascii="Times New Roman" w:hAnsi="Times New Roman" w:cs="Times New Roman"/>
          <w:sz w:val="24"/>
          <w:szCs w:val="24"/>
          <w:highlight w:val="yellow"/>
        </w:rPr>
        <w:t>optimisation</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reduces</w:t>
      </w:r>
      <w:r w:rsidRPr="00A605A1">
        <w:rPr>
          <w:rFonts w:ascii="Times New Roman" w:hAnsi="Times New Roman" w:cs="Times New Roman"/>
          <w:sz w:val="24"/>
          <w:szCs w:val="24"/>
        </w:rPr>
        <w:t xml:space="preserve"> nitrous oxide emissions while improving nitrogen use efficiency. Precision application technologies, enhanced efficiency </w:t>
      </w:r>
      <w:proofErr w:type="spellStart"/>
      <w:r w:rsidR="00CB12A2" w:rsidRPr="00CD100C">
        <w:rPr>
          <w:rFonts w:ascii="Times New Roman" w:hAnsi="Times New Roman" w:cs="Times New Roman"/>
          <w:sz w:val="24"/>
          <w:szCs w:val="24"/>
          <w:highlight w:val="yellow"/>
        </w:rPr>
        <w:t>fertilisers</w:t>
      </w:r>
      <w:proofErr w:type="spellEnd"/>
      <w:r w:rsidRPr="00CD100C">
        <w:rPr>
          <w:rFonts w:ascii="Times New Roman" w:hAnsi="Times New Roman" w:cs="Times New Roman"/>
          <w:sz w:val="24"/>
          <w:szCs w:val="24"/>
          <w:highlight w:val="yellow"/>
        </w:rPr>
        <w:t>, and biological</w:t>
      </w:r>
      <w:r w:rsidRPr="00A605A1">
        <w:rPr>
          <w:rFonts w:ascii="Times New Roman" w:hAnsi="Times New Roman" w:cs="Times New Roman"/>
          <w:sz w:val="24"/>
          <w:szCs w:val="24"/>
        </w:rPr>
        <w:t xml:space="preserve"> nitrogen fixation can reduce emissions by 20-30%. The use of nitrification inhibitors and controlled-release </w:t>
      </w:r>
      <w:proofErr w:type="spellStart"/>
      <w:r w:rsidR="00CB12A2" w:rsidRPr="00CD100C">
        <w:rPr>
          <w:rFonts w:ascii="Times New Roman" w:hAnsi="Times New Roman" w:cs="Times New Roman"/>
          <w:sz w:val="24"/>
          <w:szCs w:val="24"/>
          <w:highlight w:val="yellow"/>
        </w:rPr>
        <w:t>fertilisers</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shows</w:t>
      </w:r>
      <w:r w:rsidRPr="00A605A1">
        <w:rPr>
          <w:rFonts w:ascii="Times New Roman" w:hAnsi="Times New Roman" w:cs="Times New Roman"/>
          <w:sz w:val="24"/>
          <w:szCs w:val="24"/>
        </w:rPr>
        <w:t xml:space="preserve"> particular promise in high-input systems where nitrogen losses represent both economic and environmental costs.</w:t>
      </w:r>
    </w:p>
    <w:p w14:paraId="277F1B4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Livestock management improvements target methane emissions from enteric fermentation and manure management. Dietary modifications, including lipid supplementation and improved forage quality, can reduce methane emissions by 10-20% per unit of animal product. Manure management </w:t>
      </w:r>
      <w:r w:rsidRPr="00A605A1">
        <w:rPr>
          <w:rFonts w:ascii="Times New Roman" w:hAnsi="Times New Roman" w:cs="Times New Roman"/>
          <w:sz w:val="24"/>
          <w:szCs w:val="24"/>
        </w:rPr>
        <w:lastRenderedPageBreak/>
        <w:t>systems incorporating anaerobic digestion generate renewable energy while reducing emissions, creating economic incentives for adoption.</w:t>
      </w:r>
    </w:p>
    <w:p w14:paraId="524674F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5: Mitigation Potential of Agricultural Practices</w:t>
      </w:r>
    </w:p>
    <w:tbl>
      <w:tblPr>
        <w:tblStyle w:val="TableGrid"/>
        <w:tblW w:w="0" w:type="auto"/>
        <w:tblLook w:val="04A0" w:firstRow="1" w:lastRow="0" w:firstColumn="1" w:lastColumn="0" w:noHBand="0" w:noVBand="1"/>
      </w:tblPr>
      <w:tblGrid>
        <w:gridCol w:w="1815"/>
        <w:gridCol w:w="2018"/>
        <w:gridCol w:w="1814"/>
        <w:gridCol w:w="1970"/>
        <w:gridCol w:w="1733"/>
      </w:tblGrid>
      <w:tr w:rsidR="00E9679B" w:rsidRPr="00A605A1" w14:paraId="564CB142" w14:textId="77777777" w:rsidTr="00E9679B">
        <w:tc>
          <w:tcPr>
            <w:tcW w:w="0" w:type="auto"/>
            <w:hideMark/>
          </w:tcPr>
          <w:p w14:paraId="74012EF1"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Mitigation Practice</w:t>
            </w:r>
          </w:p>
        </w:tc>
        <w:tc>
          <w:tcPr>
            <w:tcW w:w="0" w:type="auto"/>
            <w:hideMark/>
          </w:tcPr>
          <w:p w14:paraId="6C72DB3E"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GHG Reduction Potential</w:t>
            </w:r>
          </w:p>
        </w:tc>
        <w:tc>
          <w:tcPr>
            <w:tcW w:w="0" w:type="auto"/>
            <w:hideMark/>
          </w:tcPr>
          <w:p w14:paraId="0D51D7EE"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Carbon Sequestration</w:t>
            </w:r>
          </w:p>
        </w:tc>
        <w:tc>
          <w:tcPr>
            <w:tcW w:w="0" w:type="auto"/>
            <w:hideMark/>
          </w:tcPr>
          <w:p w14:paraId="17D5896C"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Implementation Cost</w:t>
            </w:r>
          </w:p>
        </w:tc>
        <w:tc>
          <w:tcPr>
            <w:tcW w:w="0" w:type="auto"/>
            <w:hideMark/>
          </w:tcPr>
          <w:p w14:paraId="7605C468"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Co-benefits</w:t>
            </w:r>
          </w:p>
        </w:tc>
      </w:tr>
      <w:tr w:rsidR="00E9679B" w:rsidRPr="00A605A1" w14:paraId="5D07D188" w14:textId="77777777" w:rsidTr="00E9679B">
        <w:tc>
          <w:tcPr>
            <w:tcW w:w="0" w:type="auto"/>
            <w:hideMark/>
          </w:tcPr>
          <w:p w14:paraId="573904F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Conservation Agriculture</w:t>
            </w:r>
          </w:p>
        </w:tc>
        <w:tc>
          <w:tcPr>
            <w:tcW w:w="0" w:type="auto"/>
            <w:hideMark/>
          </w:tcPr>
          <w:p w14:paraId="41808FA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1.5-2.0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7C15147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0.5-1.5 </w:t>
            </w:r>
            <w:proofErr w:type="spellStart"/>
            <w:r w:rsidRPr="00A605A1">
              <w:rPr>
                <w:rFonts w:ascii="Times New Roman" w:hAnsi="Times New Roman" w:cs="Times New Roman"/>
                <w:sz w:val="24"/>
                <w:szCs w:val="24"/>
              </w:rPr>
              <w:t>tC</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4FC049D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Low-Moderate</w:t>
            </w:r>
          </w:p>
        </w:tc>
        <w:tc>
          <w:tcPr>
            <w:tcW w:w="0" w:type="auto"/>
            <w:hideMark/>
          </w:tcPr>
          <w:p w14:paraId="1EDE9BB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Soil health improvement</w:t>
            </w:r>
          </w:p>
        </w:tc>
      </w:tr>
      <w:tr w:rsidR="00E9679B" w:rsidRPr="00A605A1" w14:paraId="5BC8E9A8" w14:textId="77777777" w:rsidTr="00E9679B">
        <w:tc>
          <w:tcPr>
            <w:tcW w:w="0" w:type="auto"/>
            <w:hideMark/>
          </w:tcPr>
          <w:p w14:paraId="0FFE2E6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Agroforestry Systems</w:t>
            </w:r>
          </w:p>
        </w:tc>
        <w:tc>
          <w:tcPr>
            <w:tcW w:w="0" w:type="auto"/>
            <w:hideMark/>
          </w:tcPr>
          <w:p w14:paraId="25467FF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2.0-4.0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1CA7946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1.0-3.0 </w:t>
            </w:r>
            <w:proofErr w:type="spellStart"/>
            <w:r w:rsidRPr="00A605A1">
              <w:rPr>
                <w:rFonts w:ascii="Times New Roman" w:hAnsi="Times New Roman" w:cs="Times New Roman"/>
                <w:sz w:val="24"/>
                <w:szCs w:val="24"/>
              </w:rPr>
              <w:t>tC</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63F3ED7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Moderate</w:t>
            </w:r>
          </w:p>
        </w:tc>
        <w:tc>
          <w:tcPr>
            <w:tcW w:w="0" w:type="auto"/>
            <w:hideMark/>
          </w:tcPr>
          <w:p w14:paraId="1FE97F6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Biodiversity, income</w:t>
            </w:r>
          </w:p>
        </w:tc>
      </w:tr>
      <w:tr w:rsidR="00E9679B" w:rsidRPr="00A605A1" w14:paraId="1E75ED79" w14:textId="77777777" w:rsidTr="00E9679B">
        <w:tc>
          <w:tcPr>
            <w:tcW w:w="0" w:type="auto"/>
            <w:hideMark/>
          </w:tcPr>
          <w:p w14:paraId="45B8B31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Improved Rice Management</w:t>
            </w:r>
          </w:p>
        </w:tc>
        <w:tc>
          <w:tcPr>
            <w:tcW w:w="0" w:type="auto"/>
            <w:hideMark/>
          </w:tcPr>
          <w:p w14:paraId="59BA4F4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1.0-1.5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5B7FD77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0.2-0.5 </w:t>
            </w:r>
            <w:proofErr w:type="spellStart"/>
            <w:r w:rsidRPr="00A605A1">
              <w:rPr>
                <w:rFonts w:ascii="Times New Roman" w:hAnsi="Times New Roman" w:cs="Times New Roman"/>
                <w:sz w:val="24"/>
                <w:szCs w:val="24"/>
              </w:rPr>
              <w:t>tC</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5279E26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Low</w:t>
            </w:r>
          </w:p>
        </w:tc>
        <w:tc>
          <w:tcPr>
            <w:tcW w:w="0" w:type="auto"/>
            <w:hideMark/>
          </w:tcPr>
          <w:p w14:paraId="28F01C2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Water saving</w:t>
            </w:r>
          </w:p>
        </w:tc>
      </w:tr>
      <w:tr w:rsidR="00E9679B" w:rsidRPr="00A605A1" w14:paraId="6B5985C7" w14:textId="77777777" w:rsidTr="00E9679B">
        <w:tc>
          <w:tcPr>
            <w:tcW w:w="0" w:type="auto"/>
            <w:hideMark/>
          </w:tcPr>
          <w:p w14:paraId="2D240FD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Optimized N Fertilization</w:t>
            </w:r>
          </w:p>
        </w:tc>
        <w:tc>
          <w:tcPr>
            <w:tcW w:w="0" w:type="auto"/>
            <w:hideMark/>
          </w:tcPr>
          <w:p w14:paraId="5B80F05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0.5-1.0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7C90304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Minimal</w:t>
            </w:r>
          </w:p>
        </w:tc>
        <w:tc>
          <w:tcPr>
            <w:tcW w:w="0" w:type="auto"/>
            <w:hideMark/>
          </w:tcPr>
          <w:p w14:paraId="4298563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Low-Moderate</w:t>
            </w:r>
          </w:p>
        </w:tc>
        <w:tc>
          <w:tcPr>
            <w:tcW w:w="0" w:type="auto"/>
            <w:hideMark/>
          </w:tcPr>
          <w:p w14:paraId="692FD70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Cost savings</w:t>
            </w:r>
          </w:p>
        </w:tc>
      </w:tr>
      <w:tr w:rsidR="00E9679B" w:rsidRPr="00A605A1" w14:paraId="5B6BD2FB" w14:textId="77777777" w:rsidTr="00E9679B">
        <w:tc>
          <w:tcPr>
            <w:tcW w:w="0" w:type="auto"/>
            <w:hideMark/>
          </w:tcPr>
          <w:p w14:paraId="646E19C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Biochar Application</w:t>
            </w:r>
          </w:p>
        </w:tc>
        <w:tc>
          <w:tcPr>
            <w:tcW w:w="0" w:type="auto"/>
            <w:hideMark/>
          </w:tcPr>
          <w:p w14:paraId="6EDEE1B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2.0-4.0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/ha once</w:t>
            </w:r>
          </w:p>
        </w:tc>
        <w:tc>
          <w:tcPr>
            <w:tcW w:w="0" w:type="auto"/>
            <w:hideMark/>
          </w:tcPr>
          <w:p w14:paraId="778548A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2.0-4.0 </w:t>
            </w:r>
            <w:proofErr w:type="spellStart"/>
            <w:r w:rsidRPr="00A605A1">
              <w:rPr>
                <w:rFonts w:ascii="Times New Roman" w:hAnsi="Times New Roman" w:cs="Times New Roman"/>
                <w:sz w:val="24"/>
                <w:szCs w:val="24"/>
              </w:rPr>
              <w:t>tC</w:t>
            </w:r>
            <w:proofErr w:type="spellEnd"/>
            <w:r w:rsidRPr="00A605A1">
              <w:rPr>
                <w:rFonts w:ascii="Times New Roman" w:hAnsi="Times New Roman" w:cs="Times New Roman"/>
                <w:sz w:val="24"/>
                <w:szCs w:val="24"/>
              </w:rPr>
              <w:t>/ha once</w:t>
            </w:r>
          </w:p>
        </w:tc>
        <w:tc>
          <w:tcPr>
            <w:tcW w:w="0" w:type="auto"/>
            <w:hideMark/>
          </w:tcPr>
          <w:p w14:paraId="4F41D49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w:t>
            </w:r>
          </w:p>
        </w:tc>
        <w:tc>
          <w:tcPr>
            <w:tcW w:w="0" w:type="auto"/>
            <w:hideMark/>
          </w:tcPr>
          <w:p w14:paraId="2B8654B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Soil improvement</w:t>
            </w:r>
          </w:p>
        </w:tc>
      </w:tr>
      <w:tr w:rsidR="00E9679B" w:rsidRPr="00A605A1" w14:paraId="5FDDAC64" w14:textId="77777777" w:rsidTr="00E9679B">
        <w:tc>
          <w:tcPr>
            <w:tcW w:w="0" w:type="auto"/>
            <w:hideMark/>
          </w:tcPr>
          <w:p w14:paraId="5289C85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Improved Livestock Feed</w:t>
            </w:r>
          </w:p>
        </w:tc>
        <w:tc>
          <w:tcPr>
            <w:tcW w:w="0" w:type="auto"/>
            <w:hideMark/>
          </w:tcPr>
          <w:p w14:paraId="0AD8882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0.2-0.4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/animal/</w:t>
            </w:r>
            <w:proofErr w:type="spellStart"/>
            <w:r w:rsidRPr="00A605A1">
              <w:rPr>
                <w:rFonts w:ascii="Times New Roman" w:hAnsi="Times New Roman" w:cs="Times New Roman"/>
                <w:sz w:val="24"/>
                <w:szCs w:val="24"/>
              </w:rPr>
              <w:t>yr</w:t>
            </w:r>
            <w:proofErr w:type="spellEnd"/>
          </w:p>
        </w:tc>
        <w:tc>
          <w:tcPr>
            <w:tcW w:w="0" w:type="auto"/>
            <w:hideMark/>
          </w:tcPr>
          <w:p w14:paraId="2FED11D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None</w:t>
            </w:r>
          </w:p>
        </w:tc>
        <w:tc>
          <w:tcPr>
            <w:tcW w:w="0" w:type="auto"/>
            <w:hideMark/>
          </w:tcPr>
          <w:p w14:paraId="34D3649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Moderate</w:t>
            </w:r>
          </w:p>
        </w:tc>
        <w:tc>
          <w:tcPr>
            <w:tcW w:w="0" w:type="auto"/>
            <w:hideMark/>
          </w:tcPr>
          <w:p w14:paraId="2CC6C0C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Productivity gains</w:t>
            </w:r>
          </w:p>
        </w:tc>
      </w:tr>
      <w:tr w:rsidR="00E9679B" w:rsidRPr="00A605A1" w14:paraId="31A46C50" w14:textId="77777777" w:rsidTr="00E9679B">
        <w:tc>
          <w:tcPr>
            <w:tcW w:w="0" w:type="auto"/>
            <w:hideMark/>
          </w:tcPr>
          <w:p w14:paraId="562B50F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Manure Management</w:t>
            </w:r>
          </w:p>
        </w:tc>
        <w:tc>
          <w:tcPr>
            <w:tcW w:w="0" w:type="auto"/>
            <w:hideMark/>
          </w:tcPr>
          <w:p w14:paraId="56CE0F5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0.5-1.0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/animal/</w:t>
            </w:r>
            <w:proofErr w:type="spellStart"/>
            <w:r w:rsidRPr="00A605A1">
              <w:rPr>
                <w:rFonts w:ascii="Times New Roman" w:hAnsi="Times New Roman" w:cs="Times New Roman"/>
                <w:sz w:val="24"/>
                <w:szCs w:val="24"/>
              </w:rPr>
              <w:t>yr</w:t>
            </w:r>
            <w:proofErr w:type="spellEnd"/>
          </w:p>
        </w:tc>
        <w:tc>
          <w:tcPr>
            <w:tcW w:w="0" w:type="auto"/>
            <w:hideMark/>
          </w:tcPr>
          <w:p w14:paraId="3A30316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0.1-0.3 </w:t>
            </w:r>
            <w:proofErr w:type="spellStart"/>
            <w:r w:rsidRPr="00A605A1">
              <w:rPr>
                <w:rFonts w:ascii="Times New Roman" w:hAnsi="Times New Roman" w:cs="Times New Roman"/>
                <w:sz w:val="24"/>
                <w:szCs w:val="24"/>
              </w:rPr>
              <w:t>tC</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65E36B3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w:t>
            </w:r>
          </w:p>
        </w:tc>
        <w:tc>
          <w:tcPr>
            <w:tcW w:w="0" w:type="auto"/>
            <w:hideMark/>
          </w:tcPr>
          <w:p w14:paraId="60943AE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Energy generation</w:t>
            </w:r>
          </w:p>
        </w:tc>
      </w:tr>
    </w:tbl>
    <w:p w14:paraId="0BDBFBFA" w14:textId="77777777" w:rsidR="002D7E8F" w:rsidRPr="00A605A1" w:rsidRDefault="002D7E8F" w:rsidP="002D7E8F">
      <w:pPr>
        <w:jc w:val="both"/>
        <w:rPr>
          <w:rFonts w:ascii="Times New Roman" w:hAnsi="Times New Roman" w:cs="Times New Roman"/>
          <w:b/>
          <w:bCs/>
          <w:sz w:val="24"/>
          <w:szCs w:val="24"/>
        </w:rPr>
      </w:pPr>
      <w:r w:rsidRPr="00A605A1">
        <w:rPr>
          <w:rFonts w:ascii="Times New Roman" w:hAnsi="Times New Roman" w:cs="Times New Roman"/>
          <w:b/>
          <w:bCs/>
          <w:sz w:val="24"/>
          <w:szCs w:val="24"/>
        </w:rPr>
        <w:t>Renewable Energy Integration</w:t>
      </w:r>
    </w:p>
    <w:p w14:paraId="115E612B" w14:textId="77777777" w:rsidR="002D7E8F" w:rsidRPr="00A605A1" w:rsidRDefault="002D7E8F" w:rsidP="002D7E8F">
      <w:pPr>
        <w:jc w:val="both"/>
        <w:rPr>
          <w:rFonts w:ascii="Times New Roman" w:hAnsi="Times New Roman" w:cs="Times New Roman"/>
          <w:sz w:val="24"/>
          <w:szCs w:val="24"/>
        </w:rPr>
      </w:pPr>
      <w:r w:rsidRPr="00A605A1">
        <w:rPr>
          <w:rFonts w:ascii="Times New Roman" w:hAnsi="Times New Roman" w:cs="Times New Roman"/>
          <w:sz w:val="24"/>
          <w:szCs w:val="24"/>
        </w:rPr>
        <w:t>Agricultural operations increasingly integrate renewable energy systems to reduce fossil fuel dependence and operational costs. Solar-powered irrigation systems show particular promise in off-grid areas, with costs declining by 70% over the past decade. These systems enable irrigation expansion in remote areas while eliminating diesel fuel emissions and reducing operational costs by 50-70% over system lifetime.</w:t>
      </w:r>
    </w:p>
    <w:p w14:paraId="6CC25CB3" w14:textId="6A407F68" w:rsidR="002D7E8F" w:rsidRPr="00A605A1" w:rsidRDefault="002D7E8F" w:rsidP="002D7E8F">
      <w:pPr>
        <w:jc w:val="both"/>
        <w:rPr>
          <w:rFonts w:ascii="Times New Roman" w:hAnsi="Times New Roman" w:cs="Times New Roman"/>
          <w:sz w:val="24"/>
          <w:szCs w:val="24"/>
        </w:rPr>
      </w:pPr>
      <w:r w:rsidRPr="00A605A1">
        <w:rPr>
          <w:rFonts w:ascii="Times New Roman" w:hAnsi="Times New Roman" w:cs="Times New Roman"/>
          <w:sz w:val="24"/>
          <w:szCs w:val="24"/>
        </w:rPr>
        <w:t xml:space="preserve">Agrivoltaics, combining solar panels with crop production, </w:t>
      </w:r>
      <w:proofErr w:type="spellStart"/>
      <w:r w:rsidR="00CB12A2" w:rsidRPr="00CD100C">
        <w:rPr>
          <w:rFonts w:ascii="Times New Roman" w:hAnsi="Times New Roman" w:cs="Times New Roman"/>
          <w:sz w:val="24"/>
          <w:szCs w:val="24"/>
          <w:highlight w:val="yellow"/>
        </w:rPr>
        <w:t>optimises</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land</w:t>
      </w:r>
      <w:r w:rsidRPr="00A605A1">
        <w:rPr>
          <w:rFonts w:ascii="Times New Roman" w:hAnsi="Times New Roman" w:cs="Times New Roman"/>
          <w:sz w:val="24"/>
          <w:szCs w:val="24"/>
        </w:rPr>
        <w:t xml:space="preserve"> use while generating clean energy. Studies demonstrate that partial shading from elevated solar panels can reduce water requirements by 15-30% while maintaining 80-90% of crop yields. Suitable crops include shade-tolerant vegetables, berries, and certain grains, with economic returns from both electricity generation and crop production.</w:t>
      </w:r>
    </w:p>
    <w:p w14:paraId="776B3410" w14:textId="77777777" w:rsidR="002D7E8F" w:rsidRPr="00A605A1" w:rsidRDefault="002D7E8F" w:rsidP="002D7E8F">
      <w:pPr>
        <w:jc w:val="both"/>
        <w:rPr>
          <w:rFonts w:ascii="Times New Roman" w:hAnsi="Times New Roman" w:cs="Times New Roman"/>
          <w:sz w:val="24"/>
          <w:szCs w:val="24"/>
        </w:rPr>
      </w:pPr>
      <w:r w:rsidRPr="00A605A1">
        <w:rPr>
          <w:rFonts w:ascii="Times New Roman" w:hAnsi="Times New Roman" w:cs="Times New Roman"/>
          <w:sz w:val="24"/>
          <w:szCs w:val="24"/>
        </w:rPr>
        <w:t>Wind energy development on agricultural lands provides additional income streams for farmers while maintaining agricultural production. Properly sited wind turbines occupy less than 1% of land area, allowing continued cultivation around turbine foundations. Lease payments for wind turbines can provide stable income that helps farmers manage climate-related production risks.</w:t>
      </w:r>
    </w:p>
    <w:p w14:paraId="66B93F86" w14:textId="77777777" w:rsidR="002D7E8F" w:rsidRPr="00A605A1" w:rsidRDefault="002D7E8F" w:rsidP="002D7E8F">
      <w:pPr>
        <w:jc w:val="both"/>
        <w:rPr>
          <w:rFonts w:ascii="Times New Roman" w:hAnsi="Times New Roman" w:cs="Times New Roman"/>
          <w:b/>
          <w:bCs/>
          <w:sz w:val="24"/>
          <w:szCs w:val="24"/>
        </w:rPr>
      </w:pPr>
      <w:r w:rsidRPr="00A605A1">
        <w:rPr>
          <w:rFonts w:ascii="Times New Roman" w:hAnsi="Times New Roman" w:cs="Times New Roman"/>
          <w:b/>
          <w:bCs/>
          <w:sz w:val="24"/>
          <w:szCs w:val="24"/>
        </w:rPr>
        <w:t>Policy and Institutional Frameworks</w:t>
      </w:r>
    </w:p>
    <w:p w14:paraId="6BC6DF4E" w14:textId="77777777" w:rsidR="002D7E8F" w:rsidRPr="00A605A1" w:rsidRDefault="002D7E8F" w:rsidP="002D7E8F">
      <w:pPr>
        <w:jc w:val="both"/>
        <w:rPr>
          <w:rFonts w:ascii="Times New Roman" w:hAnsi="Times New Roman" w:cs="Times New Roman"/>
          <w:b/>
          <w:bCs/>
          <w:sz w:val="24"/>
          <w:szCs w:val="24"/>
        </w:rPr>
      </w:pPr>
      <w:r w:rsidRPr="00A605A1">
        <w:rPr>
          <w:rFonts w:ascii="Times New Roman" w:hAnsi="Times New Roman" w:cs="Times New Roman"/>
          <w:b/>
          <w:bCs/>
          <w:sz w:val="24"/>
          <w:szCs w:val="24"/>
        </w:rPr>
        <w:t>Climate-Smart Agriculture Policies</w:t>
      </w:r>
    </w:p>
    <w:p w14:paraId="47719531" w14:textId="77777777" w:rsidR="002D7E8F" w:rsidRPr="00A605A1" w:rsidRDefault="002D7E8F" w:rsidP="002D7E8F">
      <w:pPr>
        <w:jc w:val="both"/>
        <w:rPr>
          <w:rFonts w:ascii="Times New Roman" w:hAnsi="Times New Roman" w:cs="Times New Roman"/>
          <w:sz w:val="24"/>
          <w:szCs w:val="24"/>
        </w:rPr>
      </w:pPr>
      <w:r w:rsidRPr="00A605A1">
        <w:rPr>
          <w:rFonts w:ascii="Times New Roman" w:hAnsi="Times New Roman" w:cs="Times New Roman"/>
          <w:sz w:val="24"/>
          <w:szCs w:val="24"/>
        </w:rPr>
        <w:t xml:space="preserve">Effective policy frameworks must balance productivity, adaptation, and mitigation objectives while addressing equity concerns and implementation barriers. National adaptation plans increasingly mainstream climate considerations into agricultural policies, though implementation </w:t>
      </w:r>
      <w:r w:rsidRPr="00A605A1">
        <w:rPr>
          <w:rFonts w:ascii="Times New Roman" w:hAnsi="Times New Roman" w:cs="Times New Roman"/>
          <w:sz w:val="24"/>
          <w:szCs w:val="24"/>
        </w:rPr>
        <w:lastRenderedPageBreak/>
        <w:t>remains uneven. Successful examples include Ethiopia's Climate Resilient Green Economy strategy and India's National Mission for Sustainable Agriculture.</w:t>
      </w:r>
    </w:p>
    <w:p w14:paraId="6B755B54"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5: Carbon Sequestration Pathways in Agriculture</w:t>
      </w:r>
    </w:p>
    <w:p w14:paraId="103DA040" w14:textId="77777777" w:rsidR="002D7E8F" w:rsidRDefault="002D7E8F" w:rsidP="002D7E8F">
      <w:pPr>
        <w:pStyle w:val="NormalWeb"/>
        <w:jc w:val="center"/>
      </w:pPr>
      <w:r>
        <w:rPr>
          <w:noProof/>
        </w:rPr>
        <w:drawing>
          <wp:inline distT="0" distB="0" distL="0" distR="0" wp14:anchorId="4B563460" wp14:editId="4524110E">
            <wp:extent cx="4563110" cy="4634581"/>
            <wp:effectExtent l="0" t="0" r="8890" b="0"/>
            <wp:docPr id="6" name="Picture 6" descr="C:\Users\Lenovo\Downloads\ntegration-of-four-land-based-carbon-sequestration-techniques-on-the-same-759-land-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wnloads\ntegration-of-four-land-based-carbon-sequestration-techniques-on-the-same-759-land-are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0766" cy="4642357"/>
                    </a:xfrm>
                    <a:prstGeom prst="rect">
                      <a:avLst/>
                    </a:prstGeom>
                    <a:noFill/>
                    <a:ln>
                      <a:noFill/>
                    </a:ln>
                  </pic:spPr>
                </pic:pic>
              </a:graphicData>
            </a:graphic>
          </wp:inline>
        </w:drawing>
      </w:r>
    </w:p>
    <w:p w14:paraId="27397F1C" w14:textId="0DCA901E"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Incentive mechanisms for </w:t>
      </w:r>
      <w:r w:rsidR="00CB12A2" w:rsidRPr="00CD100C">
        <w:rPr>
          <w:rFonts w:ascii="Times New Roman" w:hAnsi="Times New Roman" w:cs="Times New Roman"/>
          <w:sz w:val="24"/>
          <w:szCs w:val="24"/>
          <w:highlight w:val="yellow"/>
        </w:rPr>
        <w:t xml:space="preserve">the </w:t>
      </w:r>
      <w:r w:rsidRPr="00CD100C">
        <w:rPr>
          <w:rFonts w:ascii="Times New Roman" w:hAnsi="Times New Roman" w:cs="Times New Roman"/>
          <w:sz w:val="24"/>
          <w:szCs w:val="24"/>
          <w:highlight w:val="yellow"/>
        </w:rPr>
        <w:t>adoption</w:t>
      </w:r>
      <w:r w:rsidRPr="00A605A1">
        <w:rPr>
          <w:rFonts w:ascii="Times New Roman" w:hAnsi="Times New Roman" w:cs="Times New Roman"/>
          <w:sz w:val="24"/>
          <w:szCs w:val="24"/>
        </w:rPr>
        <w:t xml:space="preserve"> of climate-smart practices require careful design to ensure effectiveness and equity. Payment for ecosystem services programs, compensating farmers for carbon sequestration and biodiversity conservation, show promise but face challenges in measurement, verification, and transaction costs. Subsidies for climate-smart technologies must avoid market distortions while ensuring accessibility for resource-poor farmers.</w:t>
      </w:r>
    </w:p>
    <w:p w14:paraId="2610D863" w14:textId="794E0470" w:rsidR="002D7E8F" w:rsidRDefault="00A605A1" w:rsidP="00A605A1">
      <w:pPr>
        <w:jc w:val="both"/>
        <w:rPr>
          <w:rFonts w:ascii="Times New Roman" w:hAnsi="Times New Roman" w:cs="Times New Roman"/>
          <w:b/>
          <w:bCs/>
          <w:sz w:val="24"/>
          <w:szCs w:val="24"/>
        </w:rPr>
      </w:pPr>
      <w:r w:rsidRPr="00A605A1">
        <w:rPr>
          <w:rFonts w:ascii="Times New Roman" w:hAnsi="Times New Roman" w:cs="Times New Roman"/>
          <w:sz w:val="24"/>
          <w:szCs w:val="24"/>
        </w:rPr>
        <w:t>Insurance mechanisms, including weather-indexed insurance and crop insurance reforms, provide safety nets against climate risks. Index-based insurance, triggered by objective weather parameters rather than field assessments, reduces transaction costs and moral hazard. However, basis risk, where insurance payouts don't match actual losses, remains a challenge requiring improved weather monitoring networks and index design.</w:t>
      </w:r>
    </w:p>
    <w:p w14:paraId="6F4A1AEA"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International Cooperation and Finance</w:t>
      </w:r>
    </w:p>
    <w:p w14:paraId="08F771C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Climate finance for agricultural adaptation remains inadequate relative to needs, with only 3% of global climate finance directed to agriculture despite the sector's vulnerability and mitigation potential. The Green Climate Fund and other multilateral mechanisms must scale up agricultural investments while ensuring funds reach smallholder farmers who face the greatest climate risks.</w:t>
      </w:r>
    </w:p>
    <w:p w14:paraId="17D3BE93"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Technology transfer mechanisms facilitate access to climate-smart innovations, though intellectual property rights and capacity constraints limit effectiveness. South-South cooperation shows particular promise, with countries sharing similar agro-ecological conditions exchanging adapted technologies and practices. The CGIAR network plays a crucial role in developing and disseminating climate-resilient crop varieties and management practices.</w:t>
      </w:r>
    </w:p>
    <w:p w14:paraId="3142CF7E"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Trade policies significantly influence agricultural adaptation and mitigation outcomes. Climate-induced production shocks increase food price volatility, with export restrictions exacerbating global food security challenges. International agreements must balance national food security concerns with the need for open, predictable trade systems that enable efficient resource allocation under climate change.</w:t>
      </w:r>
    </w:p>
    <w:p w14:paraId="6B1ED030"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6: Investment Requirements for Climate-Resilient Agriculture</w:t>
      </w:r>
    </w:p>
    <w:tbl>
      <w:tblPr>
        <w:tblStyle w:val="TableGrid"/>
        <w:tblW w:w="0" w:type="auto"/>
        <w:tblLook w:val="04A0" w:firstRow="1" w:lastRow="0" w:firstColumn="1" w:lastColumn="0" w:noHBand="0" w:noVBand="1"/>
      </w:tblPr>
      <w:tblGrid>
        <w:gridCol w:w="1531"/>
        <w:gridCol w:w="991"/>
        <w:gridCol w:w="1369"/>
        <w:gridCol w:w="1087"/>
        <w:gridCol w:w="1342"/>
        <w:gridCol w:w="1861"/>
        <w:gridCol w:w="1169"/>
      </w:tblGrid>
      <w:tr w:rsidR="00A605A1" w:rsidRPr="00A605A1" w14:paraId="475869DB" w14:textId="77777777" w:rsidTr="002D7E8F">
        <w:tc>
          <w:tcPr>
            <w:tcW w:w="0" w:type="auto"/>
            <w:hideMark/>
          </w:tcPr>
          <w:p w14:paraId="1825C33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Investment Category</w:t>
            </w:r>
          </w:p>
        </w:tc>
        <w:tc>
          <w:tcPr>
            <w:tcW w:w="0" w:type="auto"/>
            <w:hideMark/>
          </w:tcPr>
          <w:p w14:paraId="7BBEDF88"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Annual Need (USD Billion)</w:t>
            </w:r>
          </w:p>
        </w:tc>
        <w:tc>
          <w:tcPr>
            <w:tcW w:w="0" w:type="auto"/>
            <w:hideMark/>
          </w:tcPr>
          <w:p w14:paraId="64925A5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Current Investment</w:t>
            </w:r>
          </w:p>
        </w:tc>
        <w:tc>
          <w:tcPr>
            <w:tcW w:w="0" w:type="auto"/>
            <w:hideMark/>
          </w:tcPr>
          <w:p w14:paraId="5DA0B836"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Funding Gap</w:t>
            </w:r>
          </w:p>
        </w:tc>
        <w:tc>
          <w:tcPr>
            <w:tcW w:w="0" w:type="auto"/>
            <w:hideMark/>
          </w:tcPr>
          <w:p w14:paraId="79C7CC1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Priority Regions</w:t>
            </w:r>
          </w:p>
        </w:tc>
        <w:tc>
          <w:tcPr>
            <w:tcW w:w="0" w:type="auto"/>
            <w:hideMark/>
          </w:tcPr>
          <w:p w14:paraId="00ECFAA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Implementation Period</w:t>
            </w:r>
          </w:p>
        </w:tc>
        <w:tc>
          <w:tcPr>
            <w:tcW w:w="0" w:type="auto"/>
            <w:hideMark/>
          </w:tcPr>
          <w:p w14:paraId="1E5894FD"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Expected Returns</w:t>
            </w:r>
          </w:p>
        </w:tc>
      </w:tr>
      <w:tr w:rsidR="00A605A1" w:rsidRPr="00A605A1" w14:paraId="65EEF481" w14:textId="77777777" w:rsidTr="002D7E8F">
        <w:tc>
          <w:tcPr>
            <w:tcW w:w="0" w:type="auto"/>
            <w:hideMark/>
          </w:tcPr>
          <w:p w14:paraId="25E1C18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Irrigation Infrastructure</w:t>
            </w:r>
          </w:p>
        </w:tc>
        <w:tc>
          <w:tcPr>
            <w:tcW w:w="0" w:type="auto"/>
            <w:hideMark/>
          </w:tcPr>
          <w:p w14:paraId="60CA146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80-120</w:t>
            </w:r>
          </w:p>
        </w:tc>
        <w:tc>
          <w:tcPr>
            <w:tcW w:w="0" w:type="auto"/>
            <w:hideMark/>
          </w:tcPr>
          <w:p w14:paraId="437ECF9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25-35</w:t>
            </w:r>
          </w:p>
        </w:tc>
        <w:tc>
          <w:tcPr>
            <w:tcW w:w="0" w:type="auto"/>
            <w:hideMark/>
          </w:tcPr>
          <w:p w14:paraId="72EF024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55-85</w:t>
            </w:r>
          </w:p>
        </w:tc>
        <w:tc>
          <w:tcPr>
            <w:tcW w:w="0" w:type="auto"/>
            <w:hideMark/>
          </w:tcPr>
          <w:p w14:paraId="5637A553"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Asia, Africa</w:t>
            </w:r>
          </w:p>
        </w:tc>
        <w:tc>
          <w:tcPr>
            <w:tcW w:w="0" w:type="auto"/>
            <w:hideMark/>
          </w:tcPr>
          <w:p w14:paraId="2FCE5644"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10-15 years</w:t>
            </w:r>
          </w:p>
        </w:tc>
        <w:tc>
          <w:tcPr>
            <w:tcW w:w="0" w:type="auto"/>
            <w:hideMark/>
          </w:tcPr>
          <w:p w14:paraId="19D044E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3:1 benefit-cost</w:t>
            </w:r>
          </w:p>
        </w:tc>
      </w:tr>
      <w:tr w:rsidR="00A605A1" w:rsidRPr="00A605A1" w14:paraId="100B2541" w14:textId="77777777" w:rsidTr="002D7E8F">
        <w:tc>
          <w:tcPr>
            <w:tcW w:w="0" w:type="auto"/>
            <w:hideMark/>
          </w:tcPr>
          <w:p w14:paraId="1B26DC5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Research &amp; Development</w:t>
            </w:r>
          </w:p>
        </w:tc>
        <w:tc>
          <w:tcPr>
            <w:tcW w:w="0" w:type="auto"/>
            <w:hideMark/>
          </w:tcPr>
          <w:p w14:paraId="3CE0E46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15-25</w:t>
            </w:r>
          </w:p>
        </w:tc>
        <w:tc>
          <w:tcPr>
            <w:tcW w:w="0" w:type="auto"/>
            <w:hideMark/>
          </w:tcPr>
          <w:p w14:paraId="1AA63C1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5-8</w:t>
            </w:r>
          </w:p>
        </w:tc>
        <w:tc>
          <w:tcPr>
            <w:tcW w:w="0" w:type="auto"/>
            <w:hideMark/>
          </w:tcPr>
          <w:p w14:paraId="765C634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10-17</w:t>
            </w:r>
          </w:p>
        </w:tc>
        <w:tc>
          <w:tcPr>
            <w:tcW w:w="0" w:type="auto"/>
            <w:hideMark/>
          </w:tcPr>
          <w:p w14:paraId="5159464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Global</w:t>
            </w:r>
          </w:p>
        </w:tc>
        <w:tc>
          <w:tcPr>
            <w:tcW w:w="0" w:type="auto"/>
            <w:hideMark/>
          </w:tcPr>
          <w:p w14:paraId="68E8EC93"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Continuous</w:t>
            </w:r>
          </w:p>
        </w:tc>
        <w:tc>
          <w:tcPr>
            <w:tcW w:w="0" w:type="auto"/>
            <w:hideMark/>
          </w:tcPr>
          <w:p w14:paraId="4AC8AFC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 social returns</w:t>
            </w:r>
          </w:p>
        </w:tc>
      </w:tr>
      <w:tr w:rsidR="00A605A1" w:rsidRPr="00A605A1" w14:paraId="66AC3560" w14:textId="77777777" w:rsidTr="002D7E8F">
        <w:tc>
          <w:tcPr>
            <w:tcW w:w="0" w:type="auto"/>
            <w:hideMark/>
          </w:tcPr>
          <w:p w14:paraId="16A0F38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Extension Services</w:t>
            </w:r>
          </w:p>
        </w:tc>
        <w:tc>
          <w:tcPr>
            <w:tcW w:w="0" w:type="auto"/>
            <w:hideMark/>
          </w:tcPr>
          <w:p w14:paraId="37AC1FE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10-15</w:t>
            </w:r>
          </w:p>
        </w:tc>
        <w:tc>
          <w:tcPr>
            <w:tcW w:w="0" w:type="auto"/>
            <w:hideMark/>
          </w:tcPr>
          <w:p w14:paraId="61506C7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3-5</w:t>
            </w:r>
          </w:p>
        </w:tc>
        <w:tc>
          <w:tcPr>
            <w:tcW w:w="0" w:type="auto"/>
            <w:hideMark/>
          </w:tcPr>
          <w:p w14:paraId="655D9D4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7-10</w:t>
            </w:r>
          </w:p>
        </w:tc>
        <w:tc>
          <w:tcPr>
            <w:tcW w:w="0" w:type="auto"/>
            <w:hideMark/>
          </w:tcPr>
          <w:p w14:paraId="53682973"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Developing countries</w:t>
            </w:r>
          </w:p>
        </w:tc>
        <w:tc>
          <w:tcPr>
            <w:tcW w:w="0" w:type="auto"/>
            <w:hideMark/>
          </w:tcPr>
          <w:p w14:paraId="5E0B0D7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5-10 years</w:t>
            </w:r>
          </w:p>
        </w:tc>
        <w:tc>
          <w:tcPr>
            <w:tcW w:w="0" w:type="auto"/>
            <w:hideMark/>
          </w:tcPr>
          <w:p w14:paraId="6911B07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5:1 benefit-cost</w:t>
            </w:r>
          </w:p>
        </w:tc>
      </w:tr>
      <w:tr w:rsidR="00A605A1" w:rsidRPr="00A605A1" w14:paraId="79C9F018" w14:textId="77777777" w:rsidTr="002D7E8F">
        <w:tc>
          <w:tcPr>
            <w:tcW w:w="0" w:type="auto"/>
            <w:hideMark/>
          </w:tcPr>
          <w:p w14:paraId="778883C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 Information</w:t>
            </w:r>
          </w:p>
        </w:tc>
        <w:tc>
          <w:tcPr>
            <w:tcW w:w="0" w:type="auto"/>
            <w:hideMark/>
          </w:tcPr>
          <w:p w14:paraId="4B347CA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5-10</w:t>
            </w:r>
          </w:p>
        </w:tc>
        <w:tc>
          <w:tcPr>
            <w:tcW w:w="0" w:type="auto"/>
            <w:hideMark/>
          </w:tcPr>
          <w:p w14:paraId="379FDDC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1-2</w:t>
            </w:r>
          </w:p>
        </w:tc>
        <w:tc>
          <w:tcPr>
            <w:tcW w:w="0" w:type="auto"/>
            <w:hideMark/>
          </w:tcPr>
          <w:p w14:paraId="0B0BE87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4-8</w:t>
            </w:r>
          </w:p>
        </w:tc>
        <w:tc>
          <w:tcPr>
            <w:tcW w:w="0" w:type="auto"/>
            <w:hideMark/>
          </w:tcPr>
          <w:p w14:paraId="62E220E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Global</w:t>
            </w:r>
          </w:p>
        </w:tc>
        <w:tc>
          <w:tcPr>
            <w:tcW w:w="0" w:type="auto"/>
            <w:hideMark/>
          </w:tcPr>
          <w:p w14:paraId="1814370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3-5 years</w:t>
            </w:r>
          </w:p>
        </w:tc>
        <w:tc>
          <w:tcPr>
            <w:tcW w:w="0" w:type="auto"/>
            <w:hideMark/>
          </w:tcPr>
          <w:p w14:paraId="5A90A2F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8:1 benefit-cost</w:t>
            </w:r>
          </w:p>
        </w:tc>
      </w:tr>
      <w:tr w:rsidR="00A605A1" w:rsidRPr="00A605A1" w14:paraId="4C971E03" w14:textId="77777777" w:rsidTr="002D7E8F">
        <w:tc>
          <w:tcPr>
            <w:tcW w:w="0" w:type="auto"/>
            <w:hideMark/>
          </w:tcPr>
          <w:p w14:paraId="530CB24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Insurance Systems</w:t>
            </w:r>
          </w:p>
        </w:tc>
        <w:tc>
          <w:tcPr>
            <w:tcW w:w="0" w:type="auto"/>
            <w:hideMark/>
          </w:tcPr>
          <w:p w14:paraId="2920BE8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20-30</w:t>
            </w:r>
          </w:p>
        </w:tc>
        <w:tc>
          <w:tcPr>
            <w:tcW w:w="0" w:type="auto"/>
            <w:hideMark/>
          </w:tcPr>
          <w:p w14:paraId="683A7F0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5-10</w:t>
            </w:r>
          </w:p>
        </w:tc>
        <w:tc>
          <w:tcPr>
            <w:tcW w:w="0" w:type="auto"/>
            <w:hideMark/>
          </w:tcPr>
          <w:p w14:paraId="272954DE"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15-20</w:t>
            </w:r>
          </w:p>
        </w:tc>
        <w:tc>
          <w:tcPr>
            <w:tcW w:w="0" w:type="auto"/>
            <w:hideMark/>
          </w:tcPr>
          <w:p w14:paraId="77A98A22"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Vulnerable regions</w:t>
            </w:r>
          </w:p>
        </w:tc>
        <w:tc>
          <w:tcPr>
            <w:tcW w:w="0" w:type="auto"/>
            <w:hideMark/>
          </w:tcPr>
          <w:p w14:paraId="3E25311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5-8 years</w:t>
            </w:r>
          </w:p>
        </w:tc>
        <w:tc>
          <w:tcPr>
            <w:tcW w:w="0" w:type="auto"/>
            <w:hideMark/>
          </w:tcPr>
          <w:p w14:paraId="33D9FBA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Risk reduction</w:t>
            </w:r>
          </w:p>
        </w:tc>
      </w:tr>
      <w:tr w:rsidR="00A605A1" w:rsidRPr="00A605A1" w14:paraId="48A4FD74" w14:textId="77777777" w:rsidTr="002D7E8F">
        <w:tc>
          <w:tcPr>
            <w:tcW w:w="0" w:type="auto"/>
            <w:hideMark/>
          </w:tcPr>
          <w:p w14:paraId="5C6740B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Value Chain Development</w:t>
            </w:r>
          </w:p>
        </w:tc>
        <w:tc>
          <w:tcPr>
            <w:tcW w:w="0" w:type="auto"/>
            <w:hideMark/>
          </w:tcPr>
          <w:p w14:paraId="002A8E5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30-50</w:t>
            </w:r>
          </w:p>
        </w:tc>
        <w:tc>
          <w:tcPr>
            <w:tcW w:w="0" w:type="auto"/>
            <w:hideMark/>
          </w:tcPr>
          <w:p w14:paraId="7BA35B9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10-15</w:t>
            </w:r>
          </w:p>
        </w:tc>
        <w:tc>
          <w:tcPr>
            <w:tcW w:w="0" w:type="auto"/>
            <w:hideMark/>
          </w:tcPr>
          <w:p w14:paraId="44FECF8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20-35</w:t>
            </w:r>
          </w:p>
        </w:tc>
        <w:tc>
          <w:tcPr>
            <w:tcW w:w="0" w:type="auto"/>
            <w:hideMark/>
          </w:tcPr>
          <w:p w14:paraId="7E6D7F4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All regions</w:t>
            </w:r>
          </w:p>
        </w:tc>
        <w:tc>
          <w:tcPr>
            <w:tcW w:w="0" w:type="auto"/>
            <w:hideMark/>
          </w:tcPr>
          <w:p w14:paraId="49B8E14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8-12 years</w:t>
            </w:r>
          </w:p>
        </w:tc>
        <w:tc>
          <w:tcPr>
            <w:tcW w:w="0" w:type="auto"/>
            <w:hideMark/>
          </w:tcPr>
          <w:p w14:paraId="54A7E91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4:1 benefit-cost</w:t>
            </w:r>
          </w:p>
        </w:tc>
      </w:tr>
      <w:tr w:rsidR="00A605A1" w:rsidRPr="00A605A1" w14:paraId="75D79888" w14:textId="77777777" w:rsidTr="002D7E8F">
        <w:tc>
          <w:tcPr>
            <w:tcW w:w="0" w:type="auto"/>
            <w:hideMark/>
          </w:tcPr>
          <w:p w14:paraId="7C9C218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Renewable Energy</w:t>
            </w:r>
          </w:p>
        </w:tc>
        <w:tc>
          <w:tcPr>
            <w:tcW w:w="0" w:type="auto"/>
            <w:hideMark/>
          </w:tcPr>
          <w:p w14:paraId="0CBF48C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40-60</w:t>
            </w:r>
          </w:p>
        </w:tc>
        <w:tc>
          <w:tcPr>
            <w:tcW w:w="0" w:type="auto"/>
            <w:hideMark/>
          </w:tcPr>
          <w:p w14:paraId="2158DDF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15-20</w:t>
            </w:r>
          </w:p>
        </w:tc>
        <w:tc>
          <w:tcPr>
            <w:tcW w:w="0" w:type="auto"/>
            <w:hideMark/>
          </w:tcPr>
          <w:p w14:paraId="6948A32C"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25-40</w:t>
            </w:r>
          </w:p>
        </w:tc>
        <w:tc>
          <w:tcPr>
            <w:tcW w:w="0" w:type="auto"/>
            <w:hideMark/>
          </w:tcPr>
          <w:p w14:paraId="22A8C9A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Off-grid areas</w:t>
            </w:r>
          </w:p>
        </w:tc>
        <w:tc>
          <w:tcPr>
            <w:tcW w:w="0" w:type="auto"/>
            <w:hideMark/>
          </w:tcPr>
          <w:p w14:paraId="404C7FAE"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10-15 years</w:t>
            </w:r>
          </w:p>
        </w:tc>
        <w:tc>
          <w:tcPr>
            <w:tcW w:w="0" w:type="auto"/>
            <w:hideMark/>
          </w:tcPr>
          <w:p w14:paraId="51CB0DA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2.5:1 benefit-cost</w:t>
            </w:r>
          </w:p>
        </w:tc>
      </w:tr>
    </w:tbl>
    <w:p w14:paraId="6B038394" w14:textId="77777777" w:rsidR="002D7E8F" w:rsidRDefault="002D7E8F" w:rsidP="00A605A1">
      <w:pPr>
        <w:jc w:val="both"/>
        <w:rPr>
          <w:rFonts w:ascii="Times New Roman" w:hAnsi="Times New Roman" w:cs="Times New Roman"/>
          <w:b/>
          <w:bCs/>
          <w:sz w:val="24"/>
          <w:szCs w:val="24"/>
        </w:rPr>
      </w:pPr>
    </w:p>
    <w:p w14:paraId="00DBAD72"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6: Climate Finance Flows to Agriculture</w:t>
      </w:r>
    </w:p>
    <w:p w14:paraId="06999874" w14:textId="77777777" w:rsidR="002D7E8F" w:rsidRPr="00A605A1" w:rsidRDefault="002D7E8F" w:rsidP="002D7E8F">
      <w:pPr>
        <w:jc w:val="center"/>
        <w:rPr>
          <w:rFonts w:ascii="Times New Roman" w:hAnsi="Times New Roman" w:cs="Times New Roman"/>
          <w:b/>
          <w:bCs/>
          <w:sz w:val="24"/>
          <w:szCs w:val="24"/>
        </w:rPr>
      </w:pPr>
      <w:r>
        <w:rPr>
          <w:noProof/>
          <w:lang w:bidi="hi-IN"/>
        </w:rPr>
        <w:lastRenderedPageBreak/>
        <w:drawing>
          <wp:inline distT="0" distB="0" distL="0" distR="0" wp14:anchorId="13AF192F" wp14:editId="3F65E469">
            <wp:extent cx="3810000" cy="2143125"/>
            <wp:effectExtent l="0" t="0" r="0" b="9525"/>
            <wp:docPr id="7" name="Picture 7" descr="Opinion | Time to Scale up Climate Finances for Adaptation in Indian  Agriculture | Opinion News - New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inion | Time to Scale up Climate Finances for Adaptation in Indian  Agriculture | Opinion News - News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4D7A49CC"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Regional Case Studies and Success Stories</w:t>
      </w:r>
    </w:p>
    <w:p w14:paraId="676DEA29"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Asian Innovations in Rice Production</w:t>
      </w:r>
    </w:p>
    <w:p w14:paraId="7EBD19AE"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The System of Rice Intensification (SRI), originating in Madagascar and adapted across Asia, demonstrates successful climate adaptation through modified cultivation practices. SRI practices, including reduced plant density, intermittent flooding, and organic matter incorporation, increase yields by 20-50% while reducing water consumption by 25-40% and methane emissions by 40-60%. Adoption across India, China, and Southeast Asia covers over 5 million hectares, benefiting millions of smallholder farmers.</w:t>
      </w:r>
    </w:p>
    <w:p w14:paraId="378F32E7" w14:textId="410D376C"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Climate-smart villages in India's Indo-Gangetic Plains showcase integrated adaptation approaches. These villages implement </w:t>
      </w:r>
      <w:r w:rsidR="00CB12A2">
        <w:rPr>
          <w:rFonts w:ascii="Times New Roman" w:hAnsi="Times New Roman" w:cs="Times New Roman"/>
          <w:sz w:val="24"/>
          <w:szCs w:val="24"/>
        </w:rPr>
        <w:t xml:space="preserve">a </w:t>
      </w:r>
      <w:r w:rsidRPr="00A605A1">
        <w:rPr>
          <w:rFonts w:ascii="Times New Roman" w:hAnsi="Times New Roman" w:cs="Times New Roman"/>
          <w:sz w:val="24"/>
          <w:szCs w:val="24"/>
        </w:rPr>
        <w:t xml:space="preserve">portfolio of practices including laser land </w:t>
      </w:r>
      <w:r w:rsidR="00CB12A2">
        <w:rPr>
          <w:rFonts w:ascii="Times New Roman" w:hAnsi="Times New Roman" w:cs="Times New Roman"/>
          <w:sz w:val="24"/>
          <w:szCs w:val="24"/>
        </w:rPr>
        <w:t>levelling</w:t>
      </w:r>
      <w:r w:rsidRPr="00A605A1">
        <w:rPr>
          <w:rFonts w:ascii="Times New Roman" w:hAnsi="Times New Roman" w:cs="Times New Roman"/>
          <w:sz w:val="24"/>
          <w:szCs w:val="24"/>
        </w:rPr>
        <w:t>, zero tillage wheat, crop diversification, and weather-based advisory services. Participating farmers report 15-25% yield increases, 20-30% reduction in irrigation water use, and improved resilience to climate extremes. The model's success has led to scaling initiatives targeting 500 villages across climate-vulnerable regions.</w:t>
      </w:r>
    </w:p>
    <w:p w14:paraId="0BA0AA2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Vietnam's Mekong Delta, facing sea level rise and salinity intrusion, demonstrates successful adaptation through aquaculture integration. Farmers transitioning from rice monoculture to rice-shrimp systems maintain food production while adapting to increasing salinity. These systems provide 50-70% higher income than rice monoculture while creating ecological benefits through reduced pesticide use and enhanced biodiversity.</w:t>
      </w:r>
    </w:p>
    <w:p w14:paraId="2DAC52AA"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African Agricultural Transformation</w:t>
      </w:r>
    </w:p>
    <w:p w14:paraId="46EC1BF3"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Conservation agriculture adoption in southern Africa, promoted through farmer field schools and innovation platforms, shows significant impacts on productivity and resilience. In Zambia, Zimbabwe, and Malawi, over 300,000 farmers practice conservation agriculture, achieving yield increases of 50-100% in drought years. The integration of drought-tolerant maize varieties, legume rotations, and minimal tillage creates synergies that enhance system resilience.</w:t>
      </w:r>
    </w:p>
    <w:p w14:paraId="6AF90B1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Ethiopia's Productive Safety Net </w:t>
      </w:r>
      <w:proofErr w:type="spellStart"/>
      <w:r w:rsidRPr="00A605A1">
        <w:rPr>
          <w:rFonts w:ascii="Times New Roman" w:hAnsi="Times New Roman" w:cs="Times New Roman"/>
          <w:sz w:val="24"/>
          <w:szCs w:val="24"/>
        </w:rPr>
        <w:t>Programme</w:t>
      </w:r>
      <w:proofErr w:type="spellEnd"/>
      <w:r w:rsidRPr="00A605A1">
        <w:rPr>
          <w:rFonts w:ascii="Times New Roman" w:hAnsi="Times New Roman" w:cs="Times New Roman"/>
          <w:sz w:val="24"/>
          <w:szCs w:val="24"/>
        </w:rPr>
        <w:t xml:space="preserve">, combining social protection with climate adaptation, demonstrates successful integration of development and adaptation objectives. The program </w:t>
      </w:r>
      <w:r w:rsidRPr="00A605A1">
        <w:rPr>
          <w:rFonts w:ascii="Times New Roman" w:hAnsi="Times New Roman" w:cs="Times New Roman"/>
          <w:sz w:val="24"/>
          <w:szCs w:val="24"/>
        </w:rPr>
        <w:lastRenderedPageBreak/>
        <w:t>supports 8 million vulnerable people through public works that build climate resilience, including soil and water conservation, irrigation development, and reforestation. Participating households show improved food security and reduced distress asset sales during droughts.</w:t>
      </w:r>
    </w:p>
    <w:p w14:paraId="6F2BA56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Push-pull technology for pest management in East Africa exemplifies ecological intensification approaches. This system, using </w:t>
      </w:r>
      <w:proofErr w:type="spellStart"/>
      <w:r w:rsidRPr="00A605A1">
        <w:rPr>
          <w:rFonts w:ascii="Times New Roman" w:hAnsi="Times New Roman" w:cs="Times New Roman"/>
          <w:i/>
          <w:iCs/>
          <w:sz w:val="24"/>
          <w:szCs w:val="24"/>
        </w:rPr>
        <w:t>Desmodium</w:t>
      </w:r>
      <w:proofErr w:type="spellEnd"/>
      <w:r w:rsidRPr="00A605A1">
        <w:rPr>
          <w:rFonts w:ascii="Times New Roman" w:hAnsi="Times New Roman" w:cs="Times New Roman"/>
          <w:sz w:val="24"/>
          <w:szCs w:val="24"/>
        </w:rPr>
        <w:t xml:space="preserve"> species as intercrops and Napier grass as border crops, controls stem borers and </w:t>
      </w:r>
      <w:r w:rsidRPr="00A605A1">
        <w:rPr>
          <w:rFonts w:ascii="Times New Roman" w:hAnsi="Times New Roman" w:cs="Times New Roman"/>
          <w:i/>
          <w:iCs/>
          <w:sz w:val="24"/>
          <w:szCs w:val="24"/>
        </w:rPr>
        <w:t>Striga</w:t>
      </w:r>
      <w:r w:rsidRPr="00A605A1">
        <w:rPr>
          <w:rFonts w:ascii="Times New Roman" w:hAnsi="Times New Roman" w:cs="Times New Roman"/>
          <w:sz w:val="24"/>
          <w:szCs w:val="24"/>
        </w:rPr>
        <w:t xml:space="preserve"> weed while improving soil fertility. Adoption by over 200,000 farmers has increased maize yields by 100-200% without pesticides, demonstrating the potential of biodiversity-based solutions.</w:t>
      </w:r>
    </w:p>
    <w:p w14:paraId="7875733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7: Successful Climate Adaptation Projects Worldwide</w:t>
      </w:r>
    </w:p>
    <w:tbl>
      <w:tblPr>
        <w:tblStyle w:val="TableGrid"/>
        <w:tblW w:w="0" w:type="auto"/>
        <w:tblLook w:val="04A0" w:firstRow="1" w:lastRow="0" w:firstColumn="1" w:lastColumn="0" w:noHBand="0" w:noVBand="1"/>
      </w:tblPr>
      <w:tblGrid>
        <w:gridCol w:w="1853"/>
        <w:gridCol w:w="1388"/>
        <w:gridCol w:w="1730"/>
        <w:gridCol w:w="1309"/>
        <w:gridCol w:w="1403"/>
        <w:gridCol w:w="1667"/>
      </w:tblGrid>
      <w:tr w:rsidR="002D7E8F" w:rsidRPr="00A605A1" w14:paraId="358CB371" w14:textId="77777777" w:rsidTr="002D7E8F">
        <w:tc>
          <w:tcPr>
            <w:tcW w:w="0" w:type="auto"/>
            <w:hideMark/>
          </w:tcPr>
          <w:p w14:paraId="4CD1656F"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Project/Region</w:t>
            </w:r>
          </w:p>
        </w:tc>
        <w:tc>
          <w:tcPr>
            <w:tcW w:w="0" w:type="auto"/>
            <w:hideMark/>
          </w:tcPr>
          <w:p w14:paraId="182D418C"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Key Innovation</w:t>
            </w:r>
          </w:p>
        </w:tc>
        <w:tc>
          <w:tcPr>
            <w:tcW w:w="0" w:type="auto"/>
            <w:hideMark/>
          </w:tcPr>
          <w:p w14:paraId="1B3852C1"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Scale (Beneficiaries)</w:t>
            </w:r>
          </w:p>
        </w:tc>
        <w:tc>
          <w:tcPr>
            <w:tcW w:w="0" w:type="auto"/>
            <w:hideMark/>
          </w:tcPr>
          <w:p w14:paraId="5ACB871C"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Impact Metrics</w:t>
            </w:r>
          </w:p>
        </w:tc>
        <w:tc>
          <w:tcPr>
            <w:tcW w:w="0" w:type="auto"/>
            <w:hideMark/>
          </w:tcPr>
          <w:p w14:paraId="4D0B2493"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Investment (USD)</w:t>
            </w:r>
          </w:p>
        </w:tc>
        <w:tc>
          <w:tcPr>
            <w:tcW w:w="0" w:type="auto"/>
            <w:hideMark/>
          </w:tcPr>
          <w:p w14:paraId="3F86E85B"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Sustainability Score</w:t>
            </w:r>
          </w:p>
        </w:tc>
      </w:tr>
      <w:tr w:rsidR="002D7E8F" w:rsidRPr="00A605A1" w14:paraId="0387BEFA" w14:textId="77777777" w:rsidTr="002D7E8F">
        <w:tc>
          <w:tcPr>
            <w:tcW w:w="0" w:type="auto"/>
            <w:hideMark/>
          </w:tcPr>
          <w:p w14:paraId="71CCBB5B"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SRI - Asia</w:t>
            </w:r>
          </w:p>
        </w:tc>
        <w:tc>
          <w:tcPr>
            <w:tcW w:w="0" w:type="auto"/>
            <w:hideMark/>
          </w:tcPr>
          <w:p w14:paraId="563C92EF"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Water-saving rice</w:t>
            </w:r>
          </w:p>
        </w:tc>
        <w:tc>
          <w:tcPr>
            <w:tcW w:w="0" w:type="auto"/>
            <w:hideMark/>
          </w:tcPr>
          <w:p w14:paraId="6CDDC4D8"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5 million farmers</w:t>
            </w:r>
          </w:p>
        </w:tc>
        <w:tc>
          <w:tcPr>
            <w:tcW w:w="0" w:type="auto"/>
            <w:hideMark/>
          </w:tcPr>
          <w:p w14:paraId="12D59380"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+30% yield, -35% water</w:t>
            </w:r>
          </w:p>
        </w:tc>
        <w:tc>
          <w:tcPr>
            <w:tcW w:w="0" w:type="auto"/>
            <w:hideMark/>
          </w:tcPr>
          <w:p w14:paraId="268840E3"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500 million</w:t>
            </w:r>
          </w:p>
        </w:tc>
        <w:tc>
          <w:tcPr>
            <w:tcW w:w="0" w:type="auto"/>
            <w:hideMark/>
          </w:tcPr>
          <w:p w14:paraId="542DFE75"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High (8/10)</w:t>
            </w:r>
          </w:p>
        </w:tc>
      </w:tr>
      <w:tr w:rsidR="002D7E8F" w:rsidRPr="00A605A1" w14:paraId="5182237A" w14:textId="77777777" w:rsidTr="002D7E8F">
        <w:tc>
          <w:tcPr>
            <w:tcW w:w="0" w:type="auto"/>
            <w:hideMark/>
          </w:tcPr>
          <w:p w14:paraId="09B62296"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Climate-Smart Villages - India</w:t>
            </w:r>
          </w:p>
        </w:tc>
        <w:tc>
          <w:tcPr>
            <w:tcW w:w="0" w:type="auto"/>
            <w:hideMark/>
          </w:tcPr>
          <w:p w14:paraId="2B599CF3"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Integrated approach</w:t>
            </w:r>
          </w:p>
        </w:tc>
        <w:tc>
          <w:tcPr>
            <w:tcW w:w="0" w:type="auto"/>
            <w:hideMark/>
          </w:tcPr>
          <w:p w14:paraId="27E6E28E"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50,000 households</w:t>
            </w:r>
          </w:p>
        </w:tc>
        <w:tc>
          <w:tcPr>
            <w:tcW w:w="0" w:type="auto"/>
            <w:hideMark/>
          </w:tcPr>
          <w:p w14:paraId="5F8E37FA"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+20% income, resilience</w:t>
            </w:r>
          </w:p>
        </w:tc>
        <w:tc>
          <w:tcPr>
            <w:tcW w:w="0" w:type="auto"/>
            <w:hideMark/>
          </w:tcPr>
          <w:p w14:paraId="6E065C37"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150 million</w:t>
            </w:r>
          </w:p>
        </w:tc>
        <w:tc>
          <w:tcPr>
            <w:tcW w:w="0" w:type="auto"/>
            <w:hideMark/>
          </w:tcPr>
          <w:p w14:paraId="050CA77D"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High (7/10)</w:t>
            </w:r>
          </w:p>
        </w:tc>
      </w:tr>
      <w:tr w:rsidR="002D7E8F" w:rsidRPr="00A605A1" w14:paraId="03EFD030" w14:textId="77777777" w:rsidTr="002D7E8F">
        <w:tc>
          <w:tcPr>
            <w:tcW w:w="0" w:type="auto"/>
            <w:hideMark/>
          </w:tcPr>
          <w:p w14:paraId="0897DA96"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Conservation Agriculture - Africa</w:t>
            </w:r>
          </w:p>
        </w:tc>
        <w:tc>
          <w:tcPr>
            <w:tcW w:w="0" w:type="auto"/>
            <w:hideMark/>
          </w:tcPr>
          <w:p w14:paraId="44A9691C"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Minimum tillage</w:t>
            </w:r>
          </w:p>
        </w:tc>
        <w:tc>
          <w:tcPr>
            <w:tcW w:w="0" w:type="auto"/>
            <w:hideMark/>
          </w:tcPr>
          <w:p w14:paraId="32322EFD"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300,000 farmers</w:t>
            </w:r>
          </w:p>
        </w:tc>
        <w:tc>
          <w:tcPr>
            <w:tcW w:w="0" w:type="auto"/>
            <w:hideMark/>
          </w:tcPr>
          <w:p w14:paraId="4A417541"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+75% yield in droughts</w:t>
            </w:r>
          </w:p>
        </w:tc>
        <w:tc>
          <w:tcPr>
            <w:tcW w:w="0" w:type="auto"/>
            <w:hideMark/>
          </w:tcPr>
          <w:p w14:paraId="4C3C142E"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200 million</w:t>
            </w:r>
          </w:p>
        </w:tc>
        <w:tc>
          <w:tcPr>
            <w:tcW w:w="0" w:type="auto"/>
            <w:hideMark/>
          </w:tcPr>
          <w:p w14:paraId="37DF132F"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Medium (6/10)</w:t>
            </w:r>
          </w:p>
        </w:tc>
      </w:tr>
      <w:tr w:rsidR="002D7E8F" w:rsidRPr="00A605A1" w14:paraId="52069E38" w14:textId="77777777" w:rsidTr="002D7E8F">
        <w:tc>
          <w:tcPr>
            <w:tcW w:w="0" w:type="auto"/>
            <w:hideMark/>
          </w:tcPr>
          <w:p w14:paraId="22127A4F"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Push-Pull - East Africa</w:t>
            </w:r>
          </w:p>
        </w:tc>
        <w:tc>
          <w:tcPr>
            <w:tcW w:w="0" w:type="auto"/>
            <w:hideMark/>
          </w:tcPr>
          <w:p w14:paraId="39EAFD5E"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Biological control</w:t>
            </w:r>
          </w:p>
        </w:tc>
        <w:tc>
          <w:tcPr>
            <w:tcW w:w="0" w:type="auto"/>
            <w:hideMark/>
          </w:tcPr>
          <w:p w14:paraId="0706E2BB"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200,000 farmers</w:t>
            </w:r>
          </w:p>
        </w:tc>
        <w:tc>
          <w:tcPr>
            <w:tcW w:w="0" w:type="auto"/>
            <w:hideMark/>
          </w:tcPr>
          <w:p w14:paraId="2E34E2C5"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+150% yield, no pesticides</w:t>
            </w:r>
          </w:p>
        </w:tc>
        <w:tc>
          <w:tcPr>
            <w:tcW w:w="0" w:type="auto"/>
            <w:hideMark/>
          </w:tcPr>
          <w:p w14:paraId="3DEC7A4E"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50 million</w:t>
            </w:r>
          </w:p>
        </w:tc>
        <w:tc>
          <w:tcPr>
            <w:tcW w:w="0" w:type="auto"/>
            <w:hideMark/>
          </w:tcPr>
          <w:p w14:paraId="341CDAE7"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Very High (9/10)</w:t>
            </w:r>
          </w:p>
        </w:tc>
      </w:tr>
      <w:tr w:rsidR="002D7E8F" w:rsidRPr="00A605A1" w14:paraId="6E70F229" w14:textId="77777777" w:rsidTr="002D7E8F">
        <w:tc>
          <w:tcPr>
            <w:tcW w:w="0" w:type="auto"/>
            <w:hideMark/>
          </w:tcPr>
          <w:p w14:paraId="62F09D10"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Aquaculture Integration - Vietnam</w:t>
            </w:r>
          </w:p>
        </w:tc>
        <w:tc>
          <w:tcPr>
            <w:tcW w:w="0" w:type="auto"/>
            <w:hideMark/>
          </w:tcPr>
          <w:p w14:paraId="43C65D08"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Rice-shrimp systems</w:t>
            </w:r>
          </w:p>
        </w:tc>
        <w:tc>
          <w:tcPr>
            <w:tcW w:w="0" w:type="auto"/>
            <w:hideMark/>
          </w:tcPr>
          <w:p w14:paraId="2BEBDD2A"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100,000 farmers</w:t>
            </w:r>
          </w:p>
        </w:tc>
        <w:tc>
          <w:tcPr>
            <w:tcW w:w="0" w:type="auto"/>
            <w:hideMark/>
          </w:tcPr>
          <w:p w14:paraId="12906542"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+60% income, adaptation</w:t>
            </w:r>
          </w:p>
        </w:tc>
        <w:tc>
          <w:tcPr>
            <w:tcW w:w="0" w:type="auto"/>
            <w:hideMark/>
          </w:tcPr>
          <w:p w14:paraId="48895604"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300 million</w:t>
            </w:r>
          </w:p>
        </w:tc>
        <w:tc>
          <w:tcPr>
            <w:tcW w:w="0" w:type="auto"/>
            <w:hideMark/>
          </w:tcPr>
          <w:p w14:paraId="57B5A467"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High (8/10)</w:t>
            </w:r>
          </w:p>
        </w:tc>
      </w:tr>
      <w:tr w:rsidR="002D7E8F" w:rsidRPr="00A605A1" w14:paraId="10E291EC" w14:textId="77777777" w:rsidTr="002D7E8F">
        <w:tc>
          <w:tcPr>
            <w:tcW w:w="0" w:type="auto"/>
            <w:hideMark/>
          </w:tcPr>
          <w:p w14:paraId="7E06FA90"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Drought Early Warning - Kenya</w:t>
            </w:r>
          </w:p>
        </w:tc>
        <w:tc>
          <w:tcPr>
            <w:tcW w:w="0" w:type="auto"/>
            <w:hideMark/>
          </w:tcPr>
          <w:p w14:paraId="6CC76743"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Mobile advisories</w:t>
            </w:r>
          </w:p>
        </w:tc>
        <w:tc>
          <w:tcPr>
            <w:tcW w:w="0" w:type="auto"/>
            <w:hideMark/>
          </w:tcPr>
          <w:p w14:paraId="38D16668"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2 million pastoralists</w:t>
            </w:r>
          </w:p>
        </w:tc>
        <w:tc>
          <w:tcPr>
            <w:tcW w:w="0" w:type="auto"/>
            <w:hideMark/>
          </w:tcPr>
          <w:p w14:paraId="5452815E"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Reduced livestock loss</w:t>
            </w:r>
          </w:p>
        </w:tc>
        <w:tc>
          <w:tcPr>
            <w:tcW w:w="0" w:type="auto"/>
            <w:hideMark/>
          </w:tcPr>
          <w:p w14:paraId="7C39C7F7"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80 million</w:t>
            </w:r>
          </w:p>
        </w:tc>
        <w:tc>
          <w:tcPr>
            <w:tcW w:w="0" w:type="auto"/>
            <w:hideMark/>
          </w:tcPr>
          <w:p w14:paraId="4FB9403F"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High (7/10)</w:t>
            </w:r>
          </w:p>
        </w:tc>
      </w:tr>
    </w:tbl>
    <w:p w14:paraId="5F04C6D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Latin American Sustainable Intensification</w:t>
      </w:r>
    </w:p>
    <w:p w14:paraId="554C806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Brazil's integrated crop-livestock-forestry systems exemplify sustainable intensification under climate change. These systems combine annual crops, pastures, and tree components in spatial or temporal arrangements, increasing land use efficiency by 200-300%. Carbon sequestration rates reach 5-8 tons CO₂ per hectare annually, while diversified production streams enhance economic resilience. Over 11 million hectares currently employ these systems, with government targets of 35 million hectares by 2030.</w:t>
      </w:r>
    </w:p>
    <w:p w14:paraId="72E754B2" w14:textId="77777777" w:rsid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Colombian coffee farmers facing temperature-driven altitude shifts demonstrate successful adaptation through shade management and variety diversification. Agroforestry coffee systems with native shade trees buffer temperature extremes while providing additional income from timber and fruits. The Colombian Coffee Federation's climate adaptation program reaches 500,000 farmers, promoting heat-tolerant varieties and improved processing methods that maintain quality under changing conditions.</w:t>
      </w:r>
    </w:p>
    <w:p w14:paraId="2FA929F9" w14:textId="77777777" w:rsidR="002D7E8F" w:rsidRPr="00A605A1" w:rsidRDefault="002D7E8F" w:rsidP="002D7E8F">
      <w:pPr>
        <w:jc w:val="both"/>
        <w:rPr>
          <w:rFonts w:ascii="Times New Roman" w:hAnsi="Times New Roman" w:cs="Times New Roman"/>
          <w:b/>
          <w:bCs/>
          <w:sz w:val="24"/>
          <w:szCs w:val="24"/>
        </w:rPr>
      </w:pPr>
      <w:r w:rsidRPr="00A605A1">
        <w:rPr>
          <w:rFonts w:ascii="Times New Roman" w:hAnsi="Times New Roman" w:cs="Times New Roman"/>
          <w:b/>
          <w:bCs/>
          <w:sz w:val="24"/>
          <w:szCs w:val="24"/>
        </w:rPr>
        <w:lastRenderedPageBreak/>
        <w:t>Figure 7: Regional Climate Adaptation Success Map</w:t>
      </w:r>
    </w:p>
    <w:p w14:paraId="07BC124C" w14:textId="77777777" w:rsidR="002D7E8F" w:rsidRPr="00A605A1" w:rsidRDefault="002D7E8F" w:rsidP="002D7E8F">
      <w:pPr>
        <w:jc w:val="center"/>
        <w:rPr>
          <w:rFonts w:ascii="Times New Roman" w:hAnsi="Times New Roman" w:cs="Times New Roman"/>
          <w:sz w:val="24"/>
          <w:szCs w:val="24"/>
        </w:rPr>
      </w:pPr>
      <w:r>
        <w:rPr>
          <w:noProof/>
          <w:lang w:bidi="hi-IN"/>
        </w:rPr>
        <w:drawing>
          <wp:inline distT="0" distB="0" distL="0" distR="0" wp14:anchorId="42F85CCC" wp14:editId="4D0CD0FB">
            <wp:extent cx="4505325" cy="3695700"/>
            <wp:effectExtent l="0" t="0" r="9525" b="0"/>
            <wp:docPr id="8" name="Picture 8" descr="Climate change effects in the Western Himalayan ecosystems of India:  evidence and strategies | Forest Ecosystems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mate change effects in the Western Himalayan ecosystems of India:  evidence and strategies | Forest Ecosystems | Full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3695700"/>
                    </a:xfrm>
                    <a:prstGeom prst="rect">
                      <a:avLst/>
                    </a:prstGeom>
                    <a:noFill/>
                    <a:ln>
                      <a:noFill/>
                    </a:ln>
                  </pic:spPr>
                </pic:pic>
              </a:graphicData>
            </a:graphic>
          </wp:inline>
        </w:drawing>
      </w:r>
    </w:p>
    <w:p w14:paraId="5516A31B" w14:textId="1F3B3D9D"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Argentina's precision agriculture adoption in the Pampas region showcases technology-driven adaptation. Variable rate application based on yield maps and soil sensors </w:t>
      </w:r>
      <w:proofErr w:type="spellStart"/>
      <w:r w:rsidR="00CB12A2" w:rsidRPr="00CD100C">
        <w:rPr>
          <w:rFonts w:ascii="Times New Roman" w:hAnsi="Times New Roman" w:cs="Times New Roman"/>
          <w:sz w:val="24"/>
          <w:szCs w:val="24"/>
          <w:highlight w:val="yellow"/>
        </w:rPr>
        <w:t>optimises</w:t>
      </w:r>
      <w:proofErr w:type="spellEnd"/>
      <w:r w:rsidR="00CB12A2" w:rsidRPr="00A605A1">
        <w:rPr>
          <w:rFonts w:ascii="Times New Roman" w:hAnsi="Times New Roman" w:cs="Times New Roman"/>
          <w:sz w:val="24"/>
          <w:szCs w:val="24"/>
        </w:rPr>
        <w:t xml:space="preserve"> </w:t>
      </w:r>
      <w:r w:rsidRPr="00A605A1">
        <w:rPr>
          <w:rFonts w:ascii="Times New Roman" w:hAnsi="Times New Roman" w:cs="Times New Roman"/>
          <w:sz w:val="24"/>
          <w:szCs w:val="24"/>
        </w:rPr>
        <w:t xml:space="preserve">input use while adapting to increasing climate variability. No-till systems cover 90% of grain production area, reducing erosion and improving water infiltration. These practices enabled </w:t>
      </w:r>
      <w:r w:rsidR="00CB12A2" w:rsidRPr="00CD100C">
        <w:rPr>
          <w:rFonts w:ascii="Times New Roman" w:hAnsi="Times New Roman" w:cs="Times New Roman"/>
          <w:sz w:val="24"/>
          <w:szCs w:val="24"/>
          <w:highlight w:val="yellow"/>
        </w:rPr>
        <w:t xml:space="preserve">the maintenance of </w:t>
      </w:r>
      <w:r w:rsidRPr="00CD100C">
        <w:rPr>
          <w:rFonts w:ascii="Times New Roman" w:hAnsi="Times New Roman" w:cs="Times New Roman"/>
          <w:sz w:val="24"/>
          <w:szCs w:val="24"/>
          <w:highlight w:val="yellow"/>
        </w:rPr>
        <w:t>productivity despite</w:t>
      </w:r>
      <w:r w:rsidRPr="00A605A1">
        <w:rPr>
          <w:rFonts w:ascii="Times New Roman" w:hAnsi="Times New Roman" w:cs="Times New Roman"/>
          <w:sz w:val="24"/>
          <w:szCs w:val="24"/>
        </w:rPr>
        <w:t xml:space="preserve"> recent severe droughts, </w:t>
      </w:r>
      <w:r w:rsidRPr="00CD100C">
        <w:rPr>
          <w:rFonts w:ascii="Times New Roman" w:hAnsi="Times New Roman" w:cs="Times New Roman"/>
          <w:sz w:val="24"/>
          <w:szCs w:val="24"/>
          <w:highlight w:val="yellow"/>
        </w:rPr>
        <w:t xml:space="preserve">demonstrating </w:t>
      </w:r>
      <w:r w:rsidR="00CB12A2" w:rsidRPr="00CD100C">
        <w:rPr>
          <w:rFonts w:ascii="Times New Roman" w:hAnsi="Times New Roman" w:cs="Times New Roman"/>
          <w:sz w:val="24"/>
          <w:szCs w:val="24"/>
          <w:highlight w:val="yellow"/>
        </w:rPr>
        <w:t>the</w:t>
      </w:r>
      <w:r w:rsidR="00CB12A2">
        <w:rPr>
          <w:rFonts w:ascii="Times New Roman" w:hAnsi="Times New Roman" w:cs="Times New Roman"/>
          <w:sz w:val="24"/>
          <w:szCs w:val="24"/>
        </w:rPr>
        <w:t xml:space="preserve"> </w:t>
      </w:r>
      <w:r w:rsidRPr="00A605A1">
        <w:rPr>
          <w:rFonts w:ascii="Times New Roman" w:hAnsi="Times New Roman" w:cs="Times New Roman"/>
          <w:sz w:val="24"/>
          <w:szCs w:val="24"/>
        </w:rPr>
        <w:t>resilience value of technological adoption.</w:t>
      </w:r>
    </w:p>
    <w:p w14:paraId="607C372C"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Challenges and Barriers to Implementation</w:t>
      </w:r>
    </w:p>
    <w:p w14:paraId="185D703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Economic Constraints</w:t>
      </w:r>
    </w:p>
    <w:p w14:paraId="53A6068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Financial barriers remain the primary obstacle to widespread adoption of climate-smart agricultural practices. Initial investment costs for technologies such as drip irrigation, precision agriculture equipment, or renewable energy systems exceed smallholder farmers' capacity, particularly in developing countries where credit access remains limited. Cost-benefit analyses often fail to capture long-term resilience benefits, leading to underinvestment in adaptation measures.</w:t>
      </w:r>
    </w:p>
    <w:p w14:paraId="235462A0" w14:textId="20DDF74F"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Market failures compound implementation challenges, with absent or distorted price signals failing to </w:t>
      </w:r>
      <w:proofErr w:type="spellStart"/>
      <w:r w:rsidR="00CB12A2" w:rsidRPr="00CD100C">
        <w:rPr>
          <w:rFonts w:ascii="Times New Roman" w:hAnsi="Times New Roman" w:cs="Times New Roman"/>
          <w:sz w:val="24"/>
          <w:szCs w:val="24"/>
          <w:highlight w:val="yellow"/>
        </w:rPr>
        <w:t>incentivise</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sustainable</w:t>
      </w:r>
      <w:r w:rsidRPr="00A605A1">
        <w:rPr>
          <w:rFonts w:ascii="Times New Roman" w:hAnsi="Times New Roman" w:cs="Times New Roman"/>
          <w:sz w:val="24"/>
          <w:szCs w:val="24"/>
        </w:rPr>
        <w:t xml:space="preserve"> practices. Carbon markets for agricultural sequestration remain underdeveloped due to measurement difficulties and high transaction costs. Input subsidies for water and </w:t>
      </w:r>
      <w:proofErr w:type="spellStart"/>
      <w:r w:rsidR="00CB12A2" w:rsidRPr="00CD100C">
        <w:rPr>
          <w:rFonts w:ascii="Times New Roman" w:hAnsi="Times New Roman" w:cs="Times New Roman"/>
          <w:sz w:val="24"/>
          <w:szCs w:val="24"/>
          <w:highlight w:val="yellow"/>
        </w:rPr>
        <w:t>fertilisers</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encourage</w:t>
      </w:r>
      <w:r w:rsidRPr="00A605A1">
        <w:rPr>
          <w:rFonts w:ascii="Times New Roman" w:hAnsi="Times New Roman" w:cs="Times New Roman"/>
          <w:sz w:val="24"/>
          <w:szCs w:val="24"/>
        </w:rPr>
        <w:t xml:space="preserve"> overconsumption</w:t>
      </w:r>
      <w:r w:rsidR="00CB12A2">
        <w:rPr>
          <w:rFonts w:ascii="Times New Roman" w:hAnsi="Times New Roman" w:cs="Times New Roman"/>
          <w:sz w:val="24"/>
          <w:szCs w:val="24"/>
        </w:rPr>
        <w:t>,</w:t>
      </w:r>
      <w:r w:rsidRPr="00A605A1">
        <w:rPr>
          <w:rFonts w:ascii="Times New Roman" w:hAnsi="Times New Roman" w:cs="Times New Roman"/>
          <w:sz w:val="24"/>
          <w:szCs w:val="24"/>
        </w:rPr>
        <w:t xml:space="preserve"> while adaptation technologies receive limited </w:t>
      </w:r>
      <w:r w:rsidRPr="00A605A1">
        <w:rPr>
          <w:rFonts w:ascii="Times New Roman" w:hAnsi="Times New Roman" w:cs="Times New Roman"/>
          <w:sz w:val="24"/>
          <w:szCs w:val="24"/>
        </w:rPr>
        <w:lastRenderedPageBreak/>
        <w:t>support. Insurance markets fail to provide adequate coverage for climate risks, leaving farmers vulnerable to extreme events.</w:t>
      </w:r>
    </w:p>
    <w:p w14:paraId="77584CD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Value chain constraints limit market access for climate-adapted products. Infrastructure deficits, including storage facilities, transportation networks, and processing capabilities, result in post-harvest losses of 20-40% in developing countries. These losses undermine incentives for productivity investments while increasing food insecurity. Climate-resilient value chains require coordinated investments across production, storage, processing, and marketing segments.</w:t>
      </w:r>
    </w:p>
    <w:p w14:paraId="1188E79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Knowledge and Capacity Gaps</w:t>
      </w:r>
    </w:p>
    <w:p w14:paraId="4C286B22" w14:textId="11ECF50D"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Technical knowledge barriers impede </w:t>
      </w:r>
      <w:r w:rsidR="00CB12A2" w:rsidRPr="00CD100C">
        <w:rPr>
          <w:rFonts w:ascii="Times New Roman" w:hAnsi="Times New Roman" w:cs="Times New Roman"/>
          <w:sz w:val="24"/>
          <w:szCs w:val="24"/>
          <w:highlight w:val="yellow"/>
        </w:rPr>
        <w:t xml:space="preserve">the </w:t>
      </w:r>
      <w:r w:rsidRPr="00CD100C">
        <w:rPr>
          <w:rFonts w:ascii="Times New Roman" w:hAnsi="Times New Roman" w:cs="Times New Roman"/>
          <w:sz w:val="24"/>
          <w:szCs w:val="24"/>
          <w:highlight w:val="yellow"/>
        </w:rPr>
        <w:t>adoption</w:t>
      </w:r>
      <w:r w:rsidRPr="00A605A1">
        <w:rPr>
          <w:rFonts w:ascii="Times New Roman" w:hAnsi="Times New Roman" w:cs="Times New Roman"/>
          <w:sz w:val="24"/>
          <w:szCs w:val="24"/>
        </w:rPr>
        <w:t xml:space="preserve"> of complex climate-smart practices. Precision agriculture technologies require digital literacy and data interpretation skills often lacking among smallholder farmers. Integrated pest management demands ecological understanding of pest-predator relationships and monitoring capabilities. Even relatively simple practices like conservation agriculture require significant </w:t>
      </w:r>
      <w:proofErr w:type="spellStart"/>
      <w:r w:rsidR="00CB12A2" w:rsidRPr="00CD100C">
        <w:rPr>
          <w:rFonts w:ascii="Times New Roman" w:hAnsi="Times New Roman" w:cs="Times New Roman"/>
          <w:sz w:val="24"/>
          <w:szCs w:val="24"/>
          <w:highlight w:val="yellow"/>
        </w:rPr>
        <w:t>behaviour</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change</w:t>
      </w:r>
      <w:r w:rsidRPr="00A605A1">
        <w:rPr>
          <w:rFonts w:ascii="Times New Roman" w:hAnsi="Times New Roman" w:cs="Times New Roman"/>
          <w:sz w:val="24"/>
          <w:szCs w:val="24"/>
        </w:rPr>
        <w:t xml:space="preserve"> and learning periods before benefits </w:t>
      </w:r>
      <w:proofErr w:type="spellStart"/>
      <w:r w:rsidR="00CB12A2" w:rsidRPr="00CD100C">
        <w:rPr>
          <w:rFonts w:ascii="Times New Roman" w:hAnsi="Times New Roman" w:cs="Times New Roman"/>
          <w:sz w:val="24"/>
          <w:szCs w:val="24"/>
          <w:highlight w:val="yellow"/>
        </w:rPr>
        <w:t>materialise</w:t>
      </w:r>
      <w:proofErr w:type="spellEnd"/>
      <w:r w:rsidRPr="00CD100C">
        <w:rPr>
          <w:rFonts w:ascii="Times New Roman" w:hAnsi="Times New Roman" w:cs="Times New Roman"/>
          <w:sz w:val="24"/>
          <w:szCs w:val="24"/>
          <w:highlight w:val="yellow"/>
        </w:rPr>
        <w:t>.</w:t>
      </w:r>
    </w:p>
    <w:p w14:paraId="45A2DFC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Extension systems, weakened by decades of underinvestment, struggle to deliver climate-relevant information and support. Traditional top-down extension approaches fail to address location-specific climate challenges and diverse farmer circumstances. Farmer-to-farmer learning networks show promise but require facilitation and support to achieve scale. Digital extension platforms offer potential solutions but face connectivity and literacy constraints in remote areas.</w:t>
      </w:r>
    </w:p>
    <w:p w14:paraId="14709D42" w14:textId="4A81B92E"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Research-implementation gaps persist despite substantial scientific advances in climate adaptation. Technologies developed in research stations often fail under diverse farm conditions due to inadequate participatory development processes. Indigenous knowledge systems, containing valuable adaptation insights, remain </w:t>
      </w:r>
      <w:proofErr w:type="spellStart"/>
      <w:r w:rsidR="00CB12A2" w:rsidRPr="00CD100C">
        <w:rPr>
          <w:rFonts w:ascii="Times New Roman" w:hAnsi="Times New Roman" w:cs="Times New Roman"/>
          <w:sz w:val="24"/>
          <w:szCs w:val="24"/>
          <w:highlight w:val="yellow"/>
        </w:rPr>
        <w:t>marginalised</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in</w:t>
      </w:r>
      <w:r w:rsidRPr="00A605A1">
        <w:rPr>
          <w:rFonts w:ascii="Times New Roman" w:hAnsi="Times New Roman" w:cs="Times New Roman"/>
          <w:sz w:val="24"/>
          <w:szCs w:val="24"/>
        </w:rPr>
        <w:t xml:space="preserve"> formal research and development programs. Bridging these gaps requires inclusive innovation systems that integrate scientific and traditional knowledge.</w:t>
      </w:r>
    </w:p>
    <w:p w14:paraId="3F4DA20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Institutional and Policy Barriers</w:t>
      </w:r>
    </w:p>
    <w:p w14:paraId="204DB11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Fragmented governance structures impede coordinated climate action in agriculture. Agricultural adaptation involves multiple ministries, agencies, and levels of government, often with conflicting mandates and limited coordination. Climate change considerations remain poorly integrated into agricultural policies, while agricultural concerns receive limited attention in climate policies. Institutional reforms promoting cross-sectoral coordination face political economy challenges and bureaucratic resistance.</w:t>
      </w:r>
    </w:p>
    <w:p w14:paraId="5F8FDBA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Land tenure insecurity undermines long-term investments in climate adaptation. Farmers lacking secure land rights hesitate to invest in soil conservation, tree planting, or irrigation infrastructure. Women farmers, producing 60-80% of food in developing countries, face particular tenure constraints limiting their adaptation capacity. Land reforms addressing tenure security while promoting sustainable land management remain politically contentious but essential for adaptation.</w:t>
      </w:r>
    </w:p>
    <w:p w14:paraId="2CEA9220" w14:textId="6DAA0229"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 xml:space="preserve">Policy coherence challenges arise from conflicting objectives across sectors. Trade policies promoting agricultural exports may conflict with water conservation goals. Energy subsidies for groundwater pumping exacerbate aquifer depletion. Food security policies </w:t>
      </w:r>
      <w:proofErr w:type="spellStart"/>
      <w:r w:rsidR="00CB12A2" w:rsidRPr="00CD100C">
        <w:rPr>
          <w:rFonts w:ascii="Times New Roman" w:hAnsi="Times New Roman" w:cs="Times New Roman"/>
          <w:sz w:val="24"/>
          <w:szCs w:val="24"/>
          <w:highlight w:val="yellow"/>
        </w:rPr>
        <w:t>emphasising</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production</w:t>
      </w:r>
      <w:r w:rsidRPr="00A605A1">
        <w:rPr>
          <w:rFonts w:ascii="Times New Roman" w:hAnsi="Times New Roman" w:cs="Times New Roman"/>
          <w:sz w:val="24"/>
          <w:szCs w:val="24"/>
        </w:rPr>
        <w:t xml:space="preserve"> increases may undermine environmental sustainability. Achieving policy coherence requires integrated assessment tools and political commitment to balance competing objectives.</w:t>
      </w:r>
    </w:p>
    <w:p w14:paraId="3DF4A426" w14:textId="77777777" w:rsid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8: Barriers to Climate-Smart Agriculture Adoption</w:t>
      </w:r>
    </w:p>
    <w:p w14:paraId="6D4A2D6E" w14:textId="77777777" w:rsidR="002D7E8F" w:rsidRPr="00A605A1" w:rsidRDefault="002D7E8F" w:rsidP="002D7E8F">
      <w:pPr>
        <w:jc w:val="center"/>
        <w:rPr>
          <w:rFonts w:ascii="Times New Roman" w:hAnsi="Times New Roman" w:cs="Times New Roman"/>
          <w:b/>
          <w:bCs/>
          <w:sz w:val="24"/>
          <w:szCs w:val="24"/>
        </w:rPr>
      </w:pPr>
      <w:r>
        <w:rPr>
          <w:noProof/>
          <w:lang w:bidi="hi-IN"/>
        </w:rPr>
        <w:drawing>
          <wp:inline distT="0" distB="0" distL="0" distR="0" wp14:anchorId="7FBA02F9" wp14:editId="1E1109D6">
            <wp:extent cx="5314372" cy="2822115"/>
            <wp:effectExtent l="0" t="0" r="635" b="0"/>
            <wp:docPr id="9" name="Picture 9" descr="STRATEGIES TO ENCOURAGE CSA ADOPTION IN SOUTH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RATEGIES TO ENCOURAGE CSA ADOPTION IN SOUTH AS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9276" cy="2824719"/>
                    </a:xfrm>
                    <a:prstGeom prst="rect">
                      <a:avLst/>
                    </a:prstGeom>
                    <a:noFill/>
                    <a:ln>
                      <a:noFill/>
                    </a:ln>
                  </pic:spPr>
                </pic:pic>
              </a:graphicData>
            </a:graphic>
          </wp:inline>
        </w:drawing>
      </w:r>
    </w:p>
    <w:p w14:paraId="51BDB6D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Future Perspectives and Research Priorities</w:t>
      </w:r>
    </w:p>
    <w:p w14:paraId="761B5274"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Emerging Technologies and Innovations</w:t>
      </w:r>
    </w:p>
    <w:p w14:paraId="113726E0" w14:textId="5FE98855"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Artificial intelligence and machine learning </w:t>
      </w:r>
      <w:r w:rsidRPr="00CD100C">
        <w:rPr>
          <w:rFonts w:ascii="Times New Roman" w:hAnsi="Times New Roman" w:cs="Times New Roman"/>
          <w:sz w:val="24"/>
          <w:szCs w:val="24"/>
          <w:highlight w:val="yellow"/>
        </w:rPr>
        <w:t xml:space="preserve">applications </w:t>
      </w:r>
      <w:proofErr w:type="spellStart"/>
      <w:r w:rsidR="00CB12A2" w:rsidRPr="00CD100C">
        <w:rPr>
          <w:rFonts w:ascii="Times New Roman" w:hAnsi="Times New Roman" w:cs="Times New Roman"/>
          <w:sz w:val="24"/>
          <w:szCs w:val="24"/>
          <w:highlight w:val="yellow"/>
        </w:rPr>
        <w:t>revolutionise</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climate</w:t>
      </w:r>
      <w:r w:rsidRPr="00A605A1">
        <w:rPr>
          <w:rFonts w:ascii="Times New Roman" w:hAnsi="Times New Roman" w:cs="Times New Roman"/>
          <w:sz w:val="24"/>
          <w:szCs w:val="24"/>
        </w:rPr>
        <w:t xml:space="preserve"> risk management in agriculture. Advanced algorithms processing satellite imagery, weather data, and soil information generate field-specific recommendations for planting dates, variety selection, and input management. Predictive models incorporating climate projections enable anticipatory adaptation planning. However, </w:t>
      </w:r>
      <w:proofErr w:type="spellStart"/>
      <w:r w:rsidR="00CB12A2" w:rsidRPr="00CD100C">
        <w:rPr>
          <w:rFonts w:ascii="Times New Roman" w:hAnsi="Times New Roman" w:cs="Times New Roman"/>
          <w:sz w:val="24"/>
          <w:szCs w:val="24"/>
          <w:highlight w:val="yellow"/>
        </w:rPr>
        <w:t>realising</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this potential</w:t>
      </w:r>
      <w:r w:rsidRPr="00A605A1">
        <w:rPr>
          <w:rFonts w:ascii="Times New Roman" w:hAnsi="Times New Roman" w:cs="Times New Roman"/>
          <w:sz w:val="24"/>
          <w:szCs w:val="24"/>
        </w:rPr>
        <w:t xml:space="preserve"> requires addressing data availability, model validation, and accessibility challenges.</w:t>
      </w:r>
    </w:p>
    <w:p w14:paraId="0BDB273C" w14:textId="1D201CC4"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Gene editing technologies, particularly CRISPR-Cas systems, </w:t>
      </w:r>
      <w:r w:rsidRPr="00CD100C">
        <w:rPr>
          <w:rFonts w:ascii="Times New Roman" w:hAnsi="Times New Roman" w:cs="Times New Roman"/>
          <w:sz w:val="24"/>
          <w:szCs w:val="24"/>
          <w:highlight w:val="yellow"/>
        </w:rPr>
        <w:t xml:space="preserve">accelerate </w:t>
      </w:r>
      <w:r w:rsidR="00CB12A2" w:rsidRPr="00CD100C">
        <w:rPr>
          <w:rFonts w:ascii="Times New Roman" w:hAnsi="Times New Roman" w:cs="Times New Roman"/>
          <w:sz w:val="24"/>
          <w:szCs w:val="24"/>
          <w:highlight w:val="yellow"/>
        </w:rPr>
        <w:t xml:space="preserve">the </w:t>
      </w:r>
      <w:r w:rsidRPr="00CD100C">
        <w:rPr>
          <w:rFonts w:ascii="Times New Roman" w:hAnsi="Times New Roman" w:cs="Times New Roman"/>
          <w:sz w:val="24"/>
          <w:szCs w:val="24"/>
          <w:highlight w:val="yellow"/>
        </w:rPr>
        <w:t>development</w:t>
      </w:r>
      <w:r w:rsidRPr="00A605A1">
        <w:rPr>
          <w:rFonts w:ascii="Times New Roman" w:hAnsi="Times New Roman" w:cs="Times New Roman"/>
          <w:sz w:val="24"/>
          <w:szCs w:val="24"/>
        </w:rPr>
        <w:t xml:space="preserve"> of climate-resilient crop varieties. Unlike conventional breeding</w:t>
      </w:r>
      <w:r w:rsidR="00CB12A2" w:rsidRPr="00CD100C">
        <w:rPr>
          <w:rFonts w:ascii="Times New Roman" w:hAnsi="Times New Roman" w:cs="Times New Roman"/>
          <w:sz w:val="24"/>
          <w:szCs w:val="24"/>
          <w:highlight w:val="yellow"/>
        </w:rPr>
        <w:t>,</w:t>
      </w:r>
      <w:r w:rsidRPr="00CD100C">
        <w:rPr>
          <w:rFonts w:ascii="Times New Roman" w:hAnsi="Times New Roman" w:cs="Times New Roman"/>
          <w:sz w:val="24"/>
          <w:szCs w:val="24"/>
          <w:highlight w:val="yellow"/>
        </w:rPr>
        <w:t xml:space="preserve"> </w:t>
      </w:r>
      <w:r w:rsidR="00CB12A2" w:rsidRPr="00CD100C">
        <w:rPr>
          <w:rFonts w:ascii="Times New Roman" w:hAnsi="Times New Roman" w:cs="Times New Roman"/>
          <w:sz w:val="24"/>
          <w:szCs w:val="24"/>
          <w:highlight w:val="yellow"/>
        </w:rPr>
        <w:t xml:space="preserve">which requires </w:t>
      </w:r>
      <w:r w:rsidRPr="00CD100C">
        <w:rPr>
          <w:rFonts w:ascii="Times New Roman" w:hAnsi="Times New Roman" w:cs="Times New Roman"/>
          <w:sz w:val="24"/>
          <w:szCs w:val="24"/>
          <w:highlight w:val="yellow"/>
        </w:rPr>
        <w:t>10-15</w:t>
      </w:r>
      <w:r w:rsidRPr="00A605A1">
        <w:rPr>
          <w:rFonts w:ascii="Times New Roman" w:hAnsi="Times New Roman" w:cs="Times New Roman"/>
          <w:sz w:val="24"/>
          <w:szCs w:val="24"/>
        </w:rPr>
        <w:t xml:space="preserve"> years, gene editing can introduce beneficial traits in 3-5 years. Current targets include enhancing photosynthetic efficiency, improving nutrient use efficiency, and introducing multiple stress tolerances. Regulatory frameworks and public acceptance remain critical determinants of technology deployment.</w:t>
      </w:r>
    </w:p>
    <w:p w14:paraId="717CE3B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Vertical farming and controlled environment agriculture offer climate-independent production systems for high-value crops. These systems achieve 100-300 times higher productivity per unit area while eliminating weather-related risks. Integration with renewable energy and circular </w:t>
      </w:r>
      <w:r w:rsidRPr="00A605A1">
        <w:rPr>
          <w:rFonts w:ascii="Times New Roman" w:hAnsi="Times New Roman" w:cs="Times New Roman"/>
          <w:sz w:val="24"/>
          <w:szCs w:val="24"/>
        </w:rPr>
        <w:lastRenderedPageBreak/>
        <w:t>economy principles enhances sustainability. However, high capital and energy requirements currently limit applications to urban areas and specific crops.</w:t>
      </w:r>
    </w:p>
    <w:p w14:paraId="5F37CE4C"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Transformative Pathways</w:t>
      </w:r>
    </w:p>
    <w:p w14:paraId="7AF22115" w14:textId="17223A60"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Agricultural transformation under climate change requires fundamental shifts beyond incremental adaptations. Landscape-scale approaches integrating agriculture with ecosystem services provide multiple benefits</w:t>
      </w:r>
      <w:r w:rsidR="00CB12A2">
        <w:rPr>
          <w:rFonts w:ascii="Times New Roman" w:hAnsi="Times New Roman" w:cs="Times New Roman"/>
          <w:sz w:val="24"/>
          <w:szCs w:val="24"/>
        </w:rPr>
        <w:t>,</w:t>
      </w:r>
      <w:r w:rsidRPr="00A605A1">
        <w:rPr>
          <w:rFonts w:ascii="Times New Roman" w:hAnsi="Times New Roman" w:cs="Times New Roman"/>
          <w:sz w:val="24"/>
          <w:szCs w:val="24"/>
        </w:rPr>
        <w:t xml:space="preserve"> including climate regulation, biodiversity conservation, and watershed protection. Payment mechanisms valuing these services could transform agriculture from </w:t>
      </w:r>
      <w:r w:rsidR="00CB12A2">
        <w:rPr>
          <w:rFonts w:ascii="Times New Roman" w:hAnsi="Times New Roman" w:cs="Times New Roman"/>
          <w:sz w:val="24"/>
          <w:szCs w:val="24"/>
        </w:rPr>
        <w:t xml:space="preserve">an </w:t>
      </w:r>
      <w:r w:rsidRPr="00A605A1">
        <w:rPr>
          <w:rFonts w:ascii="Times New Roman" w:hAnsi="Times New Roman" w:cs="Times New Roman"/>
          <w:sz w:val="24"/>
          <w:szCs w:val="24"/>
        </w:rPr>
        <w:t xml:space="preserve">environmental problem </w:t>
      </w:r>
      <w:r w:rsidRPr="00CD100C">
        <w:rPr>
          <w:rFonts w:ascii="Times New Roman" w:hAnsi="Times New Roman" w:cs="Times New Roman"/>
          <w:sz w:val="24"/>
          <w:szCs w:val="24"/>
          <w:highlight w:val="yellow"/>
        </w:rPr>
        <w:t xml:space="preserve">to </w:t>
      </w:r>
      <w:r w:rsidR="00CB12A2" w:rsidRPr="00CD100C">
        <w:rPr>
          <w:rFonts w:ascii="Times New Roman" w:hAnsi="Times New Roman" w:cs="Times New Roman"/>
          <w:sz w:val="24"/>
          <w:szCs w:val="24"/>
          <w:highlight w:val="yellow"/>
        </w:rPr>
        <w:t xml:space="preserve">a </w:t>
      </w:r>
      <w:r w:rsidRPr="00CD100C">
        <w:rPr>
          <w:rFonts w:ascii="Times New Roman" w:hAnsi="Times New Roman" w:cs="Times New Roman"/>
          <w:sz w:val="24"/>
          <w:szCs w:val="24"/>
          <w:highlight w:val="yellow"/>
        </w:rPr>
        <w:t>climate solution</w:t>
      </w:r>
      <w:r w:rsidRPr="00A605A1">
        <w:rPr>
          <w:rFonts w:ascii="Times New Roman" w:hAnsi="Times New Roman" w:cs="Times New Roman"/>
          <w:sz w:val="24"/>
          <w:szCs w:val="24"/>
        </w:rPr>
        <w:t>.</w:t>
      </w:r>
    </w:p>
    <w:p w14:paraId="35EC1CEA" w14:textId="32954180"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Circular </w:t>
      </w:r>
      <w:proofErr w:type="spellStart"/>
      <w:r w:rsidRPr="00A605A1">
        <w:rPr>
          <w:rFonts w:ascii="Times New Roman" w:hAnsi="Times New Roman" w:cs="Times New Roman"/>
          <w:sz w:val="24"/>
          <w:szCs w:val="24"/>
        </w:rPr>
        <w:t>bioeconomy</w:t>
      </w:r>
      <w:proofErr w:type="spellEnd"/>
      <w:r w:rsidRPr="00A605A1">
        <w:rPr>
          <w:rFonts w:ascii="Times New Roman" w:hAnsi="Times New Roman" w:cs="Times New Roman"/>
          <w:sz w:val="24"/>
          <w:szCs w:val="24"/>
        </w:rPr>
        <w:t xml:space="preserve"> models </w:t>
      </w:r>
      <w:proofErr w:type="spellStart"/>
      <w:r w:rsidR="00CB12A2" w:rsidRPr="00CD100C">
        <w:rPr>
          <w:rFonts w:ascii="Times New Roman" w:hAnsi="Times New Roman" w:cs="Times New Roman"/>
          <w:sz w:val="24"/>
          <w:szCs w:val="24"/>
          <w:highlight w:val="yellow"/>
        </w:rPr>
        <w:t>minimise</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waste while</w:t>
      </w:r>
      <w:r w:rsidRPr="00A605A1">
        <w:rPr>
          <w:rFonts w:ascii="Times New Roman" w:hAnsi="Times New Roman" w:cs="Times New Roman"/>
          <w:sz w:val="24"/>
          <w:szCs w:val="24"/>
        </w:rPr>
        <w:t xml:space="preserve"> creating value from agricultural residues. Crop residues, currently burned or discarded, can generate bioenergy, biomaterials, and soil amendments. Integrated biorefineries processing multiple feedstocks create rural employment while reducing emissions. </w:t>
      </w:r>
      <w:proofErr w:type="spellStart"/>
      <w:r w:rsidR="00CB12A2" w:rsidRPr="00CD100C">
        <w:rPr>
          <w:rFonts w:ascii="Times New Roman" w:hAnsi="Times New Roman" w:cs="Times New Roman"/>
          <w:sz w:val="24"/>
          <w:szCs w:val="24"/>
          <w:highlight w:val="yellow"/>
        </w:rPr>
        <w:t>Realising</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this</w:t>
      </w:r>
      <w:r w:rsidRPr="00A605A1">
        <w:rPr>
          <w:rFonts w:ascii="Times New Roman" w:hAnsi="Times New Roman" w:cs="Times New Roman"/>
          <w:sz w:val="24"/>
          <w:szCs w:val="24"/>
        </w:rPr>
        <w:t xml:space="preserve"> potential requires technology development, infrastructure investment, and market creation for bio-based products.</w:t>
      </w:r>
    </w:p>
    <w:p w14:paraId="3E1E0145" w14:textId="22FE96A8"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Digital transformation enables precision management and informed decision-making throughout agricultural systems. Blockchain technology ensures supply chain transparency and traceability, enabling premium markets for climate-smart products. Internet of Things sensors generate real-time data for </w:t>
      </w:r>
      <w:proofErr w:type="spellStart"/>
      <w:r w:rsidR="00CB12A2" w:rsidRPr="00CD100C">
        <w:rPr>
          <w:rFonts w:ascii="Times New Roman" w:hAnsi="Times New Roman" w:cs="Times New Roman"/>
          <w:sz w:val="24"/>
          <w:szCs w:val="24"/>
          <w:highlight w:val="yellow"/>
        </w:rPr>
        <w:t>optimisation</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algorithms</w:t>
      </w:r>
      <w:r w:rsidRPr="00A605A1">
        <w:rPr>
          <w:rFonts w:ascii="Times New Roman" w:hAnsi="Times New Roman" w:cs="Times New Roman"/>
          <w:sz w:val="24"/>
          <w:szCs w:val="24"/>
        </w:rPr>
        <w:t>. Digital platforms connect farmers with markets, finance, and services. However, digital divides risk excluding vulnerable populations without targeted interventions.</w:t>
      </w:r>
    </w:p>
    <w:p w14:paraId="202379C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Research and Development Priorities</w:t>
      </w:r>
    </w:p>
    <w:p w14:paraId="0C0291B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Climate-agriculture research must address critical knowledge gaps impeding effective adaptation and mitigation. Understanding crop responses to multiple, interacting stresses remains limited, particularly for neglected crops important for food security. Research on soil-plant-atmosphere interactions under climate change requires interdisciplinary approaches integrating biophysical and social sciences.</w:t>
      </w:r>
    </w:p>
    <w:p w14:paraId="599DFB71" w14:textId="5E9CFE3E"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Socio-economic research priorities include understanding adoption determinants, designing effective incentive mechanisms, and evaluating policy instruments. Gender-differentiated impacts of climate change and adaptation options require focused attention. Value chain analyses identifying climate vulnerabilities and intervention points guide investment priorities. Participatory research approaches</w:t>
      </w:r>
      <w:r w:rsidR="00CB12A2">
        <w:rPr>
          <w:rFonts w:ascii="Times New Roman" w:hAnsi="Times New Roman" w:cs="Times New Roman"/>
          <w:sz w:val="24"/>
          <w:szCs w:val="24"/>
        </w:rPr>
        <w:t>,</w:t>
      </w:r>
      <w:r w:rsidRPr="00A605A1">
        <w:rPr>
          <w:rFonts w:ascii="Times New Roman" w:hAnsi="Times New Roman" w:cs="Times New Roman"/>
          <w:sz w:val="24"/>
          <w:szCs w:val="24"/>
        </w:rPr>
        <w:t xml:space="preserve"> ensuring farmer involvement in technology development</w:t>
      </w:r>
      <w:r w:rsidR="00CB12A2">
        <w:rPr>
          <w:rFonts w:ascii="Times New Roman" w:hAnsi="Times New Roman" w:cs="Times New Roman"/>
          <w:sz w:val="24"/>
          <w:szCs w:val="24"/>
        </w:rPr>
        <w:t>,</w:t>
      </w:r>
      <w:r w:rsidRPr="00A605A1">
        <w:rPr>
          <w:rFonts w:ascii="Times New Roman" w:hAnsi="Times New Roman" w:cs="Times New Roman"/>
          <w:sz w:val="24"/>
          <w:szCs w:val="24"/>
        </w:rPr>
        <w:t xml:space="preserve"> enhance relevance and adoption potential.</w:t>
      </w:r>
    </w:p>
    <w:p w14:paraId="1CC3FA97" w14:textId="1BE665A1"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Monitoring and evaluation systems tracking adaptation effectiveness remain underdeveloped. </w:t>
      </w:r>
      <w:proofErr w:type="spellStart"/>
      <w:r w:rsidR="00CB12A2" w:rsidRPr="00CD100C">
        <w:rPr>
          <w:rFonts w:ascii="Times New Roman" w:hAnsi="Times New Roman" w:cs="Times New Roman"/>
          <w:sz w:val="24"/>
          <w:szCs w:val="24"/>
          <w:highlight w:val="yellow"/>
        </w:rPr>
        <w:t>Standardised</w:t>
      </w:r>
      <w:proofErr w:type="spellEnd"/>
      <w:r w:rsidR="00CB12A2" w:rsidRPr="00CD100C">
        <w:rPr>
          <w:rFonts w:ascii="Times New Roman" w:hAnsi="Times New Roman" w:cs="Times New Roman"/>
          <w:sz w:val="24"/>
          <w:szCs w:val="24"/>
          <w:highlight w:val="yellow"/>
        </w:rPr>
        <w:t xml:space="preserve"> </w:t>
      </w:r>
      <w:r w:rsidRPr="00CD100C">
        <w:rPr>
          <w:rFonts w:ascii="Times New Roman" w:hAnsi="Times New Roman" w:cs="Times New Roman"/>
          <w:sz w:val="24"/>
          <w:szCs w:val="24"/>
          <w:highlight w:val="yellow"/>
        </w:rPr>
        <w:t>metrics</w:t>
      </w:r>
      <w:r w:rsidRPr="00A605A1">
        <w:rPr>
          <w:rFonts w:ascii="Times New Roman" w:hAnsi="Times New Roman" w:cs="Times New Roman"/>
          <w:sz w:val="24"/>
          <w:szCs w:val="24"/>
        </w:rPr>
        <w:t xml:space="preserve"> measuring resilience, adaptive capacity, and transformation progress enable learning and improvement. Long-term datasets capturing climate-agriculture interactions support model development and validation. Investment in observation networks, data management systems, and analytical capacity strengthens evidence-based decision-making.</w:t>
      </w:r>
    </w:p>
    <w:p w14:paraId="257132D9"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Conclusion</w:t>
      </w:r>
    </w:p>
    <w:p w14:paraId="02B866F5" w14:textId="3C004C8B" w:rsid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Climate change fundamentally transforms global agricultural systems, demanding urgent, comprehensive responses that balance productivity, sustainability, and equity objectives. This review demonstrates that while climate impacts intensify through temperature extremes, precipitation variability, and increased pest pressures, diverse adaptation and mitigation strategies offer pathways toward resilient agricultural futures. Success requires integrated approaches combining technological innovation, policy reform, and institutional transformation. The evidence clearly indicates that incremental adjustments alone prove insufficient; rather, transformative changes in agricultural practices, supported by adequate finance and enabling policies, must accelerate to ensure food security under climate change. Future agricultural sustainability depends on immediate action</w:t>
      </w:r>
      <w:r w:rsidR="00CB12A2">
        <w:rPr>
          <w:rFonts w:ascii="Times New Roman" w:hAnsi="Times New Roman" w:cs="Times New Roman"/>
          <w:sz w:val="24"/>
          <w:szCs w:val="24"/>
        </w:rPr>
        <w:t>,</w:t>
      </w:r>
      <w:r w:rsidRPr="00A605A1">
        <w:rPr>
          <w:rFonts w:ascii="Times New Roman" w:hAnsi="Times New Roman" w:cs="Times New Roman"/>
          <w:sz w:val="24"/>
          <w:szCs w:val="24"/>
        </w:rPr>
        <w:t xml:space="preserve"> implementing proven solutions while continuing innovation for emerging challenges.</w:t>
      </w:r>
    </w:p>
    <w:p w14:paraId="44A7370B" w14:textId="77777777" w:rsidR="00940CDD" w:rsidRDefault="00940CDD" w:rsidP="00940CDD">
      <w:pPr>
        <w:rPr>
          <w:rFonts w:ascii="Calibri" w:eastAsia="Calibri" w:hAnsi="Calibri" w:cs="Times New Roman"/>
          <w:kern w:val="2"/>
        </w:rPr>
      </w:pPr>
      <w:bookmarkStart w:id="0" w:name="_Hlk192511329"/>
      <w:bookmarkStart w:id="1" w:name="_Hlk187485061"/>
      <w:bookmarkStart w:id="2" w:name="_Hlk194655630"/>
      <w:bookmarkStart w:id="3" w:name="_Hlk209008097"/>
    </w:p>
    <w:p w14:paraId="5DF77BBC" w14:textId="77777777" w:rsidR="00940CDD" w:rsidRPr="008A4E0A" w:rsidRDefault="00940CDD" w:rsidP="00940CDD">
      <w:pPr>
        <w:rPr>
          <w:rFonts w:ascii="Calibri" w:eastAsia="Calibri" w:hAnsi="Calibri" w:cs="Times New Roman"/>
          <w:b/>
          <w:kern w:val="2"/>
          <w:highlight w:val="yellow"/>
        </w:rPr>
      </w:pPr>
      <w:bookmarkStart w:id="4" w:name="_Hlk204003461"/>
      <w:bookmarkStart w:id="5" w:name="_Hlk209007716"/>
      <w:bookmarkStart w:id="6" w:name="_GoBack"/>
      <w:bookmarkEnd w:id="0"/>
      <w:bookmarkEnd w:id="1"/>
      <w:bookmarkEnd w:id="2"/>
      <w:r w:rsidRPr="008A4E0A">
        <w:rPr>
          <w:rFonts w:ascii="Calibri" w:eastAsia="Calibri" w:hAnsi="Calibri" w:cs="Times New Roman"/>
          <w:b/>
          <w:kern w:val="2"/>
          <w:highlight w:val="yellow"/>
        </w:rPr>
        <w:t>Disclaimer (Artificial intelligence)</w:t>
      </w:r>
    </w:p>
    <w:bookmarkEnd w:id="6"/>
    <w:p w14:paraId="7A52B3DC" w14:textId="77777777" w:rsidR="00940CDD" w:rsidRDefault="00940CDD" w:rsidP="00940CDD">
      <w:pPr>
        <w:rPr>
          <w:rFonts w:ascii="Calibri" w:eastAsia="Calibri" w:hAnsi="Calibri" w:cs="Times New Roman"/>
          <w:kern w:val="2"/>
          <w:highlight w:val="yellow"/>
        </w:rPr>
      </w:pPr>
      <w:r>
        <w:rPr>
          <w:rFonts w:ascii="Calibri" w:eastAsia="Calibri" w:hAnsi="Calibri" w:cs="Times New Roman"/>
          <w:kern w:val="2"/>
          <w:highlight w:val="yellow"/>
        </w:rPr>
        <w:t>Option 1:</w:t>
      </w:r>
    </w:p>
    <w:p w14:paraId="51CAF396" w14:textId="77777777" w:rsidR="00940CDD" w:rsidRDefault="00940CDD" w:rsidP="00940CDD">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71EF9449" w14:textId="77777777" w:rsidR="00940CDD" w:rsidRDefault="00940CDD" w:rsidP="00940CDD">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0F18A9B6" w14:textId="77777777" w:rsidR="00940CDD" w:rsidRDefault="00940CDD" w:rsidP="00940CDD">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w:t>
      </w:r>
      <w:proofErr w:type="spellStart"/>
      <w:r>
        <w:rPr>
          <w:rFonts w:ascii="Calibri" w:eastAsia="Calibri" w:hAnsi="Calibri" w:cs="Times New Roman"/>
          <w:kern w:val="2"/>
          <w:highlight w:val="yellow"/>
        </w:rPr>
        <w:t>generativ</w:t>
      </w:r>
      <w:proofErr w:type="spellEnd"/>
      <w:r>
        <w:rPr>
          <w:rFonts w:ascii="Calibri" w:eastAsia="Calibri" w:hAnsi="Calibri" w:cs="Times New Roman"/>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3361E4" w14:textId="77777777" w:rsidR="00940CDD" w:rsidRDefault="00940CDD" w:rsidP="00940CDD">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0E3F3934" w14:textId="77777777" w:rsidR="00940CDD" w:rsidRDefault="00940CDD" w:rsidP="00940CDD">
      <w:pPr>
        <w:rPr>
          <w:rFonts w:ascii="Calibri" w:eastAsia="Calibri" w:hAnsi="Calibri" w:cs="Times New Roman"/>
          <w:kern w:val="2"/>
          <w:highlight w:val="yellow"/>
        </w:rPr>
      </w:pPr>
      <w:r>
        <w:rPr>
          <w:rFonts w:ascii="Calibri" w:eastAsia="Calibri" w:hAnsi="Calibri" w:cs="Times New Roman"/>
          <w:kern w:val="2"/>
          <w:highlight w:val="yellow"/>
        </w:rPr>
        <w:t>1.</w:t>
      </w:r>
    </w:p>
    <w:p w14:paraId="2A823D69" w14:textId="77777777" w:rsidR="00940CDD" w:rsidRDefault="00940CDD" w:rsidP="00940CDD">
      <w:pPr>
        <w:rPr>
          <w:rFonts w:ascii="Calibri" w:eastAsia="Calibri" w:hAnsi="Calibri" w:cs="Times New Roman"/>
          <w:kern w:val="2"/>
          <w:highlight w:val="yellow"/>
        </w:rPr>
      </w:pPr>
      <w:r>
        <w:rPr>
          <w:rFonts w:ascii="Calibri" w:eastAsia="Calibri" w:hAnsi="Calibri" w:cs="Times New Roman"/>
          <w:kern w:val="2"/>
          <w:highlight w:val="yellow"/>
        </w:rPr>
        <w:t>2.</w:t>
      </w:r>
    </w:p>
    <w:p w14:paraId="617A9D7D" w14:textId="77777777" w:rsidR="00940CDD" w:rsidRDefault="00940CDD" w:rsidP="00940CDD">
      <w:pPr>
        <w:rPr>
          <w:rFonts w:ascii="Calibri" w:eastAsia="Calibri" w:hAnsi="Calibri" w:cs="Times New Roman"/>
          <w:kern w:val="2"/>
          <w:highlight w:val="yellow"/>
        </w:rPr>
      </w:pPr>
      <w:r>
        <w:rPr>
          <w:rFonts w:ascii="Calibri" w:eastAsia="Calibri" w:hAnsi="Calibri" w:cs="Times New Roman"/>
          <w:kern w:val="2"/>
          <w:highlight w:val="yellow"/>
        </w:rPr>
        <w:t>3.</w:t>
      </w:r>
      <w:bookmarkEnd w:id="4"/>
    </w:p>
    <w:bookmarkEnd w:id="3"/>
    <w:bookmarkEnd w:id="5"/>
    <w:p w14:paraId="78B7F7B8" w14:textId="77777777" w:rsidR="00940CDD" w:rsidRPr="00A605A1" w:rsidRDefault="00940CDD" w:rsidP="00A605A1">
      <w:pPr>
        <w:jc w:val="both"/>
        <w:rPr>
          <w:rFonts w:ascii="Times New Roman" w:hAnsi="Times New Roman" w:cs="Times New Roman"/>
          <w:sz w:val="24"/>
          <w:szCs w:val="24"/>
        </w:rPr>
      </w:pPr>
    </w:p>
    <w:p w14:paraId="77527A5A"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References</w:t>
      </w:r>
    </w:p>
    <w:p w14:paraId="322CB520"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FAO. (2020). </w:t>
      </w:r>
      <w:r w:rsidRPr="006D010B">
        <w:rPr>
          <w:rFonts w:ascii="Times New Roman" w:hAnsi="Times New Roman" w:cs="Times New Roman"/>
          <w:i/>
          <w:iCs/>
          <w:sz w:val="24"/>
          <w:szCs w:val="24"/>
        </w:rPr>
        <w:t>The State of Food and Agriculture 2020: Overcoming water challenges in agriculture</w:t>
      </w:r>
      <w:r w:rsidRPr="006D010B">
        <w:rPr>
          <w:rFonts w:ascii="Times New Roman" w:hAnsi="Times New Roman" w:cs="Times New Roman"/>
          <w:sz w:val="24"/>
          <w:szCs w:val="24"/>
        </w:rPr>
        <w:t>. Food and Agriculture Organization of the United Nations.</w:t>
      </w:r>
    </w:p>
    <w:p w14:paraId="782D62B7"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FAO. (2021). </w:t>
      </w:r>
      <w:r w:rsidRPr="006D010B">
        <w:rPr>
          <w:rFonts w:ascii="Times New Roman" w:hAnsi="Times New Roman" w:cs="Times New Roman"/>
          <w:i/>
          <w:iCs/>
          <w:sz w:val="24"/>
          <w:szCs w:val="24"/>
        </w:rPr>
        <w:t>Climate change and food security: Risks and responses</w:t>
      </w:r>
      <w:r w:rsidRPr="006D010B">
        <w:rPr>
          <w:rFonts w:ascii="Times New Roman" w:hAnsi="Times New Roman" w:cs="Times New Roman"/>
          <w:sz w:val="24"/>
          <w:szCs w:val="24"/>
        </w:rPr>
        <w:t>. Food and Agriculture Organization of the United Nations.</w:t>
      </w:r>
    </w:p>
    <w:p w14:paraId="0030FB5F"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IPCC. (2021). </w:t>
      </w:r>
      <w:r w:rsidRPr="006D010B">
        <w:rPr>
          <w:rFonts w:ascii="Times New Roman" w:hAnsi="Times New Roman" w:cs="Times New Roman"/>
          <w:i/>
          <w:iCs/>
          <w:sz w:val="24"/>
          <w:szCs w:val="24"/>
        </w:rPr>
        <w:t>Climate Change 2021: The Physical Science Basis. Contribution of Working Group I to the Sixth Assessment Report</w:t>
      </w:r>
      <w:r w:rsidRPr="006D010B">
        <w:rPr>
          <w:rFonts w:ascii="Times New Roman" w:hAnsi="Times New Roman" w:cs="Times New Roman"/>
          <w:sz w:val="24"/>
          <w:szCs w:val="24"/>
        </w:rPr>
        <w:t>. Cambridge University Press.</w:t>
      </w:r>
    </w:p>
    <w:p w14:paraId="72282CC6"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Kumar, S., Mishra, A. K., Pramanik, S., </w:t>
      </w:r>
      <w:proofErr w:type="spellStart"/>
      <w:r w:rsidRPr="006D010B">
        <w:rPr>
          <w:rFonts w:ascii="Times New Roman" w:hAnsi="Times New Roman" w:cs="Times New Roman"/>
          <w:sz w:val="24"/>
          <w:szCs w:val="24"/>
        </w:rPr>
        <w:t>Mamidanna</w:t>
      </w:r>
      <w:proofErr w:type="spellEnd"/>
      <w:r w:rsidRPr="006D010B">
        <w:rPr>
          <w:rFonts w:ascii="Times New Roman" w:hAnsi="Times New Roman" w:cs="Times New Roman"/>
          <w:sz w:val="24"/>
          <w:szCs w:val="24"/>
        </w:rPr>
        <w:t xml:space="preserve">, S., &amp; Whitbread, A. (2021). Climate risk, vulnerability and resilience: Supporting livelihood of smallholders in semiarid India. </w:t>
      </w:r>
      <w:r w:rsidRPr="006D010B">
        <w:rPr>
          <w:rFonts w:ascii="Times New Roman" w:hAnsi="Times New Roman" w:cs="Times New Roman"/>
          <w:i/>
          <w:iCs/>
          <w:sz w:val="24"/>
          <w:szCs w:val="24"/>
        </w:rPr>
        <w:t>Land Use Policy</w:t>
      </w:r>
      <w:r w:rsidRPr="006D010B">
        <w:rPr>
          <w:rFonts w:ascii="Times New Roman" w:hAnsi="Times New Roman" w:cs="Times New Roman"/>
          <w:sz w:val="24"/>
          <w:szCs w:val="24"/>
        </w:rPr>
        <w:t>, 97, 104729.</w:t>
      </w:r>
    </w:p>
    <w:p w14:paraId="0A4A89CB"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lastRenderedPageBreak/>
        <w:t xml:space="preserve">Lobell, D. B., Azzari, G., Burke, M., Gourlay, S., Jin, Z., Kilic, T., &amp; Murray, S. (2022). Eyes in the sky, boots on the ground: Assessing satellite- and ground-based approaches to crop yield measurement and analysis. </w:t>
      </w:r>
      <w:r w:rsidRPr="006D010B">
        <w:rPr>
          <w:rFonts w:ascii="Times New Roman" w:hAnsi="Times New Roman" w:cs="Times New Roman"/>
          <w:i/>
          <w:iCs/>
          <w:sz w:val="24"/>
          <w:szCs w:val="24"/>
        </w:rPr>
        <w:t>American Journal of Agricultural Economics</w:t>
      </w:r>
      <w:r w:rsidRPr="006D010B">
        <w:rPr>
          <w:rFonts w:ascii="Times New Roman" w:hAnsi="Times New Roman" w:cs="Times New Roman"/>
          <w:sz w:val="24"/>
          <w:szCs w:val="24"/>
        </w:rPr>
        <w:t>, 102(1), 202-219.</w:t>
      </w:r>
    </w:p>
    <w:p w14:paraId="6894D4C9"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Montgomery, D. R. (2021). Soil erosion and agricultural sustainability. </w:t>
      </w:r>
      <w:r w:rsidRPr="006D010B">
        <w:rPr>
          <w:rFonts w:ascii="Times New Roman" w:hAnsi="Times New Roman" w:cs="Times New Roman"/>
          <w:i/>
          <w:iCs/>
          <w:sz w:val="24"/>
          <w:szCs w:val="24"/>
        </w:rPr>
        <w:t>Proceedings of the National Academy of Sciences</w:t>
      </w:r>
      <w:r w:rsidRPr="006D010B">
        <w:rPr>
          <w:rFonts w:ascii="Times New Roman" w:hAnsi="Times New Roman" w:cs="Times New Roman"/>
          <w:sz w:val="24"/>
          <w:szCs w:val="24"/>
        </w:rPr>
        <w:t>, 104(33), 13268-13272.</w:t>
      </w:r>
    </w:p>
    <w:p w14:paraId="30B40B05"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Mueller, N. D., Gerber, J. S., Johnston, M., Ray, D. K., Ramankutty, N., &amp; Foley, J. A. (2021). Closing yield gaps through nutrient and water management. </w:t>
      </w:r>
      <w:r w:rsidRPr="006D010B">
        <w:rPr>
          <w:rFonts w:ascii="Times New Roman" w:hAnsi="Times New Roman" w:cs="Times New Roman"/>
          <w:i/>
          <w:iCs/>
          <w:sz w:val="24"/>
          <w:szCs w:val="24"/>
        </w:rPr>
        <w:t>Nature</w:t>
      </w:r>
      <w:r w:rsidRPr="006D010B">
        <w:rPr>
          <w:rFonts w:ascii="Times New Roman" w:hAnsi="Times New Roman" w:cs="Times New Roman"/>
          <w:sz w:val="24"/>
          <w:szCs w:val="24"/>
        </w:rPr>
        <w:t>, 490(7419), 254-257.</w:t>
      </w:r>
    </w:p>
    <w:p w14:paraId="06179D28"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proofErr w:type="spellStart"/>
      <w:r w:rsidRPr="00CD100C">
        <w:rPr>
          <w:rFonts w:ascii="Times New Roman" w:hAnsi="Times New Roman" w:cs="Times New Roman"/>
          <w:sz w:val="24"/>
          <w:szCs w:val="24"/>
          <w:lang w:val="es-US"/>
        </w:rPr>
        <w:t>Prasad</w:t>
      </w:r>
      <w:proofErr w:type="spellEnd"/>
      <w:r w:rsidRPr="00CD100C">
        <w:rPr>
          <w:rFonts w:ascii="Times New Roman" w:hAnsi="Times New Roman" w:cs="Times New Roman"/>
          <w:sz w:val="24"/>
          <w:szCs w:val="24"/>
          <w:lang w:val="es-US"/>
        </w:rPr>
        <w:t xml:space="preserve">, P. V., </w:t>
      </w:r>
      <w:proofErr w:type="spellStart"/>
      <w:r w:rsidRPr="00CD100C">
        <w:rPr>
          <w:rFonts w:ascii="Times New Roman" w:hAnsi="Times New Roman" w:cs="Times New Roman"/>
          <w:sz w:val="24"/>
          <w:szCs w:val="24"/>
          <w:lang w:val="es-US"/>
        </w:rPr>
        <w:t>Bheemanahalli</w:t>
      </w:r>
      <w:proofErr w:type="spellEnd"/>
      <w:r w:rsidRPr="00CD100C">
        <w:rPr>
          <w:rFonts w:ascii="Times New Roman" w:hAnsi="Times New Roman" w:cs="Times New Roman"/>
          <w:sz w:val="24"/>
          <w:szCs w:val="24"/>
          <w:lang w:val="es-US"/>
        </w:rPr>
        <w:t xml:space="preserve">, R., &amp; </w:t>
      </w:r>
      <w:proofErr w:type="spellStart"/>
      <w:r w:rsidRPr="00CD100C">
        <w:rPr>
          <w:rFonts w:ascii="Times New Roman" w:hAnsi="Times New Roman" w:cs="Times New Roman"/>
          <w:sz w:val="24"/>
          <w:szCs w:val="24"/>
          <w:lang w:val="es-US"/>
        </w:rPr>
        <w:t>Jagadish</w:t>
      </w:r>
      <w:proofErr w:type="spellEnd"/>
      <w:r w:rsidRPr="00CD100C">
        <w:rPr>
          <w:rFonts w:ascii="Times New Roman" w:hAnsi="Times New Roman" w:cs="Times New Roman"/>
          <w:sz w:val="24"/>
          <w:szCs w:val="24"/>
          <w:lang w:val="es-US"/>
        </w:rPr>
        <w:t xml:space="preserve">, S. K. (2022). </w:t>
      </w:r>
      <w:r w:rsidRPr="006D010B">
        <w:rPr>
          <w:rFonts w:ascii="Times New Roman" w:hAnsi="Times New Roman" w:cs="Times New Roman"/>
          <w:sz w:val="24"/>
          <w:szCs w:val="24"/>
        </w:rPr>
        <w:t xml:space="preserve">Field crops and the fear of heat stress—opportunities, challenges and future directions. </w:t>
      </w:r>
      <w:r w:rsidRPr="006D010B">
        <w:rPr>
          <w:rFonts w:ascii="Times New Roman" w:hAnsi="Times New Roman" w:cs="Times New Roman"/>
          <w:i/>
          <w:iCs/>
          <w:sz w:val="24"/>
          <w:szCs w:val="24"/>
        </w:rPr>
        <w:t>Field Crops Research</w:t>
      </w:r>
      <w:r w:rsidRPr="006D010B">
        <w:rPr>
          <w:rFonts w:ascii="Times New Roman" w:hAnsi="Times New Roman" w:cs="Times New Roman"/>
          <w:sz w:val="24"/>
          <w:szCs w:val="24"/>
        </w:rPr>
        <w:t>, 200, 114-121.</w:t>
      </w:r>
    </w:p>
    <w:p w14:paraId="52F4AEF1"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Wheeler, T., &amp; von Braun, J. (2020). Climate change impacts on global food security. </w:t>
      </w:r>
      <w:r w:rsidRPr="006D010B">
        <w:rPr>
          <w:rFonts w:ascii="Times New Roman" w:hAnsi="Times New Roman" w:cs="Times New Roman"/>
          <w:i/>
          <w:iCs/>
          <w:sz w:val="24"/>
          <w:szCs w:val="24"/>
        </w:rPr>
        <w:t>Science</w:t>
      </w:r>
      <w:r w:rsidRPr="006D010B">
        <w:rPr>
          <w:rFonts w:ascii="Times New Roman" w:hAnsi="Times New Roman" w:cs="Times New Roman"/>
          <w:sz w:val="24"/>
          <w:szCs w:val="24"/>
        </w:rPr>
        <w:t>, 341(6145), 508-513.</w:t>
      </w:r>
    </w:p>
    <w:p w14:paraId="0FE84239" w14:textId="29AB350C" w:rsidR="00A605A1"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Zhao, C., Liu, B., Piao, S., Wang, X., Lobell, D. B., Huang, Y., ... &amp; Asseng, S. (2021). Temperature increase reduces global yields of major crops in four independent estimates. </w:t>
      </w:r>
      <w:r w:rsidRPr="006D010B">
        <w:rPr>
          <w:rFonts w:ascii="Times New Roman" w:hAnsi="Times New Roman" w:cs="Times New Roman"/>
          <w:i/>
          <w:iCs/>
          <w:sz w:val="24"/>
          <w:szCs w:val="24"/>
        </w:rPr>
        <w:t>Proceedings of the National Academy of Sciences</w:t>
      </w:r>
      <w:r w:rsidRPr="006D010B">
        <w:rPr>
          <w:rFonts w:ascii="Times New Roman" w:hAnsi="Times New Roman" w:cs="Times New Roman"/>
          <w:sz w:val="24"/>
          <w:szCs w:val="24"/>
        </w:rPr>
        <w:t>, 114(35), 9326-9331.</w:t>
      </w:r>
    </w:p>
    <w:p w14:paraId="281EDEE7" w14:textId="3A84A265"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Bibi, F., &amp; Rahman, A. (2023). An overview of climate change impacts on agriculture and their mitigation strategies. </w:t>
      </w:r>
      <w:r>
        <w:rPr>
          <w:rFonts w:ascii="Arial" w:hAnsi="Arial" w:cs="Arial"/>
          <w:i/>
          <w:iCs/>
          <w:color w:val="222222"/>
          <w:sz w:val="20"/>
          <w:szCs w:val="20"/>
          <w:shd w:val="clear" w:color="auto" w:fill="FFFFFF"/>
        </w:rPr>
        <w:t>Agriculture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(8), 1508.</w:t>
      </w:r>
    </w:p>
    <w:p w14:paraId="0D56BE08" w14:textId="0548E812"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Praveen, B., &amp; Sharma, P. (2019). A review of literature on climate change and its impacts on agriculture productivity. </w:t>
      </w:r>
      <w:r>
        <w:rPr>
          <w:rFonts w:ascii="Arial" w:hAnsi="Arial" w:cs="Arial"/>
          <w:i/>
          <w:iCs/>
          <w:color w:val="222222"/>
          <w:sz w:val="20"/>
          <w:szCs w:val="20"/>
          <w:shd w:val="clear" w:color="auto" w:fill="FFFFFF"/>
        </w:rPr>
        <w:t>Journal of Public Affairs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19</w:t>
      </w:r>
      <w:r>
        <w:rPr>
          <w:rFonts w:ascii="Arial" w:hAnsi="Arial" w:cs="Arial"/>
          <w:color w:val="222222"/>
          <w:sz w:val="20"/>
          <w:szCs w:val="20"/>
          <w:shd w:val="clear" w:color="auto" w:fill="FFFFFF"/>
        </w:rPr>
        <w:t>(4), e1960.</w:t>
      </w:r>
    </w:p>
    <w:p w14:paraId="58FBA59F" w14:textId="11E60B96"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 xml:space="preserve">Nelson, G. C., </w:t>
      </w:r>
      <w:proofErr w:type="spellStart"/>
      <w:r>
        <w:rPr>
          <w:rFonts w:ascii="Arial" w:hAnsi="Arial" w:cs="Arial"/>
          <w:color w:val="222222"/>
          <w:sz w:val="20"/>
          <w:szCs w:val="20"/>
          <w:shd w:val="clear" w:color="auto" w:fill="FFFFFF"/>
        </w:rPr>
        <w:t>Rosegrant</w:t>
      </w:r>
      <w:proofErr w:type="spellEnd"/>
      <w:r>
        <w:rPr>
          <w:rFonts w:ascii="Arial" w:hAnsi="Arial" w:cs="Arial"/>
          <w:color w:val="222222"/>
          <w:sz w:val="20"/>
          <w:szCs w:val="20"/>
          <w:shd w:val="clear" w:color="auto" w:fill="FFFFFF"/>
        </w:rPr>
        <w:t>, M. W., Koo, J., Robertson, R., Sulser, T., Zhu, T., ... &amp; Lee, D. (2009). </w:t>
      </w:r>
      <w:r>
        <w:rPr>
          <w:rFonts w:ascii="Arial" w:hAnsi="Arial" w:cs="Arial"/>
          <w:i/>
          <w:iCs/>
          <w:color w:val="222222"/>
          <w:sz w:val="20"/>
          <w:szCs w:val="20"/>
          <w:shd w:val="clear" w:color="auto" w:fill="FFFFFF"/>
        </w:rPr>
        <w:t>Climate change: Impact on agriculture and costs of adaptation</w:t>
      </w:r>
      <w:r>
        <w:rPr>
          <w:rFonts w:ascii="Arial" w:hAnsi="Arial" w:cs="Arial"/>
          <w:color w:val="222222"/>
          <w:sz w:val="20"/>
          <w:szCs w:val="20"/>
          <w:shd w:val="clear" w:color="auto" w:fill="FFFFFF"/>
        </w:rPr>
        <w:t> (Vol. 21). Intl Food Policy Res Inst.</w:t>
      </w:r>
    </w:p>
    <w:p w14:paraId="41573762" w14:textId="66BE7C2E"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Xing, Y., &amp; Wang, X. (2024). Impact of agricultural activities on climate change: A review of greenhouse gas emission patterns in field crop systems. </w:t>
      </w:r>
      <w:r>
        <w:rPr>
          <w:rFonts w:ascii="Arial" w:hAnsi="Arial" w:cs="Arial"/>
          <w:i/>
          <w:iCs/>
          <w:color w:val="222222"/>
          <w:sz w:val="20"/>
          <w:szCs w:val="20"/>
          <w:shd w:val="clear" w:color="auto" w:fill="FFFFFF"/>
        </w:rPr>
        <w:t>Plants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(16), 2285.</w:t>
      </w:r>
    </w:p>
    <w:p w14:paraId="34AEE00E" w14:textId="5909BF13" w:rsidR="00144431" w:rsidRPr="00144431" w:rsidRDefault="00144431" w:rsidP="006D010B">
      <w:pPr>
        <w:pStyle w:val="ListParagraph"/>
        <w:numPr>
          <w:ilvl w:val="0"/>
          <w:numId w:val="7"/>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Nsabiyeze</w:t>
      </w:r>
      <w:proofErr w:type="spellEnd"/>
      <w:r>
        <w:rPr>
          <w:rFonts w:ascii="Arial" w:hAnsi="Arial" w:cs="Arial"/>
          <w:color w:val="222222"/>
          <w:sz w:val="20"/>
          <w:szCs w:val="20"/>
          <w:shd w:val="clear" w:color="auto" w:fill="FFFFFF"/>
        </w:rPr>
        <w:t>, A., Ma, R., Li, J., Luo, H., Zhao, Q., Tomka, J., &amp; Zhang, M. (2024). Tackling climate change in agriculture: A global evaluation of the effectiveness of carbon emission reduction policies. </w:t>
      </w:r>
      <w:r>
        <w:rPr>
          <w:rFonts w:ascii="Arial" w:hAnsi="Arial" w:cs="Arial"/>
          <w:i/>
          <w:iCs/>
          <w:color w:val="222222"/>
          <w:sz w:val="20"/>
          <w:szCs w:val="20"/>
          <w:shd w:val="clear" w:color="auto" w:fill="FFFFFF"/>
        </w:rPr>
        <w:t>Journal of Cleaner Production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468</w:t>
      </w:r>
      <w:r>
        <w:rPr>
          <w:rFonts w:ascii="Arial" w:hAnsi="Arial" w:cs="Arial"/>
          <w:color w:val="222222"/>
          <w:sz w:val="20"/>
          <w:szCs w:val="20"/>
          <w:shd w:val="clear" w:color="auto" w:fill="FFFFFF"/>
        </w:rPr>
        <w:t>, 142973.</w:t>
      </w:r>
    </w:p>
    <w:p w14:paraId="65F42FF7" w14:textId="5EF4F9B2"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Yuan, X., Li, S., Chen, J., Yu, H., Yang, T., Wang, C., ... &amp; Ao, X. (2024). Impacts of global climate change on agricultural production: a comprehensive review. </w:t>
      </w:r>
      <w:r>
        <w:rPr>
          <w:rFonts w:ascii="Arial" w:hAnsi="Arial" w:cs="Arial"/>
          <w:i/>
          <w:iCs/>
          <w:color w:val="222222"/>
          <w:sz w:val="20"/>
          <w:szCs w:val="20"/>
          <w:shd w:val="clear" w:color="auto" w:fill="FFFFFF"/>
        </w:rPr>
        <w:t>Agronomy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(7), 1360.</w:t>
      </w:r>
    </w:p>
    <w:p w14:paraId="771BFD00" w14:textId="5F1D3CD1" w:rsidR="00144431" w:rsidRPr="00144431" w:rsidRDefault="00144431" w:rsidP="006D010B">
      <w:pPr>
        <w:pStyle w:val="ListParagraph"/>
        <w:numPr>
          <w:ilvl w:val="0"/>
          <w:numId w:val="7"/>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Sinore</w:t>
      </w:r>
      <w:proofErr w:type="spellEnd"/>
      <w:r>
        <w:rPr>
          <w:rFonts w:ascii="Arial" w:hAnsi="Arial" w:cs="Arial"/>
          <w:color w:val="222222"/>
          <w:sz w:val="20"/>
          <w:szCs w:val="20"/>
          <w:shd w:val="clear" w:color="auto" w:fill="FFFFFF"/>
        </w:rPr>
        <w:t>, T., &amp; Wang, F. (2024). Impact of climate change on agriculture and adaptation strategies in Ethiopia: A meta-analysis. </w:t>
      </w:r>
      <w:proofErr w:type="spellStart"/>
      <w:r>
        <w:rPr>
          <w:rFonts w:ascii="Arial" w:hAnsi="Arial" w:cs="Arial"/>
          <w:i/>
          <w:iCs/>
          <w:color w:val="222222"/>
          <w:sz w:val="20"/>
          <w:szCs w:val="20"/>
          <w:shd w:val="clear" w:color="auto" w:fill="FFFFFF"/>
        </w:rPr>
        <w:t>Heliyon</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(4).</w:t>
      </w:r>
    </w:p>
    <w:p w14:paraId="7FB30E04" w14:textId="5CA550CC"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 xml:space="preserve">Safi, L., Mujeeb, M., Sahak, K., </w:t>
      </w:r>
      <w:proofErr w:type="spellStart"/>
      <w:r>
        <w:rPr>
          <w:rFonts w:ascii="Arial" w:hAnsi="Arial" w:cs="Arial"/>
          <w:color w:val="222222"/>
          <w:sz w:val="20"/>
          <w:szCs w:val="20"/>
          <w:shd w:val="clear" w:color="auto" w:fill="FFFFFF"/>
        </w:rPr>
        <w:t>Mushwani</w:t>
      </w:r>
      <w:proofErr w:type="spellEnd"/>
      <w:r>
        <w:rPr>
          <w:rFonts w:ascii="Arial" w:hAnsi="Arial" w:cs="Arial"/>
          <w:color w:val="222222"/>
          <w:sz w:val="20"/>
          <w:szCs w:val="20"/>
          <w:shd w:val="clear" w:color="auto" w:fill="FFFFFF"/>
        </w:rPr>
        <w:t>, H., &amp; Hashmi, S. K. (2024). Climate change impacts and threats on basic livelihood resources, food security and social stability in Afghanistan. </w:t>
      </w:r>
      <w:proofErr w:type="spellStart"/>
      <w:r>
        <w:rPr>
          <w:rFonts w:ascii="Arial" w:hAnsi="Arial" w:cs="Arial"/>
          <w:i/>
          <w:iCs/>
          <w:color w:val="222222"/>
          <w:sz w:val="20"/>
          <w:szCs w:val="20"/>
          <w:shd w:val="clear" w:color="auto" w:fill="FFFFFF"/>
        </w:rPr>
        <w:t>GeoJournal</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89</w:t>
      </w:r>
      <w:r>
        <w:rPr>
          <w:rFonts w:ascii="Arial" w:hAnsi="Arial" w:cs="Arial"/>
          <w:color w:val="222222"/>
          <w:sz w:val="20"/>
          <w:szCs w:val="20"/>
          <w:shd w:val="clear" w:color="auto" w:fill="FFFFFF"/>
        </w:rPr>
        <w:t>(2), 85.</w:t>
      </w:r>
    </w:p>
    <w:p w14:paraId="4D199580" w14:textId="63DFD94E" w:rsidR="00144431" w:rsidRPr="00144431" w:rsidRDefault="00144431" w:rsidP="006D010B">
      <w:pPr>
        <w:pStyle w:val="ListParagraph"/>
        <w:numPr>
          <w:ilvl w:val="0"/>
          <w:numId w:val="7"/>
        </w:numPr>
        <w:jc w:val="both"/>
        <w:rPr>
          <w:rFonts w:ascii="Times New Roman" w:hAnsi="Times New Roman" w:cs="Times New Roman"/>
          <w:sz w:val="24"/>
          <w:szCs w:val="24"/>
        </w:rPr>
      </w:pPr>
      <w:proofErr w:type="spellStart"/>
      <w:r w:rsidRPr="00CD100C">
        <w:rPr>
          <w:rFonts w:ascii="Arial" w:hAnsi="Arial" w:cs="Arial"/>
          <w:color w:val="222222"/>
          <w:sz w:val="20"/>
          <w:szCs w:val="20"/>
          <w:shd w:val="clear" w:color="auto" w:fill="FFFFFF"/>
          <w:lang w:val="es-US"/>
        </w:rPr>
        <w:t>Baraj</w:t>
      </w:r>
      <w:proofErr w:type="spellEnd"/>
      <w:r w:rsidRPr="00CD100C">
        <w:rPr>
          <w:rFonts w:ascii="Arial" w:hAnsi="Arial" w:cs="Arial"/>
          <w:color w:val="222222"/>
          <w:sz w:val="20"/>
          <w:szCs w:val="20"/>
          <w:shd w:val="clear" w:color="auto" w:fill="FFFFFF"/>
          <w:lang w:val="es-US"/>
        </w:rPr>
        <w:t xml:space="preserve">, B., Mishra, M., </w:t>
      </w:r>
      <w:proofErr w:type="spellStart"/>
      <w:r w:rsidRPr="00CD100C">
        <w:rPr>
          <w:rFonts w:ascii="Arial" w:hAnsi="Arial" w:cs="Arial"/>
          <w:color w:val="222222"/>
          <w:sz w:val="20"/>
          <w:szCs w:val="20"/>
          <w:shd w:val="clear" w:color="auto" w:fill="FFFFFF"/>
          <w:lang w:val="es-US"/>
        </w:rPr>
        <w:t>Sudarsan</w:t>
      </w:r>
      <w:proofErr w:type="spellEnd"/>
      <w:r w:rsidRPr="00CD100C">
        <w:rPr>
          <w:rFonts w:ascii="Arial" w:hAnsi="Arial" w:cs="Arial"/>
          <w:color w:val="222222"/>
          <w:sz w:val="20"/>
          <w:szCs w:val="20"/>
          <w:shd w:val="clear" w:color="auto" w:fill="FFFFFF"/>
          <w:lang w:val="es-US"/>
        </w:rPr>
        <w:t xml:space="preserve">, D., da Silva, R. M., &amp; Santos, C. A. G. (2024). </w:t>
      </w:r>
      <w:r>
        <w:rPr>
          <w:rFonts w:ascii="Arial" w:hAnsi="Arial" w:cs="Arial"/>
          <w:color w:val="222222"/>
          <w:sz w:val="20"/>
          <w:szCs w:val="20"/>
          <w:shd w:val="clear" w:color="auto" w:fill="FFFFFF"/>
        </w:rPr>
        <w:t>Climate change and resilience, adaptation, and sustainability of agriculture in India: A bibliometric review. </w:t>
      </w:r>
      <w:proofErr w:type="spellStart"/>
      <w:r>
        <w:rPr>
          <w:rFonts w:ascii="Arial" w:hAnsi="Arial" w:cs="Arial"/>
          <w:i/>
          <w:iCs/>
          <w:color w:val="222222"/>
          <w:sz w:val="20"/>
          <w:szCs w:val="20"/>
          <w:shd w:val="clear" w:color="auto" w:fill="FFFFFF"/>
        </w:rPr>
        <w:t>Heliyon</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(8).</w:t>
      </w:r>
    </w:p>
    <w:p w14:paraId="1DA08072" w14:textId="2E6D32D9" w:rsidR="00144431" w:rsidRPr="00CD100C" w:rsidRDefault="00144431" w:rsidP="006D010B">
      <w:pPr>
        <w:pStyle w:val="ListParagraph"/>
        <w:numPr>
          <w:ilvl w:val="0"/>
          <w:numId w:val="7"/>
        </w:numPr>
        <w:jc w:val="both"/>
        <w:rPr>
          <w:rFonts w:ascii="Times New Roman" w:hAnsi="Times New Roman" w:cs="Times New Roman"/>
          <w:sz w:val="24"/>
          <w:szCs w:val="24"/>
        </w:rPr>
      </w:pPr>
      <w:proofErr w:type="spellStart"/>
      <w:r w:rsidRPr="00CD100C">
        <w:rPr>
          <w:rFonts w:ascii="Arial" w:hAnsi="Arial" w:cs="Arial"/>
          <w:color w:val="222222"/>
          <w:sz w:val="20"/>
          <w:szCs w:val="20"/>
          <w:shd w:val="clear" w:color="auto" w:fill="FFFFFF"/>
          <w:lang w:val="es-US"/>
        </w:rPr>
        <w:t>Omotoso</w:t>
      </w:r>
      <w:proofErr w:type="spellEnd"/>
      <w:r w:rsidRPr="00CD100C">
        <w:rPr>
          <w:rFonts w:ascii="Arial" w:hAnsi="Arial" w:cs="Arial"/>
          <w:color w:val="222222"/>
          <w:sz w:val="20"/>
          <w:szCs w:val="20"/>
          <w:shd w:val="clear" w:color="auto" w:fill="FFFFFF"/>
          <w:lang w:val="es-US"/>
        </w:rPr>
        <w:t xml:space="preserve">, A. B., &amp; </w:t>
      </w:r>
      <w:proofErr w:type="spellStart"/>
      <w:r w:rsidRPr="00CD100C">
        <w:rPr>
          <w:rFonts w:ascii="Arial" w:hAnsi="Arial" w:cs="Arial"/>
          <w:color w:val="222222"/>
          <w:sz w:val="20"/>
          <w:szCs w:val="20"/>
          <w:shd w:val="clear" w:color="auto" w:fill="FFFFFF"/>
          <w:lang w:val="es-US"/>
        </w:rPr>
        <w:t>Omotayo</w:t>
      </w:r>
      <w:proofErr w:type="spellEnd"/>
      <w:r w:rsidRPr="00CD100C">
        <w:rPr>
          <w:rFonts w:ascii="Arial" w:hAnsi="Arial" w:cs="Arial"/>
          <w:color w:val="222222"/>
          <w:sz w:val="20"/>
          <w:szCs w:val="20"/>
          <w:shd w:val="clear" w:color="auto" w:fill="FFFFFF"/>
          <w:lang w:val="es-US"/>
        </w:rPr>
        <w:t xml:space="preserve">, A. O. (2024). </w:t>
      </w:r>
      <w:r>
        <w:rPr>
          <w:rFonts w:ascii="Arial" w:hAnsi="Arial" w:cs="Arial"/>
          <w:color w:val="222222"/>
          <w:sz w:val="20"/>
          <w:szCs w:val="20"/>
          <w:shd w:val="clear" w:color="auto" w:fill="FFFFFF"/>
        </w:rPr>
        <w:t>The interplay between agriculture, greenhouse gases, and climate change in Sub-Saharan Africa. </w:t>
      </w:r>
      <w:r>
        <w:rPr>
          <w:rFonts w:ascii="Arial" w:hAnsi="Arial" w:cs="Arial"/>
          <w:i/>
          <w:iCs/>
          <w:color w:val="222222"/>
          <w:sz w:val="20"/>
          <w:szCs w:val="20"/>
          <w:shd w:val="clear" w:color="auto" w:fill="FFFFFF"/>
        </w:rPr>
        <w:t>Regional Environmental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w:t>
      </w:r>
      <w:r>
        <w:rPr>
          <w:rFonts w:ascii="Arial" w:hAnsi="Arial" w:cs="Arial"/>
          <w:color w:val="222222"/>
          <w:sz w:val="20"/>
          <w:szCs w:val="20"/>
          <w:shd w:val="clear" w:color="auto" w:fill="FFFFFF"/>
        </w:rPr>
        <w:t>(1), 1.</w:t>
      </w:r>
    </w:p>
    <w:p w14:paraId="58CA1D58" w14:textId="1B94EE26" w:rsidR="00AB2007" w:rsidRPr="00CD100C" w:rsidRDefault="00AB2007" w:rsidP="006D010B">
      <w:pPr>
        <w:pStyle w:val="ListParagraph"/>
        <w:numPr>
          <w:ilvl w:val="0"/>
          <w:numId w:val="7"/>
        </w:numPr>
        <w:jc w:val="both"/>
        <w:rPr>
          <w:rFonts w:ascii="Times New Roman" w:hAnsi="Times New Roman" w:cs="Times New Roman"/>
          <w:sz w:val="24"/>
          <w:szCs w:val="24"/>
          <w:highlight w:val="yellow"/>
        </w:rPr>
      </w:pPr>
      <w:r w:rsidRPr="00CD100C">
        <w:rPr>
          <w:rFonts w:ascii="Times New Roman" w:hAnsi="Times New Roman" w:cs="Times New Roman"/>
          <w:sz w:val="24"/>
          <w:szCs w:val="24"/>
          <w:highlight w:val="yellow"/>
          <w:lang w:val="es-US"/>
        </w:rPr>
        <w:t xml:space="preserve">Rehman, A., </w:t>
      </w:r>
      <w:proofErr w:type="spellStart"/>
      <w:r w:rsidRPr="00CD100C">
        <w:rPr>
          <w:rFonts w:ascii="Times New Roman" w:hAnsi="Times New Roman" w:cs="Times New Roman"/>
          <w:sz w:val="24"/>
          <w:szCs w:val="24"/>
          <w:highlight w:val="yellow"/>
          <w:lang w:val="es-US"/>
        </w:rPr>
        <w:t>Batool</w:t>
      </w:r>
      <w:proofErr w:type="spellEnd"/>
      <w:r w:rsidRPr="00CD100C">
        <w:rPr>
          <w:rFonts w:ascii="Times New Roman" w:hAnsi="Times New Roman" w:cs="Times New Roman"/>
          <w:sz w:val="24"/>
          <w:szCs w:val="24"/>
          <w:highlight w:val="yellow"/>
          <w:lang w:val="es-US"/>
        </w:rPr>
        <w:t xml:space="preserve">, Z., Ma, H., Alvarado, R., &amp; </w:t>
      </w:r>
      <w:proofErr w:type="spellStart"/>
      <w:r w:rsidRPr="00CD100C">
        <w:rPr>
          <w:rFonts w:ascii="Times New Roman" w:hAnsi="Times New Roman" w:cs="Times New Roman"/>
          <w:sz w:val="24"/>
          <w:szCs w:val="24"/>
          <w:highlight w:val="yellow"/>
          <w:lang w:val="es-US"/>
        </w:rPr>
        <w:t>Oláh</w:t>
      </w:r>
      <w:proofErr w:type="spellEnd"/>
      <w:r w:rsidRPr="00CD100C">
        <w:rPr>
          <w:rFonts w:ascii="Times New Roman" w:hAnsi="Times New Roman" w:cs="Times New Roman"/>
          <w:sz w:val="24"/>
          <w:szCs w:val="24"/>
          <w:highlight w:val="yellow"/>
          <w:lang w:val="es-US"/>
        </w:rPr>
        <w:t xml:space="preserve">, J. (2024). </w:t>
      </w:r>
      <w:r w:rsidRPr="00CD100C">
        <w:rPr>
          <w:rFonts w:ascii="Times New Roman" w:hAnsi="Times New Roman" w:cs="Times New Roman"/>
          <w:sz w:val="24"/>
          <w:szCs w:val="24"/>
          <w:highlight w:val="yellow"/>
        </w:rPr>
        <w:t>Climate change and food security in South Asia: the importance of renewable energy and agricultural credit. </w:t>
      </w:r>
      <w:r w:rsidRPr="00CD100C">
        <w:rPr>
          <w:rFonts w:ascii="Times New Roman" w:hAnsi="Times New Roman" w:cs="Times New Roman"/>
          <w:i/>
          <w:iCs/>
          <w:sz w:val="24"/>
          <w:szCs w:val="24"/>
          <w:highlight w:val="yellow"/>
        </w:rPr>
        <w:t>Humanities and Social Sciences Communications</w:t>
      </w:r>
      <w:r w:rsidRPr="00CD100C">
        <w:rPr>
          <w:rFonts w:ascii="Times New Roman" w:hAnsi="Times New Roman" w:cs="Times New Roman"/>
          <w:sz w:val="24"/>
          <w:szCs w:val="24"/>
          <w:highlight w:val="yellow"/>
        </w:rPr>
        <w:t>, </w:t>
      </w:r>
      <w:r w:rsidRPr="00CD100C">
        <w:rPr>
          <w:rFonts w:ascii="Times New Roman" w:hAnsi="Times New Roman" w:cs="Times New Roman"/>
          <w:i/>
          <w:iCs/>
          <w:sz w:val="24"/>
          <w:szCs w:val="24"/>
          <w:highlight w:val="yellow"/>
        </w:rPr>
        <w:t>11</w:t>
      </w:r>
      <w:r w:rsidRPr="00CD100C">
        <w:rPr>
          <w:rFonts w:ascii="Times New Roman" w:hAnsi="Times New Roman" w:cs="Times New Roman"/>
          <w:sz w:val="24"/>
          <w:szCs w:val="24"/>
          <w:highlight w:val="yellow"/>
        </w:rPr>
        <w:t>(1).</w:t>
      </w:r>
    </w:p>
    <w:p w14:paraId="5A7BF1E4" w14:textId="7B178CED" w:rsidR="00AB2007" w:rsidRDefault="00D5193C" w:rsidP="006D010B">
      <w:pPr>
        <w:pStyle w:val="ListParagraph"/>
        <w:numPr>
          <w:ilvl w:val="0"/>
          <w:numId w:val="7"/>
        </w:numPr>
        <w:jc w:val="both"/>
        <w:rPr>
          <w:rFonts w:ascii="Times New Roman" w:hAnsi="Times New Roman" w:cs="Times New Roman"/>
          <w:sz w:val="24"/>
          <w:szCs w:val="24"/>
          <w:highlight w:val="yellow"/>
        </w:rPr>
      </w:pPr>
      <w:proofErr w:type="spellStart"/>
      <w:r w:rsidRPr="00CD100C">
        <w:rPr>
          <w:rFonts w:ascii="Times New Roman" w:hAnsi="Times New Roman" w:cs="Times New Roman"/>
          <w:sz w:val="24"/>
          <w:szCs w:val="24"/>
          <w:highlight w:val="yellow"/>
          <w:lang w:val="es-US"/>
        </w:rPr>
        <w:t>Ofori</w:t>
      </w:r>
      <w:proofErr w:type="spellEnd"/>
      <w:r w:rsidRPr="00CD100C">
        <w:rPr>
          <w:rFonts w:ascii="Times New Roman" w:hAnsi="Times New Roman" w:cs="Times New Roman"/>
          <w:sz w:val="24"/>
          <w:szCs w:val="24"/>
          <w:highlight w:val="yellow"/>
          <w:lang w:val="es-US"/>
        </w:rPr>
        <w:t xml:space="preserve">, S. A., </w:t>
      </w:r>
      <w:proofErr w:type="spellStart"/>
      <w:r w:rsidRPr="00CD100C">
        <w:rPr>
          <w:rFonts w:ascii="Times New Roman" w:hAnsi="Times New Roman" w:cs="Times New Roman"/>
          <w:sz w:val="24"/>
          <w:szCs w:val="24"/>
          <w:highlight w:val="yellow"/>
          <w:lang w:val="es-US"/>
        </w:rPr>
        <w:t>Cobbina</w:t>
      </w:r>
      <w:proofErr w:type="spellEnd"/>
      <w:r w:rsidRPr="00CD100C">
        <w:rPr>
          <w:rFonts w:ascii="Times New Roman" w:hAnsi="Times New Roman" w:cs="Times New Roman"/>
          <w:sz w:val="24"/>
          <w:szCs w:val="24"/>
          <w:highlight w:val="yellow"/>
          <w:lang w:val="es-US"/>
        </w:rPr>
        <w:t xml:space="preserve">, S. J., &amp; </w:t>
      </w:r>
      <w:proofErr w:type="spellStart"/>
      <w:r w:rsidRPr="00CD100C">
        <w:rPr>
          <w:rFonts w:ascii="Times New Roman" w:hAnsi="Times New Roman" w:cs="Times New Roman"/>
          <w:sz w:val="24"/>
          <w:szCs w:val="24"/>
          <w:highlight w:val="yellow"/>
          <w:lang w:val="es-US"/>
        </w:rPr>
        <w:t>Obiri</w:t>
      </w:r>
      <w:proofErr w:type="spellEnd"/>
      <w:r w:rsidRPr="00CD100C">
        <w:rPr>
          <w:rFonts w:ascii="Times New Roman" w:hAnsi="Times New Roman" w:cs="Times New Roman"/>
          <w:sz w:val="24"/>
          <w:szCs w:val="24"/>
          <w:highlight w:val="yellow"/>
          <w:lang w:val="es-US"/>
        </w:rPr>
        <w:t xml:space="preserve">, S. (2021). </w:t>
      </w:r>
      <w:r w:rsidRPr="00D5193C">
        <w:rPr>
          <w:rFonts w:ascii="Times New Roman" w:hAnsi="Times New Roman" w:cs="Times New Roman"/>
          <w:sz w:val="24"/>
          <w:szCs w:val="24"/>
          <w:highlight w:val="yellow"/>
        </w:rPr>
        <w:t>Climate change, land, water, and food security: Perspectives from Sub-Saharan Africa. </w:t>
      </w:r>
      <w:r w:rsidRPr="00D5193C">
        <w:rPr>
          <w:rFonts w:ascii="Times New Roman" w:hAnsi="Times New Roman" w:cs="Times New Roman"/>
          <w:i/>
          <w:iCs/>
          <w:sz w:val="24"/>
          <w:szCs w:val="24"/>
          <w:highlight w:val="yellow"/>
        </w:rPr>
        <w:t>Frontiers in Sustainable Food Systems</w:t>
      </w:r>
      <w:r w:rsidRPr="00D5193C">
        <w:rPr>
          <w:rFonts w:ascii="Times New Roman" w:hAnsi="Times New Roman" w:cs="Times New Roman"/>
          <w:sz w:val="24"/>
          <w:szCs w:val="24"/>
          <w:highlight w:val="yellow"/>
        </w:rPr>
        <w:t>, </w:t>
      </w:r>
      <w:r w:rsidRPr="00D5193C">
        <w:rPr>
          <w:rFonts w:ascii="Times New Roman" w:hAnsi="Times New Roman" w:cs="Times New Roman"/>
          <w:i/>
          <w:iCs/>
          <w:sz w:val="24"/>
          <w:szCs w:val="24"/>
          <w:highlight w:val="yellow"/>
        </w:rPr>
        <w:t>5</w:t>
      </w:r>
      <w:r w:rsidRPr="00D5193C">
        <w:rPr>
          <w:rFonts w:ascii="Times New Roman" w:hAnsi="Times New Roman" w:cs="Times New Roman"/>
          <w:sz w:val="24"/>
          <w:szCs w:val="24"/>
          <w:highlight w:val="yellow"/>
        </w:rPr>
        <w:t>, 680924.</w:t>
      </w:r>
    </w:p>
    <w:p w14:paraId="5AF2A0BC" w14:textId="43054E08" w:rsidR="00DB0935" w:rsidRDefault="00DB0935" w:rsidP="006D010B">
      <w:pPr>
        <w:pStyle w:val="ListParagraph"/>
        <w:numPr>
          <w:ilvl w:val="0"/>
          <w:numId w:val="7"/>
        </w:numPr>
        <w:jc w:val="both"/>
        <w:rPr>
          <w:rFonts w:ascii="Times New Roman" w:hAnsi="Times New Roman" w:cs="Times New Roman"/>
          <w:sz w:val="24"/>
          <w:szCs w:val="24"/>
          <w:highlight w:val="yellow"/>
        </w:rPr>
      </w:pPr>
      <w:r w:rsidRPr="00DB0935">
        <w:rPr>
          <w:rFonts w:ascii="Times New Roman" w:hAnsi="Times New Roman" w:cs="Times New Roman"/>
          <w:sz w:val="24"/>
          <w:szCs w:val="24"/>
          <w:highlight w:val="yellow"/>
        </w:rPr>
        <w:t xml:space="preserve">Bhatia, A., Archana, Rajan, R., Sharma, R., &amp; </w:t>
      </w:r>
      <w:proofErr w:type="spellStart"/>
      <w:r w:rsidRPr="00DB0935">
        <w:rPr>
          <w:rFonts w:ascii="Times New Roman" w:hAnsi="Times New Roman" w:cs="Times New Roman"/>
          <w:sz w:val="24"/>
          <w:szCs w:val="24"/>
          <w:highlight w:val="yellow"/>
        </w:rPr>
        <w:t>Narval</w:t>
      </w:r>
      <w:proofErr w:type="spellEnd"/>
      <w:r w:rsidRPr="00DB0935">
        <w:rPr>
          <w:rFonts w:ascii="Times New Roman" w:hAnsi="Times New Roman" w:cs="Times New Roman"/>
          <w:sz w:val="24"/>
          <w:szCs w:val="24"/>
          <w:highlight w:val="yellow"/>
        </w:rPr>
        <w:t xml:space="preserve">, L. (2025). Effect of climate change on vegetable production and mitigation strategies in India. </w:t>
      </w:r>
      <w:r w:rsidRPr="00DB0935">
        <w:rPr>
          <w:rFonts w:ascii="Times New Roman" w:hAnsi="Times New Roman" w:cs="Times New Roman"/>
          <w:i/>
          <w:iCs/>
          <w:sz w:val="24"/>
          <w:szCs w:val="24"/>
          <w:highlight w:val="yellow"/>
        </w:rPr>
        <w:t>International Journal of Environment and Climate Change, 15</w:t>
      </w:r>
      <w:r w:rsidRPr="00DB0935">
        <w:rPr>
          <w:rFonts w:ascii="Times New Roman" w:hAnsi="Times New Roman" w:cs="Times New Roman"/>
          <w:sz w:val="24"/>
          <w:szCs w:val="24"/>
          <w:highlight w:val="yellow"/>
        </w:rPr>
        <w:t>(5), 195–209.</w:t>
      </w:r>
    </w:p>
    <w:p w14:paraId="525E92F7" w14:textId="2DC9F5AE" w:rsidR="00DB0935" w:rsidRDefault="00222298" w:rsidP="006D010B">
      <w:pPr>
        <w:pStyle w:val="ListParagraph"/>
        <w:numPr>
          <w:ilvl w:val="0"/>
          <w:numId w:val="7"/>
        </w:numPr>
        <w:jc w:val="both"/>
        <w:rPr>
          <w:rFonts w:ascii="Times New Roman" w:hAnsi="Times New Roman" w:cs="Times New Roman"/>
          <w:sz w:val="24"/>
          <w:szCs w:val="24"/>
          <w:highlight w:val="yellow"/>
        </w:rPr>
      </w:pPr>
      <w:r w:rsidRPr="00222298">
        <w:rPr>
          <w:rFonts w:ascii="Times New Roman" w:hAnsi="Times New Roman" w:cs="Times New Roman"/>
          <w:sz w:val="24"/>
          <w:szCs w:val="24"/>
          <w:highlight w:val="yellow"/>
        </w:rPr>
        <w:t>Datta, P., &amp; Behera, B. (2022). Climate change and Indian agriculture: A systematic review of farmers’ perception, adaptation, and transformation. </w:t>
      </w:r>
      <w:r w:rsidRPr="00222298">
        <w:rPr>
          <w:rFonts w:ascii="Times New Roman" w:hAnsi="Times New Roman" w:cs="Times New Roman"/>
          <w:i/>
          <w:iCs/>
          <w:sz w:val="24"/>
          <w:szCs w:val="24"/>
          <w:highlight w:val="yellow"/>
        </w:rPr>
        <w:t>Environmental Challenges</w:t>
      </w:r>
      <w:r w:rsidRPr="00222298">
        <w:rPr>
          <w:rFonts w:ascii="Times New Roman" w:hAnsi="Times New Roman" w:cs="Times New Roman"/>
          <w:sz w:val="24"/>
          <w:szCs w:val="24"/>
          <w:highlight w:val="yellow"/>
        </w:rPr>
        <w:t>, </w:t>
      </w:r>
      <w:r w:rsidRPr="00222298">
        <w:rPr>
          <w:rFonts w:ascii="Times New Roman" w:hAnsi="Times New Roman" w:cs="Times New Roman"/>
          <w:i/>
          <w:iCs/>
          <w:sz w:val="24"/>
          <w:szCs w:val="24"/>
          <w:highlight w:val="yellow"/>
        </w:rPr>
        <w:t>8</w:t>
      </w:r>
      <w:r w:rsidRPr="00222298">
        <w:rPr>
          <w:rFonts w:ascii="Times New Roman" w:hAnsi="Times New Roman" w:cs="Times New Roman"/>
          <w:sz w:val="24"/>
          <w:szCs w:val="24"/>
          <w:highlight w:val="yellow"/>
        </w:rPr>
        <w:t>, 100543.</w:t>
      </w:r>
    </w:p>
    <w:p w14:paraId="6EC1B2C5" w14:textId="1B712C1F" w:rsidR="0004471B" w:rsidRDefault="0004471B" w:rsidP="006D010B">
      <w:pPr>
        <w:pStyle w:val="ListParagraph"/>
        <w:numPr>
          <w:ilvl w:val="0"/>
          <w:numId w:val="7"/>
        </w:numPr>
        <w:jc w:val="both"/>
        <w:rPr>
          <w:rFonts w:ascii="Times New Roman" w:hAnsi="Times New Roman" w:cs="Times New Roman"/>
          <w:sz w:val="24"/>
          <w:szCs w:val="24"/>
          <w:highlight w:val="yellow"/>
        </w:rPr>
      </w:pPr>
      <w:r w:rsidRPr="0004471B">
        <w:rPr>
          <w:rFonts w:ascii="Times New Roman" w:hAnsi="Times New Roman" w:cs="Times New Roman"/>
          <w:sz w:val="24"/>
          <w:szCs w:val="24"/>
          <w:highlight w:val="yellow"/>
        </w:rPr>
        <w:lastRenderedPageBreak/>
        <w:t xml:space="preserve">Das, M. K. (2021). Determinants of adaptation strategies of agricultural farmers to climate change vulnerability in Odisha. </w:t>
      </w:r>
      <w:r w:rsidRPr="0004471B">
        <w:rPr>
          <w:rFonts w:ascii="Times New Roman" w:hAnsi="Times New Roman" w:cs="Times New Roman"/>
          <w:i/>
          <w:iCs/>
          <w:sz w:val="24"/>
          <w:szCs w:val="24"/>
          <w:highlight w:val="yellow"/>
        </w:rPr>
        <w:t>Asian Journal of Agricultural Extension, Economics &amp; Sociology, 39</w:t>
      </w:r>
      <w:r w:rsidRPr="0004471B">
        <w:rPr>
          <w:rFonts w:ascii="Times New Roman" w:hAnsi="Times New Roman" w:cs="Times New Roman"/>
          <w:sz w:val="24"/>
          <w:szCs w:val="24"/>
          <w:highlight w:val="yellow"/>
        </w:rPr>
        <w:t>(9), 167–179.</w:t>
      </w:r>
    </w:p>
    <w:p w14:paraId="59DAAFEE" w14:textId="091F08CD" w:rsidR="0004471B" w:rsidRPr="00CD100C" w:rsidRDefault="00DC58A8" w:rsidP="006D010B">
      <w:pPr>
        <w:pStyle w:val="ListParagraph"/>
        <w:numPr>
          <w:ilvl w:val="0"/>
          <w:numId w:val="7"/>
        </w:numPr>
        <w:jc w:val="both"/>
        <w:rPr>
          <w:rFonts w:ascii="Times New Roman" w:hAnsi="Times New Roman" w:cs="Times New Roman"/>
          <w:sz w:val="24"/>
          <w:szCs w:val="24"/>
          <w:highlight w:val="yellow"/>
        </w:rPr>
      </w:pPr>
      <w:proofErr w:type="spellStart"/>
      <w:r w:rsidRPr="00DC58A8">
        <w:rPr>
          <w:rFonts w:ascii="Times New Roman" w:hAnsi="Times New Roman" w:cs="Times New Roman"/>
          <w:sz w:val="24"/>
          <w:szCs w:val="24"/>
          <w:highlight w:val="yellow"/>
        </w:rPr>
        <w:t>Bedeke</w:t>
      </w:r>
      <w:proofErr w:type="spellEnd"/>
      <w:r w:rsidRPr="00DC58A8">
        <w:rPr>
          <w:rFonts w:ascii="Times New Roman" w:hAnsi="Times New Roman" w:cs="Times New Roman"/>
          <w:sz w:val="24"/>
          <w:szCs w:val="24"/>
          <w:highlight w:val="yellow"/>
        </w:rPr>
        <w:t>, S. B. (2023). Climate change vulnerability and adaptation of crop producers in sub-Saharan Africa: a review on concepts, approaches and methods. </w:t>
      </w:r>
      <w:r w:rsidRPr="00DC58A8">
        <w:rPr>
          <w:rFonts w:ascii="Times New Roman" w:hAnsi="Times New Roman" w:cs="Times New Roman"/>
          <w:i/>
          <w:iCs/>
          <w:sz w:val="24"/>
          <w:szCs w:val="24"/>
          <w:highlight w:val="yellow"/>
        </w:rPr>
        <w:t>Environment, development and sustainability</w:t>
      </w:r>
      <w:r w:rsidRPr="00DC58A8">
        <w:rPr>
          <w:rFonts w:ascii="Times New Roman" w:hAnsi="Times New Roman" w:cs="Times New Roman"/>
          <w:sz w:val="24"/>
          <w:szCs w:val="24"/>
          <w:highlight w:val="yellow"/>
        </w:rPr>
        <w:t>, </w:t>
      </w:r>
      <w:r w:rsidRPr="00DC58A8">
        <w:rPr>
          <w:rFonts w:ascii="Times New Roman" w:hAnsi="Times New Roman" w:cs="Times New Roman"/>
          <w:i/>
          <w:iCs/>
          <w:sz w:val="24"/>
          <w:szCs w:val="24"/>
          <w:highlight w:val="yellow"/>
        </w:rPr>
        <w:t>25</w:t>
      </w:r>
      <w:r w:rsidRPr="00DC58A8">
        <w:rPr>
          <w:rFonts w:ascii="Times New Roman" w:hAnsi="Times New Roman" w:cs="Times New Roman"/>
          <w:sz w:val="24"/>
          <w:szCs w:val="24"/>
          <w:highlight w:val="yellow"/>
        </w:rPr>
        <w:t>(2), 1017-1051.</w:t>
      </w:r>
    </w:p>
    <w:p w14:paraId="5C41430C" w14:textId="77777777" w:rsidR="008F603E" w:rsidRPr="008F603E" w:rsidRDefault="008F603E" w:rsidP="001B6D05">
      <w:pPr>
        <w:jc w:val="both"/>
        <w:rPr>
          <w:rFonts w:ascii="Times New Roman" w:hAnsi="Times New Roman" w:cs="Times New Roman"/>
          <w:sz w:val="24"/>
          <w:szCs w:val="24"/>
        </w:rPr>
      </w:pPr>
    </w:p>
    <w:p w14:paraId="4EB601FE" w14:textId="77777777" w:rsidR="0022155B" w:rsidRPr="0022155B" w:rsidRDefault="0022155B" w:rsidP="008F603E">
      <w:pPr>
        <w:jc w:val="both"/>
        <w:rPr>
          <w:rFonts w:ascii="Times New Roman" w:hAnsi="Times New Roman" w:cs="Times New Roman"/>
          <w:sz w:val="24"/>
          <w:szCs w:val="24"/>
        </w:rPr>
      </w:pPr>
    </w:p>
    <w:sectPr w:rsidR="0022155B" w:rsidRPr="0022155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F3AA7" w14:textId="77777777" w:rsidR="00855D22" w:rsidRDefault="00855D22" w:rsidP="006F2DF2">
      <w:pPr>
        <w:spacing w:after="0" w:line="240" w:lineRule="auto"/>
      </w:pPr>
      <w:r>
        <w:separator/>
      </w:r>
    </w:p>
  </w:endnote>
  <w:endnote w:type="continuationSeparator" w:id="0">
    <w:p w14:paraId="5FE82956" w14:textId="77777777" w:rsidR="00855D22" w:rsidRDefault="00855D22" w:rsidP="006F2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0EDE" w14:textId="77777777" w:rsidR="006F2DF2" w:rsidRDefault="006F2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95A35" w14:textId="77777777" w:rsidR="006F2DF2" w:rsidRDefault="006F2D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84818" w14:textId="77777777" w:rsidR="006F2DF2" w:rsidRDefault="006F2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389B2" w14:textId="77777777" w:rsidR="00855D22" w:rsidRDefault="00855D22" w:rsidP="006F2DF2">
      <w:pPr>
        <w:spacing w:after="0" w:line="240" w:lineRule="auto"/>
      </w:pPr>
      <w:r>
        <w:separator/>
      </w:r>
    </w:p>
  </w:footnote>
  <w:footnote w:type="continuationSeparator" w:id="0">
    <w:p w14:paraId="2122BB86" w14:textId="77777777" w:rsidR="00855D22" w:rsidRDefault="00855D22" w:rsidP="006F2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106A5" w14:textId="025B947D" w:rsidR="006F2DF2" w:rsidRDefault="00855D22">
    <w:pPr>
      <w:pStyle w:val="Header"/>
    </w:pPr>
    <w:r>
      <w:rPr>
        <w:noProof/>
      </w:rPr>
      <w:pict w14:anchorId="53EB3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428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586C5" w14:textId="6D21345F" w:rsidR="006F2DF2" w:rsidRDefault="00855D22">
    <w:pPr>
      <w:pStyle w:val="Header"/>
    </w:pPr>
    <w:r>
      <w:rPr>
        <w:noProof/>
      </w:rPr>
      <w:pict w14:anchorId="11A7C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428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4498F" w14:textId="1A087699" w:rsidR="006F2DF2" w:rsidRDefault="00855D22">
    <w:pPr>
      <w:pStyle w:val="Header"/>
    </w:pPr>
    <w:r>
      <w:rPr>
        <w:noProof/>
      </w:rPr>
      <w:pict w14:anchorId="643681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428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6353C43"/>
    <w:multiLevelType w:val="hybridMultilevel"/>
    <w:tmpl w:val="1E260B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Y0NTYwBJJGRqbGJko6SsGpxcWZ+XkgBUa1AEQHdTAsAAAA"/>
  </w:docVars>
  <w:rsids>
    <w:rsidRoot w:val="005E72E8"/>
    <w:rsid w:val="0004471B"/>
    <w:rsid w:val="000A3FDC"/>
    <w:rsid w:val="00144431"/>
    <w:rsid w:val="00172C50"/>
    <w:rsid w:val="001B6D05"/>
    <w:rsid w:val="001D0A8C"/>
    <w:rsid w:val="001F173C"/>
    <w:rsid w:val="0022155B"/>
    <w:rsid w:val="00222298"/>
    <w:rsid w:val="00241107"/>
    <w:rsid w:val="00247B9F"/>
    <w:rsid w:val="002D7E8F"/>
    <w:rsid w:val="0032155B"/>
    <w:rsid w:val="00391A6A"/>
    <w:rsid w:val="0039560F"/>
    <w:rsid w:val="00581367"/>
    <w:rsid w:val="005A5785"/>
    <w:rsid w:val="005D0259"/>
    <w:rsid w:val="005E72E8"/>
    <w:rsid w:val="006B42FD"/>
    <w:rsid w:val="006D010B"/>
    <w:rsid w:val="006D27A1"/>
    <w:rsid w:val="006E3642"/>
    <w:rsid w:val="006F2DF2"/>
    <w:rsid w:val="00722A73"/>
    <w:rsid w:val="007316BA"/>
    <w:rsid w:val="00755A9F"/>
    <w:rsid w:val="0079339C"/>
    <w:rsid w:val="007A371F"/>
    <w:rsid w:val="007C4FBD"/>
    <w:rsid w:val="007E0843"/>
    <w:rsid w:val="00850C44"/>
    <w:rsid w:val="00855D22"/>
    <w:rsid w:val="00860B14"/>
    <w:rsid w:val="008A4E0A"/>
    <w:rsid w:val="008F603E"/>
    <w:rsid w:val="00940CDD"/>
    <w:rsid w:val="0096095D"/>
    <w:rsid w:val="00992B84"/>
    <w:rsid w:val="009C0C38"/>
    <w:rsid w:val="009D718B"/>
    <w:rsid w:val="00A25762"/>
    <w:rsid w:val="00A4239E"/>
    <w:rsid w:val="00A605A1"/>
    <w:rsid w:val="00A660F0"/>
    <w:rsid w:val="00A96A8B"/>
    <w:rsid w:val="00AB2007"/>
    <w:rsid w:val="00AD40D8"/>
    <w:rsid w:val="00B074AF"/>
    <w:rsid w:val="00B54C17"/>
    <w:rsid w:val="00BB5982"/>
    <w:rsid w:val="00BF421B"/>
    <w:rsid w:val="00C212C0"/>
    <w:rsid w:val="00C65C2E"/>
    <w:rsid w:val="00C8346C"/>
    <w:rsid w:val="00C93131"/>
    <w:rsid w:val="00CB12A2"/>
    <w:rsid w:val="00CD100C"/>
    <w:rsid w:val="00CD7438"/>
    <w:rsid w:val="00D13EB7"/>
    <w:rsid w:val="00D21F49"/>
    <w:rsid w:val="00D46E4D"/>
    <w:rsid w:val="00D5193C"/>
    <w:rsid w:val="00D64DC9"/>
    <w:rsid w:val="00D65EFE"/>
    <w:rsid w:val="00DB0935"/>
    <w:rsid w:val="00DC58A8"/>
    <w:rsid w:val="00DF71DA"/>
    <w:rsid w:val="00E77526"/>
    <w:rsid w:val="00E9679B"/>
    <w:rsid w:val="00EA342C"/>
    <w:rsid w:val="00EE4F6C"/>
    <w:rsid w:val="00F00DA5"/>
    <w:rsid w:val="00F02193"/>
    <w:rsid w:val="00F32B76"/>
    <w:rsid w:val="00F6734E"/>
    <w:rsid w:val="00F80BAC"/>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3EC09D"/>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605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605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605A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605A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6D010B"/>
    <w:pPr>
      <w:ind w:left="720"/>
      <w:contextualSpacing/>
    </w:pPr>
  </w:style>
  <w:style w:type="character" w:styleId="UnresolvedMention">
    <w:name w:val="Unresolved Mention"/>
    <w:basedOn w:val="DefaultParagraphFont"/>
    <w:uiPriority w:val="99"/>
    <w:semiHidden/>
    <w:unhideWhenUsed/>
    <w:rsid w:val="00AD40D8"/>
    <w:rPr>
      <w:color w:val="605E5C"/>
      <w:shd w:val="clear" w:color="auto" w:fill="E1DFDD"/>
    </w:rPr>
  </w:style>
  <w:style w:type="paragraph" w:styleId="Header">
    <w:name w:val="header"/>
    <w:basedOn w:val="Normal"/>
    <w:link w:val="HeaderChar"/>
    <w:uiPriority w:val="99"/>
    <w:unhideWhenUsed/>
    <w:rsid w:val="006F2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DF2"/>
  </w:style>
  <w:style w:type="paragraph" w:styleId="Footer">
    <w:name w:val="footer"/>
    <w:basedOn w:val="Normal"/>
    <w:link w:val="FooterChar"/>
    <w:uiPriority w:val="99"/>
    <w:unhideWhenUsed/>
    <w:rsid w:val="006F2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DF2"/>
  </w:style>
  <w:style w:type="paragraph" w:styleId="Revision">
    <w:name w:val="Revision"/>
    <w:hidden/>
    <w:uiPriority w:val="99"/>
    <w:semiHidden/>
    <w:rsid w:val="003956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043138641">
      <w:bodyDiv w:val="1"/>
      <w:marLeft w:val="0"/>
      <w:marRight w:val="0"/>
      <w:marTop w:val="0"/>
      <w:marBottom w:val="0"/>
      <w:divBdr>
        <w:top w:val="none" w:sz="0" w:space="0" w:color="auto"/>
        <w:left w:val="none" w:sz="0" w:space="0" w:color="auto"/>
        <w:bottom w:val="none" w:sz="0" w:space="0" w:color="auto"/>
        <w:right w:val="none" w:sz="0" w:space="0" w:color="auto"/>
      </w:divBdr>
      <w:divsChild>
        <w:div w:id="236281357">
          <w:marLeft w:val="0"/>
          <w:marRight w:val="0"/>
          <w:marTop w:val="0"/>
          <w:marBottom w:val="0"/>
          <w:divBdr>
            <w:top w:val="none" w:sz="0" w:space="0" w:color="auto"/>
            <w:left w:val="none" w:sz="0" w:space="0" w:color="auto"/>
            <w:bottom w:val="none" w:sz="0" w:space="0" w:color="auto"/>
            <w:right w:val="none" w:sz="0" w:space="0" w:color="auto"/>
          </w:divBdr>
          <w:divsChild>
            <w:div w:id="5539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390498355">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23</Pages>
  <Words>7729</Words>
  <Characters>44057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1183</cp:lastModifiedBy>
  <cp:revision>63</cp:revision>
  <dcterms:created xsi:type="dcterms:W3CDTF">2025-03-30T16:47:00Z</dcterms:created>
  <dcterms:modified xsi:type="dcterms:W3CDTF">2025-10-21T11:25:00Z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0dfa9933-5243-4822-9ccf-c5e86631d4f6</vt:lpwstr>
  </property>
</Properties>
</file>