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4A13" w14:textId="494ADDAE" w:rsidR="00BB4633" w:rsidRDefault="00BB4633" w:rsidP="00FE48A0">
      <w:pPr>
        <w:jc w:val="center"/>
        <w:rPr>
          <w:rFonts w:ascii="Times New Roman" w:hAnsi="Times New Roman" w:cs="Times New Roman"/>
          <w:b/>
          <w:bCs/>
        </w:rPr>
      </w:pPr>
      <w:r w:rsidRPr="00FE48A0">
        <w:rPr>
          <w:rFonts w:ascii="Times New Roman" w:hAnsi="Times New Roman" w:cs="Times New Roman"/>
          <w:b/>
          <w:bCs/>
        </w:rPr>
        <w:t>Molecular Insights into the Genetic Regulation of Calving Interval in Tropical Cattle Breeds</w:t>
      </w:r>
    </w:p>
    <w:p w14:paraId="1A154014" w14:textId="4F499C26" w:rsidR="00492479" w:rsidRPr="00FE48A0" w:rsidRDefault="00492479" w:rsidP="00B831D7">
      <w:pPr>
        <w:jc w:val="both"/>
        <w:rPr>
          <w:rFonts w:ascii="Times New Roman" w:hAnsi="Times New Roman" w:cs="Times New Roman"/>
          <w:b/>
          <w:bCs/>
        </w:rPr>
      </w:pPr>
      <w:r w:rsidRPr="00FE48A0">
        <w:rPr>
          <w:rFonts w:ascii="Times New Roman" w:hAnsi="Times New Roman" w:cs="Times New Roman"/>
          <w:b/>
          <w:bCs/>
        </w:rPr>
        <w:t xml:space="preserve">Abstract </w:t>
      </w:r>
    </w:p>
    <w:p w14:paraId="4B285E02" w14:textId="30A57998" w:rsidR="00BB4633" w:rsidRPr="00BA7CCB" w:rsidRDefault="00BB4633" w:rsidP="00BA7CCB">
      <w:pPr>
        <w:spacing w:line="240" w:lineRule="auto"/>
        <w:jc w:val="both"/>
        <w:rPr>
          <w:rFonts w:ascii="Times New Roman" w:hAnsi="Times New Roman" w:cs="Times New Roman"/>
        </w:rPr>
      </w:pPr>
      <w:r w:rsidRPr="00BA7CCB">
        <w:rPr>
          <w:rFonts w:ascii="Times New Roman" w:hAnsi="Times New Roman" w:cs="Times New Roman"/>
        </w:rPr>
        <w:t xml:space="preserve">Calving interval (CI) is a multifactorial reproductive trait regulated by both genetic and environmental influences. Although its heritability is relatively low, the genetic basis of CI is highly relevant as it reflects the inherent reproductive efficiency of cattle. The underlying genetic mechanisms affecting CI, however, remain to be clarified. </w:t>
      </w:r>
      <w:r w:rsidRPr="00CF603F">
        <w:rPr>
          <w:rFonts w:ascii="Times New Roman" w:hAnsi="Times New Roman" w:cs="Times New Roman"/>
          <w:highlight w:val="yellow"/>
        </w:rPr>
        <w:t xml:space="preserve">In this study, </w:t>
      </w:r>
      <w:r w:rsidRPr="00BA7CCB">
        <w:rPr>
          <w:rFonts w:ascii="Times New Roman" w:hAnsi="Times New Roman" w:cs="Times New Roman"/>
        </w:rPr>
        <w:t xml:space="preserve">a whole-genome comparative analysis of five </w:t>
      </w:r>
      <w:r w:rsidRPr="00CF603F">
        <w:rPr>
          <w:rFonts w:ascii="Times New Roman" w:hAnsi="Times New Roman" w:cs="Times New Roman"/>
          <w:i/>
          <w:iCs/>
        </w:rPr>
        <w:t>Bos indicus</w:t>
      </w:r>
      <w:r w:rsidRPr="00BA7CCB">
        <w:rPr>
          <w:rFonts w:ascii="Times New Roman" w:hAnsi="Times New Roman" w:cs="Times New Roman"/>
        </w:rPr>
        <w:t xml:space="preserve"> breeds from the Indian subcontinent—Kangayam, Tharparkar, Sahiwal, Red Sindhi, and Hariana</w:t>
      </w:r>
      <w:r w:rsidR="00966F19">
        <w:rPr>
          <w:rFonts w:ascii="Times New Roman" w:hAnsi="Times New Roman" w:cs="Times New Roman"/>
        </w:rPr>
        <w:t xml:space="preserve">, </w:t>
      </w:r>
      <w:r w:rsidR="00DA22C7" w:rsidRPr="00CF603F">
        <w:rPr>
          <w:rFonts w:ascii="Times New Roman" w:hAnsi="Times New Roman" w:cs="Times New Roman"/>
          <w:highlight w:val="yellow"/>
        </w:rPr>
        <w:t>was performed</w:t>
      </w:r>
      <w:r w:rsidRPr="00CF603F">
        <w:rPr>
          <w:rFonts w:ascii="Times New Roman" w:hAnsi="Times New Roman" w:cs="Times New Roman"/>
          <w:highlight w:val="yellow"/>
        </w:rPr>
        <w:t xml:space="preserve">. </w:t>
      </w:r>
      <w:r w:rsidR="00966F19" w:rsidRPr="00CF603F">
        <w:rPr>
          <w:rFonts w:ascii="Times New Roman" w:hAnsi="Times New Roman" w:cs="Times New Roman"/>
          <w:highlight w:val="yellow"/>
        </w:rPr>
        <w:t>The</w:t>
      </w:r>
      <w:r w:rsidR="00966F19" w:rsidRPr="00CF603F">
        <w:rPr>
          <w:rFonts w:ascii="Times New Roman" w:hAnsi="Times New Roman" w:cs="Times New Roman"/>
          <w:highlight w:val="yellow"/>
        </w:rPr>
        <w:t xml:space="preserve"> NCBI public database</w:t>
      </w:r>
      <w:r w:rsidR="00966F19" w:rsidRPr="00CF603F">
        <w:rPr>
          <w:rFonts w:ascii="Times New Roman" w:hAnsi="Times New Roman" w:cs="Times New Roman"/>
          <w:highlight w:val="yellow"/>
        </w:rPr>
        <w:t xml:space="preserve"> was used in this study. </w:t>
      </w:r>
      <w:r w:rsidR="00966F19" w:rsidRPr="00CF603F">
        <w:rPr>
          <w:rFonts w:ascii="Times New Roman" w:hAnsi="Times New Roman" w:cs="Times New Roman"/>
          <w:highlight w:val="yellow"/>
        </w:rPr>
        <w:t>The MarkDuplicates tool of Picard tools was used to remove potential PCR duplicates from the aligned reads, and then the uniquely mapped reads were used for the variant calling step.</w:t>
      </w:r>
      <w:r w:rsidR="001B5E0C" w:rsidRPr="00CF603F">
        <w:rPr>
          <w:rFonts w:ascii="Times New Roman" w:hAnsi="Times New Roman" w:cs="Times New Roman"/>
          <w:highlight w:val="yellow"/>
        </w:rPr>
        <w:t xml:space="preserve"> T</w:t>
      </w:r>
      <w:r w:rsidR="001B5E0C" w:rsidRPr="00CF603F">
        <w:rPr>
          <w:rFonts w:ascii="Times New Roman" w:hAnsi="Times New Roman" w:cs="Times New Roman"/>
          <w:highlight w:val="yellow"/>
        </w:rPr>
        <w:t>he freebayes output was filtered to include high-quality variants in the candidate genes, that is, quality (QUAL &gt; 1)</w:t>
      </w:r>
      <w:r w:rsidR="001B5E0C" w:rsidRPr="00CF603F">
        <w:rPr>
          <w:rFonts w:ascii="Times New Roman" w:hAnsi="Times New Roman" w:cs="Times New Roman"/>
          <w:highlight w:val="yellow"/>
        </w:rPr>
        <w:t>. Furthermore, t</w:t>
      </w:r>
      <w:r w:rsidR="001B5E0C" w:rsidRPr="00CF603F">
        <w:rPr>
          <w:rFonts w:ascii="Times New Roman" w:hAnsi="Times New Roman" w:cs="Times New Roman"/>
          <w:highlight w:val="yellow"/>
        </w:rPr>
        <w:t>he identified SNP/InDels were classified as high, moderate, low, and modifier using the SnpEff tool</w:t>
      </w:r>
      <w:r w:rsidR="001B5E0C" w:rsidRPr="00CF603F">
        <w:rPr>
          <w:rFonts w:ascii="Times New Roman" w:hAnsi="Times New Roman" w:cs="Times New Roman"/>
          <w:highlight w:val="yellow"/>
        </w:rPr>
        <w:t>.</w:t>
      </w:r>
      <w:r w:rsidR="001B5E0C">
        <w:rPr>
          <w:rFonts w:ascii="Times New Roman" w:hAnsi="Times New Roman" w:cs="Times New Roman"/>
        </w:rPr>
        <w:t xml:space="preserve"> </w:t>
      </w:r>
      <w:r w:rsidRPr="00BA7CCB">
        <w:rPr>
          <w:rFonts w:ascii="Times New Roman" w:hAnsi="Times New Roman" w:cs="Times New Roman"/>
        </w:rPr>
        <w:t xml:space="preserve">Across these breeds, 17,252 genes </w:t>
      </w:r>
      <w:r w:rsidRPr="00CF603F">
        <w:rPr>
          <w:rFonts w:ascii="Times New Roman" w:hAnsi="Times New Roman" w:cs="Times New Roman"/>
          <w:highlight w:val="yellow"/>
        </w:rPr>
        <w:t xml:space="preserve">carrying </w:t>
      </w:r>
      <w:r w:rsidR="00DA22C7" w:rsidRPr="00CF603F">
        <w:rPr>
          <w:rFonts w:ascii="Times New Roman" w:hAnsi="Times New Roman" w:cs="Times New Roman"/>
          <w:highlight w:val="yellow"/>
        </w:rPr>
        <w:t>si</w:t>
      </w:r>
      <w:r w:rsidR="00DA22C7">
        <w:rPr>
          <w:rFonts w:ascii="Times New Roman" w:hAnsi="Times New Roman" w:cs="Times New Roman"/>
        </w:rPr>
        <w:t>ngle-n</w:t>
      </w:r>
      <w:r w:rsidR="00DA22C7" w:rsidRPr="00CF603F">
        <w:rPr>
          <w:rFonts w:ascii="Times New Roman" w:hAnsi="Times New Roman" w:cs="Times New Roman"/>
          <w:highlight w:val="yellow"/>
        </w:rPr>
        <w:t>ucleotide</w:t>
      </w:r>
      <w:r w:rsidR="00966F19">
        <w:rPr>
          <w:rFonts w:ascii="Times New Roman" w:hAnsi="Times New Roman" w:cs="Times New Roman"/>
        </w:rPr>
        <w:t xml:space="preserve"> </w:t>
      </w:r>
      <w:r w:rsidRPr="00BA7CCB">
        <w:rPr>
          <w:rFonts w:ascii="Times New Roman" w:hAnsi="Times New Roman" w:cs="Times New Roman"/>
        </w:rPr>
        <w:t xml:space="preserve">polymorphisms (SNPs) or InDels predicted to have high or moderate impact on protein function were identified. From these, 57 potential candidate genes associated with CI were detected, including LTF, SELP, GC, LENG8, LEPR, GHR, GH1, RPS9, TLR4, GNRHR, ARHGAP29, SEC24D, METTL14, SLC36A2, SLC36A3, APBA3, TCF12, and ZFR2. Functional annotation revealed enrichment of biological processes such as cellular response to hormonal stimuli, regulation of insulin-like growth factor receptor </w:t>
      </w:r>
      <w:r w:rsidR="00DA22C7" w:rsidRPr="00CF603F">
        <w:rPr>
          <w:rFonts w:ascii="Times New Roman" w:hAnsi="Times New Roman" w:cs="Times New Roman"/>
          <w:highlight w:val="yellow"/>
        </w:rPr>
        <w:t>signalling</w:t>
      </w:r>
      <w:r w:rsidRPr="00CF603F">
        <w:rPr>
          <w:rFonts w:ascii="Times New Roman" w:hAnsi="Times New Roman" w:cs="Times New Roman"/>
          <w:highlight w:val="yellow"/>
        </w:rPr>
        <w:t>, g</w:t>
      </w:r>
      <w:r w:rsidRPr="00BA7CCB">
        <w:rPr>
          <w:rFonts w:ascii="Times New Roman" w:hAnsi="Times New Roman" w:cs="Times New Roman"/>
        </w:rPr>
        <w:t xml:space="preserve">lucose metabolism, peptide and lipid responses, and ovulation cycle processes. Pathway enrichment highlighted neuroactive ligand-receptor interactions along with growth hormone and prolactin receptor </w:t>
      </w:r>
      <w:r w:rsidR="00DA22C7" w:rsidRPr="00CF603F">
        <w:rPr>
          <w:rFonts w:ascii="Times New Roman" w:hAnsi="Times New Roman" w:cs="Times New Roman"/>
          <w:highlight w:val="yellow"/>
        </w:rPr>
        <w:t>signalling</w:t>
      </w:r>
      <w:r w:rsidR="00DA22C7" w:rsidRPr="00CF603F">
        <w:rPr>
          <w:rFonts w:ascii="Times New Roman" w:hAnsi="Times New Roman" w:cs="Times New Roman"/>
          <w:highlight w:val="yellow"/>
        </w:rPr>
        <w:t xml:space="preserve"> </w:t>
      </w:r>
      <w:r w:rsidRPr="00CF603F">
        <w:rPr>
          <w:rFonts w:ascii="Times New Roman" w:hAnsi="Times New Roman" w:cs="Times New Roman"/>
          <w:highlight w:val="yellow"/>
        </w:rPr>
        <w:t>pathways</w:t>
      </w:r>
      <w:r w:rsidRPr="00BA7CCB">
        <w:rPr>
          <w:rFonts w:ascii="Times New Roman" w:hAnsi="Times New Roman" w:cs="Times New Roman"/>
        </w:rPr>
        <w:t>. Network analysis further identified ESR1, IGF1, LEP, MSTN, TNF, FGF2, TLR4, and LTF as central hub genes with potential regulatory influence on CI in indicine cattle. Overall, this study uncovers genomic variants and key molecular pathways that provide novel insights into the genetic regulation of CI in indigenous Bos indicus breeds adapted to tropical conditions.</w:t>
      </w:r>
      <w:r w:rsidR="008067B5">
        <w:rPr>
          <w:rFonts w:ascii="Times New Roman" w:hAnsi="Times New Roman" w:cs="Times New Roman"/>
        </w:rPr>
        <w:t xml:space="preserve"> </w:t>
      </w:r>
      <w:r w:rsidR="008067B5" w:rsidRPr="00CF603F">
        <w:rPr>
          <w:rFonts w:ascii="Times New Roman" w:hAnsi="Times New Roman" w:cs="Times New Roman"/>
          <w:highlight w:val="yellow"/>
        </w:rPr>
        <w:t>T</w:t>
      </w:r>
      <w:r w:rsidR="008067B5" w:rsidRPr="00CF603F">
        <w:rPr>
          <w:rFonts w:ascii="Times New Roman" w:hAnsi="Times New Roman" w:cs="Times New Roman"/>
          <w:highlight w:val="yellow"/>
        </w:rPr>
        <w:t>he discovered genetic variants hold potential applications in the development of customised SNP genotyping chips, as well as in marker-assisted and genomic selection programs for cattle breeding in the future.</w:t>
      </w:r>
    </w:p>
    <w:p w14:paraId="4553C5D5" w14:textId="6CEAE746" w:rsidR="007A7319" w:rsidRPr="00CF603F" w:rsidRDefault="007A7319" w:rsidP="00BA7CCB">
      <w:pPr>
        <w:spacing w:line="240" w:lineRule="auto"/>
        <w:jc w:val="both"/>
        <w:rPr>
          <w:rFonts w:ascii="Times New Roman" w:hAnsi="Times New Roman" w:cs="Times New Roman"/>
          <w:i/>
          <w:iCs/>
        </w:rPr>
      </w:pPr>
      <w:r w:rsidRPr="00BA7CCB">
        <w:rPr>
          <w:rFonts w:ascii="Times New Roman" w:hAnsi="Times New Roman" w:cs="Times New Roman"/>
          <w:b/>
          <w:bCs/>
        </w:rPr>
        <w:t>Keywords</w:t>
      </w:r>
      <w:r w:rsidRPr="00BA7CCB">
        <w:rPr>
          <w:rFonts w:ascii="Times New Roman" w:hAnsi="Times New Roman" w:cs="Times New Roman"/>
        </w:rPr>
        <w:t xml:space="preserve">: </w:t>
      </w:r>
      <w:r w:rsidRPr="00DA22C7">
        <w:rPr>
          <w:rFonts w:ascii="Times New Roman" w:hAnsi="Times New Roman" w:cs="Times New Roman"/>
          <w:i/>
          <w:iCs/>
          <w:color w:val="000000"/>
        </w:rPr>
        <w:t>Bos indicus</w:t>
      </w:r>
      <w:r w:rsidRPr="00CF603F">
        <w:rPr>
          <w:rFonts w:ascii="Times New Roman" w:hAnsi="Times New Roman" w:cs="Times New Roman"/>
          <w:i/>
          <w:iCs/>
        </w:rPr>
        <w:t xml:space="preserve"> cattle, </w:t>
      </w:r>
      <w:r w:rsidR="00C631B2" w:rsidRPr="00CF603F">
        <w:rPr>
          <w:rFonts w:ascii="Times New Roman" w:hAnsi="Times New Roman" w:cs="Times New Roman"/>
          <w:i/>
          <w:iCs/>
        </w:rPr>
        <w:t>calving interval</w:t>
      </w:r>
      <w:r w:rsidRPr="00CF603F">
        <w:rPr>
          <w:rFonts w:ascii="Times New Roman" w:hAnsi="Times New Roman" w:cs="Times New Roman"/>
          <w:i/>
          <w:iCs/>
        </w:rPr>
        <w:t>, whole genome, genetic variants</w:t>
      </w:r>
      <w:r w:rsidR="00C631B2" w:rsidRPr="00CF603F">
        <w:rPr>
          <w:rFonts w:ascii="Times New Roman" w:hAnsi="Times New Roman" w:cs="Times New Roman"/>
          <w:i/>
          <w:iCs/>
        </w:rPr>
        <w:t xml:space="preserve">, </w:t>
      </w:r>
      <w:r w:rsidR="00C631B2" w:rsidRPr="00CF603F">
        <w:rPr>
          <w:rFonts w:ascii="Times New Roman" w:hAnsi="Times New Roman" w:cs="Times New Roman"/>
          <w:i/>
          <w:iCs/>
          <w:color w:val="000000" w:themeColor="text1"/>
        </w:rPr>
        <w:t>genetic mechanisms</w:t>
      </w:r>
    </w:p>
    <w:p w14:paraId="270B944C" w14:textId="775BDC09" w:rsidR="00D53FD1" w:rsidRPr="00BA7CCB" w:rsidRDefault="00D53FD1" w:rsidP="00BA7CCB">
      <w:pPr>
        <w:spacing w:line="240" w:lineRule="auto"/>
        <w:jc w:val="both"/>
        <w:rPr>
          <w:rFonts w:ascii="Times New Roman" w:hAnsi="Times New Roman" w:cs="Times New Roman"/>
          <w:b/>
          <w:bCs/>
        </w:rPr>
      </w:pPr>
      <w:r w:rsidRPr="00BA7CCB">
        <w:rPr>
          <w:rFonts w:ascii="Times New Roman" w:hAnsi="Times New Roman" w:cs="Times New Roman"/>
          <w:b/>
          <w:bCs/>
        </w:rPr>
        <w:t xml:space="preserve">Introduction </w:t>
      </w:r>
    </w:p>
    <w:p w14:paraId="40E50036" w14:textId="5736978E" w:rsidR="000F69F4" w:rsidRPr="00BA7CCB" w:rsidRDefault="00D53FD1" w:rsidP="00BA7CCB">
      <w:pPr>
        <w:spacing w:line="240" w:lineRule="auto"/>
        <w:jc w:val="both"/>
        <w:rPr>
          <w:rFonts w:ascii="Times New Roman" w:hAnsi="Times New Roman" w:cs="Times New Roman"/>
        </w:rPr>
      </w:pPr>
      <w:r w:rsidRPr="00BA7CCB">
        <w:rPr>
          <w:rFonts w:ascii="Times New Roman" w:hAnsi="Times New Roman" w:cs="Times New Roman"/>
        </w:rPr>
        <w:tab/>
      </w:r>
      <w:r w:rsidR="000F69F4" w:rsidRPr="00BA7CCB">
        <w:rPr>
          <w:rFonts w:ascii="Times New Roman" w:hAnsi="Times New Roman" w:cs="Times New Roman"/>
        </w:rPr>
        <w:t xml:space="preserve">The calving interval (CI), defined as the period between two consecutive calvings in cattle, is a pivotal reproductive trait directly influencing milk production efficiency, herd replacement, and economic sustainability of dairy production systems in India and globally </w:t>
      </w:r>
      <w:r w:rsidR="005E43C6" w:rsidRPr="00BA7CCB">
        <w:rPr>
          <w:rFonts w:ascii="Times New Roman" w:hAnsi="Times New Roman" w:cs="Times New Roman"/>
        </w:rPr>
        <w:t>(</w:t>
      </w:r>
      <w:r w:rsidR="005E43C6" w:rsidRPr="00BA7CCB">
        <w:rPr>
          <w:rFonts w:ascii="Times New Roman" w:hAnsi="Times New Roman" w:cs="Times New Roman"/>
          <w:color w:val="212121"/>
          <w:shd w:val="clear" w:color="auto" w:fill="FFFFFF"/>
        </w:rPr>
        <w:t>Schmidt</w:t>
      </w:r>
      <w:r w:rsidR="000F69F4" w:rsidRPr="00BA7CCB">
        <w:rPr>
          <w:rFonts w:ascii="Times New Roman" w:hAnsi="Times New Roman" w:cs="Times New Roman"/>
        </w:rPr>
        <w:t xml:space="preserve"> </w:t>
      </w:r>
      <w:r w:rsidR="005E43C6" w:rsidRPr="00BA7CCB">
        <w:rPr>
          <w:rFonts w:ascii="Times New Roman" w:hAnsi="Times New Roman" w:cs="Times New Roman"/>
        </w:rPr>
        <w:t xml:space="preserve">et al., </w:t>
      </w:r>
      <w:r w:rsidR="000F69F4" w:rsidRPr="00BA7CCB">
        <w:rPr>
          <w:rFonts w:ascii="Times New Roman" w:hAnsi="Times New Roman" w:cs="Times New Roman"/>
        </w:rPr>
        <w:t>20</w:t>
      </w:r>
      <w:r w:rsidR="005E43C6" w:rsidRPr="00BA7CCB">
        <w:rPr>
          <w:rFonts w:ascii="Times New Roman" w:hAnsi="Times New Roman" w:cs="Times New Roman"/>
        </w:rPr>
        <w:t>19</w:t>
      </w:r>
      <w:r w:rsidR="000F69F4" w:rsidRPr="00BA7CCB">
        <w:rPr>
          <w:rFonts w:ascii="Times New Roman" w:hAnsi="Times New Roman" w:cs="Times New Roman"/>
        </w:rPr>
        <w:t xml:space="preserve">). </w:t>
      </w:r>
      <w:r w:rsidR="00873852" w:rsidRPr="00CF603F">
        <w:rPr>
          <w:rFonts w:ascii="Times New Roman" w:hAnsi="Times New Roman" w:cs="Times New Roman"/>
          <w:highlight w:val="yellow"/>
        </w:rPr>
        <w:t>Some dairy farmers deliberately extend the interval from calving to first insemination to reduce the number and frequency of critical calving events</w:t>
      </w:r>
      <w:r w:rsidR="00873852" w:rsidRPr="00CF603F">
        <w:rPr>
          <w:rFonts w:ascii="Times New Roman" w:hAnsi="Times New Roman" w:cs="Times New Roman"/>
          <w:highlight w:val="yellow"/>
        </w:rPr>
        <w:t xml:space="preserve"> (</w:t>
      </w:r>
      <w:r w:rsidR="00F52AEB" w:rsidRPr="00CF603F">
        <w:rPr>
          <w:rFonts w:ascii="Times New Roman" w:hAnsi="Times New Roman" w:cs="Times New Roman"/>
          <w:highlight w:val="yellow"/>
        </w:rPr>
        <w:t>Wang et al., 2024</w:t>
      </w:r>
      <w:r w:rsidR="00873852" w:rsidRPr="00CF603F">
        <w:rPr>
          <w:rFonts w:ascii="Times New Roman" w:hAnsi="Times New Roman" w:cs="Times New Roman"/>
          <w:highlight w:val="yellow"/>
        </w:rPr>
        <w:t>).</w:t>
      </w:r>
      <w:r w:rsidR="00873852">
        <w:rPr>
          <w:rFonts w:ascii="Times New Roman" w:hAnsi="Times New Roman" w:cs="Times New Roman"/>
        </w:rPr>
        <w:t xml:space="preserve"> </w:t>
      </w:r>
      <w:r w:rsidR="000F69F4" w:rsidRPr="00BA7CCB">
        <w:rPr>
          <w:rFonts w:ascii="Times New Roman" w:hAnsi="Times New Roman" w:cs="Times New Roman"/>
        </w:rPr>
        <w:t xml:space="preserve">In the Indian context, the optimal calving interval is generally targeted around 365 days, aligning with a one-calf-per-year objective to </w:t>
      </w:r>
      <w:r w:rsidR="00DA22C7" w:rsidRPr="00CF603F">
        <w:rPr>
          <w:rFonts w:ascii="Times New Roman" w:hAnsi="Times New Roman" w:cs="Times New Roman"/>
          <w:highlight w:val="yellow"/>
        </w:rPr>
        <w:t>maximise</w:t>
      </w:r>
      <w:r w:rsidR="00DA22C7" w:rsidRPr="00CF603F">
        <w:rPr>
          <w:rFonts w:ascii="Times New Roman" w:hAnsi="Times New Roman" w:cs="Times New Roman"/>
          <w:highlight w:val="yellow"/>
        </w:rPr>
        <w:t xml:space="preserve"> </w:t>
      </w:r>
      <w:r w:rsidR="000F69F4" w:rsidRPr="00CF603F">
        <w:rPr>
          <w:rFonts w:ascii="Times New Roman" w:hAnsi="Times New Roman" w:cs="Times New Roman"/>
          <w:highlight w:val="yellow"/>
        </w:rPr>
        <w:t>lifetime</w:t>
      </w:r>
      <w:r w:rsidR="000F69F4" w:rsidRPr="00BA7CCB">
        <w:rPr>
          <w:rFonts w:ascii="Times New Roman" w:hAnsi="Times New Roman" w:cs="Times New Roman"/>
        </w:rPr>
        <w:t xml:space="preserve"> productivity and profitability of dairy herds (</w:t>
      </w:r>
      <w:r w:rsidR="00730D56" w:rsidRPr="00BA7CCB">
        <w:rPr>
          <w:rFonts w:ascii="Times New Roman" w:hAnsi="Times New Roman" w:cs="Times New Roman"/>
        </w:rPr>
        <w:t xml:space="preserve">Vijayakumar et al., </w:t>
      </w:r>
      <w:r w:rsidR="00FC0D3D" w:rsidRPr="00BA7CCB">
        <w:rPr>
          <w:rFonts w:ascii="Times New Roman" w:hAnsi="Times New Roman" w:cs="Times New Roman"/>
        </w:rPr>
        <w:t>2019; Vijayakumar et al., 2021</w:t>
      </w:r>
      <w:r w:rsidR="000F69F4" w:rsidRPr="00BA7CCB">
        <w:rPr>
          <w:rFonts w:ascii="Times New Roman" w:hAnsi="Times New Roman" w:cs="Times New Roman"/>
        </w:rPr>
        <w:t>). However, variations are common across indigenous and crossbred cattle, with reported average calving intervals ranging from approximately 410 to 480 days in several Indian studies</w:t>
      </w:r>
      <w:r w:rsidR="00DA22C7">
        <w:rPr>
          <w:rFonts w:ascii="Times New Roman" w:hAnsi="Times New Roman" w:cs="Times New Roman"/>
        </w:rPr>
        <w:t>,</w:t>
      </w:r>
      <w:r w:rsidR="000F69F4" w:rsidRPr="00BA7CCB">
        <w:rPr>
          <w:rFonts w:ascii="Times New Roman" w:hAnsi="Times New Roman" w:cs="Times New Roman"/>
        </w:rPr>
        <w:t xml:space="preserve"> depending on breed, management, and environmental conditions (</w:t>
      </w:r>
      <w:r w:rsidR="00730D56" w:rsidRPr="00BA7CCB">
        <w:rPr>
          <w:rFonts w:ascii="Times New Roman" w:hAnsi="Times New Roman" w:cs="Times New Roman"/>
        </w:rPr>
        <w:t xml:space="preserve">Vijayakumar et al., </w:t>
      </w:r>
      <w:r w:rsidR="00FC0D3D" w:rsidRPr="00BA7CCB">
        <w:rPr>
          <w:rFonts w:ascii="Times New Roman" w:hAnsi="Times New Roman" w:cs="Times New Roman"/>
        </w:rPr>
        <w:t>2021</w:t>
      </w:r>
      <w:r w:rsidR="00936E67" w:rsidRPr="00BA7CCB">
        <w:rPr>
          <w:rFonts w:ascii="Times New Roman" w:hAnsi="Times New Roman" w:cs="Times New Roman"/>
        </w:rPr>
        <w:t>;</w:t>
      </w:r>
      <w:r w:rsidR="00730D56" w:rsidRPr="00BA7CCB">
        <w:rPr>
          <w:rFonts w:ascii="Times New Roman" w:hAnsi="Times New Roman" w:cs="Times New Roman"/>
        </w:rPr>
        <w:t xml:space="preserve"> Waghmare et al</w:t>
      </w:r>
      <w:r w:rsidR="000F69F4" w:rsidRPr="00BA7CCB">
        <w:rPr>
          <w:rFonts w:ascii="Times New Roman" w:hAnsi="Times New Roman" w:cs="Times New Roman"/>
        </w:rPr>
        <w:t>, 2023). Prolonged calving intervals are indicative of reproductive inefficiency, leading to increased calving-to-conception intervals, higher culling rates, and subsequent economic losses for producers</w:t>
      </w:r>
      <w:r w:rsidR="000C5A54">
        <w:rPr>
          <w:rFonts w:ascii="Times New Roman" w:hAnsi="Times New Roman" w:cs="Times New Roman"/>
        </w:rPr>
        <w:t xml:space="preserve"> </w:t>
      </w:r>
      <w:r w:rsidR="000C5A54" w:rsidRPr="00CF603F">
        <w:rPr>
          <w:rFonts w:ascii="Times New Roman" w:hAnsi="Times New Roman" w:cs="Times New Roman"/>
          <w:highlight w:val="yellow"/>
        </w:rPr>
        <w:t>(</w:t>
      </w:r>
      <w:r w:rsidR="000C5A54" w:rsidRPr="00CF603F">
        <w:rPr>
          <w:rFonts w:ascii="Times New Roman" w:hAnsi="Times New Roman" w:cs="Times New Roman"/>
          <w:highlight w:val="yellow"/>
        </w:rPr>
        <w:t>El-Qaliouby</w:t>
      </w:r>
      <w:r w:rsidR="000C5A54" w:rsidRPr="00CF603F">
        <w:rPr>
          <w:rFonts w:ascii="Times New Roman" w:hAnsi="Times New Roman" w:cs="Times New Roman"/>
          <w:highlight w:val="yellow"/>
        </w:rPr>
        <w:t xml:space="preserve"> et al., 2025)</w:t>
      </w:r>
      <w:r w:rsidR="000F69F4" w:rsidRPr="00CF603F">
        <w:rPr>
          <w:rFonts w:ascii="Times New Roman" w:hAnsi="Times New Roman" w:cs="Times New Roman"/>
          <w:highlight w:val="yellow"/>
        </w:rPr>
        <w:t>.</w:t>
      </w:r>
      <w:r w:rsidR="000F69F4" w:rsidRPr="00BA7CCB">
        <w:rPr>
          <w:rFonts w:ascii="Times New Roman" w:hAnsi="Times New Roman" w:cs="Times New Roman"/>
        </w:rPr>
        <w:t xml:space="preserve"> As a composite trait, calving interval reflects </w:t>
      </w:r>
      <w:r w:rsidR="000F69F4" w:rsidRPr="00BA7CCB">
        <w:rPr>
          <w:rFonts w:ascii="Times New Roman" w:hAnsi="Times New Roman" w:cs="Times New Roman"/>
        </w:rPr>
        <w:lastRenderedPageBreak/>
        <w:t>the combined effects of postpartum recovery, resumption of ovarian activity, conception ability, and early embryonic survival, making it a key indicator of overall reproductive performance in cattle.</w:t>
      </w:r>
    </w:p>
    <w:p w14:paraId="06D3CF20" w14:textId="64610C88" w:rsidR="000F69F4" w:rsidRPr="00BA7CCB" w:rsidRDefault="00D53FD1" w:rsidP="00BA7CCB">
      <w:pPr>
        <w:spacing w:line="240" w:lineRule="auto"/>
        <w:jc w:val="both"/>
        <w:rPr>
          <w:rFonts w:ascii="Times New Roman" w:hAnsi="Times New Roman" w:cs="Times New Roman"/>
        </w:rPr>
      </w:pPr>
      <w:r w:rsidRPr="00BA7CCB">
        <w:rPr>
          <w:rFonts w:ascii="Times New Roman" w:hAnsi="Times New Roman" w:cs="Times New Roman"/>
        </w:rPr>
        <w:tab/>
      </w:r>
      <w:r w:rsidR="000F69F4" w:rsidRPr="00BA7CCB">
        <w:rPr>
          <w:rFonts w:ascii="Times New Roman" w:hAnsi="Times New Roman" w:cs="Times New Roman"/>
        </w:rPr>
        <w:t>Calving interval (CI) is a complex reproductive trait influenced by both genetic and environmental factors. Its heritability is generally low to moderate in cattle, typically ranging from 0.05 to 0.20 depending on breed, population, and study design (</w:t>
      </w:r>
      <w:r w:rsidR="00730D56" w:rsidRPr="00BA7CCB">
        <w:rPr>
          <w:rFonts w:ascii="Times New Roman" w:hAnsi="Times New Roman" w:cs="Times New Roman"/>
          <w:color w:val="0F1115"/>
          <w:shd w:val="clear" w:color="auto" w:fill="FFFFFF"/>
        </w:rPr>
        <w:t>Pryce et al., 2010</w:t>
      </w:r>
      <w:r w:rsidR="000F69F4" w:rsidRPr="00BA7CCB">
        <w:rPr>
          <w:rFonts w:ascii="Times New Roman" w:hAnsi="Times New Roman" w:cs="Times New Roman"/>
        </w:rPr>
        <w:t>).</w:t>
      </w:r>
      <w:r w:rsidR="009B2926" w:rsidRPr="00BA7CCB">
        <w:rPr>
          <w:rFonts w:ascii="Times New Roman" w:hAnsi="Times New Roman" w:cs="Times New Roman"/>
        </w:rPr>
        <w:t xml:space="preserve"> Despite the relatively low heritability, genetic factors underlying CI are important because they reflect the animal’s intrinsic reproductive efficiency, including genes regulating ovarian function, hormone secretion, and metabolic adaptation essential for timely conception and uterine recovery between calvings (Atashi et al., 2020</w:t>
      </w:r>
      <w:r w:rsidR="005B632C">
        <w:rPr>
          <w:rFonts w:ascii="Times New Roman" w:hAnsi="Times New Roman" w:cs="Times New Roman"/>
        </w:rPr>
        <w:t>;</w:t>
      </w:r>
      <w:r w:rsidR="00785468" w:rsidRPr="00BA7CCB">
        <w:rPr>
          <w:rFonts w:ascii="Times New Roman" w:eastAsia="Times New Roman" w:hAnsi="Times New Roman" w:cs="Times New Roman"/>
          <w:kern w:val="0"/>
          <w:lang w:eastAsia="en-IN"/>
          <w14:ligatures w14:val="none"/>
        </w:rPr>
        <w:t xml:space="preserve"> Waghmare et al., 2023</w:t>
      </w:r>
      <w:r w:rsidR="009B2926" w:rsidRPr="00BA7CCB">
        <w:rPr>
          <w:rFonts w:ascii="Times New Roman" w:hAnsi="Times New Roman" w:cs="Times New Roman"/>
        </w:rPr>
        <w:t xml:space="preserve">). For improving calving interval in Indian cattle, the identification of trait-associated genes and pathways through genomic technologies offers promising avenues for accelerating reproductive efficiency and productivity. </w:t>
      </w:r>
      <w:r w:rsidR="00B831D7" w:rsidRPr="00BA7CCB">
        <w:rPr>
          <w:rFonts w:ascii="Times New Roman" w:hAnsi="Times New Roman" w:cs="Times New Roman"/>
        </w:rPr>
        <w:t>Advances in genomics have led to the identification of candidate genes (e.g., ARHGAP29, IGFBP2, PLAG1) and genomic regions significantly associated with CI, highlighting the polygenic nature of this trait and the complex genetic networks involved (</w:t>
      </w:r>
      <w:r w:rsidR="00150310" w:rsidRPr="00BA7CCB">
        <w:rPr>
          <w:rFonts w:ascii="Times New Roman" w:hAnsi="Times New Roman" w:cs="Times New Roman"/>
        </w:rPr>
        <w:t xml:space="preserve">Dias et al. 2024; </w:t>
      </w:r>
      <w:r w:rsidR="00B831D7" w:rsidRPr="00BA7CCB">
        <w:rPr>
          <w:rFonts w:ascii="Times New Roman" w:hAnsi="Times New Roman" w:cs="Times New Roman"/>
        </w:rPr>
        <w:t xml:space="preserve">Haque et al., 2024). </w:t>
      </w:r>
      <w:r w:rsidR="0026158B" w:rsidRPr="00CF603F">
        <w:rPr>
          <w:rFonts w:ascii="Times New Roman" w:hAnsi="Times New Roman" w:cs="Times New Roman"/>
          <w:highlight w:val="yellow"/>
        </w:rPr>
        <w:t xml:space="preserve">The potential for genetic improvement in a trait largely depends upon additive genetic variation existing in a population of interest. The variability for a particular trait in a population is measured by heritability estimates of traits under given environmental </w:t>
      </w:r>
      <w:r w:rsidR="0026158B" w:rsidRPr="00CF603F">
        <w:rPr>
          <w:rFonts w:ascii="Times New Roman" w:hAnsi="Times New Roman" w:cs="Times New Roman"/>
          <w:highlight w:val="yellow"/>
        </w:rPr>
        <w:t>conditions (</w:t>
      </w:r>
      <w:r w:rsidR="0026158B" w:rsidRPr="00CF603F">
        <w:rPr>
          <w:rFonts w:ascii="Times New Roman" w:hAnsi="Times New Roman" w:cs="Times New Roman"/>
          <w:bCs/>
          <w:color w:val="212121"/>
          <w:highlight w:val="yellow"/>
          <w:shd w:val="clear" w:color="auto" w:fill="FFFFFF"/>
        </w:rPr>
        <w:t>Shashikant</w:t>
      </w:r>
      <w:r w:rsidR="0026158B" w:rsidRPr="00CF603F">
        <w:rPr>
          <w:rFonts w:ascii="Times New Roman" w:hAnsi="Times New Roman" w:cs="Times New Roman"/>
          <w:bCs/>
          <w:color w:val="212121"/>
          <w:highlight w:val="yellow"/>
          <w:shd w:val="clear" w:color="auto" w:fill="FFFFFF"/>
        </w:rPr>
        <w:t xml:space="preserve"> et al., 2024</w:t>
      </w:r>
      <w:r w:rsidR="0026158B" w:rsidRPr="00CF603F">
        <w:rPr>
          <w:rFonts w:ascii="Times New Roman" w:hAnsi="Times New Roman" w:cs="Times New Roman"/>
          <w:highlight w:val="yellow"/>
        </w:rPr>
        <w:t>)</w:t>
      </w:r>
      <w:r w:rsidR="0026158B" w:rsidRPr="00CF603F">
        <w:rPr>
          <w:rFonts w:ascii="Times New Roman" w:hAnsi="Times New Roman" w:cs="Times New Roman"/>
          <w:highlight w:val="yellow"/>
        </w:rPr>
        <w:t>.</w:t>
      </w:r>
      <w:r w:rsidR="0026158B">
        <w:rPr>
          <w:rFonts w:ascii="Times New Roman" w:hAnsi="Times New Roman" w:cs="Times New Roman"/>
        </w:rPr>
        <w:t xml:space="preserve"> </w:t>
      </w:r>
      <w:r w:rsidR="00B831D7" w:rsidRPr="00BA7CCB">
        <w:rPr>
          <w:rFonts w:ascii="Times New Roman" w:hAnsi="Times New Roman" w:cs="Times New Roman"/>
        </w:rPr>
        <w:t>Given its economic and biological complexity, continued research into the genetic architecture and physiological underpinnings of calving interval remains a priority in the pursuit of improved cattle fertility and productivity. Improving CI genetically reduces intervals between calvings, enhancing lifetime productivity and profitability in cattle herds (</w:t>
      </w:r>
      <w:r w:rsidR="00150310" w:rsidRPr="00BA7CCB">
        <w:rPr>
          <w:rFonts w:ascii="Times New Roman" w:hAnsi="Times New Roman" w:cs="Times New Roman"/>
        </w:rPr>
        <w:t>Aponte et al. 2024; Bene et al. 2024</w:t>
      </w:r>
      <w:r w:rsidR="00B831D7" w:rsidRPr="00BA7CCB">
        <w:rPr>
          <w:rFonts w:ascii="Times New Roman" w:hAnsi="Times New Roman" w:cs="Times New Roman"/>
        </w:rPr>
        <w:t xml:space="preserve">). Therefore, genetics provides both a foundation to understand biological mechanisms controlling reproductive efficiency and a tool for sustainable improvement of CI through marker-assisted and genomic selection. </w:t>
      </w:r>
      <w:r w:rsidR="009B2926" w:rsidRPr="00BA7CCB">
        <w:rPr>
          <w:rFonts w:ascii="Times New Roman" w:hAnsi="Times New Roman" w:cs="Times New Roman"/>
        </w:rPr>
        <w:t xml:space="preserve">This advances both economic gains and sustainability goals relevant to Indian dairy farming systems </w:t>
      </w:r>
      <w:r w:rsidR="00A52564" w:rsidRPr="00CF603F">
        <w:rPr>
          <w:rFonts w:ascii="Times New Roman" w:hAnsi="Times New Roman" w:cs="Times New Roman"/>
          <w:highlight w:val="yellow"/>
        </w:rPr>
        <w:t>characterised</w:t>
      </w:r>
      <w:r w:rsidR="00A52564" w:rsidRPr="00CF603F">
        <w:rPr>
          <w:rFonts w:ascii="Times New Roman" w:hAnsi="Times New Roman" w:cs="Times New Roman"/>
          <w:highlight w:val="yellow"/>
        </w:rPr>
        <w:t xml:space="preserve"> </w:t>
      </w:r>
      <w:r w:rsidR="009B2926" w:rsidRPr="00CF603F">
        <w:rPr>
          <w:rFonts w:ascii="Times New Roman" w:hAnsi="Times New Roman" w:cs="Times New Roman"/>
          <w:highlight w:val="yellow"/>
        </w:rPr>
        <w:t>by</w:t>
      </w:r>
      <w:r w:rsidR="009B2926" w:rsidRPr="00BA7CCB">
        <w:rPr>
          <w:rFonts w:ascii="Times New Roman" w:hAnsi="Times New Roman" w:cs="Times New Roman"/>
        </w:rPr>
        <w:t xml:space="preserve"> diverse breeds and production environments.</w:t>
      </w:r>
      <w:r w:rsidR="00A52564">
        <w:rPr>
          <w:rFonts w:ascii="Times New Roman" w:hAnsi="Times New Roman" w:cs="Times New Roman"/>
        </w:rPr>
        <w:t xml:space="preserve"> </w:t>
      </w:r>
      <w:r w:rsidR="00A52564" w:rsidRPr="00CF603F">
        <w:rPr>
          <w:rFonts w:ascii="Times New Roman" w:hAnsi="Times New Roman" w:cs="Times New Roman"/>
          <w:highlight w:val="yellow"/>
        </w:rPr>
        <w:t xml:space="preserve">In this study, a whole-genome comparative analysis of five </w:t>
      </w:r>
      <w:r w:rsidR="00A52564" w:rsidRPr="00CF603F">
        <w:rPr>
          <w:rFonts w:ascii="Times New Roman" w:hAnsi="Times New Roman" w:cs="Times New Roman"/>
          <w:i/>
          <w:iCs/>
          <w:highlight w:val="yellow"/>
        </w:rPr>
        <w:t>Bos indicus</w:t>
      </w:r>
      <w:r w:rsidR="00A52564" w:rsidRPr="00CF603F">
        <w:rPr>
          <w:rFonts w:ascii="Times New Roman" w:hAnsi="Times New Roman" w:cs="Times New Roman"/>
          <w:highlight w:val="yellow"/>
        </w:rPr>
        <w:t xml:space="preserve"> breeds from the Indian subcontinent—Kangayam, Tharparkar, Sahiwal, Red Sindhi, and Hariana- was performed.</w:t>
      </w:r>
      <w:r w:rsidR="00A52564" w:rsidRPr="00BA7CCB">
        <w:rPr>
          <w:rFonts w:ascii="Times New Roman" w:hAnsi="Times New Roman" w:cs="Times New Roman"/>
        </w:rPr>
        <w:t xml:space="preserve"> </w:t>
      </w:r>
    </w:p>
    <w:p w14:paraId="6FC619E9" w14:textId="77777777" w:rsidR="00736F52" w:rsidRPr="00BA7CCB" w:rsidRDefault="00736F52" w:rsidP="00BA7CCB">
      <w:pPr>
        <w:spacing w:line="240" w:lineRule="auto"/>
        <w:jc w:val="both"/>
        <w:rPr>
          <w:rFonts w:ascii="Times New Roman" w:hAnsi="Times New Roman" w:cs="Times New Roman"/>
          <w:b/>
          <w:bCs/>
        </w:rPr>
      </w:pPr>
      <w:r w:rsidRPr="00BA7CCB">
        <w:rPr>
          <w:rFonts w:ascii="Times New Roman" w:hAnsi="Times New Roman" w:cs="Times New Roman"/>
          <w:b/>
          <w:bCs/>
        </w:rPr>
        <w:t>Materials and methods</w:t>
      </w:r>
    </w:p>
    <w:p w14:paraId="0DBEC86F" w14:textId="77777777" w:rsidR="00736F52" w:rsidRPr="00BA7CCB" w:rsidRDefault="00736F52" w:rsidP="00BA7CCB">
      <w:pPr>
        <w:spacing w:line="240" w:lineRule="auto"/>
        <w:jc w:val="both"/>
        <w:rPr>
          <w:rFonts w:ascii="Times New Roman" w:hAnsi="Times New Roman" w:cs="Times New Roman"/>
          <w:b/>
          <w:bCs/>
        </w:rPr>
      </w:pPr>
      <w:r w:rsidRPr="00BA7CCB">
        <w:rPr>
          <w:rFonts w:ascii="Times New Roman" w:hAnsi="Times New Roman" w:cs="Times New Roman"/>
          <w:b/>
          <w:bCs/>
        </w:rPr>
        <w:t xml:space="preserve">Whole-genome datasets and read mapping </w:t>
      </w:r>
    </w:p>
    <w:p w14:paraId="2821B62D" w14:textId="1F55A9FD" w:rsidR="00736F52"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736F52" w:rsidRPr="00BA7CCB">
        <w:rPr>
          <w:rFonts w:ascii="Times New Roman" w:hAnsi="Times New Roman" w:cs="Times New Roman"/>
        </w:rPr>
        <w:t>We used whole-genome data of five zebu cattle breeds that originated in the Indian subcontinent, including Kangayam (n = 1), Tharparkar (n = 3), Sahiwal (n = 2), Red Sindhi (n = 1), and Hariana (n = 1) breeds available in the NCBI public database (Accession No. PRJNA496267 and PRJNA493191). Quality control of the raw sequencing reads was performed using the FastQC program (Andrews</w:t>
      </w:r>
      <w:r w:rsidR="00DD4D6F" w:rsidRPr="00BA7CCB">
        <w:rPr>
          <w:rFonts w:ascii="Times New Roman" w:hAnsi="Times New Roman" w:cs="Times New Roman"/>
        </w:rPr>
        <w:t>,</w:t>
      </w:r>
      <w:r w:rsidR="00736F52" w:rsidRPr="00BA7CCB">
        <w:rPr>
          <w:rFonts w:ascii="Times New Roman" w:hAnsi="Times New Roman" w:cs="Times New Roman"/>
        </w:rPr>
        <w:t xml:space="preserve"> 2010). Trimmomatic software was used for quality filtering of the short reads (Bolger et al. 2014). The quality reads were mapped into the Bos taurus reference genome assembly ARS-UCD1.2, using Bowtie2 with default parameters (Langmead and Salzberg 2012). The MarkDuplicates tool of Picard tools was used to remove potential PCR duplicates from the aligned reads</w:t>
      </w:r>
      <w:r w:rsidR="00F81A3A">
        <w:rPr>
          <w:rFonts w:ascii="Times New Roman" w:hAnsi="Times New Roman" w:cs="Times New Roman"/>
        </w:rPr>
        <w:t>,</w:t>
      </w:r>
      <w:r w:rsidR="00736F52" w:rsidRPr="00BA7CCB">
        <w:rPr>
          <w:rFonts w:ascii="Times New Roman" w:hAnsi="Times New Roman" w:cs="Times New Roman"/>
        </w:rPr>
        <w:t xml:space="preserve"> and then the uniquely mapped reads were used for the variant calling step.</w:t>
      </w:r>
    </w:p>
    <w:p w14:paraId="3056B118" w14:textId="77777777" w:rsidR="00736F52" w:rsidRPr="00BA7CCB" w:rsidRDefault="00736F52" w:rsidP="00BA7CCB">
      <w:pPr>
        <w:spacing w:line="240" w:lineRule="auto"/>
        <w:jc w:val="both"/>
        <w:rPr>
          <w:rFonts w:ascii="Times New Roman" w:hAnsi="Times New Roman" w:cs="Times New Roman"/>
          <w:b/>
          <w:bCs/>
        </w:rPr>
      </w:pPr>
      <w:r w:rsidRPr="00BA7CCB">
        <w:rPr>
          <w:rFonts w:ascii="Times New Roman" w:hAnsi="Times New Roman" w:cs="Times New Roman"/>
          <w:b/>
          <w:bCs/>
        </w:rPr>
        <w:t>Variant calling</w:t>
      </w:r>
    </w:p>
    <w:p w14:paraId="528D8407" w14:textId="7A2AB776" w:rsidR="00736F52"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736F52" w:rsidRPr="00BA7CCB">
        <w:rPr>
          <w:rFonts w:ascii="Times New Roman" w:hAnsi="Times New Roman" w:cs="Times New Roman"/>
        </w:rPr>
        <w:t>Freebayes is a Bayesian genetic variant detector used with default parameters to identify single-nucleotide polymorphisms (SNPs), insertions and deletions (InDels), multi-nucleotide polymorphisms (MNPs), and complex events (composite insertion and substitution events) in our mapped datasets (Garrison and Marth</w:t>
      </w:r>
      <w:r w:rsidR="001808C8" w:rsidRPr="00BA7CCB">
        <w:rPr>
          <w:rFonts w:ascii="Times New Roman" w:hAnsi="Times New Roman" w:cs="Times New Roman"/>
        </w:rPr>
        <w:t>,</w:t>
      </w:r>
      <w:r w:rsidR="00736F52" w:rsidRPr="00BA7CCB">
        <w:rPr>
          <w:rFonts w:ascii="Times New Roman" w:hAnsi="Times New Roman" w:cs="Times New Roman"/>
        </w:rPr>
        <w:t xml:space="preserve"> 2012). After the variant calling step, the </w:t>
      </w:r>
      <w:r w:rsidR="00736F52" w:rsidRPr="00BA7CCB">
        <w:rPr>
          <w:rFonts w:ascii="Times New Roman" w:hAnsi="Times New Roman" w:cs="Times New Roman"/>
        </w:rPr>
        <w:lastRenderedPageBreak/>
        <w:t xml:space="preserve">SnpSift filter tool was used to remove sequencing and alignment </w:t>
      </w:r>
      <w:r w:rsidR="00DA22C7" w:rsidRPr="00CF603F">
        <w:rPr>
          <w:rFonts w:ascii="Times New Roman" w:hAnsi="Times New Roman" w:cs="Times New Roman"/>
          <w:highlight w:val="yellow"/>
        </w:rPr>
        <w:t>artefacts</w:t>
      </w:r>
      <w:r w:rsidR="00DA22C7" w:rsidRPr="00CF603F">
        <w:rPr>
          <w:rFonts w:ascii="Times New Roman" w:hAnsi="Times New Roman" w:cs="Times New Roman"/>
          <w:highlight w:val="yellow"/>
        </w:rPr>
        <w:t xml:space="preserve"> </w:t>
      </w:r>
      <w:r w:rsidR="00736F52" w:rsidRPr="00CF603F">
        <w:rPr>
          <w:rFonts w:ascii="Times New Roman" w:hAnsi="Times New Roman" w:cs="Times New Roman"/>
          <w:highlight w:val="yellow"/>
        </w:rPr>
        <w:t>from</w:t>
      </w:r>
      <w:r w:rsidR="00736F52" w:rsidRPr="00BA7CCB">
        <w:rPr>
          <w:rFonts w:ascii="Times New Roman" w:hAnsi="Times New Roman" w:cs="Times New Roman"/>
        </w:rPr>
        <w:t xml:space="preserve"> the SNPs and InDels with the following parameters: DP ≥ 2 and QUAL ≥ 20 (Cingolani et al. 2012a). Furthermore, the freebayes output was filtered to include high-quality variants in the candidate genes, that is, quality (QUAL &gt; 1), presence of supporting reads on both strands (SAF &gt; 0 and SAR &gt; 0), both sides of the variant (RPL &gt; 1 and RPR &gt; 1), and high-quality per alternate observation (QUAL/AO &gt; 4).</w:t>
      </w:r>
    </w:p>
    <w:p w14:paraId="1A0EE22D" w14:textId="77777777" w:rsidR="00736F52" w:rsidRPr="00BA7CCB" w:rsidRDefault="00736F52" w:rsidP="00BA7CCB">
      <w:pPr>
        <w:spacing w:line="240" w:lineRule="auto"/>
        <w:jc w:val="both"/>
        <w:rPr>
          <w:rFonts w:ascii="Times New Roman" w:hAnsi="Times New Roman" w:cs="Times New Roman"/>
          <w:b/>
          <w:bCs/>
        </w:rPr>
      </w:pPr>
      <w:r w:rsidRPr="00BA7CCB">
        <w:rPr>
          <w:rFonts w:ascii="Times New Roman" w:hAnsi="Times New Roman" w:cs="Times New Roman"/>
          <w:b/>
          <w:bCs/>
        </w:rPr>
        <w:t>Variation annotation</w:t>
      </w:r>
    </w:p>
    <w:p w14:paraId="611B88C4" w14:textId="26471F06" w:rsidR="00736F52"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736F52" w:rsidRPr="00BA7CCB">
        <w:rPr>
          <w:rFonts w:ascii="Times New Roman" w:hAnsi="Times New Roman" w:cs="Times New Roman"/>
        </w:rPr>
        <w:t>SnpEff is a variant annotation and effect prediction tool used for the functional annotation of identified variants. The identified SNP/InDels were classified as high, moderate, low, and modifier using the SnpEff tool (Cingolani et al. 2012b). All analyses were performed using the Galaxy server (https://usegalaxy.org/) (Afgan et al. 2016). The Cattle Quantitative Trait Locus database (Cattle QTLdb) (https://www. animalgenome.org/cgi-bin/QTLdb/BT/index) contains cattle QTL, candidate genes responsible for various traits. The candidate genes related to calving interval were retrieved using Search and Analysis Tools of Cattle QTLdb</w:t>
      </w:r>
      <w:r w:rsidR="008F685A" w:rsidRPr="00BA7CCB">
        <w:rPr>
          <w:rFonts w:ascii="Times New Roman" w:hAnsi="Times New Roman" w:cs="Times New Roman"/>
        </w:rPr>
        <w:t xml:space="preserve"> </w:t>
      </w:r>
      <w:r w:rsidR="008F685A" w:rsidRPr="00CF603F">
        <w:rPr>
          <w:rFonts w:ascii="Times New Roman" w:hAnsi="Times New Roman" w:cs="Times New Roman"/>
          <w:highlight w:val="yellow"/>
        </w:rPr>
        <w:t xml:space="preserve">and </w:t>
      </w:r>
      <w:r w:rsidR="00DA22C7" w:rsidRPr="00CF603F">
        <w:rPr>
          <w:rFonts w:ascii="Times New Roman" w:hAnsi="Times New Roman" w:cs="Times New Roman"/>
          <w:highlight w:val="yellow"/>
        </w:rPr>
        <w:t xml:space="preserve">a </w:t>
      </w:r>
      <w:r w:rsidR="008F685A" w:rsidRPr="00CF603F">
        <w:rPr>
          <w:rFonts w:ascii="Times New Roman" w:hAnsi="Times New Roman" w:cs="Times New Roman"/>
          <w:highlight w:val="yellow"/>
        </w:rPr>
        <w:t>literature</w:t>
      </w:r>
      <w:r w:rsidR="008F685A" w:rsidRPr="00BA7CCB">
        <w:rPr>
          <w:rFonts w:ascii="Times New Roman" w:hAnsi="Times New Roman" w:cs="Times New Roman"/>
        </w:rPr>
        <w:t xml:space="preserve"> review</w:t>
      </w:r>
      <w:r w:rsidR="00736F52" w:rsidRPr="00BA7CCB">
        <w:rPr>
          <w:rFonts w:ascii="Times New Roman" w:hAnsi="Times New Roman" w:cs="Times New Roman"/>
        </w:rPr>
        <w:t xml:space="preserve">. Protein–protein interaction (PPI) networks and gene ontology and pathways were </w:t>
      </w:r>
      <w:r w:rsidR="00DA22C7" w:rsidRPr="00CF603F">
        <w:rPr>
          <w:rFonts w:ascii="Times New Roman" w:hAnsi="Times New Roman" w:cs="Times New Roman"/>
          <w:highlight w:val="yellow"/>
        </w:rPr>
        <w:t>analysed</w:t>
      </w:r>
      <w:r w:rsidR="00DA22C7" w:rsidRPr="00CF603F">
        <w:rPr>
          <w:rFonts w:ascii="Times New Roman" w:hAnsi="Times New Roman" w:cs="Times New Roman"/>
          <w:highlight w:val="yellow"/>
        </w:rPr>
        <w:t xml:space="preserve"> </w:t>
      </w:r>
      <w:r w:rsidR="00736F52" w:rsidRPr="00CF603F">
        <w:rPr>
          <w:rFonts w:ascii="Times New Roman" w:hAnsi="Times New Roman" w:cs="Times New Roman"/>
          <w:highlight w:val="yellow"/>
        </w:rPr>
        <w:t>using</w:t>
      </w:r>
      <w:r w:rsidR="00736F52" w:rsidRPr="00BA7CCB">
        <w:rPr>
          <w:rFonts w:ascii="Times New Roman" w:hAnsi="Times New Roman" w:cs="Times New Roman"/>
        </w:rPr>
        <w:t xml:space="preserve"> the STRING database server to determine the functional roles of retrieved candidate genes from the Cattle QTLdb databases</w:t>
      </w:r>
      <w:r w:rsidR="008F685A" w:rsidRPr="00BA7CCB">
        <w:rPr>
          <w:rFonts w:ascii="Times New Roman" w:hAnsi="Times New Roman" w:cs="Times New Roman"/>
        </w:rPr>
        <w:t xml:space="preserve"> and from </w:t>
      </w:r>
      <w:r w:rsidR="00DA22C7" w:rsidRPr="00CF603F">
        <w:rPr>
          <w:rFonts w:ascii="Times New Roman" w:hAnsi="Times New Roman" w:cs="Times New Roman"/>
          <w:highlight w:val="yellow"/>
        </w:rPr>
        <w:t>literature</w:t>
      </w:r>
      <w:r w:rsidR="00DA22C7" w:rsidRPr="00CF603F">
        <w:rPr>
          <w:rFonts w:ascii="Times New Roman" w:hAnsi="Times New Roman" w:cs="Times New Roman"/>
          <w:highlight w:val="yellow"/>
        </w:rPr>
        <w:t xml:space="preserve"> </w:t>
      </w:r>
      <w:r w:rsidR="00736F52" w:rsidRPr="00CF603F">
        <w:rPr>
          <w:rFonts w:ascii="Times New Roman" w:hAnsi="Times New Roman" w:cs="Times New Roman"/>
          <w:highlight w:val="yellow"/>
        </w:rPr>
        <w:t>in structuring</w:t>
      </w:r>
      <w:r w:rsidR="00736F52" w:rsidRPr="00BA7CCB">
        <w:rPr>
          <w:rFonts w:ascii="Times New Roman" w:hAnsi="Times New Roman" w:cs="Times New Roman"/>
        </w:rPr>
        <w:t xml:space="preserve"> and mediating the biological processes of calving interval of zebu cattle breeds.</w:t>
      </w:r>
    </w:p>
    <w:p w14:paraId="53B236B1" w14:textId="5324BC83" w:rsidR="00B72165" w:rsidRPr="00BA7CCB" w:rsidRDefault="00B72165" w:rsidP="00BA7CCB">
      <w:pPr>
        <w:spacing w:line="240" w:lineRule="auto"/>
        <w:jc w:val="both"/>
        <w:rPr>
          <w:rFonts w:ascii="Times New Roman" w:hAnsi="Times New Roman" w:cs="Times New Roman"/>
          <w:b/>
          <w:bCs/>
        </w:rPr>
      </w:pPr>
      <w:r w:rsidRPr="00BA7CCB">
        <w:rPr>
          <w:rFonts w:ascii="Times New Roman" w:hAnsi="Times New Roman" w:cs="Times New Roman"/>
          <w:b/>
          <w:bCs/>
        </w:rPr>
        <w:t>Results and Discussion</w:t>
      </w:r>
    </w:p>
    <w:p w14:paraId="6DD369C8" w14:textId="4D9E2F0B" w:rsidR="00BB4633"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BB4633" w:rsidRPr="00BA7CCB">
        <w:rPr>
          <w:rFonts w:ascii="Times New Roman" w:hAnsi="Times New Roman" w:cs="Times New Roman"/>
        </w:rPr>
        <w:t>Over the past decade, extensive research has identified a wide range of candidate genes and biological pathways contributing to variation in calving interval (CI) in cattle. Evidence from genome-wide association studies (GWAS), linkage mapping, and functional annotation has established CI as a polygenic trait influenced by genes related to hormonal regulation, metabolic processes, and ovarian function. Despite these advances, the genetic basis of CI in </w:t>
      </w:r>
      <w:r w:rsidR="00BB4633" w:rsidRPr="00BA7CCB">
        <w:rPr>
          <w:rFonts w:ascii="Times New Roman" w:hAnsi="Times New Roman" w:cs="Times New Roman"/>
          <w:i/>
          <w:iCs/>
        </w:rPr>
        <w:t>Bos indicus</w:t>
      </w:r>
      <w:r w:rsidR="00BB4633" w:rsidRPr="00BA7CCB">
        <w:rPr>
          <w:rFonts w:ascii="Times New Roman" w:hAnsi="Times New Roman" w:cs="Times New Roman"/>
        </w:rPr>
        <w:t> cattle remains insufficiently understood. Comparative genomic analyses between tropical </w:t>
      </w:r>
      <w:r w:rsidR="00BB4633" w:rsidRPr="00BA7CCB">
        <w:rPr>
          <w:rFonts w:ascii="Times New Roman" w:hAnsi="Times New Roman" w:cs="Times New Roman"/>
          <w:i/>
          <w:iCs/>
        </w:rPr>
        <w:t>Bos indicus</w:t>
      </w:r>
      <w:r w:rsidR="00BB4633" w:rsidRPr="00BA7CCB">
        <w:rPr>
          <w:rFonts w:ascii="Times New Roman" w:hAnsi="Times New Roman" w:cs="Times New Roman"/>
        </w:rPr>
        <w:t> breeds and temperate </w:t>
      </w:r>
      <w:r w:rsidR="00BB4633" w:rsidRPr="00BA7CCB">
        <w:rPr>
          <w:rFonts w:ascii="Times New Roman" w:hAnsi="Times New Roman" w:cs="Times New Roman"/>
          <w:i/>
          <w:iCs/>
        </w:rPr>
        <w:t>Bos taurus</w:t>
      </w:r>
      <w:r w:rsidR="00BB4633" w:rsidRPr="00BA7CCB">
        <w:rPr>
          <w:rFonts w:ascii="Times New Roman" w:hAnsi="Times New Roman" w:cs="Times New Roman"/>
        </w:rPr>
        <w:t xml:space="preserve"> populations can provide critical insights into the genetic variants, biological processes, </w:t>
      </w:r>
      <w:r w:rsidR="00BB4633" w:rsidRPr="00CF603F">
        <w:rPr>
          <w:rFonts w:ascii="Times New Roman" w:hAnsi="Times New Roman" w:cs="Times New Roman"/>
          <w:highlight w:val="yellow"/>
        </w:rPr>
        <w:t xml:space="preserve">and </w:t>
      </w:r>
      <w:r w:rsidR="00DA22C7" w:rsidRPr="00CF603F">
        <w:rPr>
          <w:rFonts w:ascii="Times New Roman" w:hAnsi="Times New Roman" w:cs="Times New Roman"/>
          <w:highlight w:val="yellow"/>
        </w:rPr>
        <w:t>signalling</w:t>
      </w:r>
      <w:r w:rsidR="00DA22C7" w:rsidRPr="00CF603F">
        <w:rPr>
          <w:rFonts w:ascii="Times New Roman" w:hAnsi="Times New Roman" w:cs="Times New Roman"/>
          <w:highlight w:val="yellow"/>
        </w:rPr>
        <w:t xml:space="preserve"> </w:t>
      </w:r>
      <w:r w:rsidR="00BB4633" w:rsidRPr="00CF603F">
        <w:rPr>
          <w:rFonts w:ascii="Times New Roman" w:hAnsi="Times New Roman" w:cs="Times New Roman"/>
          <w:highlight w:val="yellow"/>
        </w:rPr>
        <w:t>pathways</w:t>
      </w:r>
      <w:r w:rsidR="00BB4633" w:rsidRPr="00BA7CCB">
        <w:rPr>
          <w:rFonts w:ascii="Times New Roman" w:hAnsi="Times New Roman" w:cs="Times New Roman"/>
        </w:rPr>
        <w:t xml:space="preserve"> that enable indicine breeds to adapt their reproductive performance to tropical environments. To address this, the present study </w:t>
      </w:r>
      <w:r w:rsidR="00DA22C7" w:rsidRPr="00CF603F">
        <w:rPr>
          <w:rFonts w:ascii="Times New Roman" w:hAnsi="Times New Roman" w:cs="Times New Roman"/>
          <w:highlight w:val="yellow"/>
        </w:rPr>
        <w:t>utilised</w:t>
      </w:r>
      <w:r w:rsidR="00DA22C7" w:rsidRPr="00CF603F">
        <w:rPr>
          <w:rFonts w:ascii="Times New Roman" w:hAnsi="Times New Roman" w:cs="Times New Roman"/>
          <w:highlight w:val="yellow"/>
        </w:rPr>
        <w:t xml:space="preserve"> </w:t>
      </w:r>
      <w:r w:rsidR="00BB4633" w:rsidRPr="00CF603F">
        <w:rPr>
          <w:rFonts w:ascii="Times New Roman" w:hAnsi="Times New Roman" w:cs="Times New Roman"/>
          <w:highlight w:val="yellow"/>
        </w:rPr>
        <w:t>whole</w:t>
      </w:r>
      <w:r w:rsidR="00BB4633" w:rsidRPr="00BA7CCB">
        <w:rPr>
          <w:rFonts w:ascii="Times New Roman" w:hAnsi="Times New Roman" w:cs="Times New Roman"/>
        </w:rPr>
        <w:t xml:space="preserve">-genome sequence data previously generated for five Indian indigenous breeds—Kangayam, Tharparkar, Sahiwal, Red Sindhi, and Hariana. In total, 17,252 genes carrying SNPs or InDels predicted to cause high or moderate impacts on protein function were identified. Among these, 57 genes, including LTF, SELP, GC, LENG8, LEPR, GHR, GH1, RPS9, TLR4, GNRHR, ARHGAP29, SEC24D, METTL14, SLC36A2, SLC36A3, APBA3, TCF12, and ZFR2, were </w:t>
      </w:r>
      <w:r w:rsidR="00DA22C7" w:rsidRPr="00CF603F">
        <w:rPr>
          <w:rFonts w:ascii="Times New Roman" w:hAnsi="Times New Roman" w:cs="Times New Roman"/>
          <w:highlight w:val="yellow"/>
        </w:rPr>
        <w:t>recognised</w:t>
      </w:r>
      <w:r w:rsidR="00DA22C7" w:rsidRPr="00CF603F">
        <w:rPr>
          <w:rFonts w:ascii="Times New Roman" w:hAnsi="Times New Roman" w:cs="Times New Roman"/>
          <w:highlight w:val="yellow"/>
        </w:rPr>
        <w:t xml:space="preserve"> </w:t>
      </w:r>
      <w:r w:rsidR="00BB4633" w:rsidRPr="00CF603F">
        <w:rPr>
          <w:rFonts w:ascii="Times New Roman" w:hAnsi="Times New Roman" w:cs="Times New Roman"/>
          <w:highlight w:val="yellow"/>
        </w:rPr>
        <w:t>as potential</w:t>
      </w:r>
      <w:r w:rsidR="00BB4633" w:rsidRPr="00BA7CCB">
        <w:rPr>
          <w:rFonts w:ascii="Times New Roman" w:hAnsi="Times New Roman" w:cs="Times New Roman"/>
        </w:rPr>
        <w:t xml:space="preserve"> candidates associated with CI. Functional annotation of these genes provides a valuable genomic resource </w:t>
      </w:r>
      <w:r w:rsidR="00BB4633" w:rsidRPr="00CF603F">
        <w:rPr>
          <w:rFonts w:ascii="Times New Roman" w:hAnsi="Times New Roman" w:cs="Times New Roman"/>
          <w:highlight w:val="yellow"/>
        </w:rPr>
        <w:t xml:space="preserve">for </w:t>
      </w:r>
      <w:r w:rsidR="00DA22C7" w:rsidRPr="00CF603F">
        <w:rPr>
          <w:rFonts w:ascii="Times New Roman" w:hAnsi="Times New Roman" w:cs="Times New Roman"/>
          <w:highlight w:val="yellow"/>
        </w:rPr>
        <w:t>unravelling</w:t>
      </w:r>
      <w:r w:rsidR="00DA22C7" w:rsidRPr="00BA7CCB">
        <w:rPr>
          <w:rFonts w:ascii="Times New Roman" w:hAnsi="Times New Roman" w:cs="Times New Roman"/>
        </w:rPr>
        <w:t xml:space="preserve"> </w:t>
      </w:r>
      <w:r w:rsidR="00BB4633" w:rsidRPr="00BA7CCB">
        <w:rPr>
          <w:rFonts w:ascii="Times New Roman" w:hAnsi="Times New Roman" w:cs="Times New Roman"/>
        </w:rPr>
        <w:t>the molecular mechanisms regulating calving interval in </w:t>
      </w:r>
      <w:r w:rsidR="00BB4633" w:rsidRPr="00BA7CCB">
        <w:rPr>
          <w:rFonts w:ascii="Times New Roman" w:hAnsi="Times New Roman" w:cs="Times New Roman"/>
          <w:i/>
          <w:iCs/>
        </w:rPr>
        <w:t>Bos indicus</w:t>
      </w:r>
      <w:r w:rsidR="00BB4633" w:rsidRPr="00BA7CCB">
        <w:rPr>
          <w:rFonts w:ascii="Times New Roman" w:hAnsi="Times New Roman" w:cs="Times New Roman"/>
        </w:rPr>
        <w:t> cattle.</w:t>
      </w:r>
    </w:p>
    <w:p w14:paraId="1BB462BD" w14:textId="3587E618" w:rsidR="00F1252D" w:rsidRPr="00BA7CCB" w:rsidRDefault="00B72413" w:rsidP="00BA7CCB">
      <w:pPr>
        <w:spacing w:line="240" w:lineRule="auto"/>
        <w:jc w:val="both"/>
        <w:rPr>
          <w:rFonts w:ascii="Times New Roman" w:hAnsi="Times New Roman" w:cs="Times New Roman"/>
        </w:rPr>
      </w:pPr>
      <w:r w:rsidRPr="00BA7CCB">
        <w:rPr>
          <w:rFonts w:ascii="Times New Roman" w:hAnsi="Times New Roman" w:cs="Times New Roman"/>
        </w:rPr>
        <w:tab/>
      </w:r>
      <w:r w:rsidR="00197BB6" w:rsidRPr="00BA7CCB">
        <w:rPr>
          <w:rFonts w:ascii="Times New Roman" w:hAnsi="Times New Roman" w:cs="Times New Roman"/>
        </w:rPr>
        <w:t>Lactoferrin (LTF) plays a crucial role in maintaining uterine health postpartum through its antimicrobial and immunomodulatory properties. By controlling bacterial growth and supporting iron homeostasis, LTF facilitates rapid uterine involution and the early resumption of ovarian cycles, which are essential for reducing the calving interval in cattle (</w:t>
      </w:r>
      <w:r w:rsidR="00DE0803" w:rsidRPr="00BA7CCB">
        <w:rPr>
          <w:rFonts w:ascii="Times New Roman" w:hAnsi="Times New Roman" w:cs="Times New Roman"/>
        </w:rPr>
        <w:t xml:space="preserve">Farnaud and Evans, 2003; Bahar </w:t>
      </w:r>
      <w:r w:rsidR="00197BB6" w:rsidRPr="00BA7CCB">
        <w:rPr>
          <w:rFonts w:ascii="Times New Roman" w:hAnsi="Times New Roman" w:cs="Times New Roman"/>
        </w:rPr>
        <w:t>et al., 201</w:t>
      </w:r>
      <w:r w:rsidR="00DE0803" w:rsidRPr="00BA7CCB">
        <w:rPr>
          <w:rFonts w:ascii="Times New Roman" w:hAnsi="Times New Roman" w:cs="Times New Roman"/>
        </w:rPr>
        <w:t>1</w:t>
      </w:r>
      <w:r w:rsidR="00197BB6" w:rsidRPr="00BA7CCB">
        <w:rPr>
          <w:rFonts w:ascii="Times New Roman" w:hAnsi="Times New Roman" w:cs="Times New Roman"/>
        </w:rPr>
        <w:t>). The SELP gene encodes P-selectin, an adhesion molecule critical for leukocyte trafficking and proper placental attachment. Variations in SELP influence embryo implantation success and early pregnancy maintenance, impacting fertility and thus the length of the calving interval (</w:t>
      </w:r>
      <w:r w:rsidR="00D6549C" w:rsidRPr="00BA7CCB">
        <w:rPr>
          <w:rFonts w:ascii="Times New Roman" w:hAnsi="Times New Roman" w:cs="Times New Roman"/>
        </w:rPr>
        <w:t xml:space="preserve">Chen </w:t>
      </w:r>
      <w:r w:rsidR="00197BB6" w:rsidRPr="00BA7CCB">
        <w:rPr>
          <w:rFonts w:ascii="Times New Roman" w:hAnsi="Times New Roman" w:cs="Times New Roman"/>
        </w:rPr>
        <w:t>et al., 2017).</w:t>
      </w:r>
      <w:r w:rsidRPr="00BA7CCB">
        <w:rPr>
          <w:rFonts w:ascii="Times New Roman" w:hAnsi="Times New Roman" w:cs="Times New Roman"/>
        </w:rPr>
        <w:t xml:space="preserve"> The vitamin D binding protein encoded by GC regulates vitamin D transport and is associated with </w:t>
      </w:r>
      <w:r w:rsidRPr="00BA7CCB">
        <w:rPr>
          <w:rFonts w:ascii="Times New Roman" w:hAnsi="Times New Roman" w:cs="Times New Roman"/>
        </w:rPr>
        <w:lastRenderedPageBreak/>
        <w:t>calcium metabolism and steroid hormone synthesis, both vital for ovarian follicle development and estrogen production. Polymorphisms in GC correlate with reproductive efficiency and calving interval variations by modulating these physiological pathways (</w:t>
      </w:r>
      <w:r w:rsidR="00D6549C" w:rsidRPr="00BA7CCB">
        <w:rPr>
          <w:rFonts w:ascii="Times New Roman" w:hAnsi="Times New Roman" w:cs="Times New Roman"/>
        </w:rPr>
        <w:t xml:space="preserve">Lee </w:t>
      </w:r>
      <w:r w:rsidRPr="00BA7CCB">
        <w:rPr>
          <w:rFonts w:ascii="Times New Roman" w:hAnsi="Times New Roman" w:cs="Times New Roman"/>
        </w:rPr>
        <w:t>et al., 2021).</w:t>
      </w:r>
    </w:p>
    <w:p w14:paraId="0C9A29BB" w14:textId="10C22187" w:rsidR="00B72413"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B72413" w:rsidRPr="00BA7CCB">
        <w:rPr>
          <w:rFonts w:ascii="Times New Roman" w:hAnsi="Times New Roman" w:cs="Times New Roman"/>
        </w:rPr>
        <w:t xml:space="preserve">Energy and metabolic </w:t>
      </w:r>
      <w:r w:rsidR="00DA22C7" w:rsidRPr="00CF603F">
        <w:rPr>
          <w:rFonts w:ascii="Times New Roman" w:hAnsi="Times New Roman" w:cs="Times New Roman"/>
          <w:highlight w:val="yellow"/>
        </w:rPr>
        <w:t>signalling</w:t>
      </w:r>
      <w:r w:rsidR="00DA22C7" w:rsidRPr="00CF603F">
        <w:rPr>
          <w:rFonts w:ascii="Times New Roman" w:hAnsi="Times New Roman" w:cs="Times New Roman"/>
          <w:highlight w:val="yellow"/>
        </w:rPr>
        <w:t xml:space="preserve"> </w:t>
      </w:r>
      <w:r w:rsidR="00B72413" w:rsidRPr="00CF603F">
        <w:rPr>
          <w:rFonts w:ascii="Times New Roman" w:hAnsi="Times New Roman" w:cs="Times New Roman"/>
          <w:highlight w:val="yellow"/>
        </w:rPr>
        <w:t>genes</w:t>
      </w:r>
      <w:r w:rsidR="00B72413" w:rsidRPr="00BA7CCB">
        <w:rPr>
          <w:rFonts w:ascii="Times New Roman" w:hAnsi="Times New Roman" w:cs="Times New Roman"/>
        </w:rPr>
        <w:t xml:space="preserve">, including LEPR and LEP, regulate appetite and body energy status, transmitting nutritional information to the hypothalamic-pituitary axis to modulate gonadotropin release. Functional variations in these genes alter </w:t>
      </w:r>
      <w:r w:rsidR="00DA22C7" w:rsidRPr="00CF603F">
        <w:rPr>
          <w:rFonts w:ascii="Times New Roman" w:hAnsi="Times New Roman" w:cs="Times New Roman"/>
          <w:highlight w:val="yellow"/>
        </w:rPr>
        <w:t>oestrous</w:t>
      </w:r>
      <w:r w:rsidR="00DA22C7" w:rsidRPr="00BA7CCB">
        <w:rPr>
          <w:rFonts w:ascii="Times New Roman" w:hAnsi="Times New Roman" w:cs="Times New Roman"/>
        </w:rPr>
        <w:t xml:space="preserve"> </w:t>
      </w:r>
      <w:r w:rsidR="00B72413" w:rsidRPr="00BA7CCB">
        <w:rPr>
          <w:rFonts w:ascii="Times New Roman" w:hAnsi="Times New Roman" w:cs="Times New Roman"/>
        </w:rPr>
        <w:t>cyclicity, puberty onset, and ovulation rates, which directly affect calving intervals (De Matteis et al., 2012). LENG8, involved in mRNA processing and mitochondrial function, supports energy metabolism in reproductively active tissues such as the ovary and uterus. Adequate energy supply mediated by LENG8 activity is essential for folliculogenesis and gestation maintenance, influencing reproductive timing and calving interval (</w:t>
      </w:r>
      <w:r w:rsidR="000A7119" w:rsidRPr="00BA7CCB">
        <w:rPr>
          <w:rFonts w:ascii="Times New Roman" w:hAnsi="Times New Roman" w:cs="Times New Roman"/>
        </w:rPr>
        <w:t>Zhoa</w:t>
      </w:r>
      <w:r w:rsidR="00B72413" w:rsidRPr="00BA7CCB">
        <w:rPr>
          <w:rFonts w:ascii="Times New Roman" w:hAnsi="Times New Roman" w:cs="Times New Roman"/>
        </w:rPr>
        <w:t xml:space="preserve"> et al., 2021). The GHR and GH1 genes govern growth hormone </w:t>
      </w:r>
      <w:r w:rsidR="00DA22C7" w:rsidRPr="00CF603F">
        <w:rPr>
          <w:rFonts w:ascii="Times New Roman" w:hAnsi="Times New Roman" w:cs="Times New Roman"/>
          <w:highlight w:val="yellow"/>
        </w:rPr>
        <w:t>signalling</w:t>
      </w:r>
      <w:r w:rsidR="00B72413" w:rsidRPr="00CF603F">
        <w:rPr>
          <w:rFonts w:ascii="Times New Roman" w:hAnsi="Times New Roman" w:cs="Times New Roman"/>
          <w:highlight w:val="yellow"/>
        </w:rPr>
        <w:t>, which</w:t>
      </w:r>
      <w:r w:rsidR="00B72413" w:rsidRPr="00BA7CCB">
        <w:rPr>
          <w:rFonts w:ascii="Times New Roman" w:hAnsi="Times New Roman" w:cs="Times New Roman"/>
        </w:rPr>
        <w:t xml:space="preserve"> indirectly affects reproduction by regulating insulin-like growth factor-1 (IGF-1) levels pivotal for follicular growth, oocyte maturation, and uterine receptivity; polymorphisms in these genes have been linked to altered fertility and calving intervals in cattle (Ga</w:t>
      </w:r>
      <w:r w:rsidR="00520AB9" w:rsidRPr="00BA7CCB">
        <w:rPr>
          <w:rFonts w:ascii="Times New Roman" w:hAnsi="Times New Roman" w:cs="Times New Roman"/>
        </w:rPr>
        <w:t xml:space="preserve">rrett et al., </w:t>
      </w:r>
      <w:r w:rsidR="00B72413" w:rsidRPr="00BA7CCB">
        <w:rPr>
          <w:rFonts w:ascii="Times New Roman" w:hAnsi="Times New Roman" w:cs="Times New Roman"/>
        </w:rPr>
        <w:t xml:space="preserve">2008). The ribosomal protein gene RPS9 is essential for sustained protein synthesis, facilitating cellular proliferation and tissue </w:t>
      </w:r>
      <w:r w:rsidR="00DA22C7" w:rsidRPr="00CF603F">
        <w:rPr>
          <w:rFonts w:ascii="Times New Roman" w:hAnsi="Times New Roman" w:cs="Times New Roman"/>
          <w:highlight w:val="yellow"/>
        </w:rPr>
        <w:t>remodelling</w:t>
      </w:r>
      <w:r w:rsidR="00DA22C7" w:rsidRPr="00CF603F">
        <w:rPr>
          <w:rFonts w:ascii="Times New Roman" w:hAnsi="Times New Roman" w:cs="Times New Roman"/>
          <w:highlight w:val="yellow"/>
        </w:rPr>
        <w:t xml:space="preserve"> </w:t>
      </w:r>
      <w:r w:rsidR="00B72413" w:rsidRPr="00CF603F">
        <w:rPr>
          <w:rFonts w:ascii="Times New Roman" w:hAnsi="Times New Roman" w:cs="Times New Roman"/>
          <w:highlight w:val="yellow"/>
        </w:rPr>
        <w:t>in reproductive</w:t>
      </w:r>
      <w:r w:rsidR="00B72413" w:rsidRPr="00BA7CCB">
        <w:rPr>
          <w:rFonts w:ascii="Times New Roman" w:hAnsi="Times New Roman" w:cs="Times New Roman"/>
        </w:rPr>
        <w:t xml:space="preserve"> organs during the </w:t>
      </w:r>
      <w:r w:rsidR="00DA22C7" w:rsidRPr="00CF603F">
        <w:rPr>
          <w:rFonts w:ascii="Times New Roman" w:hAnsi="Times New Roman" w:cs="Times New Roman"/>
          <w:highlight w:val="yellow"/>
        </w:rPr>
        <w:t>oestrus</w:t>
      </w:r>
      <w:r w:rsidR="00B72413" w:rsidRPr="00CF603F">
        <w:rPr>
          <w:rFonts w:ascii="Times New Roman" w:hAnsi="Times New Roman" w:cs="Times New Roman"/>
          <w:highlight w:val="yellow"/>
        </w:rPr>
        <w:t xml:space="preserve"> cy</w:t>
      </w:r>
      <w:r w:rsidR="00B72413" w:rsidRPr="00BA7CCB">
        <w:rPr>
          <w:rFonts w:ascii="Times New Roman" w:hAnsi="Times New Roman" w:cs="Times New Roman"/>
        </w:rPr>
        <w:t>cle and postpartum recovery (</w:t>
      </w:r>
      <w:r w:rsidR="002565DD" w:rsidRPr="00BA7CCB">
        <w:rPr>
          <w:rFonts w:ascii="Times New Roman" w:hAnsi="Times New Roman" w:cs="Times New Roman"/>
        </w:rPr>
        <w:t>Janovick-Guretzky</w:t>
      </w:r>
      <w:r w:rsidR="00B72413" w:rsidRPr="00BA7CCB">
        <w:rPr>
          <w:rFonts w:ascii="Times New Roman" w:hAnsi="Times New Roman" w:cs="Times New Roman"/>
        </w:rPr>
        <w:t xml:space="preserve"> et al., 2007). Innate immunity mediated by TLR4 </w:t>
      </w:r>
      <w:r w:rsidR="00DA22C7" w:rsidRPr="00CF603F">
        <w:rPr>
          <w:rFonts w:ascii="Times New Roman" w:hAnsi="Times New Roman" w:cs="Times New Roman"/>
          <w:highlight w:val="yellow"/>
        </w:rPr>
        <w:t>recognises</w:t>
      </w:r>
      <w:r w:rsidR="00DA22C7" w:rsidRPr="00CF603F">
        <w:rPr>
          <w:rFonts w:ascii="Times New Roman" w:hAnsi="Times New Roman" w:cs="Times New Roman"/>
          <w:highlight w:val="yellow"/>
        </w:rPr>
        <w:t xml:space="preserve"> </w:t>
      </w:r>
      <w:r w:rsidR="00B72413" w:rsidRPr="00CF603F">
        <w:rPr>
          <w:rFonts w:ascii="Times New Roman" w:hAnsi="Times New Roman" w:cs="Times New Roman"/>
          <w:highlight w:val="yellow"/>
        </w:rPr>
        <w:t>microbial</w:t>
      </w:r>
      <w:r w:rsidR="00B72413" w:rsidRPr="00BA7CCB">
        <w:rPr>
          <w:rFonts w:ascii="Times New Roman" w:hAnsi="Times New Roman" w:cs="Times New Roman"/>
        </w:rPr>
        <w:t xml:space="preserve"> pathogens, triggering immune responses critical to preventing and resolving uterine infections post-calving.</w:t>
      </w:r>
      <w:r w:rsidR="00306011" w:rsidRPr="00BA7CCB">
        <w:rPr>
          <w:rFonts w:ascii="Times New Roman" w:hAnsi="Times New Roman" w:cs="Times New Roman"/>
        </w:rPr>
        <w:t xml:space="preserve"> GNRHR, encoding the gonadotropin-releasing hormone receptor, is fundamentally involved in the hypothalamic-pituitary-gonadal axis by regulating luteinizing hormone (LH) and follicle-stimulating hormone (FSH) secretion. Polymorphisms in GNRHR alter ovulatory cycles and fertility, directly influencing calving interval length. </w:t>
      </w:r>
    </w:p>
    <w:p w14:paraId="2821EF71" w14:textId="028CFCD5" w:rsidR="00A35DB6"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A35DB6" w:rsidRPr="00BA7CCB">
        <w:rPr>
          <w:rFonts w:ascii="Times New Roman" w:hAnsi="Times New Roman" w:cs="Times New Roman"/>
        </w:rPr>
        <w:t>Genome-wide association studies (GWAS) in Holstein dairy cows have identified several genes, including ARHGAP29, SEC24D, METTL14, SLC36A2, and SLC36A3, which are implicated in processes such as cellular transport and methylation that can influence reproductive cycle efficiency (Atashi et al., 2020). Similarly, studies in Hanwoo cattle revealed APBA3, TCF12, and ZFR2 as candidates that affect reproductive traits by modulating neuroendocrine and transcriptional regulation pathways (Haque et al., 2024). Furthermore, MTHFR have been reported by multiple investigations as fundamental to the insulin-like growth factor (IGF) system and methylation pathways critical for ovarian function and calving interval (</w:t>
      </w:r>
      <w:r w:rsidR="002565DD" w:rsidRPr="00BA7CCB">
        <w:rPr>
          <w:rFonts w:ascii="Times New Roman" w:hAnsi="Times New Roman" w:cs="Times New Roman"/>
        </w:rPr>
        <w:t xml:space="preserve">Mota </w:t>
      </w:r>
      <w:r w:rsidR="00A35DB6" w:rsidRPr="00BA7CCB">
        <w:rPr>
          <w:rFonts w:ascii="Times New Roman" w:hAnsi="Times New Roman" w:cs="Times New Roman"/>
        </w:rPr>
        <w:t xml:space="preserve">et al., 2020; Peripolli et al., 2024). Genes such as CACNA1A and CACNA1D have also been linked to calcium </w:t>
      </w:r>
      <w:r w:rsidR="00DA22C7" w:rsidRPr="00CF603F">
        <w:rPr>
          <w:rFonts w:ascii="Times New Roman" w:hAnsi="Times New Roman" w:cs="Times New Roman"/>
          <w:highlight w:val="yellow"/>
        </w:rPr>
        <w:t>signalling</w:t>
      </w:r>
      <w:r w:rsidR="00DA22C7" w:rsidRPr="00CF603F">
        <w:rPr>
          <w:rFonts w:ascii="Times New Roman" w:hAnsi="Times New Roman" w:cs="Times New Roman"/>
          <w:highlight w:val="yellow"/>
        </w:rPr>
        <w:t xml:space="preserve"> </w:t>
      </w:r>
      <w:r w:rsidR="00A35DB6" w:rsidRPr="00CF603F">
        <w:rPr>
          <w:rFonts w:ascii="Times New Roman" w:hAnsi="Times New Roman" w:cs="Times New Roman"/>
          <w:highlight w:val="yellow"/>
        </w:rPr>
        <w:t>integral</w:t>
      </w:r>
      <w:r w:rsidR="00A35DB6" w:rsidRPr="00BA7CCB">
        <w:rPr>
          <w:rFonts w:ascii="Times New Roman" w:hAnsi="Times New Roman" w:cs="Times New Roman"/>
        </w:rPr>
        <w:t xml:space="preserve"> to ovarian function </w:t>
      </w:r>
      <w:r w:rsidR="007F78D9" w:rsidRPr="00BA7CCB">
        <w:rPr>
          <w:rFonts w:ascii="Times New Roman" w:hAnsi="Times New Roman" w:cs="Times New Roman"/>
        </w:rPr>
        <w:t>and embryonic development (Ferna</w:t>
      </w:r>
      <w:r w:rsidR="00A35DB6" w:rsidRPr="00BA7CCB">
        <w:rPr>
          <w:rFonts w:ascii="Times New Roman" w:hAnsi="Times New Roman" w:cs="Times New Roman"/>
        </w:rPr>
        <w:t>ndez et al., 20</w:t>
      </w:r>
      <w:r w:rsidR="007F78D9" w:rsidRPr="00BA7CCB">
        <w:rPr>
          <w:rFonts w:ascii="Times New Roman" w:hAnsi="Times New Roman" w:cs="Times New Roman"/>
        </w:rPr>
        <w:t>19</w:t>
      </w:r>
      <w:r w:rsidR="00A35DB6" w:rsidRPr="00BA7CCB">
        <w:rPr>
          <w:rFonts w:ascii="Times New Roman" w:hAnsi="Times New Roman" w:cs="Times New Roman"/>
        </w:rPr>
        <w:t>). Collectively, these genes orchestrate interdependent pathways encompassing ovarian follicle development, embryo implantation, metabolic adaptation, and postpartum recovery, which converge to determine reproductive efficiency and calving interval in cattle.</w:t>
      </w:r>
    </w:p>
    <w:p w14:paraId="3425BDB7" w14:textId="331F360C" w:rsidR="004152F0"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BB4633" w:rsidRPr="00BA7CCB">
        <w:rPr>
          <w:rFonts w:ascii="Times New Roman" w:hAnsi="Times New Roman" w:cs="Times New Roman"/>
        </w:rPr>
        <w:t xml:space="preserve">Functional annotation of the identified candidate genes revealed enrichment for several Gene Ontology (GO) terms, including cellular response to hormonal stimuli, growth factor activity, positive regulation of insulin-like growth factor receptor </w:t>
      </w:r>
      <w:r w:rsidR="00DA22C7" w:rsidRPr="00CF603F">
        <w:rPr>
          <w:rFonts w:ascii="Times New Roman" w:hAnsi="Times New Roman" w:cs="Times New Roman"/>
          <w:highlight w:val="yellow"/>
        </w:rPr>
        <w:t>signalling</w:t>
      </w:r>
      <w:r w:rsidR="00BB4633" w:rsidRPr="00CF603F">
        <w:rPr>
          <w:rFonts w:ascii="Times New Roman" w:hAnsi="Times New Roman" w:cs="Times New Roman"/>
          <w:highlight w:val="yellow"/>
        </w:rPr>
        <w:t>,</w:t>
      </w:r>
      <w:r w:rsidR="00BB4633" w:rsidRPr="00BA7CCB">
        <w:rPr>
          <w:rFonts w:ascii="Times New Roman" w:hAnsi="Times New Roman" w:cs="Times New Roman"/>
        </w:rPr>
        <w:t xml:space="preserve"> regulation of glucose metabolism, peptide and lipid response, protein kinase activity regulation, ovulation cycle processes, and female gonad development (</w:t>
      </w:r>
      <w:bookmarkStart w:id="0" w:name="_Hlk208680487"/>
      <w:r w:rsidR="00BB4633" w:rsidRPr="00BA7CCB">
        <w:rPr>
          <w:rFonts w:ascii="Times New Roman" w:hAnsi="Times New Roman" w:cs="Times New Roman"/>
        </w:rPr>
        <w:t xml:space="preserve">Table </w:t>
      </w:r>
      <w:r w:rsidR="00711201" w:rsidRPr="00BA7CCB">
        <w:rPr>
          <w:rFonts w:ascii="Times New Roman" w:hAnsi="Times New Roman" w:cs="Times New Roman"/>
        </w:rPr>
        <w:t>1</w:t>
      </w:r>
      <w:bookmarkEnd w:id="0"/>
      <w:r w:rsidR="00BB4633" w:rsidRPr="00BA7CCB">
        <w:rPr>
          <w:rFonts w:ascii="Times New Roman" w:hAnsi="Times New Roman" w:cs="Times New Roman"/>
        </w:rPr>
        <w:t xml:space="preserve">). Many of these GO terms have been previously documented in earlier studies, supporting their relevance to reproductive traits. </w:t>
      </w:r>
      <w:r w:rsidR="004152F0" w:rsidRPr="00BA7CCB">
        <w:rPr>
          <w:rFonts w:ascii="Times New Roman" w:hAnsi="Times New Roman" w:cs="Times New Roman"/>
        </w:rPr>
        <w:t xml:space="preserve">Gene ontology (GO) analyses have consistently shown enrichment in biological processes related to hormone regulation, including the regulation of gonadotropin secretion, growth hormone receptor </w:t>
      </w:r>
      <w:r w:rsidR="00DA22C7" w:rsidRPr="00CF603F">
        <w:rPr>
          <w:rFonts w:ascii="Times New Roman" w:hAnsi="Times New Roman" w:cs="Times New Roman"/>
          <w:highlight w:val="yellow"/>
        </w:rPr>
        <w:t>signalling</w:t>
      </w:r>
      <w:r w:rsidR="004152F0" w:rsidRPr="00CF603F">
        <w:rPr>
          <w:rFonts w:ascii="Times New Roman" w:hAnsi="Times New Roman" w:cs="Times New Roman"/>
          <w:highlight w:val="yellow"/>
        </w:rPr>
        <w:t>, and</w:t>
      </w:r>
      <w:r w:rsidR="004152F0" w:rsidRPr="00BA7CCB">
        <w:rPr>
          <w:rFonts w:ascii="Times New Roman" w:hAnsi="Times New Roman" w:cs="Times New Roman"/>
        </w:rPr>
        <w:t xml:space="preserve"> endocrine hormone secretion (Atashi et </w:t>
      </w:r>
      <w:r w:rsidR="004152F0" w:rsidRPr="00BA7CCB">
        <w:rPr>
          <w:rFonts w:ascii="Times New Roman" w:hAnsi="Times New Roman" w:cs="Times New Roman"/>
        </w:rPr>
        <w:lastRenderedPageBreak/>
        <w:t>al., 2020). These processes explain how hormonal cycles modulated by genetic factors affect ovulation and conception timing. Energy metabolism-related GO terms such as glucose homeostasis, insulin stimulus response, and lipid metabolism further illustrate the critical link between metabolic status and reproductive performance (Abdalla et al., 2023). This metabolic-reproductive nexus is particularly important in cattle</w:t>
      </w:r>
      <w:r w:rsidR="00DA22C7">
        <w:rPr>
          <w:rFonts w:ascii="Times New Roman" w:hAnsi="Times New Roman" w:cs="Times New Roman"/>
        </w:rPr>
        <w:t>,</w:t>
      </w:r>
      <w:r w:rsidR="004152F0" w:rsidRPr="00BA7CCB">
        <w:rPr>
          <w:rFonts w:ascii="Times New Roman" w:hAnsi="Times New Roman" w:cs="Times New Roman"/>
        </w:rPr>
        <w:t xml:space="preserve"> balancing energy demands during lactation and reproduction. </w:t>
      </w:r>
    </w:p>
    <w:p w14:paraId="0774B230" w14:textId="77777777" w:rsidR="00453294" w:rsidRPr="00BA7CCB" w:rsidRDefault="00453294" w:rsidP="00BA7CCB">
      <w:pPr>
        <w:spacing w:line="240" w:lineRule="auto"/>
        <w:jc w:val="both"/>
        <w:rPr>
          <w:rFonts w:ascii="Times New Roman" w:hAnsi="Times New Roman" w:cs="Times New Roman"/>
        </w:rPr>
      </w:pPr>
    </w:p>
    <w:p w14:paraId="754E3299" w14:textId="77777777" w:rsidR="00711201" w:rsidRPr="00BA7CCB" w:rsidRDefault="00711201" w:rsidP="00BA7CCB">
      <w:pPr>
        <w:spacing w:line="240" w:lineRule="auto"/>
        <w:jc w:val="both"/>
        <w:rPr>
          <w:rFonts w:ascii="Times New Roman" w:hAnsi="Times New Roman" w:cs="Times New Roman"/>
          <w:b/>
          <w:bCs/>
        </w:rPr>
      </w:pPr>
      <w:r w:rsidRPr="00BA7CCB">
        <w:rPr>
          <w:rFonts w:ascii="Times New Roman" w:hAnsi="Times New Roman" w:cs="Times New Roman"/>
          <w:b/>
          <w:bCs/>
        </w:rPr>
        <w:t xml:space="preserve">Table 1. Gene ontology term analysis based on candidate genes involved in the calving interval. </w:t>
      </w:r>
    </w:p>
    <w:tbl>
      <w:tblPr>
        <w:tblW w:w="9496" w:type="dxa"/>
        <w:tblLook w:val="04A0" w:firstRow="1" w:lastRow="0" w:firstColumn="1" w:lastColumn="0" w:noHBand="0" w:noVBand="1"/>
      </w:tblPr>
      <w:tblGrid>
        <w:gridCol w:w="960"/>
        <w:gridCol w:w="7399"/>
        <w:gridCol w:w="1137"/>
      </w:tblGrid>
      <w:tr w:rsidR="00711201" w:rsidRPr="00BA7CCB" w14:paraId="49BBA61D" w14:textId="77777777" w:rsidTr="00FE48A0">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3F800B5" w14:textId="77777777" w:rsidR="00711201" w:rsidRPr="00BA7CCB" w:rsidRDefault="00711201" w:rsidP="00BA7CCB">
            <w:pPr>
              <w:spacing w:after="0" w:line="240" w:lineRule="auto"/>
              <w:jc w:val="both"/>
              <w:rPr>
                <w:rFonts w:ascii="Times New Roman" w:eastAsia="Times New Roman" w:hAnsi="Times New Roman" w:cs="Times New Roman"/>
                <w:b/>
                <w:bCs/>
                <w:color w:val="000000"/>
                <w:kern w:val="0"/>
                <w:lang w:eastAsia="en-IN"/>
                <w14:ligatures w14:val="none"/>
              </w:rPr>
            </w:pPr>
            <w:r w:rsidRPr="00BA7CCB">
              <w:rPr>
                <w:rFonts w:ascii="Times New Roman" w:eastAsia="Times New Roman" w:hAnsi="Times New Roman" w:cs="Times New Roman"/>
                <w:b/>
                <w:bCs/>
                <w:color w:val="000000"/>
                <w:kern w:val="0"/>
                <w:lang w:eastAsia="en-IN"/>
                <w14:ligatures w14:val="none"/>
              </w:rPr>
              <w:t>Sl.No</w:t>
            </w:r>
          </w:p>
        </w:tc>
        <w:tc>
          <w:tcPr>
            <w:tcW w:w="7399" w:type="dxa"/>
            <w:tcBorders>
              <w:top w:val="single" w:sz="4" w:space="0" w:color="auto"/>
              <w:left w:val="nil"/>
              <w:bottom w:val="single" w:sz="4" w:space="0" w:color="auto"/>
              <w:right w:val="single" w:sz="4" w:space="0" w:color="auto"/>
            </w:tcBorders>
            <w:noWrap/>
            <w:vAlign w:val="center"/>
            <w:hideMark/>
          </w:tcPr>
          <w:p w14:paraId="6C3FF399" w14:textId="77777777" w:rsidR="00711201" w:rsidRPr="00BA7CCB" w:rsidRDefault="00711201" w:rsidP="00BA7CCB">
            <w:pPr>
              <w:spacing w:after="0" w:line="240" w:lineRule="auto"/>
              <w:jc w:val="both"/>
              <w:rPr>
                <w:rFonts w:ascii="Times New Roman" w:eastAsia="Times New Roman" w:hAnsi="Times New Roman" w:cs="Times New Roman"/>
                <w:b/>
                <w:bCs/>
                <w:color w:val="000000"/>
                <w:kern w:val="0"/>
                <w:lang w:eastAsia="en-IN"/>
                <w14:ligatures w14:val="none"/>
              </w:rPr>
            </w:pPr>
            <w:r w:rsidRPr="00BA7CCB">
              <w:rPr>
                <w:rFonts w:ascii="Times New Roman" w:eastAsia="Times New Roman" w:hAnsi="Times New Roman" w:cs="Times New Roman"/>
                <w:b/>
                <w:bCs/>
                <w:color w:val="000000"/>
                <w:kern w:val="0"/>
                <w:lang w:eastAsia="en-IN"/>
                <w14:ligatures w14:val="none"/>
              </w:rPr>
              <w:t>GO terms</w:t>
            </w:r>
          </w:p>
        </w:tc>
        <w:tc>
          <w:tcPr>
            <w:tcW w:w="1137" w:type="dxa"/>
            <w:tcBorders>
              <w:top w:val="single" w:sz="4" w:space="0" w:color="auto"/>
              <w:left w:val="nil"/>
              <w:bottom w:val="single" w:sz="4" w:space="0" w:color="auto"/>
              <w:right w:val="single" w:sz="4" w:space="0" w:color="auto"/>
            </w:tcBorders>
            <w:noWrap/>
            <w:vAlign w:val="center"/>
            <w:hideMark/>
          </w:tcPr>
          <w:p w14:paraId="6C71183C" w14:textId="084CC62B" w:rsidR="00711201" w:rsidRPr="00BA7CCB" w:rsidRDefault="00FE48A0" w:rsidP="00BA7CCB">
            <w:pPr>
              <w:spacing w:after="0" w:line="240" w:lineRule="auto"/>
              <w:jc w:val="both"/>
              <w:rPr>
                <w:rFonts w:ascii="Times New Roman" w:eastAsia="Times New Roman" w:hAnsi="Times New Roman" w:cs="Times New Roman"/>
                <w:b/>
                <w:bCs/>
                <w:color w:val="000000"/>
                <w:kern w:val="0"/>
                <w:lang w:eastAsia="en-IN"/>
                <w14:ligatures w14:val="none"/>
              </w:rPr>
            </w:pPr>
            <w:r w:rsidRPr="00BA7CCB">
              <w:rPr>
                <w:rFonts w:ascii="Times New Roman" w:eastAsia="Times New Roman" w:hAnsi="Times New Roman" w:cs="Times New Roman"/>
                <w:b/>
                <w:bCs/>
                <w:color w:val="000000"/>
                <w:kern w:val="0"/>
                <w:lang w:eastAsia="en-IN"/>
                <w14:ligatures w14:val="none"/>
              </w:rPr>
              <w:t>P Value</w:t>
            </w:r>
          </w:p>
        </w:tc>
      </w:tr>
      <w:tr w:rsidR="00711201" w:rsidRPr="00BA7CCB" w14:paraId="1EE7DAAD"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3EE08B2A"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w:t>
            </w:r>
          </w:p>
        </w:tc>
        <w:tc>
          <w:tcPr>
            <w:tcW w:w="7399" w:type="dxa"/>
            <w:tcBorders>
              <w:top w:val="nil"/>
              <w:left w:val="nil"/>
              <w:bottom w:val="single" w:sz="4" w:space="0" w:color="auto"/>
              <w:right w:val="single" w:sz="4" w:space="0" w:color="auto"/>
            </w:tcBorders>
            <w:noWrap/>
            <w:vAlign w:val="bottom"/>
            <w:hideMark/>
          </w:tcPr>
          <w:p w14:paraId="4747A1EC"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Ovulation cycle process</w:t>
            </w:r>
          </w:p>
        </w:tc>
        <w:tc>
          <w:tcPr>
            <w:tcW w:w="1137" w:type="dxa"/>
            <w:tcBorders>
              <w:top w:val="nil"/>
              <w:left w:val="nil"/>
              <w:bottom w:val="single" w:sz="4" w:space="0" w:color="auto"/>
              <w:right w:val="single" w:sz="4" w:space="0" w:color="auto"/>
            </w:tcBorders>
            <w:noWrap/>
            <w:vAlign w:val="bottom"/>
            <w:hideMark/>
          </w:tcPr>
          <w:p w14:paraId="221BC882"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4.64E-07</w:t>
            </w:r>
          </w:p>
        </w:tc>
      </w:tr>
      <w:tr w:rsidR="00711201" w:rsidRPr="00BA7CCB" w14:paraId="12C99A36"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3FBCE235"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2</w:t>
            </w:r>
          </w:p>
        </w:tc>
        <w:tc>
          <w:tcPr>
            <w:tcW w:w="7399" w:type="dxa"/>
            <w:tcBorders>
              <w:top w:val="nil"/>
              <w:left w:val="nil"/>
              <w:bottom w:val="single" w:sz="4" w:space="0" w:color="auto"/>
              <w:right w:val="single" w:sz="4" w:space="0" w:color="auto"/>
            </w:tcBorders>
            <w:noWrap/>
            <w:vAlign w:val="bottom"/>
            <w:hideMark/>
          </w:tcPr>
          <w:p w14:paraId="4C3EF068"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Regulation of protein phosphorylation</w:t>
            </w:r>
          </w:p>
        </w:tc>
        <w:tc>
          <w:tcPr>
            <w:tcW w:w="1137" w:type="dxa"/>
            <w:tcBorders>
              <w:top w:val="nil"/>
              <w:left w:val="nil"/>
              <w:bottom w:val="single" w:sz="4" w:space="0" w:color="auto"/>
              <w:right w:val="single" w:sz="4" w:space="0" w:color="auto"/>
            </w:tcBorders>
            <w:noWrap/>
            <w:vAlign w:val="bottom"/>
            <w:hideMark/>
          </w:tcPr>
          <w:p w14:paraId="2599A7DD"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1.41E-05</w:t>
            </w:r>
          </w:p>
        </w:tc>
      </w:tr>
      <w:tr w:rsidR="00711201" w:rsidRPr="00BA7CCB" w14:paraId="76D03EE9"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5B2DC3AF"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3</w:t>
            </w:r>
          </w:p>
        </w:tc>
        <w:tc>
          <w:tcPr>
            <w:tcW w:w="7399" w:type="dxa"/>
            <w:tcBorders>
              <w:top w:val="nil"/>
              <w:left w:val="nil"/>
              <w:bottom w:val="single" w:sz="4" w:space="0" w:color="auto"/>
              <w:right w:val="single" w:sz="4" w:space="0" w:color="auto"/>
            </w:tcBorders>
            <w:noWrap/>
            <w:vAlign w:val="bottom"/>
            <w:hideMark/>
          </w:tcPr>
          <w:p w14:paraId="05B90804"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Female gonad development</w:t>
            </w:r>
          </w:p>
        </w:tc>
        <w:tc>
          <w:tcPr>
            <w:tcW w:w="1137" w:type="dxa"/>
            <w:tcBorders>
              <w:top w:val="nil"/>
              <w:left w:val="nil"/>
              <w:bottom w:val="single" w:sz="4" w:space="0" w:color="auto"/>
              <w:right w:val="single" w:sz="4" w:space="0" w:color="auto"/>
            </w:tcBorders>
            <w:noWrap/>
            <w:vAlign w:val="bottom"/>
            <w:hideMark/>
          </w:tcPr>
          <w:p w14:paraId="26752319"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2.03E-05</w:t>
            </w:r>
          </w:p>
        </w:tc>
      </w:tr>
      <w:tr w:rsidR="00711201" w:rsidRPr="00BA7CCB" w14:paraId="11B4F380"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2E0A5FC4"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4</w:t>
            </w:r>
          </w:p>
        </w:tc>
        <w:tc>
          <w:tcPr>
            <w:tcW w:w="7399" w:type="dxa"/>
            <w:tcBorders>
              <w:top w:val="nil"/>
              <w:left w:val="nil"/>
              <w:bottom w:val="single" w:sz="4" w:space="0" w:color="auto"/>
              <w:right w:val="single" w:sz="4" w:space="0" w:color="auto"/>
            </w:tcBorders>
            <w:noWrap/>
            <w:vAlign w:val="bottom"/>
            <w:hideMark/>
          </w:tcPr>
          <w:p w14:paraId="5F08A410"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Cellular response to hormone stimulus</w:t>
            </w:r>
          </w:p>
        </w:tc>
        <w:tc>
          <w:tcPr>
            <w:tcW w:w="1137" w:type="dxa"/>
            <w:tcBorders>
              <w:top w:val="nil"/>
              <w:left w:val="nil"/>
              <w:bottom w:val="single" w:sz="4" w:space="0" w:color="auto"/>
              <w:right w:val="single" w:sz="4" w:space="0" w:color="auto"/>
            </w:tcBorders>
            <w:noWrap/>
            <w:vAlign w:val="bottom"/>
            <w:hideMark/>
          </w:tcPr>
          <w:p w14:paraId="698AED0D"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2.03E-05</w:t>
            </w:r>
          </w:p>
        </w:tc>
      </w:tr>
      <w:tr w:rsidR="00711201" w:rsidRPr="00BA7CCB" w14:paraId="283D240C"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65EE3EEE"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5</w:t>
            </w:r>
          </w:p>
        </w:tc>
        <w:tc>
          <w:tcPr>
            <w:tcW w:w="7399" w:type="dxa"/>
            <w:tcBorders>
              <w:top w:val="nil"/>
              <w:left w:val="nil"/>
              <w:bottom w:val="single" w:sz="4" w:space="0" w:color="auto"/>
              <w:right w:val="single" w:sz="4" w:space="0" w:color="auto"/>
            </w:tcBorders>
            <w:noWrap/>
            <w:vAlign w:val="bottom"/>
            <w:hideMark/>
          </w:tcPr>
          <w:p w14:paraId="7FF10A99"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Positive regulation of signal transduction</w:t>
            </w:r>
          </w:p>
        </w:tc>
        <w:tc>
          <w:tcPr>
            <w:tcW w:w="1137" w:type="dxa"/>
            <w:tcBorders>
              <w:top w:val="nil"/>
              <w:left w:val="nil"/>
              <w:bottom w:val="single" w:sz="4" w:space="0" w:color="auto"/>
              <w:right w:val="single" w:sz="4" w:space="0" w:color="auto"/>
            </w:tcBorders>
            <w:noWrap/>
            <w:vAlign w:val="bottom"/>
            <w:hideMark/>
          </w:tcPr>
          <w:p w14:paraId="5D307D20"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0.00011</w:t>
            </w:r>
          </w:p>
        </w:tc>
      </w:tr>
      <w:tr w:rsidR="00711201" w:rsidRPr="00BA7CCB" w14:paraId="3251491F"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4C9C97A8"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6</w:t>
            </w:r>
          </w:p>
        </w:tc>
        <w:tc>
          <w:tcPr>
            <w:tcW w:w="7399" w:type="dxa"/>
            <w:tcBorders>
              <w:top w:val="nil"/>
              <w:left w:val="nil"/>
              <w:bottom w:val="single" w:sz="4" w:space="0" w:color="auto"/>
              <w:right w:val="single" w:sz="4" w:space="0" w:color="auto"/>
            </w:tcBorders>
            <w:noWrap/>
            <w:vAlign w:val="bottom"/>
            <w:hideMark/>
          </w:tcPr>
          <w:p w14:paraId="2E72E3D2" w14:textId="4F69331D"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 xml:space="preserve">Positive regulation of </w:t>
            </w:r>
            <w:r w:rsidR="00DA22C7" w:rsidRPr="00CF603F">
              <w:rPr>
                <w:rFonts w:ascii="Times New Roman" w:eastAsia="Times New Roman" w:hAnsi="Times New Roman" w:cs="Times New Roman"/>
                <w:color w:val="000000"/>
                <w:kern w:val="0"/>
                <w:highlight w:val="yellow"/>
                <w:lang w:eastAsia="en-IN"/>
                <w14:ligatures w14:val="none"/>
              </w:rPr>
              <w:t xml:space="preserve">the </w:t>
            </w:r>
            <w:r w:rsidRPr="00CF603F">
              <w:rPr>
                <w:rFonts w:ascii="Times New Roman" w:eastAsia="Times New Roman" w:hAnsi="Times New Roman" w:cs="Times New Roman"/>
                <w:color w:val="000000"/>
                <w:kern w:val="0"/>
                <w:highlight w:val="yellow"/>
                <w:lang w:eastAsia="en-IN"/>
                <w14:ligatures w14:val="none"/>
              </w:rPr>
              <w:t>receptor</w:t>
            </w:r>
            <w:r w:rsidRPr="00BA7CCB">
              <w:rPr>
                <w:rFonts w:ascii="Times New Roman" w:eastAsia="Times New Roman" w:hAnsi="Times New Roman" w:cs="Times New Roman"/>
                <w:color w:val="000000"/>
                <w:kern w:val="0"/>
                <w:lang w:eastAsia="en-IN"/>
                <w14:ligatures w14:val="none"/>
              </w:rPr>
              <w:t xml:space="preserve"> </w:t>
            </w:r>
            <w:r w:rsidR="00DA22C7" w:rsidRPr="00CF603F">
              <w:rPr>
                <w:rFonts w:ascii="Times New Roman" w:eastAsia="Times New Roman" w:hAnsi="Times New Roman" w:cs="Times New Roman"/>
                <w:color w:val="000000"/>
                <w:kern w:val="0"/>
                <w:highlight w:val="yellow"/>
                <w:lang w:eastAsia="en-IN"/>
                <w14:ligatures w14:val="none"/>
              </w:rPr>
              <w:t>signalling</w:t>
            </w:r>
            <w:r w:rsidR="00DA22C7" w:rsidRPr="00BA7CCB">
              <w:rPr>
                <w:rFonts w:ascii="Times New Roman" w:eastAsia="Times New Roman" w:hAnsi="Times New Roman" w:cs="Times New Roman"/>
                <w:color w:val="000000"/>
                <w:kern w:val="0"/>
                <w:lang w:eastAsia="en-IN"/>
                <w14:ligatures w14:val="none"/>
              </w:rPr>
              <w:t xml:space="preserve"> </w:t>
            </w:r>
            <w:r w:rsidRPr="00BA7CCB">
              <w:rPr>
                <w:rFonts w:ascii="Times New Roman" w:eastAsia="Times New Roman" w:hAnsi="Times New Roman" w:cs="Times New Roman"/>
                <w:color w:val="000000"/>
                <w:kern w:val="0"/>
                <w:lang w:eastAsia="en-IN"/>
                <w14:ligatures w14:val="none"/>
              </w:rPr>
              <w:t>pathway via JAK-STAT</w:t>
            </w:r>
          </w:p>
        </w:tc>
        <w:tc>
          <w:tcPr>
            <w:tcW w:w="1137" w:type="dxa"/>
            <w:tcBorders>
              <w:top w:val="nil"/>
              <w:left w:val="nil"/>
              <w:bottom w:val="single" w:sz="4" w:space="0" w:color="auto"/>
              <w:right w:val="single" w:sz="4" w:space="0" w:color="auto"/>
            </w:tcBorders>
            <w:noWrap/>
            <w:vAlign w:val="bottom"/>
            <w:hideMark/>
          </w:tcPr>
          <w:p w14:paraId="089AB653"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0.00016</w:t>
            </w:r>
          </w:p>
        </w:tc>
      </w:tr>
      <w:tr w:rsidR="00711201" w:rsidRPr="00BA7CCB" w14:paraId="1989AAEA"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736F023A"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7</w:t>
            </w:r>
          </w:p>
        </w:tc>
        <w:tc>
          <w:tcPr>
            <w:tcW w:w="7399" w:type="dxa"/>
            <w:tcBorders>
              <w:top w:val="nil"/>
              <w:left w:val="nil"/>
              <w:bottom w:val="single" w:sz="4" w:space="0" w:color="auto"/>
              <w:right w:val="single" w:sz="4" w:space="0" w:color="auto"/>
            </w:tcBorders>
            <w:noWrap/>
            <w:vAlign w:val="bottom"/>
            <w:hideMark/>
          </w:tcPr>
          <w:p w14:paraId="04B54E5B"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Positive regulation of protein kinase activity</w:t>
            </w:r>
          </w:p>
        </w:tc>
        <w:tc>
          <w:tcPr>
            <w:tcW w:w="1137" w:type="dxa"/>
            <w:tcBorders>
              <w:top w:val="nil"/>
              <w:left w:val="nil"/>
              <w:bottom w:val="single" w:sz="4" w:space="0" w:color="auto"/>
              <w:right w:val="single" w:sz="4" w:space="0" w:color="auto"/>
            </w:tcBorders>
            <w:noWrap/>
            <w:vAlign w:val="bottom"/>
            <w:hideMark/>
          </w:tcPr>
          <w:p w14:paraId="3A8BA019"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0.00017</w:t>
            </w:r>
          </w:p>
        </w:tc>
      </w:tr>
      <w:tr w:rsidR="00711201" w:rsidRPr="00BA7CCB" w14:paraId="3F2DE95E"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516E7F97"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8</w:t>
            </w:r>
          </w:p>
        </w:tc>
        <w:tc>
          <w:tcPr>
            <w:tcW w:w="7399" w:type="dxa"/>
            <w:tcBorders>
              <w:top w:val="nil"/>
              <w:left w:val="nil"/>
              <w:bottom w:val="single" w:sz="4" w:space="0" w:color="auto"/>
              <w:right w:val="single" w:sz="4" w:space="0" w:color="auto"/>
            </w:tcBorders>
            <w:noWrap/>
            <w:vAlign w:val="bottom"/>
            <w:hideMark/>
          </w:tcPr>
          <w:p w14:paraId="1721A09F"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Positive regulation of protein serine/threonine kinase activity</w:t>
            </w:r>
          </w:p>
        </w:tc>
        <w:tc>
          <w:tcPr>
            <w:tcW w:w="1137" w:type="dxa"/>
            <w:tcBorders>
              <w:top w:val="nil"/>
              <w:left w:val="nil"/>
              <w:bottom w:val="single" w:sz="4" w:space="0" w:color="auto"/>
              <w:right w:val="single" w:sz="4" w:space="0" w:color="auto"/>
            </w:tcBorders>
            <w:noWrap/>
            <w:vAlign w:val="bottom"/>
            <w:hideMark/>
          </w:tcPr>
          <w:p w14:paraId="001BA24C"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0.00017</w:t>
            </w:r>
          </w:p>
        </w:tc>
      </w:tr>
      <w:tr w:rsidR="00711201" w:rsidRPr="00BA7CCB" w14:paraId="78AEBFA8"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5F5E97FC"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9</w:t>
            </w:r>
          </w:p>
        </w:tc>
        <w:tc>
          <w:tcPr>
            <w:tcW w:w="7399" w:type="dxa"/>
            <w:tcBorders>
              <w:top w:val="nil"/>
              <w:left w:val="nil"/>
              <w:bottom w:val="single" w:sz="4" w:space="0" w:color="auto"/>
              <w:right w:val="single" w:sz="4" w:space="0" w:color="auto"/>
            </w:tcBorders>
            <w:noWrap/>
            <w:vAlign w:val="bottom"/>
            <w:hideMark/>
          </w:tcPr>
          <w:p w14:paraId="4AF988CB"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Response to peptide</w:t>
            </w:r>
          </w:p>
        </w:tc>
        <w:tc>
          <w:tcPr>
            <w:tcW w:w="1137" w:type="dxa"/>
            <w:tcBorders>
              <w:top w:val="nil"/>
              <w:left w:val="nil"/>
              <w:bottom w:val="single" w:sz="4" w:space="0" w:color="auto"/>
              <w:right w:val="single" w:sz="4" w:space="0" w:color="auto"/>
            </w:tcBorders>
            <w:noWrap/>
            <w:vAlign w:val="bottom"/>
            <w:hideMark/>
          </w:tcPr>
          <w:p w14:paraId="6201C350"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0.00022</w:t>
            </w:r>
          </w:p>
        </w:tc>
      </w:tr>
      <w:tr w:rsidR="00711201" w:rsidRPr="00BA7CCB" w14:paraId="587605A1"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62FB89F0"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10</w:t>
            </w:r>
          </w:p>
        </w:tc>
        <w:tc>
          <w:tcPr>
            <w:tcW w:w="7399" w:type="dxa"/>
            <w:tcBorders>
              <w:top w:val="nil"/>
              <w:left w:val="nil"/>
              <w:bottom w:val="single" w:sz="4" w:space="0" w:color="auto"/>
              <w:right w:val="single" w:sz="4" w:space="0" w:color="auto"/>
            </w:tcBorders>
            <w:noWrap/>
            <w:vAlign w:val="bottom"/>
            <w:hideMark/>
          </w:tcPr>
          <w:p w14:paraId="66E7AA68"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Response to lipid</w:t>
            </w:r>
          </w:p>
        </w:tc>
        <w:tc>
          <w:tcPr>
            <w:tcW w:w="1137" w:type="dxa"/>
            <w:tcBorders>
              <w:top w:val="nil"/>
              <w:left w:val="nil"/>
              <w:bottom w:val="single" w:sz="4" w:space="0" w:color="auto"/>
              <w:right w:val="single" w:sz="4" w:space="0" w:color="auto"/>
            </w:tcBorders>
            <w:noWrap/>
            <w:vAlign w:val="bottom"/>
            <w:hideMark/>
          </w:tcPr>
          <w:p w14:paraId="60813909"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0.00024</w:t>
            </w:r>
          </w:p>
        </w:tc>
      </w:tr>
      <w:tr w:rsidR="00711201" w:rsidRPr="00BA7CCB" w14:paraId="2E0588F1"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42C2D8E4"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11</w:t>
            </w:r>
          </w:p>
        </w:tc>
        <w:tc>
          <w:tcPr>
            <w:tcW w:w="7399" w:type="dxa"/>
            <w:tcBorders>
              <w:top w:val="nil"/>
              <w:left w:val="nil"/>
              <w:bottom w:val="single" w:sz="4" w:space="0" w:color="auto"/>
              <w:right w:val="single" w:sz="4" w:space="0" w:color="auto"/>
            </w:tcBorders>
            <w:noWrap/>
            <w:vAlign w:val="bottom"/>
            <w:hideMark/>
          </w:tcPr>
          <w:p w14:paraId="48076FC8" w14:textId="6B4BBFF6"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 xml:space="preserve">Ovulation from </w:t>
            </w:r>
            <w:r w:rsidR="00DA22C7">
              <w:rPr>
                <w:rFonts w:ascii="Times New Roman" w:eastAsia="Times New Roman" w:hAnsi="Times New Roman" w:cs="Times New Roman"/>
                <w:color w:val="000000"/>
                <w:kern w:val="0"/>
                <w:lang w:eastAsia="en-IN"/>
                <w14:ligatures w14:val="none"/>
              </w:rPr>
              <w:t xml:space="preserve">the </w:t>
            </w:r>
            <w:r w:rsidRPr="00BA7CCB">
              <w:rPr>
                <w:rFonts w:ascii="Times New Roman" w:eastAsia="Times New Roman" w:hAnsi="Times New Roman" w:cs="Times New Roman"/>
                <w:color w:val="000000"/>
                <w:kern w:val="0"/>
                <w:lang w:eastAsia="en-IN"/>
                <w14:ligatures w14:val="none"/>
              </w:rPr>
              <w:t>ovarian follicle</w:t>
            </w:r>
          </w:p>
        </w:tc>
        <w:tc>
          <w:tcPr>
            <w:tcW w:w="1137" w:type="dxa"/>
            <w:tcBorders>
              <w:top w:val="nil"/>
              <w:left w:val="nil"/>
              <w:bottom w:val="single" w:sz="4" w:space="0" w:color="auto"/>
              <w:right w:val="single" w:sz="4" w:space="0" w:color="auto"/>
            </w:tcBorders>
            <w:noWrap/>
            <w:vAlign w:val="bottom"/>
            <w:hideMark/>
          </w:tcPr>
          <w:p w14:paraId="60581409"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0.0016</w:t>
            </w:r>
          </w:p>
        </w:tc>
      </w:tr>
      <w:tr w:rsidR="00711201" w:rsidRPr="00BA7CCB" w14:paraId="20BF0A88"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25636011"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12</w:t>
            </w:r>
          </w:p>
        </w:tc>
        <w:tc>
          <w:tcPr>
            <w:tcW w:w="7399" w:type="dxa"/>
            <w:tcBorders>
              <w:top w:val="nil"/>
              <w:left w:val="nil"/>
              <w:bottom w:val="single" w:sz="4" w:space="0" w:color="auto"/>
              <w:right w:val="single" w:sz="4" w:space="0" w:color="auto"/>
            </w:tcBorders>
            <w:noWrap/>
            <w:vAlign w:val="bottom"/>
            <w:hideMark/>
          </w:tcPr>
          <w:p w14:paraId="70692FD5" w14:textId="11DAC7B0"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 xml:space="preserve">Positive regulation of </w:t>
            </w:r>
            <w:r w:rsidR="00DA22C7" w:rsidRPr="00CF603F">
              <w:rPr>
                <w:rFonts w:ascii="Times New Roman" w:eastAsia="Times New Roman" w:hAnsi="Times New Roman" w:cs="Times New Roman"/>
                <w:color w:val="000000"/>
                <w:kern w:val="0"/>
                <w:highlight w:val="yellow"/>
                <w:lang w:eastAsia="en-IN"/>
                <w14:ligatures w14:val="none"/>
              </w:rPr>
              <w:t xml:space="preserve">the </w:t>
            </w:r>
            <w:r w:rsidRPr="00CF603F">
              <w:rPr>
                <w:rFonts w:ascii="Times New Roman" w:eastAsia="Times New Roman" w:hAnsi="Times New Roman" w:cs="Times New Roman"/>
                <w:color w:val="000000"/>
                <w:kern w:val="0"/>
                <w:highlight w:val="yellow"/>
                <w:lang w:eastAsia="en-IN"/>
                <w14:ligatures w14:val="none"/>
              </w:rPr>
              <w:t>insulin</w:t>
            </w:r>
            <w:r w:rsidRPr="00BA7CCB">
              <w:rPr>
                <w:rFonts w:ascii="Times New Roman" w:eastAsia="Times New Roman" w:hAnsi="Times New Roman" w:cs="Times New Roman"/>
                <w:color w:val="000000"/>
                <w:kern w:val="0"/>
                <w:lang w:eastAsia="en-IN"/>
                <w14:ligatures w14:val="none"/>
              </w:rPr>
              <w:t xml:space="preserve">-like growth factor receptor </w:t>
            </w:r>
            <w:r w:rsidR="00DA22C7" w:rsidRPr="00CF603F">
              <w:rPr>
                <w:rFonts w:ascii="Times New Roman" w:eastAsia="Times New Roman" w:hAnsi="Times New Roman" w:cs="Times New Roman"/>
                <w:color w:val="000000"/>
                <w:kern w:val="0"/>
                <w:highlight w:val="yellow"/>
                <w:lang w:eastAsia="en-IN"/>
                <w14:ligatures w14:val="none"/>
              </w:rPr>
              <w:t>signalling</w:t>
            </w:r>
            <w:r w:rsidR="00DA22C7" w:rsidRPr="00CF603F">
              <w:rPr>
                <w:rFonts w:ascii="Times New Roman" w:eastAsia="Times New Roman" w:hAnsi="Times New Roman" w:cs="Times New Roman"/>
                <w:color w:val="000000"/>
                <w:kern w:val="0"/>
                <w:highlight w:val="yellow"/>
                <w:lang w:eastAsia="en-IN"/>
                <w14:ligatures w14:val="none"/>
              </w:rPr>
              <w:t xml:space="preserve"> </w:t>
            </w:r>
            <w:r w:rsidRPr="00CF603F">
              <w:rPr>
                <w:rFonts w:ascii="Times New Roman" w:eastAsia="Times New Roman" w:hAnsi="Times New Roman" w:cs="Times New Roman"/>
                <w:color w:val="000000"/>
                <w:kern w:val="0"/>
                <w:highlight w:val="yellow"/>
                <w:lang w:eastAsia="en-IN"/>
                <w14:ligatures w14:val="none"/>
              </w:rPr>
              <w:t>pathway</w:t>
            </w:r>
          </w:p>
        </w:tc>
        <w:tc>
          <w:tcPr>
            <w:tcW w:w="1137" w:type="dxa"/>
            <w:tcBorders>
              <w:top w:val="nil"/>
              <w:left w:val="nil"/>
              <w:bottom w:val="single" w:sz="4" w:space="0" w:color="auto"/>
              <w:right w:val="single" w:sz="4" w:space="0" w:color="auto"/>
            </w:tcBorders>
            <w:noWrap/>
            <w:vAlign w:val="bottom"/>
            <w:hideMark/>
          </w:tcPr>
          <w:p w14:paraId="0E5CFF69"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0.0027</w:t>
            </w:r>
          </w:p>
        </w:tc>
      </w:tr>
      <w:tr w:rsidR="00711201" w:rsidRPr="00BA7CCB" w14:paraId="7C559FA7"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5C03BD66"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13</w:t>
            </w:r>
          </w:p>
        </w:tc>
        <w:tc>
          <w:tcPr>
            <w:tcW w:w="7399" w:type="dxa"/>
            <w:tcBorders>
              <w:top w:val="nil"/>
              <w:left w:val="nil"/>
              <w:bottom w:val="single" w:sz="4" w:space="0" w:color="auto"/>
              <w:right w:val="single" w:sz="4" w:space="0" w:color="auto"/>
            </w:tcBorders>
            <w:noWrap/>
            <w:vAlign w:val="bottom"/>
            <w:hideMark/>
          </w:tcPr>
          <w:p w14:paraId="1685E286" w14:textId="51ABB045"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 xml:space="preserve">Regulation of </w:t>
            </w:r>
            <w:r w:rsidR="00DA22C7" w:rsidRPr="00CF603F">
              <w:rPr>
                <w:rFonts w:ascii="Times New Roman" w:eastAsia="Times New Roman" w:hAnsi="Times New Roman" w:cs="Times New Roman"/>
                <w:color w:val="000000"/>
                <w:kern w:val="0"/>
                <w:highlight w:val="yellow"/>
                <w:lang w:eastAsia="en-IN"/>
                <w14:ligatures w14:val="none"/>
              </w:rPr>
              <w:t xml:space="preserve">the </w:t>
            </w:r>
            <w:r w:rsidRPr="00CF603F">
              <w:rPr>
                <w:rFonts w:ascii="Times New Roman" w:eastAsia="Times New Roman" w:hAnsi="Times New Roman" w:cs="Times New Roman"/>
                <w:color w:val="000000"/>
                <w:kern w:val="0"/>
                <w:highlight w:val="yellow"/>
                <w:lang w:eastAsia="en-IN"/>
                <w14:ligatures w14:val="none"/>
              </w:rPr>
              <w:t>glucose</w:t>
            </w:r>
            <w:r w:rsidRPr="00BA7CCB">
              <w:rPr>
                <w:rFonts w:ascii="Times New Roman" w:eastAsia="Times New Roman" w:hAnsi="Times New Roman" w:cs="Times New Roman"/>
                <w:color w:val="000000"/>
                <w:kern w:val="0"/>
                <w:lang w:eastAsia="en-IN"/>
                <w14:ligatures w14:val="none"/>
              </w:rPr>
              <w:t xml:space="preserve"> metabolic process</w:t>
            </w:r>
          </w:p>
        </w:tc>
        <w:tc>
          <w:tcPr>
            <w:tcW w:w="1137" w:type="dxa"/>
            <w:tcBorders>
              <w:top w:val="nil"/>
              <w:left w:val="nil"/>
              <w:bottom w:val="single" w:sz="4" w:space="0" w:color="auto"/>
              <w:right w:val="single" w:sz="4" w:space="0" w:color="auto"/>
            </w:tcBorders>
            <w:noWrap/>
            <w:vAlign w:val="bottom"/>
            <w:hideMark/>
          </w:tcPr>
          <w:p w14:paraId="294FFACF"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0.0032</w:t>
            </w:r>
          </w:p>
        </w:tc>
      </w:tr>
      <w:tr w:rsidR="00711201" w:rsidRPr="00BA7CCB" w14:paraId="0D9163E9"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7BDABC4E"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14</w:t>
            </w:r>
          </w:p>
        </w:tc>
        <w:tc>
          <w:tcPr>
            <w:tcW w:w="7399" w:type="dxa"/>
            <w:tcBorders>
              <w:top w:val="nil"/>
              <w:left w:val="nil"/>
              <w:bottom w:val="single" w:sz="4" w:space="0" w:color="auto"/>
              <w:right w:val="single" w:sz="4" w:space="0" w:color="auto"/>
            </w:tcBorders>
            <w:noWrap/>
            <w:vAlign w:val="bottom"/>
            <w:hideMark/>
          </w:tcPr>
          <w:p w14:paraId="1176F93F"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Reproductive process</w:t>
            </w:r>
          </w:p>
        </w:tc>
        <w:tc>
          <w:tcPr>
            <w:tcW w:w="1137" w:type="dxa"/>
            <w:tcBorders>
              <w:top w:val="nil"/>
              <w:left w:val="nil"/>
              <w:bottom w:val="single" w:sz="4" w:space="0" w:color="auto"/>
              <w:right w:val="single" w:sz="4" w:space="0" w:color="auto"/>
            </w:tcBorders>
            <w:noWrap/>
            <w:vAlign w:val="bottom"/>
            <w:hideMark/>
          </w:tcPr>
          <w:p w14:paraId="1C449193"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0.0036</w:t>
            </w:r>
          </w:p>
        </w:tc>
      </w:tr>
      <w:tr w:rsidR="00711201" w:rsidRPr="00BA7CCB" w14:paraId="5A290DD5"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1DB29B44"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15</w:t>
            </w:r>
          </w:p>
        </w:tc>
        <w:tc>
          <w:tcPr>
            <w:tcW w:w="7399" w:type="dxa"/>
            <w:tcBorders>
              <w:top w:val="nil"/>
              <w:left w:val="nil"/>
              <w:bottom w:val="single" w:sz="4" w:space="0" w:color="auto"/>
              <w:right w:val="single" w:sz="4" w:space="0" w:color="auto"/>
            </w:tcBorders>
            <w:noWrap/>
            <w:vAlign w:val="bottom"/>
            <w:hideMark/>
          </w:tcPr>
          <w:p w14:paraId="67FB4D54"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Receptor ligand activity</w:t>
            </w:r>
          </w:p>
        </w:tc>
        <w:tc>
          <w:tcPr>
            <w:tcW w:w="1137" w:type="dxa"/>
            <w:tcBorders>
              <w:top w:val="nil"/>
              <w:left w:val="nil"/>
              <w:bottom w:val="single" w:sz="4" w:space="0" w:color="auto"/>
              <w:right w:val="single" w:sz="4" w:space="0" w:color="auto"/>
            </w:tcBorders>
            <w:noWrap/>
            <w:vAlign w:val="bottom"/>
            <w:hideMark/>
          </w:tcPr>
          <w:p w14:paraId="2ED27040"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0.0085</w:t>
            </w:r>
          </w:p>
        </w:tc>
      </w:tr>
      <w:tr w:rsidR="00711201" w:rsidRPr="00BA7CCB" w14:paraId="77205DB7"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74048243"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16</w:t>
            </w:r>
          </w:p>
        </w:tc>
        <w:tc>
          <w:tcPr>
            <w:tcW w:w="7399" w:type="dxa"/>
            <w:tcBorders>
              <w:top w:val="nil"/>
              <w:left w:val="nil"/>
              <w:bottom w:val="single" w:sz="4" w:space="0" w:color="auto"/>
              <w:right w:val="single" w:sz="4" w:space="0" w:color="auto"/>
            </w:tcBorders>
            <w:noWrap/>
            <w:vAlign w:val="bottom"/>
            <w:hideMark/>
          </w:tcPr>
          <w:p w14:paraId="6C063508"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Growth factor activity</w:t>
            </w:r>
          </w:p>
        </w:tc>
        <w:tc>
          <w:tcPr>
            <w:tcW w:w="1137" w:type="dxa"/>
            <w:tcBorders>
              <w:top w:val="nil"/>
              <w:left w:val="nil"/>
              <w:bottom w:val="single" w:sz="4" w:space="0" w:color="auto"/>
              <w:right w:val="single" w:sz="4" w:space="0" w:color="auto"/>
            </w:tcBorders>
            <w:noWrap/>
            <w:vAlign w:val="bottom"/>
            <w:hideMark/>
          </w:tcPr>
          <w:p w14:paraId="452D54F0"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0.0108</w:t>
            </w:r>
          </w:p>
        </w:tc>
      </w:tr>
      <w:tr w:rsidR="00711201" w:rsidRPr="00BA7CCB" w14:paraId="0DBDF500"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2FB83037"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17</w:t>
            </w:r>
          </w:p>
        </w:tc>
        <w:tc>
          <w:tcPr>
            <w:tcW w:w="7399" w:type="dxa"/>
            <w:tcBorders>
              <w:top w:val="nil"/>
              <w:left w:val="nil"/>
              <w:bottom w:val="single" w:sz="4" w:space="0" w:color="auto"/>
              <w:right w:val="single" w:sz="4" w:space="0" w:color="auto"/>
            </w:tcBorders>
            <w:noWrap/>
            <w:vAlign w:val="bottom"/>
            <w:hideMark/>
          </w:tcPr>
          <w:p w14:paraId="481E75D6"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Prolactin receptor binding</w:t>
            </w:r>
          </w:p>
        </w:tc>
        <w:tc>
          <w:tcPr>
            <w:tcW w:w="1137" w:type="dxa"/>
            <w:tcBorders>
              <w:top w:val="nil"/>
              <w:left w:val="nil"/>
              <w:bottom w:val="single" w:sz="4" w:space="0" w:color="auto"/>
              <w:right w:val="single" w:sz="4" w:space="0" w:color="auto"/>
            </w:tcBorders>
            <w:noWrap/>
            <w:vAlign w:val="bottom"/>
            <w:hideMark/>
          </w:tcPr>
          <w:p w14:paraId="539B7400"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0.0301</w:t>
            </w:r>
          </w:p>
        </w:tc>
      </w:tr>
      <w:tr w:rsidR="00711201" w:rsidRPr="00BA7CCB" w14:paraId="09CEC6B0" w14:textId="77777777" w:rsidTr="00FE48A0">
        <w:trPr>
          <w:trHeight w:val="288"/>
        </w:trPr>
        <w:tc>
          <w:tcPr>
            <w:tcW w:w="960" w:type="dxa"/>
            <w:tcBorders>
              <w:top w:val="nil"/>
              <w:left w:val="single" w:sz="4" w:space="0" w:color="auto"/>
              <w:bottom w:val="single" w:sz="4" w:space="0" w:color="auto"/>
              <w:right w:val="single" w:sz="4" w:space="0" w:color="auto"/>
            </w:tcBorders>
            <w:noWrap/>
            <w:vAlign w:val="bottom"/>
            <w:hideMark/>
          </w:tcPr>
          <w:p w14:paraId="4B6CC20A"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18</w:t>
            </w:r>
          </w:p>
        </w:tc>
        <w:tc>
          <w:tcPr>
            <w:tcW w:w="7399" w:type="dxa"/>
            <w:tcBorders>
              <w:top w:val="nil"/>
              <w:left w:val="nil"/>
              <w:bottom w:val="single" w:sz="4" w:space="0" w:color="auto"/>
              <w:right w:val="single" w:sz="4" w:space="0" w:color="auto"/>
            </w:tcBorders>
            <w:noWrap/>
            <w:vAlign w:val="bottom"/>
            <w:hideMark/>
          </w:tcPr>
          <w:p w14:paraId="265CC696"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Nuclear steroid receptor activity</w:t>
            </w:r>
          </w:p>
        </w:tc>
        <w:tc>
          <w:tcPr>
            <w:tcW w:w="1137" w:type="dxa"/>
            <w:tcBorders>
              <w:top w:val="nil"/>
              <w:left w:val="nil"/>
              <w:bottom w:val="single" w:sz="4" w:space="0" w:color="auto"/>
              <w:right w:val="single" w:sz="4" w:space="0" w:color="auto"/>
            </w:tcBorders>
            <w:noWrap/>
            <w:vAlign w:val="bottom"/>
            <w:hideMark/>
          </w:tcPr>
          <w:p w14:paraId="503B30DF" w14:textId="77777777" w:rsidR="00711201" w:rsidRPr="00BA7CCB" w:rsidRDefault="00711201"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0.0347</w:t>
            </w:r>
          </w:p>
        </w:tc>
      </w:tr>
    </w:tbl>
    <w:p w14:paraId="30F2FFDB" w14:textId="77777777" w:rsidR="00711201" w:rsidRPr="00BA7CCB" w:rsidRDefault="00711201" w:rsidP="00BA7CCB">
      <w:pPr>
        <w:spacing w:line="240" w:lineRule="auto"/>
        <w:jc w:val="both"/>
        <w:rPr>
          <w:rFonts w:ascii="Times New Roman" w:hAnsi="Times New Roman" w:cs="Times New Roman"/>
        </w:rPr>
      </w:pPr>
    </w:p>
    <w:p w14:paraId="26EBF6E4" w14:textId="112B70D9" w:rsidR="004152F0"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4152F0" w:rsidRPr="00BA7CCB">
        <w:rPr>
          <w:rFonts w:ascii="Times New Roman" w:hAnsi="Times New Roman" w:cs="Times New Roman"/>
        </w:rPr>
        <w:t>Furthermore, calving interval-associated genes participate in ovarian development and folliculogenesis pathways, with enriched GO terms including regulation o</w:t>
      </w:r>
      <w:r w:rsidR="00BC52AF" w:rsidRPr="00BA7CCB">
        <w:rPr>
          <w:rFonts w:ascii="Times New Roman" w:hAnsi="Times New Roman" w:cs="Times New Roman"/>
        </w:rPr>
        <w:t xml:space="preserve">f ovarian follicle development </w:t>
      </w:r>
      <w:r w:rsidR="004152F0" w:rsidRPr="00BA7CCB">
        <w:rPr>
          <w:rFonts w:ascii="Times New Roman" w:hAnsi="Times New Roman" w:cs="Times New Roman"/>
        </w:rPr>
        <w:t xml:space="preserve">and ovulation cycle process. Genes involved in neuroendocrine </w:t>
      </w:r>
      <w:r w:rsidR="00DA22C7" w:rsidRPr="00CF603F">
        <w:rPr>
          <w:rFonts w:ascii="Times New Roman" w:hAnsi="Times New Roman" w:cs="Times New Roman"/>
          <w:highlight w:val="yellow"/>
        </w:rPr>
        <w:t>signalling</w:t>
      </w:r>
      <w:r w:rsidR="004152F0" w:rsidRPr="00CF603F">
        <w:rPr>
          <w:rFonts w:ascii="Times New Roman" w:hAnsi="Times New Roman" w:cs="Times New Roman"/>
          <w:highlight w:val="yellow"/>
        </w:rPr>
        <w:t>, such</w:t>
      </w:r>
      <w:r w:rsidR="004152F0" w:rsidRPr="00BA7CCB">
        <w:rPr>
          <w:rFonts w:ascii="Times New Roman" w:hAnsi="Times New Roman" w:cs="Times New Roman"/>
        </w:rPr>
        <w:t xml:space="preserve"> as OPRK1 and TMEM68, are essential in regulating luteinizing hormone secretion and estrogen response, crucial for maintaining reproductive cyclicity and fertility (</w:t>
      </w:r>
      <w:r w:rsidR="00430E18" w:rsidRPr="00BA7CCB">
        <w:rPr>
          <w:rFonts w:ascii="Times New Roman" w:hAnsi="Times New Roman" w:cs="Times New Roman"/>
        </w:rPr>
        <w:t>Fortes et al., 2012</w:t>
      </w:r>
      <w:r w:rsidR="004152F0" w:rsidRPr="00BA7CCB">
        <w:rPr>
          <w:rFonts w:ascii="Times New Roman" w:hAnsi="Times New Roman" w:cs="Times New Roman"/>
        </w:rPr>
        <w:t xml:space="preserve">). </w:t>
      </w:r>
    </w:p>
    <w:p w14:paraId="456B4166" w14:textId="44288020" w:rsidR="004152F0" w:rsidRPr="00BA7CCB" w:rsidRDefault="00BB4633" w:rsidP="00BA7CCB">
      <w:pPr>
        <w:spacing w:line="240" w:lineRule="auto"/>
        <w:ind w:firstLine="720"/>
        <w:jc w:val="both"/>
        <w:rPr>
          <w:rFonts w:ascii="Times New Roman" w:hAnsi="Times New Roman" w:cs="Times New Roman"/>
        </w:rPr>
      </w:pPr>
      <w:r w:rsidRPr="00BA7CCB">
        <w:rPr>
          <w:rFonts w:ascii="Times New Roman" w:hAnsi="Times New Roman" w:cs="Times New Roman"/>
        </w:rPr>
        <w:t xml:space="preserve">Functional annotation of the candidate genes demonstrated enrichment in several key molecular pathways, including neuroactive ligand–receptor interactions, growth hormone receptor </w:t>
      </w:r>
      <w:r w:rsidR="00DA22C7" w:rsidRPr="00CF603F">
        <w:rPr>
          <w:rFonts w:ascii="Times New Roman" w:hAnsi="Times New Roman" w:cs="Times New Roman"/>
          <w:highlight w:val="yellow"/>
        </w:rPr>
        <w:t>signalling</w:t>
      </w:r>
      <w:r w:rsidRPr="00CF603F">
        <w:rPr>
          <w:rFonts w:ascii="Times New Roman" w:hAnsi="Times New Roman" w:cs="Times New Roman"/>
          <w:highlight w:val="yellow"/>
        </w:rPr>
        <w:t>,</w:t>
      </w:r>
      <w:r w:rsidRPr="00BA7CCB">
        <w:rPr>
          <w:rFonts w:ascii="Times New Roman" w:hAnsi="Times New Roman" w:cs="Times New Roman"/>
        </w:rPr>
        <w:t xml:space="preserve"> prolactin receptor </w:t>
      </w:r>
      <w:r w:rsidR="00DA22C7" w:rsidRPr="00CF603F">
        <w:rPr>
          <w:rFonts w:ascii="Times New Roman" w:hAnsi="Times New Roman" w:cs="Times New Roman"/>
          <w:highlight w:val="yellow"/>
        </w:rPr>
        <w:t>signalling</w:t>
      </w:r>
      <w:r w:rsidRPr="00CF603F">
        <w:rPr>
          <w:rFonts w:ascii="Times New Roman" w:hAnsi="Times New Roman" w:cs="Times New Roman"/>
          <w:highlight w:val="yellow"/>
        </w:rPr>
        <w:t>,</w:t>
      </w:r>
      <w:r w:rsidRPr="00BA7CCB">
        <w:rPr>
          <w:rFonts w:ascii="Times New Roman" w:hAnsi="Times New Roman" w:cs="Times New Roman"/>
        </w:rPr>
        <w:t xml:space="preserve"> AMPK </w:t>
      </w:r>
      <w:r w:rsidR="00DA22C7" w:rsidRPr="00CF603F">
        <w:rPr>
          <w:rFonts w:ascii="Times New Roman" w:hAnsi="Times New Roman" w:cs="Times New Roman"/>
          <w:highlight w:val="yellow"/>
        </w:rPr>
        <w:t>signalling</w:t>
      </w:r>
      <w:r w:rsidRPr="00CF603F">
        <w:rPr>
          <w:rFonts w:ascii="Times New Roman" w:hAnsi="Times New Roman" w:cs="Times New Roman"/>
          <w:highlight w:val="yellow"/>
        </w:rPr>
        <w:t>, MAPK</w:t>
      </w:r>
      <w:r w:rsidRPr="00BA7CCB">
        <w:rPr>
          <w:rFonts w:ascii="Times New Roman" w:hAnsi="Times New Roman" w:cs="Times New Roman"/>
        </w:rPr>
        <w:t xml:space="preserve"> </w:t>
      </w:r>
      <w:r w:rsidR="00DA22C7">
        <w:rPr>
          <w:rFonts w:ascii="Times New Roman" w:hAnsi="Times New Roman" w:cs="Times New Roman"/>
        </w:rPr>
        <w:t>signalling</w:t>
      </w:r>
      <w:r w:rsidRPr="00BA7CCB">
        <w:rPr>
          <w:rFonts w:ascii="Times New Roman" w:hAnsi="Times New Roman" w:cs="Times New Roman"/>
        </w:rPr>
        <w:t>, and the JAK–</w:t>
      </w:r>
      <w:r w:rsidRPr="00CF603F">
        <w:rPr>
          <w:rFonts w:ascii="Times New Roman" w:hAnsi="Times New Roman" w:cs="Times New Roman"/>
          <w:highlight w:val="yellow"/>
        </w:rPr>
        <w:t xml:space="preserve">STAT </w:t>
      </w:r>
      <w:r w:rsidR="00DA22C7" w:rsidRPr="00CF603F">
        <w:rPr>
          <w:rFonts w:ascii="Times New Roman" w:hAnsi="Times New Roman" w:cs="Times New Roman"/>
          <w:highlight w:val="yellow"/>
        </w:rPr>
        <w:t>signalling</w:t>
      </w:r>
      <w:r w:rsidR="00DA22C7" w:rsidRPr="00BA7CCB">
        <w:rPr>
          <w:rFonts w:ascii="Times New Roman" w:hAnsi="Times New Roman" w:cs="Times New Roman"/>
        </w:rPr>
        <w:t xml:space="preserve"> </w:t>
      </w:r>
      <w:r w:rsidRPr="00BA7CCB">
        <w:rPr>
          <w:rFonts w:ascii="Times New Roman" w:hAnsi="Times New Roman" w:cs="Times New Roman"/>
        </w:rPr>
        <w:t>pathway</w:t>
      </w:r>
      <w:r w:rsidR="00711201" w:rsidRPr="00BA7CCB">
        <w:rPr>
          <w:rFonts w:ascii="Times New Roman" w:hAnsi="Times New Roman" w:cs="Times New Roman"/>
        </w:rPr>
        <w:t xml:space="preserve"> (</w:t>
      </w:r>
      <w:bookmarkStart w:id="1" w:name="_Hlk208680859"/>
      <w:r w:rsidR="00711201" w:rsidRPr="00BA7CCB">
        <w:rPr>
          <w:rFonts w:ascii="Times New Roman" w:hAnsi="Times New Roman" w:cs="Times New Roman"/>
        </w:rPr>
        <w:t>Figure 1</w:t>
      </w:r>
      <w:bookmarkEnd w:id="1"/>
      <w:r w:rsidR="00711201" w:rsidRPr="00BA7CCB">
        <w:rPr>
          <w:rFonts w:ascii="Times New Roman" w:hAnsi="Times New Roman" w:cs="Times New Roman"/>
        </w:rPr>
        <w:t>)</w:t>
      </w:r>
      <w:r w:rsidRPr="00BA7CCB">
        <w:rPr>
          <w:rFonts w:ascii="Times New Roman" w:hAnsi="Times New Roman" w:cs="Times New Roman"/>
        </w:rPr>
        <w:t xml:space="preserve">. </w:t>
      </w:r>
      <w:r w:rsidR="004152F0" w:rsidRPr="00BA7CCB">
        <w:rPr>
          <w:rFonts w:ascii="Times New Roman" w:hAnsi="Times New Roman" w:cs="Times New Roman"/>
        </w:rPr>
        <w:t xml:space="preserve">Multiple studies reiterate that calving interval is influenced by a complex interaction of genetic components within pathways governing endocrine function, cellular metabolism, follicular development, and neuroendocrine control (Atashi et al., 2020; Haque et al., 2024; </w:t>
      </w:r>
      <w:r w:rsidR="00430E18" w:rsidRPr="00BA7CCB">
        <w:rPr>
          <w:rFonts w:ascii="Times New Roman" w:hAnsi="Times New Roman" w:cs="Times New Roman"/>
        </w:rPr>
        <w:t>Fortes et al., 2012</w:t>
      </w:r>
      <w:r w:rsidR="004152F0" w:rsidRPr="00BA7CCB">
        <w:rPr>
          <w:rFonts w:ascii="Times New Roman" w:hAnsi="Times New Roman" w:cs="Times New Roman"/>
        </w:rPr>
        <w:t>; Peripolli et al., 2</w:t>
      </w:r>
      <w:r w:rsidR="007661A2" w:rsidRPr="00BA7CCB">
        <w:rPr>
          <w:rFonts w:ascii="Times New Roman" w:hAnsi="Times New Roman" w:cs="Times New Roman"/>
        </w:rPr>
        <w:t>024; Abdalla et al., 2023; Ferna</w:t>
      </w:r>
      <w:r w:rsidR="004152F0" w:rsidRPr="00BA7CCB">
        <w:rPr>
          <w:rFonts w:ascii="Times New Roman" w:hAnsi="Times New Roman" w:cs="Times New Roman"/>
        </w:rPr>
        <w:t>ndez et al., 2024; Aponte et</w:t>
      </w:r>
      <w:r w:rsidR="007661A2" w:rsidRPr="00BA7CCB">
        <w:rPr>
          <w:rFonts w:ascii="Times New Roman" w:hAnsi="Times New Roman" w:cs="Times New Roman"/>
        </w:rPr>
        <w:t xml:space="preserve"> al., 2024; Hyeong e</w:t>
      </w:r>
      <w:r w:rsidR="00CB3653" w:rsidRPr="00BA7CCB">
        <w:rPr>
          <w:rFonts w:ascii="Times New Roman" w:hAnsi="Times New Roman" w:cs="Times New Roman"/>
        </w:rPr>
        <w:t>t al., 2014</w:t>
      </w:r>
      <w:r w:rsidR="004152F0" w:rsidRPr="00BA7CCB">
        <w:rPr>
          <w:rFonts w:ascii="Times New Roman" w:hAnsi="Times New Roman" w:cs="Times New Roman"/>
        </w:rPr>
        <w:t xml:space="preserve">). </w:t>
      </w:r>
    </w:p>
    <w:p w14:paraId="22E49A74" w14:textId="77777777" w:rsidR="00453294" w:rsidRPr="00BA7CCB" w:rsidRDefault="00453294" w:rsidP="00BA7CCB">
      <w:pPr>
        <w:spacing w:line="240" w:lineRule="auto"/>
        <w:jc w:val="both"/>
        <w:rPr>
          <w:rFonts w:ascii="Times New Roman" w:hAnsi="Times New Roman" w:cs="Times New Roman"/>
        </w:rPr>
      </w:pPr>
    </w:p>
    <w:p w14:paraId="22419E59" w14:textId="77777777" w:rsidR="00711201" w:rsidRPr="00BA7CCB" w:rsidRDefault="00711201" w:rsidP="00BA7CCB">
      <w:pPr>
        <w:spacing w:line="240" w:lineRule="auto"/>
        <w:jc w:val="both"/>
        <w:rPr>
          <w:rFonts w:ascii="Times New Roman" w:hAnsi="Times New Roman" w:cs="Times New Roman"/>
          <w:b/>
          <w:bCs/>
        </w:rPr>
      </w:pPr>
      <w:r w:rsidRPr="00BA7CCB">
        <w:rPr>
          <w:rFonts w:ascii="Times New Roman" w:hAnsi="Times New Roman" w:cs="Times New Roman"/>
          <w:b/>
          <w:bCs/>
        </w:rPr>
        <w:lastRenderedPageBreak/>
        <w:t>Figure 1. Molecular pathway analysis of the candidate genes involved in the calving interval.</w:t>
      </w:r>
    </w:p>
    <w:p w14:paraId="14BC98E1" w14:textId="4E171F68" w:rsidR="00711201" w:rsidRPr="00BA7CCB" w:rsidRDefault="00711201" w:rsidP="00BA7CCB">
      <w:pPr>
        <w:spacing w:line="240" w:lineRule="auto"/>
        <w:jc w:val="both"/>
        <w:rPr>
          <w:rFonts w:ascii="Times New Roman" w:hAnsi="Times New Roman" w:cs="Times New Roman"/>
        </w:rPr>
      </w:pPr>
      <w:r w:rsidRPr="00BA7CCB">
        <w:rPr>
          <w:rFonts w:ascii="Times New Roman" w:hAnsi="Times New Roman" w:cs="Times New Roman"/>
          <w:noProof/>
          <w:lang w:eastAsia="en-IN"/>
        </w:rPr>
        <w:drawing>
          <wp:inline distT="0" distB="0" distL="0" distR="0" wp14:anchorId="52437832" wp14:editId="2EDDDC5E">
            <wp:extent cx="5731510" cy="2629535"/>
            <wp:effectExtent l="0" t="0" r="2540" b="0"/>
            <wp:docPr id="1513804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629535"/>
                    </a:xfrm>
                    <a:prstGeom prst="rect">
                      <a:avLst/>
                    </a:prstGeom>
                    <a:noFill/>
                    <a:ln>
                      <a:noFill/>
                    </a:ln>
                  </pic:spPr>
                </pic:pic>
              </a:graphicData>
            </a:graphic>
          </wp:inline>
        </w:drawing>
      </w:r>
    </w:p>
    <w:p w14:paraId="75387782" w14:textId="5562C174" w:rsidR="009B50DC" w:rsidRPr="00BA7CCB" w:rsidRDefault="009B50DC" w:rsidP="00BA7CCB">
      <w:pPr>
        <w:spacing w:line="240" w:lineRule="auto"/>
        <w:jc w:val="both"/>
        <w:rPr>
          <w:rFonts w:ascii="Times New Roman" w:hAnsi="Times New Roman" w:cs="Times New Roman"/>
          <w:b/>
          <w:bCs/>
        </w:rPr>
      </w:pPr>
      <w:r w:rsidRPr="00BA7CCB">
        <w:rPr>
          <w:rFonts w:ascii="Times New Roman" w:hAnsi="Times New Roman" w:cs="Times New Roman"/>
          <w:b/>
          <w:bCs/>
        </w:rPr>
        <w:t>NETWORK ANALYSIS</w:t>
      </w:r>
    </w:p>
    <w:p w14:paraId="5EB633A4" w14:textId="60C81D98" w:rsidR="00453294"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BB4633" w:rsidRPr="00BA7CCB">
        <w:rPr>
          <w:rFonts w:ascii="Times New Roman" w:hAnsi="Times New Roman" w:cs="Times New Roman"/>
        </w:rPr>
        <w:t>Protein–protein interaction (PPI) networks are a valuable tool for interpreting complex high-throughput genomic data. In the present study, PPI networks were constructed for the 57 candidate genes associated with calving interval</w:t>
      </w:r>
      <w:r w:rsidR="006A52D5" w:rsidRPr="00BA7CCB">
        <w:rPr>
          <w:rFonts w:ascii="Times New Roman" w:hAnsi="Times New Roman" w:cs="Times New Roman"/>
        </w:rPr>
        <w:t xml:space="preserve"> (</w:t>
      </w:r>
      <w:bookmarkStart w:id="2" w:name="_Hlk208681348"/>
      <w:r w:rsidR="006A52D5" w:rsidRPr="00BA7CCB">
        <w:rPr>
          <w:rFonts w:ascii="Times New Roman" w:hAnsi="Times New Roman" w:cs="Times New Roman"/>
        </w:rPr>
        <w:t>Figure 2</w:t>
      </w:r>
      <w:bookmarkEnd w:id="2"/>
      <w:r w:rsidR="006A52D5" w:rsidRPr="00BA7CCB">
        <w:rPr>
          <w:rFonts w:ascii="Times New Roman" w:hAnsi="Times New Roman" w:cs="Times New Roman"/>
        </w:rPr>
        <w:t>)</w:t>
      </w:r>
      <w:r w:rsidR="00BB4633" w:rsidRPr="00BA7CCB">
        <w:rPr>
          <w:rFonts w:ascii="Times New Roman" w:hAnsi="Times New Roman" w:cs="Times New Roman"/>
        </w:rPr>
        <w:t>. Through network analysis, key hub genes including ESR1, IGF1, LEP, MSTN, TNF, FGF2, TLR4, and LTF were identified based on degree centrality (</w:t>
      </w:r>
      <w:bookmarkStart w:id="3" w:name="_Hlk208681034"/>
      <w:r w:rsidR="00BB4633" w:rsidRPr="00BA7CCB">
        <w:rPr>
          <w:rFonts w:ascii="Times New Roman" w:hAnsi="Times New Roman" w:cs="Times New Roman"/>
        </w:rPr>
        <w:t xml:space="preserve">Table </w:t>
      </w:r>
      <w:r w:rsidR="00711201" w:rsidRPr="00BA7CCB">
        <w:rPr>
          <w:rFonts w:ascii="Times New Roman" w:hAnsi="Times New Roman" w:cs="Times New Roman"/>
        </w:rPr>
        <w:t>2</w:t>
      </w:r>
      <w:bookmarkEnd w:id="3"/>
      <w:r w:rsidR="006A52D5" w:rsidRPr="00BA7CCB">
        <w:rPr>
          <w:rFonts w:ascii="Times New Roman" w:hAnsi="Times New Roman" w:cs="Times New Roman"/>
        </w:rPr>
        <w:t xml:space="preserve"> and Figure 3</w:t>
      </w:r>
      <w:r w:rsidR="00BB4633" w:rsidRPr="00BA7CCB">
        <w:rPr>
          <w:rFonts w:ascii="Times New Roman" w:hAnsi="Times New Roman" w:cs="Times New Roman"/>
        </w:rPr>
        <w:t xml:space="preserve">). Degree centrality, which refers to the number of direct connections a node has with other nodes, was used as the primary topological parameter. Genes with higher degree centrality values were considered potential hub genes, indicating their significant role in regulating cellular </w:t>
      </w:r>
      <w:r w:rsidR="00DA22C7" w:rsidRPr="00CF603F">
        <w:rPr>
          <w:rFonts w:ascii="Times New Roman" w:hAnsi="Times New Roman" w:cs="Times New Roman"/>
          <w:highlight w:val="yellow"/>
        </w:rPr>
        <w:t>signalling</w:t>
      </w:r>
      <w:r w:rsidR="00DA22C7" w:rsidRPr="00BA7CCB">
        <w:rPr>
          <w:rFonts w:ascii="Times New Roman" w:hAnsi="Times New Roman" w:cs="Times New Roman"/>
        </w:rPr>
        <w:t xml:space="preserve"> </w:t>
      </w:r>
      <w:r w:rsidR="00BB4633" w:rsidRPr="00BA7CCB">
        <w:rPr>
          <w:rFonts w:ascii="Times New Roman" w:hAnsi="Times New Roman" w:cs="Times New Roman"/>
        </w:rPr>
        <w:t>pathways.</w:t>
      </w:r>
    </w:p>
    <w:p w14:paraId="36ADDC39" w14:textId="65264ACC" w:rsidR="00FE48A0" w:rsidRPr="00BA7CCB" w:rsidRDefault="00FE48A0" w:rsidP="00BA7CCB">
      <w:pPr>
        <w:spacing w:line="240" w:lineRule="auto"/>
        <w:jc w:val="both"/>
        <w:rPr>
          <w:rFonts w:ascii="Times New Roman" w:hAnsi="Times New Roman" w:cs="Times New Roman"/>
          <w:noProof/>
          <w:lang w:eastAsia="en-IN"/>
        </w:rPr>
      </w:pPr>
      <w:r w:rsidRPr="00BA7CCB">
        <w:rPr>
          <w:rFonts w:ascii="Times New Roman" w:hAnsi="Times New Roman" w:cs="Times New Roman"/>
          <w:b/>
          <w:bCs/>
        </w:rPr>
        <w:t>Figure 2. Protein–protein interaction network based on candidate genes involved in the calving interval.</w:t>
      </w:r>
      <w:r w:rsidR="00453294" w:rsidRPr="00BA7CCB">
        <w:rPr>
          <w:rFonts w:ascii="Times New Roman" w:hAnsi="Times New Roman" w:cs="Times New Roman"/>
          <w:noProof/>
          <w:lang w:eastAsia="en-IN"/>
        </w:rPr>
        <w:t xml:space="preserve"> </w:t>
      </w:r>
    </w:p>
    <w:p w14:paraId="0F89E425" w14:textId="7433DE10" w:rsidR="00453294" w:rsidRPr="00BA7CCB" w:rsidRDefault="00BA7CCB" w:rsidP="00BA7CCB">
      <w:pPr>
        <w:spacing w:line="240" w:lineRule="auto"/>
        <w:jc w:val="both"/>
        <w:rPr>
          <w:rFonts w:ascii="Times New Roman" w:hAnsi="Times New Roman" w:cs="Times New Roman"/>
          <w:noProof/>
          <w:lang w:eastAsia="en-IN"/>
        </w:rPr>
      </w:pPr>
      <w:r w:rsidRPr="00BA7CCB">
        <w:rPr>
          <w:rFonts w:ascii="Times New Roman" w:hAnsi="Times New Roman" w:cs="Times New Roman"/>
          <w:noProof/>
          <w:lang w:eastAsia="en-IN"/>
        </w:rPr>
        <w:drawing>
          <wp:anchor distT="0" distB="0" distL="114300" distR="114300" simplePos="0" relativeHeight="251658240" behindDoc="1" locked="0" layoutInCell="1" allowOverlap="1" wp14:anchorId="0A4651D3" wp14:editId="4BAD98C1">
            <wp:simplePos x="0" y="0"/>
            <wp:positionH relativeFrom="column">
              <wp:posOffset>1096645</wp:posOffset>
            </wp:positionH>
            <wp:positionV relativeFrom="paragraph">
              <wp:posOffset>126365</wp:posOffset>
            </wp:positionV>
            <wp:extent cx="3502660" cy="3347720"/>
            <wp:effectExtent l="0" t="0" r="0" b="0"/>
            <wp:wrapTight wrapText="bothSides">
              <wp:wrapPolygon edited="0">
                <wp:start x="12335" y="246"/>
                <wp:lineTo x="11748" y="615"/>
                <wp:lineTo x="11513" y="1229"/>
                <wp:lineTo x="11630" y="2458"/>
                <wp:lineTo x="3289" y="2581"/>
                <wp:lineTo x="3054" y="4302"/>
                <wp:lineTo x="4582" y="4548"/>
                <wp:lineTo x="4347" y="5162"/>
                <wp:lineTo x="4347" y="6514"/>
                <wp:lineTo x="2937" y="8358"/>
                <wp:lineTo x="1880" y="8850"/>
                <wp:lineTo x="1762" y="9219"/>
                <wp:lineTo x="1527" y="13520"/>
                <wp:lineTo x="1645" y="14012"/>
                <wp:lineTo x="2350" y="14258"/>
                <wp:lineTo x="3877" y="16225"/>
                <wp:lineTo x="2584" y="17822"/>
                <wp:lineTo x="2702" y="18191"/>
                <wp:lineTo x="5286" y="20158"/>
                <wp:lineTo x="5639" y="21264"/>
                <wp:lineTo x="6344" y="21264"/>
                <wp:lineTo x="6461" y="21018"/>
                <wp:lineTo x="7518" y="20158"/>
                <wp:lineTo x="12570" y="20158"/>
                <wp:lineTo x="19736" y="19052"/>
                <wp:lineTo x="19619" y="18191"/>
                <wp:lineTo x="20558" y="16962"/>
                <wp:lineTo x="20676" y="16347"/>
                <wp:lineTo x="20206" y="15856"/>
                <wp:lineTo x="18091" y="14627"/>
                <wp:lineTo x="19736" y="13889"/>
                <wp:lineTo x="19971" y="12660"/>
                <wp:lineTo x="18914" y="12291"/>
                <wp:lineTo x="19031" y="11554"/>
                <wp:lineTo x="18561" y="10325"/>
                <wp:lineTo x="19384" y="9587"/>
                <wp:lineTo x="19149" y="9096"/>
                <wp:lineTo x="17504" y="8358"/>
                <wp:lineTo x="19736" y="6514"/>
                <wp:lineTo x="19736" y="6392"/>
                <wp:lineTo x="20793" y="5777"/>
                <wp:lineTo x="20793" y="5408"/>
                <wp:lineTo x="19501" y="4425"/>
                <wp:lineTo x="20676" y="4425"/>
                <wp:lineTo x="19971" y="2458"/>
                <wp:lineTo x="14332" y="2458"/>
                <wp:lineTo x="16094" y="860"/>
                <wp:lineTo x="15977" y="615"/>
                <wp:lineTo x="13275" y="246"/>
                <wp:lineTo x="12335" y="246"/>
              </wp:wrapPolygon>
            </wp:wrapTight>
            <wp:docPr id="1443699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2660" cy="334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21624" w14:textId="77777777" w:rsidR="00453294" w:rsidRPr="00BA7CCB" w:rsidRDefault="00453294" w:rsidP="00BA7CCB">
      <w:pPr>
        <w:spacing w:line="240" w:lineRule="auto"/>
        <w:jc w:val="both"/>
        <w:rPr>
          <w:rFonts w:ascii="Times New Roman" w:hAnsi="Times New Roman" w:cs="Times New Roman"/>
          <w:noProof/>
          <w:lang w:eastAsia="en-IN"/>
        </w:rPr>
      </w:pPr>
    </w:p>
    <w:p w14:paraId="43182D7B" w14:textId="77777777" w:rsidR="00453294" w:rsidRPr="00BA7CCB" w:rsidRDefault="00453294" w:rsidP="00BA7CCB">
      <w:pPr>
        <w:spacing w:line="240" w:lineRule="auto"/>
        <w:jc w:val="both"/>
        <w:rPr>
          <w:rFonts w:ascii="Times New Roman" w:hAnsi="Times New Roman" w:cs="Times New Roman"/>
          <w:noProof/>
          <w:lang w:eastAsia="en-IN"/>
        </w:rPr>
      </w:pPr>
    </w:p>
    <w:p w14:paraId="1195AFB0" w14:textId="77777777" w:rsidR="00453294" w:rsidRPr="00BA7CCB" w:rsidRDefault="00453294" w:rsidP="00BA7CCB">
      <w:pPr>
        <w:spacing w:line="240" w:lineRule="auto"/>
        <w:jc w:val="both"/>
        <w:rPr>
          <w:rFonts w:ascii="Times New Roman" w:hAnsi="Times New Roman" w:cs="Times New Roman"/>
          <w:noProof/>
          <w:lang w:eastAsia="en-IN"/>
        </w:rPr>
      </w:pPr>
    </w:p>
    <w:p w14:paraId="3681AAE9" w14:textId="77777777" w:rsidR="00453294" w:rsidRPr="00BA7CCB" w:rsidRDefault="00453294" w:rsidP="00BA7CCB">
      <w:pPr>
        <w:spacing w:line="240" w:lineRule="auto"/>
        <w:jc w:val="both"/>
        <w:rPr>
          <w:rFonts w:ascii="Times New Roman" w:hAnsi="Times New Roman" w:cs="Times New Roman"/>
          <w:noProof/>
          <w:lang w:eastAsia="en-IN"/>
        </w:rPr>
      </w:pPr>
    </w:p>
    <w:p w14:paraId="27867A6C" w14:textId="77777777" w:rsidR="00453294" w:rsidRDefault="00453294" w:rsidP="00BA7CCB">
      <w:pPr>
        <w:spacing w:line="240" w:lineRule="auto"/>
        <w:jc w:val="both"/>
        <w:rPr>
          <w:rFonts w:ascii="Times New Roman" w:hAnsi="Times New Roman" w:cs="Times New Roman"/>
          <w:noProof/>
          <w:lang w:eastAsia="en-IN"/>
        </w:rPr>
      </w:pPr>
    </w:p>
    <w:p w14:paraId="1240E241" w14:textId="77777777" w:rsidR="00BA7CCB" w:rsidRDefault="00BA7CCB" w:rsidP="00BA7CCB">
      <w:pPr>
        <w:spacing w:line="240" w:lineRule="auto"/>
        <w:jc w:val="both"/>
        <w:rPr>
          <w:rFonts w:ascii="Times New Roman" w:hAnsi="Times New Roman" w:cs="Times New Roman"/>
          <w:noProof/>
          <w:lang w:eastAsia="en-IN"/>
        </w:rPr>
      </w:pPr>
    </w:p>
    <w:p w14:paraId="5E3497FA" w14:textId="77777777" w:rsidR="00BA7CCB" w:rsidRDefault="00BA7CCB" w:rsidP="00BA7CCB">
      <w:pPr>
        <w:spacing w:line="240" w:lineRule="auto"/>
        <w:jc w:val="both"/>
        <w:rPr>
          <w:rFonts w:ascii="Times New Roman" w:hAnsi="Times New Roman" w:cs="Times New Roman"/>
          <w:noProof/>
          <w:lang w:eastAsia="en-IN"/>
        </w:rPr>
      </w:pPr>
    </w:p>
    <w:p w14:paraId="22B72CC9" w14:textId="77777777" w:rsidR="00BA7CCB" w:rsidRDefault="00BA7CCB" w:rsidP="00BA7CCB">
      <w:pPr>
        <w:spacing w:line="240" w:lineRule="auto"/>
        <w:jc w:val="both"/>
        <w:rPr>
          <w:rFonts w:ascii="Times New Roman" w:hAnsi="Times New Roman" w:cs="Times New Roman"/>
          <w:noProof/>
          <w:lang w:eastAsia="en-IN"/>
        </w:rPr>
      </w:pPr>
    </w:p>
    <w:p w14:paraId="683DE220" w14:textId="77777777" w:rsidR="00BA7CCB" w:rsidRDefault="00BA7CCB" w:rsidP="00BA7CCB">
      <w:pPr>
        <w:spacing w:line="240" w:lineRule="auto"/>
        <w:jc w:val="both"/>
        <w:rPr>
          <w:rFonts w:ascii="Times New Roman" w:hAnsi="Times New Roman" w:cs="Times New Roman"/>
          <w:noProof/>
          <w:lang w:eastAsia="en-IN"/>
        </w:rPr>
      </w:pPr>
    </w:p>
    <w:p w14:paraId="2918CDED" w14:textId="77777777" w:rsidR="00BA7CCB" w:rsidRDefault="00BA7CCB" w:rsidP="00BA7CCB">
      <w:pPr>
        <w:spacing w:line="240" w:lineRule="auto"/>
        <w:jc w:val="both"/>
        <w:rPr>
          <w:rFonts w:ascii="Times New Roman" w:hAnsi="Times New Roman" w:cs="Times New Roman"/>
          <w:noProof/>
          <w:lang w:eastAsia="en-IN"/>
        </w:rPr>
      </w:pPr>
    </w:p>
    <w:p w14:paraId="37A0D0F1" w14:textId="77777777" w:rsidR="00BA7CCB" w:rsidRPr="00BA7CCB" w:rsidRDefault="00BA7CCB" w:rsidP="00BA7CCB">
      <w:pPr>
        <w:spacing w:line="240" w:lineRule="auto"/>
        <w:jc w:val="both"/>
        <w:rPr>
          <w:rFonts w:ascii="Times New Roman" w:hAnsi="Times New Roman" w:cs="Times New Roman"/>
          <w:noProof/>
          <w:lang w:eastAsia="en-IN"/>
        </w:rPr>
      </w:pPr>
    </w:p>
    <w:p w14:paraId="74A5960A" w14:textId="42E8CC82" w:rsidR="006A52D5" w:rsidRPr="00BA7CCB" w:rsidRDefault="006A52D5" w:rsidP="003D2611">
      <w:pPr>
        <w:spacing w:line="240" w:lineRule="auto"/>
        <w:jc w:val="both"/>
        <w:rPr>
          <w:rFonts w:ascii="Times New Roman" w:hAnsi="Times New Roman" w:cs="Times New Roman"/>
          <w:b/>
          <w:bCs/>
        </w:rPr>
      </w:pPr>
      <w:r w:rsidRPr="00BA7CCB">
        <w:rPr>
          <w:rFonts w:ascii="Times New Roman" w:hAnsi="Times New Roman" w:cs="Times New Roman"/>
          <w:b/>
          <w:bCs/>
        </w:rPr>
        <w:t>Table 2. Candidate genes identified from protein–protein interaction (PPI) networks</w:t>
      </w:r>
      <w:r w:rsidR="003D2611">
        <w:rPr>
          <w:rFonts w:ascii="Times New Roman" w:hAnsi="Times New Roman" w:cs="Times New Roman"/>
          <w:b/>
          <w:bCs/>
        </w:rPr>
        <w:t xml:space="preserve"> </w:t>
      </w:r>
      <w:r w:rsidRPr="00BA7CCB">
        <w:rPr>
          <w:rFonts w:ascii="Times New Roman" w:hAnsi="Times New Roman" w:cs="Times New Roman"/>
          <w:b/>
          <w:bCs/>
        </w:rPr>
        <w:t>based on the degree of centrality measure.</w:t>
      </w:r>
    </w:p>
    <w:tbl>
      <w:tblPr>
        <w:tblW w:w="5424" w:type="dxa"/>
        <w:jc w:val="center"/>
        <w:tblLook w:val="04A0" w:firstRow="1" w:lastRow="0" w:firstColumn="1" w:lastColumn="0" w:noHBand="0" w:noVBand="1"/>
      </w:tblPr>
      <w:tblGrid>
        <w:gridCol w:w="846"/>
        <w:gridCol w:w="1622"/>
        <w:gridCol w:w="1996"/>
        <w:gridCol w:w="960"/>
      </w:tblGrid>
      <w:tr w:rsidR="006A52D5" w:rsidRPr="00BA7CCB" w14:paraId="7A45D3B5" w14:textId="77777777" w:rsidTr="0069339D">
        <w:trPr>
          <w:trHeight w:val="288"/>
          <w:jc w:val="center"/>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F79F658" w14:textId="77777777" w:rsidR="006A52D5" w:rsidRPr="00BA7CCB" w:rsidRDefault="006A52D5" w:rsidP="00BA7CCB">
            <w:pPr>
              <w:spacing w:after="0" w:line="240" w:lineRule="auto"/>
              <w:jc w:val="both"/>
              <w:rPr>
                <w:rFonts w:ascii="Times New Roman" w:eastAsia="Times New Roman" w:hAnsi="Times New Roman" w:cs="Times New Roman"/>
                <w:b/>
                <w:bCs/>
                <w:color w:val="000000"/>
                <w:kern w:val="0"/>
                <w:lang w:eastAsia="en-IN"/>
                <w14:ligatures w14:val="none"/>
              </w:rPr>
            </w:pPr>
            <w:r w:rsidRPr="00BA7CCB">
              <w:rPr>
                <w:rFonts w:ascii="Times New Roman" w:eastAsia="Times New Roman" w:hAnsi="Times New Roman" w:cs="Times New Roman"/>
                <w:b/>
                <w:bCs/>
                <w:color w:val="000000"/>
                <w:kern w:val="0"/>
                <w:lang w:eastAsia="en-IN"/>
                <w14:ligatures w14:val="none"/>
              </w:rPr>
              <w:t>Sl. No</w:t>
            </w:r>
          </w:p>
        </w:tc>
        <w:tc>
          <w:tcPr>
            <w:tcW w:w="1622" w:type="dxa"/>
            <w:tcBorders>
              <w:top w:val="single" w:sz="4" w:space="0" w:color="auto"/>
              <w:left w:val="nil"/>
              <w:bottom w:val="single" w:sz="4" w:space="0" w:color="auto"/>
              <w:right w:val="single" w:sz="4" w:space="0" w:color="auto"/>
            </w:tcBorders>
            <w:noWrap/>
            <w:vAlign w:val="bottom"/>
            <w:hideMark/>
          </w:tcPr>
          <w:p w14:paraId="54EC596C" w14:textId="77777777" w:rsidR="006A52D5" w:rsidRPr="00BA7CCB" w:rsidRDefault="006A52D5" w:rsidP="00BA7CCB">
            <w:pPr>
              <w:spacing w:after="0" w:line="240" w:lineRule="auto"/>
              <w:jc w:val="both"/>
              <w:rPr>
                <w:rFonts w:ascii="Times New Roman" w:eastAsia="Times New Roman" w:hAnsi="Times New Roman" w:cs="Times New Roman"/>
                <w:b/>
                <w:bCs/>
                <w:color w:val="000000"/>
                <w:kern w:val="0"/>
                <w:lang w:eastAsia="en-IN"/>
                <w14:ligatures w14:val="none"/>
              </w:rPr>
            </w:pPr>
            <w:r w:rsidRPr="00BA7CCB">
              <w:rPr>
                <w:rFonts w:ascii="Times New Roman" w:eastAsia="Times New Roman" w:hAnsi="Times New Roman" w:cs="Times New Roman"/>
                <w:b/>
                <w:bCs/>
                <w:color w:val="000000"/>
                <w:kern w:val="0"/>
                <w:lang w:eastAsia="en-IN"/>
                <w14:ligatures w14:val="none"/>
              </w:rPr>
              <w:t>Gene Symbol</w:t>
            </w:r>
          </w:p>
        </w:tc>
        <w:tc>
          <w:tcPr>
            <w:tcW w:w="1996" w:type="dxa"/>
            <w:tcBorders>
              <w:top w:val="single" w:sz="4" w:space="0" w:color="auto"/>
              <w:left w:val="nil"/>
              <w:bottom w:val="single" w:sz="4" w:space="0" w:color="auto"/>
              <w:right w:val="single" w:sz="4" w:space="0" w:color="auto"/>
            </w:tcBorders>
            <w:noWrap/>
            <w:vAlign w:val="bottom"/>
            <w:hideMark/>
          </w:tcPr>
          <w:p w14:paraId="0A2F5AB5" w14:textId="77777777" w:rsidR="006A52D5" w:rsidRPr="00BA7CCB" w:rsidRDefault="006A52D5" w:rsidP="00BA7CCB">
            <w:pPr>
              <w:spacing w:after="0" w:line="240" w:lineRule="auto"/>
              <w:jc w:val="both"/>
              <w:rPr>
                <w:rFonts w:ascii="Times New Roman" w:eastAsia="Times New Roman" w:hAnsi="Times New Roman" w:cs="Times New Roman"/>
                <w:b/>
                <w:bCs/>
                <w:color w:val="000000"/>
                <w:kern w:val="0"/>
                <w:lang w:eastAsia="en-IN"/>
                <w14:ligatures w14:val="none"/>
              </w:rPr>
            </w:pPr>
            <w:r w:rsidRPr="00BA7CCB">
              <w:rPr>
                <w:rFonts w:ascii="Times New Roman" w:eastAsia="Times New Roman" w:hAnsi="Times New Roman" w:cs="Times New Roman"/>
                <w:b/>
                <w:bCs/>
                <w:color w:val="000000"/>
                <w:kern w:val="0"/>
                <w:lang w:eastAsia="en-IN"/>
                <w14:ligatures w14:val="none"/>
              </w:rPr>
              <w:t>Degree centrality</w:t>
            </w:r>
          </w:p>
        </w:tc>
        <w:tc>
          <w:tcPr>
            <w:tcW w:w="960" w:type="dxa"/>
            <w:tcBorders>
              <w:top w:val="single" w:sz="4" w:space="0" w:color="auto"/>
              <w:left w:val="nil"/>
              <w:bottom w:val="single" w:sz="4" w:space="0" w:color="auto"/>
              <w:right w:val="single" w:sz="4" w:space="0" w:color="auto"/>
            </w:tcBorders>
            <w:noWrap/>
            <w:vAlign w:val="bottom"/>
            <w:hideMark/>
          </w:tcPr>
          <w:p w14:paraId="55B77665" w14:textId="77777777" w:rsidR="006A52D5" w:rsidRPr="00BA7CCB" w:rsidRDefault="006A52D5" w:rsidP="00BA7CCB">
            <w:pPr>
              <w:spacing w:after="0" w:line="240" w:lineRule="auto"/>
              <w:jc w:val="both"/>
              <w:rPr>
                <w:rFonts w:ascii="Times New Roman" w:eastAsia="Times New Roman" w:hAnsi="Times New Roman" w:cs="Times New Roman"/>
                <w:b/>
                <w:bCs/>
                <w:color w:val="000000"/>
                <w:kern w:val="0"/>
                <w:lang w:eastAsia="en-IN"/>
                <w14:ligatures w14:val="none"/>
              </w:rPr>
            </w:pPr>
            <w:r w:rsidRPr="00BA7CCB">
              <w:rPr>
                <w:rFonts w:ascii="Times New Roman" w:eastAsia="Times New Roman" w:hAnsi="Times New Roman" w:cs="Times New Roman"/>
                <w:b/>
                <w:bCs/>
                <w:color w:val="000000"/>
                <w:kern w:val="0"/>
                <w:lang w:eastAsia="en-IN"/>
                <w14:ligatures w14:val="none"/>
              </w:rPr>
              <w:t>Rank</w:t>
            </w:r>
          </w:p>
        </w:tc>
      </w:tr>
      <w:tr w:rsidR="006A52D5" w:rsidRPr="00BA7CCB" w14:paraId="33E5ACA1"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63D7D0D8"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w:t>
            </w:r>
          </w:p>
        </w:tc>
        <w:tc>
          <w:tcPr>
            <w:tcW w:w="1622" w:type="dxa"/>
            <w:tcBorders>
              <w:top w:val="nil"/>
              <w:left w:val="nil"/>
              <w:bottom w:val="single" w:sz="4" w:space="0" w:color="auto"/>
              <w:right w:val="single" w:sz="4" w:space="0" w:color="auto"/>
            </w:tcBorders>
            <w:noWrap/>
            <w:vAlign w:val="bottom"/>
            <w:hideMark/>
          </w:tcPr>
          <w:p w14:paraId="6973E5AD"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ESR1</w:t>
            </w:r>
          </w:p>
        </w:tc>
        <w:tc>
          <w:tcPr>
            <w:tcW w:w="1996" w:type="dxa"/>
            <w:tcBorders>
              <w:top w:val="nil"/>
              <w:left w:val="nil"/>
              <w:bottom w:val="single" w:sz="4" w:space="0" w:color="auto"/>
              <w:right w:val="single" w:sz="4" w:space="0" w:color="auto"/>
            </w:tcBorders>
            <w:noWrap/>
            <w:vAlign w:val="bottom"/>
            <w:hideMark/>
          </w:tcPr>
          <w:p w14:paraId="1E3F1DAD"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19</w:t>
            </w:r>
          </w:p>
        </w:tc>
        <w:tc>
          <w:tcPr>
            <w:tcW w:w="960" w:type="dxa"/>
            <w:tcBorders>
              <w:top w:val="nil"/>
              <w:left w:val="nil"/>
              <w:bottom w:val="single" w:sz="4" w:space="0" w:color="auto"/>
              <w:right w:val="single" w:sz="4" w:space="0" w:color="auto"/>
            </w:tcBorders>
            <w:noWrap/>
            <w:vAlign w:val="bottom"/>
            <w:hideMark/>
          </w:tcPr>
          <w:p w14:paraId="76624B0A"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w:t>
            </w:r>
          </w:p>
        </w:tc>
      </w:tr>
      <w:tr w:rsidR="006A52D5" w:rsidRPr="00BA7CCB" w14:paraId="739546DB"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0D1C68D8"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2</w:t>
            </w:r>
          </w:p>
        </w:tc>
        <w:tc>
          <w:tcPr>
            <w:tcW w:w="1622" w:type="dxa"/>
            <w:tcBorders>
              <w:top w:val="nil"/>
              <w:left w:val="nil"/>
              <w:bottom w:val="single" w:sz="4" w:space="0" w:color="auto"/>
              <w:right w:val="single" w:sz="4" w:space="0" w:color="auto"/>
            </w:tcBorders>
            <w:noWrap/>
            <w:vAlign w:val="bottom"/>
            <w:hideMark/>
          </w:tcPr>
          <w:p w14:paraId="15EEDD78"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IGF1</w:t>
            </w:r>
          </w:p>
        </w:tc>
        <w:tc>
          <w:tcPr>
            <w:tcW w:w="1996" w:type="dxa"/>
            <w:tcBorders>
              <w:top w:val="nil"/>
              <w:left w:val="nil"/>
              <w:bottom w:val="single" w:sz="4" w:space="0" w:color="auto"/>
              <w:right w:val="single" w:sz="4" w:space="0" w:color="auto"/>
            </w:tcBorders>
            <w:noWrap/>
            <w:vAlign w:val="bottom"/>
            <w:hideMark/>
          </w:tcPr>
          <w:p w14:paraId="07B30483"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18</w:t>
            </w:r>
          </w:p>
        </w:tc>
        <w:tc>
          <w:tcPr>
            <w:tcW w:w="960" w:type="dxa"/>
            <w:tcBorders>
              <w:top w:val="nil"/>
              <w:left w:val="nil"/>
              <w:bottom w:val="single" w:sz="4" w:space="0" w:color="auto"/>
              <w:right w:val="single" w:sz="4" w:space="0" w:color="auto"/>
            </w:tcBorders>
            <w:noWrap/>
            <w:vAlign w:val="bottom"/>
            <w:hideMark/>
          </w:tcPr>
          <w:p w14:paraId="79C0C6BD"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2</w:t>
            </w:r>
          </w:p>
        </w:tc>
      </w:tr>
      <w:tr w:rsidR="006A52D5" w:rsidRPr="00BA7CCB" w14:paraId="57491D81"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40CC25B0"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3</w:t>
            </w:r>
          </w:p>
        </w:tc>
        <w:tc>
          <w:tcPr>
            <w:tcW w:w="1622" w:type="dxa"/>
            <w:tcBorders>
              <w:top w:val="nil"/>
              <w:left w:val="nil"/>
              <w:bottom w:val="single" w:sz="4" w:space="0" w:color="auto"/>
              <w:right w:val="single" w:sz="4" w:space="0" w:color="auto"/>
            </w:tcBorders>
            <w:noWrap/>
            <w:vAlign w:val="bottom"/>
            <w:hideMark/>
          </w:tcPr>
          <w:p w14:paraId="72CE9A97"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LEP</w:t>
            </w:r>
          </w:p>
        </w:tc>
        <w:tc>
          <w:tcPr>
            <w:tcW w:w="1996" w:type="dxa"/>
            <w:tcBorders>
              <w:top w:val="nil"/>
              <w:left w:val="nil"/>
              <w:bottom w:val="single" w:sz="4" w:space="0" w:color="auto"/>
              <w:right w:val="single" w:sz="4" w:space="0" w:color="auto"/>
            </w:tcBorders>
            <w:noWrap/>
            <w:vAlign w:val="bottom"/>
            <w:hideMark/>
          </w:tcPr>
          <w:p w14:paraId="7B0D81E5"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17</w:t>
            </w:r>
          </w:p>
        </w:tc>
        <w:tc>
          <w:tcPr>
            <w:tcW w:w="960" w:type="dxa"/>
            <w:tcBorders>
              <w:top w:val="nil"/>
              <w:left w:val="nil"/>
              <w:bottom w:val="single" w:sz="4" w:space="0" w:color="auto"/>
              <w:right w:val="single" w:sz="4" w:space="0" w:color="auto"/>
            </w:tcBorders>
            <w:noWrap/>
            <w:vAlign w:val="bottom"/>
            <w:hideMark/>
          </w:tcPr>
          <w:p w14:paraId="503D35E3"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3</w:t>
            </w:r>
          </w:p>
        </w:tc>
      </w:tr>
      <w:tr w:rsidR="006A52D5" w:rsidRPr="00BA7CCB" w14:paraId="2A78F276"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2AFDC81D"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4</w:t>
            </w:r>
          </w:p>
        </w:tc>
        <w:tc>
          <w:tcPr>
            <w:tcW w:w="1622" w:type="dxa"/>
            <w:tcBorders>
              <w:top w:val="nil"/>
              <w:left w:val="nil"/>
              <w:bottom w:val="single" w:sz="4" w:space="0" w:color="auto"/>
              <w:right w:val="single" w:sz="4" w:space="0" w:color="auto"/>
            </w:tcBorders>
            <w:noWrap/>
            <w:vAlign w:val="bottom"/>
            <w:hideMark/>
          </w:tcPr>
          <w:p w14:paraId="64F2C9BD"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MSTN</w:t>
            </w:r>
          </w:p>
        </w:tc>
        <w:tc>
          <w:tcPr>
            <w:tcW w:w="1996" w:type="dxa"/>
            <w:tcBorders>
              <w:top w:val="nil"/>
              <w:left w:val="nil"/>
              <w:bottom w:val="single" w:sz="4" w:space="0" w:color="auto"/>
              <w:right w:val="single" w:sz="4" w:space="0" w:color="auto"/>
            </w:tcBorders>
            <w:noWrap/>
            <w:vAlign w:val="bottom"/>
            <w:hideMark/>
          </w:tcPr>
          <w:p w14:paraId="51324342"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16</w:t>
            </w:r>
          </w:p>
        </w:tc>
        <w:tc>
          <w:tcPr>
            <w:tcW w:w="960" w:type="dxa"/>
            <w:tcBorders>
              <w:top w:val="nil"/>
              <w:left w:val="nil"/>
              <w:bottom w:val="single" w:sz="4" w:space="0" w:color="auto"/>
              <w:right w:val="single" w:sz="4" w:space="0" w:color="auto"/>
            </w:tcBorders>
            <w:noWrap/>
            <w:vAlign w:val="bottom"/>
            <w:hideMark/>
          </w:tcPr>
          <w:p w14:paraId="104B0E86"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4</w:t>
            </w:r>
          </w:p>
        </w:tc>
      </w:tr>
      <w:tr w:rsidR="006A52D5" w:rsidRPr="00BA7CCB" w14:paraId="3DD7D3AF"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7CFA7327"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5</w:t>
            </w:r>
          </w:p>
        </w:tc>
        <w:tc>
          <w:tcPr>
            <w:tcW w:w="1622" w:type="dxa"/>
            <w:tcBorders>
              <w:top w:val="nil"/>
              <w:left w:val="nil"/>
              <w:bottom w:val="single" w:sz="4" w:space="0" w:color="auto"/>
              <w:right w:val="single" w:sz="4" w:space="0" w:color="auto"/>
            </w:tcBorders>
            <w:noWrap/>
            <w:vAlign w:val="bottom"/>
            <w:hideMark/>
          </w:tcPr>
          <w:p w14:paraId="2F209AA7"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TNF</w:t>
            </w:r>
          </w:p>
        </w:tc>
        <w:tc>
          <w:tcPr>
            <w:tcW w:w="1996" w:type="dxa"/>
            <w:tcBorders>
              <w:top w:val="nil"/>
              <w:left w:val="nil"/>
              <w:bottom w:val="single" w:sz="4" w:space="0" w:color="auto"/>
              <w:right w:val="single" w:sz="4" w:space="0" w:color="auto"/>
            </w:tcBorders>
            <w:noWrap/>
            <w:vAlign w:val="bottom"/>
            <w:hideMark/>
          </w:tcPr>
          <w:p w14:paraId="10D9B956"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16</w:t>
            </w:r>
          </w:p>
        </w:tc>
        <w:tc>
          <w:tcPr>
            <w:tcW w:w="960" w:type="dxa"/>
            <w:tcBorders>
              <w:top w:val="nil"/>
              <w:left w:val="nil"/>
              <w:bottom w:val="single" w:sz="4" w:space="0" w:color="auto"/>
              <w:right w:val="single" w:sz="4" w:space="0" w:color="auto"/>
            </w:tcBorders>
            <w:noWrap/>
            <w:vAlign w:val="bottom"/>
            <w:hideMark/>
          </w:tcPr>
          <w:p w14:paraId="0BA7C25B"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4</w:t>
            </w:r>
          </w:p>
        </w:tc>
      </w:tr>
      <w:tr w:rsidR="006A52D5" w:rsidRPr="00BA7CCB" w14:paraId="023199FC"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1BE0A403"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6</w:t>
            </w:r>
          </w:p>
        </w:tc>
        <w:tc>
          <w:tcPr>
            <w:tcW w:w="1622" w:type="dxa"/>
            <w:tcBorders>
              <w:top w:val="nil"/>
              <w:left w:val="nil"/>
              <w:bottom w:val="single" w:sz="4" w:space="0" w:color="auto"/>
              <w:right w:val="single" w:sz="4" w:space="0" w:color="auto"/>
            </w:tcBorders>
            <w:noWrap/>
            <w:vAlign w:val="bottom"/>
            <w:hideMark/>
          </w:tcPr>
          <w:p w14:paraId="1400CCDA"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FGF2</w:t>
            </w:r>
          </w:p>
        </w:tc>
        <w:tc>
          <w:tcPr>
            <w:tcW w:w="1996" w:type="dxa"/>
            <w:tcBorders>
              <w:top w:val="nil"/>
              <w:left w:val="nil"/>
              <w:bottom w:val="single" w:sz="4" w:space="0" w:color="auto"/>
              <w:right w:val="single" w:sz="4" w:space="0" w:color="auto"/>
            </w:tcBorders>
            <w:noWrap/>
            <w:vAlign w:val="bottom"/>
            <w:hideMark/>
          </w:tcPr>
          <w:p w14:paraId="7DBF7ECA"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13</w:t>
            </w:r>
          </w:p>
        </w:tc>
        <w:tc>
          <w:tcPr>
            <w:tcW w:w="960" w:type="dxa"/>
            <w:tcBorders>
              <w:top w:val="nil"/>
              <w:left w:val="nil"/>
              <w:bottom w:val="single" w:sz="4" w:space="0" w:color="auto"/>
              <w:right w:val="single" w:sz="4" w:space="0" w:color="auto"/>
            </w:tcBorders>
            <w:noWrap/>
            <w:vAlign w:val="bottom"/>
            <w:hideMark/>
          </w:tcPr>
          <w:p w14:paraId="3670030B"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6</w:t>
            </w:r>
          </w:p>
        </w:tc>
      </w:tr>
      <w:tr w:rsidR="006A52D5" w:rsidRPr="00BA7CCB" w14:paraId="4AB8977F"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43ED1BFC"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7</w:t>
            </w:r>
          </w:p>
        </w:tc>
        <w:tc>
          <w:tcPr>
            <w:tcW w:w="1622" w:type="dxa"/>
            <w:tcBorders>
              <w:top w:val="nil"/>
              <w:left w:val="nil"/>
              <w:bottom w:val="single" w:sz="4" w:space="0" w:color="auto"/>
              <w:right w:val="single" w:sz="4" w:space="0" w:color="auto"/>
            </w:tcBorders>
            <w:noWrap/>
            <w:vAlign w:val="bottom"/>
            <w:hideMark/>
          </w:tcPr>
          <w:p w14:paraId="7A57584E"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TLR4</w:t>
            </w:r>
          </w:p>
        </w:tc>
        <w:tc>
          <w:tcPr>
            <w:tcW w:w="1996" w:type="dxa"/>
            <w:tcBorders>
              <w:top w:val="nil"/>
              <w:left w:val="nil"/>
              <w:bottom w:val="single" w:sz="4" w:space="0" w:color="auto"/>
              <w:right w:val="single" w:sz="4" w:space="0" w:color="auto"/>
            </w:tcBorders>
            <w:noWrap/>
            <w:vAlign w:val="bottom"/>
            <w:hideMark/>
          </w:tcPr>
          <w:p w14:paraId="03E39D4E"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11</w:t>
            </w:r>
          </w:p>
        </w:tc>
        <w:tc>
          <w:tcPr>
            <w:tcW w:w="960" w:type="dxa"/>
            <w:tcBorders>
              <w:top w:val="nil"/>
              <w:left w:val="nil"/>
              <w:bottom w:val="single" w:sz="4" w:space="0" w:color="auto"/>
              <w:right w:val="single" w:sz="4" w:space="0" w:color="auto"/>
            </w:tcBorders>
            <w:noWrap/>
            <w:vAlign w:val="bottom"/>
            <w:hideMark/>
          </w:tcPr>
          <w:p w14:paraId="4E165B47"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7</w:t>
            </w:r>
          </w:p>
        </w:tc>
      </w:tr>
      <w:tr w:rsidR="006A52D5" w:rsidRPr="00BA7CCB" w14:paraId="4B85046A"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2698C1C6"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8</w:t>
            </w:r>
          </w:p>
        </w:tc>
        <w:tc>
          <w:tcPr>
            <w:tcW w:w="1622" w:type="dxa"/>
            <w:tcBorders>
              <w:top w:val="nil"/>
              <w:left w:val="nil"/>
              <w:bottom w:val="single" w:sz="4" w:space="0" w:color="auto"/>
              <w:right w:val="single" w:sz="4" w:space="0" w:color="auto"/>
            </w:tcBorders>
            <w:noWrap/>
            <w:vAlign w:val="bottom"/>
            <w:hideMark/>
          </w:tcPr>
          <w:p w14:paraId="4D4E8C37"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LTF</w:t>
            </w:r>
          </w:p>
        </w:tc>
        <w:tc>
          <w:tcPr>
            <w:tcW w:w="1996" w:type="dxa"/>
            <w:tcBorders>
              <w:top w:val="nil"/>
              <w:left w:val="nil"/>
              <w:bottom w:val="single" w:sz="4" w:space="0" w:color="auto"/>
              <w:right w:val="single" w:sz="4" w:space="0" w:color="auto"/>
            </w:tcBorders>
            <w:noWrap/>
            <w:vAlign w:val="bottom"/>
            <w:hideMark/>
          </w:tcPr>
          <w:p w14:paraId="5965F82A"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10</w:t>
            </w:r>
          </w:p>
        </w:tc>
        <w:tc>
          <w:tcPr>
            <w:tcW w:w="960" w:type="dxa"/>
            <w:tcBorders>
              <w:top w:val="nil"/>
              <w:left w:val="nil"/>
              <w:bottom w:val="single" w:sz="4" w:space="0" w:color="auto"/>
              <w:right w:val="single" w:sz="4" w:space="0" w:color="auto"/>
            </w:tcBorders>
            <w:noWrap/>
            <w:vAlign w:val="bottom"/>
            <w:hideMark/>
          </w:tcPr>
          <w:p w14:paraId="37EE4976"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8</w:t>
            </w:r>
          </w:p>
        </w:tc>
      </w:tr>
      <w:tr w:rsidR="006A52D5" w:rsidRPr="00BA7CCB" w14:paraId="32182940"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49073A76"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9</w:t>
            </w:r>
          </w:p>
        </w:tc>
        <w:tc>
          <w:tcPr>
            <w:tcW w:w="1622" w:type="dxa"/>
            <w:tcBorders>
              <w:top w:val="nil"/>
              <w:left w:val="nil"/>
              <w:bottom w:val="single" w:sz="4" w:space="0" w:color="auto"/>
              <w:right w:val="single" w:sz="4" w:space="0" w:color="auto"/>
            </w:tcBorders>
            <w:noWrap/>
            <w:vAlign w:val="bottom"/>
            <w:hideMark/>
          </w:tcPr>
          <w:p w14:paraId="355AA68C"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IGFBP3</w:t>
            </w:r>
          </w:p>
        </w:tc>
        <w:tc>
          <w:tcPr>
            <w:tcW w:w="1996" w:type="dxa"/>
            <w:tcBorders>
              <w:top w:val="nil"/>
              <w:left w:val="nil"/>
              <w:bottom w:val="single" w:sz="4" w:space="0" w:color="auto"/>
              <w:right w:val="single" w:sz="4" w:space="0" w:color="auto"/>
            </w:tcBorders>
            <w:noWrap/>
            <w:vAlign w:val="bottom"/>
            <w:hideMark/>
          </w:tcPr>
          <w:p w14:paraId="71B40EFD"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10</w:t>
            </w:r>
          </w:p>
        </w:tc>
        <w:tc>
          <w:tcPr>
            <w:tcW w:w="960" w:type="dxa"/>
            <w:tcBorders>
              <w:top w:val="nil"/>
              <w:left w:val="nil"/>
              <w:bottom w:val="single" w:sz="4" w:space="0" w:color="auto"/>
              <w:right w:val="single" w:sz="4" w:space="0" w:color="auto"/>
            </w:tcBorders>
            <w:noWrap/>
            <w:vAlign w:val="bottom"/>
            <w:hideMark/>
          </w:tcPr>
          <w:p w14:paraId="23B000B7"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8</w:t>
            </w:r>
          </w:p>
        </w:tc>
      </w:tr>
      <w:tr w:rsidR="006A52D5" w:rsidRPr="00BA7CCB" w14:paraId="7437DF38" w14:textId="77777777" w:rsidTr="0069339D">
        <w:trPr>
          <w:trHeight w:val="288"/>
          <w:jc w:val="center"/>
        </w:trPr>
        <w:tc>
          <w:tcPr>
            <w:tcW w:w="846" w:type="dxa"/>
            <w:tcBorders>
              <w:top w:val="nil"/>
              <w:left w:val="single" w:sz="4" w:space="0" w:color="auto"/>
              <w:bottom w:val="single" w:sz="4" w:space="0" w:color="auto"/>
              <w:right w:val="single" w:sz="4" w:space="0" w:color="auto"/>
            </w:tcBorders>
            <w:noWrap/>
            <w:vAlign w:val="bottom"/>
            <w:hideMark/>
          </w:tcPr>
          <w:p w14:paraId="63F33BA3"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10</w:t>
            </w:r>
          </w:p>
        </w:tc>
        <w:tc>
          <w:tcPr>
            <w:tcW w:w="1622" w:type="dxa"/>
            <w:tcBorders>
              <w:top w:val="nil"/>
              <w:left w:val="nil"/>
              <w:bottom w:val="single" w:sz="4" w:space="0" w:color="auto"/>
              <w:right w:val="single" w:sz="4" w:space="0" w:color="auto"/>
            </w:tcBorders>
            <w:noWrap/>
            <w:vAlign w:val="bottom"/>
            <w:hideMark/>
          </w:tcPr>
          <w:p w14:paraId="0543CFAF"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SPP1</w:t>
            </w:r>
          </w:p>
        </w:tc>
        <w:tc>
          <w:tcPr>
            <w:tcW w:w="1996" w:type="dxa"/>
            <w:tcBorders>
              <w:top w:val="nil"/>
              <w:left w:val="nil"/>
              <w:bottom w:val="single" w:sz="4" w:space="0" w:color="auto"/>
              <w:right w:val="single" w:sz="4" w:space="0" w:color="auto"/>
            </w:tcBorders>
            <w:noWrap/>
            <w:vAlign w:val="bottom"/>
            <w:hideMark/>
          </w:tcPr>
          <w:p w14:paraId="15831C88"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10</w:t>
            </w:r>
          </w:p>
        </w:tc>
        <w:tc>
          <w:tcPr>
            <w:tcW w:w="960" w:type="dxa"/>
            <w:tcBorders>
              <w:top w:val="nil"/>
              <w:left w:val="nil"/>
              <w:bottom w:val="single" w:sz="4" w:space="0" w:color="auto"/>
              <w:right w:val="single" w:sz="4" w:space="0" w:color="auto"/>
            </w:tcBorders>
            <w:noWrap/>
            <w:vAlign w:val="bottom"/>
            <w:hideMark/>
          </w:tcPr>
          <w:p w14:paraId="61EA4A79" w14:textId="77777777" w:rsidR="006A52D5" w:rsidRPr="00BA7CCB" w:rsidRDefault="006A52D5" w:rsidP="00BA7CCB">
            <w:pPr>
              <w:spacing w:after="0" w:line="240" w:lineRule="auto"/>
              <w:jc w:val="both"/>
              <w:rPr>
                <w:rFonts w:ascii="Times New Roman" w:eastAsia="Times New Roman" w:hAnsi="Times New Roman" w:cs="Times New Roman"/>
                <w:color w:val="000000"/>
                <w:kern w:val="0"/>
                <w:lang w:eastAsia="en-IN"/>
                <w14:ligatures w14:val="none"/>
              </w:rPr>
            </w:pPr>
            <w:r w:rsidRPr="00BA7CCB">
              <w:rPr>
                <w:rFonts w:ascii="Times New Roman" w:eastAsia="Times New Roman" w:hAnsi="Times New Roman" w:cs="Times New Roman"/>
                <w:color w:val="000000"/>
                <w:kern w:val="0"/>
                <w:lang w:eastAsia="en-IN"/>
                <w14:ligatures w14:val="none"/>
              </w:rPr>
              <w:t>8</w:t>
            </w:r>
          </w:p>
        </w:tc>
      </w:tr>
    </w:tbl>
    <w:p w14:paraId="1FE71158" w14:textId="322309A3" w:rsidR="009B50DC" w:rsidRPr="00BA7CCB" w:rsidRDefault="006A52D5" w:rsidP="00BA7CCB">
      <w:pPr>
        <w:spacing w:before="120" w:line="240" w:lineRule="auto"/>
        <w:jc w:val="both"/>
        <w:rPr>
          <w:rFonts w:ascii="Times New Roman" w:hAnsi="Times New Roman" w:cs="Times New Roman"/>
        </w:rPr>
      </w:pPr>
      <w:r w:rsidRPr="00BA7CCB">
        <w:rPr>
          <w:rFonts w:ascii="Times New Roman" w:hAnsi="Times New Roman" w:cs="Times New Roman"/>
        </w:rPr>
        <w:tab/>
      </w:r>
      <w:r w:rsidR="009B50DC" w:rsidRPr="00BA7CCB">
        <w:rPr>
          <w:rFonts w:ascii="Times New Roman" w:hAnsi="Times New Roman" w:cs="Times New Roman"/>
        </w:rPr>
        <w:t xml:space="preserve">ESR1 is critical in regulating </w:t>
      </w:r>
      <w:r w:rsidR="009B50DC" w:rsidRPr="00CF603F">
        <w:rPr>
          <w:rFonts w:ascii="Times New Roman" w:hAnsi="Times New Roman" w:cs="Times New Roman"/>
          <w:highlight w:val="yellow"/>
        </w:rPr>
        <w:t xml:space="preserve">the </w:t>
      </w:r>
      <w:r w:rsidR="00DA22C7" w:rsidRPr="00CF603F">
        <w:rPr>
          <w:rFonts w:ascii="Times New Roman" w:hAnsi="Times New Roman" w:cs="Times New Roman"/>
          <w:highlight w:val="yellow"/>
        </w:rPr>
        <w:t>oestrous</w:t>
      </w:r>
      <w:r w:rsidR="00DA22C7" w:rsidRPr="00CF603F">
        <w:rPr>
          <w:rFonts w:ascii="Times New Roman" w:hAnsi="Times New Roman" w:cs="Times New Roman"/>
          <w:highlight w:val="yellow"/>
        </w:rPr>
        <w:t xml:space="preserve"> </w:t>
      </w:r>
      <w:r w:rsidR="009B50DC" w:rsidRPr="00CF603F">
        <w:rPr>
          <w:rFonts w:ascii="Times New Roman" w:hAnsi="Times New Roman" w:cs="Times New Roman"/>
          <w:highlight w:val="yellow"/>
        </w:rPr>
        <w:t>cycle, follicular</w:t>
      </w:r>
      <w:r w:rsidR="009B50DC" w:rsidRPr="00BA7CCB">
        <w:rPr>
          <w:rFonts w:ascii="Times New Roman" w:hAnsi="Times New Roman" w:cs="Times New Roman"/>
        </w:rPr>
        <w:t xml:space="preserve"> development, and uterine receptivity. Its expression modulates transcription of genes controlling ovulation and implantation, influencing fertility and thus calving interval in cattle. IGF1 (Insulin-like growth factor 1) functions as a key growth factor </w:t>
      </w:r>
      <w:r w:rsidR="009B50DC" w:rsidRPr="00CF603F">
        <w:rPr>
          <w:rFonts w:ascii="Times New Roman" w:hAnsi="Times New Roman" w:cs="Times New Roman"/>
          <w:highlight w:val="yellow"/>
        </w:rPr>
        <w:t xml:space="preserve">mediating </w:t>
      </w:r>
      <w:r w:rsidR="00DA22C7" w:rsidRPr="00CF603F">
        <w:rPr>
          <w:rFonts w:ascii="Times New Roman" w:hAnsi="Times New Roman" w:cs="Times New Roman"/>
          <w:highlight w:val="yellow"/>
        </w:rPr>
        <w:t xml:space="preserve">the </w:t>
      </w:r>
      <w:r w:rsidR="009B50DC" w:rsidRPr="00CF603F">
        <w:rPr>
          <w:rFonts w:ascii="Times New Roman" w:hAnsi="Times New Roman" w:cs="Times New Roman"/>
          <w:highlight w:val="yellow"/>
        </w:rPr>
        <w:t>effects of</w:t>
      </w:r>
      <w:r w:rsidR="009B50DC" w:rsidRPr="00BA7CCB">
        <w:rPr>
          <w:rFonts w:ascii="Times New Roman" w:hAnsi="Times New Roman" w:cs="Times New Roman"/>
        </w:rPr>
        <w:t xml:space="preserve"> growth hormone on cellular proliferation and differentiation within ovarian follicles. IGF1 promotes folliculogenesis, steroidogenesis, and oocyte maturation, facilitating timely ovulation and conception. Elevated IGF1 levels correlate with improved reproductive efficiency and shorter calving intervals, highlighting its regulatory importance (</w:t>
      </w:r>
      <w:r w:rsidR="00430E18" w:rsidRPr="00BA7CCB">
        <w:rPr>
          <w:rFonts w:ascii="Times New Roman" w:hAnsi="Times New Roman" w:cs="Times New Roman"/>
        </w:rPr>
        <w:t>Fortes et al., 2012</w:t>
      </w:r>
      <w:r w:rsidR="009B50DC" w:rsidRPr="00BA7CCB">
        <w:rPr>
          <w:rFonts w:ascii="Times New Roman" w:hAnsi="Times New Roman" w:cs="Times New Roman"/>
        </w:rPr>
        <w:t>).</w:t>
      </w:r>
      <w:r w:rsidR="00DA22C7">
        <w:rPr>
          <w:rFonts w:ascii="Times New Roman" w:hAnsi="Times New Roman" w:cs="Times New Roman"/>
        </w:rPr>
        <w:t xml:space="preserve"> </w:t>
      </w:r>
      <w:r w:rsidR="009B50DC" w:rsidRPr="00BA7CCB">
        <w:rPr>
          <w:rFonts w:ascii="Times New Roman" w:hAnsi="Times New Roman" w:cs="Times New Roman"/>
        </w:rPr>
        <w:t xml:space="preserve">The LEP gene encodes leptin, an adipocyte-derived hormone that signals nutritional status to the hypothalamus, thus modulating the reproductive axis. Adequate leptin levels are essential for initiating puberty and maintaining </w:t>
      </w:r>
      <w:r w:rsidR="00DA22C7" w:rsidRPr="00CF603F">
        <w:rPr>
          <w:rFonts w:ascii="Times New Roman" w:hAnsi="Times New Roman" w:cs="Times New Roman"/>
          <w:highlight w:val="yellow"/>
        </w:rPr>
        <w:t>oestrous</w:t>
      </w:r>
      <w:r w:rsidR="00DA22C7" w:rsidRPr="00CF603F">
        <w:rPr>
          <w:rFonts w:ascii="Times New Roman" w:hAnsi="Times New Roman" w:cs="Times New Roman"/>
          <w:highlight w:val="yellow"/>
        </w:rPr>
        <w:t xml:space="preserve"> </w:t>
      </w:r>
      <w:r w:rsidR="009B50DC" w:rsidRPr="00CF603F">
        <w:rPr>
          <w:rFonts w:ascii="Times New Roman" w:hAnsi="Times New Roman" w:cs="Times New Roman"/>
          <w:highlight w:val="yellow"/>
        </w:rPr>
        <w:t>cyclicity</w:t>
      </w:r>
      <w:r w:rsidR="009B50DC" w:rsidRPr="00BA7CCB">
        <w:rPr>
          <w:rFonts w:ascii="Times New Roman" w:hAnsi="Times New Roman" w:cs="Times New Roman"/>
        </w:rPr>
        <w:t xml:space="preserve"> by regulating gonadotropin-releasing hormone (GnRH) secretion. Polymorphisms in LEP affect energy balance and fertility traits, positioning it as a hub gene linking metabolism with reproductive function </w:t>
      </w:r>
    </w:p>
    <w:p w14:paraId="4AE3B83A" w14:textId="77777777" w:rsidR="00AD64CB" w:rsidRDefault="00AD64CB">
      <w:pPr>
        <w:rPr>
          <w:rFonts w:ascii="Times New Roman" w:hAnsi="Times New Roman" w:cs="Times New Roman"/>
          <w:b/>
          <w:bCs/>
        </w:rPr>
      </w:pPr>
      <w:r>
        <w:rPr>
          <w:rFonts w:ascii="Times New Roman" w:hAnsi="Times New Roman" w:cs="Times New Roman"/>
          <w:b/>
          <w:bCs/>
        </w:rPr>
        <w:br w:type="page"/>
      </w:r>
    </w:p>
    <w:p w14:paraId="38F59601" w14:textId="6E1A96FE" w:rsidR="00FE48A0" w:rsidRPr="00BA7CCB" w:rsidRDefault="00FE48A0" w:rsidP="00BA7CCB">
      <w:pPr>
        <w:spacing w:line="240" w:lineRule="auto"/>
        <w:jc w:val="both"/>
        <w:rPr>
          <w:rFonts w:ascii="Times New Roman" w:hAnsi="Times New Roman" w:cs="Times New Roman"/>
          <w:b/>
          <w:bCs/>
        </w:rPr>
      </w:pPr>
      <w:r w:rsidRPr="00BA7CCB">
        <w:rPr>
          <w:rFonts w:ascii="Times New Roman" w:hAnsi="Times New Roman" w:cs="Times New Roman"/>
          <w:b/>
          <w:bCs/>
        </w:rPr>
        <w:lastRenderedPageBreak/>
        <w:t xml:space="preserve">Figure 3. The identification of hub genes involved in the molecular mechanism of calving interval </w:t>
      </w:r>
      <w:r w:rsidR="00DA22C7" w:rsidRPr="00CF603F">
        <w:rPr>
          <w:rFonts w:ascii="Times New Roman" w:hAnsi="Times New Roman" w:cs="Times New Roman"/>
          <w:b/>
          <w:bCs/>
          <w:highlight w:val="yellow"/>
        </w:rPr>
        <w:t>is</w:t>
      </w:r>
      <w:r w:rsidR="00DA22C7" w:rsidRPr="00BA7CCB">
        <w:rPr>
          <w:rFonts w:ascii="Times New Roman" w:hAnsi="Times New Roman" w:cs="Times New Roman"/>
          <w:b/>
          <w:bCs/>
        </w:rPr>
        <w:t xml:space="preserve"> </w:t>
      </w:r>
      <w:r w:rsidRPr="00BA7CCB">
        <w:rPr>
          <w:rFonts w:ascii="Times New Roman" w:hAnsi="Times New Roman" w:cs="Times New Roman"/>
          <w:b/>
          <w:bCs/>
        </w:rPr>
        <w:t xml:space="preserve">highlighted in red to yellow </w:t>
      </w:r>
      <w:r w:rsidR="00DA22C7" w:rsidRPr="00CF603F">
        <w:rPr>
          <w:rFonts w:ascii="Times New Roman" w:hAnsi="Times New Roman" w:cs="Times New Roman"/>
          <w:b/>
          <w:bCs/>
          <w:highlight w:val="yellow"/>
        </w:rPr>
        <w:t>colour</w:t>
      </w:r>
      <w:r w:rsidR="00DA22C7" w:rsidRPr="00BA7CCB">
        <w:rPr>
          <w:rFonts w:ascii="Times New Roman" w:hAnsi="Times New Roman" w:cs="Times New Roman"/>
          <w:b/>
          <w:bCs/>
        </w:rPr>
        <w:t xml:space="preserve"> </w:t>
      </w:r>
      <w:r w:rsidRPr="00BA7CCB">
        <w:rPr>
          <w:rFonts w:ascii="Times New Roman" w:hAnsi="Times New Roman" w:cs="Times New Roman"/>
          <w:b/>
          <w:bCs/>
        </w:rPr>
        <w:t xml:space="preserve">in the PPI network. </w:t>
      </w:r>
    </w:p>
    <w:p w14:paraId="6E8AA882" w14:textId="785183C5" w:rsidR="00FE48A0" w:rsidRPr="00BA7CCB" w:rsidRDefault="00BA7CCB" w:rsidP="00BA7CCB">
      <w:pPr>
        <w:spacing w:line="240" w:lineRule="auto"/>
        <w:jc w:val="both"/>
        <w:rPr>
          <w:rFonts w:ascii="Times New Roman" w:hAnsi="Times New Roman" w:cs="Times New Roman"/>
        </w:rPr>
      </w:pPr>
      <w:r w:rsidRPr="00BA7CCB">
        <w:rPr>
          <w:rFonts w:ascii="Times New Roman" w:hAnsi="Times New Roman" w:cs="Times New Roman"/>
          <w:noProof/>
          <w:lang w:eastAsia="en-IN"/>
        </w:rPr>
        <w:drawing>
          <wp:anchor distT="0" distB="0" distL="114300" distR="114300" simplePos="0" relativeHeight="251659264" behindDoc="1" locked="0" layoutInCell="1" allowOverlap="1" wp14:anchorId="3D76D8B7" wp14:editId="6A39278E">
            <wp:simplePos x="0" y="0"/>
            <wp:positionH relativeFrom="column">
              <wp:posOffset>470535</wp:posOffset>
            </wp:positionH>
            <wp:positionV relativeFrom="paragraph">
              <wp:posOffset>14605</wp:posOffset>
            </wp:positionV>
            <wp:extent cx="4248785" cy="3707765"/>
            <wp:effectExtent l="0" t="0" r="0" b="6985"/>
            <wp:wrapTight wrapText="bothSides">
              <wp:wrapPolygon edited="0">
                <wp:start x="0" y="0"/>
                <wp:lineTo x="0" y="21530"/>
                <wp:lineTo x="21500" y="21530"/>
                <wp:lineTo x="21500" y="0"/>
                <wp:lineTo x="0" y="0"/>
              </wp:wrapPolygon>
            </wp:wrapTight>
            <wp:docPr id="394077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17282" r="4011"/>
                    <a:stretch>
                      <a:fillRect/>
                    </a:stretch>
                  </pic:blipFill>
                  <pic:spPr bwMode="auto">
                    <a:xfrm>
                      <a:off x="0" y="0"/>
                      <a:ext cx="4248785" cy="3707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AF70B1" w14:textId="77777777" w:rsidR="00BA7CCB" w:rsidRDefault="006A52D5" w:rsidP="00BA7CCB">
      <w:pPr>
        <w:spacing w:line="240" w:lineRule="auto"/>
        <w:jc w:val="both"/>
        <w:rPr>
          <w:rFonts w:ascii="Times New Roman" w:hAnsi="Times New Roman" w:cs="Times New Roman"/>
        </w:rPr>
      </w:pPr>
      <w:r w:rsidRPr="00BA7CCB">
        <w:rPr>
          <w:rFonts w:ascii="Times New Roman" w:hAnsi="Times New Roman" w:cs="Times New Roman"/>
        </w:rPr>
        <w:tab/>
      </w:r>
    </w:p>
    <w:p w14:paraId="43573A89" w14:textId="77777777" w:rsidR="00BA7CCB" w:rsidRDefault="00BA7CCB" w:rsidP="00BA7CCB">
      <w:pPr>
        <w:spacing w:line="240" w:lineRule="auto"/>
        <w:jc w:val="both"/>
        <w:rPr>
          <w:rFonts w:ascii="Times New Roman" w:hAnsi="Times New Roman" w:cs="Times New Roman"/>
        </w:rPr>
      </w:pPr>
    </w:p>
    <w:p w14:paraId="046D83DF" w14:textId="77777777" w:rsidR="00BA7CCB" w:rsidRDefault="00BA7CCB" w:rsidP="00BA7CCB">
      <w:pPr>
        <w:spacing w:line="240" w:lineRule="auto"/>
        <w:jc w:val="both"/>
        <w:rPr>
          <w:rFonts w:ascii="Times New Roman" w:hAnsi="Times New Roman" w:cs="Times New Roman"/>
        </w:rPr>
      </w:pPr>
    </w:p>
    <w:p w14:paraId="7868BD47" w14:textId="77777777" w:rsidR="00BA7CCB" w:rsidRDefault="00BA7CCB" w:rsidP="00BA7CCB">
      <w:pPr>
        <w:spacing w:line="240" w:lineRule="auto"/>
        <w:jc w:val="both"/>
        <w:rPr>
          <w:rFonts w:ascii="Times New Roman" w:hAnsi="Times New Roman" w:cs="Times New Roman"/>
        </w:rPr>
      </w:pPr>
    </w:p>
    <w:p w14:paraId="653240A1" w14:textId="77777777" w:rsidR="00BA7CCB" w:rsidRDefault="00BA7CCB" w:rsidP="00BA7CCB">
      <w:pPr>
        <w:spacing w:line="240" w:lineRule="auto"/>
        <w:jc w:val="both"/>
        <w:rPr>
          <w:rFonts w:ascii="Times New Roman" w:hAnsi="Times New Roman" w:cs="Times New Roman"/>
        </w:rPr>
      </w:pPr>
    </w:p>
    <w:p w14:paraId="53E659CC" w14:textId="77777777" w:rsidR="00BA7CCB" w:rsidRDefault="00BA7CCB" w:rsidP="00BA7CCB">
      <w:pPr>
        <w:spacing w:line="240" w:lineRule="auto"/>
        <w:jc w:val="both"/>
        <w:rPr>
          <w:rFonts w:ascii="Times New Roman" w:hAnsi="Times New Roman" w:cs="Times New Roman"/>
        </w:rPr>
      </w:pPr>
    </w:p>
    <w:p w14:paraId="470FC3DF" w14:textId="77777777" w:rsidR="00BA7CCB" w:rsidRDefault="00BA7CCB" w:rsidP="00BA7CCB">
      <w:pPr>
        <w:spacing w:line="240" w:lineRule="auto"/>
        <w:jc w:val="both"/>
        <w:rPr>
          <w:rFonts w:ascii="Times New Roman" w:hAnsi="Times New Roman" w:cs="Times New Roman"/>
        </w:rPr>
      </w:pPr>
    </w:p>
    <w:p w14:paraId="42DA16E8" w14:textId="77777777" w:rsidR="00BA7CCB" w:rsidRDefault="00BA7CCB" w:rsidP="00BA7CCB">
      <w:pPr>
        <w:spacing w:line="240" w:lineRule="auto"/>
        <w:jc w:val="both"/>
        <w:rPr>
          <w:rFonts w:ascii="Times New Roman" w:hAnsi="Times New Roman" w:cs="Times New Roman"/>
        </w:rPr>
      </w:pPr>
    </w:p>
    <w:p w14:paraId="43AD9467" w14:textId="77777777" w:rsidR="00BA7CCB" w:rsidRDefault="00BA7CCB" w:rsidP="00BA7CCB">
      <w:pPr>
        <w:spacing w:line="240" w:lineRule="auto"/>
        <w:jc w:val="both"/>
        <w:rPr>
          <w:rFonts w:ascii="Times New Roman" w:hAnsi="Times New Roman" w:cs="Times New Roman"/>
        </w:rPr>
      </w:pPr>
    </w:p>
    <w:p w14:paraId="75231040" w14:textId="77777777" w:rsidR="00BA7CCB" w:rsidRDefault="00BA7CCB" w:rsidP="00BA7CCB">
      <w:pPr>
        <w:spacing w:line="240" w:lineRule="auto"/>
        <w:jc w:val="both"/>
        <w:rPr>
          <w:rFonts w:ascii="Times New Roman" w:hAnsi="Times New Roman" w:cs="Times New Roman"/>
        </w:rPr>
      </w:pPr>
    </w:p>
    <w:p w14:paraId="77FA7B1A" w14:textId="77777777" w:rsidR="003D2611" w:rsidRDefault="003D2611" w:rsidP="00BA7CCB">
      <w:pPr>
        <w:spacing w:line="240" w:lineRule="auto"/>
        <w:ind w:firstLine="720"/>
        <w:jc w:val="both"/>
        <w:rPr>
          <w:rFonts w:ascii="Times New Roman" w:hAnsi="Times New Roman" w:cs="Times New Roman"/>
        </w:rPr>
      </w:pPr>
    </w:p>
    <w:p w14:paraId="7CA188EA" w14:textId="77777777" w:rsidR="00DA22C7" w:rsidRDefault="00DA22C7">
      <w:pPr>
        <w:rPr>
          <w:rFonts w:ascii="Times New Roman" w:hAnsi="Times New Roman" w:cs="Times New Roman"/>
        </w:rPr>
      </w:pPr>
      <w:r>
        <w:rPr>
          <w:rFonts w:ascii="Times New Roman" w:hAnsi="Times New Roman" w:cs="Times New Roman"/>
        </w:rPr>
        <w:br w:type="page"/>
      </w:r>
    </w:p>
    <w:p w14:paraId="6B82BD1B" w14:textId="0EFD0C3F" w:rsidR="009B50DC" w:rsidRPr="00BA7CCB" w:rsidRDefault="009B50DC" w:rsidP="00BA7CCB">
      <w:pPr>
        <w:spacing w:line="240" w:lineRule="auto"/>
        <w:ind w:firstLine="720"/>
        <w:jc w:val="both"/>
        <w:rPr>
          <w:rFonts w:ascii="Times New Roman" w:hAnsi="Times New Roman" w:cs="Times New Roman"/>
        </w:rPr>
      </w:pPr>
      <w:r w:rsidRPr="00BA7CCB">
        <w:rPr>
          <w:rFonts w:ascii="Times New Roman" w:hAnsi="Times New Roman" w:cs="Times New Roman"/>
        </w:rPr>
        <w:lastRenderedPageBreak/>
        <w:t>MSTN (Myostatin) is primarily known as a negative regulator of muscle growth but has indirect effects on reproduction by influencing energy allocation and body condition. Better body condition supports metabolic demands of reproduction; thus, MSTN gene variants affect calving interval through impacts on growth and fat reserves (Grobet et al., 1997).</w:t>
      </w:r>
      <w:r w:rsidR="006A52D5" w:rsidRPr="00BA7CCB">
        <w:rPr>
          <w:rFonts w:ascii="Times New Roman" w:hAnsi="Times New Roman" w:cs="Times New Roman"/>
        </w:rPr>
        <w:t xml:space="preserve"> </w:t>
      </w:r>
      <w:r w:rsidRPr="00BA7CCB">
        <w:rPr>
          <w:rFonts w:ascii="Times New Roman" w:hAnsi="Times New Roman" w:cs="Times New Roman"/>
        </w:rPr>
        <w:t xml:space="preserve">TNF regulates corpus luteum function and uterine receptivity, </w:t>
      </w:r>
      <w:r w:rsidRPr="00564F2F">
        <w:rPr>
          <w:rFonts w:ascii="Times New Roman" w:hAnsi="Times New Roman" w:cs="Times New Roman"/>
        </w:rPr>
        <w:t xml:space="preserve">playing a role in early embryonic development and implantation success. Dysregulation of TNF </w:t>
      </w:r>
      <w:r w:rsidR="00DA22C7" w:rsidRPr="00CF603F">
        <w:rPr>
          <w:rFonts w:ascii="Times New Roman" w:hAnsi="Times New Roman" w:cs="Times New Roman"/>
          <w:highlight w:val="yellow"/>
        </w:rPr>
        <w:t>signalling</w:t>
      </w:r>
      <w:r w:rsidR="00DA22C7" w:rsidRPr="00BA7CCB">
        <w:rPr>
          <w:rFonts w:ascii="Times New Roman" w:hAnsi="Times New Roman" w:cs="Times New Roman"/>
        </w:rPr>
        <w:t xml:space="preserve"> </w:t>
      </w:r>
      <w:r w:rsidRPr="00BA7CCB">
        <w:rPr>
          <w:rFonts w:ascii="Times New Roman" w:hAnsi="Times New Roman" w:cs="Times New Roman"/>
        </w:rPr>
        <w:t>can impair fertility and prolong calving intervals by increasing embryonic loss or uterine inflammation (Green et al., 2010).</w:t>
      </w:r>
      <w:r w:rsidRPr="00BA7CCB">
        <w:rPr>
          <w:rFonts w:ascii="Times New Roman" w:eastAsia="Times New Roman" w:hAnsi="Times New Roman" w:cs="Times New Roman"/>
          <w:kern w:val="0"/>
          <w:lang w:eastAsia="en-IN"/>
          <w14:ligatures w14:val="none"/>
        </w:rPr>
        <w:t xml:space="preserve"> </w:t>
      </w:r>
      <w:r w:rsidRPr="00BA7CCB">
        <w:rPr>
          <w:rFonts w:ascii="Times New Roman" w:hAnsi="Times New Roman" w:cs="Times New Roman"/>
        </w:rPr>
        <w:t xml:space="preserve">FGF2 (Fibroblast growth factor 2) promotes angiogenesis and cellular proliferation within ovarian follicles and uterine tissues, supporting follicular growth and endometrial </w:t>
      </w:r>
      <w:r w:rsidR="00DA22C7" w:rsidRPr="00CF603F">
        <w:rPr>
          <w:rFonts w:ascii="Times New Roman" w:hAnsi="Times New Roman" w:cs="Times New Roman"/>
          <w:highlight w:val="yellow"/>
        </w:rPr>
        <w:t>remodelling</w:t>
      </w:r>
      <w:r w:rsidR="00DA22C7" w:rsidRPr="00CF603F">
        <w:rPr>
          <w:rFonts w:ascii="Times New Roman" w:hAnsi="Times New Roman" w:cs="Times New Roman"/>
          <w:highlight w:val="yellow"/>
        </w:rPr>
        <w:t xml:space="preserve"> </w:t>
      </w:r>
      <w:r w:rsidRPr="00CF603F">
        <w:rPr>
          <w:rFonts w:ascii="Times New Roman" w:hAnsi="Times New Roman" w:cs="Times New Roman"/>
          <w:highlight w:val="yellow"/>
        </w:rPr>
        <w:t>necessary</w:t>
      </w:r>
      <w:r w:rsidRPr="00BA7CCB">
        <w:rPr>
          <w:rFonts w:ascii="Times New Roman" w:hAnsi="Times New Roman" w:cs="Times New Roman"/>
        </w:rPr>
        <w:t xml:space="preserve"> for implantation. FGF2 expression correlates with successful conception and reproductive cyclicity, marking its importance in reproductive gene networks (Bridges et al., 1991).</w:t>
      </w:r>
    </w:p>
    <w:p w14:paraId="68365CDB" w14:textId="1CCB7B7F" w:rsidR="009B50DC" w:rsidRPr="00BA7CCB" w:rsidRDefault="006A52D5" w:rsidP="00BA7CCB">
      <w:pPr>
        <w:spacing w:line="240" w:lineRule="auto"/>
        <w:jc w:val="both"/>
        <w:rPr>
          <w:rFonts w:ascii="Times New Roman" w:hAnsi="Times New Roman" w:cs="Times New Roman"/>
        </w:rPr>
      </w:pPr>
      <w:r w:rsidRPr="00BA7CCB">
        <w:rPr>
          <w:rFonts w:ascii="Times New Roman" w:hAnsi="Times New Roman" w:cs="Times New Roman"/>
        </w:rPr>
        <w:tab/>
      </w:r>
      <w:r w:rsidR="009B50DC" w:rsidRPr="00BA7CCB">
        <w:rPr>
          <w:rFonts w:ascii="Times New Roman" w:hAnsi="Times New Roman" w:cs="Times New Roman"/>
        </w:rPr>
        <w:t xml:space="preserve">TLR4 (Toll-like receptor 4) is vital for innate immune system activation, </w:t>
      </w:r>
      <w:r w:rsidR="00DA22C7" w:rsidRPr="00CF603F">
        <w:rPr>
          <w:rFonts w:ascii="Times New Roman" w:hAnsi="Times New Roman" w:cs="Times New Roman"/>
          <w:highlight w:val="yellow"/>
        </w:rPr>
        <w:t>recognising</w:t>
      </w:r>
      <w:r w:rsidR="00DA22C7" w:rsidRPr="00CF603F">
        <w:rPr>
          <w:rFonts w:ascii="Times New Roman" w:hAnsi="Times New Roman" w:cs="Times New Roman"/>
          <w:highlight w:val="yellow"/>
        </w:rPr>
        <w:t xml:space="preserve"> </w:t>
      </w:r>
      <w:r w:rsidR="009B50DC" w:rsidRPr="00CF603F">
        <w:rPr>
          <w:rFonts w:ascii="Times New Roman" w:hAnsi="Times New Roman" w:cs="Times New Roman"/>
          <w:highlight w:val="yellow"/>
        </w:rPr>
        <w:t>bacterial lipopolysaccharides</w:t>
      </w:r>
      <w:r w:rsidR="009B50DC" w:rsidRPr="00BA7CCB">
        <w:rPr>
          <w:rFonts w:ascii="Times New Roman" w:hAnsi="Times New Roman" w:cs="Times New Roman"/>
        </w:rPr>
        <w:t xml:space="preserve"> and initiating immune responses critical for uterine health postpartum. TLR4-mediated pathogen recognition reduces uterine infections that could delay return to </w:t>
      </w:r>
      <w:r w:rsidR="00DA22C7">
        <w:rPr>
          <w:rFonts w:ascii="Times New Roman" w:hAnsi="Times New Roman" w:cs="Times New Roman"/>
        </w:rPr>
        <w:t>o</w:t>
      </w:r>
      <w:r w:rsidR="009B50DC" w:rsidRPr="00BA7CCB">
        <w:rPr>
          <w:rFonts w:ascii="Times New Roman" w:hAnsi="Times New Roman" w:cs="Times New Roman"/>
        </w:rPr>
        <w:t>estrus, there</w:t>
      </w:r>
      <w:r w:rsidR="00012E63" w:rsidRPr="00BA7CCB">
        <w:rPr>
          <w:rFonts w:ascii="Times New Roman" w:hAnsi="Times New Roman" w:cs="Times New Roman"/>
        </w:rPr>
        <w:t>by shortening calving intervals.</w:t>
      </w:r>
      <w:r w:rsidRPr="00BA7CCB">
        <w:rPr>
          <w:rFonts w:ascii="Times New Roman" w:hAnsi="Times New Roman" w:cs="Times New Roman"/>
        </w:rPr>
        <w:t xml:space="preserve"> </w:t>
      </w:r>
      <w:r w:rsidR="009B50DC" w:rsidRPr="00BA7CCB">
        <w:rPr>
          <w:rFonts w:ascii="Times New Roman" w:hAnsi="Times New Roman" w:cs="Times New Roman"/>
        </w:rPr>
        <w:t>Finally, LTF (Lactoferrin) contributes antimicrobial and anti-inflammatory effects in the female reproductive tract, aiding in uterine involution and protection against postpartum infections. By maintaining reproductive tract health, LTF supports timely ovarian activity and facilitates shorter calvin</w:t>
      </w:r>
      <w:r w:rsidR="0059309D" w:rsidRPr="00BA7CCB">
        <w:rPr>
          <w:rFonts w:ascii="Times New Roman" w:hAnsi="Times New Roman" w:cs="Times New Roman"/>
        </w:rPr>
        <w:t>g intervals (Sharma et al., 2019</w:t>
      </w:r>
      <w:r w:rsidR="009B50DC" w:rsidRPr="00BA7CCB">
        <w:rPr>
          <w:rFonts w:ascii="Times New Roman" w:hAnsi="Times New Roman" w:cs="Times New Roman"/>
        </w:rPr>
        <w:t>).</w:t>
      </w:r>
    </w:p>
    <w:p w14:paraId="68435552" w14:textId="454D69DD" w:rsidR="009B50DC" w:rsidRPr="00BA7CCB" w:rsidRDefault="006A52D5" w:rsidP="00BA7CCB">
      <w:pPr>
        <w:spacing w:line="240" w:lineRule="auto"/>
        <w:jc w:val="both"/>
        <w:rPr>
          <w:rFonts w:ascii="Times New Roman" w:hAnsi="Times New Roman" w:cs="Times New Roman"/>
        </w:rPr>
      </w:pPr>
      <w:r w:rsidRPr="00BA7CCB">
        <w:rPr>
          <w:rFonts w:ascii="Times New Roman" w:hAnsi="Times New Roman" w:cs="Times New Roman"/>
        </w:rPr>
        <w:tab/>
      </w:r>
      <w:r w:rsidR="009B50DC" w:rsidRPr="00BA7CCB">
        <w:rPr>
          <w:rFonts w:ascii="Times New Roman" w:hAnsi="Times New Roman" w:cs="Times New Roman"/>
        </w:rPr>
        <w:t xml:space="preserve">Together, these hub genes form interconnected functional networks integrating hormonal regulation, </w:t>
      </w:r>
      <w:r w:rsidR="009B50DC" w:rsidRPr="00CF603F">
        <w:rPr>
          <w:rFonts w:ascii="Times New Roman" w:hAnsi="Times New Roman" w:cs="Times New Roman"/>
          <w:highlight w:val="yellow"/>
        </w:rPr>
        <w:t xml:space="preserve">immune </w:t>
      </w:r>
      <w:r w:rsidR="00DA22C7" w:rsidRPr="00CF603F">
        <w:rPr>
          <w:rFonts w:ascii="Times New Roman" w:hAnsi="Times New Roman" w:cs="Times New Roman"/>
          <w:highlight w:val="yellow"/>
        </w:rPr>
        <w:t>defence</w:t>
      </w:r>
      <w:r w:rsidR="009B50DC" w:rsidRPr="00CF603F">
        <w:rPr>
          <w:rFonts w:ascii="Times New Roman" w:hAnsi="Times New Roman" w:cs="Times New Roman"/>
          <w:highlight w:val="yellow"/>
        </w:rPr>
        <w:t>, growth</w:t>
      </w:r>
      <w:r w:rsidR="009B50DC" w:rsidRPr="00BA7CCB">
        <w:rPr>
          <w:rFonts w:ascii="Times New Roman" w:hAnsi="Times New Roman" w:cs="Times New Roman"/>
        </w:rPr>
        <w:t>, and metabolic status, ultimately coordinating reproductive success and calving interval regulation in cattle.</w:t>
      </w:r>
      <w:r w:rsidR="007A7319" w:rsidRPr="00BA7CCB">
        <w:rPr>
          <w:rFonts w:ascii="Times New Roman" w:hAnsi="Times New Roman" w:cs="Times New Roman"/>
        </w:rPr>
        <w:t xml:space="preserve"> However, the limitation of the present study is the possibility of obtaining false-positive results, as is common in this kind of study. Hence, validation with GWAS, candidate gene approaches, and gene expression analysis is suggested.</w:t>
      </w:r>
    </w:p>
    <w:p w14:paraId="5D770133" w14:textId="77777777" w:rsidR="007A7319" w:rsidRPr="00BA7CCB" w:rsidRDefault="007A7319" w:rsidP="00BA7CCB">
      <w:pPr>
        <w:spacing w:line="240" w:lineRule="auto"/>
        <w:jc w:val="both"/>
        <w:rPr>
          <w:rFonts w:ascii="Times New Roman" w:hAnsi="Times New Roman" w:cs="Times New Roman"/>
          <w:b/>
          <w:bCs/>
        </w:rPr>
      </w:pPr>
      <w:r w:rsidRPr="00BA7CCB">
        <w:rPr>
          <w:rFonts w:ascii="Times New Roman" w:hAnsi="Times New Roman" w:cs="Times New Roman"/>
          <w:b/>
          <w:bCs/>
        </w:rPr>
        <w:t>Conclusion</w:t>
      </w:r>
    </w:p>
    <w:p w14:paraId="5AAC8735" w14:textId="45E31C00" w:rsidR="00FE48A0" w:rsidRPr="00BA7CCB" w:rsidRDefault="00FE48A0" w:rsidP="00BA7CCB">
      <w:pPr>
        <w:spacing w:line="240" w:lineRule="auto"/>
        <w:jc w:val="both"/>
        <w:rPr>
          <w:rFonts w:ascii="Times New Roman" w:hAnsi="Times New Roman" w:cs="Times New Roman"/>
        </w:rPr>
      </w:pPr>
      <w:r w:rsidRPr="00BA7CCB">
        <w:rPr>
          <w:rFonts w:ascii="Times New Roman" w:hAnsi="Times New Roman" w:cs="Times New Roman"/>
        </w:rPr>
        <w:tab/>
      </w:r>
      <w:r w:rsidR="00BB4633" w:rsidRPr="00BA7CCB">
        <w:rPr>
          <w:rFonts w:ascii="Times New Roman" w:hAnsi="Times New Roman" w:cs="Times New Roman"/>
        </w:rPr>
        <w:t>The present study was undertaken to explore the molecular mechanisms and key genetic variants within candidate genes influencing calving interval (CI) in </w:t>
      </w:r>
      <w:r w:rsidR="00BB4633" w:rsidRPr="00BA7CCB">
        <w:rPr>
          <w:rFonts w:ascii="Times New Roman" w:hAnsi="Times New Roman" w:cs="Times New Roman"/>
          <w:i/>
          <w:iCs/>
        </w:rPr>
        <w:t>Bos indicus</w:t>
      </w:r>
      <w:r w:rsidR="00BB4633" w:rsidRPr="00BA7CCB">
        <w:rPr>
          <w:rFonts w:ascii="Times New Roman" w:hAnsi="Times New Roman" w:cs="Times New Roman"/>
        </w:rPr>
        <w:t> cattle, with comparisons to temperate </w:t>
      </w:r>
      <w:r w:rsidR="00BB4633" w:rsidRPr="00BA7CCB">
        <w:rPr>
          <w:rFonts w:ascii="Times New Roman" w:hAnsi="Times New Roman" w:cs="Times New Roman"/>
          <w:i/>
          <w:iCs/>
        </w:rPr>
        <w:t>Bos taurus</w:t>
      </w:r>
      <w:r w:rsidR="00BB4633" w:rsidRPr="00BA7CCB">
        <w:rPr>
          <w:rFonts w:ascii="Times New Roman" w:hAnsi="Times New Roman" w:cs="Times New Roman"/>
        </w:rPr>
        <w:t xml:space="preserve"> breeds. Targeting the identified hub genes or their associated regulatory pathways may offer novel strategies for enhancing reproductive efficiency through improved calving interval management. Moreover, the discovered genetic variants hold potential applications in the development of </w:t>
      </w:r>
      <w:r w:rsidR="00DA22C7" w:rsidRPr="00CF603F">
        <w:rPr>
          <w:rFonts w:ascii="Times New Roman" w:hAnsi="Times New Roman" w:cs="Times New Roman"/>
          <w:highlight w:val="yellow"/>
        </w:rPr>
        <w:t>customised</w:t>
      </w:r>
      <w:r w:rsidR="00DA22C7" w:rsidRPr="00CF603F">
        <w:rPr>
          <w:rFonts w:ascii="Times New Roman" w:hAnsi="Times New Roman" w:cs="Times New Roman"/>
          <w:highlight w:val="yellow"/>
        </w:rPr>
        <w:t xml:space="preserve"> </w:t>
      </w:r>
      <w:r w:rsidR="00BB4633" w:rsidRPr="00CF603F">
        <w:rPr>
          <w:rFonts w:ascii="Times New Roman" w:hAnsi="Times New Roman" w:cs="Times New Roman"/>
          <w:highlight w:val="yellow"/>
        </w:rPr>
        <w:t>SNP</w:t>
      </w:r>
      <w:r w:rsidR="00BB4633" w:rsidRPr="00BA7CCB">
        <w:rPr>
          <w:rFonts w:ascii="Times New Roman" w:hAnsi="Times New Roman" w:cs="Times New Roman"/>
        </w:rPr>
        <w:t xml:space="preserve"> genotyping chips, as well as in marker-assisted and genomic selection programs for cattle breeding in the future.</w:t>
      </w:r>
    </w:p>
    <w:p w14:paraId="6C375F85" w14:textId="77777777" w:rsidR="001B29CE" w:rsidRPr="00BA7CCB" w:rsidRDefault="001B29CE" w:rsidP="00BA7CCB">
      <w:pPr>
        <w:spacing w:after="0" w:line="240" w:lineRule="auto"/>
        <w:contextualSpacing/>
        <w:mirrorIndents/>
        <w:jc w:val="both"/>
        <w:rPr>
          <w:rFonts w:ascii="Times New Roman" w:hAnsi="Times New Roman" w:cs="Times New Roman"/>
          <w:b/>
          <w:bCs/>
        </w:rPr>
      </w:pPr>
      <w:r w:rsidRPr="00BA7CCB">
        <w:rPr>
          <w:rFonts w:ascii="Times New Roman" w:hAnsi="Times New Roman" w:cs="Times New Roman"/>
          <w:b/>
          <w:bCs/>
        </w:rPr>
        <w:t xml:space="preserve">Data availability </w:t>
      </w:r>
    </w:p>
    <w:p w14:paraId="23585439" w14:textId="77777777" w:rsidR="001B29CE" w:rsidRPr="00BA7CCB" w:rsidRDefault="001B29CE" w:rsidP="00BA7CCB">
      <w:pPr>
        <w:spacing w:after="0" w:line="240" w:lineRule="auto"/>
        <w:contextualSpacing/>
        <w:mirrorIndents/>
        <w:jc w:val="both"/>
        <w:rPr>
          <w:rFonts w:ascii="Times New Roman" w:hAnsi="Times New Roman" w:cs="Times New Roman"/>
        </w:rPr>
      </w:pPr>
      <w:r w:rsidRPr="00BA7CCB">
        <w:rPr>
          <w:rFonts w:ascii="Times New Roman" w:hAnsi="Times New Roman" w:cs="Times New Roman"/>
        </w:rPr>
        <w:tab/>
        <w:t>No datasets were generated during current study. The datasets used for this analysis were obtained from previously submitted datasets in the NCBI database, which have been cited.</w:t>
      </w:r>
    </w:p>
    <w:p w14:paraId="0F1A6E22" w14:textId="77777777" w:rsidR="00720E76" w:rsidRDefault="00720E76" w:rsidP="00720E76">
      <w:pPr>
        <w:rPr>
          <w:rFonts w:ascii="Calibri" w:eastAsia="Calibri" w:hAnsi="Calibri" w:cs="Times New Roman"/>
          <w:lang w:val="en-US"/>
        </w:rPr>
      </w:pPr>
      <w:bookmarkStart w:id="4" w:name="_Hlk192511329"/>
      <w:bookmarkStart w:id="5" w:name="_Hlk187485061"/>
      <w:bookmarkStart w:id="6" w:name="_Hlk194655630"/>
      <w:bookmarkStart w:id="7" w:name="_Hlk209008097"/>
    </w:p>
    <w:p w14:paraId="03FFBC70" w14:textId="77777777" w:rsidR="00720E76" w:rsidRDefault="00720E76" w:rsidP="00720E76">
      <w:pPr>
        <w:rPr>
          <w:rFonts w:ascii="Calibri" w:eastAsia="Calibri" w:hAnsi="Calibri" w:cs="Times New Roman"/>
          <w:highlight w:val="yellow"/>
          <w:lang w:val="en-US"/>
        </w:rPr>
      </w:pPr>
      <w:bookmarkStart w:id="8" w:name="_Hlk204003461"/>
      <w:bookmarkStart w:id="9" w:name="_Hlk209007716"/>
      <w:bookmarkEnd w:id="4"/>
      <w:bookmarkEnd w:id="5"/>
      <w:bookmarkEnd w:id="6"/>
      <w:bookmarkEnd w:id="7"/>
      <w:r>
        <w:rPr>
          <w:rFonts w:ascii="Calibri" w:eastAsia="Calibri" w:hAnsi="Calibri" w:cs="Times New Roman"/>
          <w:highlight w:val="yellow"/>
          <w:lang w:val="en-US"/>
        </w:rPr>
        <w:t>Disclaimer (Artificial intelligence)</w:t>
      </w:r>
    </w:p>
    <w:p w14:paraId="04ECBD01" w14:textId="77777777" w:rsidR="00720E76" w:rsidRDefault="00720E76" w:rsidP="00720E76">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091B7834" w14:textId="77777777" w:rsidR="00720E76" w:rsidRDefault="00720E76" w:rsidP="00720E76">
      <w:pPr>
        <w:rPr>
          <w:rFonts w:ascii="Calibri" w:eastAsia="Calibri" w:hAnsi="Calibri" w:cs="Times New Roman"/>
          <w:highlight w:val="yellow"/>
          <w:lang w:val="en-US"/>
        </w:rPr>
      </w:pPr>
      <w:r>
        <w:rPr>
          <w:rFonts w:ascii="Calibri" w:eastAsia="Calibri" w:hAnsi="Calibri" w:cs="Times New Roman"/>
          <w:highlight w:val="yellow"/>
          <w:lang w:val="en-US"/>
        </w:rPr>
        <w:lastRenderedPageBreak/>
        <w:t xml:space="preserve">Author(s) hereby declare that NO generative AI technologies such as Large Language Models (ChatGPT, COPILOT, etc.) and text-to-image generators have been used during the writing or editing of this manuscript. </w:t>
      </w:r>
    </w:p>
    <w:p w14:paraId="7DDF1623" w14:textId="77777777" w:rsidR="00720E76" w:rsidRDefault="00720E76" w:rsidP="00720E76">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72614635" w14:textId="77777777" w:rsidR="00720E76" w:rsidRDefault="00720E76" w:rsidP="00720E76">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CF4516" w14:textId="77777777" w:rsidR="00720E76" w:rsidRDefault="00720E76" w:rsidP="00720E76">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629A0AC6" w14:textId="77777777" w:rsidR="00720E76" w:rsidRPr="00CF603F" w:rsidRDefault="00720E76" w:rsidP="00720E76">
      <w:pPr>
        <w:rPr>
          <w:rFonts w:ascii="Calibri" w:eastAsia="Calibri" w:hAnsi="Calibri" w:cs="Times New Roman"/>
          <w:highlight w:val="yellow"/>
          <w:lang w:val="es-US"/>
        </w:rPr>
      </w:pPr>
      <w:r w:rsidRPr="00CF603F">
        <w:rPr>
          <w:rFonts w:ascii="Calibri" w:eastAsia="Calibri" w:hAnsi="Calibri" w:cs="Times New Roman"/>
          <w:highlight w:val="yellow"/>
          <w:lang w:val="es-US"/>
        </w:rPr>
        <w:t>1.</w:t>
      </w:r>
    </w:p>
    <w:p w14:paraId="4A9C2718" w14:textId="77777777" w:rsidR="00720E76" w:rsidRPr="00CF603F" w:rsidRDefault="00720E76" w:rsidP="00720E76">
      <w:pPr>
        <w:rPr>
          <w:rFonts w:ascii="Calibri" w:eastAsia="Calibri" w:hAnsi="Calibri" w:cs="Times New Roman"/>
          <w:highlight w:val="yellow"/>
          <w:lang w:val="es-US"/>
        </w:rPr>
      </w:pPr>
      <w:r w:rsidRPr="00CF603F">
        <w:rPr>
          <w:rFonts w:ascii="Calibri" w:eastAsia="Calibri" w:hAnsi="Calibri" w:cs="Times New Roman"/>
          <w:highlight w:val="yellow"/>
          <w:lang w:val="es-US"/>
        </w:rPr>
        <w:t>2.</w:t>
      </w:r>
    </w:p>
    <w:p w14:paraId="6394A366" w14:textId="77777777" w:rsidR="00720E76" w:rsidRPr="00CF603F" w:rsidRDefault="00720E76" w:rsidP="00720E76">
      <w:pPr>
        <w:rPr>
          <w:rFonts w:ascii="Calibri" w:eastAsia="Calibri" w:hAnsi="Calibri" w:cs="Times New Roman"/>
          <w:highlight w:val="yellow"/>
          <w:lang w:val="es-US"/>
        </w:rPr>
      </w:pPr>
      <w:r w:rsidRPr="00CF603F">
        <w:rPr>
          <w:rFonts w:ascii="Calibri" w:eastAsia="Calibri" w:hAnsi="Calibri" w:cs="Times New Roman"/>
          <w:highlight w:val="yellow"/>
          <w:lang w:val="es-US"/>
        </w:rPr>
        <w:t>3.</w:t>
      </w:r>
      <w:bookmarkEnd w:id="8"/>
    </w:p>
    <w:bookmarkEnd w:id="9"/>
    <w:p w14:paraId="18623B79" w14:textId="77777777" w:rsidR="00BA7CCB" w:rsidRPr="00CF603F" w:rsidRDefault="00BA7CCB" w:rsidP="00BA7CCB">
      <w:pPr>
        <w:spacing w:line="240" w:lineRule="auto"/>
        <w:jc w:val="both"/>
        <w:rPr>
          <w:rFonts w:ascii="Times New Roman" w:hAnsi="Times New Roman" w:cs="Times New Roman"/>
          <w:lang w:val="es-US"/>
        </w:rPr>
      </w:pPr>
    </w:p>
    <w:p w14:paraId="50C93040" w14:textId="77777777" w:rsidR="00135F5D" w:rsidRPr="00CF603F" w:rsidRDefault="00135F5D" w:rsidP="00BA7CCB">
      <w:pPr>
        <w:spacing w:line="240" w:lineRule="auto"/>
        <w:jc w:val="both"/>
        <w:rPr>
          <w:rFonts w:ascii="Times New Roman" w:hAnsi="Times New Roman" w:cs="Times New Roman"/>
          <w:color w:val="212121"/>
          <w:shd w:val="clear" w:color="auto" w:fill="FFFFFF"/>
          <w:lang w:val="es-US"/>
        </w:rPr>
      </w:pPr>
      <w:r w:rsidRPr="00CF603F">
        <w:rPr>
          <w:rFonts w:ascii="Times New Roman" w:hAnsi="Times New Roman" w:cs="Times New Roman"/>
          <w:b/>
          <w:bCs/>
          <w:color w:val="212121"/>
          <w:shd w:val="clear" w:color="auto" w:fill="FFFFFF"/>
          <w:lang w:val="es-US"/>
        </w:rPr>
        <w:t>References</w:t>
      </w:r>
      <w:r w:rsidRPr="00CF603F">
        <w:rPr>
          <w:rFonts w:ascii="Times New Roman" w:hAnsi="Times New Roman" w:cs="Times New Roman"/>
          <w:color w:val="212121"/>
          <w:shd w:val="clear" w:color="auto" w:fill="FFFFFF"/>
          <w:lang w:val="es-US"/>
        </w:rPr>
        <w:t xml:space="preserve">: </w:t>
      </w:r>
    </w:p>
    <w:p w14:paraId="3527AC1F"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CF603F">
        <w:rPr>
          <w:rFonts w:ascii="Times New Roman" w:hAnsi="Times New Roman" w:cs="Times New Roman"/>
          <w:bCs/>
          <w:color w:val="212121"/>
          <w:shd w:val="clear" w:color="auto" w:fill="FFFFFF"/>
          <w:lang w:val="es-US"/>
        </w:rPr>
        <w:t xml:space="preserve">Abdalla, I. M., Hui, J., Nazar, M., Arbab, A. A.I., Xu, T., Abdu, S. M. N., Mao, Y., Yang, Z., &amp; Lu, X. (2023). </w:t>
      </w:r>
      <w:r w:rsidRPr="00BA7CCB">
        <w:rPr>
          <w:rFonts w:ascii="Times New Roman" w:hAnsi="Times New Roman" w:cs="Times New Roman"/>
          <w:bCs/>
          <w:color w:val="212121"/>
          <w:shd w:val="clear" w:color="auto" w:fill="FFFFFF"/>
        </w:rPr>
        <w:t xml:space="preserve">Identification of Candidate Genes and Functional Pathways Associated with Body Size Traits in Chinese Holstein Cattle Based on GWAS Analysis. </w:t>
      </w:r>
      <w:r w:rsidRPr="00BA7CCB">
        <w:rPr>
          <w:rFonts w:ascii="Times New Roman" w:hAnsi="Times New Roman" w:cs="Times New Roman"/>
          <w:bCs/>
          <w:i/>
          <w:color w:val="212121"/>
          <w:shd w:val="clear" w:color="auto" w:fill="FFFFFF"/>
        </w:rPr>
        <w:t xml:space="preserve">Animals, </w:t>
      </w:r>
      <w:r w:rsidRPr="00BA7CCB">
        <w:rPr>
          <w:rFonts w:ascii="Times New Roman" w:hAnsi="Times New Roman" w:cs="Times New Roman"/>
          <w:bCs/>
          <w:color w:val="212121"/>
          <w:shd w:val="clear" w:color="auto" w:fill="FFFFFF"/>
        </w:rPr>
        <w:t xml:space="preserve">13(6), 992. </w:t>
      </w:r>
    </w:p>
    <w:p w14:paraId="4E02F375"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Afgan, E., Baker, D., Van den Beek, M., Blankenberg, D., Bouvier, D., Cech, M., Chilton, J., Clements, D., Coraor, N., Eberhard, C., &amp; Grüning, B. (2016). The Galaxy platform for accessible, reproducible and collaborative biomedical analyses: 2016 update. </w:t>
      </w:r>
      <w:r w:rsidRPr="00BA7CCB">
        <w:rPr>
          <w:rFonts w:ascii="Times New Roman" w:hAnsi="Times New Roman" w:cs="Times New Roman"/>
          <w:bCs/>
          <w:i/>
          <w:color w:val="212121"/>
          <w:shd w:val="clear" w:color="auto" w:fill="FFFFFF"/>
        </w:rPr>
        <w:t xml:space="preserve">Nucleic acids research, </w:t>
      </w:r>
      <w:r w:rsidRPr="00BA7CCB">
        <w:rPr>
          <w:rFonts w:ascii="Times New Roman" w:hAnsi="Times New Roman" w:cs="Times New Roman"/>
          <w:bCs/>
          <w:color w:val="212121"/>
          <w:shd w:val="clear" w:color="auto" w:fill="FFFFFF"/>
        </w:rPr>
        <w:t>44(W1), W3-W10.</w:t>
      </w:r>
    </w:p>
    <w:p w14:paraId="6242B34E"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Andrews, S. (2010). FastQC: a quality control tool for high throughput sequence data. Available online at: http://www.bioinformatics.babraham.ac.uk/projects/ fastqc. </w:t>
      </w:r>
    </w:p>
    <w:p w14:paraId="33E5B571"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Aponte, P. F., Carneiro, P. L., Araujo, A. C., Pedrosa, V. B., Fotso-Kenmogne, P. R., Silva, D. A., Miglior, F., Schenkel, F. S., &amp; Brito, L.F. (2024). Investigating the genomic background of calving-related traits in Canadian Jersey cattle. </w:t>
      </w:r>
      <w:r w:rsidRPr="00BA7CCB">
        <w:rPr>
          <w:rFonts w:ascii="Times New Roman" w:hAnsi="Times New Roman" w:cs="Times New Roman"/>
          <w:bCs/>
          <w:i/>
          <w:color w:val="212121"/>
          <w:shd w:val="clear" w:color="auto" w:fill="FFFFFF"/>
        </w:rPr>
        <w:t xml:space="preserve">Journal of Dairy Science, </w:t>
      </w:r>
      <w:r w:rsidRPr="00BA7CCB">
        <w:rPr>
          <w:rFonts w:ascii="Times New Roman" w:hAnsi="Times New Roman" w:cs="Times New Roman"/>
          <w:bCs/>
          <w:color w:val="212121"/>
          <w:shd w:val="clear" w:color="auto" w:fill="FFFFFF"/>
        </w:rPr>
        <w:t>107(12), 11195-11213.</w:t>
      </w:r>
    </w:p>
    <w:p w14:paraId="0E6E7E6E"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Atashi, H., Salavati, M., De Koster, J., Crowe, M. A., Opsomer, G., Hostens, M., &amp; GplusE Consortium. (2020). A genome-wide association study for calving interval in Holstein dairy cows using weighted single-step genomic BLUP approach. </w:t>
      </w:r>
      <w:r w:rsidRPr="00BA7CCB">
        <w:rPr>
          <w:rFonts w:ascii="Times New Roman" w:hAnsi="Times New Roman" w:cs="Times New Roman"/>
          <w:bCs/>
          <w:i/>
          <w:color w:val="212121"/>
          <w:shd w:val="clear" w:color="auto" w:fill="FFFFFF"/>
        </w:rPr>
        <w:t xml:space="preserve">Animals, </w:t>
      </w:r>
      <w:r w:rsidRPr="00BA7CCB">
        <w:rPr>
          <w:rFonts w:ascii="Times New Roman" w:hAnsi="Times New Roman" w:cs="Times New Roman"/>
          <w:bCs/>
          <w:color w:val="212121"/>
          <w:shd w:val="clear" w:color="auto" w:fill="FFFFFF"/>
        </w:rPr>
        <w:t>10(3), 500.</w:t>
      </w:r>
    </w:p>
    <w:p w14:paraId="3FF4F54A" w14:textId="77777777" w:rsidR="00135F5D" w:rsidRPr="00CF603F" w:rsidRDefault="00135F5D" w:rsidP="00BA7CCB">
      <w:pPr>
        <w:spacing w:line="240" w:lineRule="auto"/>
        <w:ind w:left="567" w:hanging="567"/>
        <w:jc w:val="both"/>
        <w:rPr>
          <w:rFonts w:ascii="Times New Roman" w:hAnsi="Times New Roman" w:cs="Times New Roman"/>
          <w:bCs/>
          <w:color w:val="212121"/>
          <w:shd w:val="clear" w:color="auto" w:fill="FFFFFF"/>
          <w:lang w:val="es-US"/>
        </w:rPr>
      </w:pPr>
      <w:r w:rsidRPr="00BA7CCB">
        <w:rPr>
          <w:rFonts w:ascii="Times New Roman" w:hAnsi="Times New Roman" w:cs="Times New Roman"/>
          <w:bCs/>
          <w:color w:val="212121"/>
          <w:shd w:val="clear" w:color="auto" w:fill="FFFFFF"/>
        </w:rPr>
        <w:t xml:space="preserve">Bahar, B., Halloran, F., Callanan, M. J., McParland, S., Giblin, L., &amp; Sweeny,T. (2011). Bovine Lactoferrin gene haplotypes have different basal transcriptional activities. </w:t>
      </w:r>
      <w:r w:rsidRPr="00CF603F">
        <w:rPr>
          <w:rFonts w:ascii="Times New Roman" w:hAnsi="Times New Roman" w:cs="Times New Roman"/>
          <w:bCs/>
          <w:i/>
          <w:color w:val="212121"/>
          <w:shd w:val="clear" w:color="auto" w:fill="FFFFFF"/>
          <w:lang w:val="es-US"/>
        </w:rPr>
        <w:t xml:space="preserve">Animal Genetics, </w:t>
      </w:r>
      <w:r w:rsidRPr="00CF603F">
        <w:rPr>
          <w:rFonts w:ascii="Times New Roman" w:hAnsi="Times New Roman" w:cs="Times New Roman"/>
          <w:bCs/>
          <w:color w:val="212121"/>
          <w:shd w:val="clear" w:color="auto" w:fill="FFFFFF"/>
          <w:lang w:val="es-US"/>
        </w:rPr>
        <w:t>42 (3), 270-279.</w:t>
      </w:r>
    </w:p>
    <w:p w14:paraId="3372DB9E"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CF603F">
        <w:rPr>
          <w:rFonts w:ascii="Times New Roman" w:hAnsi="Times New Roman" w:cs="Times New Roman"/>
          <w:bCs/>
          <w:color w:val="212121"/>
          <w:shd w:val="clear" w:color="auto" w:fill="FFFFFF"/>
          <w:lang w:val="es-US"/>
        </w:rPr>
        <w:t xml:space="preserve">Bene, S., Korosi, Z. J., Bognar, L., Polgar, J. P., &amp; Szabo, F. (2024). </w:t>
      </w:r>
      <w:r w:rsidRPr="00BA7CCB">
        <w:rPr>
          <w:rFonts w:ascii="Times New Roman" w:hAnsi="Times New Roman" w:cs="Times New Roman"/>
          <w:bCs/>
          <w:color w:val="212121"/>
          <w:shd w:val="clear" w:color="auto" w:fill="FFFFFF"/>
        </w:rPr>
        <w:t xml:space="preserve">Population genetic features of calving interval of Holstein-Friesian cows bred in Hungary. </w:t>
      </w:r>
      <w:r w:rsidRPr="00BA7CCB">
        <w:rPr>
          <w:rFonts w:ascii="Times New Roman" w:hAnsi="Times New Roman" w:cs="Times New Roman"/>
          <w:bCs/>
          <w:i/>
          <w:color w:val="212121"/>
          <w:shd w:val="clear" w:color="auto" w:fill="FFFFFF"/>
        </w:rPr>
        <w:t xml:space="preserve">Animals, </w:t>
      </w:r>
      <w:r w:rsidRPr="00BA7CCB">
        <w:rPr>
          <w:rFonts w:ascii="Times New Roman" w:hAnsi="Times New Roman" w:cs="Times New Roman"/>
          <w:bCs/>
          <w:color w:val="212121"/>
          <w:shd w:val="clear" w:color="auto" w:fill="FFFFFF"/>
        </w:rPr>
        <w:t>14(17), 2513.</w:t>
      </w:r>
    </w:p>
    <w:p w14:paraId="58601E07"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lastRenderedPageBreak/>
        <w:t xml:space="preserve">Bolger, A. M., Lohse, M., &amp; Usadel, B. (2014). Trimmomatic: a flexible trimmer for Illumina sequence data. </w:t>
      </w:r>
      <w:r w:rsidRPr="00BA7CCB">
        <w:rPr>
          <w:rFonts w:ascii="Times New Roman" w:hAnsi="Times New Roman" w:cs="Times New Roman"/>
          <w:bCs/>
          <w:i/>
          <w:color w:val="212121"/>
          <w:shd w:val="clear" w:color="auto" w:fill="FFFFFF"/>
        </w:rPr>
        <w:t xml:space="preserve">Bioinformatics, </w:t>
      </w:r>
      <w:r w:rsidRPr="00BA7CCB">
        <w:rPr>
          <w:rFonts w:ascii="Times New Roman" w:hAnsi="Times New Roman" w:cs="Times New Roman"/>
          <w:bCs/>
          <w:color w:val="212121"/>
          <w:shd w:val="clear" w:color="auto" w:fill="FFFFFF"/>
        </w:rPr>
        <w:t>30(15), 2114-2120.</w:t>
      </w:r>
    </w:p>
    <w:p w14:paraId="7A6CE661"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Bridges, P. J., Gadsby, J. E., &amp; Flint, A. P. (1991). The role of fibroblast growth factors in the bovine ovary: stimulation of thecal cell proliferation by fibroblast growth factor-2. </w:t>
      </w:r>
      <w:r w:rsidRPr="00BA7CCB">
        <w:rPr>
          <w:rFonts w:ascii="Times New Roman" w:hAnsi="Times New Roman" w:cs="Times New Roman"/>
          <w:bCs/>
          <w:i/>
          <w:color w:val="212121"/>
          <w:shd w:val="clear" w:color="auto" w:fill="FFFFFF"/>
        </w:rPr>
        <w:t xml:space="preserve">Endocrinology, </w:t>
      </w:r>
      <w:r w:rsidRPr="00BA7CCB">
        <w:rPr>
          <w:rFonts w:ascii="Times New Roman" w:hAnsi="Times New Roman" w:cs="Times New Roman"/>
          <w:bCs/>
          <w:color w:val="212121"/>
          <w:shd w:val="clear" w:color="auto" w:fill="FFFFFF"/>
        </w:rPr>
        <w:t xml:space="preserve">129(3), 1529–1536. </w:t>
      </w:r>
    </w:p>
    <w:p w14:paraId="3ECF1066" w14:textId="77777777" w:rsidR="00135F5D" w:rsidRPr="00CF603F" w:rsidRDefault="00135F5D" w:rsidP="00BA7CCB">
      <w:pPr>
        <w:spacing w:line="240" w:lineRule="auto"/>
        <w:ind w:left="567" w:hanging="567"/>
        <w:jc w:val="both"/>
        <w:rPr>
          <w:rFonts w:ascii="Times New Roman" w:hAnsi="Times New Roman" w:cs="Times New Roman"/>
          <w:bCs/>
          <w:color w:val="212121"/>
          <w:shd w:val="clear" w:color="auto" w:fill="FFFFFF"/>
          <w:lang w:val="es-US"/>
        </w:rPr>
      </w:pPr>
      <w:r w:rsidRPr="00BA7CCB">
        <w:rPr>
          <w:rFonts w:ascii="Times New Roman" w:hAnsi="Times New Roman" w:cs="Times New Roman"/>
          <w:bCs/>
          <w:color w:val="212121"/>
          <w:shd w:val="clear" w:color="auto" w:fill="FFFFFF"/>
        </w:rPr>
        <w:t xml:space="preserve">Chen, X., Zhang, S., Cheng, Z., Cooke, J. S., Werling, D., Wathes, D. C., &amp; Pollott, G. E. (2017). Polymorphisms in the selectin gene cluster are associated with fertility and survival time in a population of Holstein Friesian cows. </w:t>
      </w:r>
      <w:r w:rsidRPr="00CF603F">
        <w:rPr>
          <w:rFonts w:ascii="Times New Roman" w:hAnsi="Times New Roman" w:cs="Times New Roman"/>
          <w:bCs/>
          <w:i/>
          <w:color w:val="212121"/>
          <w:shd w:val="clear" w:color="auto" w:fill="FFFFFF"/>
          <w:lang w:val="es-US"/>
        </w:rPr>
        <w:t xml:space="preserve">PLoS ONE, </w:t>
      </w:r>
      <w:r w:rsidRPr="00CF603F">
        <w:rPr>
          <w:rFonts w:ascii="Times New Roman" w:hAnsi="Times New Roman" w:cs="Times New Roman"/>
          <w:bCs/>
          <w:color w:val="212121"/>
          <w:shd w:val="clear" w:color="auto" w:fill="FFFFFF"/>
          <w:lang w:val="es-US"/>
        </w:rPr>
        <w:t xml:space="preserve">12(4), e0175555. </w:t>
      </w:r>
    </w:p>
    <w:p w14:paraId="28B4E7F5" w14:textId="77777777" w:rsidR="00135F5D" w:rsidRPr="00BA7CCB" w:rsidRDefault="00135F5D" w:rsidP="00BA7CCB">
      <w:pPr>
        <w:spacing w:line="240" w:lineRule="auto"/>
        <w:ind w:left="567" w:hanging="567"/>
        <w:jc w:val="both"/>
        <w:rPr>
          <w:rFonts w:ascii="Times New Roman" w:hAnsi="Times New Roman" w:cs="Times New Roman"/>
          <w:b/>
          <w:bCs/>
          <w:color w:val="212121"/>
          <w:shd w:val="clear" w:color="auto" w:fill="FFFFFF"/>
        </w:rPr>
      </w:pPr>
      <w:r w:rsidRPr="00CF603F">
        <w:rPr>
          <w:rFonts w:ascii="Times New Roman" w:hAnsi="Times New Roman" w:cs="Times New Roman"/>
          <w:bCs/>
          <w:color w:val="212121"/>
          <w:shd w:val="clear" w:color="auto" w:fill="FFFFFF"/>
          <w:lang w:val="es-US"/>
        </w:rPr>
        <w:t xml:space="preserve">Cingolani, P., Patel, V. M., Coon, M., Nguyen, T., Land, S. J., Ruden, D. M., &amp; Lu, X. (2012a). </w:t>
      </w:r>
      <w:r w:rsidRPr="00BA7CCB">
        <w:rPr>
          <w:rFonts w:ascii="Times New Roman" w:hAnsi="Times New Roman" w:cs="Times New Roman"/>
          <w:bCs/>
          <w:color w:val="212121"/>
          <w:shd w:val="clear" w:color="auto" w:fill="FFFFFF"/>
        </w:rPr>
        <w:t xml:space="preserve">Using Drosophila melanogaster as a Model for Genotoxic Chemical Mutational Studies with a New Program, SnpSift. </w:t>
      </w:r>
      <w:r w:rsidRPr="00BA7CCB">
        <w:rPr>
          <w:rFonts w:ascii="Times New Roman" w:hAnsi="Times New Roman" w:cs="Times New Roman"/>
          <w:bCs/>
          <w:i/>
          <w:color w:val="212121"/>
          <w:shd w:val="clear" w:color="auto" w:fill="FFFFFF"/>
        </w:rPr>
        <w:t xml:space="preserve">Frontiers in Genetics, </w:t>
      </w:r>
      <w:r w:rsidRPr="00BA7CCB">
        <w:rPr>
          <w:rFonts w:ascii="Times New Roman" w:hAnsi="Times New Roman" w:cs="Times New Roman"/>
          <w:bCs/>
          <w:color w:val="212121"/>
          <w:shd w:val="clear" w:color="auto" w:fill="FFFFFF"/>
        </w:rPr>
        <w:t xml:space="preserve">3, 35. </w:t>
      </w:r>
    </w:p>
    <w:p w14:paraId="3F335FBF" w14:textId="77777777" w:rsidR="00135F5D" w:rsidRPr="00CF603F" w:rsidRDefault="00135F5D" w:rsidP="00BA7CCB">
      <w:pPr>
        <w:spacing w:line="240" w:lineRule="auto"/>
        <w:ind w:left="567" w:hanging="567"/>
        <w:jc w:val="both"/>
        <w:rPr>
          <w:rFonts w:ascii="Times New Roman" w:hAnsi="Times New Roman" w:cs="Times New Roman"/>
          <w:bCs/>
          <w:color w:val="212121"/>
          <w:shd w:val="clear" w:color="auto" w:fill="FFFFFF"/>
          <w:lang w:val="es-US"/>
        </w:rPr>
      </w:pPr>
      <w:r w:rsidRPr="00BA7CCB">
        <w:rPr>
          <w:rFonts w:ascii="Times New Roman" w:hAnsi="Times New Roman" w:cs="Times New Roman"/>
          <w:bCs/>
          <w:color w:val="212121"/>
          <w:shd w:val="clear" w:color="auto" w:fill="FFFFFF"/>
        </w:rPr>
        <w:t xml:space="preserve">Cingolani, P., Platts, A., Wang le, L., Coon, M., Nguyen, T., Wang, L., Land, S.J., Lu, X., &amp; Ruden, D.M. (2012b). A program for annotating and predicting the effects of single nucleotide polymorphisms, SnpEff: SNPs in the genome of Drosophila melanogaster strain w1118; iso-2; iso-3. </w:t>
      </w:r>
      <w:r w:rsidRPr="00CF603F">
        <w:rPr>
          <w:rFonts w:ascii="Times New Roman" w:hAnsi="Times New Roman" w:cs="Times New Roman"/>
          <w:bCs/>
          <w:i/>
          <w:color w:val="212121"/>
          <w:shd w:val="clear" w:color="auto" w:fill="FFFFFF"/>
          <w:lang w:val="es-US"/>
        </w:rPr>
        <w:t xml:space="preserve">Fly, </w:t>
      </w:r>
      <w:r w:rsidRPr="00CF603F">
        <w:rPr>
          <w:rFonts w:ascii="Times New Roman" w:hAnsi="Times New Roman" w:cs="Times New Roman"/>
          <w:bCs/>
          <w:color w:val="212121"/>
          <w:shd w:val="clear" w:color="auto" w:fill="FFFFFF"/>
          <w:lang w:val="es-US"/>
        </w:rPr>
        <w:t>6(2), 80-92.</w:t>
      </w:r>
    </w:p>
    <w:p w14:paraId="30ECEFA4"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CF603F">
        <w:rPr>
          <w:rFonts w:ascii="Times New Roman" w:hAnsi="Times New Roman" w:cs="Times New Roman"/>
          <w:bCs/>
          <w:color w:val="212121"/>
          <w:shd w:val="clear" w:color="auto" w:fill="FFFFFF"/>
          <w:lang w:val="es-US"/>
        </w:rPr>
        <w:t xml:space="preserve">De Matteis, G., Scata, M., Grandoni, F., Petrera, F., Abeni, F., Catillo, G., Napolitano, F., &amp; Moioli, B. (2012). </w:t>
      </w:r>
      <w:r w:rsidRPr="00BA7CCB">
        <w:rPr>
          <w:rFonts w:ascii="Times New Roman" w:hAnsi="Times New Roman" w:cs="Times New Roman"/>
          <w:bCs/>
          <w:color w:val="212121"/>
          <w:shd w:val="clear" w:color="auto" w:fill="FFFFFF"/>
        </w:rPr>
        <w:t xml:space="preserve">Association analyses of single nucleotide polymorphisms in the leptin and leptin receptor genes on milk and morphological traits in Holstein cows. </w:t>
      </w:r>
      <w:r w:rsidRPr="00BA7CCB">
        <w:rPr>
          <w:rFonts w:ascii="Times New Roman" w:hAnsi="Times New Roman" w:cs="Times New Roman"/>
          <w:bCs/>
          <w:i/>
          <w:color w:val="212121"/>
          <w:shd w:val="clear" w:color="auto" w:fill="FFFFFF"/>
        </w:rPr>
        <w:t xml:space="preserve">Open Journal of Animal Sciences, </w:t>
      </w:r>
      <w:r w:rsidRPr="00BA7CCB">
        <w:rPr>
          <w:rFonts w:ascii="Times New Roman" w:hAnsi="Times New Roman" w:cs="Times New Roman"/>
          <w:bCs/>
          <w:color w:val="212121"/>
          <w:shd w:val="clear" w:color="auto" w:fill="FFFFFF"/>
        </w:rPr>
        <w:t xml:space="preserve">2, 174-182. </w:t>
      </w:r>
    </w:p>
    <w:p w14:paraId="0CB22479"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Dias, M. S., Pedrosa, V. B., da Cruz, V. A. R., Silva, M. R., &amp; Pinto, L. F. B. (2024). Genome-wide association and functional annotation analysis for the calving interval in Nellore cattle. </w:t>
      </w:r>
      <w:r w:rsidRPr="00BA7CCB">
        <w:rPr>
          <w:rFonts w:ascii="Times New Roman" w:hAnsi="Times New Roman" w:cs="Times New Roman"/>
          <w:bCs/>
          <w:i/>
          <w:color w:val="212121"/>
          <w:shd w:val="clear" w:color="auto" w:fill="FFFFFF"/>
        </w:rPr>
        <w:t xml:space="preserve">Theriogenology, </w:t>
      </w:r>
      <w:r w:rsidRPr="00BA7CCB">
        <w:rPr>
          <w:rFonts w:ascii="Times New Roman" w:hAnsi="Times New Roman" w:cs="Times New Roman"/>
          <w:bCs/>
          <w:color w:val="212121"/>
          <w:shd w:val="clear" w:color="auto" w:fill="FFFFFF"/>
        </w:rPr>
        <w:t>218, 214-222.</w:t>
      </w:r>
    </w:p>
    <w:p w14:paraId="292DEAC8" w14:textId="77777777" w:rsidR="00135F5D" w:rsidRPr="00CF603F" w:rsidRDefault="00135F5D" w:rsidP="00BA7CCB">
      <w:pPr>
        <w:spacing w:line="240" w:lineRule="auto"/>
        <w:ind w:left="567" w:hanging="567"/>
        <w:jc w:val="both"/>
        <w:rPr>
          <w:rFonts w:ascii="Times New Roman" w:hAnsi="Times New Roman" w:cs="Times New Roman"/>
          <w:bCs/>
          <w:color w:val="212121"/>
          <w:shd w:val="clear" w:color="auto" w:fill="FFFFFF"/>
          <w:lang w:val="es-US"/>
        </w:rPr>
      </w:pPr>
      <w:r w:rsidRPr="00BA7CCB">
        <w:rPr>
          <w:rFonts w:ascii="Times New Roman" w:hAnsi="Times New Roman" w:cs="Times New Roman"/>
          <w:bCs/>
          <w:color w:val="212121"/>
          <w:shd w:val="clear" w:color="auto" w:fill="FFFFFF"/>
        </w:rPr>
        <w:t xml:space="preserve">Farnaud, S., &amp; Evans, R. W. (2003). Lactoferrin – a multifunctional protein with antimicrobial properties. </w:t>
      </w:r>
      <w:r w:rsidRPr="00CF603F">
        <w:rPr>
          <w:rFonts w:ascii="Times New Roman" w:hAnsi="Times New Roman" w:cs="Times New Roman"/>
          <w:bCs/>
          <w:i/>
          <w:color w:val="212121"/>
          <w:shd w:val="clear" w:color="auto" w:fill="FFFFFF"/>
          <w:lang w:val="es-US"/>
        </w:rPr>
        <w:t xml:space="preserve">Molecular Immunology, </w:t>
      </w:r>
      <w:r w:rsidRPr="00CF603F">
        <w:rPr>
          <w:rFonts w:ascii="Times New Roman" w:hAnsi="Times New Roman" w:cs="Times New Roman"/>
          <w:bCs/>
          <w:color w:val="212121"/>
          <w:shd w:val="clear" w:color="auto" w:fill="FFFFFF"/>
          <w:lang w:val="es-US"/>
        </w:rPr>
        <w:t>40, 395–405.</w:t>
      </w:r>
    </w:p>
    <w:p w14:paraId="6194D6AB"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CF603F">
        <w:rPr>
          <w:rFonts w:ascii="Times New Roman" w:hAnsi="Times New Roman" w:cs="Times New Roman"/>
          <w:bCs/>
          <w:color w:val="212121"/>
          <w:shd w:val="clear" w:color="auto" w:fill="FFFFFF"/>
          <w:lang w:val="es-US"/>
        </w:rPr>
        <w:t xml:space="preserve">Fernandez, J. C., Perez, J. E., Herrera, N., Martinez, R., Bejarano, D., &amp; Rocha, J. F. (2019). </w:t>
      </w:r>
      <w:r w:rsidRPr="00BA7CCB">
        <w:rPr>
          <w:rFonts w:ascii="Times New Roman" w:hAnsi="Times New Roman" w:cs="Times New Roman"/>
          <w:bCs/>
          <w:color w:val="212121"/>
          <w:shd w:val="clear" w:color="auto" w:fill="FFFFFF"/>
        </w:rPr>
        <w:t xml:space="preserve">Genomic association study for age at first calving and calving interval in Romosinuano and Costeño con Cuernos cattle. </w:t>
      </w:r>
      <w:r w:rsidRPr="00BA7CCB">
        <w:rPr>
          <w:rFonts w:ascii="Times New Roman" w:hAnsi="Times New Roman" w:cs="Times New Roman"/>
          <w:bCs/>
          <w:i/>
          <w:color w:val="212121"/>
          <w:shd w:val="clear" w:color="auto" w:fill="FFFFFF"/>
        </w:rPr>
        <w:t xml:space="preserve">Genetics and Molecular Research, </w:t>
      </w:r>
      <w:r w:rsidRPr="00BA7CCB">
        <w:rPr>
          <w:rFonts w:ascii="Times New Roman" w:hAnsi="Times New Roman" w:cs="Times New Roman"/>
          <w:bCs/>
          <w:color w:val="212121"/>
          <w:shd w:val="clear" w:color="auto" w:fill="FFFFFF"/>
        </w:rPr>
        <w:t>18, 1-13.</w:t>
      </w:r>
    </w:p>
    <w:p w14:paraId="25FC3A0F"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Fortes, M. R. S., Lehnert, S. A., Bolormaa, S., Reich, C., Fordyce, G., Corbet, N. J., Whan, V., Hawken, R. J., &amp; Reverter, A. (2012). Finding genes for economically important traits: Brahman cattle puberty. </w:t>
      </w:r>
      <w:r w:rsidRPr="00BA7CCB">
        <w:rPr>
          <w:rFonts w:ascii="Times New Roman" w:hAnsi="Times New Roman" w:cs="Times New Roman"/>
          <w:bCs/>
          <w:i/>
          <w:color w:val="212121"/>
          <w:shd w:val="clear" w:color="auto" w:fill="FFFFFF"/>
        </w:rPr>
        <w:t>Animal Production Science, </w:t>
      </w:r>
      <w:r w:rsidRPr="00BA7CCB">
        <w:rPr>
          <w:rFonts w:ascii="Times New Roman" w:hAnsi="Times New Roman" w:cs="Times New Roman"/>
          <w:bCs/>
          <w:color w:val="212121"/>
          <w:shd w:val="clear" w:color="auto" w:fill="FFFFFF"/>
        </w:rPr>
        <w:t>52(3), 143-150.</w:t>
      </w:r>
    </w:p>
    <w:p w14:paraId="584C266B"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CF603F">
        <w:rPr>
          <w:rFonts w:ascii="Times New Roman" w:hAnsi="Times New Roman" w:cs="Times New Roman"/>
          <w:bCs/>
          <w:color w:val="212121"/>
          <w:shd w:val="clear" w:color="auto" w:fill="FFFFFF"/>
          <w:lang w:val="es-US"/>
        </w:rPr>
        <w:t xml:space="preserve">Garrett, A. J., Rincon, G., Medrano, J. F., Elzo, M. A., Silver, G. A., &amp; Thomas, M. G. (2008). </w:t>
      </w:r>
      <w:r w:rsidRPr="00BA7CCB">
        <w:rPr>
          <w:rFonts w:ascii="Times New Roman" w:hAnsi="Times New Roman" w:cs="Times New Roman"/>
          <w:bCs/>
          <w:color w:val="212121"/>
          <w:shd w:val="clear" w:color="auto" w:fill="FFFFFF"/>
        </w:rPr>
        <w:t xml:space="preserve">Promoter region of the bovine growth hormone receptor gene: Single nucleotide polymorphism discovery in cattle and association with performance in Brangus bulls. </w:t>
      </w:r>
      <w:r w:rsidRPr="00BA7CCB">
        <w:rPr>
          <w:rFonts w:ascii="Times New Roman" w:hAnsi="Times New Roman" w:cs="Times New Roman"/>
          <w:bCs/>
          <w:i/>
          <w:color w:val="212121"/>
          <w:shd w:val="clear" w:color="auto" w:fill="FFFFFF"/>
        </w:rPr>
        <w:t xml:space="preserve">Journal of Animal Science, </w:t>
      </w:r>
      <w:r w:rsidRPr="00BA7CCB">
        <w:rPr>
          <w:rFonts w:ascii="Times New Roman" w:hAnsi="Times New Roman" w:cs="Times New Roman"/>
          <w:bCs/>
          <w:color w:val="212121"/>
          <w:shd w:val="clear" w:color="auto" w:fill="FFFFFF"/>
        </w:rPr>
        <w:t>86(12), 3315-3323.</w:t>
      </w:r>
    </w:p>
    <w:p w14:paraId="7C6AAFF5"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Garrison, E., &amp; Marth, G. (2012). Haplotype-based variant detection from short-read sequencing. arXiv preprint arXiv:1207.3907.</w:t>
      </w:r>
    </w:p>
    <w:p w14:paraId="23ED4916"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Green, M. P., Thompson, J. G., &amp; Kind, A. J. (2010). Tumor necrosis factor-α regulates prostaglandin F2α production and apoptosis in luteal cells from cattle. </w:t>
      </w:r>
      <w:r w:rsidRPr="00BA7CCB">
        <w:rPr>
          <w:rFonts w:ascii="Times New Roman" w:hAnsi="Times New Roman" w:cs="Times New Roman"/>
          <w:bCs/>
          <w:i/>
          <w:color w:val="212121"/>
          <w:shd w:val="clear" w:color="auto" w:fill="FFFFFF"/>
        </w:rPr>
        <w:t xml:space="preserve">Reproduction, Fertility and Development, </w:t>
      </w:r>
      <w:r w:rsidRPr="00BA7CCB">
        <w:rPr>
          <w:rFonts w:ascii="Times New Roman" w:hAnsi="Times New Roman" w:cs="Times New Roman"/>
          <w:bCs/>
          <w:color w:val="212121"/>
          <w:shd w:val="clear" w:color="auto" w:fill="FFFFFF"/>
        </w:rPr>
        <w:t>22(2), 267–273.</w:t>
      </w:r>
    </w:p>
    <w:p w14:paraId="611986DD"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Grobet, L., Martin, L. J., Poncelet, D., Pirottin, D., Brouwers, B., Riquet, J., Schoeberlein, A., Dunner, S., Menissier, F., Massabanda, J., Fries, R., &amp; Georges, M. (1997). A deletion in the bovine myostatin gene causes the double-muscled phenotype in cattle. </w:t>
      </w:r>
      <w:r w:rsidRPr="00BA7CCB">
        <w:rPr>
          <w:rFonts w:ascii="Times New Roman" w:hAnsi="Times New Roman" w:cs="Times New Roman"/>
          <w:bCs/>
          <w:i/>
          <w:color w:val="212121"/>
          <w:shd w:val="clear" w:color="auto" w:fill="FFFFFF"/>
        </w:rPr>
        <w:t xml:space="preserve">Nature Genetics, </w:t>
      </w:r>
      <w:r w:rsidRPr="00BA7CCB">
        <w:rPr>
          <w:rFonts w:ascii="Times New Roman" w:hAnsi="Times New Roman" w:cs="Times New Roman"/>
          <w:bCs/>
          <w:color w:val="212121"/>
          <w:shd w:val="clear" w:color="auto" w:fill="FFFFFF"/>
        </w:rPr>
        <w:t>17(1),</w:t>
      </w:r>
      <w:r w:rsidRPr="00BA7CCB">
        <w:rPr>
          <w:rFonts w:ascii="Times New Roman" w:hAnsi="Times New Roman" w:cs="Times New Roman"/>
          <w:bCs/>
          <w:i/>
          <w:color w:val="212121"/>
          <w:shd w:val="clear" w:color="auto" w:fill="FFFFFF"/>
        </w:rPr>
        <w:t xml:space="preserve"> </w:t>
      </w:r>
      <w:r w:rsidRPr="00BA7CCB">
        <w:rPr>
          <w:rFonts w:ascii="Times New Roman" w:hAnsi="Times New Roman" w:cs="Times New Roman"/>
          <w:bCs/>
          <w:color w:val="212121"/>
          <w:shd w:val="clear" w:color="auto" w:fill="FFFFFF"/>
        </w:rPr>
        <w:t>71–74.</w:t>
      </w:r>
    </w:p>
    <w:p w14:paraId="2B57BD21"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lastRenderedPageBreak/>
        <w:t xml:space="preserve">Haque, M. A., Lee, Y. M., Ha, J. J., Jin, S., Park, B., Kim, N. Y., Won, J. I., &amp; Kim, J. J. (2024). Genome-wide association study identifies genomic regions associated with key reproductive traits in Korean Hanwoo cows. </w:t>
      </w:r>
      <w:r w:rsidRPr="00BA7CCB">
        <w:rPr>
          <w:rFonts w:ascii="Times New Roman" w:hAnsi="Times New Roman" w:cs="Times New Roman"/>
          <w:bCs/>
          <w:i/>
          <w:color w:val="212121"/>
          <w:shd w:val="clear" w:color="auto" w:fill="FFFFFF"/>
        </w:rPr>
        <w:t xml:space="preserve">BMC Genomics, </w:t>
      </w:r>
      <w:r w:rsidRPr="00BA7CCB">
        <w:rPr>
          <w:rFonts w:ascii="Times New Roman" w:hAnsi="Times New Roman" w:cs="Times New Roman"/>
          <w:bCs/>
          <w:color w:val="212121"/>
          <w:shd w:val="clear" w:color="auto" w:fill="FFFFFF"/>
        </w:rPr>
        <w:t>25(1), 496.</w:t>
      </w:r>
    </w:p>
    <w:p w14:paraId="5FFF6398" w14:textId="73139AB5"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Hyeong, K. E., Iqbal, A., and Kim, J. J., (2014). A genome wide association study on age at first calving using high density single nucleotide polymorphism chips in Hanwoo (</w:t>
      </w:r>
      <w:r w:rsidRPr="00BA7CCB">
        <w:rPr>
          <w:rFonts w:ascii="Times New Roman" w:hAnsi="Times New Roman" w:cs="Times New Roman"/>
          <w:bCs/>
          <w:i/>
          <w:color w:val="212121"/>
          <w:shd w:val="clear" w:color="auto" w:fill="FFFFFF"/>
        </w:rPr>
        <w:t>Bos taurus coreanae</w:t>
      </w:r>
      <w:r w:rsidRPr="00BA7CCB">
        <w:rPr>
          <w:rFonts w:ascii="Times New Roman" w:hAnsi="Times New Roman" w:cs="Times New Roman"/>
          <w:bCs/>
          <w:color w:val="212121"/>
          <w:shd w:val="clear" w:color="auto" w:fill="FFFFFF"/>
        </w:rPr>
        <w:t xml:space="preserve">). </w:t>
      </w:r>
      <w:r w:rsidRPr="00BA7CCB">
        <w:rPr>
          <w:rFonts w:ascii="Times New Roman" w:hAnsi="Times New Roman" w:cs="Times New Roman"/>
          <w:bCs/>
          <w:i/>
          <w:color w:val="212121"/>
          <w:shd w:val="clear" w:color="auto" w:fill="FFFFFF"/>
        </w:rPr>
        <w:t>Asian-Aus</w:t>
      </w:r>
      <w:r w:rsidR="006C7DCD" w:rsidRPr="00BA7CCB">
        <w:rPr>
          <w:rFonts w:ascii="Times New Roman" w:hAnsi="Times New Roman" w:cs="Times New Roman"/>
          <w:bCs/>
          <w:i/>
          <w:color w:val="212121"/>
          <w:shd w:val="clear" w:color="auto" w:fill="FFFFFF"/>
        </w:rPr>
        <w:t>tralasian Journal of Animal S</w:t>
      </w:r>
      <w:r w:rsidRPr="00BA7CCB">
        <w:rPr>
          <w:rFonts w:ascii="Times New Roman" w:hAnsi="Times New Roman" w:cs="Times New Roman"/>
          <w:bCs/>
          <w:i/>
          <w:color w:val="212121"/>
          <w:shd w:val="clear" w:color="auto" w:fill="FFFFFF"/>
        </w:rPr>
        <w:t xml:space="preserve">ciences, </w:t>
      </w:r>
      <w:r w:rsidRPr="00BA7CCB">
        <w:rPr>
          <w:rFonts w:ascii="Times New Roman" w:hAnsi="Times New Roman" w:cs="Times New Roman"/>
          <w:bCs/>
          <w:color w:val="212121"/>
          <w:shd w:val="clear" w:color="auto" w:fill="FFFFFF"/>
        </w:rPr>
        <w:t>27(10), 1406.</w:t>
      </w:r>
    </w:p>
    <w:p w14:paraId="639C986E"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Janovick-Guretzky, N. A., Dann, H. M., Carlson, D. B., Murphy, M. R., Loor, J. J., &amp; Drackley, J. K. (2007). Housekeeping gene expression in bovine liver is affected by physiological state, feed intake, and dietary treatment. </w:t>
      </w:r>
      <w:r w:rsidRPr="00BA7CCB">
        <w:rPr>
          <w:rFonts w:ascii="Times New Roman" w:hAnsi="Times New Roman" w:cs="Times New Roman"/>
          <w:bCs/>
          <w:i/>
          <w:color w:val="212121"/>
          <w:shd w:val="clear" w:color="auto" w:fill="FFFFFF"/>
        </w:rPr>
        <w:t xml:space="preserve">Journal of Dairy Science, </w:t>
      </w:r>
      <w:r w:rsidRPr="00BA7CCB">
        <w:rPr>
          <w:rFonts w:ascii="Times New Roman" w:hAnsi="Times New Roman" w:cs="Times New Roman"/>
          <w:bCs/>
          <w:color w:val="212121"/>
          <w:shd w:val="clear" w:color="auto" w:fill="FFFFFF"/>
        </w:rPr>
        <w:t>90(5), 2246-2252.</w:t>
      </w:r>
    </w:p>
    <w:p w14:paraId="0990A87A"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Langmead, B., &amp; Salzberg, S. L. (2012). Fast gapped-read alignment with Bowtie 2. </w:t>
      </w:r>
      <w:r w:rsidRPr="00BA7CCB">
        <w:rPr>
          <w:rFonts w:ascii="Times New Roman" w:hAnsi="Times New Roman" w:cs="Times New Roman"/>
          <w:bCs/>
          <w:i/>
          <w:color w:val="212121"/>
          <w:shd w:val="clear" w:color="auto" w:fill="FFFFFF"/>
        </w:rPr>
        <w:t xml:space="preserve">Nature methods, </w:t>
      </w:r>
      <w:r w:rsidRPr="00BA7CCB">
        <w:rPr>
          <w:rFonts w:ascii="Times New Roman" w:hAnsi="Times New Roman" w:cs="Times New Roman"/>
          <w:bCs/>
          <w:color w:val="212121"/>
          <w:shd w:val="clear" w:color="auto" w:fill="FFFFFF"/>
        </w:rPr>
        <w:t>9(4),</w:t>
      </w:r>
      <w:r w:rsidRPr="00BA7CCB">
        <w:rPr>
          <w:rFonts w:ascii="Times New Roman" w:hAnsi="Times New Roman" w:cs="Times New Roman"/>
          <w:bCs/>
          <w:i/>
          <w:color w:val="212121"/>
          <w:shd w:val="clear" w:color="auto" w:fill="FFFFFF"/>
        </w:rPr>
        <w:t xml:space="preserve"> </w:t>
      </w:r>
      <w:r w:rsidRPr="00BA7CCB">
        <w:rPr>
          <w:rFonts w:ascii="Times New Roman" w:hAnsi="Times New Roman" w:cs="Times New Roman"/>
          <w:bCs/>
          <w:color w:val="212121"/>
          <w:shd w:val="clear" w:color="auto" w:fill="FFFFFF"/>
        </w:rPr>
        <w:t>357-359.</w:t>
      </w:r>
    </w:p>
    <w:p w14:paraId="0D9C151C" w14:textId="11EE8BB5" w:rsidR="00135F5D" w:rsidRPr="00CF603F" w:rsidRDefault="00135F5D" w:rsidP="00BA7CCB">
      <w:pPr>
        <w:spacing w:line="240" w:lineRule="auto"/>
        <w:ind w:left="567" w:hanging="567"/>
        <w:jc w:val="both"/>
        <w:rPr>
          <w:rFonts w:ascii="Times New Roman" w:hAnsi="Times New Roman" w:cs="Times New Roman"/>
          <w:bCs/>
          <w:color w:val="212121"/>
          <w:shd w:val="clear" w:color="auto" w:fill="FFFFFF"/>
          <w:lang w:val="es-US"/>
        </w:rPr>
      </w:pPr>
      <w:r w:rsidRPr="00BA7CCB">
        <w:rPr>
          <w:rFonts w:ascii="Times New Roman" w:hAnsi="Times New Roman" w:cs="Times New Roman"/>
        </w:rPr>
        <w:t xml:space="preserve">Lee, Y. L., Takeda, H., Costa Monteiro Moreira, G., Karim, L., Mullaart, E., Coppieters, W., GplusE consortium., Appeltant, R., Veerkamp, R. F., Groenen, M. A. M., Georges, M., Bosse, M., Druet, T., Bouwman, A. C., &amp; Charlier, C. (2021). A 12 kb multi-allelic copy number variation encompassing a GC gene enhancer is associated with mastitis resistance in dairy cattle. </w:t>
      </w:r>
      <w:r w:rsidRPr="00CF603F">
        <w:rPr>
          <w:rFonts w:ascii="Times New Roman" w:hAnsi="Times New Roman" w:cs="Times New Roman"/>
          <w:i/>
          <w:lang w:val="es-US"/>
        </w:rPr>
        <w:t>PLoS Genetic</w:t>
      </w:r>
      <w:r w:rsidR="00021ED2" w:rsidRPr="00CF603F">
        <w:rPr>
          <w:rFonts w:ascii="Times New Roman" w:hAnsi="Times New Roman" w:cs="Times New Roman"/>
          <w:i/>
          <w:lang w:val="es-US"/>
        </w:rPr>
        <w:t>s</w:t>
      </w:r>
      <w:r w:rsidRPr="00CF603F">
        <w:rPr>
          <w:rFonts w:ascii="Times New Roman" w:hAnsi="Times New Roman" w:cs="Times New Roman"/>
          <w:i/>
          <w:lang w:val="es-US"/>
        </w:rPr>
        <w:t xml:space="preserve">, </w:t>
      </w:r>
      <w:r w:rsidRPr="00CF603F">
        <w:rPr>
          <w:rFonts w:ascii="Times New Roman" w:hAnsi="Times New Roman" w:cs="Times New Roman"/>
          <w:lang w:val="es-US"/>
        </w:rPr>
        <w:t xml:space="preserve">17(7), e1009331. </w:t>
      </w:r>
    </w:p>
    <w:p w14:paraId="37E27CE8"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CF603F">
        <w:rPr>
          <w:rFonts w:ascii="Times New Roman" w:hAnsi="Times New Roman" w:cs="Times New Roman"/>
          <w:bCs/>
          <w:color w:val="212121"/>
          <w:shd w:val="clear" w:color="auto" w:fill="FFFFFF"/>
          <w:lang w:val="es-US"/>
        </w:rPr>
        <w:t xml:space="preserve">Mota, L. F., Lopes, F. B., Fernandes Junior, G. A., Rosa, G. J., Magalhaes, A. F., Carvalheiro, R., &amp; Albuquerque, L. G. (2020). </w:t>
      </w:r>
      <w:r w:rsidRPr="00BA7CCB">
        <w:rPr>
          <w:rFonts w:ascii="Times New Roman" w:hAnsi="Times New Roman" w:cs="Times New Roman"/>
          <w:bCs/>
          <w:color w:val="212121"/>
          <w:shd w:val="clear" w:color="auto" w:fill="FFFFFF"/>
        </w:rPr>
        <w:t xml:space="preserve">Genome-wide scan highlights the role of candidate genes on phenotypic plasticity for age at first calving in Nellore heifers. </w:t>
      </w:r>
      <w:r w:rsidRPr="00BA7CCB">
        <w:rPr>
          <w:rFonts w:ascii="Times New Roman" w:hAnsi="Times New Roman" w:cs="Times New Roman"/>
          <w:bCs/>
          <w:i/>
          <w:color w:val="212121"/>
          <w:shd w:val="clear" w:color="auto" w:fill="FFFFFF"/>
        </w:rPr>
        <w:t xml:space="preserve">Scientific reports, </w:t>
      </w:r>
      <w:r w:rsidRPr="00BA7CCB">
        <w:rPr>
          <w:rFonts w:ascii="Times New Roman" w:hAnsi="Times New Roman" w:cs="Times New Roman"/>
          <w:bCs/>
          <w:color w:val="212121"/>
          <w:shd w:val="clear" w:color="auto" w:fill="FFFFFF"/>
        </w:rPr>
        <w:t>10(1), 6481.</w:t>
      </w:r>
    </w:p>
    <w:p w14:paraId="06DEB0CB"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Peripolli, E., Temp, L. B., Fukumasu, H., Pereira, A. S. C., Fabricio, E. C., Ferraz, J. B. S., &amp; Baldi, F. (2024). Identification of candidate genes and genomic prediction for early heifer pregnancy in Nelore beef cattle. </w:t>
      </w:r>
      <w:r w:rsidRPr="00BA7CCB">
        <w:rPr>
          <w:rFonts w:ascii="Times New Roman" w:hAnsi="Times New Roman" w:cs="Times New Roman"/>
          <w:bCs/>
          <w:i/>
          <w:color w:val="212121"/>
          <w:shd w:val="clear" w:color="auto" w:fill="FFFFFF"/>
        </w:rPr>
        <w:t xml:space="preserve">Livestock Science, </w:t>
      </w:r>
      <w:r w:rsidRPr="00BA7CCB">
        <w:rPr>
          <w:rFonts w:ascii="Times New Roman" w:hAnsi="Times New Roman" w:cs="Times New Roman"/>
          <w:bCs/>
          <w:color w:val="212121"/>
          <w:shd w:val="clear" w:color="auto" w:fill="FFFFFF"/>
        </w:rPr>
        <w:t>289, 105582.</w:t>
      </w:r>
    </w:p>
    <w:p w14:paraId="28310D6D"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Pryce, J. E., Bolormaa, S., Chamberlain, A. J., Bowman, P. J., Savin, K., &amp; Goddard, M. E. (2010). A validated genome-wide association study in 2 dairy cattle breeds for milk production and fertility traits using variable length haplotypes. </w:t>
      </w:r>
      <w:r w:rsidRPr="00BA7CCB">
        <w:rPr>
          <w:rFonts w:ascii="Times New Roman" w:hAnsi="Times New Roman" w:cs="Times New Roman"/>
          <w:bCs/>
          <w:i/>
          <w:iCs/>
          <w:color w:val="212121"/>
          <w:shd w:val="clear" w:color="auto" w:fill="FFFFFF"/>
        </w:rPr>
        <w:t>Journal of Dairy Science</w:t>
      </w:r>
      <w:r w:rsidRPr="00BA7CCB">
        <w:rPr>
          <w:rFonts w:ascii="Times New Roman" w:hAnsi="Times New Roman" w:cs="Times New Roman"/>
          <w:bCs/>
          <w:color w:val="212121"/>
          <w:shd w:val="clear" w:color="auto" w:fill="FFFFFF"/>
        </w:rPr>
        <w:t>, 93(7), 3331-3345.</w:t>
      </w:r>
    </w:p>
    <w:p w14:paraId="7CDCD27B" w14:textId="077267D0" w:rsidR="00135F5D" w:rsidRPr="00BA7CCB" w:rsidRDefault="00135F5D" w:rsidP="00BA7CCB">
      <w:pPr>
        <w:spacing w:line="240" w:lineRule="auto"/>
        <w:ind w:left="567" w:hanging="567"/>
        <w:jc w:val="both"/>
        <w:rPr>
          <w:rFonts w:ascii="Times New Roman" w:hAnsi="Times New Roman" w:cs="Times New Roman"/>
          <w:lang w:val="en-US"/>
        </w:rPr>
      </w:pPr>
      <w:r w:rsidRPr="00BA7CCB">
        <w:rPr>
          <w:rFonts w:ascii="Times New Roman" w:hAnsi="Times New Roman" w:cs="Times New Roman"/>
          <w:lang w:val="en-US"/>
        </w:rPr>
        <w:t xml:space="preserve">Schmidt, P.I., Campos, G.S., Roso, V.M., Souza, F.R.P., &amp; Boligon A.A. (2019). Genetic analysis of female reproductive efficiency, scrotal circumference and growth traits in Nelore cattle. </w:t>
      </w:r>
      <w:r w:rsidRPr="00BA7CCB">
        <w:rPr>
          <w:rFonts w:ascii="Times New Roman" w:hAnsi="Times New Roman" w:cs="Times New Roman"/>
          <w:i/>
          <w:lang w:val="en-US"/>
        </w:rPr>
        <w:t xml:space="preserve">Theriogenology, </w:t>
      </w:r>
      <w:r w:rsidRPr="00BA7CCB">
        <w:rPr>
          <w:rFonts w:ascii="Times New Roman" w:hAnsi="Times New Roman" w:cs="Times New Roman"/>
          <w:lang w:val="en-US"/>
        </w:rPr>
        <w:t>128,</w:t>
      </w:r>
      <w:r w:rsidR="00021ED2" w:rsidRPr="00BA7CCB">
        <w:rPr>
          <w:rFonts w:ascii="Times New Roman" w:hAnsi="Times New Roman" w:cs="Times New Roman"/>
          <w:lang w:val="en-US"/>
        </w:rPr>
        <w:t xml:space="preserve"> </w:t>
      </w:r>
      <w:r w:rsidRPr="00BA7CCB">
        <w:rPr>
          <w:rFonts w:ascii="Times New Roman" w:hAnsi="Times New Roman" w:cs="Times New Roman"/>
          <w:lang w:val="en-US"/>
        </w:rPr>
        <w:t xml:space="preserve">47-53. </w:t>
      </w:r>
    </w:p>
    <w:p w14:paraId="3E83A841"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Sharma, A., Singh, M., Kumar, P., &amp; Dogra, P.K. (2019). Investigating post-partum ovarian cyclicity following various treatments in dairy cows. </w:t>
      </w:r>
      <w:r w:rsidRPr="00BA7CCB">
        <w:rPr>
          <w:rFonts w:ascii="Times New Roman" w:hAnsi="Times New Roman" w:cs="Times New Roman"/>
          <w:bCs/>
          <w:i/>
          <w:color w:val="212121"/>
          <w:shd w:val="clear" w:color="auto" w:fill="FFFFFF"/>
        </w:rPr>
        <w:t xml:space="preserve">Rural Sustainability Research, </w:t>
      </w:r>
      <w:r w:rsidRPr="00BA7CCB">
        <w:rPr>
          <w:rFonts w:ascii="Times New Roman" w:hAnsi="Times New Roman" w:cs="Times New Roman"/>
          <w:bCs/>
          <w:color w:val="212121"/>
          <w:shd w:val="clear" w:color="auto" w:fill="FFFFFF"/>
        </w:rPr>
        <w:t>41(336), 22-25.</w:t>
      </w:r>
    </w:p>
    <w:p w14:paraId="5BDA8AEC" w14:textId="77777777" w:rsidR="00135F5D" w:rsidRPr="00BA7CCB" w:rsidRDefault="00135F5D" w:rsidP="00BA7CCB">
      <w:pPr>
        <w:spacing w:line="240" w:lineRule="auto"/>
        <w:ind w:left="567" w:hanging="567"/>
        <w:jc w:val="both"/>
        <w:rPr>
          <w:rFonts w:ascii="Times New Roman" w:hAnsi="Times New Roman" w:cs="Times New Roman"/>
          <w:lang w:val="en-US"/>
        </w:rPr>
      </w:pPr>
      <w:r w:rsidRPr="00BA7CCB">
        <w:rPr>
          <w:rFonts w:ascii="Times New Roman" w:hAnsi="Times New Roman" w:cs="Times New Roman"/>
          <w:lang w:val="en-US"/>
        </w:rPr>
        <w:t>Vijayakumar, P., Paramasivam, A., Singaravadivelan, A., Sivakumar, T., Vasanthakumar, T., Nithiaselvi, R., &amp; Churchil, R. (2021). Genetic Studies on Productive and Reproductive Traits of Crossbred Jersey (Jersey × nondescript) cattle. Journal of Animal Research, 11(04), 653-659.</w:t>
      </w:r>
    </w:p>
    <w:p w14:paraId="6A105A3F"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Vijayakumar, P., Singaravadivelan, A., Silambarasan, P., Ramachandran, M., &amp; Churchil, R. (2019). Production and reproduction performances of crossbred Jersey cows. </w:t>
      </w:r>
      <w:r w:rsidRPr="00BA7CCB">
        <w:rPr>
          <w:rFonts w:ascii="Times New Roman" w:hAnsi="Times New Roman" w:cs="Times New Roman"/>
          <w:bCs/>
          <w:i/>
          <w:color w:val="212121"/>
          <w:shd w:val="clear" w:color="auto" w:fill="FFFFFF"/>
        </w:rPr>
        <w:t xml:space="preserve">Veterinary Research International, </w:t>
      </w:r>
      <w:r w:rsidRPr="00BA7CCB">
        <w:rPr>
          <w:rFonts w:ascii="Times New Roman" w:hAnsi="Times New Roman" w:cs="Times New Roman"/>
          <w:bCs/>
          <w:color w:val="212121"/>
          <w:shd w:val="clear" w:color="auto" w:fill="FFFFFF"/>
        </w:rPr>
        <w:t>7(2), 56-59.</w:t>
      </w:r>
    </w:p>
    <w:p w14:paraId="10630CEA" w14:textId="77777777"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lastRenderedPageBreak/>
        <w:t xml:space="preserve">Waghmare, S.S., Singh, R.P., Ahlawat, N., Panday, R., &amp; Shukla, A.K. (2023). Genetic studies on calving interval and its influence on complete lactation milk and 305 days lactation milk crossbred cattle. </w:t>
      </w:r>
      <w:r w:rsidRPr="00BA7CCB">
        <w:rPr>
          <w:rFonts w:ascii="Times New Roman" w:hAnsi="Times New Roman" w:cs="Times New Roman"/>
          <w:bCs/>
          <w:i/>
          <w:color w:val="212121"/>
          <w:shd w:val="clear" w:color="auto" w:fill="FFFFFF"/>
        </w:rPr>
        <w:t xml:space="preserve">The Pharma Innovation Journal, </w:t>
      </w:r>
      <w:r w:rsidRPr="00BA7CCB">
        <w:rPr>
          <w:rFonts w:ascii="Times New Roman" w:hAnsi="Times New Roman" w:cs="Times New Roman"/>
          <w:bCs/>
          <w:color w:val="212121"/>
          <w:shd w:val="clear" w:color="auto" w:fill="FFFFFF"/>
        </w:rPr>
        <w:t>12(2), 560-566.</w:t>
      </w:r>
    </w:p>
    <w:p w14:paraId="5CCCA1D5" w14:textId="77777777" w:rsidR="00F52AE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 xml:space="preserve">Zhao, Y., Wang, X., Liu, Y., Li, N., Wang, S., Sun, Z., Gao, Z., Zhang, X., Mao, L., Tang, R. &amp; Xue, W. (2021). LENG8 regulation of mRNA processing, is responsible for the control of mitochondrial activity. </w:t>
      </w:r>
      <w:r w:rsidRPr="00BA7CCB">
        <w:rPr>
          <w:rFonts w:ascii="Times New Roman" w:hAnsi="Times New Roman" w:cs="Times New Roman"/>
          <w:bCs/>
          <w:i/>
          <w:color w:val="212121"/>
          <w:shd w:val="clear" w:color="auto" w:fill="FFFFFF"/>
        </w:rPr>
        <w:t>BioRxiv</w:t>
      </w:r>
      <w:r w:rsidRPr="00BA7CCB">
        <w:rPr>
          <w:rFonts w:ascii="Times New Roman" w:hAnsi="Times New Roman" w:cs="Times New Roman"/>
          <w:bCs/>
          <w:color w:val="212121"/>
          <w:shd w:val="clear" w:color="auto" w:fill="FFFFFF"/>
        </w:rPr>
        <w:t>, 2021-07.</w:t>
      </w:r>
    </w:p>
    <w:p w14:paraId="24DDC673" w14:textId="77777777" w:rsidR="00F52AEB" w:rsidRPr="00CF603F" w:rsidRDefault="00F52AEB" w:rsidP="00BA7CCB">
      <w:pPr>
        <w:spacing w:line="240" w:lineRule="auto"/>
        <w:ind w:left="567" w:hanging="567"/>
        <w:jc w:val="both"/>
        <w:rPr>
          <w:rFonts w:ascii="Times New Roman" w:hAnsi="Times New Roman" w:cs="Times New Roman"/>
          <w:bCs/>
          <w:color w:val="212121"/>
          <w:highlight w:val="yellow"/>
          <w:shd w:val="clear" w:color="auto" w:fill="FFFFFF"/>
        </w:rPr>
      </w:pPr>
      <w:r w:rsidRPr="00CF603F">
        <w:rPr>
          <w:rFonts w:ascii="Times New Roman" w:hAnsi="Times New Roman" w:cs="Times New Roman"/>
          <w:bCs/>
          <w:color w:val="212121"/>
          <w:highlight w:val="yellow"/>
          <w:shd w:val="clear" w:color="auto" w:fill="FFFFFF"/>
        </w:rPr>
        <w:t>Wang, Y., Ipema, A., Goselink, R., Burgers, E., Gross, J., Bruckmaier, R., ... &amp; van Knegsel, A. (2024). Effects of calving interval of dairy cows on development, metabolism, and milk performance of their offspring. </w:t>
      </w:r>
      <w:r w:rsidRPr="00CF603F">
        <w:rPr>
          <w:rFonts w:ascii="Times New Roman" w:hAnsi="Times New Roman" w:cs="Times New Roman"/>
          <w:bCs/>
          <w:i/>
          <w:iCs/>
          <w:color w:val="212121"/>
          <w:highlight w:val="yellow"/>
          <w:shd w:val="clear" w:color="auto" w:fill="FFFFFF"/>
        </w:rPr>
        <w:t>Journal of Dairy Science</w:t>
      </w:r>
      <w:r w:rsidRPr="00CF603F">
        <w:rPr>
          <w:rFonts w:ascii="Times New Roman" w:hAnsi="Times New Roman" w:cs="Times New Roman"/>
          <w:bCs/>
          <w:color w:val="212121"/>
          <w:highlight w:val="yellow"/>
          <w:shd w:val="clear" w:color="auto" w:fill="FFFFFF"/>
        </w:rPr>
        <w:t>, </w:t>
      </w:r>
      <w:r w:rsidRPr="00CF603F">
        <w:rPr>
          <w:rFonts w:ascii="Times New Roman" w:hAnsi="Times New Roman" w:cs="Times New Roman"/>
          <w:bCs/>
          <w:i/>
          <w:iCs/>
          <w:color w:val="212121"/>
          <w:highlight w:val="yellow"/>
          <w:shd w:val="clear" w:color="auto" w:fill="FFFFFF"/>
        </w:rPr>
        <w:t>107</w:t>
      </w:r>
      <w:r w:rsidRPr="00CF603F">
        <w:rPr>
          <w:rFonts w:ascii="Times New Roman" w:hAnsi="Times New Roman" w:cs="Times New Roman"/>
          <w:bCs/>
          <w:color w:val="212121"/>
          <w:highlight w:val="yellow"/>
          <w:shd w:val="clear" w:color="auto" w:fill="FFFFFF"/>
        </w:rPr>
        <w:t>(11), 9934-9947.</w:t>
      </w:r>
    </w:p>
    <w:p w14:paraId="613B3E05" w14:textId="4A8679FE" w:rsidR="0026158B" w:rsidRDefault="0026158B" w:rsidP="00BA7CCB">
      <w:pPr>
        <w:spacing w:line="240" w:lineRule="auto"/>
        <w:ind w:left="567" w:hanging="567"/>
        <w:jc w:val="both"/>
        <w:rPr>
          <w:rFonts w:ascii="Times New Roman" w:hAnsi="Times New Roman" w:cs="Times New Roman"/>
          <w:bCs/>
          <w:color w:val="212121"/>
          <w:shd w:val="clear" w:color="auto" w:fill="FFFFFF"/>
        </w:rPr>
      </w:pPr>
      <w:r w:rsidRPr="00CF603F">
        <w:rPr>
          <w:rFonts w:ascii="Times New Roman" w:hAnsi="Times New Roman" w:cs="Times New Roman"/>
          <w:bCs/>
          <w:color w:val="212121"/>
          <w:highlight w:val="yellow"/>
          <w:shd w:val="clear" w:color="auto" w:fill="FFFFFF"/>
        </w:rPr>
        <w:t>Shashikant</w:t>
      </w:r>
      <w:r w:rsidRPr="00CF603F">
        <w:rPr>
          <w:rFonts w:ascii="Times New Roman" w:hAnsi="Times New Roman" w:cs="Times New Roman"/>
          <w:bCs/>
          <w:color w:val="212121"/>
          <w:highlight w:val="yellow"/>
          <w:shd w:val="clear" w:color="auto" w:fill="FFFFFF"/>
        </w:rPr>
        <w:t xml:space="preserve">., </w:t>
      </w:r>
      <w:r w:rsidRPr="00CF603F">
        <w:rPr>
          <w:rFonts w:ascii="Times New Roman" w:hAnsi="Times New Roman" w:cs="Times New Roman"/>
          <w:bCs/>
          <w:color w:val="212121"/>
          <w:highlight w:val="yellow"/>
          <w:shd w:val="clear" w:color="auto" w:fill="FFFFFF"/>
        </w:rPr>
        <w:t xml:space="preserve">Singh, C. V., Barwal, R. S., Singh, C. B., Shahi, B. N., &amp; Sarma, O. (2024). Genetic studies on first lactation traits and lifetime milk yield in crossbred cattle. </w:t>
      </w:r>
      <w:r w:rsidRPr="00CF603F">
        <w:rPr>
          <w:rFonts w:ascii="Times New Roman" w:hAnsi="Times New Roman" w:cs="Times New Roman"/>
          <w:bCs/>
          <w:i/>
          <w:iCs/>
          <w:color w:val="212121"/>
          <w:highlight w:val="yellow"/>
          <w:shd w:val="clear" w:color="auto" w:fill="FFFFFF"/>
        </w:rPr>
        <w:t>Journal of Advances in Biology &amp; Biotechnology, 27</w:t>
      </w:r>
      <w:r w:rsidRPr="00CF603F">
        <w:rPr>
          <w:rFonts w:ascii="Times New Roman" w:hAnsi="Times New Roman" w:cs="Times New Roman"/>
          <w:bCs/>
          <w:color w:val="212121"/>
          <w:highlight w:val="yellow"/>
          <w:shd w:val="clear" w:color="auto" w:fill="FFFFFF"/>
        </w:rPr>
        <w:t>(10), 741–748.</w:t>
      </w:r>
    </w:p>
    <w:p w14:paraId="10666AF4" w14:textId="19DDDAB0" w:rsidR="00595F91" w:rsidRDefault="00595F91" w:rsidP="00BA7CCB">
      <w:pPr>
        <w:spacing w:line="240" w:lineRule="auto"/>
        <w:ind w:left="567" w:hanging="567"/>
        <w:jc w:val="both"/>
        <w:rPr>
          <w:rFonts w:ascii="Times New Roman" w:hAnsi="Times New Roman" w:cs="Times New Roman"/>
          <w:bCs/>
          <w:color w:val="212121"/>
          <w:shd w:val="clear" w:color="auto" w:fill="FFFFFF"/>
        </w:rPr>
      </w:pPr>
      <w:r w:rsidRPr="00CF603F">
        <w:rPr>
          <w:rFonts w:ascii="Times New Roman" w:hAnsi="Times New Roman" w:cs="Times New Roman"/>
          <w:bCs/>
          <w:color w:val="212121"/>
          <w:highlight w:val="yellow"/>
          <w:shd w:val="clear" w:color="auto" w:fill="FFFFFF"/>
          <w:lang w:val="es-US"/>
        </w:rPr>
        <w:t xml:space="preserve">El-Qaliouby, H. S., El-Kasrawy, N. I., Abouelghait, H. A., Hegazy, M. M., &amp; Abd El-Aziz, A. H. (2024). </w:t>
      </w:r>
      <w:r w:rsidRPr="00CF603F">
        <w:rPr>
          <w:rFonts w:ascii="Times New Roman" w:hAnsi="Times New Roman" w:cs="Times New Roman"/>
          <w:bCs/>
          <w:color w:val="212121"/>
          <w:highlight w:val="yellow"/>
          <w:shd w:val="clear" w:color="auto" w:fill="FFFFFF"/>
        </w:rPr>
        <w:t>Influence of calving age, parity, and calf gender on lactation metrics, reproductive and economic efficiency parameters in Egyptian buffaloes. </w:t>
      </w:r>
      <w:r w:rsidRPr="00CF603F">
        <w:rPr>
          <w:rFonts w:ascii="Times New Roman" w:hAnsi="Times New Roman" w:cs="Times New Roman"/>
          <w:bCs/>
          <w:i/>
          <w:iCs/>
          <w:color w:val="212121"/>
          <w:highlight w:val="yellow"/>
          <w:shd w:val="clear" w:color="auto" w:fill="FFFFFF"/>
        </w:rPr>
        <w:t>Journal of Advanced Veterinary Research</w:t>
      </w:r>
      <w:r w:rsidRPr="00CF603F">
        <w:rPr>
          <w:rFonts w:ascii="Times New Roman" w:hAnsi="Times New Roman" w:cs="Times New Roman"/>
          <w:bCs/>
          <w:color w:val="212121"/>
          <w:highlight w:val="yellow"/>
          <w:shd w:val="clear" w:color="auto" w:fill="FFFFFF"/>
        </w:rPr>
        <w:t>, </w:t>
      </w:r>
      <w:r w:rsidRPr="00CF603F">
        <w:rPr>
          <w:rFonts w:ascii="Times New Roman" w:hAnsi="Times New Roman" w:cs="Times New Roman"/>
          <w:bCs/>
          <w:i/>
          <w:iCs/>
          <w:color w:val="212121"/>
          <w:highlight w:val="yellow"/>
          <w:shd w:val="clear" w:color="auto" w:fill="FFFFFF"/>
        </w:rPr>
        <w:t>14</w:t>
      </w:r>
      <w:r w:rsidRPr="00CF603F">
        <w:rPr>
          <w:rFonts w:ascii="Times New Roman" w:hAnsi="Times New Roman" w:cs="Times New Roman"/>
          <w:bCs/>
          <w:color w:val="212121"/>
          <w:highlight w:val="yellow"/>
          <w:shd w:val="clear" w:color="auto" w:fill="FFFFFF"/>
        </w:rPr>
        <w:t>(3), 445-449.</w:t>
      </w:r>
    </w:p>
    <w:p w14:paraId="7E0DC3D6" w14:textId="77777777" w:rsidR="00E630FD" w:rsidRDefault="00E630FD" w:rsidP="00BA7CCB">
      <w:pPr>
        <w:spacing w:line="240" w:lineRule="auto"/>
        <w:ind w:left="567" w:hanging="567"/>
        <w:jc w:val="both"/>
        <w:rPr>
          <w:rFonts w:ascii="Times New Roman" w:hAnsi="Times New Roman" w:cs="Times New Roman"/>
          <w:bCs/>
          <w:color w:val="212121"/>
          <w:shd w:val="clear" w:color="auto" w:fill="FFFFFF"/>
        </w:rPr>
      </w:pPr>
    </w:p>
    <w:p w14:paraId="42F3214F" w14:textId="273E876A" w:rsidR="00135F5D" w:rsidRPr="00BA7CCB" w:rsidRDefault="00135F5D" w:rsidP="00BA7CCB">
      <w:pPr>
        <w:spacing w:line="240" w:lineRule="auto"/>
        <w:ind w:left="567" w:hanging="567"/>
        <w:jc w:val="both"/>
        <w:rPr>
          <w:rFonts w:ascii="Times New Roman" w:hAnsi="Times New Roman" w:cs="Times New Roman"/>
          <w:bCs/>
          <w:color w:val="212121"/>
          <w:shd w:val="clear" w:color="auto" w:fill="FFFFFF"/>
        </w:rPr>
      </w:pPr>
      <w:r w:rsidRPr="00BA7CCB">
        <w:rPr>
          <w:rFonts w:ascii="Times New Roman" w:hAnsi="Times New Roman" w:cs="Times New Roman"/>
          <w:bCs/>
          <w:color w:val="212121"/>
          <w:shd w:val="clear" w:color="auto" w:fill="FFFFFF"/>
        </w:rPr>
        <w:tab/>
      </w:r>
    </w:p>
    <w:p w14:paraId="4F3EBAB3" w14:textId="77777777" w:rsidR="007452EF" w:rsidRPr="00BA7CCB" w:rsidRDefault="007452EF" w:rsidP="00BA7CCB">
      <w:pPr>
        <w:spacing w:line="240" w:lineRule="auto"/>
        <w:ind w:left="567" w:hanging="567"/>
        <w:jc w:val="both"/>
        <w:rPr>
          <w:rFonts w:ascii="Times New Roman" w:hAnsi="Times New Roman" w:cs="Times New Roman"/>
          <w:bCs/>
          <w:color w:val="212121"/>
          <w:shd w:val="clear" w:color="auto" w:fill="FFFFFF"/>
        </w:rPr>
      </w:pPr>
    </w:p>
    <w:p w14:paraId="41A0DEBE" w14:textId="77777777" w:rsidR="002675F1" w:rsidRPr="00FE48A0" w:rsidRDefault="002675F1" w:rsidP="00B831D7">
      <w:pPr>
        <w:jc w:val="both"/>
        <w:rPr>
          <w:rFonts w:ascii="Times New Roman" w:hAnsi="Times New Roman" w:cs="Times New Roman"/>
        </w:rPr>
      </w:pPr>
    </w:p>
    <w:sectPr w:rsidR="002675F1" w:rsidRPr="00FE48A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838CA" w14:textId="77777777" w:rsidR="006B35EB" w:rsidRDefault="006B35EB" w:rsidP="009E1EEC">
      <w:pPr>
        <w:spacing w:after="0" w:line="240" w:lineRule="auto"/>
      </w:pPr>
      <w:r>
        <w:separator/>
      </w:r>
    </w:p>
  </w:endnote>
  <w:endnote w:type="continuationSeparator" w:id="0">
    <w:p w14:paraId="37BE4BCC" w14:textId="77777777" w:rsidR="006B35EB" w:rsidRDefault="006B35EB" w:rsidP="009E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5551" w14:textId="77777777" w:rsidR="009E1EEC" w:rsidRDefault="009E1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BC26" w14:textId="77777777" w:rsidR="009E1EEC" w:rsidRDefault="009E1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CBB4" w14:textId="77777777" w:rsidR="009E1EEC" w:rsidRDefault="009E1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D38BB" w14:textId="77777777" w:rsidR="006B35EB" w:rsidRDefault="006B35EB" w:rsidP="009E1EEC">
      <w:pPr>
        <w:spacing w:after="0" w:line="240" w:lineRule="auto"/>
      </w:pPr>
      <w:r>
        <w:separator/>
      </w:r>
    </w:p>
  </w:footnote>
  <w:footnote w:type="continuationSeparator" w:id="0">
    <w:p w14:paraId="0025C02A" w14:textId="77777777" w:rsidR="006B35EB" w:rsidRDefault="006B35EB" w:rsidP="009E1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BCFB" w14:textId="25C95B20" w:rsidR="009E1EEC" w:rsidRDefault="00000000">
    <w:pPr>
      <w:pStyle w:val="Header"/>
    </w:pPr>
    <w:r>
      <w:rPr>
        <w:noProof/>
      </w:rPr>
      <w:pict w14:anchorId="44810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871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8BF4" w14:textId="54F8DE01" w:rsidR="009E1EEC" w:rsidRDefault="00000000">
    <w:pPr>
      <w:pStyle w:val="Header"/>
    </w:pPr>
    <w:r>
      <w:rPr>
        <w:noProof/>
      </w:rPr>
      <w:pict w14:anchorId="23642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871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D846" w14:textId="3534B3E4" w:rsidR="009E1EEC" w:rsidRDefault="00000000">
    <w:pPr>
      <w:pStyle w:val="Header"/>
    </w:pPr>
    <w:r>
      <w:rPr>
        <w:noProof/>
      </w:rPr>
      <w:pict w14:anchorId="08475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871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01555"/>
    <w:multiLevelType w:val="hybridMultilevel"/>
    <w:tmpl w:val="EFF64EFC"/>
    <w:lvl w:ilvl="0" w:tplc="8D9E6004">
      <w:start w:val="1"/>
      <w:numFmt w:val="decimal"/>
      <w:lvlText w:val="%1."/>
      <w:lvlJc w:val="left"/>
      <w:pPr>
        <w:ind w:left="720" w:hanging="360"/>
      </w:pPr>
      <w:rPr>
        <w:rFonts w:ascii="Segoe UI" w:hAnsi="Segoe UI" w:cs="Segoe UI" w:hint="default"/>
        <w:color w:val="2121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9178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MTMxMzQztDQzMjZU0lEKTi0uzszPAykwrAUAmtR5LiwAAAA="/>
  </w:docVars>
  <w:rsids>
    <w:rsidRoot w:val="000F69F4"/>
    <w:rsid w:val="000074FA"/>
    <w:rsid w:val="00012E63"/>
    <w:rsid w:val="00021ED2"/>
    <w:rsid w:val="00052D85"/>
    <w:rsid w:val="0007461D"/>
    <w:rsid w:val="00091045"/>
    <w:rsid w:val="000936D0"/>
    <w:rsid w:val="000A7119"/>
    <w:rsid w:val="000C5A54"/>
    <w:rsid w:val="000E43B8"/>
    <w:rsid w:val="000F69F4"/>
    <w:rsid w:val="00135F5D"/>
    <w:rsid w:val="0014507D"/>
    <w:rsid w:val="00150310"/>
    <w:rsid w:val="00163615"/>
    <w:rsid w:val="001808C8"/>
    <w:rsid w:val="00197BB6"/>
    <w:rsid w:val="001A227D"/>
    <w:rsid w:val="001B29CE"/>
    <w:rsid w:val="001B5E0C"/>
    <w:rsid w:val="002241BE"/>
    <w:rsid w:val="002565DD"/>
    <w:rsid w:val="0026158B"/>
    <w:rsid w:val="002675F1"/>
    <w:rsid w:val="002A2854"/>
    <w:rsid w:val="002B1764"/>
    <w:rsid w:val="00306011"/>
    <w:rsid w:val="0032010B"/>
    <w:rsid w:val="00364F8C"/>
    <w:rsid w:val="00374033"/>
    <w:rsid w:val="00391784"/>
    <w:rsid w:val="003A28CE"/>
    <w:rsid w:val="003D2611"/>
    <w:rsid w:val="004141D4"/>
    <w:rsid w:val="004152F0"/>
    <w:rsid w:val="00424751"/>
    <w:rsid w:val="00430E18"/>
    <w:rsid w:val="004527B4"/>
    <w:rsid w:val="004531E5"/>
    <w:rsid w:val="00453294"/>
    <w:rsid w:val="00475F69"/>
    <w:rsid w:val="00483968"/>
    <w:rsid w:val="00492479"/>
    <w:rsid w:val="004A3AE0"/>
    <w:rsid w:val="004D2BD6"/>
    <w:rsid w:val="004E7F6A"/>
    <w:rsid w:val="004F6FB2"/>
    <w:rsid w:val="00520AB9"/>
    <w:rsid w:val="005315D7"/>
    <w:rsid w:val="00564F2F"/>
    <w:rsid w:val="005857C2"/>
    <w:rsid w:val="0059309D"/>
    <w:rsid w:val="00595F91"/>
    <w:rsid w:val="005B632C"/>
    <w:rsid w:val="005B70FC"/>
    <w:rsid w:val="005C6154"/>
    <w:rsid w:val="005E43C6"/>
    <w:rsid w:val="006327FD"/>
    <w:rsid w:val="00660CB2"/>
    <w:rsid w:val="006677FD"/>
    <w:rsid w:val="006A34EC"/>
    <w:rsid w:val="006A52D5"/>
    <w:rsid w:val="006A53F4"/>
    <w:rsid w:val="006B35EB"/>
    <w:rsid w:val="006C7DCD"/>
    <w:rsid w:val="006E4110"/>
    <w:rsid w:val="00711201"/>
    <w:rsid w:val="00720E76"/>
    <w:rsid w:val="00730D56"/>
    <w:rsid w:val="007368AD"/>
    <w:rsid w:val="00736F52"/>
    <w:rsid w:val="007452EF"/>
    <w:rsid w:val="00761CB4"/>
    <w:rsid w:val="007661A2"/>
    <w:rsid w:val="00785468"/>
    <w:rsid w:val="007A2504"/>
    <w:rsid w:val="007A4B89"/>
    <w:rsid w:val="007A7319"/>
    <w:rsid w:val="007C4303"/>
    <w:rsid w:val="007F7859"/>
    <w:rsid w:val="007F78D9"/>
    <w:rsid w:val="00805530"/>
    <w:rsid w:val="008067B5"/>
    <w:rsid w:val="00873852"/>
    <w:rsid w:val="008769CB"/>
    <w:rsid w:val="00895D7A"/>
    <w:rsid w:val="008F1BEE"/>
    <w:rsid w:val="008F685A"/>
    <w:rsid w:val="00910B67"/>
    <w:rsid w:val="00921B55"/>
    <w:rsid w:val="00936E67"/>
    <w:rsid w:val="00952C6D"/>
    <w:rsid w:val="00966F19"/>
    <w:rsid w:val="00991299"/>
    <w:rsid w:val="009B2926"/>
    <w:rsid w:val="009B50DC"/>
    <w:rsid w:val="009D6FFF"/>
    <w:rsid w:val="009E1EEC"/>
    <w:rsid w:val="009E6536"/>
    <w:rsid w:val="00A33A38"/>
    <w:rsid w:val="00A35DB6"/>
    <w:rsid w:val="00A3638E"/>
    <w:rsid w:val="00A52564"/>
    <w:rsid w:val="00AD64CB"/>
    <w:rsid w:val="00B0116C"/>
    <w:rsid w:val="00B2624D"/>
    <w:rsid w:val="00B273CB"/>
    <w:rsid w:val="00B3269B"/>
    <w:rsid w:val="00B56366"/>
    <w:rsid w:val="00B6748A"/>
    <w:rsid w:val="00B72165"/>
    <w:rsid w:val="00B72413"/>
    <w:rsid w:val="00B831D7"/>
    <w:rsid w:val="00BA7CCB"/>
    <w:rsid w:val="00BB4633"/>
    <w:rsid w:val="00BC52AF"/>
    <w:rsid w:val="00C631B2"/>
    <w:rsid w:val="00C63C09"/>
    <w:rsid w:val="00C6695A"/>
    <w:rsid w:val="00C91839"/>
    <w:rsid w:val="00C93ADF"/>
    <w:rsid w:val="00CA2A6B"/>
    <w:rsid w:val="00CB3653"/>
    <w:rsid w:val="00CF603F"/>
    <w:rsid w:val="00D22F3A"/>
    <w:rsid w:val="00D44163"/>
    <w:rsid w:val="00D53FD1"/>
    <w:rsid w:val="00D54ACC"/>
    <w:rsid w:val="00D6549C"/>
    <w:rsid w:val="00D8422C"/>
    <w:rsid w:val="00DA22C7"/>
    <w:rsid w:val="00DA6A84"/>
    <w:rsid w:val="00DC0E6F"/>
    <w:rsid w:val="00DC15B9"/>
    <w:rsid w:val="00DD4D6F"/>
    <w:rsid w:val="00DE0803"/>
    <w:rsid w:val="00DF4B07"/>
    <w:rsid w:val="00E1233C"/>
    <w:rsid w:val="00E272E0"/>
    <w:rsid w:val="00E36489"/>
    <w:rsid w:val="00E515E8"/>
    <w:rsid w:val="00E5761B"/>
    <w:rsid w:val="00E5776C"/>
    <w:rsid w:val="00E630FD"/>
    <w:rsid w:val="00E8571D"/>
    <w:rsid w:val="00EA1E55"/>
    <w:rsid w:val="00EB5CA5"/>
    <w:rsid w:val="00EC161D"/>
    <w:rsid w:val="00EC3F57"/>
    <w:rsid w:val="00EF1725"/>
    <w:rsid w:val="00F1252D"/>
    <w:rsid w:val="00F47F80"/>
    <w:rsid w:val="00F52AEB"/>
    <w:rsid w:val="00F73413"/>
    <w:rsid w:val="00F73A0E"/>
    <w:rsid w:val="00F81A3A"/>
    <w:rsid w:val="00FC0D3D"/>
    <w:rsid w:val="00FD33BE"/>
    <w:rsid w:val="00FD3742"/>
    <w:rsid w:val="00FE48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A0C44"/>
  <w15:docId w15:val="{87D3560B-4C6F-47C9-9A30-7EC664F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9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69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69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69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9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9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69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69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69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9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9F4"/>
    <w:rPr>
      <w:rFonts w:eastAsiaTheme="majorEastAsia" w:cstheme="majorBidi"/>
      <w:color w:val="272727" w:themeColor="text1" w:themeTint="D8"/>
    </w:rPr>
  </w:style>
  <w:style w:type="paragraph" w:styleId="Title">
    <w:name w:val="Title"/>
    <w:basedOn w:val="Normal"/>
    <w:next w:val="Normal"/>
    <w:link w:val="TitleChar"/>
    <w:uiPriority w:val="10"/>
    <w:qFormat/>
    <w:rsid w:val="000F6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9F4"/>
    <w:pPr>
      <w:spacing w:before="160"/>
      <w:jc w:val="center"/>
    </w:pPr>
    <w:rPr>
      <w:i/>
      <w:iCs/>
      <w:color w:val="404040" w:themeColor="text1" w:themeTint="BF"/>
    </w:rPr>
  </w:style>
  <w:style w:type="character" w:customStyle="1" w:styleId="QuoteChar">
    <w:name w:val="Quote Char"/>
    <w:basedOn w:val="DefaultParagraphFont"/>
    <w:link w:val="Quote"/>
    <w:uiPriority w:val="29"/>
    <w:rsid w:val="000F69F4"/>
    <w:rPr>
      <w:i/>
      <w:iCs/>
      <w:color w:val="404040" w:themeColor="text1" w:themeTint="BF"/>
    </w:rPr>
  </w:style>
  <w:style w:type="paragraph" w:styleId="ListParagraph">
    <w:name w:val="List Paragraph"/>
    <w:basedOn w:val="Normal"/>
    <w:uiPriority w:val="34"/>
    <w:qFormat/>
    <w:rsid w:val="000F69F4"/>
    <w:pPr>
      <w:ind w:left="720"/>
      <w:contextualSpacing/>
    </w:pPr>
  </w:style>
  <w:style w:type="character" w:styleId="IntenseEmphasis">
    <w:name w:val="Intense Emphasis"/>
    <w:basedOn w:val="DefaultParagraphFont"/>
    <w:uiPriority w:val="21"/>
    <w:qFormat/>
    <w:rsid w:val="000F69F4"/>
    <w:rPr>
      <w:i/>
      <w:iCs/>
      <w:color w:val="2F5496" w:themeColor="accent1" w:themeShade="BF"/>
    </w:rPr>
  </w:style>
  <w:style w:type="paragraph" w:styleId="IntenseQuote">
    <w:name w:val="Intense Quote"/>
    <w:basedOn w:val="Normal"/>
    <w:next w:val="Normal"/>
    <w:link w:val="IntenseQuoteChar"/>
    <w:uiPriority w:val="30"/>
    <w:qFormat/>
    <w:rsid w:val="000F6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9F4"/>
    <w:rPr>
      <w:i/>
      <w:iCs/>
      <w:color w:val="2F5496" w:themeColor="accent1" w:themeShade="BF"/>
    </w:rPr>
  </w:style>
  <w:style w:type="character" w:styleId="IntenseReference">
    <w:name w:val="Intense Reference"/>
    <w:basedOn w:val="DefaultParagraphFont"/>
    <w:uiPriority w:val="32"/>
    <w:qFormat/>
    <w:rsid w:val="000F69F4"/>
    <w:rPr>
      <w:b/>
      <w:bCs/>
      <w:smallCaps/>
      <w:color w:val="2F5496" w:themeColor="accent1" w:themeShade="BF"/>
      <w:spacing w:val="5"/>
    </w:rPr>
  </w:style>
  <w:style w:type="character" w:styleId="Hyperlink">
    <w:name w:val="Hyperlink"/>
    <w:basedOn w:val="DefaultParagraphFont"/>
    <w:uiPriority w:val="99"/>
    <w:unhideWhenUsed/>
    <w:rsid w:val="002675F1"/>
    <w:rPr>
      <w:color w:val="0563C1" w:themeColor="hyperlink"/>
      <w:u w:val="single"/>
    </w:rPr>
  </w:style>
  <w:style w:type="paragraph" w:customStyle="1" w:styleId="ds-markdown-paragraph">
    <w:name w:val="ds-markdown-paragraph"/>
    <w:basedOn w:val="Normal"/>
    <w:rsid w:val="002675F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2675F1"/>
    <w:rPr>
      <w:i/>
      <w:iCs/>
    </w:rPr>
  </w:style>
  <w:style w:type="paragraph" w:styleId="BalloonText">
    <w:name w:val="Balloon Text"/>
    <w:basedOn w:val="Normal"/>
    <w:link w:val="BalloonTextChar"/>
    <w:uiPriority w:val="99"/>
    <w:semiHidden/>
    <w:unhideWhenUsed/>
    <w:rsid w:val="00936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E67"/>
    <w:rPr>
      <w:rFonts w:ascii="Tahoma" w:hAnsi="Tahoma" w:cs="Tahoma"/>
      <w:sz w:val="16"/>
      <w:szCs w:val="16"/>
    </w:rPr>
  </w:style>
  <w:style w:type="paragraph" w:styleId="NoSpacing">
    <w:name w:val="No Spacing"/>
    <w:uiPriority w:val="1"/>
    <w:qFormat/>
    <w:rsid w:val="008F1BEE"/>
    <w:pPr>
      <w:spacing w:after="0" w:line="240" w:lineRule="auto"/>
    </w:pPr>
  </w:style>
  <w:style w:type="character" w:styleId="UnresolvedMention">
    <w:name w:val="Unresolved Mention"/>
    <w:basedOn w:val="DefaultParagraphFont"/>
    <w:uiPriority w:val="99"/>
    <w:semiHidden/>
    <w:unhideWhenUsed/>
    <w:rsid w:val="00DA6A84"/>
    <w:rPr>
      <w:color w:val="605E5C"/>
      <w:shd w:val="clear" w:color="auto" w:fill="E1DFDD"/>
    </w:rPr>
  </w:style>
  <w:style w:type="paragraph" w:styleId="Header">
    <w:name w:val="header"/>
    <w:basedOn w:val="Normal"/>
    <w:link w:val="HeaderChar"/>
    <w:uiPriority w:val="99"/>
    <w:unhideWhenUsed/>
    <w:rsid w:val="009E1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EC"/>
  </w:style>
  <w:style w:type="paragraph" w:styleId="Footer">
    <w:name w:val="footer"/>
    <w:basedOn w:val="Normal"/>
    <w:link w:val="FooterChar"/>
    <w:uiPriority w:val="99"/>
    <w:unhideWhenUsed/>
    <w:rsid w:val="009E1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EC"/>
  </w:style>
  <w:style w:type="paragraph" w:styleId="Revision">
    <w:name w:val="Revision"/>
    <w:hidden/>
    <w:uiPriority w:val="99"/>
    <w:semiHidden/>
    <w:rsid w:val="00DA22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4782</Words>
  <Characters>28934</Characters>
  <Application>Microsoft Office Word</Application>
  <DocSecurity>0</DocSecurity>
  <Lines>567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vijayakumar periyasamy</dc:creator>
  <cp:lastModifiedBy>Editor-17</cp:lastModifiedBy>
  <cp:revision>41</cp:revision>
  <cp:lastPrinted>2025-09-17T13:57:00Z</cp:lastPrinted>
  <dcterms:created xsi:type="dcterms:W3CDTF">2025-09-17T13:55:00Z</dcterms:created>
  <dcterms:modified xsi:type="dcterms:W3CDTF">2025-10-18T08:14:00Z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6c983015-456b-47c5-85f5-1357a7f014f0</vt:lpwstr>
  </property>
</Properties>
</file>