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35C5" w14:textId="0B13635E" w:rsidR="005F3383" w:rsidRDefault="00F17DFC" w:rsidP="009C1CCC">
      <w:pPr>
        <w:spacing w:before="240" w:after="120" w:line="360" w:lineRule="auto"/>
        <w:jc w:val="both"/>
        <w:rPr>
          <w:rFonts w:ascii="Times New Roman" w:hAnsi="Times New Roman" w:cs="Times New Roman"/>
          <w:b/>
          <w:sz w:val="24"/>
        </w:rPr>
      </w:pPr>
      <w:bookmarkStart w:id="0" w:name="_GoBack"/>
      <w:bookmarkEnd w:id="0"/>
      <w:r w:rsidRPr="00F17DFC">
        <w:rPr>
          <w:rFonts w:ascii="Times New Roman" w:hAnsi="Times New Roman" w:cs="Times New Roman"/>
          <w:b/>
          <w:sz w:val="24"/>
        </w:rPr>
        <w:t>Variation in nutritional and biochemical parameters</w:t>
      </w:r>
      <w:r>
        <w:rPr>
          <w:rFonts w:ascii="Times New Roman" w:hAnsi="Times New Roman" w:cs="Times New Roman"/>
          <w:b/>
          <w:sz w:val="24"/>
        </w:rPr>
        <w:t xml:space="preserve"> </w:t>
      </w:r>
      <w:r w:rsidRPr="00F17DFC">
        <w:rPr>
          <w:rFonts w:ascii="Times New Roman" w:hAnsi="Times New Roman" w:cs="Times New Roman"/>
          <w:b/>
          <w:sz w:val="24"/>
        </w:rPr>
        <w:t>and interrelationships with seed yield in Desi chickpea (</w:t>
      </w:r>
      <w:proofErr w:type="spellStart"/>
      <w:r w:rsidRPr="00F17DFC">
        <w:rPr>
          <w:rFonts w:ascii="Times New Roman" w:hAnsi="Times New Roman" w:cs="Times New Roman"/>
          <w:b/>
          <w:sz w:val="24"/>
        </w:rPr>
        <w:t>Cicer</w:t>
      </w:r>
      <w:proofErr w:type="spellEnd"/>
      <w:r w:rsidRPr="00F17DFC">
        <w:rPr>
          <w:rFonts w:ascii="Times New Roman" w:hAnsi="Times New Roman" w:cs="Times New Roman"/>
          <w:b/>
          <w:sz w:val="24"/>
        </w:rPr>
        <w:t xml:space="preserve"> arietinum L.) genotypes</w:t>
      </w:r>
    </w:p>
    <w:p w14:paraId="7C176700" w14:textId="30220A2D" w:rsidR="001F210C" w:rsidRDefault="001F210C" w:rsidP="009C1CCC">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AE3D405" w14:textId="77777777" w:rsidR="00656113" w:rsidRDefault="00AE35AA" w:rsidP="009C1CCC">
      <w:pPr>
        <w:spacing w:before="120" w:after="120" w:line="360" w:lineRule="auto"/>
        <w:jc w:val="both"/>
        <w:rPr>
          <w:rFonts w:ascii="Times New Roman" w:hAnsi="Times New Roman" w:cs="Times New Roman"/>
          <w:sz w:val="24"/>
        </w:rPr>
      </w:pPr>
      <w:r w:rsidRPr="00AE35AA">
        <w:rPr>
          <w:rFonts w:ascii="Times New Roman" w:hAnsi="Times New Roman" w:cs="Times New Roman"/>
          <w:sz w:val="24"/>
        </w:rPr>
        <w:t xml:space="preserve">Chickpea a </w:t>
      </w:r>
      <w:r w:rsidR="004C0DC3" w:rsidRPr="00AE35AA">
        <w:rPr>
          <w:rFonts w:ascii="Times New Roman" w:hAnsi="Times New Roman" w:cs="Times New Roman"/>
          <w:sz w:val="24"/>
        </w:rPr>
        <w:t>key</w:t>
      </w:r>
      <w:r w:rsidRPr="00AE35AA">
        <w:rPr>
          <w:rFonts w:ascii="Times New Roman" w:hAnsi="Times New Roman" w:cs="Times New Roman"/>
          <w:sz w:val="24"/>
        </w:rPr>
        <w:t xml:space="preserve"> legume crop extensively </w:t>
      </w:r>
      <w:r w:rsidR="004C0DC3">
        <w:rPr>
          <w:rFonts w:ascii="Times New Roman" w:hAnsi="Times New Roman" w:cs="Times New Roman"/>
          <w:sz w:val="24"/>
        </w:rPr>
        <w:t>cultivated</w:t>
      </w:r>
      <w:r w:rsidRPr="00AE35AA">
        <w:rPr>
          <w:rFonts w:ascii="Times New Roman" w:hAnsi="Times New Roman" w:cs="Times New Roman"/>
          <w:sz w:val="24"/>
        </w:rPr>
        <w:t xml:space="preserve"> in semi-arid and arid regions, plays a crucial role in global food and nutritional security, with India contributing nearly 70% of its </w:t>
      </w:r>
      <w:r w:rsidR="004B6F99">
        <w:rPr>
          <w:rFonts w:ascii="Times New Roman" w:hAnsi="Times New Roman" w:cs="Times New Roman"/>
          <w:sz w:val="24"/>
        </w:rPr>
        <w:t xml:space="preserve">traits </w:t>
      </w:r>
      <w:r w:rsidRPr="00AE35AA">
        <w:rPr>
          <w:rFonts w:ascii="Times New Roman" w:hAnsi="Times New Roman" w:cs="Times New Roman"/>
          <w:sz w:val="24"/>
        </w:rPr>
        <w:t xml:space="preserve">production. This </w:t>
      </w:r>
      <w:r w:rsidR="004C0DC3">
        <w:rPr>
          <w:rFonts w:ascii="Times New Roman" w:hAnsi="Times New Roman" w:cs="Times New Roman"/>
          <w:sz w:val="24"/>
        </w:rPr>
        <w:t>investigation</w:t>
      </w:r>
      <w:r w:rsidRPr="00AE35AA">
        <w:rPr>
          <w:rFonts w:ascii="Times New Roman" w:hAnsi="Times New Roman" w:cs="Times New Roman"/>
          <w:sz w:val="24"/>
        </w:rPr>
        <w:t xml:space="preserve"> aimed to characterize seed yield alongside key biochemical traits</w:t>
      </w:r>
      <w:r w:rsidR="00443005">
        <w:rPr>
          <w:rFonts w:ascii="Times New Roman" w:hAnsi="Times New Roman" w:cs="Times New Roman"/>
          <w:sz w:val="24"/>
        </w:rPr>
        <w:t xml:space="preserve"> </w:t>
      </w:r>
      <w:r w:rsidR="00443005" w:rsidRPr="00443005">
        <w:rPr>
          <w:rFonts w:ascii="Times New Roman" w:hAnsi="Times New Roman" w:cs="Times New Roman"/>
          <w:i/>
          <w:iCs/>
          <w:sz w:val="24"/>
        </w:rPr>
        <w:t>viz</w:t>
      </w:r>
      <w:r w:rsidR="00443005">
        <w:rPr>
          <w:rFonts w:ascii="Times New Roman" w:hAnsi="Times New Roman" w:cs="Times New Roman"/>
          <w:sz w:val="24"/>
        </w:rPr>
        <w:t xml:space="preserve">., </w:t>
      </w:r>
      <w:r w:rsidRPr="00AE35AA">
        <w:rPr>
          <w:rFonts w:ascii="Times New Roman" w:hAnsi="Times New Roman" w:cs="Times New Roman"/>
          <w:sz w:val="24"/>
        </w:rPr>
        <w:t>protein, proline, DPPH-based an</w:t>
      </w:r>
      <w:r w:rsidR="00200AC9">
        <w:rPr>
          <w:rFonts w:ascii="Times New Roman" w:hAnsi="Times New Roman" w:cs="Times New Roman"/>
          <w:sz w:val="24"/>
        </w:rPr>
        <w:t>tioxidant activity, total sugar</w:t>
      </w:r>
      <w:r w:rsidR="009B0009">
        <w:rPr>
          <w:rFonts w:ascii="Times New Roman" w:hAnsi="Times New Roman" w:cs="Times New Roman"/>
          <w:sz w:val="24"/>
        </w:rPr>
        <w:t xml:space="preserve"> and total phenol content</w:t>
      </w:r>
      <w:r w:rsidR="00443005">
        <w:rPr>
          <w:rFonts w:ascii="Times New Roman" w:hAnsi="Times New Roman" w:cs="Times New Roman"/>
          <w:sz w:val="24"/>
        </w:rPr>
        <w:t xml:space="preserve"> </w:t>
      </w:r>
      <w:r w:rsidR="009B0009">
        <w:rPr>
          <w:rFonts w:ascii="Times New Roman" w:hAnsi="Times New Roman" w:cs="Times New Roman"/>
          <w:sz w:val="24"/>
        </w:rPr>
        <w:t>in 69</w:t>
      </w:r>
      <w:r w:rsidRPr="00AE35AA">
        <w:rPr>
          <w:rFonts w:ascii="Times New Roman" w:hAnsi="Times New Roman" w:cs="Times New Roman"/>
          <w:sz w:val="24"/>
        </w:rPr>
        <w:t xml:space="preserve"> diverse chickpea genotypes. The genotypes exhibited substantial variability</w:t>
      </w:r>
      <w:r w:rsidR="00CD7558">
        <w:rPr>
          <w:rFonts w:ascii="Times New Roman" w:hAnsi="Times New Roman" w:cs="Times New Roman"/>
          <w:sz w:val="24"/>
        </w:rPr>
        <w:t xml:space="preserve"> in different</w:t>
      </w:r>
      <w:r w:rsidRPr="00AE35AA">
        <w:rPr>
          <w:rFonts w:ascii="Times New Roman" w:hAnsi="Times New Roman" w:cs="Times New Roman"/>
          <w:sz w:val="24"/>
        </w:rPr>
        <w:t xml:space="preserve"> </w:t>
      </w:r>
      <w:r w:rsidR="00CD7558">
        <w:rPr>
          <w:rFonts w:ascii="Times New Roman" w:hAnsi="Times New Roman" w:cs="Times New Roman"/>
          <w:sz w:val="24"/>
        </w:rPr>
        <w:t xml:space="preserve">biochemical parameters. </w:t>
      </w:r>
      <w:r w:rsidR="00CD7558" w:rsidRPr="00AE35AA">
        <w:rPr>
          <w:rFonts w:ascii="Times New Roman" w:hAnsi="Times New Roman" w:cs="Times New Roman"/>
          <w:sz w:val="24"/>
        </w:rPr>
        <w:t>P</w:t>
      </w:r>
      <w:r w:rsidRPr="00AE35AA">
        <w:rPr>
          <w:rFonts w:ascii="Times New Roman" w:hAnsi="Times New Roman" w:cs="Times New Roman"/>
          <w:sz w:val="24"/>
        </w:rPr>
        <w:t>rotein content ranged from 16.00% to 20.85%, proline 1.52–2.94 µmol/g, antioxidant activity 29.00–50.65%</w:t>
      </w:r>
      <w:r w:rsidR="00985985">
        <w:rPr>
          <w:rFonts w:ascii="Times New Roman" w:hAnsi="Times New Roman" w:cs="Times New Roman"/>
          <w:sz w:val="24"/>
        </w:rPr>
        <w:t>, total sugars 51.20–72.50 mg/g</w:t>
      </w:r>
      <w:r w:rsidRPr="00AE35AA">
        <w:rPr>
          <w:rFonts w:ascii="Times New Roman" w:hAnsi="Times New Roman" w:cs="Times New Roman"/>
          <w:sz w:val="24"/>
        </w:rPr>
        <w:t xml:space="preserve"> and phenols 0.92–2.30 mg/g. </w:t>
      </w:r>
      <w:r w:rsidR="00CD7558" w:rsidRPr="00AE35AA">
        <w:rPr>
          <w:rFonts w:ascii="Times New Roman" w:hAnsi="Times New Roman" w:cs="Times New Roman"/>
          <w:sz w:val="24"/>
        </w:rPr>
        <w:t>Remarkably</w:t>
      </w:r>
      <w:r w:rsidRPr="00AE35AA">
        <w:rPr>
          <w:rFonts w:ascii="Times New Roman" w:hAnsi="Times New Roman" w:cs="Times New Roman"/>
          <w:sz w:val="24"/>
        </w:rPr>
        <w:t xml:space="preserve">, seed yield </w:t>
      </w:r>
      <w:r w:rsidR="00CD7558">
        <w:rPr>
          <w:rFonts w:ascii="Times New Roman" w:hAnsi="Times New Roman" w:cs="Times New Roman"/>
          <w:sz w:val="24"/>
        </w:rPr>
        <w:t>displayed</w:t>
      </w:r>
      <w:r w:rsidRPr="00AE35AA">
        <w:rPr>
          <w:rFonts w:ascii="Times New Roman" w:hAnsi="Times New Roman" w:cs="Times New Roman"/>
          <w:sz w:val="24"/>
        </w:rPr>
        <w:t xml:space="preserve"> a significant positive correlation with antio</w:t>
      </w:r>
      <w:r w:rsidR="00200AC9">
        <w:rPr>
          <w:rFonts w:ascii="Times New Roman" w:hAnsi="Times New Roman" w:cs="Times New Roman"/>
          <w:sz w:val="24"/>
        </w:rPr>
        <w:t>xidant activity (r = 0.2566</w:t>
      </w:r>
      <w:r w:rsidRPr="00AE35AA">
        <w:rPr>
          <w:rFonts w:ascii="Times New Roman" w:hAnsi="Times New Roman" w:cs="Times New Roman"/>
          <w:sz w:val="24"/>
        </w:rPr>
        <w:t>), suggesting a role of oxidative stress mitigation in sustaining productivity. In contrast, correlatio</w:t>
      </w:r>
      <w:r w:rsidR="00200AC9">
        <w:rPr>
          <w:rFonts w:ascii="Times New Roman" w:hAnsi="Times New Roman" w:cs="Times New Roman"/>
          <w:sz w:val="24"/>
        </w:rPr>
        <w:t>ns with protein, proline, sugar</w:t>
      </w:r>
      <w:r w:rsidRPr="00AE35AA">
        <w:rPr>
          <w:rFonts w:ascii="Times New Roman" w:hAnsi="Times New Roman" w:cs="Times New Roman"/>
          <w:sz w:val="24"/>
        </w:rPr>
        <w:t xml:space="preserve"> and phenol were weak and non-significant. Protein content was negatively correlated with pr</w:t>
      </w:r>
      <w:r w:rsidR="00200AC9">
        <w:rPr>
          <w:rFonts w:ascii="Times New Roman" w:hAnsi="Times New Roman" w:cs="Times New Roman"/>
          <w:sz w:val="24"/>
        </w:rPr>
        <w:t>oline, antioxidant activity</w:t>
      </w:r>
      <w:r w:rsidRPr="00AE35AA">
        <w:rPr>
          <w:rFonts w:ascii="Times New Roman" w:hAnsi="Times New Roman" w:cs="Times New Roman"/>
          <w:sz w:val="24"/>
        </w:rPr>
        <w:t xml:space="preserve"> and phenols, indicating possible metabolic trade-offs, whereas proline and phenol were pos</w:t>
      </w:r>
      <w:r w:rsidR="00200AC9">
        <w:rPr>
          <w:rFonts w:ascii="Times New Roman" w:hAnsi="Times New Roman" w:cs="Times New Roman"/>
          <w:sz w:val="24"/>
        </w:rPr>
        <w:t>itively correlated (r = 0.2552</w:t>
      </w:r>
      <w:r w:rsidRPr="00AE35AA">
        <w:rPr>
          <w:rFonts w:ascii="Times New Roman" w:hAnsi="Times New Roman" w:cs="Times New Roman"/>
          <w:sz w:val="24"/>
        </w:rPr>
        <w:t xml:space="preserve">), reflecting coordinated stress-responsive mechanisms. These findings highlight rich genetic diversity for both nutritional and stress-related biochemical traits within the chickpea </w:t>
      </w:r>
      <w:r w:rsidR="00062537">
        <w:rPr>
          <w:rFonts w:ascii="Times New Roman" w:hAnsi="Times New Roman" w:cs="Times New Roman"/>
          <w:sz w:val="24"/>
        </w:rPr>
        <w:t>genotypes</w:t>
      </w:r>
      <w:r w:rsidRPr="00AE35AA">
        <w:rPr>
          <w:rFonts w:ascii="Times New Roman" w:hAnsi="Times New Roman" w:cs="Times New Roman"/>
          <w:sz w:val="24"/>
        </w:rPr>
        <w:t xml:space="preserve">. </w:t>
      </w:r>
      <w:r w:rsidR="00656113" w:rsidRPr="00656113">
        <w:rPr>
          <w:rFonts w:ascii="Times New Roman" w:hAnsi="Times New Roman" w:cs="Times New Roman"/>
          <w:sz w:val="24"/>
          <w:highlight w:val="yellow"/>
        </w:rPr>
        <w:t>Overall, the findings provide a robust foundation for selecting and combining desirable traits, paving the way for the development of chickpea cultivars that can meet the dual goals of productivity and improved nutritional and functional quality, thereby supporting food security and human health under changing climatic scenarios.</w:t>
      </w:r>
    </w:p>
    <w:p w14:paraId="6B273C69" w14:textId="3064176F" w:rsidR="008A2EDD" w:rsidRDefault="008A2EDD" w:rsidP="009C1CCC">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00200AC9">
        <w:rPr>
          <w:rFonts w:ascii="Times New Roman" w:hAnsi="Times New Roman" w:cs="Times New Roman"/>
          <w:sz w:val="24"/>
        </w:rPr>
        <w:t>A</w:t>
      </w:r>
      <w:r w:rsidR="00200AC9" w:rsidRPr="008A2EDD">
        <w:rPr>
          <w:rFonts w:ascii="Times New Roman" w:hAnsi="Times New Roman" w:cs="Times New Roman"/>
          <w:sz w:val="24"/>
        </w:rPr>
        <w:t xml:space="preserve">ntioxidant activity, </w:t>
      </w:r>
      <w:r w:rsidR="003D0B42">
        <w:rPr>
          <w:rFonts w:ascii="Times New Roman" w:hAnsi="Times New Roman" w:cs="Times New Roman"/>
          <w:sz w:val="24"/>
        </w:rPr>
        <w:t>c</w:t>
      </w:r>
      <w:r w:rsidRPr="008A2EDD">
        <w:rPr>
          <w:rFonts w:ascii="Times New Roman" w:hAnsi="Times New Roman" w:cs="Times New Roman"/>
          <w:sz w:val="24"/>
        </w:rPr>
        <w:t>hickpea (</w:t>
      </w:r>
      <w:r w:rsidRPr="00FB26EE">
        <w:rPr>
          <w:rFonts w:ascii="Times New Roman" w:hAnsi="Times New Roman" w:cs="Times New Roman"/>
          <w:i/>
          <w:sz w:val="24"/>
        </w:rPr>
        <w:t>Cicer arietinum</w:t>
      </w:r>
      <w:r w:rsidRPr="008A2EDD">
        <w:rPr>
          <w:rFonts w:ascii="Times New Roman" w:hAnsi="Times New Roman" w:cs="Times New Roman"/>
          <w:sz w:val="24"/>
        </w:rPr>
        <w:t xml:space="preserve"> L.), </w:t>
      </w:r>
      <w:r w:rsidR="00200AC9">
        <w:rPr>
          <w:rFonts w:ascii="Times New Roman" w:hAnsi="Times New Roman" w:cs="Times New Roman"/>
          <w:sz w:val="24"/>
        </w:rPr>
        <w:t xml:space="preserve">DPPH, </w:t>
      </w:r>
      <w:r w:rsidRPr="008A2EDD">
        <w:rPr>
          <w:rFonts w:ascii="Times New Roman" w:hAnsi="Times New Roman" w:cs="Times New Roman"/>
          <w:sz w:val="24"/>
        </w:rPr>
        <w:t xml:space="preserve">protein content, proline, </w:t>
      </w:r>
      <w:r w:rsidR="00200AC9">
        <w:rPr>
          <w:rFonts w:ascii="Times New Roman" w:hAnsi="Times New Roman" w:cs="Times New Roman"/>
          <w:sz w:val="24"/>
        </w:rPr>
        <w:t>phenolics, total sugars</w:t>
      </w:r>
      <w:r w:rsidR="003D0B42">
        <w:rPr>
          <w:rFonts w:ascii="Times New Roman" w:hAnsi="Times New Roman" w:cs="Times New Roman"/>
          <w:sz w:val="24"/>
        </w:rPr>
        <w:t>.</w:t>
      </w:r>
    </w:p>
    <w:p w14:paraId="5B45813A"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14:paraId="147B7C4B" w14:textId="16F6EADB" w:rsidR="00AE35AA" w:rsidRPr="00AE35AA" w:rsidRDefault="00AE35AA" w:rsidP="009C1CCC">
      <w:pPr>
        <w:spacing w:before="120" w:after="120" w:line="360" w:lineRule="auto"/>
        <w:jc w:val="both"/>
        <w:rPr>
          <w:rFonts w:ascii="Times New Roman" w:hAnsi="Times New Roman" w:cs="Times New Roman"/>
          <w:sz w:val="24"/>
        </w:rPr>
      </w:pPr>
      <w:r w:rsidRPr="00AE35AA">
        <w:rPr>
          <w:rFonts w:ascii="Times New Roman" w:hAnsi="Times New Roman" w:cs="Times New Roman"/>
          <w:i/>
          <w:iCs/>
          <w:sz w:val="24"/>
        </w:rPr>
        <w:t>Cicer arietinum</w:t>
      </w:r>
      <w:r w:rsidRPr="00AE35AA">
        <w:rPr>
          <w:rFonts w:ascii="Times New Roman" w:hAnsi="Times New Roman" w:cs="Times New Roman"/>
          <w:sz w:val="24"/>
        </w:rPr>
        <w:t xml:space="preserve"> L., </w:t>
      </w:r>
      <w:r w:rsidR="0013653F">
        <w:rPr>
          <w:rFonts w:ascii="Times New Roman" w:hAnsi="Times New Roman" w:cs="Times New Roman"/>
          <w:sz w:val="24"/>
        </w:rPr>
        <w:t xml:space="preserve">also known as “Bengal gram”, “Gram” or “Garbanzo bean” is </w:t>
      </w:r>
      <w:r w:rsidRPr="00AE35AA">
        <w:rPr>
          <w:rFonts w:ascii="Times New Roman" w:hAnsi="Times New Roman" w:cs="Times New Roman"/>
          <w:sz w:val="24"/>
        </w:rPr>
        <w:t>an annual diploid legume (2n = 2x = 16) be</w:t>
      </w:r>
      <w:r w:rsidR="0013653F">
        <w:rPr>
          <w:rFonts w:ascii="Times New Roman" w:hAnsi="Times New Roman" w:cs="Times New Roman"/>
          <w:sz w:val="24"/>
        </w:rPr>
        <w:t>longing to the family Fabaceae</w:t>
      </w:r>
      <w:r w:rsidR="004377BA">
        <w:rPr>
          <w:rFonts w:ascii="Times New Roman" w:hAnsi="Times New Roman" w:cs="Times New Roman"/>
          <w:sz w:val="24"/>
        </w:rPr>
        <w:t xml:space="preserve"> (Asati et al., 2022)</w:t>
      </w:r>
      <w:r w:rsidR="0013653F">
        <w:rPr>
          <w:rFonts w:ascii="Times New Roman" w:hAnsi="Times New Roman" w:cs="Times New Roman"/>
          <w:sz w:val="24"/>
        </w:rPr>
        <w:t xml:space="preserve">. It is </w:t>
      </w:r>
      <w:r w:rsidRPr="00AE35AA">
        <w:rPr>
          <w:rFonts w:ascii="Times New Roman" w:hAnsi="Times New Roman" w:cs="Times New Roman"/>
          <w:sz w:val="24"/>
        </w:rPr>
        <w:t xml:space="preserve">the </w:t>
      </w:r>
      <w:r w:rsidR="00FB26EE">
        <w:rPr>
          <w:rFonts w:ascii="Times New Roman" w:hAnsi="Times New Roman" w:cs="Times New Roman"/>
          <w:sz w:val="24"/>
        </w:rPr>
        <w:t>third</w:t>
      </w:r>
      <w:r w:rsidRPr="00AE35AA">
        <w:rPr>
          <w:rFonts w:ascii="Times New Roman" w:hAnsi="Times New Roman" w:cs="Times New Roman"/>
          <w:sz w:val="24"/>
        </w:rPr>
        <w:t xml:space="preserve"> most widely cultivated food legume in the world after </w:t>
      </w:r>
      <w:r w:rsidR="0013653F" w:rsidRPr="0013653F">
        <w:rPr>
          <w:rFonts w:ascii="Times New Roman" w:hAnsi="Times New Roman" w:cs="Times New Roman"/>
          <w:i/>
          <w:sz w:val="24"/>
        </w:rPr>
        <w:t>Phaseolus vulgaris</w:t>
      </w:r>
      <w:r w:rsidR="0013653F">
        <w:rPr>
          <w:rFonts w:ascii="Times New Roman" w:hAnsi="Times New Roman" w:cs="Times New Roman"/>
          <w:sz w:val="24"/>
        </w:rPr>
        <w:t xml:space="preserve"> and </w:t>
      </w:r>
      <w:r w:rsidR="0013653F" w:rsidRPr="0013653F">
        <w:rPr>
          <w:rFonts w:ascii="Times New Roman" w:hAnsi="Times New Roman" w:cs="Times New Roman"/>
          <w:i/>
          <w:sz w:val="24"/>
        </w:rPr>
        <w:t>Pisum sativum</w:t>
      </w:r>
      <w:r w:rsidR="0013653F">
        <w:rPr>
          <w:rFonts w:ascii="Times New Roman" w:hAnsi="Times New Roman" w:cs="Times New Roman"/>
          <w:i/>
          <w:sz w:val="24"/>
        </w:rPr>
        <w:t xml:space="preserve"> </w:t>
      </w:r>
      <w:r w:rsidR="0013653F">
        <w:rPr>
          <w:rFonts w:ascii="Times New Roman" w:hAnsi="Times New Roman" w:cs="Times New Roman"/>
          <w:sz w:val="24"/>
        </w:rPr>
        <w:t>(Koul et al., 2022; Zhang et al., 2024</w:t>
      </w:r>
      <w:r w:rsidR="00C04673">
        <w:rPr>
          <w:rFonts w:ascii="Times New Roman" w:hAnsi="Times New Roman" w:cs="Times New Roman"/>
          <w:sz w:val="24"/>
        </w:rPr>
        <w:t>; Rajpoot et al., 2025</w:t>
      </w:r>
      <w:r w:rsidR="0013653F">
        <w:rPr>
          <w:rFonts w:ascii="Times New Roman" w:hAnsi="Times New Roman" w:cs="Times New Roman"/>
          <w:sz w:val="24"/>
        </w:rPr>
        <w:t>)</w:t>
      </w:r>
      <w:r w:rsidRPr="00AE35AA">
        <w:rPr>
          <w:rFonts w:ascii="Times New Roman" w:hAnsi="Times New Roman" w:cs="Times New Roman"/>
          <w:sz w:val="24"/>
        </w:rPr>
        <w:t xml:space="preserve">. Originating in the Fertile Crescent, </w:t>
      </w:r>
      <w:r w:rsidR="004377BA">
        <w:rPr>
          <w:rFonts w:ascii="Times New Roman" w:hAnsi="Times New Roman" w:cs="Times New Roman"/>
          <w:sz w:val="24"/>
        </w:rPr>
        <w:t xml:space="preserve">it </w:t>
      </w:r>
      <w:r w:rsidRPr="00AE35AA">
        <w:rPr>
          <w:rFonts w:ascii="Times New Roman" w:hAnsi="Times New Roman" w:cs="Times New Roman"/>
          <w:sz w:val="24"/>
        </w:rPr>
        <w:t>has spread across diverse agro-ecological zones and is now predominantly grown in semi-arid and arid regions, notably</w:t>
      </w:r>
      <w:r w:rsidR="00985985">
        <w:rPr>
          <w:rFonts w:ascii="Times New Roman" w:hAnsi="Times New Roman" w:cs="Times New Roman"/>
          <w:sz w:val="24"/>
        </w:rPr>
        <w:t xml:space="preserve"> in South Asia, the Middle East</w:t>
      </w:r>
      <w:r w:rsidRPr="00AE35AA">
        <w:rPr>
          <w:rFonts w:ascii="Times New Roman" w:hAnsi="Times New Roman" w:cs="Times New Roman"/>
          <w:sz w:val="24"/>
        </w:rPr>
        <w:t xml:space="preserve"> and parts of Sub-Saharan Africa and the Mediterranean basin</w:t>
      </w:r>
      <w:r w:rsidR="0013653F">
        <w:rPr>
          <w:rFonts w:ascii="Times New Roman" w:hAnsi="Times New Roman" w:cs="Times New Roman"/>
          <w:sz w:val="24"/>
        </w:rPr>
        <w:t xml:space="preserve"> (Koul et al., 2022; Henderson, 2023</w:t>
      </w:r>
      <w:r w:rsidR="004377BA">
        <w:rPr>
          <w:rFonts w:ascii="Times New Roman" w:hAnsi="Times New Roman" w:cs="Times New Roman"/>
          <w:sz w:val="24"/>
        </w:rPr>
        <w:t>; Yadav et al., 2025</w:t>
      </w:r>
      <w:r w:rsidR="0013653F">
        <w:rPr>
          <w:rFonts w:ascii="Times New Roman" w:hAnsi="Times New Roman" w:cs="Times New Roman"/>
          <w:sz w:val="24"/>
        </w:rPr>
        <w:t>)</w:t>
      </w:r>
      <w:r w:rsidRPr="00AE35AA">
        <w:rPr>
          <w:rFonts w:ascii="Times New Roman" w:hAnsi="Times New Roman" w:cs="Times New Roman"/>
          <w:sz w:val="24"/>
        </w:rPr>
        <w:t xml:space="preserve">. </w:t>
      </w:r>
      <w:r w:rsidRPr="00AE35AA">
        <w:rPr>
          <w:rFonts w:ascii="Times New Roman" w:hAnsi="Times New Roman" w:cs="Times New Roman"/>
          <w:sz w:val="24"/>
        </w:rPr>
        <w:lastRenderedPageBreak/>
        <w:t>India alone accounts for approximately 70% of global chickpea production, underscoring its critical role in food security and rural livelihoods</w:t>
      </w:r>
      <w:r w:rsidR="0013653F">
        <w:rPr>
          <w:rFonts w:ascii="Times New Roman" w:hAnsi="Times New Roman" w:cs="Times New Roman"/>
          <w:sz w:val="24"/>
        </w:rPr>
        <w:t xml:space="preserve"> (Sharma et al., 2020</w:t>
      </w:r>
      <w:r w:rsidR="003B6929">
        <w:rPr>
          <w:rFonts w:ascii="Times New Roman" w:hAnsi="Times New Roman" w:cs="Times New Roman"/>
          <w:sz w:val="24"/>
        </w:rPr>
        <w:t>; Asati et al., 2023a; Ningwal et al., 2023a</w:t>
      </w:r>
      <w:r w:rsidR="0013653F">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 xml:space="preserve">Nutritionally, chickpea is often regarded as a “poor man’s meat” due to its high protein </w:t>
      </w:r>
      <w:r w:rsidR="004F4875">
        <w:rPr>
          <w:rFonts w:ascii="Times New Roman" w:hAnsi="Times New Roman" w:cs="Times New Roman"/>
          <w:sz w:val="24"/>
        </w:rPr>
        <w:t>content, which ranges between 18–22</w:t>
      </w:r>
      <w:r w:rsidRPr="00AE35AA">
        <w:rPr>
          <w:rFonts w:ascii="Times New Roman" w:hAnsi="Times New Roman" w:cs="Times New Roman"/>
          <w:sz w:val="24"/>
        </w:rPr>
        <w:t>%, coupled with significant amounts of carbohy</w:t>
      </w:r>
      <w:r w:rsidR="00985985">
        <w:rPr>
          <w:rFonts w:ascii="Times New Roman" w:hAnsi="Times New Roman" w:cs="Times New Roman"/>
          <w:sz w:val="24"/>
        </w:rPr>
        <w:t xml:space="preserve">drates, dietary </w:t>
      </w:r>
      <w:r w:rsidR="00C0013A">
        <w:rPr>
          <w:rFonts w:ascii="Times New Roman" w:hAnsi="Times New Roman" w:cs="Times New Roman"/>
          <w:sz w:val="24"/>
        </w:rPr>
        <w:t>fibre</w:t>
      </w:r>
      <w:r w:rsidR="00985985">
        <w:rPr>
          <w:rFonts w:ascii="Times New Roman" w:hAnsi="Times New Roman" w:cs="Times New Roman"/>
          <w:sz w:val="24"/>
        </w:rPr>
        <w:t>, vitamins</w:t>
      </w:r>
      <w:r w:rsidRPr="00AE35AA">
        <w:rPr>
          <w:rFonts w:ascii="Times New Roman" w:hAnsi="Times New Roman" w:cs="Times New Roman"/>
          <w:sz w:val="24"/>
        </w:rPr>
        <w:t xml:space="preserve"> and essent</w:t>
      </w:r>
      <w:r w:rsidR="00985985">
        <w:rPr>
          <w:rFonts w:ascii="Times New Roman" w:hAnsi="Times New Roman" w:cs="Times New Roman"/>
          <w:sz w:val="24"/>
        </w:rPr>
        <w:t>ial minerals such as iron, zinc</w:t>
      </w:r>
      <w:r w:rsidRPr="00AE35AA">
        <w:rPr>
          <w:rFonts w:ascii="Times New Roman" w:hAnsi="Times New Roman" w:cs="Times New Roman"/>
          <w:sz w:val="24"/>
        </w:rPr>
        <w:t xml:space="preserve"> and magnesium</w:t>
      </w:r>
      <w:r w:rsidR="004F4875">
        <w:rPr>
          <w:rFonts w:ascii="Times New Roman" w:hAnsi="Times New Roman" w:cs="Times New Roman"/>
          <w:sz w:val="24"/>
        </w:rPr>
        <w:t xml:space="preserve"> (</w:t>
      </w:r>
      <w:r w:rsidR="00B119EF">
        <w:rPr>
          <w:rFonts w:ascii="Times New Roman" w:hAnsi="Times New Roman" w:cs="Times New Roman"/>
          <w:sz w:val="24"/>
        </w:rPr>
        <w:t>S</w:t>
      </w:r>
      <w:r w:rsidR="003B6929">
        <w:rPr>
          <w:rFonts w:ascii="Times New Roman" w:hAnsi="Times New Roman" w:cs="Times New Roman"/>
          <w:sz w:val="24"/>
        </w:rPr>
        <w:t xml:space="preserve">ahu et al., 2020; </w:t>
      </w:r>
      <w:r w:rsidR="00A97427">
        <w:rPr>
          <w:rFonts w:ascii="Times New Roman" w:hAnsi="Times New Roman" w:cs="Times New Roman"/>
          <w:sz w:val="24"/>
        </w:rPr>
        <w:t xml:space="preserve">Gupta et al., 2021; </w:t>
      </w:r>
      <w:r w:rsidR="004F4875">
        <w:rPr>
          <w:rFonts w:ascii="Times New Roman" w:hAnsi="Times New Roman" w:cs="Times New Roman"/>
          <w:sz w:val="24"/>
        </w:rPr>
        <w:t>Patil et al., 2024; Jha et al., 2024)</w:t>
      </w:r>
      <w:r w:rsidR="004F4875" w:rsidRPr="002A748C">
        <w:rPr>
          <w:rFonts w:ascii="Times New Roman" w:hAnsi="Times New Roman" w:cs="Times New Roman"/>
          <w:sz w:val="24"/>
        </w:rPr>
        <w:t>.</w:t>
      </w:r>
      <w:r w:rsidRPr="00AE35AA">
        <w:rPr>
          <w:rFonts w:ascii="Times New Roman" w:hAnsi="Times New Roman" w:cs="Times New Roman"/>
          <w:sz w:val="24"/>
        </w:rPr>
        <w:t xml:space="preserve"> Beyond macronutrients, chickpea seeds are rich in bioactive compounds including phenolics and flavonoids, which contribute antioxidant properties that support human health by reducing the risk of chronic diseases</w:t>
      </w:r>
      <w:r w:rsidR="004F4875">
        <w:rPr>
          <w:rFonts w:ascii="Times New Roman" w:hAnsi="Times New Roman" w:cs="Times New Roman"/>
          <w:sz w:val="24"/>
        </w:rPr>
        <w:t xml:space="preserve"> (Begum et al., 2023</w:t>
      </w:r>
      <w:r w:rsidR="001039A8">
        <w:rPr>
          <w:rFonts w:ascii="Times New Roman" w:hAnsi="Times New Roman" w:cs="Times New Roman"/>
          <w:sz w:val="24"/>
        </w:rPr>
        <w:t xml:space="preserve">; Sistu et al., 2023; </w:t>
      </w:r>
      <w:r w:rsidR="00213157">
        <w:rPr>
          <w:rFonts w:ascii="Times New Roman" w:hAnsi="Times New Roman" w:cs="Times New Roman"/>
          <w:sz w:val="24"/>
        </w:rPr>
        <w:t>Asati et al., 2024</w:t>
      </w:r>
      <w:r w:rsidR="00843900">
        <w:rPr>
          <w:rFonts w:ascii="Times New Roman" w:hAnsi="Times New Roman" w:cs="Times New Roman"/>
          <w:sz w:val="24"/>
        </w:rPr>
        <w:t>; Rajput et al., 2025a</w:t>
      </w:r>
      <w:r w:rsidR="004F4875">
        <w:rPr>
          <w:rFonts w:ascii="Times New Roman" w:hAnsi="Times New Roman" w:cs="Times New Roman"/>
          <w:sz w:val="24"/>
        </w:rPr>
        <w:t>)</w:t>
      </w:r>
      <w:r w:rsidRPr="00AE35AA">
        <w:rPr>
          <w:rFonts w:ascii="Times New Roman" w:hAnsi="Times New Roman" w:cs="Times New Roman"/>
          <w:sz w:val="24"/>
        </w:rPr>
        <w:t xml:space="preserve">. The seed’s low </w:t>
      </w:r>
      <w:r w:rsidR="00C0013A" w:rsidRPr="00AE35AA">
        <w:rPr>
          <w:rFonts w:ascii="Times New Roman" w:hAnsi="Times New Roman" w:cs="Times New Roman"/>
          <w:sz w:val="24"/>
        </w:rPr>
        <w:t>glycaemic</w:t>
      </w:r>
      <w:r w:rsidRPr="00AE35AA">
        <w:rPr>
          <w:rFonts w:ascii="Times New Roman" w:hAnsi="Times New Roman" w:cs="Times New Roman"/>
          <w:sz w:val="24"/>
        </w:rPr>
        <w:t xml:space="preserve"> index also makes it particularly suitable for diabetic diets</w:t>
      </w:r>
      <w:r w:rsidR="00B43946">
        <w:rPr>
          <w:rFonts w:ascii="Times New Roman" w:hAnsi="Times New Roman" w:cs="Times New Roman"/>
          <w:sz w:val="24"/>
        </w:rPr>
        <w:t xml:space="preserve"> (Nam et al., 2023</w:t>
      </w:r>
      <w:r w:rsidR="00843900">
        <w:rPr>
          <w:rFonts w:ascii="Times New Roman" w:hAnsi="Times New Roman" w:cs="Times New Roman"/>
          <w:sz w:val="24"/>
        </w:rPr>
        <w:t>; Rajput et al., 2023a</w:t>
      </w:r>
      <w:r w:rsidR="007915EF">
        <w:rPr>
          <w:rFonts w:ascii="Times New Roman" w:hAnsi="Times New Roman" w:cs="Times New Roman"/>
          <w:sz w:val="24"/>
        </w:rPr>
        <w:t xml:space="preserve">; Yadav et </w:t>
      </w:r>
      <w:r w:rsidR="00F63BE9">
        <w:rPr>
          <w:rFonts w:ascii="Times New Roman" w:hAnsi="Times New Roman" w:cs="Times New Roman"/>
          <w:sz w:val="24"/>
        </w:rPr>
        <w:t>al. 2024a</w:t>
      </w:r>
      <w:r w:rsidR="00B43946">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Physiologically, chickpea is valued for its inherent resilience</w:t>
      </w:r>
      <w:r w:rsidR="00F63BE9">
        <w:rPr>
          <w:rFonts w:ascii="Times New Roman" w:hAnsi="Times New Roman" w:cs="Times New Roman"/>
          <w:sz w:val="24"/>
        </w:rPr>
        <w:t xml:space="preserve"> (Asati et al., 2023</w:t>
      </w:r>
      <w:r w:rsidR="009108AD">
        <w:rPr>
          <w:rFonts w:ascii="Times New Roman" w:hAnsi="Times New Roman" w:cs="Times New Roman"/>
          <w:sz w:val="24"/>
        </w:rPr>
        <w:t>b; Rajput et al., 2023a; Tiwari et al., 2023a</w:t>
      </w:r>
      <w:r w:rsidR="00F63BE9">
        <w:rPr>
          <w:rFonts w:ascii="Times New Roman" w:hAnsi="Times New Roman" w:cs="Times New Roman"/>
          <w:sz w:val="24"/>
        </w:rPr>
        <w:t>)</w:t>
      </w:r>
      <w:r w:rsidRPr="00AE35AA">
        <w:rPr>
          <w:rFonts w:ascii="Times New Roman" w:hAnsi="Times New Roman" w:cs="Times New Roman"/>
          <w:sz w:val="24"/>
        </w:rPr>
        <w:t>. Its deep root system enables it to extract moisture from lower soil profiles, providing a degree of drought tolerance</w:t>
      </w:r>
      <w:r w:rsidR="00B43946">
        <w:rPr>
          <w:rFonts w:ascii="Times New Roman" w:hAnsi="Times New Roman" w:cs="Times New Roman"/>
          <w:sz w:val="24"/>
        </w:rPr>
        <w:t xml:space="preserve"> (Muriuki et al., 2020; </w:t>
      </w:r>
      <w:r w:rsidR="009108AD">
        <w:rPr>
          <w:rFonts w:ascii="Times New Roman" w:hAnsi="Times New Roman" w:cs="Times New Roman"/>
          <w:sz w:val="24"/>
        </w:rPr>
        <w:t xml:space="preserve">Rajput et al., 2023b; Tiwari et al., 2023b; </w:t>
      </w:r>
      <w:r w:rsidR="00B43946">
        <w:rPr>
          <w:rFonts w:ascii="Times New Roman" w:hAnsi="Times New Roman" w:cs="Times New Roman"/>
          <w:sz w:val="24"/>
        </w:rPr>
        <w:t>Medeiros et al., 2024)</w:t>
      </w:r>
      <w:r w:rsidRPr="00AE35AA">
        <w:rPr>
          <w:rFonts w:ascii="Times New Roman" w:hAnsi="Times New Roman" w:cs="Times New Roman"/>
          <w:sz w:val="24"/>
        </w:rPr>
        <w:t xml:space="preserve">. Moreover, as a leguminous crop capable of fixing atmospheric nitrogen through symbiosis with </w:t>
      </w:r>
      <w:r w:rsidRPr="00AE35AA">
        <w:rPr>
          <w:rFonts w:ascii="Times New Roman" w:hAnsi="Times New Roman" w:cs="Times New Roman"/>
          <w:i/>
          <w:iCs/>
          <w:sz w:val="24"/>
        </w:rPr>
        <w:t>Rhizobium</w:t>
      </w:r>
      <w:r w:rsidRPr="00AE35AA">
        <w:rPr>
          <w:rFonts w:ascii="Times New Roman" w:hAnsi="Times New Roman" w:cs="Times New Roman"/>
          <w:sz w:val="24"/>
        </w:rPr>
        <w:t xml:space="preserve"> species, chickpea enhances soil fertility and promotes sustainable cropping systems by reducing dependence on synthetic fertilizers</w:t>
      </w:r>
      <w:r w:rsidR="004F4875">
        <w:rPr>
          <w:rFonts w:ascii="Times New Roman" w:hAnsi="Times New Roman" w:cs="Times New Roman"/>
          <w:sz w:val="24"/>
        </w:rPr>
        <w:t xml:space="preserve"> (Korbu et al., 2020;</w:t>
      </w:r>
      <w:r w:rsidR="009108AD">
        <w:rPr>
          <w:rFonts w:ascii="Times New Roman" w:hAnsi="Times New Roman" w:cs="Times New Roman"/>
          <w:sz w:val="24"/>
        </w:rPr>
        <w:t xml:space="preserve"> Tiwari et al., 2023c;</w:t>
      </w:r>
      <w:r w:rsidR="0030680B">
        <w:rPr>
          <w:rFonts w:ascii="Times New Roman" w:hAnsi="Times New Roman" w:cs="Times New Roman"/>
          <w:sz w:val="24"/>
        </w:rPr>
        <w:t xml:space="preserve"> Ningwal et al., 2024;</w:t>
      </w:r>
      <w:r w:rsidR="004F4875">
        <w:rPr>
          <w:rFonts w:ascii="Times New Roman" w:hAnsi="Times New Roman" w:cs="Times New Roman"/>
          <w:sz w:val="24"/>
        </w:rPr>
        <w:t xml:space="preserve"> Mahto et al., 2025)</w:t>
      </w:r>
      <w:r w:rsidRPr="00AE35AA">
        <w:rPr>
          <w:rFonts w:ascii="Times New Roman" w:hAnsi="Times New Roman" w:cs="Times New Roman"/>
          <w:sz w:val="24"/>
        </w:rPr>
        <w:t>.</w:t>
      </w:r>
    </w:p>
    <w:p w14:paraId="605C0423" w14:textId="5759152E" w:rsidR="00AE35AA" w:rsidRPr="00812366" w:rsidRDefault="008D3CC8" w:rsidP="00812366">
      <w:pPr>
        <w:autoSpaceDE w:val="0"/>
        <w:autoSpaceDN w:val="0"/>
        <w:adjustRightInd w:val="0"/>
        <w:spacing w:before="120" w:after="120" w:line="360" w:lineRule="auto"/>
        <w:ind w:firstLine="720"/>
        <w:jc w:val="both"/>
        <w:rPr>
          <w:rFonts w:ascii="Times New Roman" w:hAnsi="Times New Roman" w:cs="Times New Roman"/>
          <w:sz w:val="24"/>
          <w:szCs w:val="24"/>
        </w:rPr>
      </w:pPr>
      <w:r w:rsidRPr="008B3FEB">
        <w:rPr>
          <w:rFonts w:ascii="Times New Roman" w:hAnsi="Times New Roman" w:cs="Times New Roman"/>
          <w:sz w:val="24"/>
          <w:szCs w:val="24"/>
          <w:highlight w:val="yellow"/>
        </w:rPr>
        <w:t xml:space="preserve">The </w:t>
      </w:r>
      <w:r w:rsidR="00AF1A99" w:rsidRPr="008B3FEB">
        <w:rPr>
          <w:rFonts w:ascii="Times New Roman" w:hAnsi="Times New Roman" w:cs="Times New Roman"/>
          <w:sz w:val="24"/>
          <w:szCs w:val="24"/>
          <w:highlight w:val="yellow"/>
        </w:rPr>
        <w:t xml:space="preserve">gaps in </w:t>
      </w:r>
      <w:r w:rsidRPr="008B3FEB">
        <w:rPr>
          <w:rFonts w:ascii="Times New Roman" w:hAnsi="Times New Roman" w:cs="Times New Roman"/>
          <w:sz w:val="24"/>
          <w:szCs w:val="24"/>
          <w:highlight w:val="yellow"/>
        </w:rPr>
        <w:t xml:space="preserve">chickpea </w:t>
      </w:r>
      <w:r w:rsidR="00AF1A99" w:rsidRPr="008B3FEB">
        <w:rPr>
          <w:rFonts w:ascii="Times New Roman" w:hAnsi="Times New Roman" w:cs="Times New Roman"/>
          <w:sz w:val="24"/>
          <w:szCs w:val="24"/>
          <w:highlight w:val="yellow"/>
        </w:rPr>
        <w:t>research are</w:t>
      </w:r>
      <w:r w:rsidRPr="008B3FEB">
        <w:rPr>
          <w:rFonts w:ascii="Times New Roman" w:hAnsi="Times New Roman" w:cs="Times New Roman"/>
          <w:sz w:val="24"/>
          <w:szCs w:val="24"/>
          <w:highlight w:val="yellow"/>
        </w:rPr>
        <w:t xml:space="preserve"> multifaceted</w:t>
      </w:r>
      <w:r w:rsidR="00812366" w:rsidRPr="008B3FEB">
        <w:rPr>
          <w:rFonts w:ascii="Times New Roman" w:hAnsi="Times New Roman" w:cs="Times New Roman"/>
          <w:sz w:val="24"/>
          <w:szCs w:val="24"/>
          <w:highlight w:val="yellow"/>
        </w:rPr>
        <w:t xml:space="preserve"> </w:t>
      </w:r>
      <w:r w:rsidRPr="008B3FEB">
        <w:rPr>
          <w:rFonts w:ascii="Times New Roman" w:hAnsi="Times New Roman" w:cs="Times New Roman"/>
          <w:sz w:val="24"/>
          <w:szCs w:val="24"/>
          <w:highlight w:val="yellow"/>
        </w:rPr>
        <w:t>and varied including</w:t>
      </w:r>
      <w:r w:rsidR="009646C4" w:rsidRPr="008B3FEB">
        <w:rPr>
          <w:rFonts w:ascii="Times New Roman" w:hAnsi="Times New Roman" w:cs="Times New Roman"/>
          <w:sz w:val="24"/>
          <w:szCs w:val="24"/>
          <w:highlight w:val="yellow"/>
        </w:rPr>
        <w:t xml:space="preserve"> </w:t>
      </w:r>
      <w:r w:rsidR="00C7029D" w:rsidRPr="008B3FEB">
        <w:rPr>
          <w:rFonts w:ascii="Times New Roman" w:hAnsi="Times New Roman" w:cs="Times New Roman"/>
          <w:sz w:val="24"/>
          <w:szCs w:val="24"/>
          <w:highlight w:val="yellow"/>
        </w:rPr>
        <w:t>policy, promotion, market competitiveness, mechanization, productivity gaps</w:t>
      </w:r>
      <w:r w:rsidR="00B30595" w:rsidRPr="008B3FEB">
        <w:rPr>
          <w:rFonts w:ascii="Times New Roman" w:hAnsi="Times New Roman" w:cs="Times New Roman"/>
          <w:sz w:val="24"/>
          <w:szCs w:val="24"/>
          <w:highlight w:val="yellow"/>
        </w:rPr>
        <w:t xml:space="preserve">, crop protection and quality </w:t>
      </w:r>
      <w:r w:rsidR="00AF1A99" w:rsidRPr="008B3FEB">
        <w:rPr>
          <w:rFonts w:ascii="Times New Roman" w:hAnsi="Times New Roman" w:cs="Times New Roman"/>
          <w:sz w:val="24"/>
          <w:szCs w:val="24"/>
          <w:highlight w:val="yellow"/>
        </w:rPr>
        <w:t>(Fikre</w:t>
      </w:r>
      <w:r w:rsidR="00812366" w:rsidRPr="008B3FEB">
        <w:rPr>
          <w:rFonts w:ascii="Times New Roman" w:hAnsi="Times New Roman" w:cs="Times New Roman"/>
          <w:sz w:val="24"/>
          <w:szCs w:val="24"/>
          <w:highlight w:val="yellow"/>
        </w:rPr>
        <w:t xml:space="preserve"> et al., 2020</w:t>
      </w:r>
      <w:r w:rsidR="00B30595" w:rsidRPr="008B3FEB">
        <w:rPr>
          <w:rFonts w:ascii="Times New Roman" w:hAnsi="Times New Roman" w:cs="Times New Roman"/>
          <w:sz w:val="24"/>
          <w:szCs w:val="24"/>
          <w:highlight w:val="yellow"/>
        </w:rPr>
        <w:t>)</w:t>
      </w:r>
      <w:r w:rsidR="008B3FEB" w:rsidRPr="008B3FEB">
        <w:rPr>
          <w:rFonts w:ascii="Times New Roman" w:hAnsi="Times New Roman" w:cs="Times New Roman"/>
          <w:sz w:val="24"/>
          <w:szCs w:val="24"/>
          <w:highlight w:val="yellow"/>
        </w:rPr>
        <w:t>.</w:t>
      </w:r>
      <w:r w:rsidR="00C7029D" w:rsidRPr="00812366">
        <w:rPr>
          <w:rFonts w:ascii="Times New Roman" w:hAnsi="Times New Roman" w:cs="Times New Roman"/>
          <w:sz w:val="24"/>
          <w:szCs w:val="24"/>
        </w:rPr>
        <w:t xml:space="preserve"> </w:t>
      </w:r>
      <w:r w:rsidR="00AE35AA" w:rsidRPr="00812366">
        <w:rPr>
          <w:rFonts w:ascii="Times New Roman" w:hAnsi="Times New Roman" w:cs="Times New Roman"/>
          <w:sz w:val="24"/>
          <w:szCs w:val="24"/>
        </w:rPr>
        <w:t>Given its multifaceted importance, breeding efforts in chickpea have traditionally focused on enhancing seed yield and stability under variable environments</w:t>
      </w:r>
      <w:r w:rsidR="00B43946" w:rsidRPr="00812366">
        <w:rPr>
          <w:rFonts w:ascii="Times New Roman" w:hAnsi="Times New Roman" w:cs="Times New Roman"/>
          <w:sz w:val="24"/>
          <w:szCs w:val="24"/>
        </w:rPr>
        <w:t xml:space="preserve"> (Korbu et al., 2020; Jain et al., 2023</w:t>
      </w:r>
      <w:r w:rsidR="000A2D78" w:rsidRPr="00812366">
        <w:rPr>
          <w:rFonts w:ascii="Times New Roman" w:hAnsi="Times New Roman" w:cs="Times New Roman"/>
          <w:sz w:val="24"/>
          <w:szCs w:val="24"/>
        </w:rPr>
        <w:t xml:space="preserve">; </w:t>
      </w:r>
      <w:r w:rsidR="00E30EBF" w:rsidRPr="00812366">
        <w:rPr>
          <w:rFonts w:ascii="Times New Roman" w:eastAsia="Times New Roman" w:hAnsi="Times New Roman" w:cs="Times New Roman"/>
          <w:sz w:val="24"/>
          <w:szCs w:val="24"/>
        </w:rPr>
        <w:t>Mihoariya</w:t>
      </w:r>
      <w:r w:rsidR="000A2D78" w:rsidRPr="00812366">
        <w:rPr>
          <w:rFonts w:ascii="Times New Roman" w:hAnsi="Times New Roman" w:cs="Times New Roman"/>
          <w:sz w:val="24"/>
          <w:szCs w:val="24"/>
        </w:rPr>
        <w:t xml:space="preserve"> et al., 2023;</w:t>
      </w:r>
      <w:r w:rsidR="00735AE0" w:rsidRPr="00812366">
        <w:rPr>
          <w:rFonts w:ascii="Times New Roman" w:hAnsi="Times New Roman" w:cs="Times New Roman"/>
          <w:sz w:val="24"/>
          <w:szCs w:val="24"/>
        </w:rPr>
        <w:t xml:space="preserve"> Ningwal et al., 2023b; Yadav</w:t>
      </w:r>
      <w:r w:rsidR="000A2D78" w:rsidRPr="00812366">
        <w:rPr>
          <w:rFonts w:ascii="Times New Roman" w:hAnsi="Times New Roman" w:cs="Times New Roman"/>
          <w:sz w:val="24"/>
          <w:szCs w:val="24"/>
        </w:rPr>
        <w:t xml:space="preserve"> et al., 2023a</w:t>
      </w:r>
      <w:r w:rsidR="00B43946" w:rsidRPr="00812366">
        <w:rPr>
          <w:rFonts w:ascii="Times New Roman" w:hAnsi="Times New Roman" w:cs="Times New Roman"/>
          <w:sz w:val="24"/>
          <w:szCs w:val="24"/>
        </w:rPr>
        <w:t>)</w:t>
      </w:r>
      <w:r w:rsidR="00AE35AA" w:rsidRPr="00812366">
        <w:rPr>
          <w:rFonts w:ascii="Times New Roman" w:hAnsi="Times New Roman" w:cs="Times New Roman"/>
          <w:sz w:val="24"/>
          <w:szCs w:val="24"/>
        </w:rPr>
        <w:t>. However, with increasing emphasis on nutritional security and climate resilience, there is a growing interest in simultaneously improving quality traits such as protein content, antioxidant capacit</w:t>
      </w:r>
      <w:r w:rsidR="00985985" w:rsidRPr="00812366">
        <w:rPr>
          <w:rFonts w:ascii="Times New Roman" w:hAnsi="Times New Roman" w:cs="Times New Roman"/>
          <w:sz w:val="24"/>
          <w:szCs w:val="24"/>
        </w:rPr>
        <w:t>y, osmoprotectants like proline</w:t>
      </w:r>
      <w:r w:rsidR="00AE35AA" w:rsidRPr="00812366">
        <w:rPr>
          <w:rFonts w:ascii="Times New Roman" w:hAnsi="Times New Roman" w:cs="Times New Roman"/>
          <w:sz w:val="24"/>
          <w:szCs w:val="24"/>
        </w:rPr>
        <w:t xml:space="preserve"> and phenolic compounds that contribute to both human health and plant stress tolerance</w:t>
      </w:r>
      <w:r w:rsidR="000E0DAB" w:rsidRPr="00812366">
        <w:rPr>
          <w:rFonts w:ascii="Times New Roman" w:hAnsi="Times New Roman" w:cs="Times New Roman"/>
          <w:sz w:val="24"/>
          <w:szCs w:val="24"/>
        </w:rPr>
        <w:t xml:space="preserve"> (Mishra et al., 2021; Rana et al., 2023; </w:t>
      </w:r>
      <w:r w:rsidR="00D21376" w:rsidRPr="00812366">
        <w:rPr>
          <w:rFonts w:ascii="Times New Roman" w:hAnsi="Times New Roman" w:cs="Times New Roman"/>
          <w:sz w:val="24"/>
          <w:szCs w:val="24"/>
        </w:rPr>
        <w:t xml:space="preserve">Sharma et al., 2023; </w:t>
      </w:r>
      <w:r w:rsidR="000E0DAB" w:rsidRPr="00812366">
        <w:rPr>
          <w:rFonts w:ascii="Times New Roman" w:hAnsi="Times New Roman" w:cs="Times New Roman"/>
          <w:sz w:val="24"/>
          <w:szCs w:val="24"/>
        </w:rPr>
        <w:t>Paliwal et al., 2024</w:t>
      </w:r>
      <w:r w:rsidR="001B316F" w:rsidRPr="00812366">
        <w:rPr>
          <w:rFonts w:ascii="Times New Roman" w:hAnsi="Times New Roman" w:cs="Times New Roman"/>
          <w:sz w:val="24"/>
          <w:szCs w:val="24"/>
        </w:rPr>
        <w:t>;</w:t>
      </w:r>
      <w:r w:rsidR="001B316F" w:rsidRPr="00812366">
        <w:rPr>
          <w:rFonts w:ascii="Times New Roman" w:hAnsi="Times New Roman" w:cs="Times New Roman"/>
          <w:sz w:val="24"/>
          <w:szCs w:val="24"/>
          <w:shd w:val="clear" w:color="auto" w:fill="FFFFFF"/>
        </w:rPr>
        <w:t xml:space="preserve"> Shrivastav et al., 2024</w:t>
      </w:r>
      <w:r w:rsidR="000E0DAB" w:rsidRPr="00812366">
        <w:rPr>
          <w:rFonts w:ascii="Times New Roman" w:hAnsi="Times New Roman" w:cs="Times New Roman"/>
          <w:sz w:val="24"/>
          <w:szCs w:val="24"/>
        </w:rPr>
        <w:t>)</w:t>
      </w:r>
      <w:r w:rsidR="00AE35AA" w:rsidRPr="00812366">
        <w:rPr>
          <w:rFonts w:ascii="Times New Roman" w:hAnsi="Times New Roman" w:cs="Times New Roman"/>
          <w:sz w:val="24"/>
          <w:szCs w:val="24"/>
        </w:rPr>
        <w:t>. Total sugars are equally significant, influencing not only energy value and taste but also osmotic balance under stress conditions</w:t>
      </w:r>
      <w:r w:rsidR="00C04673" w:rsidRPr="00812366">
        <w:rPr>
          <w:rFonts w:ascii="Times New Roman" w:hAnsi="Times New Roman" w:cs="Times New Roman"/>
          <w:sz w:val="24"/>
          <w:szCs w:val="24"/>
        </w:rPr>
        <w:t xml:space="preserve"> (</w:t>
      </w:r>
      <w:r w:rsidR="001419F5" w:rsidRPr="00812366">
        <w:rPr>
          <w:rFonts w:ascii="Times New Roman" w:hAnsi="Times New Roman" w:cs="Times New Roman"/>
          <w:sz w:val="24"/>
          <w:szCs w:val="24"/>
        </w:rPr>
        <w:t xml:space="preserve">Rathore et al., 2022; </w:t>
      </w:r>
      <w:r w:rsidR="00C04673" w:rsidRPr="00812366">
        <w:rPr>
          <w:rFonts w:ascii="Times New Roman" w:hAnsi="Times New Roman" w:cs="Times New Roman"/>
          <w:sz w:val="24"/>
          <w:szCs w:val="24"/>
        </w:rPr>
        <w:t>Mishra et al., 2024</w:t>
      </w:r>
      <w:r w:rsidR="008625F4" w:rsidRPr="00812366">
        <w:rPr>
          <w:rFonts w:ascii="Times New Roman" w:hAnsi="Times New Roman" w:cs="Times New Roman"/>
          <w:sz w:val="24"/>
          <w:szCs w:val="24"/>
        </w:rPr>
        <w:t>a</w:t>
      </w:r>
      <w:r w:rsidR="00C04673" w:rsidRPr="00812366">
        <w:rPr>
          <w:rFonts w:ascii="Times New Roman" w:hAnsi="Times New Roman" w:cs="Times New Roman"/>
          <w:sz w:val="24"/>
          <w:szCs w:val="24"/>
        </w:rPr>
        <w:t>;</w:t>
      </w:r>
      <w:r w:rsidR="001419F5" w:rsidRPr="00812366">
        <w:rPr>
          <w:rFonts w:ascii="Times New Roman" w:hAnsi="Times New Roman" w:cs="Times New Roman"/>
          <w:sz w:val="24"/>
          <w:szCs w:val="24"/>
          <w:shd w:val="clear" w:color="auto" w:fill="FFFFFF"/>
        </w:rPr>
        <w:t xml:space="preserve"> Pippal et al., 2024;</w:t>
      </w:r>
      <w:r w:rsidR="00C04673" w:rsidRPr="00812366">
        <w:rPr>
          <w:rFonts w:ascii="Times New Roman" w:hAnsi="Times New Roman" w:cs="Times New Roman"/>
          <w:sz w:val="24"/>
          <w:szCs w:val="24"/>
        </w:rPr>
        <w:t xml:space="preserve"> Jhariya et al., 2025; Bisoriya et al., 2025)</w:t>
      </w:r>
      <w:r w:rsidR="00AE35AA" w:rsidRPr="00812366">
        <w:rPr>
          <w:rFonts w:ascii="Times New Roman" w:hAnsi="Times New Roman" w:cs="Times New Roman"/>
          <w:sz w:val="24"/>
          <w:szCs w:val="24"/>
        </w:rPr>
        <w:t>.</w:t>
      </w:r>
    </w:p>
    <w:p w14:paraId="4517AA13" w14:textId="58645185" w:rsidR="00AE35AA" w:rsidRPr="00AE35AA" w:rsidRDefault="00AE35AA" w:rsidP="009C1CCC">
      <w:pPr>
        <w:spacing w:before="120" w:after="120" w:line="360" w:lineRule="auto"/>
        <w:ind w:firstLine="720"/>
        <w:jc w:val="both"/>
        <w:rPr>
          <w:rFonts w:ascii="Times New Roman" w:hAnsi="Times New Roman" w:cs="Times New Roman"/>
          <w:sz w:val="24"/>
        </w:rPr>
      </w:pPr>
      <w:r w:rsidRPr="00AE35AA">
        <w:rPr>
          <w:rFonts w:ascii="Times New Roman" w:hAnsi="Times New Roman" w:cs="Times New Roman"/>
          <w:sz w:val="24"/>
        </w:rPr>
        <w:t xml:space="preserve">Understanding the natural variation in these biochemical constituents and their relationship with yield is thus essential for developing improved chickpea cultivars that can meet the dual goals of productivity and nutritional quality. The present investigation was </w:t>
      </w:r>
      <w:r w:rsidRPr="00AE35AA">
        <w:rPr>
          <w:rFonts w:ascii="Times New Roman" w:hAnsi="Times New Roman" w:cs="Times New Roman"/>
          <w:sz w:val="24"/>
        </w:rPr>
        <w:lastRenderedPageBreak/>
        <w:t xml:space="preserve">therefore undertaken to characterize seed yield along </w:t>
      </w:r>
      <w:r w:rsidR="002E7409">
        <w:rPr>
          <w:rFonts w:ascii="Times New Roman" w:hAnsi="Times New Roman" w:cs="Times New Roman"/>
          <w:sz w:val="24"/>
        </w:rPr>
        <w:t>with key biochemical parameters-</w:t>
      </w:r>
      <w:r w:rsidRPr="00AE35AA">
        <w:rPr>
          <w:rFonts w:ascii="Times New Roman" w:hAnsi="Times New Roman" w:cs="Times New Roman"/>
          <w:sz w:val="24"/>
        </w:rPr>
        <w:t xml:space="preserve">protein, proline, DPPH-based antioxidant activity, total </w:t>
      </w:r>
      <w:r w:rsidR="00985985">
        <w:rPr>
          <w:rFonts w:ascii="Times New Roman" w:hAnsi="Times New Roman" w:cs="Times New Roman"/>
          <w:sz w:val="24"/>
        </w:rPr>
        <w:t>sugar</w:t>
      </w:r>
      <w:r w:rsidR="002E7409">
        <w:rPr>
          <w:rFonts w:ascii="Times New Roman" w:hAnsi="Times New Roman" w:cs="Times New Roman"/>
          <w:sz w:val="24"/>
        </w:rPr>
        <w:t xml:space="preserve"> and total phenol content</w:t>
      </w:r>
      <w:r w:rsidR="0025422A">
        <w:rPr>
          <w:rFonts w:ascii="Times New Roman" w:hAnsi="Times New Roman" w:cs="Times New Roman"/>
          <w:sz w:val="24"/>
        </w:rPr>
        <w:t xml:space="preserve"> </w:t>
      </w:r>
      <w:r w:rsidRPr="00AE35AA">
        <w:rPr>
          <w:rFonts w:ascii="Times New Roman" w:hAnsi="Times New Roman" w:cs="Times New Roman"/>
          <w:sz w:val="24"/>
        </w:rPr>
        <w:t xml:space="preserve">in a diverse set of chickpea genotypes. By analyzing the variability and interrelationships among these traits, </w:t>
      </w:r>
      <w:r w:rsidR="00037C47" w:rsidRPr="00037C47">
        <w:rPr>
          <w:rFonts w:ascii="Times New Roman" w:hAnsi="Times New Roman" w:cs="Times New Roman"/>
          <w:sz w:val="24"/>
          <w:highlight w:val="yellow"/>
        </w:rPr>
        <w:t>present</w:t>
      </w:r>
      <w:r w:rsidR="00037C47">
        <w:rPr>
          <w:rFonts w:ascii="Times New Roman" w:hAnsi="Times New Roman" w:cs="Times New Roman"/>
          <w:sz w:val="24"/>
        </w:rPr>
        <w:t xml:space="preserve"> </w:t>
      </w:r>
      <w:r w:rsidRPr="00AE35AA">
        <w:rPr>
          <w:rFonts w:ascii="Times New Roman" w:hAnsi="Times New Roman" w:cs="Times New Roman"/>
          <w:sz w:val="24"/>
        </w:rPr>
        <w:t>study aims to provide insights that can inform balanced breeding strategies for the development of high-y</w:t>
      </w:r>
      <w:r w:rsidR="00985985">
        <w:rPr>
          <w:rFonts w:ascii="Times New Roman" w:hAnsi="Times New Roman" w:cs="Times New Roman"/>
          <w:sz w:val="24"/>
        </w:rPr>
        <w:t>ielding, nutritionally en</w:t>
      </w:r>
      <w:r w:rsidR="00CC117F">
        <w:rPr>
          <w:rFonts w:ascii="Times New Roman" w:hAnsi="Times New Roman" w:cs="Times New Roman"/>
          <w:sz w:val="24"/>
        </w:rPr>
        <w:t>riched</w:t>
      </w:r>
      <w:r w:rsidRPr="00AE35AA">
        <w:rPr>
          <w:rFonts w:ascii="Times New Roman" w:hAnsi="Times New Roman" w:cs="Times New Roman"/>
          <w:sz w:val="24"/>
        </w:rPr>
        <w:t xml:space="preserve"> and stress-resilient chickpea cultivars.</w:t>
      </w:r>
    </w:p>
    <w:p w14:paraId="37E4824E"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5467B749" w14:textId="01E3D727"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Experimental </w:t>
      </w:r>
      <w:r w:rsidR="00BC7E8B">
        <w:rPr>
          <w:rFonts w:ascii="Times New Roman" w:hAnsi="Times New Roman" w:cs="Times New Roman"/>
          <w:b/>
          <w:sz w:val="24"/>
        </w:rPr>
        <w:t>S</w:t>
      </w:r>
      <w:r>
        <w:rPr>
          <w:rFonts w:ascii="Times New Roman" w:hAnsi="Times New Roman" w:cs="Times New Roman"/>
          <w:b/>
          <w:sz w:val="24"/>
        </w:rPr>
        <w:t>ite</w:t>
      </w:r>
    </w:p>
    <w:p w14:paraId="29EF5A44" w14:textId="5D7C2B36"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experiment was conducted at the Research Farm</w:t>
      </w:r>
      <w:r w:rsidR="007332BE">
        <w:rPr>
          <w:rFonts w:ascii="Times New Roman" w:hAnsi="Times New Roman" w:cs="Times New Roman"/>
          <w:sz w:val="24"/>
        </w:rPr>
        <w:t xml:space="preserve">, </w:t>
      </w:r>
      <w:r w:rsidRPr="004A12EB">
        <w:rPr>
          <w:rFonts w:ascii="Times New Roman" w:hAnsi="Times New Roman" w:cs="Times New Roman"/>
          <w:sz w:val="24"/>
        </w:rPr>
        <w:t>Department of Genetics and Plant Breeding, College of Agriculture, RVSKVV, Gwalior, Madhya Pradesh,</w:t>
      </w:r>
      <w:r w:rsidR="007332BE">
        <w:rPr>
          <w:rFonts w:ascii="Times New Roman" w:hAnsi="Times New Roman" w:cs="Times New Roman"/>
          <w:sz w:val="24"/>
        </w:rPr>
        <w:t xml:space="preserve"> India</w:t>
      </w:r>
      <w:r w:rsidRPr="004A12EB">
        <w:rPr>
          <w:rFonts w:ascii="Times New Roman" w:hAnsi="Times New Roman" w:cs="Times New Roman"/>
          <w:sz w:val="24"/>
        </w:rPr>
        <w:t xml:space="preserve"> located at 22°43′</w:t>
      </w:r>
      <w:r w:rsidR="00985985">
        <w:rPr>
          <w:rFonts w:ascii="Times New Roman" w:hAnsi="Times New Roman" w:cs="Times New Roman"/>
          <w:sz w:val="24"/>
        </w:rPr>
        <w:t xml:space="preserve"> N latitude, 76°54′ E longitude</w:t>
      </w:r>
      <w:r w:rsidRPr="004A12EB">
        <w:rPr>
          <w:rFonts w:ascii="Times New Roman" w:hAnsi="Times New Roman" w:cs="Times New Roman"/>
          <w:sz w:val="24"/>
        </w:rPr>
        <w:t xml:space="preserve"> and 618 m above mean sea level. The site falls under a subtropical, semi-arid climate, marked by hot, dry summers and cold winters. The experimental field had uniform </w:t>
      </w:r>
      <w:r w:rsidR="001F2CFB">
        <w:rPr>
          <w:rFonts w:ascii="Times New Roman" w:hAnsi="Times New Roman" w:cs="Times New Roman"/>
          <w:sz w:val="24"/>
        </w:rPr>
        <w:t xml:space="preserve">in </w:t>
      </w:r>
      <w:r w:rsidRPr="004A12EB">
        <w:rPr>
          <w:rFonts w:ascii="Times New Roman" w:hAnsi="Times New Roman" w:cs="Times New Roman"/>
          <w:sz w:val="24"/>
        </w:rPr>
        <w:t>topography and soil fertility. During the cropping period (November 2022 to April 2023), maximum temperatures ranged from 17.9°C to 41.5°C</w:t>
      </w:r>
      <w:r w:rsidR="00B05923">
        <w:rPr>
          <w:rFonts w:ascii="Times New Roman" w:hAnsi="Times New Roman" w:cs="Times New Roman"/>
          <w:sz w:val="24"/>
        </w:rPr>
        <w:t>,</w:t>
      </w:r>
      <w:r w:rsidRPr="004A12EB">
        <w:rPr>
          <w:rFonts w:ascii="Times New Roman" w:hAnsi="Times New Roman" w:cs="Times New Roman"/>
          <w:sz w:val="24"/>
        </w:rPr>
        <w:t xml:space="preserve"> </w:t>
      </w:r>
      <w:r w:rsidR="00B05923">
        <w:rPr>
          <w:rFonts w:ascii="Times New Roman" w:hAnsi="Times New Roman" w:cs="Times New Roman"/>
          <w:sz w:val="24"/>
        </w:rPr>
        <w:t>while</w:t>
      </w:r>
      <w:r w:rsidRPr="004A12EB">
        <w:rPr>
          <w:rFonts w:ascii="Times New Roman" w:hAnsi="Times New Roman" w:cs="Times New Roman"/>
          <w:sz w:val="24"/>
        </w:rPr>
        <w:t xml:space="preserve"> minimum from 2.8°C to 22.7°C. Relative humidity varied between 52.4% to 95.7% (maximum) and 32.7% to 73.4% (minimum). The total rainfall received was 22.6 mm, </w:t>
      </w:r>
      <w:r w:rsidR="00B05923" w:rsidRPr="004A12EB">
        <w:rPr>
          <w:rFonts w:ascii="Times New Roman" w:hAnsi="Times New Roman" w:cs="Times New Roman"/>
          <w:sz w:val="24"/>
        </w:rPr>
        <w:t>m</w:t>
      </w:r>
      <w:r w:rsidR="00B05923">
        <w:rPr>
          <w:rFonts w:ascii="Times New Roman" w:hAnsi="Times New Roman" w:cs="Times New Roman"/>
          <w:sz w:val="24"/>
        </w:rPr>
        <w:t>ostly</w:t>
      </w:r>
      <w:r w:rsidR="00985985">
        <w:rPr>
          <w:rFonts w:ascii="Times New Roman" w:hAnsi="Times New Roman" w:cs="Times New Roman"/>
          <w:sz w:val="24"/>
        </w:rPr>
        <w:t xml:space="preserve"> confined to the 4</w:t>
      </w:r>
      <w:r w:rsidR="00985985" w:rsidRPr="00B05923">
        <w:rPr>
          <w:rFonts w:ascii="Times New Roman" w:hAnsi="Times New Roman" w:cs="Times New Roman"/>
          <w:sz w:val="24"/>
          <w:vertAlign w:val="superscript"/>
        </w:rPr>
        <w:t>th</w:t>
      </w:r>
      <w:r w:rsidR="00985985">
        <w:rPr>
          <w:rFonts w:ascii="Times New Roman" w:hAnsi="Times New Roman" w:cs="Times New Roman"/>
          <w:sz w:val="24"/>
        </w:rPr>
        <w:t>, 11</w:t>
      </w:r>
      <w:r w:rsidR="00985985" w:rsidRPr="00B05923">
        <w:rPr>
          <w:rFonts w:ascii="Times New Roman" w:hAnsi="Times New Roman" w:cs="Times New Roman"/>
          <w:sz w:val="24"/>
          <w:vertAlign w:val="superscript"/>
        </w:rPr>
        <w:t>th</w:t>
      </w:r>
      <w:r w:rsidRPr="004A12EB">
        <w:rPr>
          <w:rFonts w:ascii="Times New Roman" w:hAnsi="Times New Roman" w:cs="Times New Roman"/>
          <w:sz w:val="24"/>
        </w:rPr>
        <w:t xml:space="preserve"> and 13</w:t>
      </w:r>
      <w:r w:rsidRPr="00B05923">
        <w:rPr>
          <w:rFonts w:ascii="Times New Roman" w:hAnsi="Times New Roman" w:cs="Times New Roman"/>
          <w:sz w:val="24"/>
          <w:vertAlign w:val="superscript"/>
        </w:rPr>
        <w:t>th</w:t>
      </w:r>
      <w:r w:rsidRPr="004A12EB">
        <w:rPr>
          <w:rFonts w:ascii="Times New Roman" w:hAnsi="Times New Roman" w:cs="Times New Roman"/>
          <w:sz w:val="24"/>
        </w:rPr>
        <w:t xml:space="preserve"> standard meteorological weeks, indicating predominantly dry conditions.</w:t>
      </w:r>
    </w:p>
    <w:p w14:paraId="5E66A803" w14:textId="143F6932"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2.2. Experimental </w:t>
      </w:r>
      <w:r w:rsidR="00BC7E8B">
        <w:rPr>
          <w:rFonts w:ascii="Times New Roman" w:hAnsi="Times New Roman" w:cs="Times New Roman"/>
          <w:b/>
          <w:sz w:val="24"/>
        </w:rPr>
        <w:t>D</w:t>
      </w:r>
      <w:r>
        <w:rPr>
          <w:rFonts w:ascii="Times New Roman" w:hAnsi="Times New Roman" w:cs="Times New Roman"/>
          <w:b/>
          <w:sz w:val="24"/>
        </w:rPr>
        <w:t>etails</w:t>
      </w:r>
    </w:p>
    <w:p w14:paraId="2348559B" w14:textId="018E6DCF"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w:t>
      </w:r>
      <w:r w:rsidR="009B0009">
        <w:rPr>
          <w:rFonts w:ascii="Times New Roman" w:hAnsi="Times New Roman" w:cs="Times New Roman"/>
          <w:sz w:val="24"/>
        </w:rPr>
        <w:t>imental material consisted of 69</w:t>
      </w:r>
      <w:r w:rsidRPr="004A12EB">
        <w:rPr>
          <w:rFonts w:ascii="Times New Roman" w:hAnsi="Times New Roman" w:cs="Times New Roman"/>
          <w:sz w:val="24"/>
        </w:rPr>
        <w:t xml:space="preserve"> div</w:t>
      </w:r>
      <w:r>
        <w:rPr>
          <w:rFonts w:ascii="Times New Roman" w:hAnsi="Times New Roman" w:cs="Times New Roman"/>
          <w:sz w:val="24"/>
        </w:rPr>
        <w:t>erse chickpea genotypes</w:t>
      </w:r>
      <w:r w:rsidR="00C641AC">
        <w:rPr>
          <w:rFonts w:ascii="Times New Roman" w:hAnsi="Times New Roman" w:cs="Times New Roman"/>
          <w:sz w:val="24"/>
        </w:rPr>
        <w:t xml:space="preserve"> acquired from different sources</w:t>
      </w:r>
      <w:r>
        <w:rPr>
          <w:rFonts w:ascii="Times New Roman" w:hAnsi="Times New Roman" w:cs="Times New Roman"/>
          <w:sz w:val="24"/>
        </w:rPr>
        <w:t xml:space="preserve"> (Table 1</w:t>
      </w:r>
      <w:r w:rsidRPr="004A12EB">
        <w:rPr>
          <w:rFonts w:ascii="Times New Roman" w:hAnsi="Times New Roman" w:cs="Times New Roman"/>
          <w:sz w:val="24"/>
        </w:rPr>
        <w:t xml:space="preserve">). The </w:t>
      </w:r>
      <w:r w:rsidR="00C641AC">
        <w:rPr>
          <w:rFonts w:ascii="Times New Roman" w:hAnsi="Times New Roman" w:cs="Times New Roman"/>
          <w:sz w:val="24"/>
        </w:rPr>
        <w:t xml:space="preserve">experiment </w:t>
      </w:r>
      <w:r w:rsidRPr="004A12EB">
        <w:rPr>
          <w:rFonts w:ascii="Times New Roman" w:hAnsi="Times New Roman" w:cs="Times New Roman"/>
          <w:sz w:val="24"/>
        </w:rPr>
        <w:t>was laid out in a Randomized Block Design (RBD) with three replications to effectively manage environmental variability and allow accurate estimation of experimental error. Each genotype was planted in a single row with a spacing of 30 cm between rows and 15 cm between plants, ensuring optimal plant population and proper manifestation of genotypic traits. Standard agronomic practices were followed throughout to maintain a healthy crop stand.</w:t>
      </w:r>
      <w:r w:rsidR="00CE27D6">
        <w:rPr>
          <w:rFonts w:ascii="Times New Roman" w:hAnsi="Times New Roman" w:cs="Times New Roman"/>
          <w:sz w:val="24"/>
        </w:rPr>
        <w:t xml:space="preserve"> </w:t>
      </w:r>
      <w:r w:rsidR="00CE27D6" w:rsidRPr="006D1951">
        <w:rPr>
          <w:rFonts w:ascii="Times New Roman" w:hAnsi="Times New Roman" w:cs="Times New Roman"/>
          <w:sz w:val="24"/>
          <w:highlight w:val="yellow"/>
        </w:rPr>
        <w:t xml:space="preserve">Leaf/ seed samples were collected from each replication and </w:t>
      </w:r>
      <w:r w:rsidR="006D1951" w:rsidRPr="006D1951">
        <w:rPr>
          <w:rFonts w:ascii="Times New Roman" w:hAnsi="Times New Roman" w:cs="Times New Roman"/>
          <w:sz w:val="24"/>
          <w:highlight w:val="yellow"/>
        </w:rPr>
        <w:t>genotype for biochemical parameters analysis.</w:t>
      </w:r>
      <w:r w:rsidR="006D1951">
        <w:rPr>
          <w:rFonts w:ascii="Times New Roman" w:hAnsi="Times New Roman" w:cs="Times New Roman"/>
          <w:sz w:val="24"/>
        </w:rPr>
        <w:t xml:space="preserve"> </w:t>
      </w:r>
    </w:p>
    <w:p w14:paraId="2908DEF8" w14:textId="31D23829" w:rsidR="004A12EB" w:rsidRPr="00AB093E" w:rsidRDefault="004A12EB" w:rsidP="00BC7E8B">
      <w:pPr>
        <w:spacing w:before="120" w:after="120" w:line="360" w:lineRule="auto"/>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BC7E8B">
        <w:rPr>
          <w:rFonts w:ascii="Times New Roman" w:hAnsi="Times New Roman" w:cs="Times New Roman"/>
          <w:b/>
          <w:bCs/>
          <w:sz w:val="24"/>
          <w:lang w:val="en-US"/>
        </w:rPr>
        <w:t xml:space="preserve">with their 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50512A" w:rsidRPr="002D603D" w14:paraId="5A33125C" w14:textId="77777777" w:rsidTr="0050512A">
        <w:trPr>
          <w:trHeight w:val="180"/>
        </w:trPr>
        <w:tc>
          <w:tcPr>
            <w:tcW w:w="385" w:type="pct"/>
          </w:tcPr>
          <w:p w14:paraId="545EAAC2"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801" w:type="pct"/>
          </w:tcPr>
          <w:p w14:paraId="4EC9A61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269" w:type="pct"/>
          </w:tcPr>
          <w:p w14:paraId="28F4F95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c>
          <w:tcPr>
            <w:tcW w:w="396" w:type="pct"/>
          </w:tcPr>
          <w:p w14:paraId="590DB77F"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1030" w:type="pct"/>
          </w:tcPr>
          <w:p w14:paraId="7E4574E0"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119" w:type="pct"/>
          </w:tcPr>
          <w:p w14:paraId="49A1AB3D"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r>
      <w:tr w:rsidR="0050512A" w:rsidRPr="002D603D" w14:paraId="6A037AB1" w14:textId="77777777" w:rsidTr="0050512A">
        <w:trPr>
          <w:trHeight w:val="180"/>
        </w:trPr>
        <w:tc>
          <w:tcPr>
            <w:tcW w:w="385" w:type="pct"/>
          </w:tcPr>
          <w:p w14:paraId="74542D0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5C50956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1A804FE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478565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63871B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512A978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50512A" w:rsidRPr="002D603D" w14:paraId="52852536" w14:textId="77777777" w:rsidTr="0050512A">
        <w:trPr>
          <w:trHeight w:val="180"/>
        </w:trPr>
        <w:tc>
          <w:tcPr>
            <w:tcW w:w="385" w:type="pct"/>
          </w:tcPr>
          <w:p w14:paraId="2286CD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2874D2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24B5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61AB4F1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04063F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7EC123B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50512A" w:rsidRPr="002D603D" w14:paraId="05BEBC79" w14:textId="77777777" w:rsidTr="0050512A">
        <w:trPr>
          <w:trHeight w:val="180"/>
        </w:trPr>
        <w:tc>
          <w:tcPr>
            <w:tcW w:w="385" w:type="pct"/>
          </w:tcPr>
          <w:p w14:paraId="58F165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3FD96E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13706E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B5C58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00C7C7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0B3B873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50512A" w:rsidRPr="002D603D" w14:paraId="5AEB7081" w14:textId="77777777" w:rsidTr="0050512A">
        <w:trPr>
          <w:trHeight w:val="180"/>
        </w:trPr>
        <w:tc>
          <w:tcPr>
            <w:tcW w:w="385" w:type="pct"/>
          </w:tcPr>
          <w:p w14:paraId="0151202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204A23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573782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07A72AB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331EC68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3EB258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50512A" w:rsidRPr="002D603D" w14:paraId="629E874E" w14:textId="77777777" w:rsidTr="0050512A">
        <w:trPr>
          <w:trHeight w:val="180"/>
        </w:trPr>
        <w:tc>
          <w:tcPr>
            <w:tcW w:w="385" w:type="pct"/>
          </w:tcPr>
          <w:p w14:paraId="1547FD8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05D4DB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52054D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3071F87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1F55504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26F6BC3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50512A" w:rsidRPr="002D603D" w14:paraId="2C6ABD9C" w14:textId="77777777" w:rsidTr="0050512A">
        <w:trPr>
          <w:trHeight w:val="180"/>
        </w:trPr>
        <w:tc>
          <w:tcPr>
            <w:tcW w:w="385" w:type="pct"/>
          </w:tcPr>
          <w:p w14:paraId="76B99D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49DEA2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7D0E3A1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25D823E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6FE740B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15A9C15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50512A" w:rsidRPr="002D603D" w14:paraId="743BDD59" w14:textId="77777777" w:rsidTr="0050512A">
        <w:trPr>
          <w:trHeight w:val="180"/>
        </w:trPr>
        <w:tc>
          <w:tcPr>
            <w:tcW w:w="385" w:type="pct"/>
          </w:tcPr>
          <w:p w14:paraId="15F8DA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06E119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4ABD8F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4FAF1CA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0BE9F60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298F29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50512A" w:rsidRPr="002D603D" w14:paraId="0E6CFFF6" w14:textId="77777777" w:rsidTr="0050512A">
        <w:trPr>
          <w:trHeight w:val="180"/>
        </w:trPr>
        <w:tc>
          <w:tcPr>
            <w:tcW w:w="385" w:type="pct"/>
          </w:tcPr>
          <w:p w14:paraId="37A7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8</w:t>
            </w:r>
          </w:p>
        </w:tc>
        <w:tc>
          <w:tcPr>
            <w:tcW w:w="801" w:type="pct"/>
          </w:tcPr>
          <w:p w14:paraId="312AC4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50BB6D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41774CB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C6DF1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20699B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10B90E39" w14:textId="77777777" w:rsidTr="0050512A">
        <w:trPr>
          <w:trHeight w:val="180"/>
        </w:trPr>
        <w:tc>
          <w:tcPr>
            <w:tcW w:w="385" w:type="pct"/>
          </w:tcPr>
          <w:p w14:paraId="06A43E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5FDE4C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583E75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6F3F7B9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17600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56FBB0C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50512A" w:rsidRPr="002D603D" w14:paraId="2D5F1DD7" w14:textId="77777777" w:rsidTr="0050512A">
        <w:trPr>
          <w:trHeight w:val="180"/>
        </w:trPr>
        <w:tc>
          <w:tcPr>
            <w:tcW w:w="385" w:type="pct"/>
          </w:tcPr>
          <w:p w14:paraId="26634AF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4A3FD0A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0D34783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30F50F9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446377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6F343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50512A" w:rsidRPr="002D603D" w14:paraId="68EA13D1" w14:textId="77777777" w:rsidTr="0050512A">
        <w:trPr>
          <w:trHeight w:val="180"/>
        </w:trPr>
        <w:tc>
          <w:tcPr>
            <w:tcW w:w="385" w:type="pct"/>
          </w:tcPr>
          <w:p w14:paraId="350880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14:paraId="223EF4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44419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2385AB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5A0BB91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0EC9A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50512A" w:rsidRPr="002D603D" w14:paraId="07365CC3" w14:textId="77777777" w:rsidTr="0050512A">
        <w:trPr>
          <w:trHeight w:val="180"/>
        </w:trPr>
        <w:tc>
          <w:tcPr>
            <w:tcW w:w="385" w:type="pct"/>
          </w:tcPr>
          <w:p w14:paraId="770726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6850396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8B61E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2DBDBDD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6327CB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8AA456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50512A" w:rsidRPr="002D603D" w14:paraId="2C6B5B87" w14:textId="77777777" w:rsidTr="0050512A">
        <w:trPr>
          <w:trHeight w:val="180"/>
        </w:trPr>
        <w:tc>
          <w:tcPr>
            <w:tcW w:w="385" w:type="pct"/>
          </w:tcPr>
          <w:p w14:paraId="4B91697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24882F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17926A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6709FB9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0506A75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6B4E0D91" w14:textId="77777777" w:rsidR="0050512A" w:rsidRPr="002D603D" w:rsidRDefault="0050512A" w:rsidP="00BC7E8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50512A" w:rsidRPr="002D603D" w14:paraId="4C461650" w14:textId="77777777" w:rsidTr="0050512A">
        <w:trPr>
          <w:trHeight w:val="199"/>
        </w:trPr>
        <w:tc>
          <w:tcPr>
            <w:tcW w:w="385" w:type="pct"/>
          </w:tcPr>
          <w:p w14:paraId="2DA31A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653FF6C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61EC48E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40B4A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6D4C36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1FD1BCD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50512A" w:rsidRPr="002D603D" w14:paraId="3F29CDC5" w14:textId="77777777" w:rsidTr="0050512A">
        <w:trPr>
          <w:trHeight w:val="180"/>
        </w:trPr>
        <w:tc>
          <w:tcPr>
            <w:tcW w:w="385" w:type="pct"/>
          </w:tcPr>
          <w:p w14:paraId="37D2DA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2F0A8A6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426C9F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5C2F1A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1618CB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50434137" w14:textId="2C17E653"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(GW5/7 x P</w:t>
            </w:r>
            <w:r w:rsidR="006D1951" w:rsidRPr="002D603D">
              <w:rPr>
                <w:rFonts w:ascii="Times New Roman" w:hAnsi="Times New Roman" w:cs="Times New Roman"/>
                <w:sz w:val="20"/>
                <w:szCs w:val="20"/>
                <w:lang w:val="en-US"/>
              </w:rPr>
              <w:t>327)</w:t>
            </w:r>
            <w:r w:rsidRPr="002D603D">
              <w:rPr>
                <w:rFonts w:ascii="Times New Roman" w:hAnsi="Times New Roman" w:cs="Times New Roman"/>
                <w:sz w:val="20"/>
                <w:szCs w:val="20"/>
                <w:lang w:val="en-US"/>
              </w:rPr>
              <w:t xml:space="preserve"> x ICCL83149</w:t>
            </w:r>
          </w:p>
        </w:tc>
      </w:tr>
      <w:tr w:rsidR="0050512A" w:rsidRPr="002D603D" w14:paraId="53AF972C" w14:textId="77777777" w:rsidTr="0050512A">
        <w:trPr>
          <w:trHeight w:val="180"/>
        </w:trPr>
        <w:tc>
          <w:tcPr>
            <w:tcW w:w="385" w:type="pct"/>
          </w:tcPr>
          <w:p w14:paraId="41C7E2E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2C584D5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529C27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4B999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5D839B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1CE8443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158CC00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50512A" w:rsidRPr="002D603D" w14:paraId="4942F20E" w14:textId="77777777" w:rsidTr="0050512A">
        <w:trPr>
          <w:trHeight w:val="180"/>
        </w:trPr>
        <w:tc>
          <w:tcPr>
            <w:tcW w:w="385" w:type="pct"/>
          </w:tcPr>
          <w:p w14:paraId="1247498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53DC920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4FDA72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0A61CA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64ADE7B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7E9F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50512A" w:rsidRPr="002D603D" w14:paraId="1E64B007" w14:textId="77777777" w:rsidTr="0050512A">
        <w:trPr>
          <w:trHeight w:val="180"/>
        </w:trPr>
        <w:tc>
          <w:tcPr>
            <w:tcW w:w="385" w:type="pct"/>
          </w:tcPr>
          <w:p w14:paraId="284CDF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281A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1B5C64A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428F1A5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06F144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70D45F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50512A" w:rsidRPr="002D603D" w14:paraId="628AA059" w14:textId="77777777" w:rsidTr="0050512A">
        <w:trPr>
          <w:trHeight w:val="180"/>
        </w:trPr>
        <w:tc>
          <w:tcPr>
            <w:tcW w:w="385" w:type="pct"/>
          </w:tcPr>
          <w:p w14:paraId="17C1B3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7D147B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15CA4C8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0CE79D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2C9247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02C88B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50512A" w:rsidRPr="002D603D" w14:paraId="25597A98" w14:textId="77777777" w:rsidTr="0050512A">
        <w:trPr>
          <w:trHeight w:val="180"/>
        </w:trPr>
        <w:tc>
          <w:tcPr>
            <w:tcW w:w="385" w:type="pct"/>
          </w:tcPr>
          <w:p w14:paraId="7B366C7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71ED1FC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30E8CE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6E4575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79B8F01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46E048E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50512A" w:rsidRPr="002D603D" w14:paraId="1DD8F3D5" w14:textId="77777777" w:rsidTr="0050512A">
        <w:trPr>
          <w:trHeight w:val="180"/>
        </w:trPr>
        <w:tc>
          <w:tcPr>
            <w:tcW w:w="385" w:type="pct"/>
          </w:tcPr>
          <w:p w14:paraId="74C0E7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27760C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76C785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5F6862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42A81BE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464345C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50512A" w:rsidRPr="002D603D" w14:paraId="3CC84910" w14:textId="77777777" w:rsidTr="0050512A">
        <w:trPr>
          <w:trHeight w:val="180"/>
        </w:trPr>
        <w:tc>
          <w:tcPr>
            <w:tcW w:w="385" w:type="pct"/>
          </w:tcPr>
          <w:p w14:paraId="270EF4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03CB1AC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21CE314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7E4588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4C9ECF2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037F11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23914062" w14:textId="77777777" w:rsidTr="0050512A">
        <w:trPr>
          <w:trHeight w:val="180"/>
        </w:trPr>
        <w:tc>
          <w:tcPr>
            <w:tcW w:w="385" w:type="pct"/>
          </w:tcPr>
          <w:p w14:paraId="6AA7AF3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3DF9F15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8ABF2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3779F0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5C1A708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7D5AE8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6DDD8FFA" w14:textId="77777777" w:rsidTr="0050512A">
        <w:trPr>
          <w:trHeight w:val="180"/>
        </w:trPr>
        <w:tc>
          <w:tcPr>
            <w:tcW w:w="385" w:type="pct"/>
          </w:tcPr>
          <w:p w14:paraId="165FA8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6EC37F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5CF17C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373458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6E4192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4B0CE0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7A7E9481" w14:textId="77777777" w:rsidTr="0050512A">
        <w:trPr>
          <w:trHeight w:val="180"/>
        </w:trPr>
        <w:tc>
          <w:tcPr>
            <w:tcW w:w="385" w:type="pct"/>
          </w:tcPr>
          <w:p w14:paraId="67E9600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7F16EB3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2D49F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096A26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485AC3A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D1144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6C33E97E" w14:textId="77777777" w:rsidTr="0050512A">
        <w:trPr>
          <w:trHeight w:val="180"/>
        </w:trPr>
        <w:tc>
          <w:tcPr>
            <w:tcW w:w="385" w:type="pct"/>
          </w:tcPr>
          <w:p w14:paraId="651412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E09FE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70819A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370398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1FF186E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0FD151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50512A" w:rsidRPr="002D603D" w14:paraId="33F6D8FA" w14:textId="77777777" w:rsidTr="0050512A">
        <w:trPr>
          <w:trHeight w:val="180"/>
        </w:trPr>
        <w:tc>
          <w:tcPr>
            <w:tcW w:w="385" w:type="pct"/>
          </w:tcPr>
          <w:p w14:paraId="1E91663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4B0BCF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1F1716B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53CE19A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24BB12F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37D2FB1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50512A" w:rsidRPr="002D603D" w14:paraId="4BB04BFD" w14:textId="77777777" w:rsidTr="0050512A">
        <w:trPr>
          <w:trHeight w:val="180"/>
        </w:trPr>
        <w:tc>
          <w:tcPr>
            <w:tcW w:w="385" w:type="pct"/>
          </w:tcPr>
          <w:p w14:paraId="1FEEB6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23E8AB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30156C9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40F39EA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5D19E5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4593A1B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50512A" w:rsidRPr="002D603D" w14:paraId="5597FEEA" w14:textId="77777777" w:rsidTr="0050512A">
        <w:trPr>
          <w:trHeight w:val="180"/>
        </w:trPr>
        <w:tc>
          <w:tcPr>
            <w:tcW w:w="385" w:type="pct"/>
          </w:tcPr>
          <w:p w14:paraId="4560069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0FE8EA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75858E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1FA743B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6EDCB55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2425B4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50512A" w:rsidRPr="002D603D" w14:paraId="41F7B9BB" w14:textId="77777777" w:rsidTr="0050512A">
        <w:trPr>
          <w:trHeight w:val="180"/>
        </w:trPr>
        <w:tc>
          <w:tcPr>
            <w:tcW w:w="385" w:type="pct"/>
          </w:tcPr>
          <w:p w14:paraId="431B2A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042DF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71AA4BF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2D31D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6BE39F1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65B271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50512A" w:rsidRPr="002D603D" w14:paraId="08ABA01E" w14:textId="77777777" w:rsidTr="0050512A">
        <w:trPr>
          <w:trHeight w:val="180"/>
        </w:trPr>
        <w:tc>
          <w:tcPr>
            <w:tcW w:w="385" w:type="pct"/>
          </w:tcPr>
          <w:p w14:paraId="579D17F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40AE5C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0DD3A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397CCC3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03B21B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62CDB5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50512A" w:rsidRPr="002D603D" w14:paraId="4E5ADE47" w14:textId="77777777" w:rsidTr="0050512A">
        <w:trPr>
          <w:trHeight w:val="180"/>
        </w:trPr>
        <w:tc>
          <w:tcPr>
            <w:tcW w:w="385" w:type="pct"/>
          </w:tcPr>
          <w:p w14:paraId="3B2A578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626D559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177AA4B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570D75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3A603B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8D8C0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50512A" w:rsidRPr="002D603D" w14:paraId="5A43B234" w14:textId="77777777" w:rsidTr="0050512A">
        <w:trPr>
          <w:trHeight w:val="180"/>
        </w:trPr>
        <w:tc>
          <w:tcPr>
            <w:tcW w:w="385" w:type="pct"/>
          </w:tcPr>
          <w:p w14:paraId="0F0E2AF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2D9382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F0FAA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670731A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1A0806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40DF86D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50512A" w:rsidRPr="002D603D" w14:paraId="2E039654" w14:textId="77777777" w:rsidTr="0050512A">
        <w:trPr>
          <w:trHeight w:val="180"/>
        </w:trPr>
        <w:tc>
          <w:tcPr>
            <w:tcW w:w="385" w:type="pct"/>
          </w:tcPr>
          <w:p w14:paraId="72184A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28E1D57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7AC831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6D1DA0C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24ACEA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18B68B1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7ADF810A" w14:textId="77777777" w:rsidTr="0050512A">
        <w:trPr>
          <w:trHeight w:val="180"/>
        </w:trPr>
        <w:tc>
          <w:tcPr>
            <w:tcW w:w="385" w:type="pct"/>
          </w:tcPr>
          <w:p w14:paraId="5AAAD03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66035E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A5599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30E609DE"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030" w:type="pct"/>
          </w:tcPr>
          <w:p w14:paraId="041551A9"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119" w:type="pct"/>
          </w:tcPr>
          <w:p w14:paraId="40EA62DD"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r>
    </w:tbl>
    <w:p w14:paraId="6B6644C8" w14:textId="77777777" w:rsidR="008C5F49" w:rsidRDefault="008C5F49" w:rsidP="001F210C">
      <w:pPr>
        <w:jc w:val="both"/>
        <w:rPr>
          <w:rFonts w:ascii="Times New Roman" w:hAnsi="Times New Roman" w:cs="Times New Roman"/>
          <w:b/>
          <w:sz w:val="24"/>
        </w:rPr>
      </w:pPr>
    </w:p>
    <w:p w14:paraId="4D699914" w14:textId="788EF26E" w:rsidR="004A12EB" w:rsidRDefault="004A12EB"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 Biochemical </w:t>
      </w:r>
      <w:r w:rsidR="00BC7E8B">
        <w:rPr>
          <w:rFonts w:ascii="Times New Roman" w:hAnsi="Times New Roman" w:cs="Times New Roman"/>
          <w:b/>
          <w:sz w:val="24"/>
        </w:rPr>
        <w:t>A</w:t>
      </w:r>
      <w:r>
        <w:rPr>
          <w:rFonts w:ascii="Times New Roman" w:hAnsi="Times New Roman" w:cs="Times New Roman"/>
          <w:b/>
          <w:sz w:val="24"/>
        </w:rPr>
        <w:t xml:space="preserve">nalysis </w:t>
      </w:r>
    </w:p>
    <w:p w14:paraId="672267CF" w14:textId="2B8B9D9E"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2.3.1 </w:t>
      </w:r>
      <w:r w:rsidRPr="00D62A30">
        <w:rPr>
          <w:rFonts w:ascii="Times New Roman" w:hAnsi="Times New Roman" w:cs="Times New Roman"/>
          <w:b/>
          <w:sz w:val="24"/>
        </w:rPr>
        <w:t xml:space="preserve">Protein Estimation </w:t>
      </w:r>
    </w:p>
    <w:p w14:paraId="2DF55E58" w14:textId="06E0967F" w:rsidR="00D62A30" w:rsidRPr="00D62A30" w:rsidRDefault="00D62A30" w:rsidP="005063E3">
      <w:pPr>
        <w:spacing w:before="120" w:after="120" w:line="360" w:lineRule="auto"/>
        <w:jc w:val="both"/>
        <w:rPr>
          <w:rFonts w:ascii="Times New Roman" w:hAnsi="Times New Roman" w:cs="Times New Roman"/>
          <w:sz w:val="24"/>
        </w:rPr>
      </w:pPr>
      <w:r w:rsidRPr="00D62A30">
        <w:rPr>
          <w:rFonts w:ascii="Times New Roman" w:hAnsi="Times New Roman" w:cs="Times New Roman"/>
          <w:sz w:val="24"/>
        </w:rPr>
        <w:t>Protein content in chickpea samples was estimated using the Lowry method</w:t>
      </w:r>
      <w:r w:rsidR="00565E90">
        <w:rPr>
          <w:rFonts w:ascii="Times New Roman" w:hAnsi="Times New Roman" w:cs="Times New Roman"/>
          <w:sz w:val="24"/>
        </w:rPr>
        <w:t xml:space="preserve"> (Lowry et al., 1951)</w:t>
      </w:r>
      <w:r w:rsidRPr="00D62A30">
        <w:rPr>
          <w:rFonts w:ascii="Times New Roman" w:hAnsi="Times New Roman" w:cs="Times New Roman"/>
          <w:sz w:val="24"/>
        </w:rPr>
        <w:t xml:space="preserve">, which relies on the reaction of peptide nitrogens with copper (II) ions under alkaline conditions, followed by reduction of the Folin–Ciocalteu reagent to produce a blue </w:t>
      </w:r>
      <w:r w:rsidR="00536C1E" w:rsidRPr="00D62A30">
        <w:rPr>
          <w:rFonts w:ascii="Times New Roman" w:hAnsi="Times New Roman" w:cs="Times New Roman"/>
          <w:sz w:val="24"/>
        </w:rPr>
        <w:t>colour</w:t>
      </w:r>
      <w:r w:rsidRPr="00D62A30">
        <w:rPr>
          <w:rFonts w:ascii="Times New Roman" w:hAnsi="Times New Roman" w:cs="Times New Roman"/>
          <w:sz w:val="24"/>
        </w:rPr>
        <w:t xml:space="preserve"> measurable at 660 nm. The assay employed reagents including 2% Na₂CO₃ in 0.1 N NaOH, 1</w:t>
      </w:r>
      <w:r w:rsidR="00985985">
        <w:rPr>
          <w:rFonts w:ascii="Times New Roman" w:hAnsi="Times New Roman" w:cs="Times New Roman"/>
          <w:sz w:val="24"/>
        </w:rPr>
        <w:t>% NaK tartrate, 0.5% CuSO₄·5H₂O</w:t>
      </w:r>
      <w:r w:rsidRPr="00D62A30">
        <w:rPr>
          <w:rFonts w:ascii="Times New Roman" w:hAnsi="Times New Roman" w:cs="Times New Roman"/>
          <w:sz w:val="24"/>
        </w:rPr>
        <w:t xml:space="preserve"> and Folin–Ciocalteu reagent, with BSA (1</w:t>
      </w:r>
      <w:r w:rsidR="00F8331C">
        <w:rPr>
          <w:rFonts w:ascii="Times New Roman" w:hAnsi="Times New Roman" w:cs="Times New Roman"/>
          <w:sz w:val="24"/>
        </w:rPr>
        <w:t>.0</w:t>
      </w:r>
      <w:r w:rsidRPr="00D62A30">
        <w:rPr>
          <w:rFonts w:ascii="Times New Roman" w:hAnsi="Times New Roman" w:cs="Times New Roman"/>
          <w:sz w:val="24"/>
        </w:rPr>
        <w:t xml:space="preserve"> mg/ml) used as the standard. For analysis, 0.2 ml of BSA working standard was pipetted into test tubes and the volume made up to 1</w:t>
      </w:r>
      <w:r w:rsidR="008E6A35">
        <w:rPr>
          <w:rFonts w:ascii="Times New Roman" w:hAnsi="Times New Roman" w:cs="Times New Roman"/>
          <w:sz w:val="24"/>
        </w:rPr>
        <w:t>.0</w:t>
      </w:r>
      <w:r w:rsidRPr="00D62A30">
        <w:rPr>
          <w:rFonts w:ascii="Times New Roman" w:hAnsi="Times New Roman" w:cs="Times New Roman"/>
          <w:sz w:val="24"/>
        </w:rPr>
        <w:t xml:space="preserve"> ml with distilled water; a blank containing only 1</w:t>
      </w:r>
      <w:r w:rsidR="00F8331C">
        <w:rPr>
          <w:rFonts w:ascii="Times New Roman" w:hAnsi="Times New Roman" w:cs="Times New Roman"/>
          <w:sz w:val="24"/>
        </w:rPr>
        <w:t>.0</w:t>
      </w:r>
      <w:r w:rsidRPr="00D62A30">
        <w:rPr>
          <w:rFonts w:ascii="Times New Roman" w:hAnsi="Times New Roman" w:cs="Times New Roman"/>
          <w:sz w:val="24"/>
        </w:rPr>
        <w:t xml:space="preserve"> ml distilled water was also prepared. Each tube received 4.5 ml of reagent I (a freshly prepared mixture of Na₂CO₃, NaK tartrate, and CuSO₄) and was incubated for 10 minutes, followed by the addition </w:t>
      </w:r>
      <w:r w:rsidRPr="00D62A30">
        <w:rPr>
          <w:rFonts w:ascii="Times New Roman" w:hAnsi="Times New Roman" w:cs="Times New Roman"/>
          <w:sz w:val="24"/>
        </w:rPr>
        <w:lastRenderedPageBreak/>
        <w:t>of 0.5 ml of reagent II (Folin–Ciocalteu diluted 1:1 with water) and a further incubation of 30 minutes. Absorba</w:t>
      </w:r>
      <w:r w:rsidR="00985985">
        <w:rPr>
          <w:rFonts w:ascii="Times New Roman" w:hAnsi="Times New Roman" w:cs="Times New Roman"/>
          <w:sz w:val="24"/>
        </w:rPr>
        <w:t>nce was then measured at 660 nm</w:t>
      </w:r>
      <w:r w:rsidRPr="00D62A30">
        <w:rPr>
          <w:rFonts w:ascii="Times New Roman" w:hAnsi="Times New Roman" w:cs="Times New Roman"/>
          <w:sz w:val="24"/>
        </w:rPr>
        <w:t xml:space="preserve"> and protein content in samples was determined from the standard curve.</w:t>
      </w:r>
    </w:p>
    <w:p w14:paraId="39313042"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2.3.2 </w:t>
      </w:r>
      <w:r w:rsidRPr="00D62A30">
        <w:rPr>
          <w:rFonts w:ascii="Times New Roman" w:hAnsi="Times New Roman" w:cs="Times New Roman"/>
          <w:b/>
          <w:sz w:val="24"/>
        </w:rPr>
        <w:t>Proline Estimation</w:t>
      </w:r>
    </w:p>
    <w:p w14:paraId="2F152919" w14:textId="51B6DEE5" w:rsidR="00D62A30" w:rsidRPr="00FC55D0" w:rsidRDefault="00C124FB" w:rsidP="005063E3">
      <w:pPr>
        <w:spacing w:before="120" w:after="120" w:line="360" w:lineRule="auto"/>
        <w:jc w:val="both"/>
        <w:rPr>
          <w:rFonts w:ascii="Times New Roman" w:hAnsi="Times New Roman" w:cs="Times New Roman"/>
          <w:sz w:val="24"/>
          <w:szCs w:val="24"/>
        </w:rPr>
      </w:pPr>
      <w:r w:rsidRPr="00FC55D0">
        <w:rPr>
          <w:rFonts w:ascii="Times New Roman" w:hAnsi="Times New Roman" w:cs="Times New Roman"/>
          <w:sz w:val="24"/>
          <w:szCs w:val="24"/>
        </w:rPr>
        <w:t xml:space="preserve">Free proline content in leaves was determined according to the method proposed by Bates et al. </w:t>
      </w:r>
      <w:r w:rsidR="00FC55D0" w:rsidRPr="00FC55D0">
        <w:rPr>
          <w:rFonts w:ascii="Times New Roman" w:hAnsi="Times New Roman" w:cs="Times New Roman"/>
          <w:sz w:val="24"/>
          <w:szCs w:val="24"/>
        </w:rPr>
        <w:t xml:space="preserve"> (1973). For</w:t>
      </w:r>
      <w:r w:rsidR="00D62A30" w:rsidRPr="00FC55D0">
        <w:rPr>
          <w:rFonts w:ascii="Times New Roman" w:hAnsi="Times New Roman" w:cs="Times New Roman"/>
          <w:sz w:val="24"/>
          <w:szCs w:val="24"/>
        </w:rPr>
        <w:t xml:space="preserve"> proline determination, 0.25 g of fresh leaf tissue was collected randomly from each row at 35 days after sowing. The samples were homogenized in 3</w:t>
      </w:r>
      <w:r w:rsidR="00624416"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3% sulfosalicylic acid using a mortar and pestle. The homogenate was centrif</w:t>
      </w:r>
      <w:r w:rsidR="00985985" w:rsidRPr="00FC55D0">
        <w:rPr>
          <w:rFonts w:ascii="Times New Roman" w:hAnsi="Times New Roman" w:cs="Times New Roman"/>
          <w:sz w:val="24"/>
          <w:szCs w:val="24"/>
        </w:rPr>
        <w:t>uged at 1000 rpm for 15 minutes</w:t>
      </w:r>
      <w:r w:rsidR="00D62A30" w:rsidRPr="00FC55D0">
        <w:rPr>
          <w:rFonts w:ascii="Times New Roman" w:hAnsi="Times New Roman" w:cs="Times New Roman"/>
          <w:sz w:val="24"/>
          <w:szCs w:val="24"/>
        </w:rPr>
        <w:t xml:space="preserve"> and the supernatant was collected. Two </w:t>
      </w:r>
      <w:r w:rsidR="00536C1E" w:rsidRPr="00FC55D0">
        <w:rPr>
          <w:rFonts w:ascii="Times New Roman" w:hAnsi="Times New Roman" w:cs="Times New Roman"/>
          <w:sz w:val="24"/>
          <w:szCs w:val="24"/>
        </w:rPr>
        <w:t>millilitres</w:t>
      </w:r>
      <w:r w:rsidR="00D62A30" w:rsidRPr="00FC55D0">
        <w:rPr>
          <w:rFonts w:ascii="Times New Roman" w:hAnsi="Times New Roman" w:cs="Times New Roman"/>
          <w:sz w:val="24"/>
          <w:szCs w:val="24"/>
        </w:rPr>
        <w:t xml:space="preserve"> of the extract were mixed with 2</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ninhydrin reagent (prepared in glacial acetic acid) and heated in a water bath at 100°C for 60 minutes. The reaction mixture was then cooled to room temperature (approximately 25°C) in an ice bath. Subsequently, 4</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toluene was added, resulting in the formation of a pink chromophore in the upper layer, which was carefully collected and absorbance was recorded at 520 nm.</w:t>
      </w:r>
    </w:p>
    <w:p w14:paraId="59D664BE" w14:textId="1C67C5F5"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2.3.3 </w:t>
      </w:r>
      <w:r w:rsidRPr="00D62A30">
        <w:rPr>
          <w:rFonts w:ascii="Times New Roman" w:hAnsi="Times New Roman" w:cs="Times New Roman"/>
          <w:b/>
          <w:sz w:val="24"/>
        </w:rPr>
        <w:t xml:space="preserve">DPPH </w:t>
      </w:r>
      <w:r w:rsidR="006323C3">
        <w:rPr>
          <w:rFonts w:ascii="Times New Roman" w:hAnsi="Times New Roman" w:cs="Times New Roman"/>
          <w:b/>
          <w:sz w:val="24"/>
        </w:rPr>
        <w:t>Estimation</w:t>
      </w:r>
    </w:p>
    <w:p w14:paraId="10E3C3DD" w14:textId="50906AF4" w:rsidR="00D62A30" w:rsidRPr="00B312E6" w:rsidRDefault="00F96B0D" w:rsidP="005063E3">
      <w:pPr>
        <w:spacing w:before="120" w:after="120" w:line="360" w:lineRule="auto"/>
        <w:jc w:val="both"/>
        <w:rPr>
          <w:rFonts w:ascii="Times New Roman" w:hAnsi="Times New Roman" w:cs="Times New Roman"/>
          <w:sz w:val="24"/>
          <w:szCs w:val="24"/>
        </w:rPr>
      </w:pPr>
      <w:r w:rsidRPr="00B312E6">
        <w:rPr>
          <w:rFonts w:ascii="Times New Roman" w:hAnsi="Times New Roman" w:cs="Times New Roman"/>
          <w:color w:val="222222"/>
          <w:sz w:val="24"/>
          <w:szCs w:val="24"/>
          <w:shd w:val="clear" w:color="auto" w:fill="FFFFFF"/>
        </w:rPr>
        <w:t xml:space="preserve">The DPPH assay was performed following the procedure developed by Sanja et al. </w:t>
      </w:r>
      <w:r w:rsidR="003A60BE" w:rsidRPr="003A60BE">
        <w:rPr>
          <w:rFonts w:ascii="Times New Roman" w:hAnsi="Times New Roman" w:cs="Times New Roman"/>
          <w:color w:val="222222"/>
          <w:sz w:val="24"/>
          <w:szCs w:val="24"/>
          <w:shd w:val="clear" w:color="auto" w:fill="FFFFFF"/>
        </w:rPr>
        <w:t>(</w:t>
      </w:r>
      <w:hyperlink r:id="rId7" w:anchor="B66-plants-13-02746" w:history="1">
        <w:r w:rsidR="00B312E6" w:rsidRPr="003A60BE">
          <w:rPr>
            <w:rFonts w:ascii="Times New Roman" w:hAnsi="Times New Roman" w:cs="Times New Roman"/>
            <w:color w:val="4F5671"/>
            <w:sz w:val="24"/>
            <w:szCs w:val="24"/>
            <w:shd w:val="clear" w:color="auto" w:fill="FFFFFF"/>
          </w:rPr>
          <w:t>2009</w:t>
        </w:r>
      </w:hyperlink>
      <w:r w:rsidR="003A60BE" w:rsidRPr="003A60BE">
        <w:rPr>
          <w:rFonts w:ascii="Times New Roman" w:hAnsi="Times New Roman" w:cs="Times New Roman"/>
          <w:color w:val="222222"/>
          <w:sz w:val="24"/>
          <w:szCs w:val="24"/>
          <w:shd w:val="clear" w:color="auto" w:fill="FFFFFF"/>
        </w:rPr>
        <w:t>)</w:t>
      </w:r>
      <w:r w:rsidRPr="003A60BE">
        <w:rPr>
          <w:rFonts w:ascii="Times New Roman" w:hAnsi="Times New Roman" w:cs="Times New Roman"/>
          <w:color w:val="222222"/>
          <w:sz w:val="24"/>
          <w:szCs w:val="24"/>
          <w:shd w:val="clear" w:color="auto" w:fill="FFFFFF"/>
        </w:rPr>
        <w:t>.</w:t>
      </w:r>
      <w:r w:rsidR="00D62A30" w:rsidRPr="00B312E6">
        <w:rPr>
          <w:rFonts w:ascii="Times New Roman" w:hAnsi="Times New Roman" w:cs="Times New Roman"/>
          <w:sz w:val="24"/>
          <w:szCs w:val="24"/>
        </w:rPr>
        <w:t xml:space="preserve"> Fresh leaf samples (100 mg) were taken from each row after 35 days of sowing,</w:t>
      </w:r>
      <w:r w:rsidR="00985985" w:rsidRPr="00B312E6">
        <w:rPr>
          <w:rFonts w:ascii="Times New Roman" w:hAnsi="Times New Roman" w:cs="Times New Roman"/>
          <w:sz w:val="24"/>
          <w:szCs w:val="24"/>
        </w:rPr>
        <w:t xml:space="preserve"> crushed in 5 ml of 80% ethanol</w:t>
      </w:r>
      <w:r w:rsidR="00D62A30" w:rsidRPr="00B312E6">
        <w:rPr>
          <w:rFonts w:ascii="Times New Roman" w:hAnsi="Times New Roman" w:cs="Times New Roman"/>
          <w:sz w:val="24"/>
          <w:szCs w:val="24"/>
        </w:rPr>
        <w:t xml:space="preserve"> and the homogenate was centrifuged at 1000 rpm for 10 minutes. The pellet was re-extracted with an additional 5</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of 80% ethanol and centrifuged again. The combined 10 ml supernatant was evaporated to dryness at 65°C in an oven. The residue was dissolved in 1</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distilled water. From this extract, 50 µl was mixed with 1.25 ml of 0.1 mM DPPH solution prepared in ethanol. The mixture was incubated at </w:t>
      </w:r>
      <w:r w:rsidR="00985985" w:rsidRPr="00B312E6">
        <w:rPr>
          <w:rFonts w:ascii="Times New Roman" w:hAnsi="Times New Roman" w:cs="Times New Roman"/>
          <w:sz w:val="24"/>
          <w:szCs w:val="24"/>
        </w:rPr>
        <w:t>room temperature for 30 minutes</w:t>
      </w:r>
      <w:r w:rsidR="00D62A30" w:rsidRPr="00B312E6">
        <w:rPr>
          <w:rFonts w:ascii="Times New Roman" w:hAnsi="Times New Roman" w:cs="Times New Roman"/>
          <w:sz w:val="24"/>
          <w:szCs w:val="24"/>
        </w:rPr>
        <w:t xml:space="preserve"> and absorbance was measured at 577 nm.</w:t>
      </w:r>
    </w:p>
    <w:p w14:paraId="0CDDABE9"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2.3.4 </w:t>
      </w:r>
      <w:r w:rsidRPr="00D62A30">
        <w:rPr>
          <w:rFonts w:ascii="Times New Roman" w:hAnsi="Times New Roman" w:cs="Times New Roman"/>
          <w:b/>
          <w:sz w:val="24"/>
        </w:rPr>
        <w:t>Total Sugar Estimation</w:t>
      </w:r>
    </w:p>
    <w:p w14:paraId="2F18CD15" w14:textId="6E2337F0" w:rsidR="00D62A30" w:rsidRPr="00402BD5" w:rsidRDefault="00FA1B45"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t>Sugar content was estimated by employing the anthrone re</w:t>
      </w:r>
      <w:r w:rsidR="00B119EF">
        <w:rPr>
          <w:rFonts w:ascii="Times New Roman" w:hAnsi="Times New Roman" w:cs="Times New Roman"/>
          <w:color w:val="222222"/>
          <w:sz w:val="24"/>
          <w:szCs w:val="24"/>
          <w:shd w:val="clear" w:color="auto" w:fill="FFFFFF"/>
        </w:rPr>
        <w:t>agent method as described by DuB</w:t>
      </w:r>
      <w:r w:rsidRPr="00402BD5">
        <w:rPr>
          <w:rFonts w:ascii="Times New Roman" w:hAnsi="Times New Roman" w:cs="Times New Roman"/>
          <w:color w:val="222222"/>
          <w:sz w:val="24"/>
          <w:szCs w:val="24"/>
          <w:shd w:val="clear" w:color="auto" w:fill="FFFFFF"/>
        </w:rPr>
        <w:t>ois et al.</w:t>
      </w:r>
      <w:r w:rsidR="00927D70">
        <w:rPr>
          <w:rFonts w:ascii="Times New Roman" w:hAnsi="Times New Roman" w:cs="Times New Roman"/>
          <w:color w:val="222222"/>
          <w:sz w:val="24"/>
          <w:szCs w:val="24"/>
          <w:shd w:val="clear" w:color="auto" w:fill="FFFFFF"/>
        </w:rPr>
        <w:t xml:space="preserve"> </w:t>
      </w:r>
      <w:r w:rsidR="000F1E6D">
        <w:rPr>
          <w:rFonts w:ascii="Times New Roman" w:hAnsi="Times New Roman" w:cs="Times New Roman"/>
          <w:color w:val="222222"/>
          <w:sz w:val="24"/>
          <w:szCs w:val="24"/>
          <w:shd w:val="clear" w:color="auto" w:fill="FFFFFF"/>
        </w:rPr>
        <w:t>(1956)</w:t>
      </w:r>
      <w:r w:rsidR="00402BD5" w:rsidRPr="00402BD5">
        <w:rPr>
          <w:rFonts w:ascii="Times New Roman" w:hAnsi="Times New Roman" w:cs="Times New Roman"/>
          <w:color w:val="222222"/>
          <w:sz w:val="24"/>
          <w:szCs w:val="24"/>
          <w:shd w:val="clear" w:color="auto" w:fill="FFFFFF"/>
        </w:rPr>
        <w:t xml:space="preserve">. </w:t>
      </w:r>
      <w:r w:rsidR="00D62A30" w:rsidRPr="00402BD5">
        <w:rPr>
          <w:rFonts w:ascii="Times New Roman" w:hAnsi="Times New Roman" w:cs="Times New Roman"/>
          <w:sz w:val="24"/>
          <w:szCs w:val="24"/>
        </w:rPr>
        <w:t>Total sugar content was estimated by taking 100 mg of fresh leaf samples collected at 35 days after sowing. The samples were homogenized in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residue was re-extracted with another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supernatants (total 10 ml) were dried at 65°C. The dried extract was dissolved in 1</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distilled water. From this, 100 µl was mixed with anthrone reagent. The reaction mixture was heated at 100°C for 30 minutes, cooled to room temperature, and absorbance was recorded at 630 nm.</w:t>
      </w:r>
    </w:p>
    <w:p w14:paraId="65806463"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2.3.5 </w:t>
      </w:r>
      <w:r w:rsidRPr="00D62A30">
        <w:rPr>
          <w:rFonts w:ascii="Times New Roman" w:hAnsi="Times New Roman" w:cs="Times New Roman"/>
          <w:b/>
          <w:sz w:val="24"/>
        </w:rPr>
        <w:t>Phenol Estimation</w:t>
      </w:r>
    </w:p>
    <w:p w14:paraId="099807EE" w14:textId="13DAE242" w:rsidR="00D62A30" w:rsidRPr="00402BD5" w:rsidRDefault="005B3B47"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t xml:space="preserve">The total phenol content was determined </w:t>
      </w:r>
      <w:r w:rsidR="00162269">
        <w:rPr>
          <w:rFonts w:ascii="Times New Roman" w:hAnsi="Times New Roman" w:cs="Times New Roman"/>
          <w:color w:val="222222"/>
          <w:sz w:val="24"/>
          <w:szCs w:val="24"/>
          <w:shd w:val="clear" w:color="auto" w:fill="FFFFFF"/>
        </w:rPr>
        <w:t>employing</w:t>
      </w:r>
      <w:r w:rsidRPr="00402BD5">
        <w:rPr>
          <w:rFonts w:ascii="Times New Roman" w:hAnsi="Times New Roman" w:cs="Times New Roman"/>
          <w:color w:val="222222"/>
          <w:sz w:val="24"/>
          <w:szCs w:val="24"/>
          <w:shd w:val="clear" w:color="auto" w:fill="FFFFFF"/>
        </w:rPr>
        <w:t xml:space="preserve"> the Swain and </w:t>
      </w:r>
      <w:r w:rsidR="00927D70" w:rsidRPr="00402BD5">
        <w:rPr>
          <w:rFonts w:ascii="Times New Roman" w:hAnsi="Times New Roman" w:cs="Times New Roman"/>
          <w:color w:val="222222"/>
          <w:sz w:val="24"/>
          <w:szCs w:val="24"/>
          <w:shd w:val="clear" w:color="auto" w:fill="FFFFFF"/>
        </w:rPr>
        <w:t xml:space="preserve">Hillis </w:t>
      </w:r>
      <w:r w:rsidR="00927D70">
        <w:rPr>
          <w:rFonts w:ascii="Times New Roman" w:hAnsi="Times New Roman" w:cs="Times New Roman"/>
          <w:color w:val="222222"/>
          <w:sz w:val="24"/>
          <w:szCs w:val="24"/>
          <w:shd w:val="clear" w:color="auto" w:fill="FFFFFF"/>
        </w:rPr>
        <w:t>(</w:t>
      </w:r>
      <w:r w:rsidR="0032464D">
        <w:rPr>
          <w:rFonts w:ascii="Times New Roman" w:hAnsi="Times New Roman" w:cs="Times New Roman"/>
          <w:color w:val="222222"/>
          <w:sz w:val="24"/>
          <w:szCs w:val="24"/>
          <w:shd w:val="clear" w:color="auto" w:fill="FFFFFF"/>
        </w:rPr>
        <w:t>1959)</w:t>
      </w:r>
      <w:r w:rsidRPr="00402BD5">
        <w:rPr>
          <w:rFonts w:ascii="Times New Roman" w:hAnsi="Times New Roman" w:cs="Times New Roman"/>
          <w:color w:val="222222"/>
          <w:sz w:val="24"/>
          <w:szCs w:val="24"/>
          <w:shd w:val="clear" w:color="auto" w:fill="FFFFFF"/>
        </w:rPr>
        <w:t xml:space="preserve"> technique. </w:t>
      </w:r>
      <w:r w:rsidR="00D62A30" w:rsidRPr="00402BD5">
        <w:rPr>
          <w:rFonts w:ascii="Times New Roman" w:hAnsi="Times New Roman" w:cs="Times New Roman"/>
          <w:sz w:val="24"/>
          <w:szCs w:val="24"/>
        </w:rPr>
        <w:t>For phenol content determination, 100 mg of fresh leaf samples were collected from each row after 35 days of sowing. The samples were ground in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pellet was re-extracted with an additional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 (10 ml) was evaporated to dryness at 65°C. The residue was di</w:t>
      </w:r>
      <w:r w:rsidR="00985985" w:rsidRPr="00402BD5">
        <w:rPr>
          <w:rFonts w:ascii="Times New Roman" w:hAnsi="Times New Roman" w:cs="Times New Roman"/>
          <w:sz w:val="24"/>
          <w:szCs w:val="24"/>
        </w:rPr>
        <w:t>ssolved in 1</w:t>
      </w:r>
      <w:r w:rsidR="00013F2B">
        <w:rPr>
          <w:rFonts w:ascii="Times New Roman" w:hAnsi="Times New Roman" w:cs="Times New Roman"/>
          <w:sz w:val="24"/>
          <w:szCs w:val="24"/>
        </w:rPr>
        <w:t>.0</w:t>
      </w:r>
      <w:r w:rsidR="00985985" w:rsidRPr="00402BD5">
        <w:rPr>
          <w:rFonts w:ascii="Times New Roman" w:hAnsi="Times New Roman" w:cs="Times New Roman"/>
          <w:sz w:val="24"/>
          <w:szCs w:val="24"/>
        </w:rPr>
        <w:t xml:space="preserve"> ml distilled water</w:t>
      </w:r>
      <w:r w:rsidR="00D62A30" w:rsidRPr="00402BD5">
        <w:rPr>
          <w:rFonts w:ascii="Times New Roman" w:hAnsi="Times New Roman" w:cs="Times New Roman"/>
          <w:sz w:val="24"/>
          <w:szCs w:val="24"/>
        </w:rPr>
        <w:t xml:space="preserve"> and 50 µl of this extract was mixed with 50 µl Folin–Ciocalteu reagent and 200 µl of 20% sodium carbonate, then the volume was made up to 1</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with distilled water. The mixture was briefly boiled for 1 minute and allowed to stand at room temperature for 2 hours. Absorbance was measured at 650 nm.</w:t>
      </w:r>
    </w:p>
    <w:p w14:paraId="075EAC0B" w14:textId="46844238" w:rsidR="00E15BDB" w:rsidRPr="00E15BDB" w:rsidRDefault="00E15BDB" w:rsidP="00E15BDB">
      <w:pPr>
        <w:spacing w:before="120" w:after="120" w:line="360" w:lineRule="auto"/>
        <w:jc w:val="both"/>
        <w:rPr>
          <w:rFonts w:ascii="Times New Roman" w:hAnsi="Times New Roman" w:cs="Times New Roman"/>
          <w:b/>
          <w:bCs/>
          <w:sz w:val="24"/>
          <w:szCs w:val="24"/>
        </w:rPr>
      </w:pPr>
      <w:r w:rsidRPr="00E15BDB">
        <w:rPr>
          <w:rFonts w:ascii="Times New Roman" w:hAnsi="Times New Roman" w:cs="Times New Roman"/>
          <w:b/>
          <w:bCs/>
          <w:sz w:val="24"/>
          <w:szCs w:val="24"/>
        </w:rPr>
        <w:t xml:space="preserve">2.4 </w:t>
      </w:r>
      <w:r w:rsidR="00DD6BED" w:rsidRPr="00E15BDB">
        <w:rPr>
          <w:rFonts w:ascii="Times New Roman" w:hAnsi="Times New Roman" w:cs="Times New Roman"/>
          <w:b/>
          <w:bCs/>
          <w:sz w:val="24"/>
          <w:szCs w:val="24"/>
        </w:rPr>
        <w:t xml:space="preserve">Statistical analysis of biochemical traits </w:t>
      </w:r>
    </w:p>
    <w:p w14:paraId="206A2A65" w14:textId="61F5E106" w:rsidR="00DD6BED" w:rsidRPr="00B844B0" w:rsidRDefault="00C76DAE" w:rsidP="00E15BDB">
      <w:pPr>
        <w:spacing w:before="120" w:after="120" w:line="360" w:lineRule="auto"/>
        <w:jc w:val="both"/>
        <w:rPr>
          <w:rFonts w:ascii="Times New Roman" w:hAnsi="Times New Roman" w:cs="Times New Roman"/>
          <w:sz w:val="24"/>
          <w:szCs w:val="24"/>
        </w:rPr>
      </w:pPr>
      <w:r w:rsidRPr="00B844B0">
        <w:rPr>
          <w:rFonts w:ascii="Times New Roman" w:hAnsi="Times New Roman" w:cs="Times New Roman"/>
          <w:sz w:val="24"/>
          <w:szCs w:val="24"/>
        </w:rPr>
        <w:t>The data were analysed as per method recommended by Snedecor and Cochran (1997).</w:t>
      </w:r>
      <w:r w:rsidR="00B844B0">
        <w:rPr>
          <w:rFonts w:ascii="Times New Roman" w:hAnsi="Times New Roman" w:cs="Times New Roman"/>
          <w:sz w:val="24"/>
          <w:szCs w:val="24"/>
        </w:rPr>
        <w:t xml:space="preserve"> While t</w:t>
      </w:r>
      <w:r w:rsidR="00DD6BED" w:rsidRPr="00B844B0">
        <w:rPr>
          <w:rFonts w:ascii="Times New Roman" w:hAnsi="Times New Roman" w:cs="Times New Roman"/>
          <w:sz w:val="24"/>
          <w:szCs w:val="24"/>
        </w:rPr>
        <w:t>he correlations between all the biochemical parameters were estimated employing SPSSV19 software</w:t>
      </w:r>
      <w:r w:rsidR="00F93FDF" w:rsidRPr="00B844B0">
        <w:rPr>
          <w:rFonts w:ascii="Times New Roman" w:hAnsi="Times New Roman" w:cs="Times New Roman"/>
          <w:sz w:val="24"/>
          <w:szCs w:val="24"/>
        </w:rPr>
        <w:t>.</w:t>
      </w:r>
    </w:p>
    <w:p w14:paraId="2874E066" w14:textId="4C9F9028" w:rsidR="001F210C" w:rsidRDefault="001F210C" w:rsidP="005063E3">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727897">
        <w:rPr>
          <w:rFonts w:ascii="Times New Roman" w:hAnsi="Times New Roman" w:cs="Times New Roman"/>
          <w:b/>
          <w:sz w:val="24"/>
        </w:rPr>
        <w:t>s</w:t>
      </w:r>
      <w:r>
        <w:rPr>
          <w:rFonts w:ascii="Times New Roman" w:hAnsi="Times New Roman" w:cs="Times New Roman"/>
          <w:b/>
          <w:sz w:val="24"/>
        </w:rPr>
        <w:t xml:space="preserve"> &amp; Discussion </w:t>
      </w:r>
    </w:p>
    <w:p w14:paraId="26D15F9B"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3.1 </w:t>
      </w:r>
      <w:r w:rsidRPr="00D62A30">
        <w:rPr>
          <w:rFonts w:ascii="Times New Roman" w:hAnsi="Times New Roman" w:cs="Times New Roman"/>
          <w:b/>
          <w:sz w:val="24"/>
        </w:rPr>
        <w:t>Protein Estimation</w:t>
      </w:r>
    </w:p>
    <w:p w14:paraId="494D79C7" w14:textId="642A780A" w:rsid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Protein content among the desi chickpea genotypes evaluated (</w:t>
      </w:r>
      <w:r w:rsidR="00FB26EE">
        <w:rPr>
          <w:rFonts w:ascii="Times New Roman" w:hAnsi="Times New Roman" w:cs="Times New Roman"/>
          <w:sz w:val="24"/>
        </w:rPr>
        <w:t>Table 2</w:t>
      </w:r>
      <w:r w:rsidRPr="00AC403D">
        <w:rPr>
          <w:rFonts w:ascii="Times New Roman" w:hAnsi="Times New Roman" w:cs="Times New Roman"/>
          <w:sz w:val="24"/>
        </w:rPr>
        <w:t>) showed substantial variability, ranging from 16.00% to 20.85%, with an overall mean of 18.25%. The highest protein con</w:t>
      </w:r>
      <w:r w:rsidR="00B25B9A">
        <w:rPr>
          <w:rFonts w:ascii="Times New Roman" w:hAnsi="Times New Roman" w:cs="Times New Roman"/>
          <w:sz w:val="24"/>
        </w:rPr>
        <w:t>tent</w:t>
      </w:r>
      <w:r w:rsidRPr="00AC403D">
        <w:rPr>
          <w:rFonts w:ascii="Times New Roman" w:hAnsi="Times New Roman" w:cs="Times New Roman"/>
          <w:sz w:val="24"/>
        </w:rPr>
        <w:t xml:space="preserve"> </w:t>
      </w:r>
      <w:r w:rsidR="00052561" w:rsidRPr="00AC403D">
        <w:rPr>
          <w:rFonts w:ascii="Times New Roman" w:hAnsi="Times New Roman" w:cs="Times New Roman"/>
          <w:sz w:val="24"/>
        </w:rPr>
        <w:t>was</w:t>
      </w:r>
      <w:r w:rsidRPr="00AC403D">
        <w:rPr>
          <w:rFonts w:ascii="Times New Roman" w:hAnsi="Times New Roman" w:cs="Times New Roman"/>
          <w:sz w:val="24"/>
        </w:rPr>
        <w:t xml:space="preserve"> recorded in genotypes SAGL-162371 and SAGL-161024 (20.85%), followed by SAGL-152273 (20.80%), SAGL-152327 (20.75%), SAGL</w:t>
      </w:r>
      <w:r w:rsidR="00985985">
        <w:rPr>
          <w:rFonts w:ascii="Times New Roman" w:hAnsi="Times New Roman" w:cs="Times New Roman"/>
          <w:sz w:val="24"/>
        </w:rPr>
        <w:t>-162265 (20.70%), JG-6 (20.65%)</w:t>
      </w:r>
      <w:r w:rsidRPr="00AC403D">
        <w:rPr>
          <w:rFonts w:ascii="Times New Roman" w:hAnsi="Times New Roman" w:cs="Times New Roman"/>
          <w:sz w:val="24"/>
        </w:rPr>
        <w:t xml:space="preserve"> and SAGL-152234 (20.25%). Conversely, the lowest protein contents were </w:t>
      </w:r>
      <w:r w:rsidR="00B25B9A">
        <w:rPr>
          <w:rFonts w:ascii="Times New Roman" w:hAnsi="Times New Roman" w:cs="Times New Roman"/>
          <w:sz w:val="24"/>
        </w:rPr>
        <w:t>evident</w:t>
      </w:r>
      <w:r w:rsidRPr="00AC403D">
        <w:rPr>
          <w:rFonts w:ascii="Times New Roman" w:hAnsi="Times New Roman" w:cs="Times New Roman"/>
          <w:sz w:val="24"/>
        </w:rPr>
        <w:t xml:space="preserve"> in SAGL-162377 (16.00%)</w:t>
      </w:r>
      <w:r w:rsidR="00052561">
        <w:rPr>
          <w:rFonts w:ascii="Times New Roman" w:hAnsi="Times New Roman" w:cs="Times New Roman"/>
          <w:sz w:val="24"/>
        </w:rPr>
        <w:t xml:space="preserve"> tracked by</w:t>
      </w:r>
      <w:r w:rsidRPr="00AC403D">
        <w:rPr>
          <w:rFonts w:ascii="Times New Roman" w:hAnsi="Times New Roman" w:cs="Times New Roman"/>
          <w:sz w:val="24"/>
        </w:rPr>
        <w:t xml:space="preserve"> SAGL-152252 (16.10%), JG-63 (16.55%),</w:t>
      </w:r>
      <w:r w:rsidR="00985985">
        <w:rPr>
          <w:rFonts w:ascii="Times New Roman" w:hAnsi="Times New Roman" w:cs="Times New Roman"/>
          <w:sz w:val="24"/>
        </w:rPr>
        <w:t xml:space="preserve"> SAGL-152250 (16.70%)</w:t>
      </w:r>
      <w:r w:rsidRPr="00AC403D">
        <w:rPr>
          <w:rFonts w:ascii="Times New Roman" w:hAnsi="Times New Roman" w:cs="Times New Roman"/>
          <w:sz w:val="24"/>
        </w:rPr>
        <w:t xml:space="preserve"> and SAGL-152208 (16.95%).</w:t>
      </w:r>
      <w:r>
        <w:rPr>
          <w:rFonts w:ascii="Times New Roman" w:hAnsi="Times New Roman" w:cs="Times New Roman"/>
          <w:sz w:val="24"/>
        </w:rPr>
        <w:t xml:space="preserve"> </w:t>
      </w:r>
      <w:r w:rsidRPr="00AC403D">
        <w:rPr>
          <w:rFonts w:ascii="Times New Roman" w:hAnsi="Times New Roman" w:cs="Times New Roman"/>
          <w:sz w:val="24"/>
        </w:rPr>
        <w:t>This pronounced variation highlights the rich genetic diversity present within the chickpea germplasm for seed protein content. Such variability is particularly valuable for chickpea improvement program</w:t>
      </w:r>
      <w:r w:rsidR="00703D85">
        <w:rPr>
          <w:rFonts w:ascii="Times New Roman" w:hAnsi="Times New Roman" w:cs="Times New Roman"/>
          <w:sz w:val="24"/>
        </w:rPr>
        <w:t>me</w:t>
      </w:r>
      <w:r w:rsidRPr="00AC403D">
        <w:rPr>
          <w:rFonts w:ascii="Times New Roman" w:hAnsi="Times New Roman" w:cs="Times New Roman"/>
          <w:sz w:val="24"/>
        </w:rPr>
        <w:t>s targeting enhanced nutritional quality</w:t>
      </w:r>
      <w:r w:rsidR="006E4F1F">
        <w:rPr>
          <w:rFonts w:ascii="Times New Roman" w:hAnsi="Times New Roman" w:cs="Times New Roman"/>
          <w:sz w:val="24"/>
        </w:rPr>
        <w:t xml:space="preserve"> (Jayalakshmi et al., 2018)</w:t>
      </w:r>
      <w:r w:rsidRPr="00AC403D">
        <w:rPr>
          <w:rFonts w:ascii="Times New Roman" w:hAnsi="Times New Roman" w:cs="Times New Roman"/>
          <w:sz w:val="24"/>
        </w:rPr>
        <w:t>. The identification of high-protein genotypes provides an opportunity to develop cultivars that can contribute to addressing dietary protein requirements and improving food security</w:t>
      </w:r>
      <w:r w:rsidR="006E4F1F">
        <w:rPr>
          <w:rFonts w:ascii="Times New Roman" w:hAnsi="Times New Roman" w:cs="Times New Roman"/>
          <w:sz w:val="24"/>
        </w:rPr>
        <w:t xml:space="preserve"> (</w:t>
      </w:r>
      <w:r w:rsidR="003B0903">
        <w:rPr>
          <w:rFonts w:ascii="Times New Roman" w:hAnsi="Times New Roman" w:cs="Times New Roman"/>
          <w:sz w:val="24"/>
        </w:rPr>
        <w:t xml:space="preserve">Yadav et al., 2022; </w:t>
      </w:r>
      <w:r w:rsidR="006D4EF9">
        <w:rPr>
          <w:rFonts w:ascii="Times New Roman" w:hAnsi="Times New Roman" w:cs="Times New Roman"/>
          <w:sz w:val="24"/>
        </w:rPr>
        <w:t xml:space="preserve">Yadav et al., 2023b; Yadav et al., 2023c; </w:t>
      </w:r>
      <w:r w:rsidR="006E4F1F">
        <w:rPr>
          <w:rFonts w:ascii="Times New Roman" w:hAnsi="Times New Roman" w:cs="Times New Roman"/>
          <w:sz w:val="24"/>
        </w:rPr>
        <w:t>Jha et al., 2024)</w:t>
      </w:r>
      <w:r w:rsidRPr="00AC403D">
        <w:rPr>
          <w:rFonts w:ascii="Times New Roman" w:hAnsi="Times New Roman" w:cs="Times New Roman"/>
          <w:sz w:val="24"/>
        </w:rPr>
        <w:t xml:space="preserve">. These findings are consistent with earlier reports by </w:t>
      </w:r>
      <w:r w:rsidR="006E4F1F">
        <w:rPr>
          <w:rFonts w:ascii="Times New Roman" w:hAnsi="Times New Roman" w:cs="Times New Roman"/>
          <w:sz w:val="24"/>
        </w:rPr>
        <w:t xml:space="preserve">Grewal et al. </w:t>
      </w:r>
      <w:r w:rsidR="00C317EA">
        <w:rPr>
          <w:rFonts w:ascii="Times New Roman" w:hAnsi="Times New Roman" w:cs="Times New Roman"/>
          <w:sz w:val="24"/>
        </w:rPr>
        <w:t>(</w:t>
      </w:r>
      <w:r w:rsidR="006E4F1F">
        <w:rPr>
          <w:rFonts w:ascii="Times New Roman" w:hAnsi="Times New Roman" w:cs="Times New Roman"/>
          <w:sz w:val="24"/>
        </w:rPr>
        <w:t>2022</w:t>
      </w:r>
      <w:r w:rsidR="00C317EA">
        <w:rPr>
          <w:rFonts w:ascii="Times New Roman" w:hAnsi="Times New Roman" w:cs="Times New Roman"/>
          <w:sz w:val="24"/>
        </w:rPr>
        <w:t>)</w:t>
      </w:r>
      <w:r w:rsidRPr="00AC403D">
        <w:rPr>
          <w:rFonts w:ascii="Times New Roman" w:hAnsi="Times New Roman" w:cs="Times New Roman"/>
          <w:sz w:val="24"/>
        </w:rPr>
        <w:t xml:space="preserve">, </w:t>
      </w:r>
      <w:r w:rsidR="006E4F1F">
        <w:rPr>
          <w:rFonts w:ascii="Times New Roman" w:hAnsi="Times New Roman" w:cs="Times New Roman"/>
          <w:sz w:val="24"/>
        </w:rPr>
        <w:t xml:space="preserve">Bose et al. </w:t>
      </w:r>
      <w:r w:rsidR="00C317EA">
        <w:rPr>
          <w:rFonts w:ascii="Times New Roman" w:hAnsi="Times New Roman" w:cs="Times New Roman"/>
          <w:sz w:val="24"/>
        </w:rPr>
        <w:t>(</w:t>
      </w:r>
      <w:r w:rsidR="000763A5">
        <w:rPr>
          <w:rFonts w:ascii="Times New Roman" w:hAnsi="Times New Roman" w:cs="Times New Roman"/>
          <w:sz w:val="24"/>
        </w:rPr>
        <w:t>2024)</w:t>
      </w:r>
      <w:r w:rsidR="006E4F1F">
        <w:rPr>
          <w:rFonts w:ascii="Times New Roman" w:hAnsi="Times New Roman" w:cs="Times New Roman"/>
          <w:sz w:val="24"/>
        </w:rPr>
        <w:t xml:space="preserve"> </w:t>
      </w:r>
      <w:r w:rsidR="00254112">
        <w:rPr>
          <w:rFonts w:ascii="Times New Roman" w:hAnsi="Times New Roman" w:cs="Times New Roman"/>
          <w:sz w:val="24"/>
        </w:rPr>
        <w:t xml:space="preserve">and </w:t>
      </w:r>
      <w:r w:rsidR="006E4F1F">
        <w:rPr>
          <w:rFonts w:ascii="Times New Roman" w:eastAsia="Times New Roman" w:hAnsi="Times New Roman" w:cs="Times New Roman"/>
          <w:sz w:val="24"/>
          <w:szCs w:val="24"/>
          <w:lang w:eastAsia="en-IN"/>
        </w:rPr>
        <w:t xml:space="preserve">Jayalakshmi </w:t>
      </w:r>
      <w:r w:rsidR="006E4F1F" w:rsidRPr="006E4F1F">
        <w:rPr>
          <w:rFonts w:ascii="Times New Roman" w:eastAsia="Times New Roman" w:hAnsi="Times New Roman" w:cs="Times New Roman"/>
          <w:sz w:val="24"/>
          <w:szCs w:val="24"/>
          <w:lang w:eastAsia="en-IN"/>
        </w:rPr>
        <w:t>&amp; Kumar</w:t>
      </w:r>
      <w:r w:rsidR="00BA13CC">
        <w:rPr>
          <w:rFonts w:ascii="Times New Roman" w:eastAsia="Times New Roman" w:hAnsi="Times New Roman" w:cs="Times New Roman"/>
          <w:sz w:val="24"/>
          <w:szCs w:val="24"/>
          <w:lang w:eastAsia="en-IN"/>
        </w:rPr>
        <w:t xml:space="preserve"> (2024),</w:t>
      </w:r>
      <w:r w:rsidR="006E4F1F">
        <w:rPr>
          <w:rFonts w:ascii="Times New Roman" w:hAnsi="Times New Roman" w:cs="Times New Roman"/>
          <w:sz w:val="24"/>
        </w:rPr>
        <w:t xml:space="preserve"> </w:t>
      </w:r>
      <w:r w:rsidRPr="00AC403D">
        <w:rPr>
          <w:rFonts w:ascii="Times New Roman" w:hAnsi="Times New Roman" w:cs="Times New Roman"/>
          <w:sz w:val="24"/>
        </w:rPr>
        <w:t xml:space="preserve">who similarly </w:t>
      </w:r>
      <w:r w:rsidR="008C1CA5" w:rsidRPr="008C1CA5">
        <w:rPr>
          <w:rFonts w:ascii="Times New Roman" w:hAnsi="Times New Roman" w:cs="Times New Roman"/>
          <w:sz w:val="24"/>
          <w:highlight w:val="yellow"/>
        </w:rPr>
        <w:t>found</w:t>
      </w:r>
      <w:r w:rsidR="008C1CA5">
        <w:rPr>
          <w:rFonts w:ascii="Times New Roman" w:hAnsi="Times New Roman" w:cs="Times New Roman"/>
          <w:sz w:val="24"/>
        </w:rPr>
        <w:t xml:space="preserve"> </w:t>
      </w:r>
      <w:r w:rsidRPr="00AC403D">
        <w:rPr>
          <w:rFonts w:ascii="Times New Roman" w:hAnsi="Times New Roman" w:cs="Times New Roman"/>
          <w:sz w:val="24"/>
        </w:rPr>
        <w:t xml:space="preserve">significant genotypic differences in seed protein levels in chickpea. Exploiting this variability through </w:t>
      </w:r>
      <w:r w:rsidRPr="00AC403D">
        <w:rPr>
          <w:rFonts w:ascii="Times New Roman" w:hAnsi="Times New Roman" w:cs="Times New Roman"/>
          <w:sz w:val="24"/>
        </w:rPr>
        <w:lastRenderedPageBreak/>
        <w:t>systematic selection and breeding could lead to the development of nutritionally superior chickpea varieties.</w:t>
      </w:r>
    </w:p>
    <w:p w14:paraId="3C45912C" w14:textId="00DDC1E8" w:rsidR="00AC403D" w:rsidRPr="00AC403D" w:rsidRDefault="00AC403D" w:rsidP="005063E3">
      <w:pPr>
        <w:spacing w:before="120" w:after="120" w:line="360" w:lineRule="auto"/>
        <w:jc w:val="both"/>
        <w:rPr>
          <w:rFonts w:ascii="Times New Roman" w:hAnsi="Times New Roman" w:cs="Times New Roman"/>
          <w:sz w:val="24"/>
        </w:rPr>
      </w:pPr>
      <w:r>
        <w:rPr>
          <w:rFonts w:ascii="Times New Roman" w:hAnsi="Times New Roman" w:cs="Times New Roman"/>
          <w:b/>
          <w:bCs/>
          <w:sz w:val="24"/>
        </w:rPr>
        <w:t>3.</w:t>
      </w:r>
      <w:r w:rsidRPr="00AC403D">
        <w:rPr>
          <w:rFonts w:ascii="Times New Roman" w:hAnsi="Times New Roman" w:cs="Times New Roman"/>
          <w:b/>
          <w:bCs/>
          <w:sz w:val="24"/>
        </w:rPr>
        <w:t xml:space="preserve">2 Total Proline </w:t>
      </w:r>
      <w:r w:rsidR="00727897">
        <w:rPr>
          <w:rFonts w:ascii="Times New Roman" w:hAnsi="Times New Roman" w:cs="Times New Roman"/>
          <w:b/>
          <w:bCs/>
          <w:sz w:val="24"/>
        </w:rPr>
        <w:t>C</w:t>
      </w:r>
      <w:r w:rsidRPr="00AC403D">
        <w:rPr>
          <w:rFonts w:ascii="Times New Roman" w:hAnsi="Times New Roman" w:cs="Times New Roman"/>
          <w:b/>
          <w:bCs/>
          <w:sz w:val="24"/>
        </w:rPr>
        <w:t>ontent</w:t>
      </w:r>
      <w:r w:rsidR="00C93E6E">
        <w:rPr>
          <w:rFonts w:ascii="Times New Roman" w:hAnsi="Times New Roman" w:cs="Times New Roman"/>
          <w:b/>
          <w:bCs/>
          <w:sz w:val="24"/>
        </w:rPr>
        <w:t xml:space="preserve"> Estimation</w:t>
      </w:r>
    </w:p>
    <w:p w14:paraId="53DF2292" w14:textId="433BD6E1"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 xml:space="preserve">Proline content among the chickpea genotypes under </w:t>
      </w:r>
      <w:r w:rsidR="00894552">
        <w:rPr>
          <w:rFonts w:ascii="Times New Roman" w:hAnsi="Times New Roman" w:cs="Times New Roman"/>
          <w:sz w:val="24"/>
        </w:rPr>
        <w:t>investigation</w:t>
      </w:r>
      <w:r w:rsidRPr="00AC403D">
        <w:rPr>
          <w:rFonts w:ascii="Times New Roman" w:hAnsi="Times New Roman" w:cs="Times New Roman"/>
          <w:sz w:val="24"/>
        </w:rPr>
        <w:t xml:space="preserve"> (</w:t>
      </w:r>
      <w:r w:rsidR="00FB26EE">
        <w:rPr>
          <w:rFonts w:ascii="Times New Roman" w:hAnsi="Times New Roman" w:cs="Times New Roman"/>
          <w:sz w:val="24"/>
        </w:rPr>
        <w:t>Table</w:t>
      </w:r>
      <w:r w:rsidR="00894552">
        <w:rPr>
          <w:rFonts w:ascii="Times New Roman" w:hAnsi="Times New Roman" w:cs="Times New Roman"/>
          <w:sz w:val="24"/>
        </w:rPr>
        <w:t xml:space="preserve"> </w:t>
      </w:r>
      <w:r w:rsidR="00FB26EE">
        <w:rPr>
          <w:rFonts w:ascii="Times New Roman" w:hAnsi="Times New Roman" w:cs="Times New Roman"/>
          <w:sz w:val="24"/>
        </w:rPr>
        <w:t>2</w:t>
      </w:r>
      <w:r w:rsidRPr="00AC403D">
        <w:rPr>
          <w:rFonts w:ascii="Times New Roman" w:hAnsi="Times New Roman" w:cs="Times New Roman"/>
          <w:sz w:val="24"/>
        </w:rPr>
        <w:t xml:space="preserve">) exhibited considerable variation, </w:t>
      </w:r>
      <w:r w:rsidR="00BD27B4" w:rsidRPr="00BD27B4">
        <w:rPr>
          <w:rFonts w:ascii="Times New Roman" w:hAnsi="Times New Roman" w:cs="Times New Roman"/>
          <w:sz w:val="24"/>
          <w:highlight w:val="yellow"/>
        </w:rPr>
        <w:t>vacillating</w:t>
      </w:r>
      <w:r w:rsidRPr="00AC403D">
        <w:rPr>
          <w:rFonts w:ascii="Times New Roman" w:hAnsi="Times New Roman" w:cs="Times New Roman"/>
          <w:sz w:val="24"/>
        </w:rPr>
        <w:t xml:space="preserve"> from 1.52 to 2.94 µmol/g, with a mean </w:t>
      </w:r>
      <w:r w:rsidR="00BD27B4">
        <w:rPr>
          <w:rFonts w:ascii="Times New Roman" w:hAnsi="Times New Roman" w:cs="Times New Roman"/>
          <w:sz w:val="24"/>
        </w:rPr>
        <w:t>worth</w:t>
      </w:r>
      <w:r w:rsidRPr="00AC403D">
        <w:rPr>
          <w:rFonts w:ascii="Times New Roman" w:hAnsi="Times New Roman" w:cs="Times New Roman"/>
          <w:sz w:val="24"/>
        </w:rPr>
        <w:t xml:space="preserve"> of 2.20 µmol/g. The highest proline accumulation was </w:t>
      </w:r>
      <w:r w:rsidR="005A68FB" w:rsidRPr="005A68FB">
        <w:rPr>
          <w:rFonts w:ascii="Times New Roman" w:hAnsi="Times New Roman" w:cs="Times New Roman"/>
          <w:sz w:val="24"/>
          <w:highlight w:val="yellow"/>
        </w:rPr>
        <w:t>evident</w:t>
      </w:r>
      <w:r w:rsidRPr="00AC403D">
        <w:rPr>
          <w:rFonts w:ascii="Times New Roman" w:hAnsi="Times New Roman" w:cs="Times New Roman"/>
          <w:sz w:val="24"/>
        </w:rPr>
        <w:t xml:space="preserve"> in genotype JG-6 (2.94 µmol/g), closely followed by SAGL-152334 (2.85 µmol/g), JG-14 (2.87 µmol/g), SAGL-152238 (2.83 µmo</w:t>
      </w:r>
      <w:r w:rsidR="00985985">
        <w:rPr>
          <w:rFonts w:ascii="Times New Roman" w:hAnsi="Times New Roman" w:cs="Times New Roman"/>
          <w:sz w:val="24"/>
        </w:rPr>
        <w:t>l/g), SAGL-152337 (2.83 µmol/g)</w:t>
      </w:r>
      <w:r w:rsidRPr="00AC403D">
        <w:rPr>
          <w:rFonts w:ascii="Times New Roman" w:hAnsi="Times New Roman" w:cs="Times New Roman"/>
          <w:sz w:val="24"/>
        </w:rPr>
        <w:t xml:space="preserve"> and SAGL-152237 (2.87 µmol/g). In contrast, the lowest proline contents were </w:t>
      </w:r>
      <w:r w:rsidR="003931A1" w:rsidRPr="003931A1">
        <w:rPr>
          <w:rFonts w:ascii="Times New Roman" w:hAnsi="Times New Roman" w:cs="Times New Roman"/>
          <w:sz w:val="24"/>
          <w:highlight w:val="yellow"/>
        </w:rPr>
        <w:t>detected</w:t>
      </w:r>
      <w:r w:rsidRPr="00AC403D">
        <w:rPr>
          <w:rFonts w:ascii="Times New Roman" w:hAnsi="Times New Roman" w:cs="Times New Roman"/>
          <w:sz w:val="24"/>
        </w:rPr>
        <w:t xml:space="preserve"> in RVG-202 (1.52 µmol/g)</w:t>
      </w:r>
      <w:r w:rsidR="00563732">
        <w:rPr>
          <w:rFonts w:ascii="Times New Roman" w:hAnsi="Times New Roman" w:cs="Times New Roman"/>
          <w:sz w:val="24"/>
        </w:rPr>
        <w:t xml:space="preserve"> tracked by</w:t>
      </w:r>
      <w:r w:rsidRPr="00AC403D">
        <w:rPr>
          <w:rFonts w:ascii="Times New Roman" w:hAnsi="Times New Roman" w:cs="Times New Roman"/>
          <w:sz w:val="24"/>
        </w:rPr>
        <w:t xml:space="preserve"> RVG-210 (1.57 µmol/g), Pant gram-5 (1.73 µmol/g), RVG-205 (1.74 µmol/g), SAGL-162376 &amp; SAGL-152223 </w:t>
      </w:r>
      <w:r w:rsidR="00985985">
        <w:rPr>
          <w:rFonts w:ascii="Times New Roman" w:hAnsi="Times New Roman" w:cs="Times New Roman"/>
          <w:sz w:val="24"/>
        </w:rPr>
        <w:t>(1.77 µmol/g)</w:t>
      </w:r>
      <w:r w:rsidRPr="00AC403D">
        <w:rPr>
          <w:rFonts w:ascii="Times New Roman" w:hAnsi="Times New Roman" w:cs="Times New Roman"/>
          <w:sz w:val="24"/>
        </w:rPr>
        <w:t xml:space="preserve"> and SAGL-152242 (1.86 µmol/g).</w:t>
      </w:r>
      <w:r>
        <w:rPr>
          <w:rFonts w:ascii="Times New Roman" w:hAnsi="Times New Roman" w:cs="Times New Roman"/>
          <w:sz w:val="24"/>
        </w:rPr>
        <w:t xml:space="preserve"> </w:t>
      </w:r>
      <w:r w:rsidRPr="00AC403D">
        <w:rPr>
          <w:rFonts w:ascii="Times New Roman" w:hAnsi="Times New Roman" w:cs="Times New Roman"/>
          <w:sz w:val="24"/>
        </w:rPr>
        <w:t xml:space="preserve">These findings </w:t>
      </w:r>
      <w:r w:rsidRPr="0078223C">
        <w:rPr>
          <w:rFonts w:ascii="Times New Roman" w:hAnsi="Times New Roman" w:cs="Times New Roman"/>
          <w:sz w:val="24"/>
          <w:highlight w:val="yellow"/>
        </w:rPr>
        <w:t>indicate</w:t>
      </w:r>
      <w:r w:rsidR="0078223C" w:rsidRPr="0078223C">
        <w:rPr>
          <w:rFonts w:ascii="Times New Roman" w:hAnsi="Times New Roman" w:cs="Times New Roman"/>
          <w:sz w:val="24"/>
          <w:highlight w:val="yellow"/>
        </w:rPr>
        <w:t>d</w:t>
      </w:r>
      <w:r w:rsidRPr="00AC403D">
        <w:rPr>
          <w:rFonts w:ascii="Times New Roman" w:hAnsi="Times New Roman" w:cs="Times New Roman"/>
          <w:sz w:val="24"/>
        </w:rPr>
        <w:t xml:space="preserve"> substantial genotypic variability in proline accumulation among the chickpea accessions evaluated. Proline is a key osmolyte that plays a significant role in cellular osmotic adjustment and protection under abiotic stress conditions such as drought and salinity</w:t>
      </w:r>
      <w:r w:rsidR="00BA13CC">
        <w:rPr>
          <w:rFonts w:ascii="Times New Roman" w:hAnsi="Times New Roman" w:cs="Times New Roman"/>
          <w:sz w:val="24"/>
        </w:rPr>
        <w:t xml:space="preserve"> (Sharma et al., 2019</w:t>
      </w:r>
      <w:r w:rsidR="00B84E55">
        <w:rPr>
          <w:rFonts w:ascii="Times New Roman" w:hAnsi="Times New Roman" w:cs="Times New Roman"/>
          <w:sz w:val="24"/>
        </w:rPr>
        <w:t>; Mishra et al., 2021; Yadav et al., 2024</w:t>
      </w:r>
      <w:r w:rsidR="00620862">
        <w:rPr>
          <w:rFonts w:ascii="Times New Roman" w:hAnsi="Times New Roman" w:cs="Times New Roman"/>
          <w:sz w:val="24"/>
        </w:rPr>
        <w:t>a; Yadav et al., 2024b</w:t>
      </w:r>
      <w:r w:rsidR="00BA13CC">
        <w:rPr>
          <w:rFonts w:ascii="Times New Roman" w:hAnsi="Times New Roman" w:cs="Times New Roman"/>
          <w:sz w:val="24"/>
        </w:rPr>
        <w:t>)</w:t>
      </w:r>
      <w:r w:rsidRPr="00AC403D">
        <w:rPr>
          <w:rFonts w:ascii="Times New Roman" w:hAnsi="Times New Roman" w:cs="Times New Roman"/>
          <w:sz w:val="24"/>
        </w:rPr>
        <w:t xml:space="preserve">. The observed differences </w:t>
      </w:r>
      <w:r w:rsidRPr="00A9605F">
        <w:rPr>
          <w:rFonts w:ascii="Times New Roman" w:hAnsi="Times New Roman" w:cs="Times New Roman"/>
          <w:sz w:val="24"/>
          <w:highlight w:val="yellow"/>
        </w:rPr>
        <w:t>suggest</w:t>
      </w:r>
      <w:r w:rsidR="00A9605F" w:rsidRPr="00A9605F">
        <w:rPr>
          <w:rFonts w:ascii="Times New Roman" w:hAnsi="Times New Roman" w:cs="Times New Roman"/>
          <w:sz w:val="24"/>
          <w:highlight w:val="yellow"/>
        </w:rPr>
        <w:t>ed</w:t>
      </w:r>
      <w:r w:rsidRPr="00AC403D">
        <w:rPr>
          <w:rFonts w:ascii="Times New Roman" w:hAnsi="Times New Roman" w:cs="Times New Roman"/>
          <w:sz w:val="24"/>
        </w:rPr>
        <w:t xml:space="preserve"> that certain genotypes possess a greater intrinsic capacity to synthesize and accumulate proline, potentially conferring improved tolerance to osmotic stress</w:t>
      </w:r>
      <w:r w:rsidR="00BA13CC">
        <w:rPr>
          <w:rFonts w:ascii="Times New Roman" w:hAnsi="Times New Roman" w:cs="Times New Roman"/>
          <w:sz w:val="24"/>
        </w:rPr>
        <w:t xml:space="preserve"> (</w:t>
      </w:r>
      <w:r w:rsidR="00620862">
        <w:rPr>
          <w:rFonts w:ascii="Times New Roman" w:hAnsi="Times New Roman" w:cs="Times New Roman"/>
          <w:sz w:val="24"/>
        </w:rPr>
        <w:t>Yadav et al., 2022; Yadav et al., 2024c</w:t>
      </w:r>
      <w:r w:rsidR="00BA13CC">
        <w:rPr>
          <w:rFonts w:ascii="Times New Roman" w:hAnsi="Times New Roman" w:cs="Times New Roman"/>
          <w:sz w:val="24"/>
        </w:rPr>
        <w:t>)</w:t>
      </w:r>
      <w:r w:rsidRPr="00AC403D">
        <w:rPr>
          <w:rFonts w:ascii="Times New Roman" w:hAnsi="Times New Roman" w:cs="Times New Roman"/>
          <w:sz w:val="24"/>
        </w:rPr>
        <w:t xml:space="preserve">. This aligns with the results reported by </w:t>
      </w:r>
      <w:r w:rsidR="00BA13CC">
        <w:rPr>
          <w:rFonts w:ascii="Times New Roman" w:hAnsi="Times New Roman" w:cs="Times New Roman"/>
          <w:sz w:val="24"/>
        </w:rPr>
        <w:t xml:space="preserve">Tidke et al. </w:t>
      </w:r>
      <w:r w:rsidR="00620862">
        <w:rPr>
          <w:rFonts w:ascii="Times New Roman" w:hAnsi="Times New Roman" w:cs="Times New Roman"/>
          <w:sz w:val="24"/>
        </w:rPr>
        <w:t>(</w:t>
      </w:r>
      <w:r w:rsidR="00BA13CC">
        <w:rPr>
          <w:rFonts w:ascii="Times New Roman" w:hAnsi="Times New Roman" w:cs="Times New Roman"/>
          <w:sz w:val="24"/>
        </w:rPr>
        <w:t>2019</w:t>
      </w:r>
      <w:r w:rsidR="00620862">
        <w:rPr>
          <w:rFonts w:ascii="Times New Roman" w:hAnsi="Times New Roman" w:cs="Times New Roman"/>
          <w:sz w:val="24"/>
        </w:rPr>
        <w:t>)</w:t>
      </w:r>
      <w:r w:rsidR="00BA13CC">
        <w:rPr>
          <w:rFonts w:ascii="Times New Roman" w:hAnsi="Times New Roman" w:cs="Times New Roman"/>
          <w:sz w:val="24"/>
        </w:rPr>
        <w:t xml:space="preserve">, </w:t>
      </w:r>
      <w:r w:rsidR="00914F26">
        <w:rPr>
          <w:rFonts w:ascii="Times New Roman" w:hAnsi="Times New Roman" w:cs="Times New Roman"/>
          <w:sz w:val="24"/>
        </w:rPr>
        <w:t xml:space="preserve">Kaur et al. </w:t>
      </w:r>
      <w:r w:rsidR="00620862">
        <w:rPr>
          <w:rFonts w:ascii="Times New Roman" w:hAnsi="Times New Roman" w:cs="Times New Roman"/>
          <w:sz w:val="24"/>
        </w:rPr>
        <w:t>(</w:t>
      </w:r>
      <w:r w:rsidR="00914F26">
        <w:rPr>
          <w:rFonts w:ascii="Times New Roman" w:hAnsi="Times New Roman" w:cs="Times New Roman"/>
          <w:sz w:val="24"/>
        </w:rPr>
        <w:t>2022</w:t>
      </w:r>
      <w:r w:rsidR="00620862">
        <w:rPr>
          <w:rFonts w:ascii="Times New Roman" w:hAnsi="Times New Roman" w:cs="Times New Roman"/>
          <w:sz w:val="24"/>
        </w:rPr>
        <w:t>)</w:t>
      </w:r>
      <w:r w:rsidR="00914F26">
        <w:rPr>
          <w:rFonts w:ascii="Times New Roman" w:hAnsi="Times New Roman" w:cs="Times New Roman"/>
          <w:sz w:val="24"/>
        </w:rPr>
        <w:t xml:space="preserve"> and Asati et al. </w:t>
      </w:r>
      <w:r w:rsidR="00620862">
        <w:rPr>
          <w:rFonts w:ascii="Times New Roman" w:hAnsi="Times New Roman" w:cs="Times New Roman"/>
          <w:sz w:val="24"/>
        </w:rPr>
        <w:t>(</w:t>
      </w:r>
      <w:r w:rsidR="00914F26">
        <w:rPr>
          <w:rFonts w:ascii="Times New Roman" w:hAnsi="Times New Roman" w:cs="Times New Roman"/>
          <w:sz w:val="24"/>
        </w:rPr>
        <w:t>2024</w:t>
      </w:r>
      <w:r w:rsidR="00620862">
        <w:rPr>
          <w:rFonts w:ascii="Times New Roman" w:hAnsi="Times New Roman" w:cs="Times New Roman"/>
          <w:sz w:val="24"/>
        </w:rPr>
        <w:t>)</w:t>
      </w:r>
      <w:r w:rsidR="00914F26">
        <w:rPr>
          <w:rFonts w:ascii="Times New Roman" w:hAnsi="Times New Roman" w:cs="Times New Roman"/>
          <w:sz w:val="24"/>
        </w:rPr>
        <w:t xml:space="preserve">, </w:t>
      </w:r>
      <w:r w:rsidRPr="00AC403D">
        <w:rPr>
          <w:rFonts w:ascii="Times New Roman" w:hAnsi="Times New Roman" w:cs="Times New Roman"/>
          <w:sz w:val="24"/>
        </w:rPr>
        <w:t xml:space="preserve">who also found wide variation in proline content among chickpea genotypes subjected to field conditions. Consequently, genotypes exhibiting higher proline levels could serve as valuable resources for </w:t>
      </w:r>
      <w:r w:rsidR="0079078B" w:rsidRPr="007B4F9F">
        <w:rPr>
          <w:rFonts w:ascii="Times New Roman" w:hAnsi="Times New Roman" w:cs="Times New Roman"/>
          <w:sz w:val="24"/>
          <w:highlight w:val="yellow"/>
        </w:rPr>
        <w:t>utiliz</w:t>
      </w:r>
      <w:r w:rsidR="007B4F9F" w:rsidRPr="007B4F9F">
        <w:rPr>
          <w:rFonts w:ascii="Times New Roman" w:hAnsi="Times New Roman" w:cs="Times New Roman"/>
          <w:sz w:val="24"/>
          <w:highlight w:val="yellow"/>
        </w:rPr>
        <w:t>ing in</w:t>
      </w:r>
      <w:r w:rsidR="007B4F9F">
        <w:rPr>
          <w:rFonts w:ascii="Times New Roman" w:hAnsi="Times New Roman" w:cs="Times New Roman"/>
          <w:sz w:val="24"/>
        </w:rPr>
        <w:t xml:space="preserve"> </w:t>
      </w:r>
      <w:r w:rsidRPr="00AC403D">
        <w:rPr>
          <w:rFonts w:ascii="Times New Roman" w:hAnsi="Times New Roman" w:cs="Times New Roman"/>
          <w:sz w:val="24"/>
        </w:rPr>
        <w:t>breeding program</w:t>
      </w:r>
      <w:r w:rsidR="003B1A98">
        <w:rPr>
          <w:rFonts w:ascii="Times New Roman" w:hAnsi="Times New Roman" w:cs="Times New Roman"/>
          <w:sz w:val="24"/>
        </w:rPr>
        <w:t>me</w:t>
      </w:r>
      <w:r w:rsidRPr="00AC403D">
        <w:rPr>
          <w:rFonts w:ascii="Times New Roman" w:hAnsi="Times New Roman" w:cs="Times New Roman"/>
          <w:sz w:val="24"/>
        </w:rPr>
        <w:t xml:space="preserve">s </w:t>
      </w:r>
      <w:r w:rsidR="003B1A98">
        <w:rPr>
          <w:rFonts w:ascii="Times New Roman" w:hAnsi="Times New Roman" w:cs="Times New Roman"/>
          <w:sz w:val="24"/>
        </w:rPr>
        <w:t>with aim to breed</w:t>
      </w:r>
      <w:r w:rsidRPr="00AC403D">
        <w:rPr>
          <w:rFonts w:ascii="Times New Roman" w:hAnsi="Times New Roman" w:cs="Times New Roman"/>
          <w:sz w:val="24"/>
        </w:rPr>
        <w:t xml:space="preserve"> stress-resilient chickpea cultivar</w:t>
      </w:r>
      <w:r w:rsidR="003B1A98">
        <w:rPr>
          <w:rFonts w:ascii="Times New Roman" w:hAnsi="Times New Roman" w:cs="Times New Roman"/>
          <w:sz w:val="24"/>
        </w:rPr>
        <w:t xml:space="preserve"> (</w:t>
      </w:r>
      <w:r w:rsidRPr="00AC403D">
        <w:rPr>
          <w:rFonts w:ascii="Times New Roman" w:hAnsi="Times New Roman" w:cs="Times New Roman"/>
          <w:sz w:val="24"/>
        </w:rPr>
        <w:t>s</w:t>
      </w:r>
      <w:r w:rsidR="003B1A98">
        <w:rPr>
          <w:rFonts w:ascii="Times New Roman" w:hAnsi="Times New Roman" w:cs="Times New Roman"/>
          <w:sz w:val="24"/>
        </w:rPr>
        <w:t>)</w:t>
      </w:r>
      <w:r w:rsidRPr="00AC403D">
        <w:rPr>
          <w:rFonts w:ascii="Times New Roman" w:hAnsi="Times New Roman" w:cs="Times New Roman"/>
          <w:sz w:val="24"/>
        </w:rPr>
        <w:t>.</w:t>
      </w:r>
    </w:p>
    <w:p w14:paraId="323E0FDC" w14:textId="2EFE7F89" w:rsidR="00AC403D" w:rsidRPr="00D62A30"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3.3 </w:t>
      </w:r>
      <w:r w:rsidRPr="00D62A30">
        <w:rPr>
          <w:rFonts w:ascii="Times New Roman" w:hAnsi="Times New Roman" w:cs="Times New Roman"/>
          <w:b/>
          <w:sz w:val="24"/>
        </w:rPr>
        <w:t xml:space="preserve">DPPH </w:t>
      </w:r>
      <w:r w:rsidR="004917AA" w:rsidRPr="00D62A30">
        <w:rPr>
          <w:rFonts w:ascii="Times New Roman" w:hAnsi="Times New Roman" w:cs="Times New Roman"/>
          <w:b/>
          <w:sz w:val="24"/>
        </w:rPr>
        <w:t>Estimation</w:t>
      </w:r>
    </w:p>
    <w:p w14:paraId="11F33614" w14:textId="562D2320"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Total antioxidant activity, assessed through the DPPH radical scavenging assay, varied markedly among the chickpea genotypes evaluated (</w:t>
      </w:r>
      <w:r w:rsidR="00FB26EE">
        <w:rPr>
          <w:rFonts w:ascii="Times New Roman" w:hAnsi="Times New Roman" w:cs="Times New Roman"/>
          <w:sz w:val="24"/>
        </w:rPr>
        <w:t>Table 2</w:t>
      </w:r>
      <w:r w:rsidRPr="00AC403D">
        <w:rPr>
          <w:rFonts w:ascii="Times New Roman" w:hAnsi="Times New Roman" w:cs="Times New Roman"/>
          <w:sz w:val="24"/>
        </w:rPr>
        <w:t xml:space="preserve">). The DPPH values </w:t>
      </w:r>
      <w:r w:rsidR="003D1AB7" w:rsidRPr="003D1AB7">
        <w:rPr>
          <w:rFonts w:ascii="Times New Roman" w:hAnsi="Times New Roman" w:cs="Times New Roman"/>
          <w:sz w:val="24"/>
          <w:highlight w:val="yellow"/>
        </w:rPr>
        <w:t>arrayed between</w:t>
      </w:r>
      <w:r w:rsidRPr="00AC403D">
        <w:rPr>
          <w:rFonts w:ascii="Times New Roman" w:hAnsi="Times New Roman" w:cs="Times New Roman"/>
          <w:sz w:val="24"/>
        </w:rPr>
        <w:t xml:space="preserve"> 29.00% to 50.65%, with an overall mean of 40.32%. The highest antioxidant activity was recorded in genotype SAGL-152377 (50.65%) closely </w:t>
      </w:r>
      <w:r w:rsidR="005B2AE8" w:rsidRPr="00AC403D">
        <w:rPr>
          <w:rFonts w:ascii="Times New Roman" w:hAnsi="Times New Roman" w:cs="Times New Roman"/>
          <w:sz w:val="24"/>
        </w:rPr>
        <w:t xml:space="preserve">followed </w:t>
      </w:r>
      <w:r w:rsidRPr="00AC403D">
        <w:rPr>
          <w:rFonts w:ascii="Times New Roman" w:hAnsi="Times New Roman" w:cs="Times New Roman"/>
          <w:sz w:val="24"/>
        </w:rPr>
        <w:t>by SAGL-152337 (49.95%), SAGL-162376 (48.85%), SAGL-153226</w:t>
      </w:r>
      <w:r w:rsidR="00985985">
        <w:rPr>
          <w:rFonts w:ascii="Times New Roman" w:hAnsi="Times New Roman" w:cs="Times New Roman"/>
          <w:sz w:val="24"/>
        </w:rPr>
        <w:t xml:space="preserve"> (47.37%), SAGL-152303 (46.85%)</w:t>
      </w:r>
      <w:r w:rsidRPr="00AC403D">
        <w:rPr>
          <w:rFonts w:ascii="Times New Roman" w:hAnsi="Times New Roman" w:cs="Times New Roman"/>
          <w:sz w:val="24"/>
        </w:rPr>
        <w:t xml:space="preserve"> and SAGL-152210 (45.15%). In contrast, the lowest values were </w:t>
      </w:r>
      <w:r w:rsidR="005B2AE8">
        <w:rPr>
          <w:rFonts w:ascii="Times New Roman" w:hAnsi="Times New Roman" w:cs="Times New Roman"/>
          <w:sz w:val="24"/>
        </w:rPr>
        <w:t>detected</w:t>
      </w:r>
      <w:r w:rsidRPr="00AC403D">
        <w:rPr>
          <w:rFonts w:ascii="Times New Roman" w:hAnsi="Times New Roman" w:cs="Times New Roman"/>
          <w:sz w:val="24"/>
        </w:rPr>
        <w:t xml:space="preserve"> in SAGL-162299 (29.00%), SAGL-152344 (30.40%), SAGL-152327 (30.35%), SAGL-162371 (32.15%), SAGL-152242</w:t>
      </w:r>
      <w:r w:rsidR="00914F26">
        <w:rPr>
          <w:rFonts w:ascii="Times New Roman" w:hAnsi="Times New Roman" w:cs="Times New Roman"/>
          <w:sz w:val="24"/>
        </w:rPr>
        <w:t xml:space="preserve"> (34.40%), Pant gram-5 (35.90%)</w:t>
      </w:r>
      <w:r w:rsidRPr="00AC403D">
        <w:rPr>
          <w:rFonts w:ascii="Times New Roman" w:hAnsi="Times New Roman" w:cs="Times New Roman"/>
          <w:sz w:val="24"/>
        </w:rPr>
        <w:t xml:space="preserve"> and RVSSG-75 (36.55%).</w:t>
      </w:r>
      <w:r>
        <w:rPr>
          <w:rFonts w:ascii="Times New Roman" w:hAnsi="Times New Roman" w:cs="Times New Roman"/>
          <w:sz w:val="24"/>
        </w:rPr>
        <w:t xml:space="preserve"> </w:t>
      </w:r>
      <w:r w:rsidRPr="00AC403D">
        <w:rPr>
          <w:rFonts w:ascii="Times New Roman" w:hAnsi="Times New Roman" w:cs="Times New Roman"/>
          <w:sz w:val="24"/>
        </w:rPr>
        <w:t xml:space="preserve">These findings </w:t>
      </w:r>
      <w:r w:rsidRPr="00C323CF">
        <w:rPr>
          <w:rFonts w:ascii="Times New Roman" w:hAnsi="Times New Roman" w:cs="Times New Roman"/>
          <w:sz w:val="24"/>
          <w:highlight w:val="yellow"/>
        </w:rPr>
        <w:t>demonstrate</w:t>
      </w:r>
      <w:r w:rsidR="00C323CF" w:rsidRPr="00C323CF">
        <w:rPr>
          <w:rFonts w:ascii="Times New Roman" w:hAnsi="Times New Roman" w:cs="Times New Roman"/>
          <w:sz w:val="24"/>
          <w:highlight w:val="yellow"/>
        </w:rPr>
        <w:t>d</w:t>
      </w:r>
      <w:r w:rsidR="00DD4271">
        <w:rPr>
          <w:rFonts w:ascii="Times New Roman" w:hAnsi="Times New Roman" w:cs="Times New Roman"/>
          <w:sz w:val="24"/>
        </w:rPr>
        <w:t xml:space="preserve"> </w:t>
      </w:r>
      <w:r w:rsidR="00DD4271" w:rsidRPr="00DD4271">
        <w:rPr>
          <w:rFonts w:ascii="Times New Roman" w:hAnsi="Times New Roman" w:cs="Times New Roman"/>
          <w:sz w:val="24"/>
          <w:highlight w:val="yellow"/>
        </w:rPr>
        <w:t>presence of</w:t>
      </w:r>
      <w:r w:rsidRPr="00AC403D">
        <w:rPr>
          <w:rFonts w:ascii="Times New Roman" w:hAnsi="Times New Roman" w:cs="Times New Roman"/>
          <w:sz w:val="24"/>
        </w:rPr>
        <w:t xml:space="preserve"> considerable genetic variability in antioxidant potential among the </w:t>
      </w:r>
      <w:r w:rsidRPr="00AC403D">
        <w:rPr>
          <w:rFonts w:ascii="Times New Roman" w:hAnsi="Times New Roman" w:cs="Times New Roman"/>
          <w:sz w:val="24"/>
        </w:rPr>
        <w:lastRenderedPageBreak/>
        <w:t xml:space="preserve">chickpea genotypes </w:t>
      </w:r>
      <w:r w:rsidR="002079DE">
        <w:rPr>
          <w:rFonts w:ascii="Times New Roman" w:hAnsi="Times New Roman" w:cs="Times New Roman"/>
          <w:sz w:val="24"/>
        </w:rPr>
        <w:t>investigated</w:t>
      </w:r>
      <w:r w:rsidRPr="00AC403D">
        <w:rPr>
          <w:rFonts w:ascii="Times New Roman" w:hAnsi="Times New Roman" w:cs="Times New Roman"/>
          <w:sz w:val="24"/>
        </w:rPr>
        <w:t>. Antioxidants play a pivotal role in scavenging free radicals, thereby contributing to improved health benefits and potentially enhancing seed storability</w:t>
      </w:r>
      <w:r w:rsidR="00914F26">
        <w:rPr>
          <w:rFonts w:ascii="Times New Roman" w:hAnsi="Times New Roman" w:cs="Times New Roman"/>
          <w:sz w:val="24"/>
        </w:rPr>
        <w:t xml:space="preserve"> (</w:t>
      </w:r>
      <w:r w:rsidR="00C25495">
        <w:rPr>
          <w:rFonts w:ascii="Times New Roman" w:hAnsi="Times New Roman" w:cs="Times New Roman"/>
          <w:sz w:val="24"/>
        </w:rPr>
        <w:t xml:space="preserve">Mishra et al., 2021; Sharma et al., 2023; Asati et al., 2024; </w:t>
      </w:r>
      <w:r w:rsidR="00914F26">
        <w:rPr>
          <w:rFonts w:ascii="Times New Roman" w:hAnsi="Times New Roman" w:cs="Times New Roman"/>
          <w:sz w:val="24"/>
        </w:rPr>
        <w:t>Muscolo et al., 2024)</w:t>
      </w:r>
      <w:r w:rsidRPr="00AC403D">
        <w:rPr>
          <w:rFonts w:ascii="Times New Roman" w:hAnsi="Times New Roman" w:cs="Times New Roman"/>
          <w:sz w:val="24"/>
        </w:rPr>
        <w:t xml:space="preserve">. The observed differences </w:t>
      </w:r>
      <w:r w:rsidR="006A5A0A" w:rsidRPr="006A5A0A">
        <w:rPr>
          <w:rFonts w:ascii="Times New Roman" w:hAnsi="Times New Roman" w:cs="Times New Roman"/>
          <w:sz w:val="24"/>
          <w:highlight w:val="yellow"/>
        </w:rPr>
        <w:t>advised</w:t>
      </w:r>
      <w:r w:rsidRPr="00AC403D">
        <w:rPr>
          <w:rFonts w:ascii="Times New Roman" w:hAnsi="Times New Roman" w:cs="Times New Roman"/>
          <w:sz w:val="24"/>
        </w:rPr>
        <w:t xml:space="preserve"> that certain genotypes possess superior endogenous antioxidant systems, which could be advantageous for nutritional and functional food applications</w:t>
      </w:r>
      <w:r w:rsidR="00914F26">
        <w:rPr>
          <w:rFonts w:ascii="Times New Roman" w:hAnsi="Times New Roman" w:cs="Times New Roman"/>
          <w:sz w:val="24"/>
        </w:rPr>
        <w:t xml:space="preserve"> (Abou et al., 2024</w:t>
      </w:r>
      <w:r w:rsidR="003B11C2">
        <w:rPr>
          <w:rFonts w:ascii="Times New Roman" w:hAnsi="Times New Roman" w:cs="Times New Roman"/>
          <w:sz w:val="24"/>
        </w:rPr>
        <w:t>; Yadav et al., 2024a</w:t>
      </w:r>
      <w:r w:rsidR="00914F26">
        <w:rPr>
          <w:rFonts w:ascii="Times New Roman" w:hAnsi="Times New Roman" w:cs="Times New Roman"/>
          <w:sz w:val="24"/>
        </w:rPr>
        <w:t>)</w:t>
      </w:r>
      <w:r w:rsidRPr="00AC403D">
        <w:rPr>
          <w:rFonts w:ascii="Times New Roman" w:hAnsi="Times New Roman" w:cs="Times New Roman"/>
          <w:sz w:val="24"/>
        </w:rPr>
        <w:t xml:space="preserve">. These results are consistent with the findings of </w:t>
      </w:r>
      <w:r w:rsidR="00B75B12" w:rsidRPr="00B75B12">
        <w:rPr>
          <w:rFonts w:ascii="Times New Roman" w:eastAsia="Times New Roman" w:hAnsi="Times New Roman" w:cs="Times New Roman"/>
          <w:sz w:val="24"/>
          <w:szCs w:val="24"/>
          <w:lang w:eastAsia="en-IN"/>
        </w:rPr>
        <w:t>Perez-Perez</w:t>
      </w:r>
      <w:r w:rsidR="00B75B12">
        <w:rPr>
          <w:rFonts w:ascii="Times New Roman" w:eastAsia="Times New Roman" w:hAnsi="Times New Roman" w:cs="Times New Roman"/>
          <w:sz w:val="24"/>
          <w:szCs w:val="24"/>
          <w:lang w:eastAsia="en-IN"/>
        </w:rPr>
        <w:t xml:space="preserve"> et al. </w:t>
      </w:r>
      <w:r w:rsidR="003B11C2">
        <w:rPr>
          <w:rFonts w:ascii="Times New Roman" w:eastAsia="Times New Roman" w:hAnsi="Times New Roman" w:cs="Times New Roman"/>
          <w:sz w:val="24"/>
          <w:szCs w:val="24"/>
          <w:lang w:eastAsia="en-IN"/>
        </w:rPr>
        <w:t>(</w:t>
      </w:r>
      <w:r w:rsidR="00B75B12">
        <w:rPr>
          <w:rFonts w:ascii="Times New Roman" w:eastAsia="Times New Roman" w:hAnsi="Times New Roman" w:cs="Times New Roman"/>
          <w:sz w:val="24"/>
          <w:szCs w:val="24"/>
          <w:lang w:eastAsia="en-IN"/>
        </w:rPr>
        <w:t>2021</w:t>
      </w:r>
      <w:r w:rsidR="003B11C2">
        <w:rPr>
          <w:rFonts w:ascii="Times New Roman" w:eastAsia="Times New Roman" w:hAnsi="Times New Roman" w:cs="Times New Roman"/>
          <w:sz w:val="24"/>
          <w:szCs w:val="24"/>
          <w:lang w:eastAsia="en-IN"/>
        </w:rPr>
        <w:t>)</w:t>
      </w:r>
      <w:r w:rsidRPr="00AC403D">
        <w:rPr>
          <w:rFonts w:ascii="Times New Roman" w:hAnsi="Times New Roman" w:cs="Times New Roman"/>
          <w:sz w:val="24"/>
        </w:rPr>
        <w:t>,</w:t>
      </w:r>
      <w:r w:rsidR="00B75B12">
        <w:rPr>
          <w:rFonts w:ascii="Times New Roman" w:hAnsi="Times New Roman" w:cs="Times New Roman"/>
          <w:sz w:val="24"/>
        </w:rPr>
        <w:t xml:space="preserve"> Costantini et al. </w:t>
      </w:r>
      <w:r w:rsidR="003B11C2">
        <w:rPr>
          <w:rFonts w:ascii="Times New Roman" w:hAnsi="Times New Roman" w:cs="Times New Roman"/>
          <w:sz w:val="24"/>
        </w:rPr>
        <w:t>(</w:t>
      </w:r>
      <w:r w:rsidR="00B75B12">
        <w:rPr>
          <w:rFonts w:ascii="Times New Roman" w:hAnsi="Times New Roman" w:cs="Times New Roman"/>
          <w:sz w:val="24"/>
        </w:rPr>
        <w:t>2021</w:t>
      </w:r>
      <w:r w:rsidR="003B11C2">
        <w:rPr>
          <w:rFonts w:ascii="Times New Roman" w:hAnsi="Times New Roman" w:cs="Times New Roman"/>
          <w:sz w:val="24"/>
        </w:rPr>
        <w:t>)</w:t>
      </w:r>
      <w:r w:rsidR="00B75B12">
        <w:rPr>
          <w:rFonts w:ascii="Times New Roman" w:hAnsi="Times New Roman" w:cs="Times New Roman"/>
          <w:sz w:val="24"/>
        </w:rPr>
        <w:t xml:space="preserve"> and</w:t>
      </w:r>
      <w:r w:rsidRPr="00AC403D">
        <w:rPr>
          <w:rFonts w:ascii="Times New Roman" w:hAnsi="Times New Roman" w:cs="Times New Roman"/>
          <w:sz w:val="24"/>
        </w:rPr>
        <w:t xml:space="preserve"> </w:t>
      </w:r>
      <w:r w:rsidR="00B75B12">
        <w:rPr>
          <w:rFonts w:ascii="Times New Roman" w:hAnsi="Times New Roman" w:cs="Times New Roman"/>
          <w:sz w:val="24"/>
        </w:rPr>
        <w:t xml:space="preserve">Abou et al. </w:t>
      </w:r>
      <w:r w:rsidR="003B11C2">
        <w:rPr>
          <w:rFonts w:ascii="Times New Roman" w:hAnsi="Times New Roman" w:cs="Times New Roman"/>
          <w:sz w:val="24"/>
        </w:rPr>
        <w:t>(</w:t>
      </w:r>
      <w:r w:rsidR="00B75B12">
        <w:rPr>
          <w:rFonts w:ascii="Times New Roman" w:hAnsi="Times New Roman" w:cs="Times New Roman"/>
          <w:sz w:val="24"/>
        </w:rPr>
        <w:t>2024</w:t>
      </w:r>
      <w:r w:rsidR="003B11C2">
        <w:rPr>
          <w:rFonts w:ascii="Times New Roman" w:hAnsi="Times New Roman" w:cs="Times New Roman"/>
          <w:sz w:val="24"/>
        </w:rPr>
        <w:t>)</w:t>
      </w:r>
      <w:r w:rsidR="00B75B12">
        <w:rPr>
          <w:rFonts w:ascii="Times New Roman" w:hAnsi="Times New Roman" w:cs="Times New Roman"/>
          <w:sz w:val="24"/>
        </w:rPr>
        <w:t xml:space="preserve">, </w:t>
      </w:r>
      <w:r w:rsidRPr="00AC403D">
        <w:rPr>
          <w:rFonts w:ascii="Times New Roman" w:hAnsi="Times New Roman" w:cs="Times New Roman"/>
          <w:sz w:val="24"/>
        </w:rPr>
        <w:t xml:space="preserve">who </w:t>
      </w:r>
      <w:r w:rsidR="003B11C2">
        <w:rPr>
          <w:rFonts w:ascii="Times New Roman" w:hAnsi="Times New Roman" w:cs="Times New Roman"/>
          <w:sz w:val="24"/>
        </w:rPr>
        <w:t xml:space="preserve">also </w:t>
      </w:r>
      <w:r w:rsidR="006A5A0A" w:rsidRPr="006A5A0A">
        <w:rPr>
          <w:rFonts w:ascii="Times New Roman" w:hAnsi="Times New Roman" w:cs="Times New Roman"/>
          <w:sz w:val="24"/>
          <w:highlight w:val="yellow"/>
        </w:rPr>
        <w:t>found</w:t>
      </w:r>
      <w:r w:rsidRPr="00AC403D">
        <w:rPr>
          <w:rFonts w:ascii="Times New Roman" w:hAnsi="Times New Roman" w:cs="Times New Roman"/>
          <w:sz w:val="24"/>
        </w:rPr>
        <w:t xml:space="preserve"> similar variation in DPPH activity among chickpea accessions, underscoring the scope for selecting genotypes with high antioxidant capacity. Thus, genotypes such as SAGL-152377 and SAGL-152337 could serve as promising candidates for breeding program</w:t>
      </w:r>
      <w:r w:rsidR="00273C33">
        <w:rPr>
          <w:rFonts w:ascii="Times New Roman" w:hAnsi="Times New Roman" w:cs="Times New Roman"/>
          <w:sz w:val="24"/>
        </w:rPr>
        <w:t>me</w:t>
      </w:r>
      <w:r w:rsidRPr="00AC403D">
        <w:rPr>
          <w:rFonts w:ascii="Times New Roman" w:hAnsi="Times New Roman" w:cs="Times New Roman"/>
          <w:sz w:val="24"/>
        </w:rPr>
        <w:t xml:space="preserve">s aimed </w:t>
      </w:r>
      <w:r w:rsidR="00273C33">
        <w:rPr>
          <w:rFonts w:ascii="Times New Roman" w:hAnsi="Times New Roman" w:cs="Times New Roman"/>
          <w:sz w:val="24"/>
        </w:rPr>
        <w:t xml:space="preserve">to </w:t>
      </w:r>
      <w:r w:rsidRPr="00AC403D">
        <w:rPr>
          <w:rFonts w:ascii="Times New Roman" w:hAnsi="Times New Roman" w:cs="Times New Roman"/>
          <w:sz w:val="24"/>
        </w:rPr>
        <w:t>develop</w:t>
      </w:r>
      <w:r w:rsidR="00273C33">
        <w:rPr>
          <w:rFonts w:ascii="Times New Roman" w:hAnsi="Times New Roman" w:cs="Times New Roman"/>
          <w:sz w:val="24"/>
        </w:rPr>
        <w:t xml:space="preserve"> </w:t>
      </w:r>
      <w:r w:rsidRPr="00AC403D">
        <w:rPr>
          <w:rFonts w:ascii="Times New Roman" w:hAnsi="Times New Roman" w:cs="Times New Roman"/>
          <w:sz w:val="24"/>
        </w:rPr>
        <w:t>chickpea varieties with enhanced nutraceutical properties.</w:t>
      </w:r>
    </w:p>
    <w:p w14:paraId="3A6E57DC"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3.4 </w:t>
      </w:r>
      <w:r w:rsidRPr="00D62A30">
        <w:rPr>
          <w:rFonts w:ascii="Times New Roman" w:hAnsi="Times New Roman" w:cs="Times New Roman"/>
          <w:b/>
          <w:sz w:val="24"/>
        </w:rPr>
        <w:t>Total Sugar Estimation</w:t>
      </w:r>
    </w:p>
    <w:p w14:paraId="362D6E69" w14:textId="009522A9" w:rsidR="007929B2" w:rsidRP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Total sugar content among the desi chickpea genotypes examined (</w:t>
      </w:r>
      <w:r w:rsidR="00FB26EE">
        <w:rPr>
          <w:rFonts w:ascii="Times New Roman" w:hAnsi="Times New Roman" w:cs="Times New Roman"/>
          <w:sz w:val="24"/>
        </w:rPr>
        <w:t>Table 2</w:t>
      </w:r>
      <w:r w:rsidRPr="007929B2">
        <w:rPr>
          <w:rFonts w:ascii="Times New Roman" w:hAnsi="Times New Roman" w:cs="Times New Roman"/>
          <w:sz w:val="24"/>
        </w:rPr>
        <w:t xml:space="preserve">) exhibited substantial variation, </w:t>
      </w:r>
      <w:r w:rsidR="00AE7C47">
        <w:rPr>
          <w:rFonts w:ascii="Times New Roman" w:hAnsi="Times New Roman" w:cs="Times New Roman"/>
          <w:sz w:val="24"/>
        </w:rPr>
        <w:t>arrayed between</w:t>
      </w:r>
      <w:r w:rsidRPr="007929B2">
        <w:rPr>
          <w:rFonts w:ascii="Times New Roman" w:hAnsi="Times New Roman" w:cs="Times New Roman"/>
          <w:sz w:val="24"/>
        </w:rPr>
        <w:t xml:space="preserve"> 51.20 mg/g to 72.50 mg/g, with a mean </w:t>
      </w:r>
      <w:r w:rsidR="0089164F" w:rsidRPr="0089164F">
        <w:rPr>
          <w:rFonts w:ascii="Times New Roman" w:hAnsi="Times New Roman" w:cs="Times New Roman"/>
          <w:sz w:val="24"/>
          <w:highlight w:val="yellow"/>
        </w:rPr>
        <w:t>worth</w:t>
      </w:r>
      <w:r w:rsidRPr="007929B2">
        <w:rPr>
          <w:rFonts w:ascii="Times New Roman" w:hAnsi="Times New Roman" w:cs="Times New Roman"/>
          <w:sz w:val="24"/>
        </w:rPr>
        <w:t xml:space="preserve"> of 66.00 mg/g. The highest sugar concentrations were observed in genotypes SAGL-152344 (72.50 mg/g)</w:t>
      </w:r>
      <w:r w:rsidR="00C221FB">
        <w:rPr>
          <w:rFonts w:ascii="Times New Roman" w:hAnsi="Times New Roman" w:cs="Times New Roman"/>
          <w:sz w:val="24"/>
        </w:rPr>
        <w:t xml:space="preserve"> followed by</w:t>
      </w:r>
      <w:r w:rsidRPr="007929B2">
        <w:rPr>
          <w:rFonts w:ascii="Times New Roman" w:hAnsi="Times New Roman" w:cs="Times New Roman"/>
          <w:sz w:val="24"/>
        </w:rPr>
        <w:t xml:space="preserve"> SAGL-162299 (71.70 mg/g), SAGL-152236 (71.70 mg/g), SAGL-152356 (71.65 </w:t>
      </w:r>
      <w:r w:rsidR="00985985">
        <w:rPr>
          <w:rFonts w:ascii="Times New Roman" w:hAnsi="Times New Roman" w:cs="Times New Roman"/>
          <w:sz w:val="24"/>
        </w:rPr>
        <w:t>mg/g), SAGL-152234 (70.75 mg/g)</w:t>
      </w:r>
      <w:r w:rsidRPr="007929B2">
        <w:rPr>
          <w:rFonts w:ascii="Times New Roman" w:hAnsi="Times New Roman" w:cs="Times New Roman"/>
          <w:sz w:val="24"/>
        </w:rPr>
        <w:t xml:space="preserve"> and SAGL-152337 (70.30 mg/g). In contrast, the lowest sugar contents were recorded in genotypes </w:t>
      </w:r>
      <w:r w:rsidR="00C221FB" w:rsidRPr="007929B2">
        <w:rPr>
          <w:rFonts w:ascii="Times New Roman" w:hAnsi="Times New Roman" w:cs="Times New Roman"/>
          <w:sz w:val="24"/>
        </w:rPr>
        <w:t>Vishal</w:t>
      </w:r>
      <w:r w:rsidRPr="007929B2">
        <w:rPr>
          <w:rFonts w:ascii="Times New Roman" w:hAnsi="Times New Roman" w:cs="Times New Roman"/>
          <w:sz w:val="24"/>
        </w:rPr>
        <w:t xml:space="preserve"> (51.20 mg/g)</w:t>
      </w:r>
      <w:r w:rsidR="00C221FB">
        <w:rPr>
          <w:rFonts w:ascii="Times New Roman" w:hAnsi="Times New Roman" w:cs="Times New Roman"/>
          <w:sz w:val="24"/>
        </w:rPr>
        <w:t xml:space="preserve"> tracked by</w:t>
      </w:r>
      <w:r w:rsidRPr="007929B2">
        <w:rPr>
          <w:rFonts w:ascii="Times New Roman" w:hAnsi="Times New Roman" w:cs="Times New Roman"/>
          <w:sz w:val="24"/>
        </w:rPr>
        <w:t xml:space="preserve"> SAGL-161025 (52.25 mg/g), SAGL-152403 (53.45 mg/g), ICC4958 (56</w:t>
      </w:r>
      <w:r w:rsidR="00985985">
        <w:rPr>
          <w:rFonts w:ascii="Times New Roman" w:hAnsi="Times New Roman" w:cs="Times New Roman"/>
          <w:sz w:val="24"/>
        </w:rPr>
        <w:t>.70 mg/g), RVG-202 (57.65 mg/g)</w:t>
      </w:r>
      <w:r w:rsidRPr="007929B2">
        <w:rPr>
          <w:rFonts w:ascii="Times New Roman" w:hAnsi="Times New Roman" w:cs="Times New Roman"/>
          <w:sz w:val="24"/>
        </w:rPr>
        <w:t xml:space="preserve"> and SAGL-152334 (58.50 mg/g).</w:t>
      </w:r>
      <w:r>
        <w:rPr>
          <w:rFonts w:ascii="Times New Roman" w:hAnsi="Times New Roman" w:cs="Times New Roman"/>
          <w:sz w:val="24"/>
        </w:rPr>
        <w:t xml:space="preserve"> </w:t>
      </w:r>
      <w:r w:rsidRPr="007929B2">
        <w:rPr>
          <w:rFonts w:ascii="Times New Roman" w:hAnsi="Times New Roman" w:cs="Times New Roman"/>
          <w:sz w:val="24"/>
        </w:rPr>
        <w:t>The pronounced variability in sugar content highlights the diverse genetic potential within the chickpea germplasm for this trait. Sugars contribute signi</w:t>
      </w:r>
      <w:r w:rsidR="00985985">
        <w:rPr>
          <w:rFonts w:ascii="Times New Roman" w:hAnsi="Times New Roman" w:cs="Times New Roman"/>
          <w:sz w:val="24"/>
        </w:rPr>
        <w:t>ficantly to seed taste, quality</w:t>
      </w:r>
      <w:r w:rsidRPr="007929B2">
        <w:rPr>
          <w:rFonts w:ascii="Times New Roman" w:hAnsi="Times New Roman" w:cs="Times New Roman"/>
          <w:sz w:val="24"/>
        </w:rPr>
        <w:t xml:space="preserve"> and energy value, which are important both for direct human consumption and for industrial processing</w:t>
      </w:r>
      <w:r w:rsidR="00B75B12">
        <w:rPr>
          <w:rFonts w:ascii="Times New Roman" w:hAnsi="Times New Roman" w:cs="Times New Roman"/>
          <w:sz w:val="24"/>
        </w:rPr>
        <w:t xml:space="preserve"> (Arshad et al., 2022; Gunathunga et al., 2024</w:t>
      </w:r>
      <w:r w:rsidR="004619F0">
        <w:rPr>
          <w:rFonts w:ascii="Times New Roman" w:hAnsi="Times New Roman" w:cs="Times New Roman"/>
          <w:sz w:val="24"/>
        </w:rPr>
        <w:t>; Yadav et al., 2023d; Yadav et al., 2024b</w:t>
      </w:r>
      <w:r w:rsidR="00B75B12">
        <w:rPr>
          <w:rFonts w:ascii="Times New Roman" w:hAnsi="Times New Roman" w:cs="Times New Roman"/>
          <w:sz w:val="24"/>
        </w:rPr>
        <w:t>)</w:t>
      </w:r>
      <w:r w:rsidRPr="007929B2">
        <w:rPr>
          <w:rFonts w:ascii="Times New Roman" w:hAnsi="Times New Roman" w:cs="Times New Roman"/>
          <w:sz w:val="24"/>
        </w:rPr>
        <w:t xml:space="preserve">. The identification of genotypes with higher sugar content, such as SAGL-152344 and SAGL-162299, is valuable </w:t>
      </w:r>
      <w:r w:rsidRPr="008A6526">
        <w:rPr>
          <w:rFonts w:ascii="Times New Roman" w:hAnsi="Times New Roman" w:cs="Times New Roman"/>
          <w:sz w:val="24"/>
          <w:highlight w:val="yellow"/>
        </w:rPr>
        <w:t xml:space="preserve">for </w:t>
      </w:r>
      <w:r w:rsidR="00BC0536" w:rsidRPr="008A6526">
        <w:rPr>
          <w:rFonts w:ascii="Times New Roman" w:hAnsi="Times New Roman" w:cs="Times New Roman"/>
          <w:sz w:val="24"/>
          <w:highlight w:val="yellow"/>
        </w:rPr>
        <w:t>incorporati</w:t>
      </w:r>
      <w:r w:rsidR="008A6526" w:rsidRPr="008A6526">
        <w:rPr>
          <w:rFonts w:ascii="Times New Roman" w:hAnsi="Times New Roman" w:cs="Times New Roman"/>
          <w:sz w:val="24"/>
          <w:highlight w:val="yellow"/>
        </w:rPr>
        <w:t>ng in</w:t>
      </w:r>
      <w:r w:rsidR="008A6526">
        <w:rPr>
          <w:rFonts w:ascii="Times New Roman" w:hAnsi="Times New Roman" w:cs="Times New Roman"/>
          <w:sz w:val="24"/>
        </w:rPr>
        <w:t xml:space="preserve"> </w:t>
      </w:r>
      <w:r w:rsidRPr="007929B2">
        <w:rPr>
          <w:rFonts w:ascii="Times New Roman" w:hAnsi="Times New Roman" w:cs="Times New Roman"/>
          <w:sz w:val="24"/>
        </w:rPr>
        <w:t>breeding program</w:t>
      </w:r>
      <w:r w:rsidR="004619F0">
        <w:rPr>
          <w:rFonts w:ascii="Times New Roman" w:hAnsi="Times New Roman" w:cs="Times New Roman"/>
          <w:sz w:val="24"/>
        </w:rPr>
        <w:t>me</w:t>
      </w:r>
      <w:r w:rsidRPr="007929B2">
        <w:rPr>
          <w:rFonts w:ascii="Times New Roman" w:hAnsi="Times New Roman" w:cs="Times New Roman"/>
          <w:sz w:val="24"/>
        </w:rPr>
        <w:t>s aiming to improve the palatability and market acceptance of chickpea varieties</w:t>
      </w:r>
      <w:r w:rsidR="00B35122">
        <w:rPr>
          <w:rFonts w:ascii="Times New Roman" w:hAnsi="Times New Roman" w:cs="Times New Roman"/>
          <w:sz w:val="24"/>
        </w:rPr>
        <w:t xml:space="preserve"> (</w:t>
      </w:r>
      <w:r w:rsidR="00B35122" w:rsidRPr="00B75B12">
        <w:rPr>
          <w:rFonts w:ascii="Times New Roman" w:eastAsia="Times New Roman" w:hAnsi="Times New Roman" w:cs="Times New Roman"/>
          <w:sz w:val="24"/>
          <w:szCs w:val="24"/>
          <w:lang w:eastAsia="en-IN"/>
        </w:rPr>
        <w:t>Vadithya</w:t>
      </w:r>
      <w:r w:rsidR="00B35122">
        <w:rPr>
          <w:rFonts w:ascii="Times New Roman" w:eastAsia="Times New Roman" w:hAnsi="Times New Roman" w:cs="Times New Roman"/>
          <w:sz w:val="24"/>
          <w:szCs w:val="24"/>
          <w:lang w:eastAsia="en-IN"/>
        </w:rPr>
        <w:t xml:space="preserve"> et al., 2024</w:t>
      </w:r>
      <w:r w:rsidR="004619F0">
        <w:rPr>
          <w:rFonts w:ascii="Times New Roman" w:eastAsia="Times New Roman" w:hAnsi="Times New Roman" w:cs="Times New Roman"/>
          <w:sz w:val="24"/>
          <w:szCs w:val="24"/>
          <w:lang w:eastAsia="en-IN"/>
        </w:rPr>
        <w:t>; Yadav et al., 2023</w:t>
      </w:r>
      <w:r w:rsidR="00F80A8F">
        <w:rPr>
          <w:rFonts w:ascii="Times New Roman" w:eastAsia="Times New Roman" w:hAnsi="Times New Roman" w:cs="Times New Roman"/>
          <w:sz w:val="24"/>
          <w:szCs w:val="24"/>
          <w:lang w:eastAsia="en-IN"/>
        </w:rPr>
        <w:t>d</w:t>
      </w:r>
      <w:r w:rsidR="00B35122">
        <w:rPr>
          <w:rFonts w:ascii="Times New Roman" w:eastAsia="Times New Roman" w:hAnsi="Times New Roman" w:cs="Times New Roman"/>
          <w:sz w:val="24"/>
          <w:szCs w:val="24"/>
          <w:lang w:eastAsia="en-IN"/>
        </w:rPr>
        <w:t>)</w:t>
      </w:r>
      <w:r w:rsidRPr="007929B2">
        <w:rPr>
          <w:rFonts w:ascii="Times New Roman" w:hAnsi="Times New Roman" w:cs="Times New Roman"/>
          <w:sz w:val="24"/>
        </w:rPr>
        <w:t>. These results align with earlier findings by</w:t>
      </w:r>
      <w:r w:rsidR="00B35122">
        <w:rPr>
          <w:rFonts w:ascii="Times New Roman" w:hAnsi="Times New Roman" w:cs="Times New Roman"/>
          <w:sz w:val="24"/>
        </w:rPr>
        <w:t xml:space="preserve"> </w:t>
      </w:r>
      <w:r w:rsidR="003F048A">
        <w:rPr>
          <w:rFonts w:ascii="Times New Roman" w:hAnsi="Times New Roman" w:cs="Times New Roman"/>
          <w:sz w:val="24"/>
        </w:rPr>
        <w:t xml:space="preserve">Shukla et al. (2024), </w:t>
      </w:r>
      <w:r w:rsidR="00B75B12">
        <w:rPr>
          <w:rFonts w:ascii="Times New Roman" w:hAnsi="Times New Roman" w:cs="Times New Roman"/>
          <w:sz w:val="24"/>
        </w:rPr>
        <w:t xml:space="preserve">Yadav et al. </w:t>
      </w:r>
      <w:r w:rsidR="00F80A8F">
        <w:rPr>
          <w:rFonts w:ascii="Times New Roman" w:hAnsi="Times New Roman" w:cs="Times New Roman"/>
          <w:sz w:val="24"/>
        </w:rPr>
        <w:t>(</w:t>
      </w:r>
      <w:r w:rsidR="00B75B12">
        <w:rPr>
          <w:rFonts w:ascii="Times New Roman" w:hAnsi="Times New Roman" w:cs="Times New Roman"/>
          <w:sz w:val="24"/>
        </w:rPr>
        <w:t>2024</w:t>
      </w:r>
      <w:r w:rsidR="00F80A8F">
        <w:rPr>
          <w:rFonts w:ascii="Times New Roman" w:hAnsi="Times New Roman" w:cs="Times New Roman"/>
          <w:sz w:val="24"/>
        </w:rPr>
        <w:t>a)</w:t>
      </w:r>
      <w:r w:rsidR="00B35122">
        <w:rPr>
          <w:rFonts w:ascii="Times New Roman" w:hAnsi="Times New Roman" w:cs="Times New Roman"/>
          <w:sz w:val="24"/>
        </w:rPr>
        <w:t xml:space="preserve"> and</w:t>
      </w:r>
      <w:r w:rsidR="003F048A">
        <w:rPr>
          <w:rFonts w:ascii="Times New Roman" w:hAnsi="Times New Roman" w:cs="Times New Roman"/>
          <w:sz w:val="24"/>
        </w:rPr>
        <w:t xml:space="preserve"> Yadav et al (2024c)</w:t>
      </w:r>
      <w:r w:rsidR="00B35122">
        <w:rPr>
          <w:rFonts w:ascii="Times New Roman" w:hAnsi="Times New Roman" w:cs="Times New Roman"/>
          <w:sz w:val="24"/>
        </w:rPr>
        <w:t>,</w:t>
      </w:r>
      <w:r w:rsidRPr="007929B2">
        <w:rPr>
          <w:rFonts w:ascii="Times New Roman" w:hAnsi="Times New Roman" w:cs="Times New Roman"/>
          <w:sz w:val="24"/>
        </w:rPr>
        <w:t xml:space="preserve"> who also reported wide-ranging differences in sugar content among chickpea cultivars. The substantial diversity observed in this </w:t>
      </w:r>
      <w:r w:rsidR="003F048A">
        <w:rPr>
          <w:rFonts w:ascii="Times New Roman" w:hAnsi="Times New Roman" w:cs="Times New Roman"/>
          <w:sz w:val="24"/>
        </w:rPr>
        <w:t>investigation</w:t>
      </w:r>
      <w:r w:rsidRPr="007929B2">
        <w:rPr>
          <w:rFonts w:ascii="Times New Roman" w:hAnsi="Times New Roman" w:cs="Times New Roman"/>
          <w:sz w:val="24"/>
        </w:rPr>
        <w:t xml:space="preserve"> thus</w:t>
      </w:r>
      <w:r w:rsidR="00244D62" w:rsidRPr="00244D62">
        <w:rPr>
          <w:rFonts w:ascii="Times New Roman" w:hAnsi="Times New Roman" w:cs="Times New Roman"/>
          <w:sz w:val="24"/>
          <w:highlight w:val="yellow"/>
        </w:rPr>
        <w:t>,</w:t>
      </w:r>
      <w:r w:rsidRPr="007929B2">
        <w:rPr>
          <w:rFonts w:ascii="Times New Roman" w:hAnsi="Times New Roman" w:cs="Times New Roman"/>
          <w:sz w:val="24"/>
        </w:rPr>
        <w:t xml:space="preserve"> offers opportunities to enhance chickpea seed quality through strategic selection and hybridization.</w:t>
      </w:r>
    </w:p>
    <w:p w14:paraId="07F183AC" w14:textId="77777777" w:rsidR="007929B2" w:rsidRDefault="007929B2"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3.5 </w:t>
      </w:r>
      <w:r w:rsidRPr="00D62A30">
        <w:rPr>
          <w:rFonts w:ascii="Times New Roman" w:hAnsi="Times New Roman" w:cs="Times New Roman"/>
          <w:b/>
          <w:sz w:val="24"/>
        </w:rPr>
        <w:t>Phenol Estimation</w:t>
      </w:r>
    </w:p>
    <w:p w14:paraId="57550293" w14:textId="0A5AB338" w:rsid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lastRenderedPageBreak/>
        <w:t xml:space="preserve">Total phenol content among the chickpea genotypes </w:t>
      </w:r>
      <w:r w:rsidR="004F1BC1">
        <w:rPr>
          <w:rFonts w:ascii="Times New Roman" w:hAnsi="Times New Roman" w:cs="Times New Roman"/>
          <w:sz w:val="24"/>
        </w:rPr>
        <w:t>estimated</w:t>
      </w:r>
      <w:r w:rsidRPr="007929B2">
        <w:rPr>
          <w:rFonts w:ascii="Times New Roman" w:hAnsi="Times New Roman" w:cs="Times New Roman"/>
          <w:sz w:val="24"/>
        </w:rPr>
        <w:t xml:space="preserve"> (</w:t>
      </w:r>
      <w:r w:rsidR="00FB26EE">
        <w:rPr>
          <w:rFonts w:ascii="Times New Roman" w:hAnsi="Times New Roman" w:cs="Times New Roman"/>
          <w:sz w:val="24"/>
        </w:rPr>
        <w:t>Table 2</w:t>
      </w:r>
      <w:r w:rsidRPr="007929B2">
        <w:rPr>
          <w:rFonts w:ascii="Times New Roman" w:hAnsi="Times New Roman" w:cs="Times New Roman"/>
          <w:sz w:val="24"/>
        </w:rPr>
        <w:t xml:space="preserve">) varied considerably, ranging from 0.92 to 2.30 mg/g, with </w:t>
      </w:r>
      <w:r w:rsidRPr="00031754">
        <w:rPr>
          <w:rFonts w:ascii="Times New Roman" w:hAnsi="Times New Roman" w:cs="Times New Roman"/>
          <w:sz w:val="24"/>
          <w:highlight w:val="yellow"/>
        </w:rPr>
        <w:t>a</w:t>
      </w:r>
      <w:r w:rsidR="00031754" w:rsidRPr="00031754">
        <w:rPr>
          <w:rFonts w:ascii="Times New Roman" w:hAnsi="Times New Roman" w:cs="Times New Roman"/>
          <w:sz w:val="24"/>
          <w:highlight w:val="yellow"/>
        </w:rPr>
        <w:t>n</w:t>
      </w:r>
      <w:r w:rsidRPr="00031754">
        <w:rPr>
          <w:rFonts w:ascii="Times New Roman" w:hAnsi="Times New Roman" w:cs="Times New Roman"/>
          <w:sz w:val="24"/>
          <w:highlight w:val="yellow"/>
        </w:rPr>
        <w:t xml:space="preserve"> </w:t>
      </w:r>
      <w:r w:rsidR="00031754" w:rsidRPr="00031754">
        <w:rPr>
          <w:rFonts w:ascii="Times New Roman" w:hAnsi="Times New Roman" w:cs="Times New Roman"/>
          <w:sz w:val="24"/>
          <w:highlight w:val="yellow"/>
        </w:rPr>
        <w:t>average worth</w:t>
      </w:r>
      <w:r w:rsidRPr="007929B2">
        <w:rPr>
          <w:rFonts w:ascii="Times New Roman" w:hAnsi="Times New Roman" w:cs="Times New Roman"/>
          <w:sz w:val="24"/>
        </w:rPr>
        <w:t xml:space="preserve"> of 1.59 mg/g. The highest phenolic content was recorded in genotype SAGL-152405 (2.30 mg/g) followed by JG-11 (2.24 mg/g), SAGL-152404 (2.23 mg/g), H-12-55 (2.11</w:t>
      </w:r>
      <w:r w:rsidR="00985985">
        <w:rPr>
          <w:rFonts w:ascii="Times New Roman" w:hAnsi="Times New Roman" w:cs="Times New Roman"/>
          <w:sz w:val="24"/>
        </w:rPr>
        <w:t xml:space="preserve"> mg/g), SAGL-152238 (2.20 mg/g)</w:t>
      </w:r>
      <w:r w:rsidRPr="007929B2">
        <w:rPr>
          <w:rFonts w:ascii="Times New Roman" w:hAnsi="Times New Roman" w:cs="Times New Roman"/>
          <w:sz w:val="24"/>
        </w:rPr>
        <w:t xml:space="preserve"> and SAGL-152250 (2.19 mg/g). </w:t>
      </w:r>
      <w:r w:rsidR="004F1BC1">
        <w:rPr>
          <w:rFonts w:ascii="Times New Roman" w:hAnsi="Times New Roman" w:cs="Times New Roman"/>
          <w:sz w:val="24"/>
        </w:rPr>
        <w:t>Conversely</w:t>
      </w:r>
      <w:r w:rsidRPr="007929B2">
        <w:rPr>
          <w:rFonts w:ascii="Times New Roman" w:hAnsi="Times New Roman" w:cs="Times New Roman"/>
          <w:sz w:val="24"/>
        </w:rPr>
        <w:t xml:space="preserve">, the lowest phenolic content was </w:t>
      </w:r>
      <w:r w:rsidR="004F1BC1">
        <w:rPr>
          <w:rFonts w:ascii="Times New Roman" w:hAnsi="Times New Roman" w:cs="Times New Roman"/>
          <w:sz w:val="24"/>
        </w:rPr>
        <w:t>evident</w:t>
      </w:r>
      <w:r w:rsidRPr="007929B2">
        <w:rPr>
          <w:rFonts w:ascii="Times New Roman" w:hAnsi="Times New Roman" w:cs="Times New Roman"/>
          <w:sz w:val="24"/>
        </w:rPr>
        <w:t xml:space="preserve"> in </w:t>
      </w:r>
      <w:r w:rsidR="00EC25EE">
        <w:rPr>
          <w:rFonts w:ascii="Times New Roman" w:hAnsi="Times New Roman" w:cs="Times New Roman"/>
          <w:sz w:val="24"/>
        </w:rPr>
        <w:t xml:space="preserve">genotypes </w:t>
      </w:r>
      <w:r w:rsidRPr="007929B2">
        <w:rPr>
          <w:rFonts w:ascii="Times New Roman" w:hAnsi="Times New Roman" w:cs="Times New Roman"/>
          <w:sz w:val="24"/>
        </w:rPr>
        <w:t xml:space="preserve">SAGL-152349 (0.92 mg/g), SAGL-162381 (0.94 mg/g), SAGL-162364 (0.95 </w:t>
      </w:r>
      <w:r w:rsidR="00B35122">
        <w:rPr>
          <w:rFonts w:ascii="Times New Roman" w:hAnsi="Times New Roman" w:cs="Times New Roman"/>
          <w:sz w:val="24"/>
        </w:rPr>
        <w:t xml:space="preserve">mg/g), Pant gram-5 (0.97 mg/g) </w:t>
      </w:r>
      <w:r w:rsidRPr="007929B2">
        <w:rPr>
          <w:rFonts w:ascii="Times New Roman" w:hAnsi="Times New Roman" w:cs="Times New Roman"/>
          <w:sz w:val="24"/>
        </w:rPr>
        <w:t>and RVSSG-69 (1.18 mg/g).</w:t>
      </w:r>
      <w:r>
        <w:rPr>
          <w:rFonts w:ascii="Times New Roman" w:hAnsi="Times New Roman" w:cs="Times New Roman"/>
          <w:sz w:val="24"/>
        </w:rPr>
        <w:t xml:space="preserve"> </w:t>
      </w:r>
      <w:r w:rsidRPr="007929B2">
        <w:rPr>
          <w:rFonts w:ascii="Times New Roman" w:hAnsi="Times New Roman" w:cs="Times New Roman"/>
          <w:sz w:val="24"/>
        </w:rPr>
        <w:t xml:space="preserve">These findings </w:t>
      </w:r>
      <w:r w:rsidRPr="00EC25EE">
        <w:rPr>
          <w:rFonts w:ascii="Times New Roman" w:hAnsi="Times New Roman" w:cs="Times New Roman"/>
          <w:sz w:val="24"/>
          <w:highlight w:val="yellow"/>
        </w:rPr>
        <w:t>reveal</w:t>
      </w:r>
      <w:r w:rsidR="00EC25EE" w:rsidRPr="00EC25EE">
        <w:rPr>
          <w:rFonts w:ascii="Times New Roman" w:hAnsi="Times New Roman" w:cs="Times New Roman"/>
          <w:sz w:val="24"/>
          <w:highlight w:val="yellow"/>
        </w:rPr>
        <w:t>ed an existence of</w:t>
      </w:r>
      <w:r w:rsidRPr="00EC25EE">
        <w:rPr>
          <w:rFonts w:ascii="Times New Roman" w:hAnsi="Times New Roman" w:cs="Times New Roman"/>
          <w:sz w:val="24"/>
          <w:highlight w:val="yellow"/>
        </w:rPr>
        <w:t xml:space="preserve"> </w:t>
      </w:r>
      <w:r w:rsidR="00EC25EE" w:rsidRPr="00EC25EE">
        <w:rPr>
          <w:rFonts w:ascii="Times New Roman" w:hAnsi="Times New Roman" w:cs="Times New Roman"/>
          <w:sz w:val="24"/>
          <w:highlight w:val="yellow"/>
        </w:rPr>
        <w:t>considerable</w:t>
      </w:r>
      <w:r w:rsidR="00EC25EE">
        <w:rPr>
          <w:rFonts w:ascii="Times New Roman" w:hAnsi="Times New Roman" w:cs="Times New Roman"/>
          <w:sz w:val="24"/>
        </w:rPr>
        <w:t xml:space="preserve"> </w:t>
      </w:r>
      <w:r w:rsidRPr="007929B2">
        <w:rPr>
          <w:rFonts w:ascii="Times New Roman" w:hAnsi="Times New Roman" w:cs="Times New Roman"/>
          <w:sz w:val="24"/>
        </w:rPr>
        <w:t xml:space="preserve">genetic diversity for phenolic content among the chickpea genotypes studied. Phenolic compounds are well recognized for their antioxidant properties and their role in enhancing plant </w:t>
      </w:r>
      <w:r w:rsidR="00EE5AA6" w:rsidRPr="007929B2">
        <w:rPr>
          <w:rFonts w:ascii="Times New Roman" w:hAnsi="Times New Roman" w:cs="Times New Roman"/>
          <w:sz w:val="24"/>
        </w:rPr>
        <w:t>defence</w:t>
      </w:r>
      <w:r w:rsidRPr="007929B2">
        <w:rPr>
          <w:rFonts w:ascii="Times New Roman" w:hAnsi="Times New Roman" w:cs="Times New Roman"/>
          <w:sz w:val="24"/>
        </w:rPr>
        <w:t xml:space="preserve"> mechanisms against pathogens</w:t>
      </w:r>
      <w:r w:rsidR="00B35122">
        <w:rPr>
          <w:rFonts w:ascii="Times New Roman" w:hAnsi="Times New Roman" w:cs="Times New Roman"/>
          <w:sz w:val="24"/>
        </w:rPr>
        <w:t xml:space="preserve"> (Saini et al., 2024</w:t>
      </w:r>
      <w:r w:rsidR="004F1BC1">
        <w:rPr>
          <w:rFonts w:ascii="Times New Roman" w:hAnsi="Times New Roman" w:cs="Times New Roman"/>
          <w:sz w:val="24"/>
        </w:rPr>
        <w:t>;</w:t>
      </w:r>
      <w:r w:rsidR="000C18AC" w:rsidRPr="000C18AC">
        <w:rPr>
          <w:rFonts w:ascii="Times New Roman" w:hAnsi="Times New Roman" w:cs="Times New Roman"/>
          <w:sz w:val="24"/>
          <w:szCs w:val="24"/>
          <w:shd w:val="clear" w:color="auto" w:fill="FFFFFF"/>
        </w:rPr>
        <w:t xml:space="preserve"> </w:t>
      </w:r>
      <w:r w:rsidR="000C18AC" w:rsidRPr="00651849">
        <w:rPr>
          <w:rFonts w:ascii="Times New Roman" w:hAnsi="Times New Roman" w:cs="Times New Roman"/>
          <w:sz w:val="24"/>
          <w:szCs w:val="24"/>
          <w:shd w:val="clear" w:color="auto" w:fill="FFFFFF"/>
        </w:rPr>
        <w:t>Shrivastav</w:t>
      </w:r>
      <w:r w:rsidR="000C18AC">
        <w:rPr>
          <w:rFonts w:ascii="Times New Roman" w:hAnsi="Times New Roman" w:cs="Times New Roman"/>
          <w:sz w:val="24"/>
          <w:szCs w:val="24"/>
          <w:shd w:val="clear" w:color="auto" w:fill="FFFFFF"/>
        </w:rPr>
        <w:t xml:space="preserve"> et al., 2024; Pippal et al., 2024</w:t>
      </w:r>
      <w:r w:rsidR="00B35122">
        <w:rPr>
          <w:rFonts w:ascii="Times New Roman" w:hAnsi="Times New Roman" w:cs="Times New Roman"/>
          <w:sz w:val="24"/>
        </w:rPr>
        <w:t>)</w:t>
      </w:r>
      <w:r w:rsidRPr="007929B2">
        <w:rPr>
          <w:rFonts w:ascii="Times New Roman" w:hAnsi="Times New Roman" w:cs="Times New Roman"/>
          <w:sz w:val="24"/>
        </w:rPr>
        <w:t>. The significant variation observed suggest</w:t>
      </w:r>
      <w:r w:rsidR="00BA4082">
        <w:rPr>
          <w:rFonts w:ascii="Times New Roman" w:hAnsi="Times New Roman" w:cs="Times New Roman"/>
          <w:sz w:val="24"/>
        </w:rPr>
        <w:t>ed</w:t>
      </w:r>
      <w:r w:rsidRPr="007929B2">
        <w:rPr>
          <w:rFonts w:ascii="Times New Roman" w:hAnsi="Times New Roman" w:cs="Times New Roman"/>
          <w:sz w:val="24"/>
        </w:rPr>
        <w:t xml:space="preserve"> that certain genotypes possess a greater intrinsic capacity to synthesize phenolics, which could be exploited to develop nutritionally superior chickpea cultivars with improved health benefits and potentially greater resistance to biotic stress. These results are consistent with earlier </w:t>
      </w:r>
      <w:r w:rsidR="00737846" w:rsidRPr="00737846">
        <w:rPr>
          <w:rFonts w:ascii="Times New Roman" w:hAnsi="Times New Roman" w:cs="Times New Roman"/>
          <w:sz w:val="24"/>
          <w:highlight w:val="yellow"/>
        </w:rPr>
        <w:t>investigations</w:t>
      </w:r>
      <w:r w:rsidR="00BA4082" w:rsidRPr="007929B2">
        <w:rPr>
          <w:rFonts w:ascii="Times New Roman" w:hAnsi="Times New Roman" w:cs="Times New Roman"/>
          <w:sz w:val="24"/>
        </w:rPr>
        <w:t xml:space="preserve"> </w:t>
      </w:r>
      <w:r w:rsidR="00BA4082">
        <w:rPr>
          <w:rFonts w:ascii="Times New Roman" w:hAnsi="Times New Roman" w:cs="Times New Roman"/>
          <w:sz w:val="24"/>
        </w:rPr>
        <w:t xml:space="preserve">conducted </w:t>
      </w:r>
      <w:r w:rsidRPr="007929B2">
        <w:rPr>
          <w:rFonts w:ascii="Times New Roman" w:hAnsi="Times New Roman" w:cs="Times New Roman"/>
          <w:sz w:val="24"/>
        </w:rPr>
        <w:t xml:space="preserve">by </w:t>
      </w:r>
      <w:r w:rsidR="00A10653">
        <w:rPr>
          <w:rFonts w:ascii="Times New Roman" w:hAnsi="Times New Roman" w:cs="Times New Roman"/>
          <w:sz w:val="24"/>
        </w:rPr>
        <w:t xml:space="preserve">Quintero-Soto et al. </w:t>
      </w:r>
      <w:r w:rsidR="00E12EE2">
        <w:rPr>
          <w:rFonts w:ascii="Times New Roman" w:hAnsi="Times New Roman" w:cs="Times New Roman"/>
          <w:sz w:val="24"/>
        </w:rPr>
        <w:t>(</w:t>
      </w:r>
      <w:r w:rsidR="00A10653">
        <w:rPr>
          <w:rFonts w:ascii="Times New Roman" w:hAnsi="Times New Roman" w:cs="Times New Roman"/>
          <w:sz w:val="24"/>
        </w:rPr>
        <w:t>2018</w:t>
      </w:r>
      <w:r w:rsidR="00E12EE2">
        <w:rPr>
          <w:rFonts w:ascii="Times New Roman" w:hAnsi="Times New Roman" w:cs="Times New Roman"/>
          <w:sz w:val="24"/>
        </w:rPr>
        <w:t>)</w:t>
      </w:r>
      <w:r w:rsidR="00A10653">
        <w:rPr>
          <w:rFonts w:ascii="Times New Roman" w:hAnsi="Times New Roman" w:cs="Times New Roman"/>
          <w:sz w:val="24"/>
        </w:rPr>
        <w:t xml:space="preserve"> and Johnson et al. </w:t>
      </w:r>
      <w:r w:rsidR="00E12EE2">
        <w:rPr>
          <w:rFonts w:ascii="Times New Roman" w:hAnsi="Times New Roman" w:cs="Times New Roman"/>
          <w:sz w:val="24"/>
        </w:rPr>
        <w:t>(</w:t>
      </w:r>
      <w:r w:rsidR="00A10653">
        <w:rPr>
          <w:rFonts w:ascii="Times New Roman" w:hAnsi="Times New Roman" w:cs="Times New Roman"/>
          <w:sz w:val="24"/>
        </w:rPr>
        <w:t>2023</w:t>
      </w:r>
      <w:r w:rsidR="00E12EE2">
        <w:rPr>
          <w:rFonts w:ascii="Times New Roman" w:hAnsi="Times New Roman" w:cs="Times New Roman"/>
          <w:sz w:val="24"/>
        </w:rPr>
        <w:t>)</w:t>
      </w:r>
      <w:r w:rsidR="00A10653">
        <w:rPr>
          <w:rFonts w:ascii="Times New Roman" w:hAnsi="Times New Roman" w:cs="Times New Roman"/>
          <w:sz w:val="24"/>
        </w:rPr>
        <w:t xml:space="preserve">, </w:t>
      </w:r>
      <w:r w:rsidRPr="007929B2">
        <w:rPr>
          <w:rFonts w:ascii="Times New Roman" w:hAnsi="Times New Roman" w:cs="Times New Roman"/>
          <w:sz w:val="24"/>
        </w:rPr>
        <w:t xml:space="preserve">who also reported </w:t>
      </w:r>
      <w:r w:rsidR="00E12EE2" w:rsidRPr="007929B2">
        <w:rPr>
          <w:rFonts w:ascii="Times New Roman" w:hAnsi="Times New Roman" w:cs="Times New Roman"/>
          <w:sz w:val="24"/>
        </w:rPr>
        <w:t>extensive</w:t>
      </w:r>
      <w:r w:rsidRPr="007929B2">
        <w:rPr>
          <w:rFonts w:ascii="Times New Roman" w:hAnsi="Times New Roman" w:cs="Times New Roman"/>
          <w:sz w:val="24"/>
        </w:rPr>
        <w:t xml:space="preserve"> differences in phenolic content among chickpea lines, underscoring the importance of this trait for both nutritional enhancement and breeding for </w:t>
      </w:r>
      <w:r w:rsidR="00FB05ED">
        <w:rPr>
          <w:rFonts w:ascii="Times New Roman" w:hAnsi="Times New Roman" w:cs="Times New Roman"/>
          <w:sz w:val="24"/>
        </w:rPr>
        <w:t>biotic</w:t>
      </w:r>
      <w:r w:rsidRPr="007929B2">
        <w:rPr>
          <w:rFonts w:ascii="Times New Roman" w:hAnsi="Times New Roman" w:cs="Times New Roman"/>
          <w:sz w:val="24"/>
        </w:rPr>
        <w:t xml:space="preserve"> tolerance</w:t>
      </w:r>
      <w:r w:rsidR="00FB05ED">
        <w:rPr>
          <w:rFonts w:ascii="Times New Roman" w:hAnsi="Times New Roman" w:cs="Times New Roman"/>
          <w:sz w:val="24"/>
        </w:rPr>
        <w:t>/resistanc</w:t>
      </w:r>
      <w:r w:rsidR="003679D4">
        <w:rPr>
          <w:rFonts w:ascii="Times New Roman" w:hAnsi="Times New Roman" w:cs="Times New Roman"/>
          <w:sz w:val="24"/>
        </w:rPr>
        <w:t>e</w:t>
      </w:r>
      <w:r w:rsidR="00ED3A52">
        <w:rPr>
          <w:rFonts w:ascii="Times New Roman" w:hAnsi="Times New Roman" w:cs="Times New Roman"/>
          <w:sz w:val="24"/>
        </w:rPr>
        <w:t xml:space="preserve"> </w:t>
      </w:r>
      <w:r w:rsidR="00ED3A52" w:rsidRPr="00ED3A52">
        <w:rPr>
          <w:rFonts w:ascii="Times New Roman" w:hAnsi="Times New Roman" w:cs="Times New Roman"/>
          <w:sz w:val="24"/>
          <w:highlight w:val="yellow"/>
        </w:rPr>
        <w:t>cultivar (s)</w:t>
      </w:r>
      <w:r w:rsidRPr="007929B2">
        <w:rPr>
          <w:rFonts w:ascii="Times New Roman" w:hAnsi="Times New Roman" w:cs="Times New Roman"/>
          <w:sz w:val="24"/>
        </w:rPr>
        <w:t>.</w:t>
      </w:r>
    </w:p>
    <w:p w14:paraId="735097DE" w14:textId="00A52C24" w:rsidR="00AE35AA" w:rsidRPr="00AE35AA" w:rsidRDefault="00AE35AA" w:rsidP="00AE35A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2 </w:t>
      </w:r>
      <w:r w:rsidRPr="00AE35AA">
        <w:rPr>
          <w:rFonts w:ascii="Times New Roman" w:hAnsi="Times New Roman" w:cs="Times New Roman"/>
          <w:b/>
          <w:bCs/>
          <w:sz w:val="24"/>
          <w:lang w:val="en-US"/>
        </w:rPr>
        <w:t xml:space="preserve">Mean </w:t>
      </w:r>
      <w:r w:rsidR="005063E3" w:rsidRPr="00AE35AA">
        <w:rPr>
          <w:rFonts w:ascii="Times New Roman" w:hAnsi="Times New Roman" w:cs="Times New Roman"/>
          <w:b/>
          <w:bCs/>
          <w:sz w:val="24"/>
          <w:lang w:val="en-US"/>
        </w:rPr>
        <w:t xml:space="preserve">performance of </w:t>
      </w:r>
      <w:r w:rsidR="005063E3">
        <w:rPr>
          <w:rFonts w:ascii="Times New Roman" w:hAnsi="Times New Roman" w:cs="Times New Roman"/>
          <w:b/>
          <w:bCs/>
          <w:i/>
          <w:sz w:val="24"/>
          <w:lang w:val="en-US"/>
        </w:rPr>
        <w:t>D</w:t>
      </w:r>
      <w:r w:rsidR="005063E3" w:rsidRPr="00AE35AA">
        <w:rPr>
          <w:rFonts w:ascii="Times New Roman" w:hAnsi="Times New Roman" w:cs="Times New Roman"/>
          <w:b/>
          <w:bCs/>
          <w:i/>
          <w:sz w:val="24"/>
          <w:lang w:val="en-US"/>
        </w:rPr>
        <w:t xml:space="preserve">esi </w:t>
      </w:r>
      <w:r w:rsidR="005063E3" w:rsidRPr="00AE35AA">
        <w:rPr>
          <w:rFonts w:ascii="Times New Roman" w:hAnsi="Times New Roman" w:cs="Times New Roman"/>
          <w:b/>
          <w:bCs/>
          <w:sz w:val="24"/>
          <w:lang w:val="en-US"/>
        </w:rPr>
        <w:t>chickpea genotypes for biochemical parameters</w:t>
      </w:r>
    </w:p>
    <w:tbl>
      <w:tblPr>
        <w:tblW w:w="8218" w:type="dxa"/>
        <w:tblLook w:val="04A0" w:firstRow="1" w:lastRow="0" w:firstColumn="1" w:lastColumn="0" w:noHBand="0" w:noVBand="1"/>
      </w:tblPr>
      <w:tblGrid>
        <w:gridCol w:w="775"/>
        <w:gridCol w:w="1567"/>
        <w:gridCol w:w="1176"/>
        <w:gridCol w:w="1370"/>
        <w:gridCol w:w="1176"/>
        <w:gridCol w:w="1175"/>
        <w:gridCol w:w="979"/>
      </w:tblGrid>
      <w:tr w:rsidR="00AE35AA" w:rsidRPr="00AE35AA" w14:paraId="13BF71D9"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75DF110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S. No.</w:t>
            </w:r>
          </w:p>
        </w:tc>
        <w:tc>
          <w:tcPr>
            <w:tcW w:w="1567" w:type="dxa"/>
            <w:tcBorders>
              <w:top w:val="single" w:sz="4" w:space="0" w:color="auto"/>
              <w:left w:val="nil"/>
              <w:bottom w:val="single" w:sz="4" w:space="0" w:color="auto"/>
              <w:right w:val="single" w:sz="4" w:space="0" w:color="auto"/>
            </w:tcBorders>
            <w:noWrap/>
            <w:vAlign w:val="bottom"/>
            <w:hideMark/>
          </w:tcPr>
          <w:p w14:paraId="099C998D"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Genotype</w:t>
            </w:r>
          </w:p>
        </w:tc>
        <w:tc>
          <w:tcPr>
            <w:tcW w:w="1176" w:type="dxa"/>
            <w:tcBorders>
              <w:top w:val="single" w:sz="4" w:space="0" w:color="auto"/>
              <w:left w:val="nil"/>
              <w:bottom w:val="single" w:sz="4" w:space="0" w:color="auto"/>
              <w:right w:val="single" w:sz="4" w:space="0" w:color="auto"/>
            </w:tcBorders>
            <w:noWrap/>
            <w:vAlign w:val="bottom"/>
            <w:hideMark/>
          </w:tcPr>
          <w:p w14:paraId="57BB7A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Protein </w:t>
            </w:r>
          </w:p>
          <w:p w14:paraId="4E5C6C79"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370" w:type="dxa"/>
            <w:tcBorders>
              <w:top w:val="single" w:sz="4" w:space="0" w:color="auto"/>
              <w:left w:val="nil"/>
              <w:bottom w:val="single" w:sz="4" w:space="0" w:color="auto"/>
              <w:right w:val="single" w:sz="4" w:space="0" w:color="auto"/>
            </w:tcBorders>
            <w:noWrap/>
            <w:vAlign w:val="bottom"/>
            <w:hideMark/>
          </w:tcPr>
          <w:p w14:paraId="4ABA2CB5"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Proline</w:t>
            </w:r>
          </w:p>
          <w:p w14:paraId="6351F1EB"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(µmol/g)  </w:t>
            </w:r>
          </w:p>
        </w:tc>
        <w:tc>
          <w:tcPr>
            <w:tcW w:w="1176" w:type="dxa"/>
            <w:tcBorders>
              <w:top w:val="single" w:sz="4" w:space="0" w:color="auto"/>
              <w:left w:val="nil"/>
              <w:bottom w:val="single" w:sz="4" w:space="0" w:color="auto"/>
              <w:right w:val="single" w:sz="4" w:space="0" w:color="auto"/>
            </w:tcBorders>
            <w:noWrap/>
            <w:vAlign w:val="bottom"/>
            <w:hideMark/>
          </w:tcPr>
          <w:p w14:paraId="59BAC03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DPPH </w:t>
            </w:r>
          </w:p>
          <w:p w14:paraId="6C6D549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175" w:type="dxa"/>
            <w:tcBorders>
              <w:top w:val="single" w:sz="4" w:space="0" w:color="auto"/>
              <w:left w:val="nil"/>
              <w:bottom w:val="single" w:sz="4" w:space="0" w:color="auto"/>
              <w:right w:val="single" w:sz="4" w:space="0" w:color="auto"/>
            </w:tcBorders>
            <w:noWrap/>
            <w:vAlign w:val="bottom"/>
            <w:hideMark/>
          </w:tcPr>
          <w:p w14:paraId="39526D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Total sugar </w:t>
            </w:r>
          </w:p>
          <w:p w14:paraId="2A44BEC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c>
          <w:tcPr>
            <w:tcW w:w="979" w:type="dxa"/>
            <w:tcBorders>
              <w:top w:val="single" w:sz="4" w:space="0" w:color="auto"/>
              <w:left w:val="nil"/>
              <w:bottom w:val="single" w:sz="4" w:space="0" w:color="auto"/>
              <w:right w:val="single" w:sz="4" w:space="0" w:color="auto"/>
            </w:tcBorders>
            <w:noWrap/>
            <w:vAlign w:val="bottom"/>
            <w:hideMark/>
          </w:tcPr>
          <w:p w14:paraId="2A58042E"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Phenol </w:t>
            </w:r>
          </w:p>
          <w:p w14:paraId="0DA5266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r>
      <w:tr w:rsidR="00AE35AA" w:rsidRPr="00AE35AA" w14:paraId="37891640" w14:textId="77777777" w:rsidTr="00AE35AA">
        <w:trPr>
          <w:trHeight w:val="239"/>
        </w:trPr>
        <w:tc>
          <w:tcPr>
            <w:tcW w:w="775" w:type="dxa"/>
            <w:tcBorders>
              <w:top w:val="nil"/>
              <w:left w:val="single" w:sz="4" w:space="0" w:color="auto"/>
              <w:bottom w:val="single" w:sz="4" w:space="0" w:color="auto"/>
              <w:right w:val="single" w:sz="4" w:space="0" w:color="auto"/>
            </w:tcBorders>
            <w:noWrap/>
            <w:vAlign w:val="bottom"/>
            <w:hideMark/>
          </w:tcPr>
          <w:p w14:paraId="327F54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w:t>
            </w:r>
          </w:p>
        </w:tc>
        <w:tc>
          <w:tcPr>
            <w:tcW w:w="1567" w:type="dxa"/>
            <w:tcBorders>
              <w:top w:val="nil"/>
              <w:left w:val="nil"/>
              <w:bottom w:val="single" w:sz="4" w:space="0" w:color="auto"/>
              <w:right w:val="single" w:sz="4" w:space="0" w:color="auto"/>
            </w:tcBorders>
            <w:noWrap/>
            <w:vAlign w:val="bottom"/>
            <w:hideMark/>
          </w:tcPr>
          <w:p w14:paraId="59D19F8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152327</w:t>
            </w:r>
          </w:p>
        </w:tc>
        <w:tc>
          <w:tcPr>
            <w:tcW w:w="1176" w:type="dxa"/>
            <w:tcBorders>
              <w:top w:val="nil"/>
              <w:left w:val="nil"/>
              <w:bottom w:val="single" w:sz="4" w:space="0" w:color="auto"/>
              <w:right w:val="single" w:sz="4" w:space="0" w:color="auto"/>
            </w:tcBorders>
            <w:noWrap/>
            <w:vAlign w:val="bottom"/>
            <w:hideMark/>
          </w:tcPr>
          <w:p w14:paraId="59E105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20.75</w:t>
            </w:r>
          </w:p>
        </w:tc>
        <w:tc>
          <w:tcPr>
            <w:tcW w:w="1370" w:type="dxa"/>
            <w:tcBorders>
              <w:top w:val="nil"/>
              <w:left w:val="nil"/>
              <w:bottom w:val="single" w:sz="4" w:space="0" w:color="auto"/>
              <w:right w:val="single" w:sz="4" w:space="0" w:color="auto"/>
            </w:tcBorders>
            <w:noWrap/>
            <w:vAlign w:val="bottom"/>
            <w:hideMark/>
          </w:tcPr>
          <w:p w14:paraId="288AF6B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2.60</w:t>
            </w:r>
          </w:p>
        </w:tc>
        <w:tc>
          <w:tcPr>
            <w:tcW w:w="1176" w:type="dxa"/>
            <w:tcBorders>
              <w:top w:val="nil"/>
              <w:left w:val="nil"/>
              <w:bottom w:val="single" w:sz="4" w:space="0" w:color="auto"/>
              <w:right w:val="single" w:sz="4" w:space="0" w:color="auto"/>
            </w:tcBorders>
            <w:noWrap/>
            <w:vAlign w:val="bottom"/>
            <w:hideMark/>
          </w:tcPr>
          <w:p w14:paraId="7626EE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30.35</w:t>
            </w:r>
          </w:p>
        </w:tc>
        <w:tc>
          <w:tcPr>
            <w:tcW w:w="1175" w:type="dxa"/>
            <w:tcBorders>
              <w:top w:val="nil"/>
              <w:left w:val="nil"/>
              <w:bottom w:val="single" w:sz="4" w:space="0" w:color="auto"/>
              <w:right w:val="single" w:sz="4" w:space="0" w:color="auto"/>
            </w:tcBorders>
            <w:noWrap/>
            <w:vAlign w:val="bottom"/>
            <w:hideMark/>
          </w:tcPr>
          <w:p w14:paraId="4EAB686E" w14:textId="3E6396B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0D21C0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1.89</w:t>
            </w:r>
          </w:p>
        </w:tc>
      </w:tr>
      <w:tr w:rsidR="00AE35AA" w:rsidRPr="00AE35AA" w14:paraId="66FD45B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1275E7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w:t>
            </w:r>
          </w:p>
        </w:tc>
        <w:tc>
          <w:tcPr>
            <w:tcW w:w="1567" w:type="dxa"/>
            <w:tcBorders>
              <w:top w:val="nil"/>
              <w:left w:val="nil"/>
              <w:bottom w:val="single" w:sz="4" w:space="0" w:color="auto"/>
              <w:right w:val="single" w:sz="4" w:space="0" w:color="auto"/>
            </w:tcBorders>
            <w:noWrap/>
            <w:vAlign w:val="bottom"/>
            <w:hideMark/>
          </w:tcPr>
          <w:p w14:paraId="7E5F73B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152324</w:t>
            </w:r>
          </w:p>
        </w:tc>
        <w:tc>
          <w:tcPr>
            <w:tcW w:w="1176" w:type="dxa"/>
            <w:tcBorders>
              <w:top w:val="nil"/>
              <w:left w:val="nil"/>
              <w:bottom w:val="single" w:sz="4" w:space="0" w:color="auto"/>
              <w:right w:val="single" w:sz="4" w:space="0" w:color="auto"/>
            </w:tcBorders>
            <w:noWrap/>
            <w:vAlign w:val="bottom"/>
            <w:hideMark/>
          </w:tcPr>
          <w:p w14:paraId="2EE7ED3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hideMark/>
          </w:tcPr>
          <w:p w14:paraId="1283D2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66205D6D" w14:textId="6CF9E9E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165B18">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2AD15F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64.25</w:t>
            </w:r>
          </w:p>
        </w:tc>
        <w:tc>
          <w:tcPr>
            <w:tcW w:w="979" w:type="dxa"/>
            <w:tcBorders>
              <w:top w:val="nil"/>
              <w:left w:val="nil"/>
              <w:bottom w:val="single" w:sz="4" w:space="0" w:color="auto"/>
              <w:right w:val="single" w:sz="4" w:space="0" w:color="auto"/>
            </w:tcBorders>
            <w:noWrap/>
            <w:vAlign w:val="bottom"/>
            <w:hideMark/>
          </w:tcPr>
          <w:p w14:paraId="45303F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w:t>
            </w:r>
          </w:p>
        </w:tc>
      </w:tr>
      <w:tr w:rsidR="00AE35AA" w:rsidRPr="00AE35AA" w14:paraId="10BADC97"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D691C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w:t>
            </w:r>
          </w:p>
        </w:tc>
        <w:tc>
          <w:tcPr>
            <w:tcW w:w="1567" w:type="dxa"/>
            <w:tcBorders>
              <w:top w:val="nil"/>
              <w:left w:val="nil"/>
              <w:bottom w:val="single" w:sz="4" w:space="0" w:color="auto"/>
              <w:right w:val="single" w:sz="4" w:space="0" w:color="auto"/>
            </w:tcBorders>
            <w:noWrap/>
            <w:vAlign w:val="bottom"/>
            <w:hideMark/>
          </w:tcPr>
          <w:p w14:paraId="647E21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152237</w:t>
            </w:r>
          </w:p>
        </w:tc>
        <w:tc>
          <w:tcPr>
            <w:tcW w:w="1176" w:type="dxa"/>
            <w:tcBorders>
              <w:top w:val="nil"/>
              <w:left w:val="nil"/>
              <w:bottom w:val="single" w:sz="4" w:space="0" w:color="auto"/>
              <w:right w:val="single" w:sz="4" w:space="0" w:color="auto"/>
            </w:tcBorders>
            <w:noWrap/>
            <w:vAlign w:val="bottom"/>
            <w:hideMark/>
          </w:tcPr>
          <w:p w14:paraId="55E42A43" w14:textId="2D790A5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16.2</w:t>
            </w:r>
            <w:r w:rsidR="00CC3B17">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36364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hideMark/>
          </w:tcPr>
          <w:p w14:paraId="13CD889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42.81</w:t>
            </w:r>
          </w:p>
        </w:tc>
        <w:tc>
          <w:tcPr>
            <w:tcW w:w="1175" w:type="dxa"/>
            <w:tcBorders>
              <w:top w:val="nil"/>
              <w:left w:val="nil"/>
              <w:bottom w:val="single" w:sz="4" w:space="0" w:color="auto"/>
              <w:right w:val="single" w:sz="4" w:space="0" w:color="auto"/>
            </w:tcBorders>
            <w:noWrap/>
            <w:vAlign w:val="bottom"/>
            <w:hideMark/>
          </w:tcPr>
          <w:p w14:paraId="4EFD6B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68.65</w:t>
            </w:r>
          </w:p>
        </w:tc>
        <w:tc>
          <w:tcPr>
            <w:tcW w:w="979" w:type="dxa"/>
            <w:tcBorders>
              <w:top w:val="nil"/>
              <w:left w:val="nil"/>
              <w:bottom w:val="single" w:sz="4" w:space="0" w:color="auto"/>
              <w:right w:val="single" w:sz="4" w:space="0" w:color="auto"/>
            </w:tcBorders>
            <w:noWrap/>
            <w:vAlign w:val="bottom"/>
            <w:hideMark/>
          </w:tcPr>
          <w:p w14:paraId="6B1146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2.03</w:t>
            </w:r>
          </w:p>
        </w:tc>
      </w:tr>
      <w:tr w:rsidR="00AE35AA" w:rsidRPr="00AE35AA" w14:paraId="2615A9F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BAD46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w:t>
            </w:r>
          </w:p>
        </w:tc>
        <w:tc>
          <w:tcPr>
            <w:tcW w:w="1567" w:type="dxa"/>
            <w:tcBorders>
              <w:top w:val="nil"/>
              <w:left w:val="nil"/>
              <w:bottom w:val="single" w:sz="4" w:space="0" w:color="auto"/>
              <w:right w:val="single" w:sz="4" w:space="0" w:color="auto"/>
            </w:tcBorders>
            <w:noWrap/>
            <w:vAlign w:val="bottom"/>
            <w:hideMark/>
          </w:tcPr>
          <w:p w14:paraId="717B43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152250</w:t>
            </w:r>
          </w:p>
        </w:tc>
        <w:tc>
          <w:tcPr>
            <w:tcW w:w="1176" w:type="dxa"/>
            <w:tcBorders>
              <w:top w:val="nil"/>
              <w:left w:val="nil"/>
              <w:bottom w:val="single" w:sz="4" w:space="0" w:color="auto"/>
              <w:right w:val="single" w:sz="4" w:space="0" w:color="auto"/>
            </w:tcBorders>
            <w:noWrap/>
            <w:vAlign w:val="bottom"/>
            <w:hideMark/>
          </w:tcPr>
          <w:p w14:paraId="20E08F94" w14:textId="754482E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1F0F6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hideMark/>
          </w:tcPr>
          <w:p w14:paraId="741E65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nil"/>
              <w:left w:val="nil"/>
              <w:bottom w:val="single" w:sz="4" w:space="0" w:color="auto"/>
              <w:right w:val="single" w:sz="4" w:space="0" w:color="auto"/>
            </w:tcBorders>
            <w:noWrap/>
            <w:vAlign w:val="bottom"/>
            <w:hideMark/>
          </w:tcPr>
          <w:p w14:paraId="4D31EE22" w14:textId="0D9958E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0F896C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r>
      <w:tr w:rsidR="00AE35AA" w:rsidRPr="00AE35AA" w14:paraId="01BAA04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82686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w:t>
            </w:r>
          </w:p>
        </w:tc>
        <w:tc>
          <w:tcPr>
            <w:tcW w:w="1567" w:type="dxa"/>
            <w:tcBorders>
              <w:top w:val="nil"/>
              <w:left w:val="nil"/>
              <w:bottom w:val="single" w:sz="4" w:space="0" w:color="auto"/>
              <w:right w:val="single" w:sz="4" w:space="0" w:color="auto"/>
            </w:tcBorders>
            <w:noWrap/>
            <w:vAlign w:val="bottom"/>
            <w:hideMark/>
          </w:tcPr>
          <w:p w14:paraId="68EFB85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152350</w:t>
            </w:r>
          </w:p>
        </w:tc>
        <w:tc>
          <w:tcPr>
            <w:tcW w:w="1176" w:type="dxa"/>
            <w:tcBorders>
              <w:top w:val="nil"/>
              <w:left w:val="nil"/>
              <w:bottom w:val="single" w:sz="4" w:space="0" w:color="auto"/>
              <w:right w:val="single" w:sz="4" w:space="0" w:color="auto"/>
            </w:tcBorders>
            <w:noWrap/>
            <w:vAlign w:val="bottom"/>
            <w:hideMark/>
          </w:tcPr>
          <w:p w14:paraId="4F7EE11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518E8E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c>
          <w:tcPr>
            <w:tcW w:w="1176" w:type="dxa"/>
            <w:tcBorders>
              <w:top w:val="nil"/>
              <w:left w:val="nil"/>
              <w:bottom w:val="single" w:sz="4" w:space="0" w:color="auto"/>
              <w:right w:val="single" w:sz="4" w:space="0" w:color="auto"/>
            </w:tcBorders>
            <w:noWrap/>
            <w:vAlign w:val="bottom"/>
            <w:hideMark/>
          </w:tcPr>
          <w:p w14:paraId="650E8D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35.75</w:t>
            </w:r>
          </w:p>
        </w:tc>
        <w:tc>
          <w:tcPr>
            <w:tcW w:w="1175" w:type="dxa"/>
            <w:tcBorders>
              <w:top w:val="nil"/>
              <w:left w:val="nil"/>
              <w:bottom w:val="single" w:sz="4" w:space="0" w:color="auto"/>
              <w:right w:val="single" w:sz="4" w:space="0" w:color="auto"/>
            </w:tcBorders>
            <w:noWrap/>
            <w:vAlign w:val="bottom"/>
            <w:hideMark/>
          </w:tcPr>
          <w:p w14:paraId="7A6A05F6" w14:textId="4EF348E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5073B38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p>
        </w:tc>
      </w:tr>
      <w:tr w:rsidR="00AE35AA" w:rsidRPr="00AE35AA" w14:paraId="3FB11B6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A2942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w:t>
            </w:r>
          </w:p>
        </w:tc>
        <w:tc>
          <w:tcPr>
            <w:tcW w:w="1567" w:type="dxa"/>
            <w:tcBorders>
              <w:top w:val="nil"/>
              <w:left w:val="nil"/>
              <w:bottom w:val="single" w:sz="4" w:space="0" w:color="auto"/>
              <w:right w:val="single" w:sz="4" w:space="0" w:color="auto"/>
            </w:tcBorders>
            <w:noWrap/>
            <w:vAlign w:val="bottom"/>
            <w:hideMark/>
          </w:tcPr>
          <w:p w14:paraId="4B1ACBB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152238</w:t>
            </w:r>
          </w:p>
        </w:tc>
        <w:tc>
          <w:tcPr>
            <w:tcW w:w="1176" w:type="dxa"/>
            <w:tcBorders>
              <w:top w:val="nil"/>
              <w:left w:val="nil"/>
              <w:bottom w:val="single" w:sz="4" w:space="0" w:color="auto"/>
              <w:right w:val="single" w:sz="4" w:space="0" w:color="auto"/>
            </w:tcBorders>
            <w:noWrap/>
            <w:vAlign w:val="bottom"/>
            <w:hideMark/>
          </w:tcPr>
          <w:p w14:paraId="5E067F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17.15</w:t>
            </w:r>
          </w:p>
        </w:tc>
        <w:tc>
          <w:tcPr>
            <w:tcW w:w="1370" w:type="dxa"/>
            <w:tcBorders>
              <w:top w:val="nil"/>
              <w:left w:val="nil"/>
              <w:bottom w:val="single" w:sz="4" w:space="0" w:color="auto"/>
              <w:right w:val="single" w:sz="4" w:space="0" w:color="auto"/>
            </w:tcBorders>
            <w:noWrap/>
            <w:vAlign w:val="bottom"/>
            <w:hideMark/>
          </w:tcPr>
          <w:p w14:paraId="3A5459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51007E09" w14:textId="3C769A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1AF010B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63.35</w:t>
            </w:r>
          </w:p>
        </w:tc>
        <w:tc>
          <w:tcPr>
            <w:tcW w:w="979" w:type="dxa"/>
            <w:tcBorders>
              <w:top w:val="nil"/>
              <w:left w:val="nil"/>
              <w:bottom w:val="single" w:sz="4" w:space="0" w:color="auto"/>
              <w:right w:val="single" w:sz="4" w:space="0" w:color="auto"/>
            </w:tcBorders>
            <w:noWrap/>
            <w:vAlign w:val="bottom"/>
            <w:hideMark/>
          </w:tcPr>
          <w:p w14:paraId="06BDF0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2.20</w:t>
            </w:r>
          </w:p>
        </w:tc>
      </w:tr>
      <w:tr w:rsidR="00AE35AA" w:rsidRPr="00AE35AA" w14:paraId="499AFA25"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75A9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w:t>
            </w:r>
          </w:p>
        </w:tc>
        <w:tc>
          <w:tcPr>
            <w:tcW w:w="1567" w:type="dxa"/>
            <w:tcBorders>
              <w:top w:val="nil"/>
              <w:left w:val="nil"/>
              <w:bottom w:val="single" w:sz="4" w:space="0" w:color="auto"/>
              <w:right w:val="single" w:sz="4" w:space="0" w:color="auto"/>
            </w:tcBorders>
            <w:noWrap/>
            <w:vAlign w:val="bottom"/>
            <w:hideMark/>
          </w:tcPr>
          <w:p w14:paraId="24E1F3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152405</w:t>
            </w:r>
          </w:p>
        </w:tc>
        <w:tc>
          <w:tcPr>
            <w:tcW w:w="1176" w:type="dxa"/>
            <w:tcBorders>
              <w:top w:val="nil"/>
              <w:left w:val="nil"/>
              <w:bottom w:val="single" w:sz="4" w:space="0" w:color="auto"/>
              <w:right w:val="single" w:sz="4" w:space="0" w:color="auto"/>
            </w:tcBorders>
            <w:noWrap/>
            <w:vAlign w:val="bottom"/>
            <w:hideMark/>
          </w:tcPr>
          <w:p w14:paraId="0B527775" w14:textId="277CAEA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5BD8CA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nil"/>
              <w:left w:val="nil"/>
              <w:bottom w:val="single" w:sz="4" w:space="0" w:color="auto"/>
              <w:right w:val="single" w:sz="4" w:space="0" w:color="auto"/>
            </w:tcBorders>
            <w:noWrap/>
            <w:vAlign w:val="bottom"/>
            <w:hideMark/>
          </w:tcPr>
          <w:p w14:paraId="03C907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40.55</w:t>
            </w:r>
          </w:p>
        </w:tc>
        <w:tc>
          <w:tcPr>
            <w:tcW w:w="1175" w:type="dxa"/>
            <w:tcBorders>
              <w:top w:val="nil"/>
              <w:left w:val="nil"/>
              <w:bottom w:val="single" w:sz="4" w:space="0" w:color="auto"/>
              <w:right w:val="single" w:sz="4" w:space="0" w:color="auto"/>
            </w:tcBorders>
            <w:noWrap/>
            <w:vAlign w:val="bottom"/>
            <w:hideMark/>
          </w:tcPr>
          <w:p w14:paraId="5230D16D" w14:textId="6641140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60.9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35DF10F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2.30</w:t>
            </w:r>
          </w:p>
        </w:tc>
      </w:tr>
      <w:tr w:rsidR="00AE35AA" w:rsidRPr="00AE35AA" w14:paraId="036482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97B47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8</w:t>
            </w:r>
          </w:p>
        </w:tc>
        <w:tc>
          <w:tcPr>
            <w:tcW w:w="1567" w:type="dxa"/>
            <w:tcBorders>
              <w:top w:val="nil"/>
              <w:left w:val="nil"/>
              <w:bottom w:val="single" w:sz="4" w:space="0" w:color="auto"/>
              <w:right w:val="single" w:sz="4" w:space="0" w:color="auto"/>
            </w:tcBorders>
            <w:noWrap/>
            <w:vAlign w:val="bottom"/>
            <w:hideMark/>
          </w:tcPr>
          <w:p w14:paraId="69745AC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152339</w:t>
            </w:r>
          </w:p>
        </w:tc>
        <w:tc>
          <w:tcPr>
            <w:tcW w:w="1176" w:type="dxa"/>
            <w:tcBorders>
              <w:top w:val="nil"/>
              <w:left w:val="nil"/>
              <w:bottom w:val="single" w:sz="4" w:space="0" w:color="auto"/>
              <w:right w:val="single" w:sz="4" w:space="0" w:color="auto"/>
            </w:tcBorders>
            <w:noWrap/>
            <w:vAlign w:val="bottom"/>
            <w:hideMark/>
          </w:tcPr>
          <w:p w14:paraId="2FCADE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14CD8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2C80F78D" w14:textId="2D051E3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AA5B95B" w14:textId="69AADE6F"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2C4CF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1.83</w:t>
            </w:r>
          </w:p>
        </w:tc>
      </w:tr>
      <w:tr w:rsidR="00AE35AA" w:rsidRPr="00AE35AA" w14:paraId="7E67C0FF"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1F412E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9</w:t>
            </w:r>
          </w:p>
        </w:tc>
        <w:tc>
          <w:tcPr>
            <w:tcW w:w="1567" w:type="dxa"/>
            <w:tcBorders>
              <w:top w:val="nil"/>
              <w:left w:val="nil"/>
              <w:bottom w:val="single" w:sz="4" w:space="0" w:color="auto"/>
              <w:right w:val="single" w:sz="4" w:space="0" w:color="auto"/>
            </w:tcBorders>
            <w:noWrap/>
            <w:vAlign w:val="bottom"/>
            <w:hideMark/>
          </w:tcPr>
          <w:p w14:paraId="4B8645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152344</w:t>
            </w:r>
          </w:p>
        </w:tc>
        <w:tc>
          <w:tcPr>
            <w:tcW w:w="1176" w:type="dxa"/>
            <w:tcBorders>
              <w:top w:val="nil"/>
              <w:left w:val="nil"/>
              <w:bottom w:val="single" w:sz="4" w:space="0" w:color="auto"/>
              <w:right w:val="single" w:sz="4" w:space="0" w:color="auto"/>
            </w:tcBorders>
            <w:noWrap/>
            <w:vAlign w:val="bottom"/>
            <w:hideMark/>
          </w:tcPr>
          <w:p w14:paraId="79332B97" w14:textId="4CA9C1C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B1C26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42099CDB" w14:textId="3864FF7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5D3463E" w14:textId="5B242C8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72.5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53A735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1.50</w:t>
            </w:r>
          </w:p>
        </w:tc>
      </w:tr>
      <w:tr w:rsidR="00AE35AA" w:rsidRPr="00AE35AA" w14:paraId="31BA0C52"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D63E2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10</w:t>
            </w:r>
          </w:p>
        </w:tc>
        <w:tc>
          <w:tcPr>
            <w:tcW w:w="1567" w:type="dxa"/>
            <w:tcBorders>
              <w:top w:val="nil"/>
              <w:left w:val="nil"/>
              <w:bottom w:val="single" w:sz="4" w:space="0" w:color="auto"/>
              <w:right w:val="single" w:sz="4" w:space="0" w:color="auto"/>
            </w:tcBorders>
            <w:noWrap/>
            <w:vAlign w:val="bottom"/>
            <w:hideMark/>
          </w:tcPr>
          <w:p w14:paraId="2BE80B8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162299</w:t>
            </w:r>
          </w:p>
        </w:tc>
        <w:tc>
          <w:tcPr>
            <w:tcW w:w="1176" w:type="dxa"/>
            <w:tcBorders>
              <w:top w:val="nil"/>
              <w:left w:val="nil"/>
              <w:bottom w:val="single" w:sz="4" w:space="0" w:color="auto"/>
              <w:right w:val="single" w:sz="4" w:space="0" w:color="auto"/>
            </w:tcBorders>
            <w:noWrap/>
            <w:vAlign w:val="bottom"/>
            <w:hideMark/>
          </w:tcPr>
          <w:p w14:paraId="000FCC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7930D7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2.47</w:t>
            </w:r>
          </w:p>
        </w:tc>
        <w:tc>
          <w:tcPr>
            <w:tcW w:w="1176" w:type="dxa"/>
            <w:tcBorders>
              <w:top w:val="nil"/>
              <w:left w:val="nil"/>
              <w:bottom w:val="single" w:sz="4" w:space="0" w:color="auto"/>
              <w:right w:val="single" w:sz="4" w:space="0" w:color="auto"/>
            </w:tcBorders>
            <w:noWrap/>
            <w:vAlign w:val="bottom"/>
            <w:hideMark/>
          </w:tcPr>
          <w:p w14:paraId="61CBDD7A" w14:textId="2B1725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64FC7127" w14:textId="15CC25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438DCB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AE35AA" w:rsidRPr="00AE35AA" w14:paraId="1146FA2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76B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w:t>
            </w:r>
          </w:p>
        </w:tc>
        <w:tc>
          <w:tcPr>
            <w:tcW w:w="1567" w:type="dxa"/>
            <w:tcBorders>
              <w:top w:val="nil"/>
              <w:left w:val="nil"/>
              <w:bottom w:val="single" w:sz="4" w:space="0" w:color="auto"/>
              <w:right w:val="single" w:sz="4" w:space="0" w:color="auto"/>
            </w:tcBorders>
            <w:noWrap/>
            <w:vAlign w:val="bottom"/>
            <w:hideMark/>
          </w:tcPr>
          <w:p w14:paraId="056897B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162387</w:t>
            </w:r>
          </w:p>
        </w:tc>
        <w:tc>
          <w:tcPr>
            <w:tcW w:w="1176" w:type="dxa"/>
            <w:tcBorders>
              <w:top w:val="nil"/>
              <w:left w:val="nil"/>
              <w:bottom w:val="single" w:sz="4" w:space="0" w:color="auto"/>
              <w:right w:val="single" w:sz="4" w:space="0" w:color="auto"/>
            </w:tcBorders>
            <w:noWrap/>
            <w:vAlign w:val="bottom"/>
            <w:hideMark/>
          </w:tcPr>
          <w:p w14:paraId="18902E7B" w14:textId="4D0179C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E53DB9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2.45</w:t>
            </w:r>
          </w:p>
        </w:tc>
        <w:tc>
          <w:tcPr>
            <w:tcW w:w="1176" w:type="dxa"/>
            <w:tcBorders>
              <w:top w:val="nil"/>
              <w:left w:val="nil"/>
              <w:bottom w:val="single" w:sz="4" w:space="0" w:color="auto"/>
              <w:right w:val="single" w:sz="4" w:space="0" w:color="auto"/>
            </w:tcBorders>
            <w:noWrap/>
            <w:vAlign w:val="bottom"/>
            <w:hideMark/>
          </w:tcPr>
          <w:p w14:paraId="221CA89F" w14:textId="31F9874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46.1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07D9109" w14:textId="53B776C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66.1</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C31E5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0.94</w:t>
            </w:r>
          </w:p>
        </w:tc>
      </w:tr>
      <w:tr w:rsidR="00AE35AA" w:rsidRPr="00AE35AA" w14:paraId="1B888CE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AF734A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w:t>
            </w:r>
          </w:p>
        </w:tc>
        <w:tc>
          <w:tcPr>
            <w:tcW w:w="1567" w:type="dxa"/>
            <w:tcBorders>
              <w:top w:val="nil"/>
              <w:left w:val="nil"/>
              <w:bottom w:val="single" w:sz="4" w:space="0" w:color="auto"/>
              <w:right w:val="single" w:sz="4" w:space="0" w:color="auto"/>
            </w:tcBorders>
            <w:noWrap/>
            <w:vAlign w:val="bottom"/>
            <w:hideMark/>
          </w:tcPr>
          <w:p w14:paraId="28ABFB5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162381</w:t>
            </w:r>
          </w:p>
        </w:tc>
        <w:tc>
          <w:tcPr>
            <w:tcW w:w="1176" w:type="dxa"/>
            <w:tcBorders>
              <w:top w:val="nil"/>
              <w:left w:val="nil"/>
              <w:bottom w:val="single" w:sz="4" w:space="0" w:color="auto"/>
              <w:right w:val="single" w:sz="4" w:space="0" w:color="auto"/>
            </w:tcBorders>
            <w:noWrap/>
            <w:vAlign w:val="bottom"/>
            <w:hideMark/>
          </w:tcPr>
          <w:p w14:paraId="68D6A24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0D1D78C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2.49</w:t>
            </w:r>
          </w:p>
        </w:tc>
        <w:tc>
          <w:tcPr>
            <w:tcW w:w="1176" w:type="dxa"/>
            <w:tcBorders>
              <w:top w:val="nil"/>
              <w:left w:val="nil"/>
              <w:bottom w:val="single" w:sz="4" w:space="0" w:color="auto"/>
              <w:right w:val="single" w:sz="4" w:space="0" w:color="auto"/>
            </w:tcBorders>
            <w:noWrap/>
            <w:vAlign w:val="bottom"/>
            <w:hideMark/>
          </w:tcPr>
          <w:p w14:paraId="3EAF6075" w14:textId="4CC6E85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9142D2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68.55</w:t>
            </w:r>
          </w:p>
        </w:tc>
        <w:tc>
          <w:tcPr>
            <w:tcW w:w="979" w:type="dxa"/>
            <w:tcBorders>
              <w:top w:val="nil"/>
              <w:left w:val="nil"/>
              <w:bottom w:val="single" w:sz="4" w:space="0" w:color="auto"/>
              <w:right w:val="single" w:sz="4" w:space="0" w:color="auto"/>
            </w:tcBorders>
            <w:noWrap/>
            <w:vAlign w:val="bottom"/>
            <w:hideMark/>
          </w:tcPr>
          <w:p w14:paraId="4614803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r>
      <w:tr w:rsidR="00AE35AA" w:rsidRPr="00AE35AA" w14:paraId="1F9C4CA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0929DE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w:t>
            </w:r>
          </w:p>
        </w:tc>
        <w:tc>
          <w:tcPr>
            <w:tcW w:w="1567" w:type="dxa"/>
            <w:tcBorders>
              <w:top w:val="nil"/>
              <w:left w:val="nil"/>
              <w:bottom w:val="single" w:sz="4" w:space="0" w:color="auto"/>
              <w:right w:val="single" w:sz="4" w:space="0" w:color="auto"/>
            </w:tcBorders>
            <w:noWrap/>
            <w:vAlign w:val="bottom"/>
            <w:hideMark/>
          </w:tcPr>
          <w:p w14:paraId="73C1CB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162364</w:t>
            </w:r>
          </w:p>
        </w:tc>
        <w:tc>
          <w:tcPr>
            <w:tcW w:w="1176" w:type="dxa"/>
            <w:tcBorders>
              <w:top w:val="nil"/>
              <w:left w:val="nil"/>
              <w:bottom w:val="single" w:sz="4" w:space="0" w:color="auto"/>
              <w:right w:val="single" w:sz="4" w:space="0" w:color="auto"/>
            </w:tcBorders>
            <w:noWrap/>
            <w:vAlign w:val="bottom"/>
            <w:hideMark/>
          </w:tcPr>
          <w:p w14:paraId="6C9A09F3" w14:textId="3B692D7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C7C973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2.89</w:t>
            </w:r>
          </w:p>
        </w:tc>
        <w:tc>
          <w:tcPr>
            <w:tcW w:w="1176" w:type="dxa"/>
            <w:tcBorders>
              <w:top w:val="nil"/>
              <w:left w:val="nil"/>
              <w:bottom w:val="single" w:sz="4" w:space="0" w:color="auto"/>
              <w:right w:val="single" w:sz="4" w:space="0" w:color="auto"/>
            </w:tcBorders>
            <w:noWrap/>
            <w:vAlign w:val="bottom"/>
            <w:hideMark/>
          </w:tcPr>
          <w:p w14:paraId="02C17D56" w14:textId="05CCF52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3F1FE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67.15</w:t>
            </w:r>
          </w:p>
        </w:tc>
        <w:tc>
          <w:tcPr>
            <w:tcW w:w="979" w:type="dxa"/>
            <w:tcBorders>
              <w:top w:val="nil"/>
              <w:left w:val="nil"/>
              <w:bottom w:val="single" w:sz="4" w:space="0" w:color="auto"/>
              <w:right w:val="single" w:sz="4" w:space="0" w:color="auto"/>
            </w:tcBorders>
            <w:noWrap/>
            <w:vAlign w:val="bottom"/>
            <w:hideMark/>
          </w:tcPr>
          <w:p w14:paraId="05C9891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0.95</w:t>
            </w:r>
          </w:p>
        </w:tc>
      </w:tr>
      <w:tr w:rsidR="00AE35AA" w:rsidRPr="00AE35AA" w14:paraId="3EE03D2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A35B00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w:t>
            </w:r>
          </w:p>
        </w:tc>
        <w:tc>
          <w:tcPr>
            <w:tcW w:w="1567" w:type="dxa"/>
            <w:tcBorders>
              <w:top w:val="nil"/>
              <w:left w:val="nil"/>
              <w:bottom w:val="single" w:sz="4" w:space="0" w:color="auto"/>
              <w:right w:val="single" w:sz="4" w:space="0" w:color="auto"/>
            </w:tcBorders>
            <w:noWrap/>
            <w:vAlign w:val="bottom"/>
            <w:hideMark/>
          </w:tcPr>
          <w:p w14:paraId="08AFFF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152356</w:t>
            </w:r>
          </w:p>
        </w:tc>
        <w:tc>
          <w:tcPr>
            <w:tcW w:w="1176" w:type="dxa"/>
            <w:tcBorders>
              <w:top w:val="nil"/>
              <w:left w:val="nil"/>
              <w:bottom w:val="single" w:sz="4" w:space="0" w:color="auto"/>
              <w:right w:val="single" w:sz="4" w:space="0" w:color="auto"/>
            </w:tcBorders>
            <w:noWrap/>
            <w:vAlign w:val="bottom"/>
            <w:hideMark/>
          </w:tcPr>
          <w:p w14:paraId="62F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17.45</w:t>
            </w:r>
          </w:p>
        </w:tc>
        <w:tc>
          <w:tcPr>
            <w:tcW w:w="1370" w:type="dxa"/>
            <w:tcBorders>
              <w:top w:val="nil"/>
              <w:left w:val="nil"/>
              <w:bottom w:val="single" w:sz="4" w:space="0" w:color="auto"/>
              <w:right w:val="single" w:sz="4" w:space="0" w:color="auto"/>
            </w:tcBorders>
            <w:noWrap/>
            <w:vAlign w:val="bottom"/>
            <w:hideMark/>
          </w:tcPr>
          <w:p w14:paraId="26BBC5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0C9A10B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45.85</w:t>
            </w:r>
          </w:p>
        </w:tc>
        <w:tc>
          <w:tcPr>
            <w:tcW w:w="1175" w:type="dxa"/>
            <w:tcBorders>
              <w:top w:val="nil"/>
              <w:left w:val="nil"/>
              <w:bottom w:val="single" w:sz="4" w:space="0" w:color="auto"/>
              <w:right w:val="single" w:sz="4" w:space="0" w:color="auto"/>
            </w:tcBorders>
            <w:noWrap/>
            <w:vAlign w:val="bottom"/>
            <w:hideMark/>
          </w:tcPr>
          <w:p w14:paraId="0D7F80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71.65</w:t>
            </w:r>
          </w:p>
        </w:tc>
        <w:tc>
          <w:tcPr>
            <w:tcW w:w="979" w:type="dxa"/>
            <w:tcBorders>
              <w:top w:val="nil"/>
              <w:left w:val="nil"/>
              <w:bottom w:val="single" w:sz="4" w:space="0" w:color="auto"/>
              <w:right w:val="single" w:sz="4" w:space="0" w:color="auto"/>
            </w:tcBorders>
            <w:noWrap/>
            <w:vAlign w:val="bottom"/>
            <w:hideMark/>
          </w:tcPr>
          <w:p w14:paraId="6F843B3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1.31</w:t>
            </w:r>
          </w:p>
        </w:tc>
      </w:tr>
      <w:tr w:rsidR="00AE35AA" w:rsidRPr="00AE35AA" w14:paraId="2B4C5B3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B9757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w:t>
            </w:r>
          </w:p>
        </w:tc>
        <w:tc>
          <w:tcPr>
            <w:tcW w:w="1567" w:type="dxa"/>
            <w:tcBorders>
              <w:top w:val="nil"/>
              <w:left w:val="nil"/>
              <w:bottom w:val="single" w:sz="4" w:space="0" w:color="auto"/>
              <w:right w:val="single" w:sz="4" w:space="0" w:color="auto"/>
            </w:tcBorders>
            <w:noWrap/>
            <w:vAlign w:val="bottom"/>
            <w:hideMark/>
          </w:tcPr>
          <w:p w14:paraId="37F4D73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152337</w:t>
            </w:r>
          </w:p>
        </w:tc>
        <w:tc>
          <w:tcPr>
            <w:tcW w:w="1176" w:type="dxa"/>
            <w:tcBorders>
              <w:top w:val="nil"/>
              <w:left w:val="nil"/>
              <w:bottom w:val="single" w:sz="4" w:space="0" w:color="auto"/>
              <w:right w:val="single" w:sz="4" w:space="0" w:color="auto"/>
            </w:tcBorders>
            <w:noWrap/>
            <w:vAlign w:val="bottom"/>
            <w:hideMark/>
          </w:tcPr>
          <w:p w14:paraId="46F1F66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4B85E26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6A4C146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49.95</w:t>
            </w:r>
          </w:p>
        </w:tc>
        <w:tc>
          <w:tcPr>
            <w:tcW w:w="1175" w:type="dxa"/>
            <w:tcBorders>
              <w:top w:val="nil"/>
              <w:left w:val="nil"/>
              <w:bottom w:val="single" w:sz="4" w:space="0" w:color="auto"/>
              <w:right w:val="single" w:sz="4" w:space="0" w:color="auto"/>
            </w:tcBorders>
            <w:noWrap/>
            <w:vAlign w:val="bottom"/>
            <w:hideMark/>
          </w:tcPr>
          <w:p w14:paraId="03B6FAED" w14:textId="4053F26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DC50B3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2.15</w:t>
            </w:r>
          </w:p>
        </w:tc>
      </w:tr>
      <w:tr w:rsidR="00AE35AA" w:rsidRPr="00AE35AA" w14:paraId="2318B34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54B1E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p>
        </w:tc>
        <w:tc>
          <w:tcPr>
            <w:tcW w:w="1567" w:type="dxa"/>
            <w:tcBorders>
              <w:top w:val="nil"/>
              <w:left w:val="nil"/>
              <w:bottom w:val="single" w:sz="4" w:space="0" w:color="auto"/>
              <w:right w:val="single" w:sz="4" w:space="0" w:color="auto"/>
            </w:tcBorders>
            <w:noWrap/>
            <w:vAlign w:val="bottom"/>
            <w:hideMark/>
          </w:tcPr>
          <w:p w14:paraId="6B3927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153226</w:t>
            </w:r>
          </w:p>
        </w:tc>
        <w:tc>
          <w:tcPr>
            <w:tcW w:w="1176" w:type="dxa"/>
            <w:tcBorders>
              <w:top w:val="nil"/>
              <w:left w:val="nil"/>
              <w:bottom w:val="single" w:sz="4" w:space="0" w:color="auto"/>
              <w:right w:val="single" w:sz="4" w:space="0" w:color="auto"/>
            </w:tcBorders>
            <w:noWrap/>
            <w:vAlign w:val="bottom"/>
            <w:hideMark/>
          </w:tcPr>
          <w:p w14:paraId="0ABDC6D5" w14:textId="2CEA812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8186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hideMark/>
          </w:tcPr>
          <w:p w14:paraId="5D02CA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47.35</w:t>
            </w:r>
          </w:p>
        </w:tc>
        <w:tc>
          <w:tcPr>
            <w:tcW w:w="1175" w:type="dxa"/>
            <w:tcBorders>
              <w:top w:val="nil"/>
              <w:left w:val="nil"/>
              <w:bottom w:val="single" w:sz="4" w:space="0" w:color="auto"/>
              <w:right w:val="single" w:sz="4" w:space="0" w:color="auto"/>
            </w:tcBorders>
            <w:noWrap/>
            <w:vAlign w:val="bottom"/>
            <w:hideMark/>
          </w:tcPr>
          <w:p w14:paraId="4F2D99A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61.05</w:t>
            </w:r>
          </w:p>
        </w:tc>
        <w:tc>
          <w:tcPr>
            <w:tcW w:w="979" w:type="dxa"/>
            <w:tcBorders>
              <w:top w:val="nil"/>
              <w:left w:val="nil"/>
              <w:bottom w:val="single" w:sz="4" w:space="0" w:color="auto"/>
              <w:right w:val="single" w:sz="4" w:space="0" w:color="auto"/>
            </w:tcBorders>
            <w:noWrap/>
            <w:vAlign w:val="bottom"/>
            <w:hideMark/>
          </w:tcPr>
          <w:p w14:paraId="236CE1A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p>
        </w:tc>
      </w:tr>
      <w:tr w:rsidR="00AE35AA" w:rsidRPr="00AE35AA" w14:paraId="1FE0772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5A2AA2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17</w:t>
            </w:r>
          </w:p>
        </w:tc>
        <w:tc>
          <w:tcPr>
            <w:tcW w:w="1567" w:type="dxa"/>
            <w:tcBorders>
              <w:top w:val="nil"/>
              <w:left w:val="nil"/>
              <w:bottom w:val="single" w:sz="4" w:space="0" w:color="auto"/>
              <w:right w:val="single" w:sz="4" w:space="0" w:color="auto"/>
            </w:tcBorders>
            <w:noWrap/>
            <w:vAlign w:val="bottom"/>
            <w:hideMark/>
          </w:tcPr>
          <w:p w14:paraId="4C672B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152258</w:t>
            </w:r>
          </w:p>
        </w:tc>
        <w:tc>
          <w:tcPr>
            <w:tcW w:w="1176" w:type="dxa"/>
            <w:tcBorders>
              <w:top w:val="nil"/>
              <w:left w:val="nil"/>
              <w:bottom w:val="single" w:sz="4" w:space="0" w:color="auto"/>
              <w:right w:val="single" w:sz="4" w:space="0" w:color="auto"/>
            </w:tcBorders>
            <w:noWrap/>
            <w:vAlign w:val="bottom"/>
            <w:hideMark/>
          </w:tcPr>
          <w:p w14:paraId="2D0585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hideMark/>
          </w:tcPr>
          <w:p w14:paraId="47D758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2B6540D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41.05</w:t>
            </w:r>
          </w:p>
        </w:tc>
        <w:tc>
          <w:tcPr>
            <w:tcW w:w="1175" w:type="dxa"/>
            <w:tcBorders>
              <w:top w:val="nil"/>
              <w:left w:val="nil"/>
              <w:bottom w:val="single" w:sz="4" w:space="0" w:color="auto"/>
              <w:right w:val="single" w:sz="4" w:space="0" w:color="auto"/>
            </w:tcBorders>
            <w:noWrap/>
            <w:vAlign w:val="bottom"/>
            <w:hideMark/>
          </w:tcPr>
          <w:p w14:paraId="6674A7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66.85</w:t>
            </w:r>
          </w:p>
        </w:tc>
        <w:tc>
          <w:tcPr>
            <w:tcW w:w="979" w:type="dxa"/>
            <w:tcBorders>
              <w:top w:val="nil"/>
              <w:left w:val="nil"/>
              <w:bottom w:val="single" w:sz="4" w:space="0" w:color="auto"/>
              <w:right w:val="single" w:sz="4" w:space="0" w:color="auto"/>
            </w:tcBorders>
            <w:noWrap/>
            <w:vAlign w:val="bottom"/>
            <w:hideMark/>
          </w:tcPr>
          <w:p w14:paraId="243BA9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AE35AA" w:rsidRPr="00AE35AA" w14:paraId="3A0A9E8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4897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p>
        </w:tc>
        <w:tc>
          <w:tcPr>
            <w:tcW w:w="1567" w:type="dxa"/>
            <w:tcBorders>
              <w:top w:val="nil"/>
              <w:left w:val="nil"/>
              <w:bottom w:val="single" w:sz="4" w:space="0" w:color="auto"/>
              <w:right w:val="single" w:sz="4" w:space="0" w:color="auto"/>
            </w:tcBorders>
            <w:noWrap/>
            <w:vAlign w:val="bottom"/>
            <w:hideMark/>
          </w:tcPr>
          <w:p w14:paraId="58D671F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152231</w:t>
            </w:r>
          </w:p>
        </w:tc>
        <w:tc>
          <w:tcPr>
            <w:tcW w:w="1176" w:type="dxa"/>
            <w:tcBorders>
              <w:top w:val="nil"/>
              <w:left w:val="nil"/>
              <w:bottom w:val="single" w:sz="4" w:space="0" w:color="auto"/>
              <w:right w:val="single" w:sz="4" w:space="0" w:color="auto"/>
            </w:tcBorders>
            <w:noWrap/>
            <w:vAlign w:val="bottom"/>
            <w:hideMark/>
          </w:tcPr>
          <w:p w14:paraId="35DEA75C" w14:textId="6E4374F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9C7542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2EF547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44.95</w:t>
            </w:r>
          </w:p>
        </w:tc>
        <w:tc>
          <w:tcPr>
            <w:tcW w:w="1175" w:type="dxa"/>
            <w:tcBorders>
              <w:top w:val="nil"/>
              <w:left w:val="nil"/>
              <w:bottom w:val="single" w:sz="4" w:space="0" w:color="auto"/>
              <w:right w:val="single" w:sz="4" w:space="0" w:color="auto"/>
            </w:tcBorders>
            <w:noWrap/>
            <w:vAlign w:val="bottom"/>
            <w:hideMark/>
          </w:tcPr>
          <w:p w14:paraId="12D023D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67.35</w:t>
            </w:r>
          </w:p>
        </w:tc>
        <w:tc>
          <w:tcPr>
            <w:tcW w:w="979" w:type="dxa"/>
            <w:tcBorders>
              <w:top w:val="nil"/>
              <w:left w:val="nil"/>
              <w:bottom w:val="single" w:sz="4" w:space="0" w:color="auto"/>
              <w:right w:val="single" w:sz="4" w:space="0" w:color="auto"/>
            </w:tcBorders>
            <w:noWrap/>
            <w:vAlign w:val="bottom"/>
            <w:hideMark/>
          </w:tcPr>
          <w:p w14:paraId="55FBDA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1.80</w:t>
            </w:r>
          </w:p>
        </w:tc>
      </w:tr>
      <w:tr w:rsidR="00AE35AA" w:rsidRPr="00AE35AA" w14:paraId="0154D4F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7142A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w:t>
            </w:r>
          </w:p>
        </w:tc>
        <w:tc>
          <w:tcPr>
            <w:tcW w:w="1567" w:type="dxa"/>
            <w:tcBorders>
              <w:top w:val="nil"/>
              <w:left w:val="nil"/>
              <w:bottom w:val="single" w:sz="4" w:space="0" w:color="auto"/>
              <w:right w:val="single" w:sz="4" w:space="0" w:color="auto"/>
            </w:tcBorders>
            <w:noWrap/>
            <w:vAlign w:val="bottom"/>
            <w:hideMark/>
          </w:tcPr>
          <w:p w14:paraId="481668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152223</w:t>
            </w:r>
          </w:p>
        </w:tc>
        <w:tc>
          <w:tcPr>
            <w:tcW w:w="1176" w:type="dxa"/>
            <w:tcBorders>
              <w:top w:val="nil"/>
              <w:left w:val="nil"/>
              <w:bottom w:val="single" w:sz="4" w:space="0" w:color="auto"/>
              <w:right w:val="single" w:sz="4" w:space="0" w:color="auto"/>
            </w:tcBorders>
            <w:noWrap/>
            <w:vAlign w:val="bottom"/>
            <w:hideMark/>
          </w:tcPr>
          <w:p w14:paraId="1EC6A2D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19.85</w:t>
            </w:r>
          </w:p>
        </w:tc>
        <w:tc>
          <w:tcPr>
            <w:tcW w:w="1370" w:type="dxa"/>
            <w:tcBorders>
              <w:top w:val="nil"/>
              <w:left w:val="nil"/>
              <w:bottom w:val="single" w:sz="4" w:space="0" w:color="auto"/>
              <w:right w:val="single" w:sz="4" w:space="0" w:color="auto"/>
            </w:tcBorders>
            <w:noWrap/>
            <w:vAlign w:val="bottom"/>
            <w:hideMark/>
          </w:tcPr>
          <w:p w14:paraId="45616E9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5DC6CF3" w14:textId="22E5A9F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44C74CE" w14:textId="6F8731E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65.7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429C41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AE35AA" w:rsidRPr="00AE35AA" w14:paraId="0FF1382E"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E7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w:t>
            </w:r>
          </w:p>
        </w:tc>
        <w:tc>
          <w:tcPr>
            <w:tcW w:w="1567" w:type="dxa"/>
            <w:tcBorders>
              <w:top w:val="nil"/>
              <w:left w:val="nil"/>
              <w:bottom w:val="single" w:sz="4" w:space="0" w:color="auto"/>
              <w:right w:val="single" w:sz="4" w:space="0" w:color="auto"/>
            </w:tcBorders>
            <w:noWrap/>
            <w:vAlign w:val="bottom"/>
            <w:hideMark/>
          </w:tcPr>
          <w:p w14:paraId="143BB0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152234</w:t>
            </w:r>
          </w:p>
        </w:tc>
        <w:tc>
          <w:tcPr>
            <w:tcW w:w="1176" w:type="dxa"/>
            <w:tcBorders>
              <w:top w:val="nil"/>
              <w:left w:val="nil"/>
              <w:bottom w:val="single" w:sz="4" w:space="0" w:color="auto"/>
              <w:right w:val="single" w:sz="4" w:space="0" w:color="auto"/>
            </w:tcBorders>
            <w:noWrap/>
            <w:vAlign w:val="bottom"/>
            <w:hideMark/>
          </w:tcPr>
          <w:p w14:paraId="50E4013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20.25</w:t>
            </w:r>
          </w:p>
        </w:tc>
        <w:tc>
          <w:tcPr>
            <w:tcW w:w="1370" w:type="dxa"/>
            <w:tcBorders>
              <w:top w:val="nil"/>
              <w:left w:val="nil"/>
              <w:bottom w:val="single" w:sz="4" w:space="0" w:color="auto"/>
              <w:right w:val="single" w:sz="4" w:space="0" w:color="auto"/>
            </w:tcBorders>
            <w:noWrap/>
            <w:vAlign w:val="bottom"/>
            <w:hideMark/>
          </w:tcPr>
          <w:p w14:paraId="560E70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hideMark/>
          </w:tcPr>
          <w:p w14:paraId="02FB1F6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34.45</w:t>
            </w:r>
          </w:p>
        </w:tc>
        <w:tc>
          <w:tcPr>
            <w:tcW w:w="1175" w:type="dxa"/>
            <w:tcBorders>
              <w:top w:val="nil"/>
              <w:left w:val="nil"/>
              <w:bottom w:val="single" w:sz="4" w:space="0" w:color="auto"/>
              <w:right w:val="single" w:sz="4" w:space="0" w:color="auto"/>
            </w:tcBorders>
            <w:noWrap/>
            <w:vAlign w:val="bottom"/>
            <w:hideMark/>
          </w:tcPr>
          <w:p w14:paraId="76F048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70.75</w:t>
            </w:r>
          </w:p>
        </w:tc>
        <w:tc>
          <w:tcPr>
            <w:tcW w:w="979" w:type="dxa"/>
            <w:tcBorders>
              <w:top w:val="nil"/>
              <w:left w:val="nil"/>
              <w:bottom w:val="single" w:sz="4" w:space="0" w:color="auto"/>
              <w:right w:val="single" w:sz="4" w:space="0" w:color="auto"/>
            </w:tcBorders>
            <w:noWrap/>
            <w:vAlign w:val="bottom"/>
            <w:hideMark/>
          </w:tcPr>
          <w:p w14:paraId="7B26860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AE35AA" w:rsidRPr="00AE35AA" w14:paraId="28351EE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404EA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w:t>
            </w:r>
          </w:p>
        </w:tc>
        <w:tc>
          <w:tcPr>
            <w:tcW w:w="1567" w:type="dxa"/>
            <w:tcBorders>
              <w:top w:val="nil"/>
              <w:left w:val="nil"/>
              <w:bottom w:val="single" w:sz="4" w:space="0" w:color="auto"/>
              <w:right w:val="single" w:sz="4" w:space="0" w:color="auto"/>
            </w:tcBorders>
            <w:noWrap/>
            <w:vAlign w:val="bottom"/>
            <w:hideMark/>
          </w:tcPr>
          <w:p w14:paraId="3BAA7C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162376</w:t>
            </w:r>
          </w:p>
        </w:tc>
        <w:tc>
          <w:tcPr>
            <w:tcW w:w="1176" w:type="dxa"/>
            <w:tcBorders>
              <w:top w:val="nil"/>
              <w:left w:val="nil"/>
              <w:bottom w:val="single" w:sz="4" w:space="0" w:color="auto"/>
              <w:right w:val="single" w:sz="4" w:space="0" w:color="auto"/>
            </w:tcBorders>
            <w:noWrap/>
            <w:vAlign w:val="bottom"/>
            <w:hideMark/>
          </w:tcPr>
          <w:p w14:paraId="167DF6A8" w14:textId="08598B5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96C3D8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8817494" w14:textId="5FB5550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39.3</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9623A71" w14:textId="3FE5283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3868D1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AE35AA" w:rsidRPr="00AE35AA" w14:paraId="080A25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8F035C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w:t>
            </w:r>
          </w:p>
        </w:tc>
        <w:tc>
          <w:tcPr>
            <w:tcW w:w="1567" w:type="dxa"/>
            <w:tcBorders>
              <w:top w:val="nil"/>
              <w:left w:val="nil"/>
              <w:bottom w:val="single" w:sz="4" w:space="0" w:color="auto"/>
              <w:right w:val="single" w:sz="4" w:space="0" w:color="auto"/>
            </w:tcBorders>
            <w:noWrap/>
            <w:vAlign w:val="bottom"/>
            <w:hideMark/>
          </w:tcPr>
          <w:p w14:paraId="524BD84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162377</w:t>
            </w:r>
          </w:p>
        </w:tc>
        <w:tc>
          <w:tcPr>
            <w:tcW w:w="1176" w:type="dxa"/>
            <w:tcBorders>
              <w:top w:val="nil"/>
              <w:left w:val="nil"/>
              <w:bottom w:val="single" w:sz="4" w:space="0" w:color="auto"/>
              <w:right w:val="single" w:sz="4" w:space="0" w:color="auto"/>
            </w:tcBorders>
            <w:noWrap/>
            <w:vAlign w:val="bottom"/>
            <w:hideMark/>
          </w:tcPr>
          <w:p w14:paraId="42B5E6FA" w14:textId="37746BD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hideMark/>
          </w:tcPr>
          <w:p w14:paraId="576AD8F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1.56</w:t>
            </w:r>
          </w:p>
        </w:tc>
        <w:tc>
          <w:tcPr>
            <w:tcW w:w="1176" w:type="dxa"/>
            <w:tcBorders>
              <w:top w:val="nil"/>
              <w:left w:val="nil"/>
              <w:bottom w:val="single" w:sz="4" w:space="0" w:color="auto"/>
              <w:right w:val="single" w:sz="4" w:space="0" w:color="auto"/>
            </w:tcBorders>
            <w:noWrap/>
            <w:vAlign w:val="bottom"/>
            <w:hideMark/>
          </w:tcPr>
          <w:p w14:paraId="391254E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50.65</w:t>
            </w:r>
          </w:p>
        </w:tc>
        <w:tc>
          <w:tcPr>
            <w:tcW w:w="1175" w:type="dxa"/>
            <w:tcBorders>
              <w:top w:val="nil"/>
              <w:left w:val="nil"/>
              <w:bottom w:val="single" w:sz="4" w:space="0" w:color="auto"/>
              <w:right w:val="single" w:sz="4" w:space="0" w:color="auto"/>
            </w:tcBorders>
            <w:noWrap/>
            <w:vAlign w:val="bottom"/>
            <w:hideMark/>
          </w:tcPr>
          <w:p w14:paraId="0F4FB4E1" w14:textId="554591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FDACD7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1.44</w:t>
            </w:r>
          </w:p>
        </w:tc>
      </w:tr>
      <w:tr w:rsidR="00AE35AA" w:rsidRPr="00AE35AA" w14:paraId="28EB788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5256A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w:t>
            </w:r>
          </w:p>
        </w:tc>
        <w:tc>
          <w:tcPr>
            <w:tcW w:w="1567" w:type="dxa"/>
            <w:tcBorders>
              <w:top w:val="nil"/>
              <w:left w:val="nil"/>
              <w:bottom w:val="single" w:sz="4" w:space="0" w:color="auto"/>
              <w:right w:val="single" w:sz="4" w:space="0" w:color="auto"/>
            </w:tcBorders>
            <w:noWrap/>
            <w:vAlign w:val="bottom"/>
            <w:hideMark/>
          </w:tcPr>
          <w:p w14:paraId="59D2EA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161024</w:t>
            </w:r>
          </w:p>
        </w:tc>
        <w:tc>
          <w:tcPr>
            <w:tcW w:w="1176" w:type="dxa"/>
            <w:tcBorders>
              <w:top w:val="nil"/>
              <w:left w:val="nil"/>
              <w:bottom w:val="single" w:sz="4" w:space="0" w:color="auto"/>
              <w:right w:val="single" w:sz="4" w:space="0" w:color="auto"/>
            </w:tcBorders>
            <w:noWrap/>
            <w:vAlign w:val="bottom"/>
            <w:hideMark/>
          </w:tcPr>
          <w:p w14:paraId="0B89A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hideMark/>
          </w:tcPr>
          <w:p w14:paraId="3B987C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63E4886E" w14:textId="4A8C86A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43.2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152DF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70.55</w:t>
            </w:r>
          </w:p>
        </w:tc>
        <w:tc>
          <w:tcPr>
            <w:tcW w:w="979" w:type="dxa"/>
            <w:tcBorders>
              <w:top w:val="nil"/>
              <w:left w:val="nil"/>
              <w:bottom w:val="single" w:sz="4" w:space="0" w:color="auto"/>
              <w:right w:val="single" w:sz="4" w:space="0" w:color="auto"/>
            </w:tcBorders>
            <w:noWrap/>
            <w:vAlign w:val="bottom"/>
            <w:hideMark/>
          </w:tcPr>
          <w:p w14:paraId="735898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1.29</w:t>
            </w:r>
          </w:p>
        </w:tc>
      </w:tr>
      <w:tr w:rsidR="00AE35AA" w:rsidRPr="00AE35AA" w14:paraId="1EB70E8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C7B64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w:t>
            </w:r>
          </w:p>
        </w:tc>
        <w:tc>
          <w:tcPr>
            <w:tcW w:w="1567" w:type="dxa"/>
            <w:tcBorders>
              <w:top w:val="nil"/>
              <w:left w:val="nil"/>
              <w:bottom w:val="single" w:sz="4" w:space="0" w:color="auto"/>
              <w:right w:val="single" w:sz="4" w:space="0" w:color="auto"/>
            </w:tcBorders>
            <w:noWrap/>
            <w:vAlign w:val="bottom"/>
            <w:hideMark/>
          </w:tcPr>
          <w:p w14:paraId="54BA297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161025</w:t>
            </w:r>
          </w:p>
        </w:tc>
        <w:tc>
          <w:tcPr>
            <w:tcW w:w="1176" w:type="dxa"/>
            <w:tcBorders>
              <w:top w:val="nil"/>
              <w:left w:val="nil"/>
              <w:bottom w:val="single" w:sz="4" w:space="0" w:color="auto"/>
              <w:right w:val="single" w:sz="4" w:space="0" w:color="auto"/>
            </w:tcBorders>
            <w:noWrap/>
            <w:vAlign w:val="bottom"/>
            <w:hideMark/>
          </w:tcPr>
          <w:p w14:paraId="04D616C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243366A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62F67A52" w14:textId="0C17621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4BF91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52.25</w:t>
            </w:r>
          </w:p>
        </w:tc>
        <w:tc>
          <w:tcPr>
            <w:tcW w:w="979" w:type="dxa"/>
            <w:tcBorders>
              <w:top w:val="nil"/>
              <w:left w:val="nil"/>
              <w:bottom w:val="single" w:sz="4" w:space="0" w:color="auto"/>
              <w:right w:val="single" w:sz="4" w:space="0" w:color="auto"/>
            </w:tcBorders>
            <w:noWrap/>
            <w:vAlign w:val="bottom"/>
            <w:hideMark/>
          </w:tcPr>
          <w:p w14:paraId="6440A2E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1.34</w:t>
            </w:r>
          </w:p>
        </w:tc>
      </w:tr>
      <w:tr w:rsidR="00AE35AA" w:rsidRPr="00AE35AA" w14:paraId="3EDBE388"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B42B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25</w:t>
            </w:r>
          </w:p>
        </w:tc>
        <w:tc>
          <w:tcPr>
            <w:tcW w:w="1567" w:type="dxa"/>
            <w:tcBorders>
              <w:top w:val="nil"/>
              <w:left w:val="nil"/>
              <w:bottom w:val="single" w:sz="4" w:space="0" w:color="auto"/>
              <w:right w:val="single" w:sz="4" w:space="0" w:color="auto"/>
            </w:tcBorders>
            <w:noWrap/>
            <w:vAlign w:val="bottom"/>
            <w:hideMark/>
          </w:tcPr>
          <w:p w14:paraId="6DF0EAC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152403</w:t>
            </w:r>
          </w:p>
        </w:tc>
        <w:tc>
          <w:tcPr>
            <w:tcW w:w="1176" w:type="dxa"/>
            <w:tcBorders>
              <w:top w:val="nil"/>
              <w:left w:val="nil"/>
              <w:bottom w:val="single" w:sz="4" w:space="0" w:color="auto"/>
              <w:right w:val="single" w:sz="4" w:space="0" w:color="auto"/>
            </w:tcBorders>
            <w:noWrap/>
            <w:vAlign w:val="bottom"/>
            <w:hideMark/>
          </w:tcPr>
          <w:p w14:paraId="4E6B9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17.65</w:t>
            </w:r>
          </w:p>
        </w:tc>
        <w:tc>
          <w:tcPr>
            <w:tcW w:w="1370" w:type="dxa"/>
            <w:tcBorders>
              <w:top w:val="nil"/>
              <w:left w:val="nil"/>
              <w:bottom w:val="single" w:sz="4" w:space="0" w:color="auto"/>
              <w:right w:val="single" w:sz="4" w:space="0" w:color="auto"/>
            </w:tcBorders>
            <w:noWrap/>
            <w:vAlign w:val="bottom"/>
            <w:hideMark/>
          </w:tcPr>
          <w:p w14:paraId="0FF94E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hideMark/>
          </w:tcPr>
          <w:p w14:paraId="6A4B56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34.55</w:t>
            </w:r>
          </w:p>
        </w:tc>
        <w:tc>
          <w:tcPr>
            <w:tcW w:w="1175" w:type="dxa"/>
            <w:tcBorders>
              <w:top w:val="nil"/>
              <w:left w:val="nil"/>
              <w:bottom w:val="single" w:sz="4" w:space="0" w:color="auto"/>
              <w:right w:val="single" w:sz="4" w:space="0" w:color="auto"/>
            </w:tcBorders>
            <w:noWrap/>
            <w:vAlign w:val="bottom"/>
            <w:hideMark/>
          </w:tcPr>
          <w:p w14:paraId="674DD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53.45</w:t>
            </w:r>
          </w:p>
        </w:tc>
        <w:tc>
          <w:tcPr>
            <w:tcW w:w="979" w:type="dxa"/>
            <w:tcBorders>
              <w:top w:val="nil"/>
              <w:left w:val="nil"/>
              <w:bottom w:val="single" w:sz="4" w:space="0" w:color="auto"/>
              <w:right w:val="single" w:sz="4" w:space="0" w:color="auto"/>
            </w:tcBorders>
            <w:noWrap/>
            <w:vAlign w:val="bottom"/>
            <w:hideMark/>
          </w:tcPr>
          <w:p w14:paraId="2FAA99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r>
      <w:tr w:rsidR="00AE35AA" w:rsidRPr="00AE35AA" w14:paraId="496BC1C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4B4B4D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w:t>
            </w:r>
          </w:p>
        </w:tc>
        <w:tc>
          <w:tcPr>
            <w:tcW w:w="1567" w:type="dxa"/>
            <w:tcBorders>
              <w:top w:val="nil"/>
              <w:left w:val="nil"/>
              <w:bottom w:val="single" w:sz="4" w:space="0" w:color="auto"/>
              <w:right w:val="single" w:sz="4" w:space="0" w:color="auto"/>
            </w:tcBorders>
            <w:noWrap/>
            <w:vAlign w:val="bottom"/>
            <w:hideMark/>
          </w:tcPr>
          <w:p w14:paraId="738B88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162370</w:t>
            </w:r>
          </w:p>
        </w:tc>
        <w:tc>
          <w:tcPr>
            <w:tcW w:w="1176" w:type="dxa"/>
            <w:tcBorders>
              <w:top w:val="nil"/>
              <w:left w:val="nil"/>
              <w:bottom w:val="single" w:sz="4" w:space="0" w:color="auto"/>
              <w:right w:val="single" w:sz="4" w:space="0" w:color="auto"/>
            </w:tcBorders>
            <w:noWrap/>
            <w:vAlign w:val="bottom"/>
            <w:hideMark/>
          </w:tcPr>
          <w:p w14:paraId="4AEE7D8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hideMark/>
          </w:tcPr>
          <w:p w14:paraId="3A51E5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72EE9F0B" w14:textId="781B75A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758630E" w14:textId="2B57379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24DCE5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1.19</w:t>
            </w:r>
          </w:p>
        </w:tc>
      </w:tr>
      <w:tr w:rsidR="00AE35AA" w:rsidRPr="00AE35AA" w14:paraId="0C7323BB"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45F4DAD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27</w:t>
            </w:r>
          </w:p>
        </w:tc>
        <w:tc>
          <w:tcPr>
            <w:tcW w:w="1567" w:type="dxa"/>
            <w:tcBorders>
              <w:top w:val="single" w:sz="4" w:space="0" w:color="auto"/>
              <w:left w:val="nil"/>
              <w:bottom w:val="single" w:sz="4" w:space="0" w:color="auto"/>
              <w:right w:val="single" w:sz="4" w:space="0" w:color="auto"/>
            </w:tcBorders>
            <w:noWrap/>
            <w:vAlign w:val="bottom"/>
            <w:hideMark/>
          </w:tcPr>
          <w:p w14:paraId="5D7D0A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152210</w:t>
            </w:r>
          </w:p>
        </w:tc>
        <w:tc>
          <w:tcPr>
            <w:tcW w:w="1176" w:type="dxa"/>
            <w:tcBorders>
              <w:top w:val="single" w:sz="4" w:space="0" w:color="auto"/>
              <w:left w:val="nil"/>
              <w:bottom w:val="single" w:sz="4" w:space="0" w:color="auto"/>
              <w:right w:val="single" w:sz="4" w:space="0" w:color="auto"/>
            </w:tcBorders>
            <w:noWrap/>
            <w:vAlign w:val="bottom"/>
            <w:hideMark/>
          </w:tcPr>
          <w:p w14:paraId="2100364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single" w:sz="4" w:space="0" w:color="auto"/>
              <w:left w:val="nil"/>
              <w:bottom w:val="single" w:sz="4" w:space="0" w:color="auto"/>
              <w:right w:val="single" w:sz="4" w:space="0" w:color="auto"/>
            </w:tcBorders>
            <w:noWrap/>
            <w:vAlign w:val="bottom"/>
            <w:hideMark/>
          </w:tcPr>
          <w:p w14:paraId="202E74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single" w:sz="4" w:space="0" w:color="auto"/>
              <w:left w:val="nil"/>
              <w:bottom w:val="single" w:sz="4" w:space="0" w:color="auto"/>
              <w:right w:val="single" w:sz="4" w:space="0" w:color="auto"/>
            </w:tcBorders>
            <w:noWrap/>
            <w:vAlign w:val="bottom"/>
            <w:hideMark/>
          </w:tcPr>
          <w:p w14:paraId="3136E8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45.15</w:t>
            </w:r>
          </w:p>
        </w:tc>
        <w:tc>
          <w:tcPr>
            <w:tcW w:w="1175" w:type="dxa"/>
            <w:tcBorders>
              <w:top w:val="single" w:sz="4" w:space="0" w:color="auto"/>
              <w:left w:val="nil"/>
              <w:bottom w:val="single" w:sz="4" w:space="0" w:color="auto"/>
              <w:right w:val="single" w:sz="4" w:space="0" w:color="auto"/>
            </w:tcBorders>
            <w:noWrap/>
            <w:vAlign w:val="bottom"/>
            <w:hideMark/>
          </w:tcPr>
          <w:p w14:paraId="22710700" w14:textId="427C351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r w:rsidR="004D1023">
              <w:rPr>
                <w:rFonts w:ascii="Times New Roman" w:hAnsi="Times New Roman" w:cs="Times New Roman"/>
                <w:sz w:val="16"/>
              </w:rPr>
              <w:t>.00</w:t>
            </w:r>
          </w:p>
        </w:tc>
        <w:tc>
          <w:tcPr>
            <w:tcW w:w="979" w:type="dxa"/>
            <w:tcBorders>
              <w:top w:val="single" w:sz="4" w:space="0" w:color="auto"/>
              <w:left w:val="nil"/>
              <w:bottom w:val="single" w:sz="4" w:space="0" w:color="auto"/>
              <w:right w:val="single" w:sz="4" w:space="0" w:color="auto"/>
            </w:tcBorders>
            <w:noWrap/>
            <w:vAlign w:val="bottom"/>
            <w:hideMark/>
          </w:tcPr>
          <w:p w14:paraId="6526616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1.40</w:t>
            </w:r>
          </w:p>
        </w:tc>
      </w:tr>
      <w:tr w:rsidR="00AE35AA" w:rsidRPr="00AE35AA" w14:paraId="41BB7BCA"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82E6DB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w:t>
            </w:r>
          </w:p>
        </w:tc>
        <w:tc>
          <w:tcPr>
            <w:tcW w:w="1567" w:type="dxa"/>
            <w:tcBorders>
              <w:top w:val="single" w:sz="4" w:space="0" w:color="auto"/>
              <w:left w:val="nil"/>
              <w:bottom w:val="single" w:sz="4" w:space="0" w:color="auto"/>
              <w:right w:val="single" w:sz="4" w:space="0" w:color="auto"/>
            </w:tcBorders>
            <w:noWrap/>
            <w:vAlign w:val="bottom"/>
            <w:hideMark/>
          </w:tcPr>
          <w:p w14:paraId="6833C2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152273</w:t>
            </w:r>
          </w:p>
        </w:tc>
        <w:tc>
          <w:tcPr>
            <w:tcW w:w="1176" w:type="dxa"/>
            <w:tcBorders>
              <w:top w:val="single" w:sz="4" w:space="0" w:color="auto"/>
              <w:left w:val="nil"/>
              <w:bottom w:val="single" w:sz="4" w:space="0" w:color="auto"/>
              <w:right w:val="single" w:sz="4" w:space="0" w:color="auto"/>
            </w:tcBorders>
            <w:noWrap/>
            <w:vAlign w:val="bottom"/>
            <w:hideMark/>
          </w:tcPr>
          <w:p w14:paraId="24B87041" w14:textId="58AB5D4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hideMark/>
          </w:tcPr>
          <w:p w14:paraId="52B72E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p>
        </w:tc>
        <w:tc>
          <w:tcPr>
            <w:tcW w:w="1176" w:type="dxa"/>
            <w:tcBorders>
              <w:top w:val="single" w:sz="4" w:space="0" w:color="auto"/>
              <w:left w:val="nil"/>
              <w:bottom w:val="single" w:sz="4" w:space="0" w:color="auto"/>
              <w:right w:val="single" w:sz="4" w:space="0" w:color="auto"/>
            </w:tcBorders>
            <w:noWrap/>
            <w:vAlign w:val="bottom"/>
            <w:hideMark/>
          </w:tcPr>
          <w:p w14:paraId="587A0A23" w14:textId="507E862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36.9</w:t>
            </w:r>
            <w:r w:rsidR="00943C9B">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hideMark/>
          </w:tcPr>
          <w:p w14:paraId="5CE3B9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70.15</w:t>
            </w:r>
          </w:p>
        </w:tc>
        <w:tc>
          <w:tcPr>
            <w:tcW w:w="979" w:type="dxa"/>
            <w:tcBorders>
              <w:top w:val="single" w:sz="4" w:space="0" w:color="auto"/>
              <w:left w:val="nil"/>
              <w:bottom w:val="single" w:sz="4" w:space="0" w:color="auto"/>
              <w:right w:val="single" w:sz="4" w:space="0" w:color="auto"/>
            </w:tcBorders>
            <w:noWrap/>
            <w:vAlign w:val="bottom"/>
            <w:hideMark/>
          </w:tcPr>
          <w:p w14:paraId="27534C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AE35AA" w:rsidRPr="00AE35AA" w14:paraId="68D9D3B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088BD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p>
        </w:tc>
        <w:tc>
          <w:tcPr>
            <w:tcW w:w="1567" w:type="dxa"/>
            <w:tcBorders>
              <w:top w:val="nil"/>
              <w:left w:val="nil"/>
              <w:bottom w:val="single" w:sz="4" w:space="0" w:color="auto"/>
              <w:right w:val="single" w:sz="4" w:space="0" w:color="auto"/>
            </w:tcBorders>
            <w:noWrap/>
            <w:vAlign w:val="bottom"/>
            <w:hideMark/>
          </w:tcPr>
          <w:p w14:paraId="28E3CED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152216</w:t>
            </w:r>
          </w:p>
        </w:tc>
        <w:tc>
          <w:tcPr>
            <w:tcW w:w="1176" w:type="dxa"/>
            <w:tcBorders>
              <w:top w:val="nil"/>
              <w:left w:val="nil"/>
              <w:bottom w:val="single" w:sz="4" w:space="0" w:color="auto"/>
              <w:right w:val="single" w:sz="4" w:space="0" w:color="auto"/>
            </w:tcBorders>
            <w:noWrap/>
            <w:vAlign w:val="bottom"/>
            <w:hideMark/>
          </w:tcPr>
          <w:p w14:paraId="46828CAF" w14:textId="02963CE9"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195BDE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7464850D" w14:textId="20EE50D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F513C5B" w14:textId="320E240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A8559F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1.16</w:t>
            </w:r>
          </w:p>
        </w:tc>
      </w:tr>
      <w:tr w:rsidR="00AE35AA" w:rsidRPr="00AE35AA" w14:paraId="2EBEF33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79CE6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w:t>
            </w:r>
          </w:p>
        </w:tc>
        <w:tc>
          <w:tcPr>
            <w:tcW w:w="1567" w:type="dxa"/>
            <w:tcBorders>
              <w:top w:val="nil"/>
              <w:left w:val="nil"/>
              <w:bottom w:val="single" w:sz="4" w:space="0" w:color="auto"/>
              <w:right w:val="single" w:sz="4" w:space="0" w:color="auto"/>
            </w:tcBorders>
            <w:noWrap/>
            <w:vAlign w:val="bottom"/>
            <w:hideMark/>
          </w:tcPr>
          <w:p w14:paraId="294A861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162265</w:t>
            </w:r>
          </w:p>
        </w:tc>
        <w:tc>
          <w:tcPr>
            <w:tcW w:w="1176" w:type="dxa"/>
            <w:tcBorders>
              <w:top w:val="nil"/>
              <w:left w:val="nil"/>
              <w:bottom w:val="single" w:sz="4" w:space="0" w:color="auto"/>
              <w:right w:val="single" w:sz="4" w:space="0" w:color="auto"/>
            </w:tcBorders>
            <w:noWrap/>
            <w:vAlign w:val="bottom"/>
            <w:hideMark/>
          </w:tcPr>
          <w:p w14:paraId="2B060063" w14:textId="41CA22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049910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hideMark/>
          </w:tcPr>
          <w:p w14:paraId="414CD8A9" w14:textId="719F9EB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C20AA8E" w14:textId="0E08B5C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4C3BD74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AE35AA" w:rsidRPr="00AE35AA" w14:paraId="728939B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E85942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31</w:t>
            </w:r>
          </w:p>
        </w:tc>
        <w:tc>
          <w:tcPr>
            <w:tcW w:w="1567" w:type="dxa"/>
            <w:tcBorders>
              <w:top w:val="nil"/>
              <w:left w:val="nil"/>
              <w:bottom w:val="single" w:sz="4" w:space="0" w:color="auto"/>
              <w:right w:val="single" w:sz="4" w:space="0" w:color="auto"/>
            </w:tcBorders>
            <w:noWrap/>
            <w:vAlign w:val="bottom"/>
            <w:hideMark/>
          </w:tcPr>
          <w:p w14:paraId="159213E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152347</w:t>
            </w:r>
          </w:p>
        </w:tc>
        <w:tc>
          <w:tcPr>
            <w:tcW w:w="1176" w:type="dxa"/>
            <w:tcBorders>
              <w:top w:val="nil"/>
              <w:left w:val="nil"/>
              <w:bottom w:val="single" w:sz="4" w:space="0" w:color="auto"/>
              <w:right w:val="single" w:sz="4" w:space="0" w:color="auto"/>
            </w:tcBorders>
            <w:noWrap/>
            <w:vAlign w:val="bottom"/>
            <w:hideMark/>
          </w:tcPr>
          <w:p w14:paraId="20118C10" w14:textId="486ABC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5C36F5D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438108A6" w14:textId="1399D50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835AB3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hideMark/>
          </w:tcPr>
          <w:p w14:paraId="4DF6077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222A0D3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57736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w:t>
            </w:r>
          </w:p>
        </w:tc>
        <w:tc>
          <w:tcPr>
            <w:tcW w:w="1567" w:type="dxa"/>
            <w:tcBorders>
              <w:top w:val="nil"/>
              <w:left w:val="nil"/>
              <w:bottom w:val="single" w:sz="4" w:space="0" w:color="auto"/>
              <w:right w:val="single" w:sz="4" w:space="0" w:color="auto"/>
            </w:tcBorders>
            <w:noWrap/>
            <w:vAlign w:val="bottom"/>
            <w:hideMark/>
          </w:tcPr>
          <w:p w14:paraId="19805D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152314</w:t>
            </w:r>
          </w:p>
        </w:tc>
        <w:tc>
          <w:tcPr>
            <w:tcW w:w="1176" w:type="dxa"/>
            <w:tcBorders>
              <w:top w:val="nil"/>
              <w:left w:val="nil"/>
              <w:bottom w:val="single" w:sz="4" w:space="0" w:color="auto"/>
              <w:right w:val="single" w:sz="4" w:space="0" w:color="auto"/>
            </w:tcBorders>
            <w:noWrap/>
            <w:vAlign w:val="bottom"/>
            <w:hideMark/>
          </w:tcPr>
          <w:p w14:paraId="6C94BCC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w:t>
            </w:r>
          </w:p>
        </w:tc>
        <w:tc>
          <w:tcPr>
            <w:tcW w:w="1370" w:type="dxa"/>
            <w:tcBorders>
              <w:top w:val="nil"/>
              <w:left w:val="nil"/>
              <w:bottom w:val="single" w:sz="4" w:space="0" w:color="auto"/>
              <w:right w:val="single" w:sz="4" w:space="0" w:color="auto"/>
            </w:tcBorders>
            <w:noWrap/>
            <w:vAlign w:val="bottom"/>
            <w:hideMark/>
          </w:tcPr>
          <w:p w14:paraId="211C2A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p>
        </w:tc>
        <w:tc>
          <w:tcPr>
            <w:tcW w:w="1176" w:type="dxa"/>
            <w:tcBorders>
              <w:top w:val="nil"/>
              <w:left w:val="nil"/>
              <w:bottom w:val="single" w:sz="4" w:space="0" w:color="auto"/>
              <w:right w:val="single" w:sz="4" w:space="0" w:color="auto"/>
            </w:tcBorders>
            <w:noWrap/>
            <w:vAlign w:val="bottom"/>
            <w:hideMark/>
          </w:tcPr>
          <w:p w14:paraId="5094F16A" w14:textId="511DB6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7CFE4A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68.35</w:t>
            </w:r>
          </w:p>
        </w:tc>
        <w:tc>
          <w:tcPr>
            <w:tcW w:w="979" w:type="dxa"/>
            <w:tcBorders>
              <w:top w:val="nil"/>
              <w:left w:val="nil"/>
              <w:bottom w:val="single" w:sz="4" w:space="0" w:color="auto"/>
              <w:right w:val="single" w:sz="4" w:space="0" w:color="auto"/>
            </w:tcBorders>
            <w:noWrap/>
            <w:vAlign w:val="bottom"/>
            <w:hideMark/>
          </w:tcPr>
          <w:p w14:paraId="427BCB1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1.28</w:t>
            </w:r>
          </w:p>
        </w:tc>
      </w:tr>
      <w:tr w:rsidR="0050512A" w:rsidRPr="00AE35AA" w14:paraId="1E07A6F9"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248C54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33</w:t>
            </w:r>
          </w:p>
        </w:tc>
        <w:tc>
          <w:tcPr>
            <w:tcW w:w="1567" w:type="dxa"/>
            <w:tcBorders>
              <w:top w:val="nil"/>
              <w:left w:val="nil"/>
              <w:bottom w:val="single" w:sz="4" w:space="0" w:color="auto"/>
              <w:right w:val="single" w:sz="4" w:space="0" w:color="auto"/>
            </w:tcBorders>
            <w:noWrap/>
            <w:vAlign w:val="bottom"/>
          </w:tcPr>
          <w:p w14:paraId="7CC407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162375</w:t>
            </w:r>
          </w:p>
        </w:tc>
        <w:tc>
          <w:tcPr>
            <w:tcW w:w="1176" w:type="dxa"/>
            <w:tcBorders>
              <w:top w:val="nil"/>
              <w:left w:val="nil"/>
              <w:bottom w:val="single" w:sz="4" w:space="0" w:color="auto"/>
              <w:right w:val="single" w:sz="4" w:space="0" w:color="auto"/>
            </w:tcBorders>
            <w:noWrap/>
            <w:vAlign w:val="bottom"/>
          </w:tcPr>
          <w:p w14:paraId="076B74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tcPr>
          <w:p w14:paraId="40559B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2.29</w:t>
            </w:r>
          </w:p>
        </w:tc>
        <w:tc>
          <w:tcPr>
            <w:tcW w:w="1176" w:type="dxa"/>
            <w:tcBorders>
              <w:top w:val="nil"/>
              <w:left w:val="nil"/>
              <w:bottom w:val="single" w:sz="4" w:space="0" w:color="auto"/>
              <w:right w:val="single" w:sz="4" w:space="0" w:color="auto"/>
            </w:tcBorders>
            <w:noWrap/>
            <w:vAlign w:val="bottom"/>
          </w:tcPr>
          <w:p w14:paraId="2F45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36.35</w:t>
            </w:r>
          </w:p>
        </w:tc>
        <w:tc>
          <w:tcPr>
            <w:tcW w:w="1175" w:type="dxa"/>
            <w:tcBorders>
              <w:top w:val="nil"/>
              <w:left w:val="nil"/>
              <w:bottom w:val="single" w:sz="4" w:space="0" w:color="auto"/>
              <w:right w:val="single" w:sz="4" w:space="0" w:color="auto"/>
            </w:tcBorders>
            <w:noWrap/>
            <w:vAlign w:val="bottom"/>
          </w:tcPr>
          <w:p w14:paraId="23DE084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65.35</w:t>
            </w:r>
          </w:p>
        </w:tc>
        <w:tc>
          <w:tcPr>
            <w:tcW w:w="979" w:type="dxa"/>
            <w:tcBorders>
              <w:top w:val="nil"/>
              <w:left w:val="nil"/>
              <w:bottom w:val="single" w:sz="4" w:space="0" w:color="auto"/>
              <w:right w:val="single" w:sz="4" w:space="0" w:color="auto"/>
            </w:tcBorders>
            <w:noWrap/>
            <w:vAlign w:val="bottom"/>
          </w:tcPr>
          <w:p w14:paraId="17F145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p>
        </w:tc>
      </w:tr>
      <w:tr w:rsidR="0050512A" w:rsidRPr="00AE35AA" w14:paraId="74ECDDF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69D4E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p>
        </w:tc>
        <w:tc>
          <w:tcPr>
            <w:tcW w:w="1567" w:type="dxa"/>
            <w:tcBorders>
              <w:top w:val="nil"/>
              <w:left w:val="nil"/>
              <w:bottom w:val="single" w:sz="4" w:space="0" w:color="auto"/>
              <w:right w:val="single" w:sz="4" w:space="0" w:color="auto"/>
            </w:tcBorders>
            <w:noWrap/>
            <w:vAlign w:val="bottom"/>
          </w:tcPr>
          <w:p w14:paraId="7BD035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152278</w:t>
            </w:r>
          </w:p>
        </w:tc>
        <w:tc>
          <w:tcPr>
            <w:tcW w:w="1176" w:type="dxa"/>
            <w:tcBorders>
              <w:top w:val="nil"/>
              <w:left w:val="nil"/>
              <w:bottom w:val="single" w:sz="4" w:space="0" w:color="auto"/>
              <w:right w:val="single" w:sz="4" w:space="0" w:color="auto"/>
            </w:tcBorders>
            <w:noWrap/>
            <w:vAlign w:val="bottom"/>
          </w:tcPr>
          <w:p w14:paraId="7DAE0FE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9A433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1.96</w:t>
            </w:r>
          </w:p>
        </w:tc>
        <w:tc>
          <w:tcPr>
            <w:tcW w:w="1176" w:type="dxa"/>
            <w:tcBorders>
              <w:top w:val="nil"/>
              <w:left w:val="nil"/>
              <w:bottom w:val="single" w:sz="4" w:space="0" w:color="auto"/>
              <w:right w:val="single" w:sz="4" w:space="0" w:color="auto"/>
            </w:tcBorders>
            <w:noWrap/>
            <w:vAlign w:val="bottom"/>
          </w:tcPr>
          <w:p w14:paraId="4B5222D0" w14:textId="7BDDC92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0E64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69.95</w:t>
            </w:r>
          </w:p>
        </w:tc>
        <w:tc>
          <w:tcPr>
            <w:tcW w:w="979" w:type="dxa"/>
            <w:tcBorders>
              <w:top w:val="nil"/>
              <w:left w:val="nil"/>
              <w:bottom w:val="single" w:sz="4" w:space="0" w:color="auto"/>
              <w:right w:val="single" w:sz="4" w:space="0" w:color="auto"/>
            </w:tcBorders>
            <w:noWrap/>
            <w:vAlign w:val="bottom"/>
          </w:tcPr>
          <w:p w14:paraId="283ADAE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17CA1ED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E0CCF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w:t>
            </w:r>
          </w:p>
        </w:tc>
        <w:tc>
          <w:tcPr>
            <w:tcW w:w="1567" w:type="dxa"/>
            <w:tcBorders>
              <w:top w:val="nil"/>
              <w:left w:val="nil"/>
              <w:bottom w:val="single" w:sz="4" w:space="0" w:color="auto"/>
              <w:right w:val="single" w:sz="4" w:space="0" w:color="auto"/>
            </w:tcBorders>
            <w:noWrap/>
            <w:vAlign w:val="bottom"/>
          </w:tcPr>
          <w:p w14:paraId="0C6E5E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152242</w:t>
            </w:r>
          </w:p>
        </w:tc>
        <w:tc>
          <w:tcPr>
            <w:tcW w:w="1176" w:type="dxa"/>
            <w:tcBorders>
              <w:top w:val="nil"/>
              <w:left w:val="nil"/>
              <w:bottom w:val="single" w:sz="4" w:space="0" w:color="auto"/>
              <w:right w:val="single" w:sz="4" w:space="0" w:color="auto"/>
            </w:tcBorders>
            <w:noWrap/>
            <w:vAlign w:val="bottom"/>
          </w:tcPr>
          <w:p w14:paraId="011B59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148BE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c>
          <w:tcPr>
            <w:tcW w:w="1176" w:type="dxa"/>
            <w:tcBorders>
              <w:top w:val="nil"/>
              <w:left w:val="nil"/>
              <w:bottom w:val="single" w:sz="4" w:space="0" w:color="auto"/>
              <w:right w:val="single" w:sz="4" w:space="0" w:color="auto"/>
            </w:tcBorders>
            <w:noWrap/>
            <w:vAlign w:val="bottom"/>
          </w:tcPr>
          <w:p w14:paraId="2EB40F9A" w14:textId="067A61A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CC74AB8" w14:textId="7F31344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48A46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1CE0711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00E73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w:t>
            </w:r>
          </w:p>
        </w:tc>
        <w:tc>
          <w:tcPr>
            <w:tcW w:w="1567" w:type="dxa"/>
            <w:tcBorders>
              <w:top w:val="nil"/>
              <w:left w:val="nil"/>
              <w:bottom w:val="single" w:sz="4" w:space="0" w:color="auto"/>
              <w:right w:val="single" w:sz="4" w:space="0" w:color="auto"/>
            </w:tcBorders>
            <w:noWrap/>
            <w:vAlign w:val="bottom"/>
          </w:tcPr>
          <w:p w14:paraId="05803AA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162390</w:t>
            </w:r>
          </w:p>
        </w:tc>
        <w:tc>
          <w:tcPr>
            <w:tcW w:w="1176" w:type="dxa"/>
            <w:tcBorders>
              <w:top w:val="nil"/>
              <w:left w:val="nil"/>
              <w:bottom w:val="single" w:sz="4" w:space="0" w:color="auto"/>
              <w:right w:val="single" w:sz="4" w:space="0" w:color="auto"/>
            </w:tcBorders>
            <w:noWrap/>
            <w:vAlign w:val="bottom"/>
          </w:tcPr>
          <w:p w14:paraId="23580B0A" w14:textId="2EB3F27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03AC52B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c>
          <w:tcPr>
            <w:tcW w:w="1176" w:type="dxa"/>
            <w:tcBorders>
              <w:top w:val="nil"/>
              <w:left w:val="nil"/>
              <w:bottom w:val="single" w:sz="4" w:space="0" w:color="auto"/>
              <w:right w:val="single" w:sz="4" w:space="0" w:color="auto"/>
            </w:tcBorders>
            <w:noWrap/>
            <w:vAlign w:val="bottom"/>
          </w:tcPr>
          <w:p w14:paraId="04ED9597" w14:textId="20018CB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907F4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65.45</w:t>
            </w:r>
          </w:p>
        </w:tc>
        <w:tc>
          <w:tcPr>
            <w:tcW w:w="979" w:type="dxa"/>
            <w:tcBorders>
              <w:top w:val="nil"/>
              <w:left w:val="nil"/>
              <w:bottom w:val="single" w:sz="4" w:space="0" w:color="auto"/>
              <w:right w:val="single" w:sz="4" w:space="0" w:color="auto"/>
            </w:tcBorders>
            <w:noWrap/>
            <w:vAlign w:val="bottom"/>
          </w:tcPr>
          <w:p w14:paraId="27705E5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5A092EE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95E993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w:t>
            </w:r>
          </w:p>
        </w:tc>
        <w:tc>
          <w:tcPr>
            <w:tcW w:w="1567" w:type="dxa"/>
            <w:tcBorders>
              <w:top w:val="nil"/>
              <w:left w:val="nil"/>
              <w:bottom w:val="single" w:sz="4" w:space="0" w:color="auto"/>
              <w:right w:val="single" w:sz="4" w:space="0" w:color="auto"/>
            </w:tcBorders>
            <w:noWrap/>
            <w:vAlign w:val="bottom"/>
          </w:tcPr>
          <w:p w14:paraId="6D29302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152256</w:t>
            </w:r>
          </w:p>
        </w:tc>
        <w:tc>
          <w:tcPr>
            <w:tcW w:w="1176" w:type="dxa"/>
            <w:tcBorders>
              <w:top w:val="nil"/>
              <w:left w:val="nil"/>
              <w:bottom w:val="single" w:sz="4" w:space="0" w:color="auto"/>
              <w:right w:val="single" w:sz="4" w:space="0" w:color="auto"/>
            </w:tcBorders>
            <w:noWrap/>
            <w:vAlign w:val="bottom"/>
          </w:tcPr>
          <w:p w14:paraId="6029C340" w14:textId="7679836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3D3462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w:t>
            </w:r>
          </w:p>
        </w:tc>
        <w:tc>
          <w:tcPr>
            <w:tcW w:w="1176" w:type="dxa"/>
            <w:tcBorders>
              <w:top w:val="nil"/>
              <w:left w:val="nil"/>
              <w:bottom w:val="single" w:sz="4" w:space="0" w:color="auto"/>
              <w:right w:val="single" w:sz="4" w:space="0" w:color="auto"/>
            </w:tcBorders>
            <w:noWrap/>
            <w:vAlign w:val="bottom"/>
          </w:tcPr>
          <w:p w14:paraId="1DA6BF0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36.65</w:t>
            </w:r>
          </w:p>
        </w:tc>
        <w:tc>
          <w:tcPr>
            <w:tcW w:w="1175" w:type="dxa"/>
            <w:tcBorders>
              <w:top w:val="nil"/>
              <w:left w:val="nil"/>
              <w:bottom w:val="single" w:sz="4" w:space="0" w:color="auto"/>
              <w:right w:val="single" w:sz="4" w:space="0" w:color="auto"/>
            </w:tcBorders>
            <w:noWrap/>
            <w:vAlign w:val="bottom"/>
          </w:tcPr>
          <w:p w14:paraId="20FB13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5B36A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50512A" w:rsidRPr="00AE35AA" w14:paraId="3761541C"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5889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w:t>
            </w:r>
          </w:p>
        </w:tc>
        <w:tc>
          <w:tcPr>
            <w:tcW w:w="1567" w:type="dxa"/>
            <w:tcBorders>
              <w:top w:val="nil"/>
              <w:left w:val="nil"/>
              <w:bottom w:val="single" w:sz="4" w:space="0" w:color="auto"/>
              <w:right w:val="single" w:sz="4" w:space="0" w:color="auto"/>
            </w:tcBorders>
            <w:noWrap/>
            <w:vAlign w:val="bottom"/>
          </w:tcPr>
          <w:p w14:paraId="38A8F8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152208</w:t>
            </w:r>
          </w:p>
        </w:tc>
        <w:tc>
          <w:tcPr>
            <w:tcW w:w="1176" w:type="dxa"/>
            <w:tcBorders>
              <w:top w:val="nil"/>
              <w:left w:val="nil"/>
              <w:bottom w:val="single" w:sz="4" w:space="0" w:color="auto"/>
              <w:right w:val="single" w:sz="4" w:space="0" w:color="auto"/>
            </w:tcBorders>
            <w:noWrap/>
            <w:vAlign w:val="bottom"/>
          </w:tcPr>
          <w:p w14:paraId="4548418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nil"/>
              <w:left w:val="nil"/>
              <w:bottom w:val="single" w:sz="4" w:space="0" w:color="auto"/>
              <w:right w:val="single" w:sz="4" w:space="0" w:color="auto"/>
            </w:tcBorders>
            <w:noWrap/>
            <w:vAlign w:val="bottom"/>
          </w:tcPr>
          <w:p w14:paraId="0006E48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2.21</w:t>
            </w:r>
          </w:p>
        </w:tc>
        <w:tc>
          <w:tcPr>
            <w:tcW w:w="1176" w:type="dxa"/>
            <w:tcBorders>
              <w:top w:val="nil"/>
              <w:left w:val="nil"/>
              <w:bottom w:val="single" w:sz="4" w:space="0" w:color="auto"/>
              <w:right w:val="single" w:sz="4" w:space="0" w:color="auto"/>
            </w:tcBorders>
            <w:noWrap/>
            <w:vAlign w:val="bottom"/>
          </w:tcPr>
          <w:p w14:paraId="237A255A" w14:textId="767F95F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FF7AF6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tcPr>
          <w:p w14:paraId="7C111BB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r>
      <w:tr w:rsidR="0050512A" w:rsidRPr="00AE35AA" w14:paraId="15611BD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E490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w:t>
            </w:r>
          </w:p>
        </w:tc>
        <w:tc>
          <w:tcPr>
            <w:tcW w:w="1567" w:type="dxa"/>
            <w:tcBorders>
              <w:top w:val="nil"/>
              <w:left w:val="nil"/>
              <w:bottom w:val="single" w:sz="4" w:space="0" w:color="auto"/>
              <w:right w:val="single" w:sz="4" w:space="0" w:color="auto"/>
            </w:tcBorders>
            <w:noWrap/>
            <w:vAlign w:val="bottom"/>
          </w:tcPr>
          <w:p w14:paraId="7A7B5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152236</w:t>
            </w:r>
          </w:p>
        </w:tc>
        <w:tc>
          <w:tcPr>
            <w:tcW w:w="1176" w:type="dxa"/>
            <w:tcBorders>
              <w:top w:val="nil"/>
              <w:left w:val="nil"/>
              <w:bottom w:val="single" w:sz="4" w:space="0" w:color="auto"/>
              <w:right w:val="single" w:sz="4" w:space="0" w:color="auto"/>
            </w:tcBorders>
            <w:noWrap/>
            <w:vAlign w:val="bottom"/>
          </w:tcPr>
          <w:p w14:paraId="6865AA02" w14:textId="7317E35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F38042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4303A4C1" w14:textId="696F54B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DD46B7B" w14:textId="1DB07EF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92C5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33EE275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6EC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w:t>
            </w:r>
          </w:p>
        </w:tc>
        <w:tc>
          <w:tcPr>
            <w:tcW w:w="1567" w:type="dxa"/>
            <w:tcBorders>
              <w:top w:val="nil"/>
              <w:left w:val="nil"/>
              <w:bottom w:val="single" w:sz="4" w:space="0" w:color="auto"/>
              <w:right w:val="single" w:sz="4" w:space="0" w:color="auto"/>
            </w:tcBorders>
            <w:noWrap/>
            <w:vAlign w:val="bottom"/>
          </w:tcPr>
          <w:p w14:paraId="7267C7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152342</w:t>
            </w:r>
          </w:p>
        </w:tc>
        <w:tc>
          <w:tcPr>
            <w:tcW w:w="1176" w:type="dxa"/>
            <w:tcBorders>
              <w:top w:val="nil"/>
              <w:left w:val="nil"/>
              <w:bottom w:val="single" w:sz="4" w:space="0" w:color="auto"/>
              <w:right w:val="single" w:sz="4" w:space="0" w:color="auto"/>
            </w:tcBorders>
            <w:noWrap/>
            <w:vAlign w:val="bottom"/>
          </w:tcPr>
          <w:p w14:paraId="12539401" w14:textId="3EBCFBE2"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B61B53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E71EA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39.35</w:t>
            </w:r>
          </w:p>
        </w:tc>
        <w:tc>
          <w:tcPr>
            <w:tcW w:w="1175" w:type="dxa"/>
            <w:tcBorders>
              <w:top w:val="nil"/>
              <w:left w:val="nil"/>
              <w:bottom w:val="single" w:sz="4" w:space="0" w:color="auto"/>
              <w:right w:val="single" w:sz="4" w:space="0" w:color="auto"/>
            </w:tcBorders>
            <w:noWrap/>
            <w:vAlign w:val="bottom"/>
          </w:tcPr>
          <w:p w14:paraId="533B43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68.25</w:t>
            </w:r>
          </w:p>
        </w:tc>
        <w:tc>
          <w:tcPr>
            <w:tcW w:w="979" w:type="dxa"/>
            <w:tcBorders>
              <w:top w:val="nil"/>
              <w:left w:val="nil"/>
              <w:bottom w:val="single" w:sz="4" w:space="0" w:color="auto"/>
              <w:right w:val="single" w:sz="4" w:space="0" w:color="auto"/>
            </w:tcBorders>
            <w:noWrap/>
            <w:vAlign w:val="bottom"/>
          </w:tcPr>
          <w:p w14:paraId="239C08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p>
        </w:tc>
      </w:tr>
      <w:tr w:rsidR="0050512A" w:rsidRPr="00AE35AA" w14:paraId="28E2054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26883D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w:t>
            </w:r>
          </w:p>
        </w:tc>
        <w:tc>
          <w:tcPr>
            <w:tcW w:w="1567" w:type="dxa"/>
            <w:tcBorders>
              <w:top w:val="nil"/>
              <w:left w:val="nil"/>
              <w:bottom w:val="single" w:sz="4" w:space="0" w:color="auto"/>
              <w:right w:val="single" w:sz="4" w:space="0" w:color="auto"/>
            </w:tcBorders>
            <w:noWrap/>
            <w:vAlign w:val="bottom"/>
          </w:tcPr>
          <w:p w14:paraId="0E9752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152254</w:t>
            </w:r>
          </w:p>
        </w:tc>
        <w:tc>
          <w:tcPr>
            <w:tcW w:w="1176" w:type="dxa"/>
            <w:tcBorders>
              <w:top w:val="nil"/>
              <w:left w:val="nil"/>
              <w:bottom w:val="single" w:sz="4" w:space="0" w:color="auto"/>
              <w:right w:val="single" w:sz="4" w:space="0" w:color="auto"/>
            </w:tcBorders>
            <w:noWrap/>
            <w:vAlign w:val="bottom"/>
          </w:tcPr>
          <w:p w14:paraId="5E423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2D93819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2.17</w:t>
            </w:r>
          </w:p>
        </w:tc>
        <w:tc>
          <w:tcPr>
            <w:tcW w:w="1176" w:type="dxa"/>
            <w:tcBorders>
              <w:top w:val="nil"/>
              <w:left w:val="nil"/>
              <w:bottom w:val="single" w:sz="4" w:space="0" w:color="auto"/>
              <w:right w:val="single" w:sz="4" w:space="0" w:color="auto"/>
            </w:tcBorders>
            <w:noWrap/>
            <w:vAlign w:val="bottom"/>
          </w:tcPr>
          <w:p w14:paraId="0EDE42FD" w14:textId="2DB6CA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7FBC96EF" w14:textId="170369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0F7436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30AD3280"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F0A75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w:t>
            </w:r>
          </w:p>
        </w:tc>
        <w:tc>
          <w:tcPr>
            <w:tcW w:w="1567" w:type="dxa"/>
            <w:tcBorders>
              <w:top w:val="nil"/>
              <w:left w:val="nil"/>
              <w:bottom w:val="single" w:sz="4" w:space="0" w:color="auto"/>
              <w:right w:val="single" w:sz="4" w:space="0" w:color="auto"/>
            </w:tcBorders>
            <w:noWrap/>
            <w:vAlign w:val="bottom"/>
          </w:tcPr>
          <w:p w14:paraId="084FBA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152303</w:t>
            </w:r>
          </w:p>
        </w:tc>
        <w:tc>
          <w:tcPr>
            <w:tcW w:w="1176" w:type="dxa"/>
            <w:tcBorders>
              <w:top w:val="nil"/>
              <w:left w:val="nil"/>
              <w:bottom w:val="single" w:sz="4" w:space="0" w:color="auto"/>
              <w:right w:val="single" w:sz="4" w:space="0" w:color="auto"/>
            </w:tcBorders>
            <w:noWrap/>
            <w:vAlign w:val="bottom"/>
          </w:tcPr>
          <w:p w14:paraId="75BE7A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18.85</w:t>
            </w:r>
          </w:p>
        </w:tc>
        <w:tc>
          <w:tcPr>
            <w:tcW w:w="1370" w:type="dxa"/>
            <w:tcBorders>
              <w:top w:val="nil"/>
              <w:left w:val="nil"/>
              <w:bottom w:val="single" w:sz="4" w:space="0" w:color="auto"/>
              <w:right w:val="single" w:sz="4" w:space="0" w:color="auto"/>
            </w:tcBorders>
            <w:noWrap/>
            <w:vAlign w:val="bottom"/>
          </w:tcPr>
          <w:p w14:paraId="276955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2.14</w:t>
            </w:r>
          </w:p>
        </w:tc>
        <w:tc>
          <w:tcPr>
            <w:tcW w:w="1176" w:type="dxa"/>
            <w:tcBorders>
              <w:top w:val="nil"/>
              <w:left w:val="nil"/>
              <w:bottom w:val="single" w:sz="4" w:space="0" w:color="auto"/>
              <w:right w:val="single" w:sz="4" w:space="0" w:color="auto"/>
            </w:tcBorders>
            <w:noWrap/>
            <w:vAlign w:val="bottom"/>
          </w:tcPr>
          <w:p w14:paraId="0EF64B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46.85</w:t>
            </w:r>
          </w:p>
        </w:tc>
        <w:tc>
          <w:tcPr>
            <w:tcW w:w="1175" w:type="dxa"/>
            <w:tcBorders>
              <w:top w:val="nil"/>
              <w:left w:val="nil"/>
              <w:bottom w:val="single" w:sz="4" w:space="0" w:color="auto"/>
              <w:right w:val="single" w:sz="4" w:space="0" w:color="auto"/>
            </w:tcBorders>
            <w:noWrap/>
            <w:vAlign w:val="bottom"/>
          </w:tcPr>
          <w:p w14:paraId="19B8CD39" w14:textId="78E4CE9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1A5CCC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5157B78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F77344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w:t>
            </w:r>
          </w:p>
        </w:tc>
        <w:tc>
          <w:tcPr>
            <w:tcW w:w="1567" w:type="dxa"/>
            <w:tcBorders>
              <w:top w:val="nil"/>
              <w:left w:val="nil"/>
              <w:bottom w:val="single" w:sz="4" w:space="0" w:color="auto"/>
              <w:right w:val="single" w:sz="4" w:space="0" w:color="auto"/>
            </w:tcBorders>
            <w:noWrap/>
            <w:vAlign w:val="bottom"/>
          </w:tcPr>
          <w:p w14:paraId="1B1DC1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152404</w:t>
            </w:r>
          </w:p>
        </w:tc>
        <w:tc>
          <w:tcPr>
            <w:tcW w:w="1176" w:type="dxa"/>
            <w:tcBorders>
              <w:top w:val="nil"/>
              <w:left w:val="nil"/>
              <w:bottom w:val="single" w:sz="4" w:space="0" w:color="auto"/>
              <w:right w:val="single" w:sz="4" w:space="0" w:color="auto"/>
            </w:tcBorders>
            <w:noWrap/>
            <w:vAlign w:val="bottom"/>
          </w:tcPr>
          <w:p w14:paraId="5FA50F57" w14:textId="6F738B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5A4A54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tcPr>
          <w:p w14:paraId="709B4851" w14:textId="5F4AE19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10323F1E" w14:textId="1A4F43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72AC26C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r>
      <w:tr w:rsidR="0050512A" w:rsidRPr="00AE35AA" w14:paraId="2F8CD69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292C0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p>
        </w:tc>
        <w:tc>
          <w:tcPr>
            <w:tcW w:w="1567" w:type="dxa"/>
            <w:tcBorders>
              <w:top w:val="nil"/>
              <w:left w:val="nil"/>
              <w:bottom w:val="single" w:sz="4" w:space="0" w:color="auto"/>
              <w:right w:val="single" w:sz="4" w:space="0" w:color="auto"/>
            </w:tcBorders>
            <w:noWrap/>
            <w:vAlign w:val="bottom"/>
          </w:tcPr>
          <w:p w14:paraId="1F8B15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152252</w:t>
            </w:r>
          </w:p>
        </w:tc>
        <w:tc>
          <w:tcPr>
            <w:tcW w:w="1176" w:type="dxa"/>
            <w:tcBorders>
              <w:top w:val="nil"/>
              <w:left w:val="nil"/>
              <w:bottom w:val="single" w:sz="4" w:space="0" w:color="auto"/>
              <w:right w:val="single" w:sz="4" w:space="0" w:color="auto"/>
            </w:tcBorders>
            <w:noWrap/>
            <w:vAlign w:val="bottom"/>
          </w:tcPr>
          <w:p w14:paraId="35BB6376" w14:textId="4BA6E69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70E3819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62EEF13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38.75</w:t>
            </w:r>
          </w:p>
        </w:tc>
        <w:tc>
          <w:tcPr>
            <w:tcW w:w="1175" w:type="dxa"/>
            <w:tcBorders>
              <w:top w:val="nil"/>
              <w:left w:val="nil"/>
              <w:bottom w:val="single" w:sz="4" w:space="0" w:color="auto"/>
              <w:right w:val="single" w:sz="4" w:space="0" w:color="auto"/>
            </w:tcBorders>
            <w:noWrap/>
            <w:vAlign w:val="bottom"/>
          </w:tcPr>
          <w:p w14:paraId="03A7CA5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70.05</w:t>
            </w:r>
          </w:p>
        </w:tc>
        <w:tc>
          <w:tcPr>
            <w:tcW w:w="979" w:type="dxa"/>
            <w:tcBorders>
              <w:top w:val="nil"/>
              <w:left w:val="nil"/>
              <w:bottom w:val="single" w:sz="4" w:space="0" w:color="auto"/>
              <w:right w:val="single" w:sz="4" w:space="0" w:color="auto"/>
            </w:tcBorders>
            <w:noWrap/>
            <w:vAlign w:val="bottom"/>
          </w:tcPr>
          <w:p w14:paraId="5709D7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1.36</w:t>
            </w:r>
          </w:p>
        </w:tc>
      </w:tr>
      <w:tr w:rsidR="0050512A" w:rsidRPr="00AE35AA" w14:paraId="6710650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10F46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p>
        </w:tc>
        <w:tc>
          <w:tcPr>
            <w:tcW w:w="1567" w:type="dxa"/>
            <w:tcBorders>
              <w:top w:val="nil"/>
              <w:left w:val="nil"/>
              <w:bottom w:val="single" w:sz="4" w:space="0" w:color="auto"/>
              <w:right w:val="single" w:sz="4" w:space="0" w:color="auto"/>
            </w:tcBorders>
            <w:noWrap/>
            <w:vAlign w:val="bottom"/>
          </w:tcPr>
          <w:p w14:paraId="2A7E2C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152349</w:t>
            </w:r>
          </w:p>
        </w:tc>
        <w:tc>
          <w:tcPr>
            <w:tcW w:w="1176" w:type="dxa"/>
            <w:tcBorders>
              <w:top w:val="nil"/>
              <w:left w:val="nil"/>
              <w:bottom w:val="single" w:sz="4" w:space="0" w:color="auto"/>
              <w:right w:val="single" w:sz="4" w:space="0" w:color="auto"/>
            </w:tcBorders>
            <w:noWrap/>
            <w:vAlign w:val="bottom"/>
          </w:tcPr>
          <w:p w14:paraId="4570A8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0DF2FE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2.64</w:t>
            </w:r>
          </w:p>
        </w:tc>
        <w:tc>
          <w:tcPr>
            <w:tcW w:w="1176" w:type="dxa"/>
            <w:tcBorders>
              <w:top w:val="nil"/>
              <w:left w:val="nil"/>
              <w:bottom w:val="single" w:sz="4" w:space="0" w:color="auto"/>
              <w:right w:val="single" w:sz="4" w:space="0" w:color="auto"/>
            </w:tcBorders>
            <w:noWrap/>
            <w:vAlign w:val="bottom"/>
          </w:tcPr>
          <w:p w14:paraId="3E14CCDD" w14:textId="56BD2D3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F041207" w14:textId="6DCB09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A3464E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0.92</w:t>
            </w:r>
          </w:p>
        </w:tc>
      </w:tr>
      <w:tr w:rsidR="0050512A" w:rsidRPr="00AE35AA" w14:paraId="663272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B01DA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w:t>
            </w:r>
          </w:p>
        </w:tc>
        <w:tc>
          <w:tcPr>
            <w:tcW w:w="1567" w:type="dxa"/>
            <w:tcBorders>
              <w:top w:val="nil"/>
              <w:left w:val="nil"/>
              <w:bottom w:val="single" w:sz="4" w:space="0" w:color="auto"/>
              <w:right w:val="single" w:sz="4" w:space="0" w:color="auto"/>
            </w:tcBorders>
            <w:noWrap/>
            <w:vAlign w:val="bottom"/>
          </w:tcPr>
          <w:p w14:paraId="112A0E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162371</w:t>
            </w:r>
          </w:p>
        </w:tc>
        <w:tc>
          <w:tcPr>
            <w:tcW w:w="1176" w:type="dxa"/>
            <w:tcBorders>
              <w:top w:val="nil"/>
              <w:left w:val="nil"/>
              <w:bottom w:val="single" w:sz="4" w:space="0" w:color="auto"/>
              <w:right w:val="single" w:sz="4" w:space="0" w:color="auto"/>
            </w:tcBorders>
            <w:noWrap/>
            <w:vAlign w:val="bottom"/>
          </w:tcPr>
          <w:p w14:paraId="157AC55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tcPr>
          <w:p w14:paraId="21F0DA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2.26</w:t>
            </w:r>
          </w:p>
        </w:tc>
        <w:tc>
          <w:tcPr>
            <w:tcW w:w="1176" w:type="dxa"/>
            <w:tcBorders>
              <w:top w:val="nil"/>
              <w:left w:val="nil"/>
              <w:bottom w:val="single" w:sz="4" w:space="0" w:color="auto"/>
              <w:right w:val="single" w:sz="4" w:space="0" w:color="auto"/>
            </w:tcBorders>
            <w:noWrap/>
            <w:vAlign w:val="bottom"/>
          </w:tcPr>
          <w:p w14:paraId="300B34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32.15</w:t>
            </w:r>
          </w:p>
        </w:tc>
        <w:tc>
          <w:tcPr>
            <w:tcW w:w="1175" w:type="dxa"/>
            <w:tcBorders>
              <w:top w:val="nil"/>
              <w:left w:val="nil"/>
              <w:bottom w:val="single" w:sz="4" w:space="0" w:color="auto"/>
              <w:right w:val="single" w:sz="4" w:space="0" w:color="auto"/>
            </w:tcBorders>
            <w:noWrap/>
            <w:vAlign w:val="bottom"/>
          </w:tcPr>
          <w:p w14:paraId="38D99A6A" w14:textId="1917A31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0F05A25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50512A" w:rsidRPr="00AE35AA" w14:paraId="0B9C821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866F73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47</w:t>
            </w:r>
          </w:p>
        </w:tc>
        <w:tc>
          <w:tcPr>
            <w:tcW w:w="1567" w:type="dxa"/>
            <w:tcBorders>
              <w:top w:val="nil"/>
              <w:left w:val="nil"/>
              <w:bottom w:val="single" w:sz="4" w:space="0" w:color="auto"/>
              <w:right w:val="single" w:sz="4" w:space="0" w:color="auto"/>
            </w:tcBorders>
            <w:noWrap/>
            <w:vAlign w:val="bottom"/>
          </w:tcPr>
          <w:p w14:paraId="61280AE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152334</w:t>
            </w:r>
          </w:p>
        </w:tc>
        <w:tc>
          <w:tcPr>
            <w:tcW w:w="1176" w:type="dxa"/>
            <w:tcBorders>
              <w:top w:val="nil"/>
              <w:left w:val="nil"/>
              <w:bottom w:val="single" w:sz="4" w:space="0" w:color="auto"/>
              <w:right w:val="single" w:sz="4" w:space="0" w:color="auto"/>
            </w:tcBorders>
            <w:noWrap/>
            <w:vAlign w:val="bottom"/>
          </w:tcPr>
          <w:p w14:paraId="5836D951" w14:textId="4352698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B3BE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2.85</w:t>
            </w:r>
          </w:p>
        </w:tc>
        <w:tc>
          <w:tcPr>
            <w:tcW w:w="1176" w:type="dxa"/>
            <w:tcBorders>
              <w:top w:val="nil"/>
              <w:left w:val="nil"/>
              <w:bottom w:val="single" w:sz="4" w:space="0" w:color="auto"/>
              <w:right w:val="single" w:sz="4" w:space="0" w:color="auto"/>
            </w:tcBorders>
            <w:noWrap/>
            <w:vAlign w:val="bottom"/>
          </w:tcPr>
          <w:p w14:paraId="544E4639" w14:textId="4D5C85B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59E8DE02" w14:textId="3AD84D1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599E2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50512A" w:rsidRPr="00AE35AA" w14:paraId="61053A6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E36A7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48</w:t>
            </w:r>
          </w:p>
        </w:tc>
        <w:tc>
          <w:tcPr>
            <w:tcW w:w="1567" w:type="dxa"/>
            <w:tcBorders>
              <w:top w:val="nil"/>
              <w:left w:val="nil"/>
              <w:bottom w:val="single" w:sz="4" w:space="0" w:color="auto"/>
              <w:right w:val="single" w:sz="4" w:space="0" w:color="auto"/>
            </w:tcBorders>
            <w:noWrap/>
            <w:vAlign w:val="bottom"/>
          </w:tcPr>
          <w:p w14:paraId="61BF3E7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24</w:t>
            </w:r>
          </w:p>
        </w:tc>
        <w:tc>
          <w:tcPr>
            <w:tcW w:w="1176" w:type="dxa"/>
            <w:tcBorders>
              <w:top w:val="nil"/>
              <w:left w:val="nil"/>
              <w:bottom w:val="single" w:sz="4" w:space="0" w:color="auto"/>
              <w:right w:val="single" w:sz="4" w:space="0" w:color="auto"/>
            </w:tcBorders>
            <w:noWrap/>
            <w:vAlign w:val="bottom"/>
          </w:tcPr>
          <w:p w14:paraId="00CBAD4E" w14:textId="2BFA7B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0C42F8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21610021" w14:textId="71819D5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41.1</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14EB1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62.85</w:t>
            </w:r>
          </w:p>
        </w:tc>
        <w:tc>
          <w:tcPr>
            <w:tcW w:w="979" w:type="dxa"/>
            <w:tcBorders>
              <w:top w:val="nil"/>
              <w:left w:val="nil"/>
              <w:bottom w:val="single" w:sz="4" w:space="0" w:color="auto"/>
              <w:right w:val="single" w:sz="4" w:space="0" w:color="auto"/>
            </w:tcBorders>
            <w:noWrap/>
            <w:vAlign w:val="bottom"/>
          </w:tcPr>
          <w:p w14:paraId="62EAB3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50512A" w:rsidRPr="00AE35AA" w14:paraId="3F927E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09ED63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49</w:t>
            </w:r>
          </w:p>
        </w:tc>
        <w:tc>
          <w:tcPr>
            <w:tcW w:w="1567" w:type="dxa"/>
            <w:tcBorders>
              <w:top w:val="nil"/>
              <w:left w:val="nil"/>
              <w:bottom w:val="single" w:sz="4" w:space="0" w:color="auto"/>
              <w:right w:val="single" w:sz="4" w:space="0" w:color="auto"/>
            </w:tcBorders>
            <w:noWrap/>
            <w:vAlign w:val="bottom"/>
          </w:tcPr>
          <w:p w14:paraId="088CD06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63</w:t>
            </w:r>
          </w:p>
        </w:tc>
        <w:tc>
          <w:tcPr>
            <w:tcW w:w="1176" w:type="dxa"/>
            <w:tcBorders>
              <w:top w:val="nil"/>
              <w:left w:val="nil"/>
              <w:bottom w:val="single" w:sz="4" w:space="0" w:color="auto"/>
              <w:right w:val="single" w:sz="4" w:space="0" w:color="auto"/>
            </w:tcBorders>
            <w:noWrap/>
            <w:vAlign w:val="bottom"/>
          </w:tcPr>
          <w:p w14:paraId="1D24B44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nil"/>
              <w:left w:val="nil"/>
              <w:bottom w:val="single" w:sz="4" w:space="0" w:color="auto"/>
              <w:right w:val="single" w:sz="4" w:space="0" w:color="auto"/>
            </w:tcBorders>
            <w:noWrap/>
            <w:vAlign w:val="bottom"/>
          </w:tcPr>
          <w:p w14:paraId="2424B0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2.63</w:t>
            </w:r>
          </w:p>
        </w:tc>
        <w:tc>
          <w:tcPr>
            <w:tcW w:w="1176" w:type="dxa"/>
            <w:tcBorders>
              <w:top w:val="nil"/>
              <w:left w:val="nil"/>
              <w:bottom w:val="single" w:sz="4" w:space="0" w:color="auto"/>
              <w:right w:val="single" w:sz="4" w:space="0" w:color="auto"/>
            </w:tcBorders>
            <w:noWrap/>
            <w:vAlign w:val="bottom"/>
          </w:tcPr>
          <w:p w14:paraId="2E98EA1B" w14:textId="147EA5E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44.5</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B59CA93" w14:textId="1712843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EBD4F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2132A677"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210E3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50</w:t>
            </w:r>
          </w:p>
        </w:tc>
        <w:tc>
          <w:tcPr>
            <w:tcW w:w="1567" w:type="dxa"/>
            <w:tcBorders>
              <w:top w:val="nil"/>
              <w:left w:val="nil"/>
              <w:bottom w:val="single" w:sz="4" w:space="0" w:color="auto"/>
              <w:right w:val="single" w:sz="4" w:space="0" w:color="auto"/>
            </w:tcBorders>
            <w:noWrap/>
            <w:vAlign w:val="bottom"/>
          </w:tcPr>
          <w:p w14:paraId="0CEAAB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14</w:t>
            </w:r>
          </w:p>
        </w:tc>
        <w:tc>
          <w:tcPr>
            <w:tcW w:w="1176" w:type="dxa"/>
            <w:tcBorders>
              <w:top w:val="nil"/>
              <w:left w:val="nil"/>
              <w:bottom w:val="single" w:sz="4" w:space="0" w:color="auto"/>
              <w:right w:val="single" w:sz="4" w:space="0" w:color="auto"/>
            </w:tcBorders>
            <w:noWrap/>
            <w:vAlign w:val="bottom"/>
          </w:tcPr>
          <w:p w14:paraId="21D253E1" w14:textId="55B56BE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CE89BB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tcPr>
          <w:p w14:paraId="22AB29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38.15</w:t>
            </w:r>
          </w:p>
        </w:tc>
        <w:tc>
          <w:tcPr>
            <w:tcW w:w="1175" w:type="dxa"/>
            <w:tcBorders>
              <w:top w:val="nil"/>
              <w:left w:val="nil"/>
              <w:bottom w:val="single" w:sz="4" w:space="0" w:color="auto"/>
              <w:right w:val="single" w:sz="4" w:space="0" w:color="auto"/>
            </w:tcBorders>
            <w:noWrap/>
            <w:vAlign w:val="bottom"/>
          </w:tcPr>
          <w:p w14:paraId="1B597D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63.15</w:t>
            </w:r>
          </w:p>
        </w:tc>
        <w:tc>
          <w:tcPr>
            <w:tcW w:w="979" w:type="dxa"/>
            <w:tcBorders>
              <w:top w:val="nil"/>
              <w:left w:val="nil"/>
              <w:bottom w:val="single" w:sz="4" w:space="0" w:color="auto"/>
              <w:right w:val="single" w:sz="4" w:space="0" w:color="auto"/>
            </w:tcBorders>
            <w:noWrap/>
            <w:vAlign w:val="bottom"/>
          </w:tcPr>
          <w:p w14:paraId="5323D8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03AB506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F28E7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w:t>
            </w:r>
          </w:p>
        </w:tc>
        <w:tc>
          <w:tcPr>
            <w:tcW w:w="1567" w:type="dxa"/>
            <w:tcBorders>
              <w:top w:val="nil"/>
              <w:left w:val="nil"/>
              <w:bottom w:val="single" w:sz="4" w:space="0" w:color="auto"/>
              <w:right w:val="single" w:sz="4" w:space="0" w:color="auto"/>
            </w:tcBorders>
            <w:noWrap/>
            <w:vAlign w:val="bottom"/>
          </w:tcPr>
          <w:p w14:paraId="4F3453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11</w:t>
            </w:r>
          </w:p>
        </w:tc>
        <w:tc>
          <w:tcPr>
            <w:tcW w:w="1176" w:type="dxa"/>
            <w:tcBorders>
              <w:top w:val="nil"/>
              <w:left w:val="nil"/>
              <w:bottom w:val="single" w:sz="4" w:space="0" w:color="auto"/>
              <w:right w:val="single" w:sz="4" w:space="0" w:color="auto"/>
            </w:tcBorders>
            <w:noWrap/>
            <w:vAlign w:val="bottom"/>
          </w:tcPr>
          <w:p w14:paraId="2569EE27" w14:textId="2B9D899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6BE221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D25D1E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0EF2A041" w14:textId="3C66D41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CFA91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123A1C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E37846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52</w:t>
            </w:r>
          </w:p>
        </w:tc>
        <w:tc>
          <w:tcPr>
            <w:tcW w:w="1567" w:type="dxa"/>
            <w:tcBorders>
              <w:top w:val="nil"/>
              <w:left w:val="nil"/>
              <w:bottom w:val="single" w:sz="4" w:space="0" w:color="auto"/>
              <w:right w:val="single" w:sz="4" w:space="0" w:color="auto"/>
            </w:tcBorders>
            <w:noWrap/>
            <w:vAlign w:val="bottom"/>
          </w:tcPr>
          <w:p w14:paraId="12DE9A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36</w:t>
            </w:r>
          </w:p>
        </w:tc>
        <w:tc>
          <w:tcPr>
            <w:tcW w:w="1176" w:type="dxa"/>
            <w:tcBorders>
              <w:top w:val="nil"/>
              <w:left w:val="nil"/>
              <w:bottom w:val="single" w:sz="4" w:space="0" w:color="auto"/>
              <w:right w:val="single" w:sz="4" w:space="0" w:color="auto"/>
            </w:tcBorders>
            <w:noWrap/>
            <w:vAlign w:val="bottom"/>
          </w:tcPr>
          <w:p w14:paraId="00C93853" w14:textId="3506058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28279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2.33</w:t>
            </w:r>
          </w:p>
        </w:tc>
        <w:tc>
          <w:tcPr>
            <w:tcW w:w="1176" w:type="dxa"/>
            <w:tcBorders>
              <w:top w:val="nil"/>
              <w:left w:val="nil"/>
              <w:bottom w:val="single" w:sz="4" w:space="0" w:color="auto"/>
              <w:right w:val="single" w:sz="4" w:space="0" w:color="auto"/>
            </w:tcBorders>
            <w:noWrap/>
            <w:vAlign w:val="bottom"/>
          </w:tcPr>
          <w:p w14:paraId="2288A444" w14:textId="59AF032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6F12995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60.95</w:t>
            </w:r>
          </w:p>
        </w:tc>
        <w:tc>
          <w:tcPr>
            <w:tcW w:w="979" w:type="dxa"/>
            <w:tcBorders>
              <w:top w:val="nil"/>
              <w:left w:val="nil"/>
              <w:bottom w:val="single" w:sz="4" w:space="0" w:color="auto"/>
              <w:right w:val="single" w:sz="4" w:space="0" w:color="auto"/>
            </w:tcBorders>
            <w:noWrap/>
            <w:vAlign w:val="bottom"/>
          </w:tcPr>
          <w:p w14:paraId="3792B51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2.04</w:t>
            </w:r>
          </w:p>
        </w:tc>
      </w:tr>
      <w:tr w:rsidR="0050512A" w:rsidRPr="00AE35AA" w14:paraId="221E7B6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A692E3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53</w:t>
            </w:r>
          </w:p>
        </w:tc>
        <w:tc>
          <w:tcPr>
            <w:tcW w:w="1567" w:type="dxa"/>
            <w:tcBorders>
              <w:top w:val="nil"/>
              <w:left w:val="nil"/>
              <w:bottom w:val="single" w:sz="4" w:space="0" w:color="auto"/>
              <w:right w:val="single" w:sz="4" w:space="0" w:color="auto"/>
            </w:tcBorders>
            <w:noWrap/>
            <w:vAlign w:val="bottom"/>
          </w:tcPr>
          <w:p w14:paraId="101E089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130</w:t>
            </w:r>
          </w:p>
        </w:tc>
        <w:tc>
          <w:tcPr>
            <w:tcW w:w="1176" w:type="dxa"/>
            <w:tcBorders>
              <w:top w:val="nil"/>
              <w:left w:val="nil"/>
              <w:bottom w:val="single" w:sz="4" w:space="0" w:color="auto"/>
              <w:right w:val="single" w:sz="4" w:space="0" w:color="auto"/>
            </w:tcBorders>
            <w:noWrap/>
            <w:vAlign w:val="bottom"/>
          </w:tcPr>
          <w:p w14:paraId="6B3D175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tcPr>
          <w:p w14:paraId="21B5808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2.43</w:t>
            </w:r>
          </w:p>
        </w:tc>
        <w:tc>
          <w:tcPr>
            <w:tcW w:w="1176" w:type="dxa"/>
            <w:tcBorders>
              <w:top w:val="nil"/>
              <w:left w:val="nil"/>
              <w:bottom w:val="single" w:sz="4" w:space="0" w:color="auto"/>
              <w:right w:val="single" w:sz="4" w:space="0" w:color="auto"/>
            </w:tcBorders>
            <w:noWrap/>
            <w:vAlign w:val="bottom"/>
          </w:tcPr>
          <w:p w14:paraId="4B10BB18" w14:textId="2A18DB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BE671D1" w14:textId="05B96F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32A9408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p>
        </w:tc>
      </w:tr>
      <w:tr w:rsidR="0050512A" w:rsidRPr="00AE35AA" w14:paraId="1D2A7DE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671D76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54</w:t>
            </w:r>
          </w:p>
        </w:tc>
        <w:tc>
          <w:tcPr>
            <w:tcW w:w="1567" w:type="dxa"/>
            <w:tcBorders>
              <w:top w:val="nil"/>
              <w:left w:val="nil"/>
              <w:bottom w:val="single" w:sz="4" w:space="0" w:color="auto"/>
              <w:right w:val="single" w:sz="4" w:space="0" w:color="auto"/>
            </w:tcBorders>
            <w:noWrap/>
            <w:vAlign w:val="bottom"/>
          </w:tcPr>
          <w:p w14:paraId="58610C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315</w:t>
            </w:r>
          </w:p>
        </w:tc>
        <w:tc>
          <w:tcPr>
            <w:tcW w:w="1176" w:type="dxa"/>
            <w:tcBorders>
              <w:top w:val="nil"/>
              <w:left w:val="nil"/>
              <w:bottom w:val="single" w:sz="4" w:space="0" w:color="auto"/>
              <w:right w:val="single" w:sz="4" w:space="0" w:color="auto"/>
            </w:tcBorders>
            <w:noWrap/>
            <w:vAlign w:val="bottom"/>
          </w:tcPr>
          <w:p w14:paraId="1E2A0117" w14:textId="7E73A1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C78A0B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2.44</w:t>
            </w:r>
          </w:p>
        </w:tc>
        <w:tc>
          <w:tcPr>
            <w:tcW w:w="1176" w:type="dxa"/>
            <w:tcBorders>
              <w:top w:val="nil"/>
              <w:left w:val="nil"/>
              <w:bottom w:val="single" w:sz="4" w:space="0" w:color="auto"/>
              <w:right w:val="single" w:sz="4" w:space="0" w:color="auto"/>
            </w:tcBorders>
            <w:noWrap/>
            <w:vAlign w:val="bottom"/>
          </w:tcPr>
          <w:p w14:paraId="4ABAE373" w14:textId="16AA23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EB4917C" w14:textId="3604889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03E32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1.91</w:t>
            </w:r>
          </w:p>
        </w:tc>
      </w:tr>
      <w:tr w:rsidR="0050512A" w:rsidRPr="00AE35AA" w14:paraId="7AD25E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22CA7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55</w:t>
            </w:r>
          </w:p>
        </w:tc>
        <w:tc>
          <w:tcPr>
            <w:tcW w:w="1567" w:type="dxa"/>
            <w:tcBorders>
              <w:top w:val="nil"/>
              <w:left w:val="nil"/>
              <w:bottom w:val="single" w:sz="4" w:space="0" w:color="auto"/>
              <w:right w:val="single" w:sz="4" w:space="0" w:color="auto"/>
            </w:tcBorders>
            <w:noWrap/>
            <w:vAlign w:val="bottom"/>
          </w:tcPr>
          <w:p w14:paraId="062EA6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w:t>
            </w:r>
          </w:p>
        </w:tc>
        <w:tc>
          <w:tcPr>
            <w:tcW w:w="1176" w:type="dxa"/>
            <w:tcBorders>
              <w:top w:val="nil"/>
              <w:left w:val="nil"/>
              <w:bottom w:val="single" w:sz="4" w:space="0" w:color="auto"/>
              <w:right w:val="single" w:sz="4" w:space="0" w:color="auto"/>
            </w:tcBorders>
            <w:noWrap/>
            <w:vAlign w:val="bottom"/>
          </w:tcPr>
          <w:p w14:paraId="46B3E24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20.65</w:t>
            </w:r>
          </w:p>
        </w:tc>
        <w:tc>
          <w:tcPr>
            <w:tcW w:w="1370" w:type="dxa"/>
            <w:tcBorders>
              <w:top w:val="nil"/>
              <w:left w:val="nil"/>
              <w:bottom w:val="single" w:sz="4" w:space="0" w:color="auto"/>
              <w:right w:val="single" w:sz="4" w:space="0" w:color="auto"/>
            </w:tcBorders>
            <w:noWrap/>
            <w:vAlign w:val="bottom"/>
          </w:tcPr>
          <w:p w14:paraId="7DFD2C4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2.94</w:t>
            </w:r>
          </w:p>
        </w:tc>
        <w:tc>
          <w:tcPr>
            <w:tcW w:w="1176" w:type="dxa"/>
            <w:tcBorders>
              <w:top w:val="nil"/>
              <w:left w:val="nil"/>
              <w:bottom w:val="single" w:sz="4" w:space="0" w:color="auto"/>
              <w:right w:val="single" w:sz="4" w:space="0" w:color="auto"/>
            </w:tcBorders>
            <w:noWrap/>
            <w:vAlign w:val="bottom"/>
          </w:tcPr>
          <w:p w14:paraId="749896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43.35</w:t>
            </w:r>
          </w:p>
        </w:tc>
        <w:tc>
          <w:tcPr>
            <w:tcW w:w="1175" w:type="dxa"/>
            <w:tcBorders>
              <w:top w:val="nil"/>
              <w:left w:val="nil"/>
              <w:bottom w:val="single" w:sz="4" w:space="0" w:color="auto"/>
              <w:right w:val="single" w:sz="4" w:space="0" w:color="auto"/>
            </w:tcBorders>
            <w:noWrap/>
            <w:vAlign w:val="bottom"/>
          </w:tcPr>
          <w:p w14:paraId="1CE2FB1C" w14:textId="66F9AC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4AC8222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1.64</w:t>
            </w:r>
          </w:p>
        </w:tc>
      </w:tr>
      <w:tr w:rsidR="0050512A" w:rsidRPr="00AE35AA" w14:paraId="4DBBC271"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387C58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w:t>
            </w:r>
          </w:p>
        </w:tc>
        <w:tc>
          <w:tcPr>
            <w:tcW w:w="1567" w:type="dxa"/>
            <w:tcBorders>
              <w:top w:val="nil"/>
              <w:left w:val="nil"/>
              <w:bottom w:val="single" w:sz="4" w:space="0" w:color="auto"/>
              <w:right w:val="single" w:sz="4" w:space="0" w:color="auto"/>
            </w:tcBorders>
            <w:noWrap/>
            <w:vAlign w:val="bottom"/>
          </w:tcPr>
          <w:p w14:paraId="3AB1B76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JGG 1</w:t>
            </w:r>
          </w:p>
        </w:tc>
        <w:tc>
          <w:tcPr>
            <w:tcW w:w="1176" w:type="dxa"/>
            <w:tcBorders>
              <w:top w:val="nil"/>
              <w:left w:val="nil"/>
              <w:bottom w:val="single" w:sz="4" w:space="0" w:color="auto"/>
              <w:right w:val="single" w:sz="4" w:space="0" w:color="auto"/>
            </w:tcBorders>
            <w:noWrap/>
            <w:vAlign w:val="bottom"/>
          </w:tcPr>
          <w:p w14:paraId="4ED64296" w14:textId="0DF8020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0CC54F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088BC2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41.65</w:t>
            </w:r>
          </w:p>
        </w:tc>
        <w:tc>
          <w:tcPr>
            <w:tcW w:w="1175" w:type="dxa"/>
            <w:tcBorders>
              <w:top w:val="nil"/>
              <w:left w:val="nil"/>
              <w:bottom w:val="single" w:sz="4" w:space="0" w:color="auto"/>
              <w:right w:val="single" w:sz="4" w:space="0" w:color="auto"/>
            </w:tcBorders>
            <w:noWrap/>
            <w:vAlign w:val="bottom"/>
          </w:tcPr>
          <w:p w14:paraId="74ABD6C0" w14:textId="13495CD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F5A7EB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p>
        </w:tc>
      </w:tr>
      <w:tr w:rsidR="0050512A" w:rsidRPr="00AE35AA" w14:paraId="2E10ECAA"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71F37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w:t>
            </w:r>
          </w:p>
        </w:tc>
        <w:tc>
          <w:tcPr>
            <w:tcW w:w="1567" w:type="dxa"/>
            <w:tcBorders>
              <w:top w:val="single" w:sz="4" w:space="0" w:color="auto"/>
              <w:left w:val="nil"/>
              <w:bottom w:val="single" w:sz="4" w:space="0" w:color="auto"/>
              <w:right w:val="single" w:sz="4" w:space="0" w:color="auto"/>
            </w:tcBorders>
            <w:noWrap/>
            <w:vAlign w:val="bottom"/>
          </w:tcPr>
          <w:p w14:paraId="438FCAE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64</w:t>
            </w:r>
          </w:p>
        </w:tc>
        <w:tc>
          <w:tcPr>
            <w:tcW w:w="1176" w:type="dxa"/>
            <w:tcBorders>
              <w:top w:val="single" w:sz="4" w:space="0" w:color="auto"/>
              <w:left w:val="nil"/>
              <w:bottom w:val="single" w:sz="4" w:space="0" w:color="auto"/>
              <w:right w:val="single" w:sz="4" w:space="0" w:color="auto"/>
            </w:tcBorders>
            <w:noWrap/>
            <w:vAlign w:val="bottom"/>
          </w:tcPr>
          <w:p w14:paraId="7E690B2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single" w:sz="4" w:space="0" w:color="auto"/>
              <w:left w:val="nil"/>
              <w:bottom w:val="single" w:sz="4" w:space="0" w:color="auto"/>
              <w:right w:val="single" w:sz="4" w:space="0" w:color="auto"/>
            </w:tcBorders>
            <w:noWrap/>
            <w:vAlign w:val="bottom"/>
          </w:tcPr>
          <w:p w14:paraId="1EDE2A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single" w:sz="4" w:space="0" w:color="auto"/>
              <w:left w:val="nil"/>
              <w:bottom w:val="single" w:sz="4" w:space="0" w:color="auto"/>
              <w:right w:val="single" w:sz="4" w:space="0" w:color="auto"/>
            </w:tcBorders>
            <w:noWrap/>
            <w:vAlign w:val="bottom"/>
          </w:tcPr>
          <w:p w14:paraId="4BFEBAB0" w14:textId="181F047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41.7</w:t>
            </w:r>
            <w:r w:rsidR="00703949">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tcPr>
          <w:p w14:paraId="064CC69C" w14:textId="007B64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4A6C0B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w:t>
            </w:r>
          </w:p>
        </w:tc>
      </w:tr>
      <w:tr w:rsidR="0050512A" w:rsidRPr="00AE35AA" w14:paraId="742830EC"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5A5410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58</w:t>
            </w:r>
          </w:p>
        </w:tc>
        <w:tc>
          <w:tcPr>
            <w:tcW w:w="1567" w:type="dxa"/>
            <w:tcBorders>
              <w:top w:val="single" w:sz="4" w:space="0" w:color="auto"/>
              <w:left w:val="nil"/>
              <w:bottom w:val="single" w:sz="4" w:space="0" w:color="auto"/>
              <w:right w:val="single" w:sz="4" w:space="0" w:color="auto"/>
            </w:tcBorders>
            <w:noWrap/>
            <w:vAlign w:val="bottom"/>
          </w:tcPr>
          <w:p w14:paraId="6609B0B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69</w:t>
            </w:r>
          </w:p>
        </w:tc>
        <w:tc>
          <w:tcPr>
            <w:tcW w:w="1176" w:type="dxa"/>
            <w:tcBorders>
              <w:top w:val="single" w:sz="4" w:space="0" w:color="auto"/>
              <w:left w:val="nil"/>
              <w:bottom w:val="single" w:sz="4" w:space="0" w:color="auto"/>
              <w:right w:val="single" w:sz="4" w:space="0" w:color="auto"/>
            </w:tcBorders>
            <w:noWrap/>
            <w:vAlign w:val="bottom"/>
          </w:tcPr>
          <w:p w14:paraId="1CCCB7B1" w14:textId="385439D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tcPr>
          <w:p w14:paraId="74AFD4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2.28</w:t>
            </w:r>
          </w:p>
        </w:tc>
        <w:tc>
          <w:tcPr>
            <w:tcW w:w="1176" w:type="dxa"/>
            <w:tcBorders>
              <w:top w:val="single" w:sz="4" w:space="0" w:color="auto"/>
              <w:left w:val="nil"/>
              <w:bottom w:val="single" w:sz="4" w:space="0" w:color="auto"/>
              <w:right w:val="single" w:sz="4" w:space="0" w:color="auto"/>
            </w:tcBorders>
            <w:noWrap/>
            <w:vAlign w:val="bottom"/>
          </w:tcPr>
          <w:p w14:paraId="1865B20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39.95</w:t>
            </w:r>
          </w:p>
        </w:tc>
        <w:tc>
          <w:tcPr>
            <w:tcW w:w="1175" w:type="dxa"/>
            <w:tcBorders>
              <w:top w:val="single" w:sz="4" w:space="0" w:color="auto"/>
              <w:left w:val="nil"/>
              <w:bottom w:val="single" w:sz="4" w:space="0" w:color="auto"/>
              <w:right w:val="single" w:sz="4" w:space="0" w:color="auto"/>
            </w:tcBorders>
            <w:noWrap/>
            <w:vAlign w:val="bottom"/>
          </w:tcPr>
          <w:p w14:paraId="106BE49B" w14:textId="18D889E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162DBFE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1.18</w:t>
            </w:r>
          </w:p>
        </w:tc>
      </w:tr>
      <w:tr w:rsidR="0050512A" w:rsidRPr="00AE35AA" w14:paraId="1BBDA42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E9C16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59</w:t>
            </w:r>
          </w:p>
        </w:tc>
        <w:tc>
          <w:tcPr>
            <w:tcW w:w="1567" w:type="dxa"/>
            <w:tcBorders>
              <w:top w:val="nil"/>
              <w:left w:val="nil"/>
              <w:bottom w:val="single" w:sz="4" w:space="0" w:color="auto"/>
              <w:right w:val="single" w:sz="4" w:space="0" w:color="auto"/>
            </w:tcBorders>
            <w:noWrap/>
            <w:vAlign w:val="bottom"/>
          </w:tcPr>
          <w:p w14:paraId="56AE37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85</w:t>
            </w:r>
          </w:p>
        </w:tc>
        <w:tc>
          <w:tcPr>
            <w:tcW w:w="1176" w:type="dxa"/>
            <w:tcBorders>
              <w:top w:val="nil"/>
              <w:left w:val="nil"/>
              <w:bottom w:val="single" w:sz="4" w:space="0" w:color="auto"/>
              <w:right w:val="single" w:sz="4" w:space="0" w:color="auto"/>
            </w:tcBorders>
            <w:noWrap/>
            <w:vAlign w:val="bottom"/>
          </w:tcPr>
          <w:p w14:paraId="74925A91" w14:textId="4D36547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DA96F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tcPr>
          <w:p w14:paraId="5824811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35.05</w:t>
            </w:r>
          </w:p>
        </w:tc>
        <w:tc>
          <w:tcPr>
            <w:tcW w:w="1175" w:type="dxa"/>
            <w:tcBorders>
              <w:top w:val="nil"/>
              <w:left w:val="nil"/>
              <w:bottom w:val="single" w:sz="4" w:space="0" w:color="auto"/>
              <w:right w:val="single" w:sz="4" w:space="0" w:color="auto"/>
            </w:tcBorders>
            <w:noWrap/>
            <w:vAlign w:val="bottom"/>
          </w:tcPr>
          <w:p w14:paraId="0B7916B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3F6834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7494C5D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54EB7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w:t>
            </w:r>
          </w:p>
        </w:tc>
        <w:tc>
          <w:tcPr>
            <w:tcW w:w="1567" w:type="dxa"/>
            <w:tcBorders>
              <w:top w:val="nil"/>
              <w:left w:val="nil"/>
              <w:bottom w:val="single" w:sz="4" w:space="0" w:color="auto"/>
              <w:right w:val="single" w:sz="4" w:space="0" w:color="auto"/>
            </w:tcBorders>
            <w:noWrap/>
            <w:vAlign w:val="bottom"/>
          </w:tcPr>
          <w:p w14:paraId="47E2426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75</w:t>
            </w:r>
          </w:p>
        </w:tc>
        <w:tc>
          <w:tcPr>
            <w:tcW w:w="1176" w:type="dxa"/>
            <w:tcBorders>
              <w:top w:val="nil"/>
              <w:left w:val="nil"/>
              <w:bottom w:val="single" w:sz="4" w:space="0" w:color="auto"/>
              <w:right w:val="single" w:sz="4" w:space="0" w:color="auto"/>
            </w:tcBorders>
            <w:noWrap/>
            <w:vAlign w:val="bottom"/>
          </w:tcPr>
          <w:p w14:paraId="4E19426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3A1547F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p>
        </w:tc>
        <w:tc>
          <w:tcPr>
            <w:tcW w:w="1176" w:type="dxa"/>
            <w:tcBorders>
              <w:top w:val="nil"/>
              <w:left w:val="nil"/>
              <w:bottom w:val="single" w:sz="4" w:space="0" w:color="auto"/>
              <w:right w:val="single" w:sz="4" w:space="0" w:color="auto"/>
            </w:tcBorders>
            <w:noWrap/>
            <w:vAlign w:val="bottom"/>
          </w:tcPr>
          <w:p w14:paraId="5D772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36.55</w:t>
            </w:r>
          </w:p>
        </w:tc>
        <w:tc>
          <w:tcPr>
            <w:tcW w:w="1175" w:type="dxa"/>
            <w:tcBorders>
              <w:top w:val="nil"/>
              <w:left w:val="nil"/>
              <w:bottom w:val="single" w:sz="4" w:space="0" w:color="auto"/>
              <w:right w:val="single" w:sz="4" w:space="0" w:color="auto"/>
            </w:tcBorders>
            <w:noWrap/>
            <w:vAlign w:val="bottom"/>
          </w:tcPr>
          <w:p w14:paraId="3EC024CE" w14:textId="462F888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C50D8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1.27</w:t>
            </w:r>
          </w:p>
        </w:tc>
      </w:tr>
      <w:tr w:rsidR="0050512A" w:rsidRPr="00AE35AA" w14:paraId="651D91F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A762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61</w:t>
            </w:r>
          </w:p>
        </w:tc>
        <w:tc>
          <w:tcPr>
            <w:tcW w:w="1567" w:type="dxa"/>
            <w:tcBorders>
              <w:top w:val="nil"/>
              <w:left w:val="nil"/>
              <w:bottom w:val="single" w:sz="4" w:space="0" w:color="auto"/>
              <w:right w:val="single" w:sz="4" w:space="0" w:color="auto"/>
            </w:tcBorders>
            <w:noWrap/>
            <w:vAlign w:val="bottom"/>
          </w:tcPr>
          <w:p w14:paraId="71F7433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202</w:t>
            </w:r>
          </w:p>
        </w:tc>
        <w:tc>
          <w:tcPr>
            <w:tcW w:w="1176" w:type="dxa"/>
            <w:tcBorders>
              <w:top w:val="nil"/>
              <w:left w:val="nil"/>
              <w:bottom w:val="single" w:sz="4" w:space="0" w:color="auto"/>
              <w:right w:val="single" w:sz="4" w:space="0" w:color="auto"/>
            </w:tcBorders>
            <w:noWrap/>
            <w:vAlign w:val="bottom"/>
          </w:tcPr>
          <w:p w14:paraId="35DB51A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18.45</w:t>
            </w:r>
          </w:p>
        </w:tc>
        <w:tc>
          <w:tcPr>
            <w:tcW w:w="1370" w:type="dxa"/>
            <w:tcBorders>
              <w:top w:val="nil"/>
              <w:left w:val="nil"/>
              <w:bottom w:val="single" w:sz="4" w:space="0" w:color="auto"/>
              <w:right w:val="single" w:sz="4" w:space="0" w:color="auto"/>
            </w:tcBorders>
            <w:noWrap/>
            <w:vAlign w:val="bottom"/>
          </w:tcPr>
          <w:p w14:paraId="39D758A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1.52</w:t>
            </w:r>
          </w:p>
        </w:tc>
        <w:tc>
          <w:tcPr>
            <w:tcW w:w="1176" w:type="dxa"/>
            <w:tcBorders>
              <w:top w:val="nil"/>
              <w:left w:val="nil"/>
              <w:bottom w:val="single" w:sz="4" w:space="0" w:color="auto"/>
              <w:right w:val="single" w:sz="4" w:space="0" w:color="auto"/>
            </w:tcBorders>
            <w:noWrap/>
            <w:vAlign w:val="bottom"/>
          </w:tcPr>
          <w:p w14:paraId="15706C8A" w14:textId="671066A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5009F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57.65</w:t>
            </w:r>
          </w:p>
        </w:tc>
        <w:tc>
          <w:tcPr>
            <w:tcW w:w="979" w:type="dxa"/>
            <w:tcBorders>
              <w:top w:val="nil"/>
              <w:left w:val="nil"/>
              <w:bottom w:val="single" w:sz="4" w:space="0" w:color="auto"/>
              <w:right w:val="single" w:sz="4" w:space="0" w:color="auto"/>
            </w:tcBorders>
            <w:noWrap/>
            <w:vAlign w:val="bottom"/>
          </w:tcPr>
          <w:p w14:paraId="53EA78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6315894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A75141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p>
        </w:tc>
        <w:tc>
          <w:tcPr>
            <w:tcW w:w="1567" w:type="dxa"/>
            <w:tcBorders>
              <w:top w:val="nil"/>
              <w:left w:val="nil"/>
              <w:bottom w:val="single" w:sz="4" w:space="0" w:color="auto"/>
              <w:right w:val="single" w:sz="4" w:space="0" w:color="auto"/>
            </w:tcBorders>
            <w:noWrap/>
            <w:vAlign w:val="bottom"/>
          </w:tcPr>
          <w:p w14:paraId="389141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201</w:t>
            </w:r>
          </w:p>
        </w:tc>
        <w:tc>
          <w:tcPr>
            <w:tcW w:w="1176" w:type="dxa"/>
            <w:tcBorders>
              <w:top w:val="nil"/>
              <w:left w:val="nil"/>
              <w:bottom w:val="single" w:sz="4" w:space="0" w:color="auto"/>
              <w:right w:val="single" w:sz="4" w:space="0" w:color="auto"/>
            </w:tcBorders>
            <w:noWrap/>
            <w:vAlign w:val="bottom"/>
          </w:tcPr>
          <w:p w14:paraId="377E2E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7EC5AF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tcPr>
          <w:p w14:paraId="00F91B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6FA1433C" w14:textId="2894D8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89D3C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1.15</w:t>
            </w:r>
          </w:p>
        </w:tc>
      </w:tr>
      <w:tr w:rsidR="0050512A" w:rsidRPr="00AE35AA" w14:paraId="45D314A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C403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w:t>
            </w:r>
          </w:p>
        </w:tc>
        <w:tc>
          <w:tcPr>
            <w:tcW w:w="1567" w:type="dxa"/>
            <w:tcBorders>
              <w:top w:val="nil"/>
              <w:left w:val="nil"/>
              <w:bottom w:val="single" w:sz="4" w:space="0" w:color="auto"/>
              <w:right w:val="single" w:sz="4" w:space="0" w:color="auto"/>
            </w:tcBorders>
            <w:noWrap/>
            <w:vAlign w:val="bottom"/>
          </w:tcPr>
          <w:p w14:paraId="56BF44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205</w:t>
            </w:r>
          </w:p>
        </w:tc>
        <w:tc>
          <w:tcPr>
            <w:tcW w:w="1176" w:type="dxa"/>
            <w:tcBorders>
              <w:top w:val="nil"/>
              <w:left w:val="nil"/>
              <w:bottom w:val="single" w:sz="4" w:space="0" w:color="auto"/>
              <w:right w:val="single" w:sz="4" w:space="0" w:color="auto"/>
            </w:tcBorders>
            <w:noWrap/>
            <w:vAlign w:val="bottom"/>
          </w:tcPr>
          <w:p w14:paraId="02A9CD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19.95</w:t>
            </w:r>
          </w:p>
        </w:tc>
        <w:tc>
          <w:tcPr>
            <w:tcW w:w="1370" w:type="dxa"/>
            <w:tcBorders>
              <w:top w:val="nil"/>
              <w:left w:val="nil"/>
              <w:bottom w:val="single" w:sz="4" w:space="0" w:color="auto"/>
              <w:right w:val="single" w:sz="4" w:space="0" w:color="auto"/>
            </w:tcBorders>
            <w:noWrap/>
            <w:vAlign w:val="bottom"/>
          </w:tcPr>
          <w:p w14:paraId="472C2CF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04C6A169" w14:textId="7B3E824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32AE5CD" w14:textId="7151E6D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2FBE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7000A17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DCC904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p>
        </w:tc>
        <w:tc>
          <w:tcPr>
            <w:tcW w:w="1567" w:type="dxa"/>
            <w:tcBorders>
              <w:top w:val="nil"/>
              <w:left w:val="nil"/>
              <w:bottom w:val="single" w:sz="4" w:space="0" w:color="auto"/>
              <w:right w:val="single" w:sz="4" w:space="0" w:color="auto"/>
            </w:tcBorders>
            <w:noWrap/>
            <w:vAlign w:val="bottom"/>
          </w:tcPr>
          <w:p w14:paraId="3BC6E6E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210</w:t>
            </w:r>
          </w:p>
        </w:tc>
        <w:tc>
          <w:tcPr>
            <w:tcW w:w="1176" w:type="dxa"/>
            <w:tcBorders>
              <w:top w:val="nil"/>
              <w:left w:val="nil"/>
              <w:bottom w:val="single" w:sz="4" w:space="0" w:color="auto"/>
              <w:right w:val="single" w:sz="4" w:space="0" w:color="auto"/>
            </w:tcBorders>
            <w:noWrap/>
            <w:vAlign w:val="bottom"/>
          </w:tcPr>
          <w:p w14:paraId="5895FFB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19.33</w:t>
            </w:r>
          </w:p>
        </w:tc>
        <w:tc>
          <w:tcPr>
            <w:tcW w:w="1370" w:type="dxa"/>
            <w:tcBorders>
              <w:top w:val="nil"/>
              <w:left w:val="nil"/>
              <w:bottom w:val="single" w:sz="4" w:space="0" w:color="auto"/>
              <w:right w:val="single" w:sz="4" w:space="0" w:color="auto"/>
            </w:tcBorders>
            <w:noWrap/>
            <w:vAlign w:val="bottom"/>
          </w:tcPr>
          <w:p w14:paraId="0D8005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1.57</w:t>
            </w:r>
          </w:p>
        </w:tc>
        <w:tc>
          <w:tcPr>
            <w:tcW w:w="1176" w:type="dxa"/>
            <w:tcBorders>
              <w:top w:val="nil"/>
              <w:left w:val="nil"/>
              <w:bottom w:val="single" w:sz="4" w:space="0" w:color="auto"/>
              <w:right w:val="single" w:sz="4" w:space="0" w:color="auto"/>
            </w:tcBorders>
            <w:noWrap/>
            <w:vAlign w:val="bottom"/>
          </w:tcPr>
          <w:p w14:paraId="03682F73" w14:textId="2819FDA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EF10C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64.35</w:t>
            </w:r>
          </w:p>
        </w:tc>
        <w:tc>
          <w:tcPr>
            <w:tcW w:w="979" w:type="dxa"/>
            <w:tcBorders>
              <w:top w:val="nil"/>
              <w:left w:val="nil"/>
              <w:bottom w:val="single" w:sz="4" w:space="0" w:color="auto"/>
              <w:right w:val="single" w:sz="4" w:space="0" w:color="auto"/>
            </w:tcBorders>
            <w:noWrap/>
            <w:vAlign w:val="bottom"/>
          </w:tcPr>
          <w:p w14:paraId="1085970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50512A" w:rsidRPr="00AE35AA" w14:paraId="6295B08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3403B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w:t>
            </w:r>
          </w:p>
        </w:tc>
        <w:tc>
          <w:tcPr>
            <w:tcW w:w="1567" w:type="dxa"/>
            <w:tcBorders>
              <w:top w:val="nil"/>
              <w:left w:val="nil"/>
              <w:bottom w:val="single" w:sz="4" w:space="0" w:color="auto"/>
              <w:right w:val="single" w:sz="4" w:space="0" w:color="auto"/>
            </w:tcBorders>
            <w:noWrap/>
            <w:vAlign w:val="bottom"/>
          </w:tcPr>
          <w:p w14:paraId="3235EBD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JAKI 9218</w:t>
            </w:r>
          </w:p>
        </w:tc>
        <w:tc>
          <w:tcPr>
            <w:tcW w:w="1176" w:type="dxa"/>
            <w:tcBorders>
              <w:top w:val="nil"/>
              <w:left w:val="nil"/>
              <w:bottom w:val="single" w:sz="4" w:space="0" w:color="auto"/>
              <w:right w:val="single" w:sz="4" w:space="0" w:color="auto"/>
            </w:tcBorders>
            <w:noWrap/>
            <w:vAlign w:val="bottom"/>
          </w:tcPr>
          <w:p w14:paraId="59A680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63AA50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tcPr>
          <w:p w14:paraId="17D5FA1A" w14:textId="4B3957C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r w:rsidR="00477FE2">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06E8702B" w14:textId="6E11A6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E23E8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1.70</w:t>
            </w:r>
          </w:p>
        </w:tc>
      </w:tr>
      <w:tr w:rsidR="0050512A" w:rsidRPr="00AE35AA" w14:paraId="142F33B8"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3A1A06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w:t>
            </w:r>
          </w:p>
        </w:tc>
        <w:tc>
          <w:tcPr>
            <w:tcW w:w="1567" w:type="dxa"/>
            <w:tcBorders>
              <w:top w:val="nil"/>
              <w:left w:val="nil"/>
              <w:bottom w:val="single" w:sz="4" w:space="0" w:color="auto"/>
              <w:right w:val="single" w:sz="4" w:space="0" w:color="auto"/>
            </w:tcBorders>
            <w:noWrap/>
            <w:vAlign w:val="bottom"/>
          </w:tcPr>
          <w:p w14:paraId="0A9371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ICC 4958</w:t>
            </w:r>
          </w:p>
        </w:tc>
        <w:tc>
          <w:tcPr>
            <w:tcW w:w="1176" w:type="dxa"/>
            <w:tcBorders>
              <w:top w:val="nil"/>
              <w:left w:val="nil"/>
              <w:bottom w:val="single" w:sz="4" w:space="0" w:color="auto"/>
              <w:right w:val="single" w:sz="4" w:space="0" w:color="auto"/>
            </w:tcBorders>
            <w:noWrap/>
            <w:vAlign w:val="bottom"/>
          </w:tcPr>
          <w:p w14:paraId="556A8CF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17.35</w:t>
            </w:r>
          </w:p>
        </w:tc>
        <w:tc>
          <w:tcPr>
            <w:tcW w:w="1370" w:type="dxa"/>
            <w:tcBorders>
              <w:top w:val="nil"/>
              <w:left w:val="nil"/>
              <w:bottom w:val="single" w:sz="4" w:space="0" w:color="auto"/>
              <w:right w:val="single" w:sz="4" w:space="0" w:color="auto"/>
            </w:tcBorders>
            <w:noWrap/>
            <w:vAlign w:val="bottom"/>
          </w:tcPr>
          <w:p w14:paraId="73ADC41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2.84</w:t>
            </w:r>
          </w:p>
        </w:tc>
        <w:tc>
          <w:tcPr>
            <w:tcW w:w="1176" w:type="dxa"/>
            <w:tcBorders>
              <w:top w:val="nil"/>
              <w:left w:val="nil"/>
              <w:bottom w:val="single" w:sz="4" w:space="0" w:color="auto"/>
              <w:right w:val="single" w:sz="4" w:space="0" w:color="auto"/>
            </w:tcBorders>
            <w:noWrap/>
            <w:vAlign w:val="bottom"/>
          </w:tcPr>
          <w:p w14:paraId="6C490F6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44.75</w:t>
            </w:r>
          </w:p>
        </w:tc>
        <w:tc>
          <w:tcPr>
            <w:tcW w:w="1175" w:type="dxa"/>
            <w:tcBorders>
              <w:top w:val="nil"/>
              <w:left w:val="nil"/>
              <w:bottom w:val="single" w:sz="4" w:space="0" w:color="auto"/>
              <w:right w:val="single" w:sz="4" w:space="0" w:color="auto"/>
            </w:tcBorders>
            <w:noWrap/>
            <w:vAlign w:val="bottom"/>
          </w:tcPr>
          <w:p w14:paraId="49DFF8D8" w14:textId="362ECD4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305A53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410CD4C5"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1DFD1F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p>
        </w:tc>
        <w:tc>
          <w:tcPr>
            <w:tcW w:w="1567" w:type="dxa"/>
            <w:tcBorders>
              <w:top w:val="nil"/>
              <w:left w:val="nil"/>
              <w:bottom w:val="single" w:sz="4" w:space="0" w:color="auto"/>
              <w:right w:val="single" w:sz="4" w:space="0" w:color="auto"/>
            </w:tcBorders>
            <w:noWrap/>
            <w:vAlign w:val="bottom"/>
          </w:tcPr>
          <w:p w14:paraId="3286CC7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Pant Gram 5</w:t>
            </w:r>
          </w:p>
        </w:tc>
        <w:tc>
          <w:tcPr>
            <w:tcW w:w="1176" w:type="dxa"/>
            <w:tcBorders>
              <w:top w:val="nil"/>
              <w:left w:val="nil"/>
              <w:bottom w:val="single" w:sz="4" w:space="0" w:color="auto"/>
              <w:right w:val="single" w:sz="4" w:space="0" w:color="auto"/>
            </w:tcBorders>
            <w:noWrap/>
            <w:vAlign w:val="bottom"/>
          </w:tcPr>
          <w:p w14:paraId="785DF17A" w14:textId="2799AAB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705BA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tcPr>
          <w:p w14:paraId="41DB15AC" w14:textId="71E976E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35.9</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0CDB35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63.55</w:t>
            </w:r>
          </w:p>
        </w:tc>
        <w:tc>
          <w:tcPr>
            <w:tcW w:w="979" w:type="dxa"/>
            <w:tcBorders>
              <w:top w:val="nil"/>
              <w:left w:val="nil"/>
              <w:bottom w:val="single" w:sz="4" w:space="0" w:color="auto"/>
              <w:right w:val="single" w:sz="4" w:space="0" w:color="auto"/>
            </w:tcBorders>
            <w:noWrap/>
            <w:vAlign w:val="bottom"/>
          </w:tcPr>
          <w:p w14:paraId="50AE1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0.97</w:t>
            </w:r>
          </w:p>
        </w:tc>
      </w:tr>
      <w:tr w:rsidR="0050512A" w:rsidRPr="00AE35AA" w14:paraId="7C17D482" w14:textId="77777777" w:rsidTr="005948D2">
        <w:trPr>
          <w:trHeight w:val="327"/>
        </w:trPr>
        <w:tc>
          <w:tcPr>
            <w:tcW w:w="775" w:type="dxa"/>
            <w:tcBorders>
              <w:top w:val="nil"/>
              <w:left w:val="single" w:sz="4" w:space="0" w:color="auto"/>
              <w:bottom w:val="single" w:sz="4" w:space="0" w:color="auto"/>
              <w:right w:val="single" w:sz="4" w:space="0" w:color="auto"/>
            </w:tcBorders>
            <w:noWrap/>
            <w:vAlign w:val="bottom"/>
            <w:hideMark/>
          </w:tcPr>
          <w:p w14:paraId="244B6B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p>
        </w:tc>
        <w:tc>
          <w:tcPr>
            <w:tcW w:w="1567" w:type="dxa"/>
            <w:tcBorders>
              <w:top w:val="nil"/>
              <w:left w:val="nil"/>
              <w:bottom w:val="single" w:sz="4" w:space="0" w:color="auto"/>
              <w:right w:val="single" w:sz="4" w:space="0" w:color="auto"/>
            </w:tcBorders>
            <w:noWrap/>
            <w:vAlign w:val="bottom"/>
          </w:tcPr>
          <w:p w14:paraId="7C5C510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H-12-55</w:t>
            </w:r>
          </w:p>
        </w:tc>
        <w:tc>
          <w:tcPr>
            <w:tcW w:w="1176" w:type="dxa"/>
            <w:tcBorders>
              <w:top w:val="nil"/>
              <w:left w:val="nil"/>
              <w:bottom w:val="single" w:sz="4" w:space="0" w:color="auto"/>
              <w:right w:val="single" w:sz="4" w:space="0" w:color="auto"/>
            </w:tcBorders>
            <w:noWrap/>
            <w:vAlign w:val="bottom"/>
          </w:tcPr>
          <w:p w14:paraId="7C9C6628" w14:textId="179E1BB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70801C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2939ACED" w14:textId="2484A2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4ABD45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69.75</w:t>
            </w:r>
          </w:p>
        </w:tc>
        <w:tc>
          <w:tcPr>
            <w:tcW w:w="979" w:type="dxa"/>
            <w:tcBorders>
              <w:top w:val="nil"/>
              <w:left w:val="nil"/>
              <w:bottom w:val="single" w:sz="4" w:space="0" w:color="auto"/>
              <w:right w:val="single" w:sz="4" w:space="0" w:color="auto"/>
            </w:tcBorders>
            <w:noWrap/>
            <w:vAlign w:val="bottom"/>
          </w:tcPr>
          <w:p w14:paraId="6EFD078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r>
      <w:tr w:rsidR="0050512A" w:rsidRPr="00AE35AA" w14:paraId="1FE9338E" w14:textId="77777777" w:rsidTr="005948D2">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9407E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p>
        </w:tc>
        <w:tc>
          <w:tcPr>
            <w:tcW w:w="1567" w:type="dxa"/>
            <w:tcBorders>
              <w:top w:val="single" w:sz="4" w:space="0" w:color="auto"/>
              <w:left w:val="nil"/>
              <w:bottom w:val="single" w:sz="4" w:space="0" w:color="auto"/>
              <w:right w:val="single" w:sz="4" w:space="0" w:color="auto"/>
            </w:tcBorders>
            <w:noWrap/>
            <w:vAlign w:val="bottom"/>
          </w:tcPr>
          <w:p w14:paraId="7A3772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VISHAL</w:t>
            </w:r>
          </w:p>
        </w:tc>
        <w:tc>
          <w:tcPr>
            <w:tcW w:w="1176" w:type="dxa"/>
            <w:tcBorders>
              <w:top w:val="single" w:sz="4" w:space="0" w:color="auto"/>
              <w:left w:val="nil"/>
              <w:bottom w:val="single" w:sz="4" w:space="0" w:color="auto"/>
              <w:right w:val="single" w:sz="4" w:space="0" w:color="auto"/>
            </w:tcBorders>
            <w:noWrap/>
            <w:vAlign w:val="bottom"/>
          </w:tcPr>
          <w:p w14:paraId="3C3B11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19.75</w:t>
            </w:r>
          </w:p>
        </w:tc>
        <w:tc>
          <w:tcPr>
            <w:tcW w:w="1370" w:type="dxa"/>
            <w:tcBorders>
              <w:top w:val="single" w:sz="4" w:space="0" w:color="auto"/>
              <w:left w:val="nil"/>
              <w:bottom w:val="single" w:sz="4" w:space="0" w:color="auto"/>
              <w:right w:val="single" w:sz="4" w:space="0" w:color="auto"/>
            </w:tcBorders>
            <w:noWrap/>
            <w:vAlign w:val="bottom"/>
          </w:tcPr>
          <w:p w14:paraId="41290F8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single" w:sz="4" w:space="0" w:color="auto"/>
              <w:left w:val="nil"/>
              <w:bottom w:val="single" w:sz="4" w:space="0" w:color="auto"/>
              <w:right w:val="single" w:sz="4" w:space="0" w:color="auto"/>
            </w:tcBorders>
            <w:noWrap/>
            <w:vAlign w:val="bottom"/>
          </w:tcPr>
          <w:p w14:paraId="5F4633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single" w:sz="4" w:space="0" w:color="auto"/>
              <w:left w:val="nil"/>
              <w:bottom w:val="single" w:sz="4" w:space="0" w:color="auto"/>
              <w:right w:val="single" w:sz="4" w:space="0" w:color="auto"/>
            </w:tcBorders>
            <w:noWrap/>
            <w:vAlign w:val="bottom"/>
          </w:tcPr>
          <w:p w14:paraId="2334327D" w14:textId="3C86123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51.2</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2481BAD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943A93" w:rsidRPr="00AE35AA" w14:paraId="0BAB6AD0"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9497BE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Mean</w:t>
            </w:r>
          </w:p>
        </w:tc>
        <w:tc>
          <w:tcPr>
            <w:tcW w:w="1176" w:type="dxa"/>
            <w:tcBorders>
              <w:top w:val="single" w:sz="4" w:space="0" w:color="auto"/>
              <w:left w:val="nil"/>
              <w:bottom w:val="single" w:sz="4" w:space="0" w:color="auto"/>
              <w:right w:val="single" w:sz="4" w:space="0" w:color="auto"/>
            </w:tcBorders>
            <w:noWrap/>
            <w:vAlign w:val="bottom"/>
          </w:tcPr>
          <w:p w14:paraId="23228F2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18.263</w:t>
            </w:r>
          </w:p>
        </w:tc>
        <w:tc>
          <w:tcPr>
            <w:tcW w:w="1370" w:type="dxa"/>
            <w:tcBorders>
              <w:top w:val="single" w:sz="4" w:space="0" w:color="auto"/>
              <w:left w:val="nil"/>
              <w:bottom w:val="single" w:sz="4" w:space="0" w:color="auto"/>
              <w:right w:val="single" w:sz="4" w:space="0" w:color="auto"/>
            </w:tcBorders>
            <w:noWrap/>
            <w:vAlign w:val="bottom"/>
          </w:tcPr>
          <w:p w14:paraId="7FDB97C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2.208</w:t>
            </w:r>
          </w:p>
        </w:tc>
        <w:tc>
          <w:tcPr>
            <w:tcW w:w="1176" w:type="dxa"/>
            <w:tcBorders>
              <w:top w:val="single" w:sz="4" w:space="0" w:color="auto"/>
              <w:left w:val="nil"/>
              <w:bottom w:val="single" w:sz="4" w:space="0" w:color="auto"/>
              <w:right w:val="single" w:sz="4" w:space="0" w:color="auto"/>
            </w:tcBorders>
            <w:noWrap/>
            <w:vAlign w:val="bottom"/>
          </w:tcPr>
          <w:p w14:paraId="265A6C6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40.199</w:t>
            </w:r>
          </w:p>
        </w:tc>
        <w:tc>
          <w:tcPr>
            <w:tcW w:w="1175" w:type="dxa"/>
            <w:tcBorders>
              <w:top w:val="single" w:sz="4" w:space="0" w:color="auto"/>
              <w:left w:val="nil"/>
              <w:bottom w:val="single" w:sz="4" w:space="0" w:color="auto"/>
              <w:right w:val="single" w:sz="4" w:space="0" w:color="auto"/>
            </w:tcBorders>
            <w:noWrap/>
            <w:vAlign w:val="bottom"/>
          </w:tcPr>
          <w:p w14:paraId="75FCC3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65.978</w:t>
            </w:r>
          </w:p>
        </w:tc>
        <w:tc>
          <w:tcPr>
            <w:tcW w:w="979" w:type="dxa"/>
            <w:tcBorders>
              <w:top w:val="single" w:sz="4" w:space="0" w:color="auto"/>
              <w:left w:val="nil"/>
              <w:bottom w:val="single" w:sz="4" w:space="0" w:color="auto"/>
              <w:right w:val="single" w:sz="4" w:space="0" w:color="auto"/>
            </w:tcBorders>
            <w:noWrap/>
            <w:vAlign w:val="bottom"/>
          </w:tcPr>
          <w:p w14:paraId="7CDED5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1.596</w:t>
            </w:r>
          </w:p>
        </w:tc>
      </w:tr>
      <w:tr w:rsidR="00943A93" w:rsidRPr="00AE35AA" w14:paraId="64FE4587" w14:textId="77777777" w:rsidTr="00B119EF">
        <w:trPr>
          <w:trHeight w:val="186"/>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8BA1C4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Minimum</w:t>
            </w:r>
          </w:p>
        </w:tc>
        <w:tc>
          <w:tcPr>
            <w:tcW w:w="1176" w:type="dxa"/>
            <w:tcBorders>
              <w:top w:val="single" w:sz="4" w:space="0" w:color="auto"/>
              <w:left w:val="nil"/>
              <w:bottom w:val="single" w:sz="4" w:space="0" w:color="auto"/>
              <w:right w:val="single" w:sz="4" w:space="0" w:color="auto"/>
            </w:tcBorders>
            <w:noWrap/>
            <w:vAlign w:val="bottom"/>
          </w:tcPr>
          <w:p w14:paraId="26DB73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16.000</w:t>
            </w:r>
          </w:p>
        </w:tc>
        <w:tc>
          <w:tcPr>
            <w:tcW w:w="1370" w:type="dxa"/>
            <w:tcBorders>
              <w:top w:val="single" w:sz="4" w:space="0" w:color="auto"/>
              <w:left w:val="nil"/>
              <w:bottom w:val="single" w:sz="4" w:space="0" w:color="auto"/>
              <w:right w:val="single" w:sz="4" w:space="0" w:color="auto"/>
            </w:tcBorders>
            <w:noWrap/>
            <w:vAlign w:val="bottom"/>
          </w:tcPr>
          <w:p w14:paraId="4BEC1AE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1.520</w:t>
            </w:r>
          </w:p>
        </w:tc>
        <w:tc>
          <w:tcPr>
            <w:tcW w:w="1176" w:type="dxa"/>
            <w:tcBorders>
              <w:top w:val="single" w:sz="4" w:space="0" w:color="auto"/>
              <w:left w:val="nil"/>
              <w:bottom w:val="single" w:sz="4" w:space="0" w:color="auto"/>
              <w:right w:val="single" w:sz="4" w:space="0" w:color="auto"/>
            </w:tcBorders>
            <w:noWrap/>
            <w:vAlign w:val="bottom"/>
          </w:tcPr>
          <w:p w14:paraId="3BD0B20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29.000</w:t>
            </w:r>
          </w:p>
        </w:tc>
        <w:tc>
          <w:tcPr>
            <w:tcW w:w="1175" w:type="dxa"/>
            <w:tcBorders>
              <w:top w:val="single" w:sz="4" w:space="0" w:color="auto"/>
              <w:left w:val="nil"/>
              <w:bottom w:val="single" w:sz="4" w:space="0" w:color="auto"/>
              <w:right w:val="single" w:sz="4" w:space="0" w:color="auto"/>
            </w:tcBorders>
            <w:noWrap/>
            <w:vAlign w:val="bottom"/>
          </w:tcPr>
          <w:p w14:paraId="5049E95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51.200</w:t>
            </w:r>
          </w:p>
        </w:tc>
        <w:tc>
          <w:tcPr>
            <w:tcW w:w="979" w:type="dxa"/>
            <w:tcBorders>
              <w:top w:val="single" w:sz="4" w:space="0" w:color="auto"/>
              <w:left w:val="nil"/>
              <w:bottom w:val="single" w:sz="4" w:space="0" w:color="auto"/>
              <w:right w:val="single" w:sz="4" w:space="0" w:color="auto"/>
            </w:tcBorders>
            <w:noWrap/>
            <w:vAlign w:val="bottom"/>
          </w:tcPr>
          <w:p w14:paraId="3E8A91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0.920</w:t>
            </w:r>
          </w:p>
        </w:tc>
      </w:tr>
      <w:tr w:rsidR="00943A93" w:rsidRPr="00AE35AA" w14:paraId="085F8E59"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6418633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 xml:space="preserve">Maximum </w:t>
            </w:r>
          </w:p>
        </w:tc>
        <w:tc>
          <w:tcPr>
            <w:tcW w:w="1176" w:type="dxa"/>
            <w:tcBorders>
              <w:top w:val="single" w:sz="4" w:space="0" w:color="auto"/>
              <w:left w:val="nil"/>
              <w:bottom w:val="single" w:sz="4" w:space="0" w:color="auto"/>
              <w:right w:val="single" w:sz="4" w:space="0" w:color="auto"/>
            </w:tcBorders>
            <w:noWrap/>
            <w:vAlign w:val="bottom"/>
          </w:tcPr>
          <w:p w14:paraId="16A3094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20.850</w:t>
            </w:r>
          </w:p>
        </w:tc>
        <w:tc>
          <w:tcPr>
            <w:tcW w:w="1370" w:type="dxa"/>
            <w:tcBorders>
              <w:top w:val="single" w:sz="4" w:space="0" w:color="auto"/>
              <w:left w:val="nil"/>
              <w:bottom w:val="single" w:sz="4" w:space="0" w:color="auto"/>
              <w:right w:val="single" w:sz="4" w:space="0" w:color="auto"/>
            </w:tcBorders>
            <w:noWrap/>
            <w:vAlign w:val="bottom"/>
          </w:tcPr>
          <w:p w14:paraId="07A7A9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2.940</w:t>
            </w:r>
          </w:p>
        </w:tc>
        <w:tc>
          <w:tcPr>
            <w:tcW w:w="1176" w:type="dxa"/>
            <w:tcBorders>
              <w:top w:val="single" w:sz="4" w:space="0" w:color="auto"/>
              <w:left w:val="nil"/>
              <w:bottom w:val="single" w:sz="4" w:space="0" w:color="auto"/>
              <w:right w:val="single" w:sz="4" w:space="0" w:color="auto"/>
            </w:tcBorders>
            <w:noWrap/>
            <w:vAlign w:val="bottom"/>
          </w:tcPr>
          <w:p w14:paraId="461F9DD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50.650</w:t>
            </w:r>
          </w:p>
        </w:tc>
        <w:tc>
          <w:tcPr>
            <w:tcW w:w="1175" w:type="dxa"/>
            <w:tcBorders>
              <w:top w:val="single" w:sz="4" w:space="0" w:color="auto"/>
              <w:left w:val="nil"/>
              <w:bottom w:val="single" w:sz="4" w:space="0" w:color="auto"/>
              <w:right w:val="single" w:sz="4" w:space="0" w:color="auto"/>
            </w:tcBorders>
            <w:noWrap/>
            <w:vAlign w:val="bottom"/>
          </w:tcPr>
          <w:p w14:paraId="45F766B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72.500</w:t>
            </w:r>
          </w:p>
        </w:tc>
        <w:tc>
          <w:tcPr>
            <w:tcW w:w="979" w:type="dxa"/>
            <w:tcBorders>
              <w:top w:val="single" w:sz="4" w:space="0" w:color="auto"/>
              <w:left w:val="nil"/>
              <w:bottom w:val="single" w:sz="4" w:space="0" w:color="auto"/>
              <w:right w:val="single" w:sz="4" w:space="0" w:color="auto"/>
            </w:tcBorders>
            <w:noWrap/>
            <w:vAlign w:val="bottom"/>
          </w:tcPr>
          <w:p w14:paraId="3F2BA4D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2.300</w:t>
            </w:r>
          </w:p>
        </w:tc>
      </w:tr>
      <w:tr w:rsidR="00943A93" w:rsidRPr="00AE35AA" w14:paraId="6B09A64E"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5F5B3652" w14:textId="0C8685CB"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CD</w:t>
            </w:r>
            <w:r w:rsidR="00477FE2" w:rsidRPr="00477FE2">
              <w:rPr>
                <w:rFonts w:ascii="Times New Roman" w:hAnsi="Times New Roman" w:cs="Times New Roman"/>
                <w:b/>
                <w:sz w:val="16"/>
                <w:vertAlign w:val="subscript"/>
              </w:rPr>
              <w:t>0.05</w:t>
            </w:r>
          </w:p>
        </w:tc>
        <w:tc>
          <w:tcPr>
            <w:tcW w:w="1176" w:type="dxa"/>
            <w:tcBorders>
              <w:top w:val="single" w:sz="4" w:space="0" w:color="auto"/>
              <w:left w:val="nil"/>
              <w:bottom w:val="single" w:sz="4" w:space="0" w:color="auto"/>
              <w:right w:val="single" w:sz="4" w:space="0" w:color="auto"/>
            </w:tcBorders>
            <w:noWrap/>
            <w:vAlign w:val="bottom"/>
          </w:tcPr>
          <w:p w14:paraId="493FD974"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c>
          <w:tcPr>
            <w:tcW w:w="1370" w:type="dxa"/>
            <w:tcBorders>
              <w:top w:val="single" w:sz="4" w:space="0" w:color="auto"/>
              <w:left w:val="nil"/>
              <w:bottom w:val="single" w:sz="4" w:space="0" w:color="auto"/>
              <w:right w:val="single" w:sz="4" w:space="0" w:color="auto"/>
            </w:tcBorders>
            <w:noWrap/>
            <w:vAlign w:val="bottom"/>
          </w:tcPr>
          <w:p w14:paraId="3186260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0.95</w:t>
            </w:r>
          </w:p>
        </w:tc>
        <w:tc>
          <w:tcPr>
            <w:tcW w:w="1176" w:type="dxa"/>
            <w:tcBorders>
              <w:top w:val="single" w:sz="4" w:space="0" w:color="auto"/>
              <w:left w:val="nil"/>
              <w:bottom w:val="single" w:sz="4" w:space="0" w:color="auto"/>
              <w:right w:val="single" w:sz="4" w:space="0" w:color="auto"/>
            </w:tcBorders>
            <w:noWrap/>
            <w:vAlign w:val="bottom"/>
          </w:tcPr>
          <w:p w14:paraId="026DFA8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1.64</w:t>
            </w:r>
          </w:p>
        </w:tc>
        <w:tc>
          <w:tcPr>
            <w:tcW w:w="1175" w:type="dxa"/>
            <w:tcBorders>
              <w:top w:val="single" w:sz="4" w:space="0" w:color="auto"/>
              <w:left w:val="nil"/>
              <w:bottom w:val="single" w:sz="4" w:space="0" w:color="auto"/>
              <w:right w:val="single" w:sz="4" w:space="0" w:color="auto"/>
            </w:tcBorders>
            <w:noWrap/>
            <w:vAlign w:val="bottom"/>
          </w:tcPr>
          <w:p w14:paraId="50306C39" w14:textId="53DC1D79"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2.1</w:t>
            </w:r>
            <w:r w:rsidR="004D1023">
              <w:rPr>
                <w:rFonts w:ascii="Times New Roman" w:hAnsi="Times New Roman" w:cs="Times New Roman"/>
                <w:b/>
                <w:sz w:val="16"/>
              </w:rPr>
              <w:t>0</w:t>
            </w:r>
          </w:p>
        </w:tc>
        <w:tc>
          <w:tcPr>
            <w:tcW w:w="979" w:type="dxa"/>
            <w:tcBorders>
              <w:top w:val="single" w:sz="4" w:space="0" w:color="auto"/>
              <w:left w:val="nil"/>
              <w:bottom w:val="single" w:sz="4" w:space="0" w:color="auto"/>
              <w:right w:val="single" w:sz="4" w:space="0" w:color="auto"/>
            </w:tcBorders>
            <w:noWrap/>
            <w:vAlign w:val="bottom"/>
          </w:tcPr>
          <w:p w14:paraId="6CB4B17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r>
      <w:tr w:rsidR="00943A93" w:rsidRPr="00AE35AA" w14:paraId="6AA4A065"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1E5868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CV</w:t>
            </w:r>
          </w:p>
        </w:tc>
        <w:tc>
          <w:tcPr>
            <w:tcW w:w="1176" w:type="dxa"/>
            <w:tcBorders>
              <w:top w:val="single" w:sz="4" w:space="0" w:color="auto"/>
              <w:left w:val="nil"/>
              <w:bottom w:val="single" w:sz="4" w:space="0" w:color="auto"/>
              <w:right w:val="single" w:sz="4" w:space="0" w:color="auto"/>
            </w:tcBorders>
            <w:noWrap/>
            <w:vAlign w:val="bottom"/>
          </w:tcPr>
          <w:p w14:paraId="40AF4E7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3.51</w:t>
            </w:r>
          </w:p>
        </w:tc>
        <w:tc>
          <w:tcPr>
            <w:tcW w:w="1370" w:type="dxa"/>
            <w:tcBorders>
              <w:top w:val="single" w:sz="4" w:space="0" w:color="auto"/>
              <w:left w:val="nil"/>
              <w:bottom w:val="single" w:sz="4" w:space="0" w:color="auto"/>
              <w:right w:val="single" w:sz="4" w:space="0" w:color="auto"/>
            </w:tcBorders>
            <w:noWrap/>
            <w:vAlign w:val="bottom"/>
          </w:tcPr>
          <w:p w14:paraId="206257B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3.56</w:t>
            </w:r>
          </w:p>
        </w:tc>
        <w:tc>
          <w:tcPr>
            <w:tcW w:w="1176" w:type="dxa"/>
            <w:tcBorders>
              <w:top w:val="single" w:sz="4" w:space="0" w:color="auto"/>
              <w:left w:val="nil"/>
              <w:bottom w:val="single" w:sz="4" w:space="0" w:color="auto"/>
              <w:right w:val="single" w:sz="4" w:space="0" w:color="auto"/>
            </w:tcBorders>
            <w:noWrap/>
            <w:vAlign w:val="bottom"/>
          </w:tcPr>
          <w:p w14:paraId="77CBE690"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3.71</w:t>
            </w:r>
          </w:p>
        </w:tc>
        <w:tc>
          <w:tcPr>
            <w:tcW w:w="1175" w:type="dxa"/>
            <w:tcBorders>
              <w:top w:val="single" w:sz="4" w:space="0" w:color="auto"/>
              <w:left w:val="nil"/>
              <w:bottom w:val="single" w:sz="4" w:space="0" w:color="auto"/>
              <w:right w:val="single" w:sz="4" w:space="0" w:color="auto"/>
            </w:tcBorders>
            <w:noWrap/>
            <w:vAlign w:val="bottom"/>
          </w:tcPr>
          <w:p w14:paraId="64590F6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3.61</w:t>
            </w:r>
          </w:p>
        </w:tc>
        <w:tc>
          <w:tcPr>
            <w:tcW w:w="979" w:type="dxa"/>
            <w:tcBorders>
              <w:top w:val="single" w:sz="4" w:space="0" w:color="auto"/>
              <w:left w:val="nil"/>
              <w:bottom w:val="single" w:sz="4" w:space="0" w:color="auto"/>
              <w:right w:val="single" w:sz="4" w:space="0" w:color="auto"/>
            </w:tcBorders>
            <w:noWrap/>
            <w:vAlign w:val="bottom"/>
          </w:tcPr>
          <w:p w14:paraId="47B0F49A"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3.59</w:t>
            </w:r>
          </w:p>
        </w:tc>
      </w:tr>
      <w:tr w:rsidR="00943A93" w:rsidRPr="00AE35AA" w14:paraId="6F30167C" w14:textId="77777777" w:rsidTr="00B119EF">
        <w:trPr>
          <w:trHeight w:val="50"/>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246115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SE</w:t>
            </w:r>
          </w:p>
        </w:tc>
        <w:tc>
          <w:tcPr>
            <w:tcW w:w="1176" w:type="dxa"/>
            <w:tcBorders>
              <w:top w:val="single" w:sz="4" w:space="0" w:color="auto"/>
              <w:left w:val="nil"/>
              <w:bottom w:val="single" w:sz="4" w:space="0" w:color="auto"/>
              <w:right w:val="single" w:sz="4" w:space="0" w:color="auto"/>
            </w:tcBorders>
            <w:noWrap/>
            <w:vAlign w:val="bottom"/>
          </w:tcPr>
          <w:p w14:paraId="15153411"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0.23</w:t>
            </w:r>
          </w:p>
        </w:tc>
        <w:tc>
          <w:tcPr>
            <w:tcW w:w="1370" w:type="dxa"/>
            <w:tcBorders>
              <w:top w:val="single" w:sz="4" w:space="0" w:color="auto"/>
              <w:left w:val="nil"/>
              <w:bottom w:val="single" w:sz="4" w:space="0" w:color="auto"/>
              <w:right w:val="single" w:sz="4" w:space="0" w:color="auto"/>
            </w:tcBorders>
            <w:noWrap/>
            <w:vAlign w:val="bottom"/>
          </w:tcPr>
          <w:p w14:paraId="697B3FB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0.34</w:t>
            </w:r>
          </w:p>
        </w:tc>
        <w:tc>
          <w:tcPr>
            <w:tcW w:w="1176" w:type="dxa"/>
            <w:tcBorders>
              <w:top w:val="single" w:sz="4" w:space="0" w:color="auto"/>
              <w:left w:val="nil"/>
              <w:bottom w:val="single" w:sz="4" w:space="0" w:color="auto"/>
              <w:right w:val="single" w:sz="4" w:space="0" w:color="auto"/>
            </w:tcBorders>
            <w:noWrap/>
            <w:vAlign w:val="bottom"/>
          </w:tcPr>
          <w:p w14:paraId="38497ED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0.59</w:t>
            </w:r>
          </w:p>
        </w:tc>
        <w:tc>
          <w:tcPr>
            <w:tcW w:w="1175" w:type="dxa"/>
            <w:tcBorders>
              <w:top w:val="single" w:sz="4" w:space="0" w:color="auto"/>
              <w:left w:val="nil"/>
              <w:bottom w:val="single" w:sz="4" w:space="0" w:color="auto"/>
              <w:right w:val="single" w:sz="4" w:space="0" w:color="auto"/>
            </w:tcBorders>
            <w:noWrap/>
            <w:vAlign w:val="bottom"/>
          </w:tcPr>
          <w:p w14:paraId="7693F2F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0.75</w:t>
            </w:r>
          </w:p>
        </w:tc>
        <w:tc>
          <w:tcPr>
            <w:tcW w:w="979" w:type="dxa"/>
            <w:tcBorders>
              <w:top w:val="single" w:sz="4" w:space="0" w:color="auto"/>
              <w:left w:val="nil"/>
              <w:bottom w:val="single" w:sz="4" w:space="0" w:color="auto"/>
              <w:right w:val="single" w:sz="4" w:space="0" w:color="auto"/>
            </w:tcBorders>
            <w:noWrap/>
            <w:vAlign w:val="bottom"/>
          </w:tcPr>
          <w:p w14:paraId="24DDE1E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0.24</w:t>
            </w:r>
          </w:p>
        </w:tc>
      </w:tr>
    </w:tbl>
    <w:p w14:paraId="59401784" w14:textId="0173B9AE" w:rsidR="007929B2" w:rsidRPr="007929B2" w:rsidRDefault="007929B2" w:rsidP="00943A93">
      <w:pPr>
        <w:spacing w:before="120" w:after="120" w:line="360" w:lineRule="auto"/>
        <w:jc w:val="both"/>
        <w:rPr>
          <w:rFonts w:ascii="Times New Roman" w:hAnsi="Times New Roman" w:cs="Times New Roman"/>
          <w:b/>
          <w:sz w:val="24"/>
          <w:lang w:val="en-US"/>
        </w:rPr>
      </w:pPr>
      <w:r w:rsidRPr="007929B2">
        <w:rPr>
          <w:rFonts w:ascii="Times New Roman" w:hAnsi="Times New Roman" w:cs="Times New Roman"/>
          <w:b/>
          <w:sz w:val="24"/>
        </w:rPr>
        <w:t>3.6</w:t>
      </w:r>
      <w:r>
        <w:rPr>
          <w:rFonts w:ascii="Times New Roman" w:hAnsi="Times New Roman" w:cs="Times New Roman"/>
          <w:sz w:val="24"/>
        </w:rPr>
        <w:t xml:space="preserve"> </w:t>
      </w:r>
      <w:r w:rsidRPr="007929B2">
        <w:rPr>
          <w:rFonts w:ascii="Times New Roman" w:hAnsi="Times New Roman" w:cs="Times New Roman"/>
          <w:b/>
          <w:sz w:val="24"/>
          <w:lang w:val="en-US"/>
        </w:rPr>
        <w:t xml:space="preserve">Correlation </w:t>
      </w:r>
      <w:r w:rsidR="00727897" w:rsidRPr="007929B2">
        <w:rPr>
          <w:rFonts w:ascii="Times New Roman" w:hAnsi="Times New Roman" w:cs="Times New Roman"/>
          <w:b/>
          <w:sz w:val="24"/>
          <w:lang w:val="en-US"/>
        </w:rPr>
        <w:t xml:space="preserve">Coefficient </w:t>
      </w:r>
      <w:r w:rsidR="006622EA">
        <w:rPr>
          <w:rFonts w:ascii="Times New Roman" w:hAnsi="Times New Roman" w:cs="Times New Roman"/>
          <w:b/>
          <w:sz w:val="24"/>
          <w:lang w:val="en-US"/>
        </w:rPr>
        <w:t>b</w:t>
      </w:r>
      <w:r w:rsidR="00727897" w:rsidRPr="007929B2">
        <w:rPr>
          <w:rFonts w:ascii="Times New Roman" w:hAnsi="Times New Roman" w:cs="Times New Roman"/>
          <w:b/>
          <w:sz w:val="24"/>
          <w:lang w:val="en-US"/>
        </w:rPr>
        <w:t xml:space="preserve">etween Seed Yield </w:t>
      </w:r>
      <w:r w:rsidR="006622EA">
        <w:rPr>
          <w:rFonts w:ascii="Times New Roman" w:hAnsi="Times New Roman" w:cs="Times New Roman"/>
          <w:b/>
          <w:sz w:val="24"/>
          <w:lang w:val="en-US"/>
        </w:rPr>
        <w:t>p</w:t>
      </w:r>
      <w:r w:rsidR="00727897" w:rsidRPr="007929B2">
        <w:rPr>
          <w:rFonts w:ascii="Times New Roman" w:hAnsi="Times New Roman" w:cs="Times New Roman"/>
          <w:b/>
          <w:sz w:val="24"/>
          <w:lang w:val="en-US"/>
        </w:rPr>
        <w:t xml:space="preserve">er Plant </w:t>
      </w:r>
      <w:r w:rsidR="003679D4">
        <w:rPr>
          <w:rFonts w:ascii="Times New Roman" w:hAnsi="Times New Roman" w:cs="Times New Roman"/>
          <w:b/>
          <w:sz w:val="24"/>
          <w:lang w:val="en-US"/>
        </w:rPr>
        <w:t>a</w:t>
      </w:r>
      <w:r w:rsidR="00727897" w:rsidRPr="007929B2">
        <w:rPr>
          <w:rFonts w:ascii="Times New Roman" w:hAnsi="Times New Roman" w:cs="Times New Roman"/>
          <w:b/>
          <w:sz w:val="24"/>
          <w:lang w:val="en-US"/>
        </w:rPr>
        <w:t>nd Biochemical Traits</w:t>
      </w:r>
    </w:p>
    <w:p w14:paraId="0AD30137" w14:textId="399BDEA2" w:rsidR="007929B2" w:rsidRPr="007929B2" w:rsidRDefault="007929B2" w:rsidP="00943A9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The correlation coefficients among seed yield and various biochemical traits in chickpea gen</w:t>
      </w:r>
      <w:r w:rsidR="00AE35AA">
        <w:rPr>
          <w:rFonts w:ascii="Times New Roman" w:hAnsi="Times New Roman" w:cs="Times New Roman"/>
          <w:sz w:val="24"/>
        </w:rPr>
        <w:t>otypes are summarized in Table 3</w:t>
      </w:r>
      <w:r w:rsidRPr="007929B2">
        <w:rPr>
          <w:rFonts w:ascii="Times New Roman" w:hAnsi="Times New Roman" w:cs="Times New Roman"/>
          <w:sz w:val="24"/>
        </w:rPr>
        <w:t>. Seed yield exhibited a significant positive correlation</w:t>
      </w:r>
      <w:r w:rsidR="00A10653">
        <w:rPr>
          <w:rFonts w:ascii="Times New Roman" w:hAnsi="Times New Roman" w:cs="Times New Roman"/>
          <w:sz w:val="24"/>
        </w:rPr>
        <w:t xml:space="preserve"> with DPPH content (r = 0.2566</w:t>
      </w:r>
      <w:r w:rsidRPr="007929B2">
        <w:rPr>
          <w:rFonts w:ascii="Times New Roman" w:hAnsi="Times New Roman" w:cs="Times New Roman"/>
          <w:sz w:val="24"/>
        </w:rPr>
        <w:t>), indicating that genotypes possessing higher antioxidant activity tended to achieve slightly better yields</w:t>
      </w:r>
      <w:r w:rsidR="00DB540F">
        <w:rPr>
          <w:rFonts w:ascii="Times New Roman" w:hAnsi="Times New Roman" w:cs="Times New Roman"/>
          <w:sz w:val="24"/>
        </w:rPr>
        <w:t xml:space="preserve"> (Ghimire et al., 2021)</w:t>
      </w:r>
      <w:r w:rsidRPr="007929B2">
        <w:rPr>
          <w:rFonts w:ascii="Times New Roman" w:hAnsi="Times New Roman" w:cs="Times New Roman"/>
          <w:sz w:val="24"/>
        </w:rPr>
        <w:t>. This suggest</w:t>
      </w:r>
      <w:r w:rsidR="008C737D">
        <w:rPr>
          <w:rFonts w:ascii="Times New Roman" w:hAnsi="Times New Roman" w:cs="Times New Roman"/>
          <w:sz w:val="24"/>
        </w:rPr>
        <w:t>ed</w:t>
      </w:r>
      <w:r w:rsidRPr="007929B2">
        <w:rPr>
          <w:rFonts w:ascii="Times New Roman" w:hAnsi="Times New Roman" w:cs="Times New Roman"/>
          <w:sz w:val="24"/>
        </w:rPr>
        <w:t xml:space="preserve"> that enhanced free radical scavenging capacity might contribute to maintaining physiological processes that support productivity, aligning with previous findings that </w:t>
      </w:r>
      <w:r w:rsidRPr="00976481">
        <w:rPr>
          <w:rFonts w:ascii="Times New Roman" w:hAnsi="Times New Roman" w:cs="Times New Roman"/>
          <w:sz w:val="24"/>
          <w:highlight w:val="yellow"/>
        </w:rPr>
        <w:t>highlight</w:t>
      </w:r>
      <w:r w:rsidR="00976481" w:rsidRPr="00976481">
        <w:rPr>
          <w:rFonts w:ascii="Times New Roman" w:hAnsi="Times New Roman" w:cs="Times New Roman"/>
          <w:sz w:val="24"/>
          <w:highlight w:val="yellow"/>
        </w:rPr>
        <w:t>ed</w:t>
      </w:r>
      <w:r w:rsidRPr="007929B2">
        <w:rPr>
          <w:rFonts w:ascii="Times New Roman" w:hAnsi="Times New Roman" w:cs="Times New Roman"/>
          <w:sz w:val="24"/>
        </w:rPr>
        <w:t xml:space="preserve"> the beneficial role of antioxidants in sustaining plant growth under stress conditions</w:t>
      </w:r>
      <w:r w:rsidR="00DB540F">
        <w:rPr>
          <w:rFonts w:ascii="Times New Roman" w:hAnsi="Times New Roman" w:cs="Times New Roman"/>
          <w:sz w:val="24"/>
        </w:rPr>
        <w:t xml:space="preserve"> (</w:t>
      </w:r>
      <w:r w:rsidR="005A5675">
        <w:rPr>
          <w:rFonts w:ascii="Times New Roman" w:hAnsi="Times New Roman" w:cs="Times New Roman"/>
          <w:sz w:val="24"/>
        </w:rPr>
        <w:t xml:space="preserve">Asati et al., 2024; </w:t>
      </w:r>
      <w:r w:rsidR="00DB540F">
        <w:rPr>
          <w:rFonts w:ascii="Times New Roman" w:hAnsi="Times New Roman" w:cs="Times New Roman"/>
          <w:sz w:val="24"/>
        </w:rPr>
        <w:t>Yadav et al., 2024</w:t>
      </w:r>
      <w:r w:rsidR="005A5675">
        <w:rPr>
          <w:rFonts w:ascii="Times New Roman" w:hAnsi="Times New Roman" w:cs="Times New Roman"/>
          <w:sz w:val="24"/>
        </w:rPr>
        <w:t>a</w:t>
      </w:r>
      <w:r w:rsidR="00DB540F">
        <w:rPr>
          <w:rFonts w:ascii="Times New Roman" w:hAnsi="Times New Roman" w:cs="Times New Roman"/>
          <w:sz w:val="24"/>
        </w:rPr>
        <w:t>)</w:t>
      </w:r>
      <w:r w:rsidRPr="007929B2">
        <w:rPr>
          <w:rFonts w:ascii="Times New Roman" w:hAnsi="Times New Roman" w:cs="Times New Roman"/>
          <w:sz w:val="24"/>
        </w:rPr>
        <w:t>.</w:t>
      </w:r>
    </w:p>
    <w:p w14:paraId="5BE261C9" w14:textId="1B369369"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In contrast, seed yield showed weak and non-significant associations with protein (r = -0.0270), proline (r = -0.0</w:t>
      </w:r>
      <w:r w:rsidR="00985985">
        <w:rPr>
          <w:rFonts w:ascii="Times New Roman" w:hAnsi="Times New Roman" w:cs="Times New Roman"/>
          <w:sz w:val="24"/>
        </w:rPr>
        <w:t xml:space="preserve">742), total sugar (r = 0.0787) </w:t>
      </w:r>
      <w:r w:rsidRPr="007929B2">
        <w:rPr>
          <w:rFonts w:ascii="Times New Roman" w:hAnsi="Times New Roman" w:cs="Times New Roman"/>
          <w:sz w:val="24"/>
        </w:rPr>
        <w:t xml:space="preserve">and phenol contents (r = -0.0206). These results </w:t>
      </w:r>
      <w:r w:rsidR="00666536" w:rsidRPr="00666536">
        <w:rPr>
          <w:rFonts w:ascii="Times New Roman" w:hAnsi="Times New Roman" w:cs="Times New Roman"/>
          <w:sz w:val="24"/>
          <w:highlight w:val="yellow"/>
        </w:rPr>
        <w:t>implied</w:t>
      </w:r>
      <w:r w:rsidRPr="007929B2">
        <w:rPr>
          <w:rFonts w:ascii="Times New Roman" w:hAnsi="Times New Roman" w:cs="Times New Roman"/>
          <w:sz w:val="24"/>
        </w:rPr>
        <w:t xml:space="preserve"> that variations in these biochemical constituents did not directly influence seed yield under the prevailing field conditions, or that their effects were too subtle to reach statistical significance in this genetic background</w:t>
      </w:r>
      <w:r w:rsidR="0025704D">
        <w:rPr>
          <w:rFonts w:ascii="Times New Roman" w:hAnsi="Times New Roman" w:cs="Times New Roman"/>
          <w:sz w:val="24"/>
        </w:rPr>
        <w:t xml:space="preserve">. As earlier advocated by </w:t>
      </w:r>
      <w:r w:rsidR="00AB7870">
        <w:rPr>
          <w:rFonts w:ascii="Times New Roman" w:hAnsi="Times New Roman" w:cs="Times New Roman"/>
          <w:sz w:val="24"/>
        </w:rPr>
        <w:t xml:space="preserve">Saikumar et al. </w:t>
      </w:r>
      <w:r w:rsidR="0025704D">
        <w:rPr>
          <w:rFonts w:ascii="Times New Roman" w:hAnsi="Times New Roman" w:cs="Times New Roman"/>
          <w:sz w:val="24"/>
        </w:rPr>
        <w:t>(</w:t>
      </w:r>
      <w:r w:rsidR="00AB7870">
        <w:rPr>
          <w:rFonts w:ascii="Times New Roman" w:hAnsi="Times New Roman" w:cs="Times New Roman"/>
          <w:sz w:val="24"/>
        </w:rPr>
        <w:t>2021</w:t>
      </w:r>
      <w:r w:rsidR="0025704D">
        <w:rPr>
          <w:rFonts w:ascii="Times New Roman" w:hAnsi="Times New Roman" w:cs="Times New Roman"/>
          <w:sz w:val="24"/>
        </w:rPr>
        <w:t>) and Kaur</w:t>
      </w:r>
      <w:r w:rsidR="00AB7870">
        <w:rPr>
          <w:rFonts w:ascii="Times New Roman" w:hAnsi="Times New Roman" w:cs="Times New Roman"/>
          <w:sz w:val="24"/>
        </w:rPr>
        <w:t xml:space="preserve"> et al. </w:t>
      </w:r>
      <w:r w:rsidR="0025704D">
        <w:rPr>
          <w:rFonts w:ascii="Times New Roman" w:hAnsi="Times New Roman" w:cs="Times New Roman"/>
          <w:sz w:val="24"/>
        </w:rPr>
        <w:t>(</w:t>
      </w:r>
      <w:r w:rsidR="00AB7870">
        <w:rPr>
          <w:rFonts w:ascii="Times New Roman" w:hAnsi="Times New Roman" w:cs="Times New Roman"/>
          <w:sz w:val="24"/>
        </w:rPr>
        <w:t>2022</w:t>
      </w:r>
      <w:r w:rsidR="00DB540F" w:rsidRPr="00DB540F">
        <w:rPr>
          <w:rFonts w:ascii="Times New Roman" w:hAnsi="Times New Roman" w:cs="Times New Roman"/>
          <w:sz w:val="24"/>
        </w:rPr>
        <w:t>)</w:t>
      </w:r>
      <w:r w:rsidRPr="007929B2">
        <w:rPr>
          <w:rFonts w:ascii="Times New Roman" w:hAnsi="Times New Roman" w:cs="Times New Roman"/>
          <w:sz w:val="24"/>
        </w:rPr>
        <w:t>.</w:t>
      </w:r>
    </w:p>
    <w:p w14:paraId="16CE4ED0" w14:textId="3EE234B1"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Examining interrelationships among the biochemical traits revealed that protein content had significant negative correla</w:t>
      </w:r>
      <w:r w:rsidR="00DB540F">
        <w:rPr>
          <w:rFonts w:ascii="Times New Roman" w:hAnsi="Times New Roman" w:cs="Times New Roman"/>
          <w:sz w:val="24"/>
        </w:rPr>
        <w:t>tions with proline (r = -0.1733), DPPH (r = -0.1902</w:t>
      </w:r>
      <w:r w:rsidR="00985985">
        <w:rPr>
          <w:rFonts w:ascii="Times New Roman" w:hAnsi="Times New Roman" w:cs="Times New Roman"/>
          <w:sz w:val="24"/>
        </w:rPr>
        <w:t>)</w:t>
      </w:r>
      <w:r w:rsidRPr="007929B2">
        <w:rPr>
          <w:rFonts w:ascii="Times New Roman" w:hAnsi="Times New Roman" w:cs="Times New Roman"/>
          <w:sz w:val="24"/>
        </w:rPr>
        <w:t xml:space="preserve"> a</w:t>
      </w:r>
      <w:r w:rsidR="00DB540F">
        <w:rPr>
          <w:rFonts w:ascii="Times New Roman" w:hAnsi="Times New Roman" w:cs="Times New Roman"/>
          <w:sz w:val="24"/>
        </w:rPr>
        <w:t>nd phenol content (r = -0.2438</w:t>
      </w:r>
      <w:r w:rsidRPr="007929B2">
        <w:rPr>
          <w:rFonts w:ascii="Times New Roman" w:hAnsi="Times New Roman" w:cs="Times New Roman"/>
          <w:sz w:val="24"/>
        </w:rPr>
        <w:t xml:space="preserve">). This </w:t>
      </w:r>
      <w:r w:rsidR="006622EA" w:rsidRPr="007929B2">
        <w:rPr>
          <w:rFonts w:ascii="Times New Roman" w:hAnsi="Times New Roman" w:cs="Times New Roman"/>
          <w:sz w:val="24"/>
        </w:rPr>
        <w:t>indicate</w:t>
      </w:r>
      <w:r w:rsidR="006622EA">
        <w:rPr>
          <w:rFonts w:ascii="Times New Roman" w:hAnsi="Times New Roman" w:cs="Times New Roman"/>
          <w:sz w:val="24"/>
        </w:rPr>
        <w:t>d</w:t>
      </w:r>
      <w:r w:rsidRPr="007929B2">
        <w:rPr>
          <w:rFonts w:ascii="Times New Roman" w:hAnsi="Times New Roman" w:cs="Times New Roman"/>
          <w:sz w:val="24"/>
        </w:rPr>
        <w:t xml:space="preserve"> that chickpea genotypes with higher protein levels </w:t>
      </w:r>
      <w:r w:rsidRPr="007929B2">
        <w:rPr>
          <w:rFonts w:ascii="Times New Roman" w:hAnsi="Times New Roman" w:cs="Times New Roman"/>
          <w:sz w:val="24"/>
        </w:rPr>
        <w:lastRenderedPageBreak/>
        <w:t xml:space="preserve">generally accumulated lower </w:t>
      </w:r>
      <w:r w:rsidR="00985985">
        <w:rPr>
          <w:rFonts w:ascii="Times New Roman" w:hAnsi="Times New Roman" w:cs="Times New Roman"/>
          <w:sz w:val="24"/>
        </w:rPr>
        <w:t>levels of proline, antioxidants</w:t>
      </w:r>
      <w:r w:rsidRPr="007929B2">
        <w:rPr>
          <w:rFonts w:ascii="Times New Roman" w:hAnsi="Times New Roman" w:cs="Times New Roman"/>
          <w:sz w:val="24"/>
        </w:rPr>
        <w:t xml:space="preserve"> and phenolics. Such inverse relationships could reflect underlying metabolic trade-offs, where biosynthetic investment toward protein synthesis may limit the accumulation of osmolytes and secondary metabolites involved in stress adaptation</w:t>
      </w:r>
      <w:r w:rsidR="00DB540F">
        <w:rPr>
          <w:rFonts w:ascii="Times New Roman" w:hAnsi="Times New Roman" w:cs="Times New Roman"/>
          <w:sz w:val="24"/>
        </w:rPr>
        <w:t xml:space="preserve"> </w:t>
      </w:r>
      <w:r w:rsidR="00DB540F" w:rsidRPr="00DB540F">
        <w:rPr>
          <w:rFonts w:ascii="Times New Roman" w:hAnsi="Times New Roman" w:cs="Times New Roman"/>
          <w:sz w:val="24"/>
        </w:rPr>
        <w:t>(</w:t>
      </w:r>
      <w:r w:rsidR="00AB7870">
        <w:rPr>
          <w:rFonts w:ascii="Times New Roman" w:hAnsi="Times New Roman" w:cs="Times New Roman"/>
          <w:sz w:val="24"/>
        </w:rPr>
        <w:t>Kaur et al., 2011; Jukanti et al., 2012</w:t>
      </w:r>
      <w:r w:rsidR="00DB540F" w:rsidRPr="00DB540F">
        <w:rPr>
          <w:rFonts w:ascii="Times New Roman" w:hAnsi="Times New Roman" w:cs="Times New Roman"/>
          <w:sz w:val="24"/>
        </w:rPr>
        <w:t>)</w:t>
      </w:r>
      <w:r w:rsidRPr="007929B2">
        <w:rPr>
          <w:rFonts w:ascii="Times New Roman" w:hAnsi="Times New Roman" w:cs="Times New Roman"/>
          <w:sz w:val="24"/>
        </w:rPr>
        <w:t>.</w:t>
      </w:r>
    </w:p>
    <w:p w14:paraId="03B23F88" w14:textId="55FBF559"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Conversely, proline content was significantly</w:t>
      </w:r>
      <w:r w:rsidR="00130CA4">
        <w:rPr>
          <w:rFonts w:ascii="Times New Roman" w:hAnsi="Times New Roman" w:cs="Times New Roman"/>
          <w:sz w:val="24"/>
        </w:rPr>
        <w:t xml:space="preserve"> and</w:t>
      </w:r>
      <w:r w:rsidRPr="007929B2">
        <w:rPr>
          <w:rFonts w:ascii="Times New Roman" w:hAnsi="Times New Roman" w:cs="Times New Roman"/>
          <w:sz w:val="24"/>
        </w:rPr>
        <w:t xml:space="preserve"> positively correlated w</w:t>
      </w:r>
      <w:r w:rsidR="00DB540F">
        <w:rPr>
          <w:rFonts w:ascii="Times New Roman" w:hAnsi="Times New Roman" w:cs="Times New Roman"/>
          <w:sz w:val="24"/>
        </w:rPr>
        <w:t>ith phenol content (r = 0.2552</w:t>
      </w:r>
      <w:r w:rsidRPr="007929B2">
        <w:rPr>
          <w:rFonts w:ascii="Times New Roman" w:hAnsi="Times New Roman" w:cs="Times New Roman"/>
          <w:sz w:val="24"/>
        </w:rPr>
        <w:t xml:space="preserve">), </w:t>
      </w:r>
      <w:r w:rsidRPr="006B60EC">
        <w:rPr>
          <w:rFonts w:ascii="Times New Roman" w:hAnsi="Times New Roman" w:cs="Times New Roman"/>
          <w:sz w:val="24"/>
          <w:highlight w:val="yellow"/>
        </w:rPr>
        <w:t>suggest</w:t>
      </w:r>
      <w:r w:rsidR="006B60EC" w:rsidRPr="006B60EC">
        <w:rPr>
          <w:rFonts w:ascii="Times New Roman" w:hAnsi="Times New Roman" w:cs="Times New Roman"/>
          <w:sz w:val="24"/>
          <w:highlight w:val="yellow"/>
        </w:rPr>
        <w:t>ed</w:t>
      </w:r>
      <w:r w:rsidRPr="007929B2">
        <w:rPr>
          <w:rFonts w:ascii="Times New Roman" w:hAnsi="Times New Roman" w:cs="Times New Roman"/>
          <w:sz w:val="24"/>
        </w:rPr>
        <w:t xml:space="preserve"> that genotypes accumulating more proline also tended to have higher phenolic compounds. Both are well-docume</w:t>
      </w:r>
      <w:r w:rsidR="00985985">
        <w:rPr>
          <w:rFonts w:ascii="Times New Roman" w:hAnsi="Times New Roman" w:cs="Times New Roman"/>
          <w:sz w:val="24"/>
        </w:rPr>
        <w:t>nted stress-related metabolites</w:t>
      </w:r>
      <w:r w:rsidRPr="007929B2">
        <w:rPr>
          <w:rFonts w:ascii="Times New Roman" w:hAnsi="Times New Roman" w:cs="Times New Roman"/>
          <w:sz w:val="24"/>
        </w:rPr>
        <w:t xml:space="preserve"> and their positive association may imply coordinated protective responses under field conditions. Weak </w:t>
      </w:r>
      <w:r w:rsidR="00AB7870">
        <w:rPr>
          <w:rFonts w:ascii="Times New Roman" w:hAnsi="Times New Roman" w:cs="Times New Roman"/>
          <w:sz w:val="24"/>
        </w:rPr>
        <w:t>and non-significant correlation was</w:t>
      </w:r>
      <w:r w:rsidRPr="007929B2">
        <w:rPr>
          <w:rFonts w:ascii="Times New Roman" w:hAnsi="Times New Roman" w:cs="Times New Roman"/>
          <w:sz w:val="24"/>
        </w:rPr>
        <w:t xml:space="preserve"> observed between DPPH and</w:t>
      </w:r>
      <w:r w:rsidR="00985985">
        <w:rPr>
          <w:rFonts w:ascii="Times New Roman" w:hAnsi="Times New Roman" w:cs="Times New Roman"/>
          <w:sz w:val="24"/>
        </w:rPr>
        <w:t xml:space="preserve"> total sugar or phenol contents</w:t>
      </w:r>
      <w:r w:rsidRPr="007929B2">
        <w:rPr>
          <w:rFonts w:ascii="Times New Roman" w:hAnsi="Times New Roman" w:cs="Times New Roman"/>
          <w:sz w:val="24"/>
        </w:rPr>
        <w:t xml:space="preserve"> and between total sugar and phenol, indicating largely independent accumulation patterns of these </w:t>
      </w:r>
      <w:r w:rsidR="00130CA4" w:rsidRPr="007929B2">
        <w:rPr>
          <w:rFonts w:ascii="Times New Roman" w:hAnsi="Times New Roman" w:cs="Times New Roman"/>
          <w:sz w:val="24"/>
        </w:rPr>
        <w:t>compounds</w:t>
      </w:r>
      <w:r w:rsidR="00130CA4">
        <w:rPr>
          <w:rFonts w:ascii="Times New Roman" w:hAnsi="Times New Roman" w:cs="Times New Roman"/>
          <w:sz w:val="24"/>
        </w:rPr>
        <w:t>. As earlier demonstrated by Hosseinifard</w:t>
      </w:r>
      <w:r w:rsidR="00AB7870">
        <w:rPr>
          <w:rFonts w:ascii="Times New Roman" w:hAnsi="Times New Roman" w:cs="Times New Roman"/>
          <w:sz w:val="24"/>
        </w:rPr>
        <w:t xml:space="preserve"> et al. </w:t>
      </w:r>
      <w:r w:rsidR="00130CA4">
        <w:rPr>
          <w:rFonts w:ascii="Times New Roman" w:hAnsi="Times New Roman" w:cs="Times New Roman"/>
          <w:sz w:val="24"/>
        </w:rPr>
        <w:t>(</w:t>
      </w:r>
      <w:r w:rsidR="00AB7870">
        <w:rPr>
          <w:rFonts w:ascii="Times New Roman" w:hAnsi="Times New Roman" w:cs="Times New Roman"/>
          <w:sz w:val="24"/>
        </w:rPr>
        <w:t>2022</w:t>
      </w:r>
      <w:r w:rsidR="00130CA4">
        <w:rPr>
          <w:rFonts w:ascii="Times New Roman" w:hAnsi="Times New Roman" w:cs="Times New Roman"/>
          <w:sz w:val="24"/>
        </w:rPr>
        <w:t xml:space="preserve">), </w:t>
      </w:r>
      <w:r w:rsidR="00AB7870">
        <w:rPr>
          <w:rFonts w:ascii="Times New Roman" w:hAnsi="Times New Roman" w:cs="Times New Roman"/>
          <w:sz w:val="24"/>
        </w:rPr>
        <w:t xml:space="preserve">Gao et al. </w:t>
      </w:r>
      <w:r w:rsidR="00130CA4">
        <w:rPr>
          <w:rFonts w:ascii="Times New Roman" w:hAnsi="Times New Roman" w:cs="Times New Roman"/>
          <w:sz w:val="24"/>
        </w:rPr>
        <w:t>(</w:t>
      </w:r>
      <w:r w:rsidR="00AB7870">
        <w:rPr>
          <w:rFonts w:ascii="Times New Roman" w:hAnsi="Times New Roman" w:cs="Times New Roman"/>
          <w:sz w:val="24"/>
        </w:rPr>
        <w:t>2023</w:t>
      </w:r>
      <w:r w:rsidR="00130CA4">
        <w:rPr>
          <w:rFonts w:ascii="Times New Roman" w:hAnsi="Times New Roman" w:cs="Times New Roman"/>
          <w:sz w:val="24"/>
        </w:rPr>
        <w:t>) and</w:t>
      </w:r>
      <w:r w:rsidR="0064613A">
        <w:rPr>
          <w:rFonts w:ascii="Times New Roman" w:hAnsi="Times New Roman" w:cs="Times New Roman"/>
          <w:sz w:val="24"/>
        </w:rPr>
        <w:t xml:space="preserve"> </w:t>
      </w:r>
      <w:r w:rsidR="00130CA4">
        <w:rPr>
          <w:rFonts w:ascii="Times New Roman" w:hAnsi="Times New Roman" w:cs="Times New Roman"/>
          <w:sz w:val="24"/>
        </w:rPr>
        <w:t>Salwa</w:t>
      </w:r>
      <w:r w:rsidR="0064613A">
        <w:rPr>
          <w:rFonts w:ascii="Times New Roman" w:hAnsi="Times New Roman" w:cs="Times New Roman"/>
          <w:sz w:val="24"/>
        </w:rPr>
        <w:t xml:space="preserve"> et al. </w:t>
      </w:r>
      <w:r w:rsidR="00130CA4">
        <w:rPr>
          <w:rFonts w:ascii="Times New Roman" w:hAnsi="Times New Roman" w:cs="Times New Roman"/>
          <w:sz w:val="24"/>
        </w:rPr>
        <w:t>(</w:t>
      </w:r>
      <w:r w:rsidR="0064613A">
        <w:rPr>
          <w:rFonts w:ascii="Times New Roman" w:hAnsi="Times New Roman" w:cs="Times New Roman"/>
          <w:sz w:val="24"/>
        </w:rPr>
        <w:t>2023</w:t>
      </w:r>
      <w:r w:rsidR="00DB540F" w:rsidRPr="00DB540F">
        <w:rPr>
          <w:rFonts w:ascii="Times New Roman" w:hAnsi="Times New Roman" w:cs="Times New Roman"/>
          <w:sz w:val="24"/>
        </w:rPr>
        <w:t>)</w:t>
      </w:r>
      <w:r w:rsidRPr="007929B2">
        <w:rPr>
          <w:rFonts w:ascii="Times New Roman" w:hAnsi="Times New Roman" w:cs="Times New Roman"/>
          <w:sz w:val="24"/>
        </w:rPr>
        <w:t>.</w:t>
      </w:r>
    </w:p>
    <w:p w14:paraId="683C0032" w14:textId="58629E55" w:rsidR="00AE35AA"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 xml:space="preserve">Together, these results underscore the complex interactions between yield and biochemical traits in chickpea. While the significant positive association between yield and antioxidant capacity highlights potential indirect contributions of oxidative stress mitigation to productivity, the observed negative relationships between protein and other biochemical constituents point to possible allocation constraints within plant metabolism. These findings </w:t>
      </w:r>
      <w:r w:rsidRPr="00820F0F">
        <w:rPr>
          <w:rFonts w:ascii="Times New Roman" w:hAnsi="Times New Roman" w:cs="Times New Roman"/>
          <w:sz w:val="24"/>
          <w:highlight w:val="yellow"/>
        </w:rPr>
        <w:t>emphasize</w:t>
      </w:r>
      <w:r w:rsidR="00820F0F" w:rsidRPr="00820F0F">
        <w:rPr>
          <w:rFonts w:ascii="Times New Roman" w:hAnsi="Times New Roman" w:cs="Times New Roman"/>
          <w:sz w:val="24"/>
          <w:highlight w:val="yellow"/>
        </w:rPr>
        <w:t>d</w:t>
      </w:r>
      <w:r w:rsidRPr="007929B2">
        <w:rPr>
          <w:rFonts w:ascii="Times New Roman" w:hAnsi="Times New Roman" w:cs="Times New Roman"/>
          <w:sz w:val="24"/>
        </w:rPr>
        <w:t xml:space="preserve"> the need for integrated breeding strategies that consider such interdependencies to achieve simultaneous improvement</w:t>
      </w:r>
      <w:r w:rsidR="00985985">
        <w:rPr>
          <w:rFonts w:ascii="Times New Roman" w:hAnsi="Times New Roman" w:cs="Times New Roman"/>
          <w:sz w:val="24"/>
        </w:rPr>
        <w:t>s in yield, nutritional quality</w:t>
      </w:r>
      <w:r w:rsidRPr="007929B2">
        <w:rPr>
          <w:rFonts w:ascii="Times New Roman" w:hAnsi="Times New Roman" w:cs="Times New Roman"/>
          <w:sz w:val="24"/>
        </w:rPr>
        <w:t xml:space="preserve"> and functional traits</w:t>
      </w:r>
      <w:r w:rsidR="00DB540F">
        <w:rPr>
          <w:rFonts w:ascii="Times New Roman" w:hAnsi="Times New Roman" w:cs="Times New Roman"/>
          <w:sz w:val="24"/>
        </w:rPr>
        <w:t xml:space="preserve"> </w:t>
      </w:r>
      <w:r w:rsidR="00DB540F" w:rsidRPr="00DB540F">
        <w:rPr>
          <w:rFonts w:ascii="Times New Roman" w:hAnsi="Times New Roman" w:cs="Times New Roman"/>
          <w:sz w:val="24"/>
        </w:rPr>
        <w:t>(Jukanti et al., 2012</w:t>
      </w:r>
      <w:r w:rsidR="0064613A">
        <w:rPr>
          <w:rFonts w:ascii="Times New Roman" w:hAnsi="Times New Roman" w:cs="Times New Roman"/>
          <w:sz w:val="24"/>
        </w:rPr>
        <w:t>; Sun et al., 2024;</w:t>
      </w:r>
      <w:r w:rsidR="00F154C5">
        <w:rPr>
          <w:rFonts w:ascii="Times New Roman" w:hAnsi="Times New Roman" w:cs="Times New Roman"/>
          <w:sz w:val="24"/>
        </w:rPr>
        <w:t xml:space="preserve"> Mishra et al., 2024b;</w:t>
      </w:r>
      <w:r w:rsidR="0064613A">
        <w:rPr>
          <w:rFonts w:ascii="Times New Roman" w:hAnsi="Times New Roman" w:cs="Times New Roman"/>
          <w:sz w:val="24"/>
        </w:rPr>
        <w:t xml:space="preserve"> </w:t>
      </w:r>
      <w:r w:rsidR="00F5506A" w:rsidRPr="005C37D7">
        <w:rPr>
          <w:rFonts w:ascii="Times New Roman" w:eastAsia="Times New Roman" w:hAnsi="Times New Roman" w:cs="Times New Roman"/>
          <w:sz w:val="24"/>
          <w:szCs w:val="24"/>
          <w:lang w:eastAsia="en-IN"/>
        </w:rPr>
        <w:t>González</w:t>
      </w:r>
      <w:r w:rsidR="0064613A">
        <w:rPr>
          <w:rFonts w:ascii="Times New Roman" w:hAnsi="Times New Roman" w:cs="Times New Roman"/>
          <w:sz w:val="24"/>
        </w:rPr>
        <w:t xml:space="preserve"> et al., 2024; Mishra et al., 2025; </w:t>
      </w:r>
      <w:r w:rsidR="00F5506A" w:rsidRPr="005C37D7">
        <w:rPr>
          <w:rFonts w:ascii="Times New Roman" w:eastAsia="Times New Roman" w:hAnsi="Times New Roman" w:cs="Times New Roman"/>
          <w:sz w:val="24"/>
          <w:szCs w:val="24"/>
          <w:lang w:eastAsia="en-IN"/>
        </w:rPr>
        <w:t>Sümbül</w:t>
      </w:r>
      <w:r w:rsidR="00F5506A">
        <w:rPr>
          <w:rFonts w:ascii="Times New Roman" w:hAnsi="Times New Roman" w:cs="Times New Roman"/>
          <w:sz w:val="24"/>
        </w:rPr>
        <w:t xml:space="preserve"> </w:t>
      </w:r>
      <w:r w:rsidR="0064613A">
        <w:rPr>
          <w:rFonts w:ascii="Times New Roman" w:hAnsi="Times New Roman" w:cs="Times New Roman"/>
          <w:sz w:val="24"/>
        </w:rPr>
        <w:t>et al., 2025</w:t>
      </w:r>
      <w:r w:rsidR="00DB540F" w:rsidRPr="00DB540F">
        <w:rPr>
          <w:rFonts w:ascii="Times New Roman" w:hAnsi="Times New Roman" w:cs="Times New Roman"/>
          <w:sz w:val="24"/>
        </w:rPr>
        <w:t>)</w:t>
      </w:r>
      <w:r w:rsidRPr="007929B2">
        <w:rPr>
          <w:rFonts w:ascii="Times New Roman" w:hAnsi="Times New Roman" w:cs="Times New Roman"/>
          <w:sz w:val="24"/>
        </w:rPr>
        <w:t>.</w:t>
      </w:r>
    </w:p>
    <w:p w14:paraId="60E07C6B" w14:textId="77777777" w:rsidR="007929B2" w:rsidRPr="00AE35AA" w:rsidRDefault="00AE35AA" w:rsidP="00AE35AA">
      <w:pPr>
        <w:rPr>
          <w:rFonts w:ascii="Times New Roman" w:hAnsi="Times New Roman" w:cs="Times New Roman"/>
          <w:b/>
          <w:sz w:val="24"/>
          <w:lang w:val="en-US"/>
        </w:rPr>
      </w:pPr>
      <w:r>
        <w:rPr>
          <w:rFonts w:ascii="Times New Roman" w:hAnsi="Times New Roman" w:cs="Times New Roman"/>
          <w:b/>
          <w:sz w:val="24"/>
          <w:lang w:val="en-US"/>
        </w:rPr>
        <w:t xml:space="preserve">Table 3 </w:t>
      </w:r>
      <w:r w:rsidRPr="00AE35AA">
        <w:rPr>
          <w:rFonts w:ascii="Times New Roman" w:hAnsi="Times New Roman" w:cs="Times New Roman"/>
          <w:b/>
          <w:sz w:val="24"/>
          <w:lang w:val="en-US"/>
        </w:rPr>
        <w:t>Correlation coefficient between seed yield per plant and biochemical traits</w:t>
      </w:r>
    </w:p>
    <w:tbl>
      <w:tblPr>
        <w:tblpPr w:leftFromText="180" w:rightFromText="180" w:vertAnchor="text" w:horzAnchor="margin" w:tblpY="6"/>
        <w:tblW w:w="9336" w:type="dxa"/>
        <w:tblLook w:val="04A0" w:firstRow="1" w:lastRow="0" w:firstColumn="1" w:lastColumn="0" w:noHBand="0" w:noVBand="1"/>
      </w:tblPr>
      <w:tblGrid>
        <w:gridCol w:w="1685"/>
        <w:gridCol w:w="1265"/>
        <w:gridCol w:w="1115"/>
        <w:gridCol w:w="1175"/>
        <w:gridCol w:w="1281"/>
        <w:gridCol w:w="1541"/>
        <w:gridCol w:w="1274"/>
      </w:tblGrid>
      <w:tr w:rsidR="008A2EDD" w:rsidRPr="00AE35AA" w14:paraId="1D1836CD" w14:textId="77777777" w:rsidTr="008A2EDD">
        <w:trPr>
          <w:trHeight w:val="392"/>
        </w:trPr>
        <w:tc>
          <w:tcPr>
            <w:tcW w:w="1685" w:type="dxa"/>
            <w:tcBorders>
              <w:top w:val="single" w:sz="4" w:space="0" w:color="auto"/>
              <w:left w:val="single" w:sz="4" w:space="0" w:color="auto"/>
              <w:bottom w:val="single" w:sz="4" w:space="0" w:color="auto"/>
              <w:right w:val="single" w:sz="4" w:space="0" w:color="auto"/>
            </w:tcBorders>
            <w:noWrap/>
            <w:vAlign w:val="bottom"/>
            <w:hideMark/>
          </w:tcPr>
          <w:p w14:paraId="1F11F12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65" w:type="dxa"/>
            <w:tcBorders>
              <w:top w:val="single" w:sz="4" w:space="0" w:color="auto"/>
              <w:left w:val="nil"/>
              <w:bottom w:val="single" w:sz="4" w:space="0" w:color="auto"/>
              <w:right w:val="single" w:sz="4" w:space="0" w:color="auto"/>
            </w:tcBorders>
            <w:noWrap/>
            <w:vAlign w:val="bottom"/>
            <w:hideMark/>
          </w:tcPr>
          <w:p w14:paraId="0E5E698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115" w:type="dxa"/>
            <w:tcBorders>
              <w:top w:val="single" w:sz="4" w:space="0" w:color="auto"/>
              <w:left w:val="nil"/>
              <w:bottom w:val="single" w:sz="4" w:space="0" w:color="auto"/>
              <w:right w:val="single" w:sz="4" w:space="0" w:color="auto"/>
            </w:tcBorders>
            <w:noWrap/>
            <w:vAlign w:val="bottom"/>
            <w:hideMark/>
          </w:tcPr>
          <w:p w14:paraId="5702FE2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b/>
                <w:bCs/>
                <w:color w:val="000000"/>
                <w:sz w:val="20"/>
                <w:szCs w:val="24"/>
              </w:rPr>
              <w:t>Protein</w:t>
            </w:r>
          </w:p>
        </w:tc>
        <w:tc>
          <w:tcPr>
            <w:tcW w:w="1175" w:type="dxa"/>
            <w:tcBorders>
              <w:top w:val="single" w:sz="4" w:space="0" w:color="auto"/>
              <w:left w:val="nil"/>
              <w:bottom w:val="single" w:sz="4" w:space="0" w:color="auto"/>
              <w:right w:val="single" w:sz="4" w:space="0" w:color="auto"/>
            </w:tcBorders>
            <w:noWrap/>
            <w:vAlign w:val="bottom"/>
            <w:hideMark/>
          </w:tcPr>
          <w:p w14:paraId="28DD6BD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81" w:type="dxa"/>
            <w:tcBorders>
              <w:top w:val="single" w:sz="4" w:space="0" w:color="auto"/>
              <w:left w:val="nil"/>
              <w:bottom w:val="single" w:sz="4" w:space="0" w:color="auto"/>
              <w:right w:val="single" w:sz="4" w:space="0" w:color="auto"/>
            </w:tcBorders>
            <w:noWrap/>
            <w:vAlign w:val="bottom"/>
            <w:hideMark/>
          </w:tcPr>
          <w:p w14:paraId="517F2E7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541" w:type="dxa"/>
            <w:tcBorders>
              <w:top w:val="single" w:sz="4" w:space="0" w:color="auto"/>
              <w:left w:val="nil"/>
              <w:bottom w:val="single" w:sz="4" w:space="0" w:color="auto"/>
              <w:right w:val="single" w:sz="4" w:space="0" w:color="auto"/>
            </w:tcBorders>
            <w:noWrap/>
            <w:vAlign w:val="bottom"/>
            <w:hideMark/>
          </w:tcPr>
          <w:p w14:paraId="17263B6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74" w:type="dxa"/>
            <w:tcBorders>
              <w:top w:val="single" w:sz="4" w:space="0" w:color="auto"/>
              <w:left w:val="nil"/>
              <w:bottom w:val="single" w:sz="4" w:space="0" w:color="auto"/>
              <w:right w:val="single" w:sz="4" w:space="0" w:color="auto"/>
            </w:tcBorders>
            <w:noWrap/>
            <w:vAlign w:val="bottom"/>
            <w:hideMark/>
          </w:tcPr>
          <w:p w14:paraId="30C1FD1E"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r>
      <w:tr w:rsidR="008A2EDD" w:rsidRPr="00AE35AA" w14:paraId="17C2146B"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44FB1437"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265" w:type="dxa"/>
            <w:tcBorders>
              <w:top w:val="nil"/>
              <w:left w:val="nil"/>
              <w:bottom w:val="single" w:sz="4" w:space="0" w:color="auto"/>
              <w:right w:val="single" w:sz="4" w:space="0" w:color="auto"/>
            </w:tcBorders>
            <w:noWrap/>
            <w:vAlign w:val="bottom"/>
            <w:hideMark/>
          </w:tcPr>
          <w:p w14:paraId="6F434F3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15" w:type="dxa"/>
            <w:tcBorders>
              <w:top w:val="nil"/>
              <w:left w:val="nil"/>
              <w:bottom w:val="single" w:sz="4" w:space="0" w:color="auto"/>
              <w:right w:val="single" w:sz="4" w:space="0" w:color="auto"/>
            </w:tcBorders>
            <w:noWrap/>
            <w:vAlign w:val="bottom"/>
            <w:hideMark/>
          </w:tcPr>
          <w:p w14:paraId="04436EB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-0.0270</w:t>
            </w:r>
          </w:p>
        </w:tc>
        <w:tc>
          <w:tcPr>
            <w:tcW w:w="1175" w:type="dxa"/>
            <w:tcBorders>
              <w:top w:val="nil"/>
              <w:left w:val="nil"/>
              <w:bottom w:val="single" w:sz="4" w:space="0" w:color="auto"/>
              <w:right w:val="single" w:sz="4" w:space="0" w:color="auto"/>
            </w:tcBorders>
            <w:noWrap/>
            <w:vAlign w:val="bottom"/>
            <w:hideMark/>
          </w:tcPr>
          <w:p w14:paraId="29FA3147"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-0.0742</w:t>
            </w:r>
          </w:p>
        </w:tc>
        <w:tc>
          <w:tcPr>
            <w:tcW w:w="1281" w:type="dxa"/>
            <w:tcBorders>
              <w:top w:val="nil"/>
              <w:left w:val="nil"/>
              <w:bottom w:val="single" w:sz="4" w:space="0" w:color="auto"/>
              <w:right w:val="single" w:sz="4" w:space="0" w:color="auto"/>
            </w:tcBorders>
            <w:noWrap/>
            <w:vAlign w:val="bottom"/>
            <w:hideMark/>
          </w:tcPr>
          <w:p w14:paraId="7E41346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0.2566**</w:t>
            </w:r>
          </w:p>
        </w:tc>
        <w:tc>
          <w:tcPr>
            <w:tcW w:w="1541" w:type="dxa"/>
            <w:tcBorders>
              <w:top w:val="nil"/>
              <w:left w:val="nil"/>
              <w:bottom w:val="single" w:sz="4" w:space="0" w:color="auto"/>
              <w:right w:val="single" w:sz="4" w:space="0" w:color="auto"/>
            </w:tcBorders>
            <w:noWrap/>
            <w:vAlign w:val="bottom"/>
            <w:hideMark/>
          </w:tcPr>
          <w:p w14:paraId="268340E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0.0787</w:t>
            </w:r>
          </w:p>
        </w:tc>
        <w:tc>
          <w:tcPr>
            <w:tcW w:w="1274" w:type="dxa"/>
            <w:tcBorders>
              <w:top w:val="nil"/>
              <w:left w:val="nil"/>
              <w:bottom w:val="single" w:sz="4" w:space="0" w:color="auto"/>
              <w:right w:val="single" w:sz="4" w:space="0" w:color="auto"/>
            </w:tcBorders>
            <w:noWrap/>
            <w:vAlign w:val="bottom"/>
            <w:hideMark/>
          </w:tcPr>
          <w:p w14:paraId="145EE69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-0.0206</w:t>
            </w:r>
          </w:p>
        </w:tc>
      </w:tr>
      <w:tr w:rsidR="008A2EDD" w:rsidRPr="00AE35AA" w14:paraId="5A3CB803"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0B95F842"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Protein</w:t>
            </w:r>
          </w:p>
        </w:tc>
        <w:tc>
          <w:tcPr>
            <w:tcW w:w="1265" w:type="dxa"/>
            <w:tcBorders>
              <w:top w:val="nil"/>
              <w:left w:val="nil"/>
              <w:bottom w:val="single" w:sz="4" w:space="0" w:color="auto"/>
              <w:right w:val="single" w:sz="4" w:space="0" w:color="auto"/>
            </w:tcBorders>
            <w:noWrap/>
            <w:vAlign w:val="bottom"/>
            <w:hideMark/>
          </w:tcPr>
          <w:p w14:paraId="1361B5F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268EDB9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75" w:type="dxa"/>
            <w:tcBorders>
              <w:top w:val="nil"/>
              <w:left w:val="nil"/>
              <w:bottom w:val="single" w:sz="4" w:space="0" w:color="auto"/>
              <w:right w:val="single" w:sz="4" w:space="0" w:color="auto"/>
            </w:tcBorders>
            <w:noWrap/>
            <w:vAlign w:val="bottom"/>
            <w:hideMark/>
          </w:tcPr>
          <w:p w14:paraId="5189EF7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-0.1733*</w:t>
            </w:r>
          </w:p>
        </w:tc>
        <w:tc>
          <w:tcPr>
            <w:tcW w:w="1281" w:type="dxa"/>
            <w:tcBorders>
              <w:top w:val="nil"/>
              <w:left w:val="nil"/>
              <w:bottom w:val="single" w:sz="4" w:space="0" w:color="auto"/>
              <w:right w:val="single" w:sz="4" w:space="0" w:color="auto"/>
            </w:tcBorders>
            <w:noWrap/>
            <w:vAlign w:val="bottom"/>
            <w:hideMark/>
          </w:tcPr>
          <w:p w14:paraId="33B38A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-0.1902*</w:t>
            </w:r>
          </w:p>
        </w:tc>
        <w:tc>
          <w:tcPr>
            <w:tcW w:w="1541" w:type="dxa"/>
            <w:tcBorders>
              <w:top w:val="nil"/>
              <w:left w:val="nil"/>
              <w:bottom w:val="single" w:sz="4" w:space="0" w:color="auto"/>
              <w:right w:val="single" w:sz="4" w:space="0" w:color="auto"/>
            </w:tcBorders>
            <w:noWrap/>
            <w:vAlign w:val="bottom"/>
            <w:hideMark/>
          </w:tcPr>
          <w:p w14:paraId="09D569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0.0106</w:t>
            </w:r>
          </w:p>
        </w:tc>
        <w:tc>
          <w:tcPr>
            <w:tcW w:w="1274" w:type="dxa"/>
            <w:tcBorders>
              <w:top w:val="nil"/>
              <w:left w:val="nil"/>
              <w:bottom w:val="single" w:sz="4" w:space="0" w:color="auto"/>
              <w:right w:val="single" w:sz="4" w:space="0" w:color="auto"/>
            </w:tcBorders>
            <w:noWrap/>
            <w:vAlign w:val="bottom"/>
            <w:hideMark/>
          </w:tcPr>
          <w:p w14:paraId="5B3D504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-0.2438**</w:t>
            </w:r>
          </w:p>
        </w:tc>
      </w:tr>
      <w:tr w:rsidR="008A2EDD" w:rsidRPr="00AE35AA" w14:paraId="1546BFBE"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666C223B"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65" w:type="dxa"/>
            <w:tcBorders>
              <w:top w:val="nil"/>
              <w:left w:val="nil"/>
              <w:bottom w:val="single" w:sz="4" w:space="0" w:color="auto"/>
              <w:right w:val="single" w:sz="4" w:space="0" w:color="auto"/>
            </w:tcBorders>
            <w:noWrap/>
            <w:vAlign w:val="bottom"/>
            <w:hideMark/>
          </w:tcPr>
          <w:p w14:paraId="5D6A14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9AC5DA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74929C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81" w:type="dxa"/>
            <w:tcBorders>
              <w:top w:val="nil"/>
              <w:left w:val="nil"/>
              <w:bottom w:val="single" w:sz="4" w:space="0" w:color="auto"/>
              <w:right w:val="single" w:sz="4" w:space="0" w:color="auto"/>
            </w:tcBorders>
            <w:noWrap/>
            <w:vAlign w:val="bottom"/>
            <w:hideMark/>
          </w:tcPr>
          <w:p w14:paraId="379BEDB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0.0702</w:t>
            </w:r>
          </w:p>
        </w:tc>
        <w:tc>
          <w:tcPr>
            <w:tcW w:w="1541" w:type="dxa"/>
            <w:tcBorders>
              <w:top w:val="nil"/>
              <w:left w:val="nil"/>
              <w:bottom w:val="single" w:sz="4" w:space="0" w:color="auto"/>
              <w:right w:val="single" w:sz="4" w:space="0" w:color="auto"/>
            </w:tcBorders>
            <w:noWrap/>
            <w:vAlign w:val="bottom"/>
            <w:hideMark/>
          </w:tcPr>
          <w:p w14:paraId="73FB84C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0.1053</w:t>
            </w:r>
          </w:p>
        </w:tc>
        <w:tc>
          <w:tcPr>
            <w:tcW w:w="1274" w:type="dxa"/>
            <w:tcBorders>
              <w:top w:val="nil"/>
              <w:left w:val="nil"/>
              <w:bottom w:val="single" w:sz="4" w:space="0" w:color="auto"/>
              <w:right w:val="single" w:sz="4" w:space="0" w:color="auto"/>
            </w:tcBorders>
            <w:noWrap/>
            <w:vAlign w:val="bottom"/>
            <w:hideMark/>
          </w:tcPr>
          <w:p w14:paraId="1321DDC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0.2552**</w:t>
            </w:r>
          </w:p>
        </w:tc>
      </w:tr>
      <w:tr w:rsidR="008A2EDD" w:rsidRPr="00AE35AA" w14:paraId="01EBDC24"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6368D53"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265" w:type="dxa"/>
            <w:tcBorders>
              <w:top w:val="nil"/>
              <w:left w:val="nil"/>
              <w:bottom w:val="single" w:sz="4" w:space="0" w:color="auto"/>
              <w:right w:val="single" w:sz="4" w:space="0" w:color="auto"/>
            </w:tcBorders>
            <w:noWrap/>
            <w:vAlign w:val="bottom"/>
            <w:hideMark/>
          </w:tcPr>
          <w:p w14:paraId="05D896E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6122B98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0C34F3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63907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541" w:type="dxa"/>
            <w:tcBorders>
              <w:top w:val="nil"/>
              <w:left w:val="nil"/>
              <w:bottom w:val="single" w:sz="4" w:space="0" w:color="auto"/>
              <w:right w:val="single" w:sz="4" w:space="0" w:color="auto"/>
            </w:tcBorders>
            <w:noWrap/>
            <w:vAlign w:val="bottom"/>
            <w:hideMark/>
          </w:tcPr>
          <w:p w14:paraId="14AB3A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-0.0239</w:t>
            </w:r>
          </w:p>
        </w:tc>
        <w:tc>
          <w:tcPr>
            <w:tcW w:w="1274" w:type="dxa"/>
            <w:tcBorders>
              <w:top w:val="nil"/>
              <w:left w:val="nil"/>
              <w:bottom w:val="single" w:sz="4" w:space="0" w:color="auto"/>
              <w:right w:val="single" w:sz="4" w:space="0" w:color="auto"/>
            </w:tcBorders>
            <w:noWrap/>
            <w:vAlign w:val="bottom"/>
            <w:hideMark/>
          </w:tcPr>
          <w:p w14:paraId="07E54745"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0.0061</w:t>
            </w:r>
          </w:p>
        </w:tc>
      </w:tr>
      <w:tr w:rsidR="008A2EDD" w:rsidRPr="00AE35AA" w14:paraId="646D9367"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068FB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65" w:type="dxa"/>
            <w:tcBorders>
              <w:top w:val="nil"/>
              <w:left w:val="nil"/>
              <w:bottom w:val="single" w:sz="4" w:space="0" w:color="auto"/>
              <w:right w:val="single" w:sz="4" w:space="0" w:color="auto"/>
            </w:tcBorders>
            <w:noWrap/>
            <w:vAlign w:val="bottom"/>
            <w:hideMark/>
          </w:tcPr>
          <w:p w14:paraId="66903C64"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669A8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5E6512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94B6E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72390EA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74" w:type="dxa"/>
            <w:tcBorders>
              <w:top w:val="nil"/>
              <w:left w:val="nil"/>
              <w:bottom w:val="single" w:sz="4" w:space="0" w:color="auto"/>
              <w:right w:val="single" w:sz="4" w:space="0" w:color="auto"/>
            </w:tcBorders>
            <w:noWrap/>
            <w:vAlign w:val="bottom"/>
            <w:hideMark/>
          </w:tcPr>
          <w:p w14:paraId="11F44E5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-0.0028</w:t>
            </w:r>
          </w:p>
        </w:tc>
      </w:tr>
      <w:tr w:rsidR="008A2EDD" w:rsidRPr="00AE35AA" w14:paraId="7A51E521"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ABCBAAC"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c>
          <w:tcPr>
            <w:tcW w:w="1265" w:type="dxa"/>
            <w:tcBorders>
              <w:top w:val="nil"/>
              <w:left w:val="nil"/>
              <w:bottom w:val="single" w:sz="4" w:space="0" w:color="auto"/>
              <w:right w:val="single" w:sz="4" w:space="0" w:color="auto"/>
            </w:tcBorders>
            <w:noWrap/>
            <w:vAlign w:val="bottom"/>
            <w:hideMark/>
          </w:tcPr>
          <w:p w14:paraId="155233A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0D95298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2E65C91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11DFB2E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4DDDEE1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74" w:type="dxa"/>
            <w:tcBorders>
              <w:top w:val="nil"/>
              <w:left w:val="nil"/>
              <w:bottom w:val="single" w:sz="4" w:space="0" w:color="auto"/>
              <w:right w:val="single" w:sz="4" w:space="0" w:color="auto"/>
            </w:tcBorders>
            <w:noWrap/>
            <w:vAlign w:val="bottom"/>
            <w:hideMark/>
          </w:tcPr>
          <w:p w14:paraId="560434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r>
    </w:tbl>
    <w:p w14:paraId="32D013D5" w14:textId="77777777" w:rsidR="008A2EDD" w:rsidRDefault="001F210C" w:rsidP="00943A93">
      <w:pPr>
        <w:spacing w:before="240" w:after="120" w:line="360" w:lineRule="auto"/>
        <w:jc w:val="both"/>
        <w:rPr>
          <w:rFonts w:ascii="Times New Roman" w:hAnsi="Times New Roman" w:cs="Times New Roman"/>
          <w:b/>
          <w:sz w:val="24"/>
        </w:rPr>
      </w:pPr>
      <w:r>
        <w:rPr>
          <w:rFonts w:ascii="Times New Roman" w:hAnsi="Times New Roman" w:cs="Times New Roman"/>
          <w:b/>
          <w:sz w:val="24"/>
        </w:rPr>
        <w:t>Conclusion</w:t>
      </w:r>
    </w:p>
    <w:p w14:paraId="73959B22" w14:textId="149B686A" w:rsidR="001F210C" w:rsidRPr="008A2EDD" w:rsidRDefault="008A2EDD" w:rsidP="00943A93">
      <w:pPr>
        <w:spacing w:before="120" w:after="120" w:line="360" w:lineRule="auto"/>
        <w:jc w:val="both"/>
        <w:rPr>
          <w:rFonts w:ascii="Times New Roman" w:hAnsi="Times New Roman" w:cs="Times New Roman"/>
          <w:sz w:val="24"/>
        </w:rPr>
      </w:pPr>
      <w:r w:rsidRPr="008A2EDD">
        <w:rPr>
          <w:rFonts w:ascii="Times New Roman" w:hAnsi="Times New Roman" w:cs="Times New Roman"/>
          <w:sz w:val="24"/>
        </w:rPr>
        <w:t>The present study revealed substant</w:t>
      </w:r>
      <w:r w:rsidR="0050512A">
        <w:rPr>
          <w:rFonts w:ascii="Times New Roman" w:hAnsi="Times New Roman" w:cs="Times New Roman"/>
          <w:sz w:val="24"/>
        </w:rPr>
        <w:t>ial genetic variability among 69</w:t>
      </w:r>
      <w:r w:rsidRPr="008A2EDD">
        <w:rPr>
          <w:rFonts w:ascii="Times New Roman" w:hAnsi="Times New Roman" w:cs="Times New Roman"/>
          <w:sz w:val="24"/>
        </w:rPr>
        <w:t xml:space="preserve"> chickpea genotypes for seed yield and key biochemical traits, including protein, proline, antioxidant activity, total</w:t>
      </w:r>
      <w:r w:rsidRPr="008A2EDD">
        <w:rPr>
          <w:rFonts w:ascii="Times New Roman" w:hAnsi="Times New Roman" w:cs="Times New Roman"/>
          <w:b/>
          <w:sz w:val="24"/>
        </w:rPr>
        <w:t xml:space="preserve"> </w:t>
      </w:r>
      <w:r w:rsidR="0064613A">
        <w:rPr>
          <w:rFonts w:ascii="Times New Roman" w:hAnsi="Times New Roman" w:cs="Times New Roman"/>
          <w:sz w:val="24"/>
        </w:rPr>
        <w:lastRenderedPageBreak/>
        <w:t xml:space="preserve">sugar </w:t>
      </w:r>
      <w:r w:rsidRPr="008A2EDD">
        <w:rPr>
          <w:rFonts w:ascii="Times New Roman" w:hAnsi="Times New Roman" w:cs="Times New Roman"/>
          <w:sz w:val="24"/>
        </w:rPr>
        <w:t>and total phenol content. Such diversity offers valuable opportunities for breeding program</w:t>
      </w:r>
      <w:r w:rsidR="008D6DFD">
        <w:rPr>
          <w:rFonts w:ascii="Times New Roman" w:hAnsi="Times New Roman" w:cs="Times New Roman"/>
          <w:sz w:val="24"/>
        </w:rPr>
        <w:t>me</w:t>
      </w:r>
      <w:r w:rsidRPr="008A2EDD">
        <w:rPr>
          <w:rFonts w:ascii="Times New Roman" w:hAnsi="Times New Roman" w:cs="Times New Roman"/>
          <w:sz w:val="24"/>
        </w:rPr>
        <w:t xml:space="preserve">s aimed </w:t>
      </w:r>
      <w:r w:rsidR="008D6DFD">
        <w:rPr>
          <w:rFonts w:ascii="Times New Roman" w:hAnsi="Times New Roman" w:cs="Times New Roman"/>
          <w:sz w:val="24"/>
        </w:rPr>
        <w:t xml:space="preserve">to </w:t>
      </w:r>
      <w:r w:rsidRPr="008A2EDD">
        <w:rPr>
          <w:rFonts w:ascii="Times New Roman" w:hAnsi="Times New Roman" w:cs="Times New Roman"/>
          <w:sz w:val="24"/>
        </w:rPr>
        <w:t>improv</w:t>
      </w:r>
      <w:r w:rsidR="008D6DFD">
        <w:rPr>
          <w:rFonts w:ascii="Times New Roman" w:hAnsi="Times New Roman" w:cs="Times New Roman"/>
          <w:sz w:val="24"/>
        </w:rPr>
        <w:t>e</w:t>
      </w:r>
      <w:r w:rsidRPr="008A2EDD">
        <w:rPr>
          <w:rFonts w:ascii="Times New Roman" w:hAnsi="Times New Roman" w:cs="Times New Roman"/>
          <w:sz w:val="24"/>
        </w:rPr>
        <w:t xml:space="preserve"> multiple traits simultaneously. The significant positive association between seed yield and antioxidant activity suggest</w:t>
      </w:r>
      <w:r w:rsidR="008D6DFD">
        <w:rPr>
          <w:rFonts w:ascii="Times New Roman" w:hAnsi="Times New Roman" w:cs="Times New Roman"/>
          <w:sz w:val="24"/>
        </w:rPr>
        <w:t>ed</w:t>
      </w:r>
      <w:r w:rsidRPr="008A2EDD">
        <w:rPr>
          <w:rFonts w:ascii="Times New Roman" w:hAnsi="Times New Roman" w:cs="Times New Roman"/>
          <w:sz w:val="24"/>
        </w:rPr>
        <w:t xml:space="preserve"> that enhanced free radical scavenging may contribute indirectly to better productivity under field conditions. In contrast, weak correlations of yiel</w:t>
      </w:r>
      <w:r w:rsidR="0064613A">
        <w:rPr>
          <w:rFonts w:ascii="Times New Roman" w:hAnsi="Times New Roman" w:cs="Times New Roman"/>
          <w:sz w:val="24"/>
        </w:rPr>
        <w:t>d with protein, proline, sugars</w:t>
      </w:r>
      <w:r w:rsidRPr="008A2EDD">
        <w:rPr>
          <w:rFonts w:ascii="Times New Roman" w:hAnsi="Times New Roman" w:cs="Times New Roman"/>
          <w:sz w:val="24"/>
        </w:rPr>
        <w:t xml:space="preserve"> and phenolics indicate</w:t>
      </w:r>
      <w:r w:rsidR="00BF3A3B">
        <w:rPr>
          <w:rFonts w:ascii="Times New Roman" w:hAnsi="Times New Roman" w:cs="Times New Roman"/>
          <w:sz w:val="24"/>
        </w:rPr>
        <w:t>d</w:t>
      </w:r>
      <w:r w:rsidRPr="008A2EDD">
        <w:rPr>
          <w:rFonts w:ascii="Times New Roman" w:hAnsi="Times New Roman" w:cs="Times New Roman"/>
          <w:sz w:val="24"/>
        </w:rPr>
        <w:t xml:space="preserve"> that these quality traits can be improved independently without adversely affecting yield. </w:t>
      </w:r>
      <w:r w:rsidR="00BF3A3B" w:rsidRPr="008A2EDD">
        <w:rPr>
          <w:rFonts w:ascii="Times New Roman" w:hAnsi="Times New Roman" w:cs="Times New Roman"/>
          <w:sz w:val="24"/>
        </w:rPr>
        <w:t>Remarkably</w:t>
      </w:r>
      <w:r w:rsidRPr="008A2EDD">
        <w:rPr>
          <w:rFonts w:ascii="Times New Roman" w:hAnsi="Times New Roman" w:cs="Times New Roman"/>
          <w:sz w:val="24"/>
        </w:rPr>
        <w:t xml:space="preserve">, the observed negative relationships between protein content and other stress-related metabolites </w:t>
      </w:r>
      <w:r w:rsidR="00BF3A3B">
        <w:rPr>
          <w:rFonts w:ascii="Times New Roman" w:hAnsi="Times New Roman" w:cs="Times New Roman"/>
          <w:sz w:val="24"/>
        </w:rPr>
        <w:t xml:space="preserve">including </w:t>
      </w:r>
      <w:r w:rsidRPr="008A2EDD">
        <w:rPr>
          <w:rFonts w:ascii="Times New Roman" w:hAnsi="Times New Roman" w:cs="Times New Roman"/>
          <w:sz w:val="24"/>
        </w:rPr>
        <w:t>proline, antioxidants</w:t>
      </w:r>
      <w:r w:rsidR="00BF3A3B">
        <w:rPr>
          <w:rFonts w:ascii="Times New Roman" w:hAnsi="Times New Roman" w:cs="Times New Roman"/>
          <w:sz w:val="24"/>
        </w:rPr>
        <w:t xml:space="preserve"> and</w:t>
      </w:r>
      <w:r w:rsidRPr="008A2EDD">
        <w:rPr>
          <w:rFonts w:ascii="Times New Roman" w:hAnsi="Times New Roman" w:cs="Times New Roman"/>
          <w:sz w:val="24"/>
        </w:rPr>
        <w:t xml:space="preserve"> phenols point toward potential metabolic trade-offs, whereas the positive correlation between proline and phenols </w:t>
      </w:r>
      <w:r w:rsidR="00B0650A">
        <w:rPr>
          <w:rFonts w:ascii="Times New Roman" w:hAnsi="Times New Roman" w:cs="Times New Roman"/>
          <w:sz w:val="24"/>
        </w:rPr>
        <w:t>advised</w:t>
      </w:r>
      <w:r w:rsidRPr="008A2EDD">
        <w:rPr>
          <w:rFonts w:ascii="Times New Roman" w:hAnsi="Times New Roman" w:cs="Times New Roman"/>
          <w:sz w:val="24"/>
        </w:rPr>
        <w:t xml:space="preserve"> coordinated stress adaptation mechanisms. These insights emphasize</w:t>
      </w:r>
      <w:r w:rsidR="00B0650A">
        <w:rPr>
          <w:rFonts w:ascii="Times New Roman" w:hAnsi="Times New Roman" w:cs="Times New Roman"/>
          <w:sz w:val="24"/>
        </w:rPr>
        <w:t>d</w:t>
      </w:r>
      <w:r w:rsidRPr="008A2EDD">
        <w:rPr>
          <w:rFonts w:ascii="Times New Roman" w:hAnsi="Times New Roman" w:cs="Times New Roman"/>
          <w:sz w:val="24"/>
        </w:rPr>
        <w:t xml:space="preserve"> the importance of adopting integrated breeding strategies that balance yield enhancement with nutritional quality and stress resilience. </w:t>
      </w:r>
    </w:p>
    <w:p w14:paraId="28DBAA35" w14:textId="77777777" w:rsidR="001F210C" w:rsidRDefault="001F210C" w:rsidP="00943A93">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0E1D7438" w14:textId="77777777" w:rsidR="001F210C" w:rsidRDefault="001F210C" w:rsidP="00943A93">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73FC22E2" w14:textId="77777777" w:rsidR="00DE5238" w:rsidRPr="005C37D7" w:rsidRDefault="00DE5238" w:rsidP="00DE5238">
      <w:pPr>
        <w:spacing w:before="240" w:after="120" w:line="360" w:lineRule="auto"/>
        <w:jc w:val="both"/>
        <w:rPr>
          <w:rFonts w:ascii="Times New Roman" w:hAnsi="Times New Roman" w:cs="Times New Roman"/>
          <w:sz w:val="24"/>
          <w:szCs w:val="24"/>
        </w:rPr>
      </w:pPr>
      <w:r w:rsidRPr="005C37D7">
        <w:rPr>
          <w:rFonts w:ascii="Times New Roman" w:hAnsi="Times New Roman" w:cs="Times New Roman"/>
          <w:b/>
          <w:sz w:val="24"/>
          <w:szCs w:val="24"/>
        </w:rPr>
        <w:t xml:space="preserve">References </w:t>
      </w:r>
    </w:p>
    <w:p w14:paraId="2AD32F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Abou Chehade, L., Tavarini, S., Bozzini, M. F., Koskey, G., Caturegli, L., </w:t>
      </w:r>
      <w:proofErr w:type="spellStart"/>
      <w:r w:rsidRPr="005C37D7">
        <w:rPr>
          <w:rFonts w:ascii="Times New Roman" w:eastAsia="Times New Roman" w:hAnsi="Times New Roman" w:cs="Times New Roman"/>
          <w:sz w:val="24"/>
          <w:szCs w:val="24"/>
          <w:lang w:eastAsia="en-IN"/>
        </w:rPr>
        <w:t>Antichi</w:t>
      </w:r>
      <w:proofErr w:type="spellEnd"/>
      <w:r w:rsidRPr="005C37D7">
        <w:rPr>
          <w:rFonts w:ascii="Times New Roman" w:eastAsia="Times New Roman" w:hAnsi="Times New Roman" w:cs="Times New Roman"/>
          <w:sz w:val="24"/>
          <w:szCs w:val="24"/>
          <w:lang w:eastAsia="en-IN"/>
        </w:rPr>
        <w:t xml:space="preserve">, D. &amp; Angelini, L. G. (2024). Agronomic and phytochemical characterization of chickpea local genetic resources for the agroecological transition and sustainable food systems. </w:t>
      </w:r>
      <w:r w:rsidRPr="005C37D7">
        <w:rPr>
          <w:rFonts w:ascii="Times New Roman" w:eastAsia="Times New Roman" w:hAnsi="Times New Roman" w:cs="Times New Roman"/>
          <w:i/>
          <w:iCs/>
          <w:sz w:val="24"/>
          <w:szCs w:val="24"/>
          <w:lang w:eastAsia="en-IN"/>
        </w:rPr>
        <w:t>Agronomy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(10), 2229. </w:t>
      </w:r>
      <w:hyperlink r:id="rId8" w:history="1">
        <w:r w:rsidRPr="005C37D7">
          <w:rPr>
            <w:rStyle w:val="Hyperlink"/>
            <w:rFonts w:ascii="Times New Roman" w:eastAsia="Times New Roman" w:hAnsi="Times New Roman" w:cs="Times New Roman"/>
            <w:sz w:val="24"/>
            <w:szCs w:val="24"/>
            <w:lang w:eastAsia="en-IN"/>
          </w:rPr>
          <w:t>https://doi.org/10.3390/agronomy14102229</w:t>
        </w:r>
      </w:hyperlink>
      <w:r w:rsidRPr="005C37D7">
        <w:rPr>
          <w:rFonts w:ascii="Times New Roman" w:eastAsia="Times New Roman" w:hAnsi="Times New Roman" w:cs="Times New Roman"/>
          <w:sz w:val="24"/>
          <w:szCs w:val="24"/>
          <w:lang w:eastAsia="en-IN"/>
        </w:rPr>
        <w:t xml:space="preserve"> </w:t>
      </w:r>
    </w:p>
    <w:p w14:paraId="02DC28D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Arshad, S., Rehman, T., Saif, S., </w:t>
      </w:r>
      <w:proofErr w:type="spellStart"/>
      <w:r w:rsidRPr="005C37D7">
        <w:rPr>
          <w:rFonts w:ascii="Times New Roman" w:eastAsia="Times New Roman" w:hAnsi="Times New Roman" w:cs="Times New Roman"/>
          <w:sz w:val="24"/>
          <w:szCs w:val="24"/>
          <w:lang w:eastAsia="en-IN"/>
        </w:rPr>
        <w:t>Rajoka</w:t>
      </w:r>
      <w:proofErr w:type="spellEnd"/>
      <w:r w:rsidRPr="005C37D7">
        <w:rPr>
          <w:rFonts w:ascii="Times New Roman" w:eastAsia="Times New Roman" w:hAnsi="Times New Roman" w:cs="Times New Roman"/>
          <w:sz w:val="24"/>
          <w:szCs w:val="24"/>
          <w:lang w:eastAsia="en-IN"/>
        </w:rPr>
        <w:t xml:space="preserve">, M. S. R., Ranjha, M. M. A. N., Hassoun, A., </w:t>
      </w:r>
      <w:proofErr w:type="spellStart"/>
      <w:r w:rsidRPr="005C37D7">
        <w:rPr>
          <w:rFonts w:ascii="Times New Roman" w:eastAsia="Times New Roman" w:hAnsi="Times New Roman" w:cs="Times New Roman"/>
          <w:sz w:val="24"/>
          <w:szCs w:val="24"/>
          <w:lang w:eastAsia="en-IN"/>
        </w:rPr>
        <w:t>Cropotova</w:t>
      </w:r>
      <w:proofErr w:type="spellEnd"/>
      <w:r w:rsidRPr="005C37D7">
        <w:rPr>
          <w:rFonts w:ascii="Times New Roman" w:eastAsia="Times New Roman" w:hAnsi="Times New Roman" w:cs="Times New Roman"/>
          <w:sz w:val="24"/>
          <w:szCs w:val="24"/>
          <w:lang w:eastAsia="en-IN"/>
        </w:rPr>
        <w:t xml:space="preserve">, J., Trif, M., Younas, A., &amp; Aadil, R. M. (2022). Replacement of refined sugar by natural sweeteners: focus on potential health benefits. </w:t>
      </w:r>
      <w:proofErr w:type="spellStart"/>
      <w:r w:rsidRPr="005C37D7">
        <w:rPr>
          <w:rFonts w:ascii="Times New Roman" w:eastAsia="Times New Roman" w:hAnsi="Times New Roman" w:cs="Times New Roman"/>
          <w:i/>
          <w:iCs/>
          <w:sz w:val="24"/>
          <w:szCs w:val="24"/>
          <w:lang w:eastAsia="en-IN"/>
        </w:rPr>
        <w:t>Heliyon</w:t>
      </w:r>
      <w:proofErr w:type="spellEnd"/>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(9), e10711. </w:t>
      </w:r>
      <w:hyperlink r:id="rId9" w:history="1">
        <w:r w:rsidRPr="005C37D7">
          <w:rPr>
            <w:rStyle w:val="Hyperlink"/>
            <w:rFonts w:ascii="Times New Roman" w:eastAsia="Times New Roman" w:hAnsi="Times New Roman" w:cs="Times New Roman"/>
            <w:sz w:val="24"/>
            <w:szCs w:val="24"/>
            <w:lang w:eastAsia="en-IN"/>
          </w:rPr>
          <w:t>https://doi.org/10.1016/j.heliyon.2022.e10711</w:t>
        </w:r>
      </w:hyperlink>
      <w:r w:rsidRPr="005C37D7">
        <w:rPr>
          <w:rFonts w:ascii="Times New Roman" w:eastAsia="Times New Roman" w:hAnsi="Times New Roman" w:cs="Times New Roman"/>
          <w:sz w:val="24"/>
          <w:szCs w:val="24"/>
          <w:lang w:eastAsia="en-IN"/>
        </w:rPr>
        <w:t xml:space="preserve"> </w:t>
      </w:r>
    </w:p>
    <w:p w14:paraId="53171073"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rPr>
        <w:t xml:space="preserve">Asati, R., Tripathi, M.K., Tiwari, S., Yadav, R.K., &amp; Tripathi, N. (2022), Molecular breeding and drought tolerance in chickpea. </w:t>
      </w:r>
      <w:r w:rsidRPr="0074534A">
        <w:rPr>
          <w:rFonts w:ascii="Times New Roman" w:hAnsi="Times New Roman" w:cs="Times New Roman"/>
          <w:i/>
          <w:iCs/>
          <w:sz w:val="24"/>
          <w:szCs w:val="24"/>
        </w:rPr>
        <w:t>Life</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rPr>
        <w:t>12</w:t>
      </w:r>
      <w:r w:rsidRPr="0074534A">
        <w:rPr>
          <w:rFonts w:ascii="Times New Roman" w:hAnsi="Times New Roman" w:cs="Times New Roman"/>
          <w:sz w:val="24"/>
          <w:szCs w:val="24"/>
        </w:rPr>
        <w:t xml:space="preserve">, 1846. </w:t>
      </w:r>
    </w:p>
    <w:p w14:paraId="36DEF7E7"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rPr>
        <w:t xml:space="preserve">Asati, R., Tripathi, M.K., Yadav, R.K., Tiwari, S., Chauhan, S., &amp; Tripathi, N. </w:t>
      </w:r>
      <w:r w:rsidRPr="0074534A">
        <w:rPr>
          <w:rFonts w:ascii="Times New Roman" w:hAnsi="Times New Roman" w:cs="Times New Roman"/>
          <w:iCs/>
          <w:sz w:val="24"/>
          <w:szCs w:val="24"/>
        </w:rPr>
        <w:t xml:space="preserve">(2023a). </w:t>
      </w:r>
      <w:r w:rsidRPr="0074534A">
        <w:rPr>
          <w:rFonts w:ascii="Times New Roman" w:hAnsi="Times New Roman" w:cs="Times New Roman"/>
          <w:sz w:val="24"/>
          <w:szCs w:val="24"/>
        </w:rPr>
        <w:t>Morphological description of chickpea (</w:t>
      </w:r>
      <w:proofErr w:type="spellStart"/>
      <w:r w:rsidRPr="0074534A">
        <w:rPr>
          <w:rFonts w:ascii="Times New Roman" w:hAnsi="Times New Roman" w:cs="Times New Roman"/>
          <w:i/>
          <w:iCs/>
          <w:sz w:val="24"/>
          <w:szCs w:val="24"/>
        </w:rPr>
        <w:t>Cicer</w:t>
      </w:r>
      <w:proofErr w:type="spellEnd"/>
      <w:r w:rsidRPr="0074534A">
        <w:rPr>
          <w:rFonts w:ascii="Times New Roman" w:hAnsi="Times New Roman" w:cs="Times New Roman"/>
          <w:i/>
          <w:iCs/>
          <w:sz w:val="24"/>
          <w:szCs w:val="24"/>
        </w:rPr>
        <w:t xml:space="preserve"> </w:t>
      </w:r>
      <w:proofErr w:type="spellStart"/>
      <w:r w:rsidRPr="0074534A">
        <w:rPr>
          <w:rFonts w:ascii="Times New Roman" w:hAnsi="Times New Roman" w:cs="Times New Roman"/>
          <w:i/>
          <w:iCs/>
          <w:sz w:val="24"/>
          <w:szCs w:val="24"/>
        </w:rPr>
        <w:t>arietanum</w:t>
      </w:r>
      <w:proofErr w:type="spellEnd"/>
      <w:r w:rsidRPr="0074534A">
        <w:rPr>
          <w:rFonts w:ascii="Times New Roman" w:hAnsi="Times New Roman" w:cs="Times New Roman"/>
          <w:sz w:val="24"/>
          <w:szCs w:val="24"/>
        </w:rPr>
        <w:t xml:space="preserve"> L) genotypes using DUS characterization.  </w:t>
      </w:r>
      <w:r w:rsidRPr="0074534A">
        <w:rPr>
          <w:rFonts w:ascii="Times New Roman" w:hAnsi="Times New Roman" w:cs="Times New Roman"/>
          <w:i/>
          <w:iCs/>
          <w:sz w:val="24"/>
          <w:szCs w:val="24"/>
        </w:rPr>
        <w:t xml:space="preserve">Int. </w:t>
      </w:r>
      <w:r w:rsidRPr="0074534A">
        <w:rPr>
          <w:rFonts w:ascii="Times New Roman" w:hAnsi="Times New Roman" w:cs="Times New Roman"/>
          <w:i/>
          <w:iCs/>
          <w:sz w:val="24"/>
          <w:szCs w:val="24"/>
          <w:shd w:val="clear" w:color="auto" w:fill="FFFFFF"/>
        </w:rPr>
        <w:t>J. Environ. Clim. Change</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 (9): 1321-41.</w:t>
      </w:r>
    </w:p>
    <w:p w14:paraId="22D92785" w14:textId="77777777" w:rsidR="00DE5238" w:rsidRPr="00DF7E34"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bookmarkStart w:id="1" w:name="_Hlk165114212"/>
      <w:proofErr w:type="spellStart"/>
      <w:r w:rsidRPr="00DF7E34">
        <w:rPr>
          <w:rFonts w:ascii="Times New Roman" w:eastAsia="Times New Roman" w:hAnsi="Times New Roman" w:cs="Times New Roman"/>
          <w:sz w:val="24"/>
          <w:szCs w:val="24"/>
          <w:lang w:val="en-GB"/>
        </w:rPr>
        <w:t>Asati</w:t>
      </w:r>
      <w:proofErr w:type="spellEnd"/>
      <w:r w:rsidRPr="00DF7E34">
        <w:rPr>
          <w:rFonts w:ascii="Times New Roman" w:eastAsia="Times New Roman" w:hAnsi="Times New Roman" w:cs="Times New Roman"/>
          <w:sz w:val="24"/>
          <w:szCs w:val="24"/>
          <w:lang w:val="en-GB"/>
        </w:rPr>
        <w:t xml:space="preserve">, R., Tripathi, M.K., Tiwari, S., Yadav, R.K., Chauhan, S., Tripathi, N., Solanki, R.S., &amp; Sikarwar, R.S. (2023b). </w:t>
      </w:r>
      <w:r w:rsidRPr="00DF7E34">
        <w:rPr>
          <w:rFonts w:ascii="Times New Roman" w:eastAsia="Times New Roman" w:hAnsi="Times New Roman" w:cs="Times New Roman"/>
          <w:sz w:val="24"/>
          <w:szCs w:val="24"/>
        </w:rPr>
        <w:t>Screening of chickpea (</w:t>
      </w:r>
      <w:r w:rsidRPr="00DF7E34">
        <w:rPr>
          <w:rFonts w:ascii="Times New Roman" w:eastAsia="Times New Roman" w:hAnsi="Times New Roman" w:cs="Times New Roman"/>
          <w:i/>
          <w:sz w:val="24"/>
          <w:szCs w:val="24"/>
        </w:rPr>
        <w:t>Cicer arietinum</w:t>
      </w:r>
      <w:r w:rsidRPr="00DF7E34">
        <w:rPr>
          <w:rFonts w:ascii="Times New Roman" w:eastAsia="Times New Roman" w:hAnsi="Times New Roman" w:cs="Times New Roman"/>
          <w:sz w:val="24"/>
          <w:szCs w:val="24"/>
        </w:rPr>
        <w:t xml:space="preserve"> L.) genotypes against </w:t>
      </w:r>
      <w:r w:rsidRPr="00DF7E34">
        <w:rPr>
          <w:rFonts w:ascii="Times New Roman" w:eastAsia="Times New Roman" w:hAnsi="Times New Roman" w:cs="Times New Roman"/>
          <w:sz w:val="24"/>
          <w:szCs w:val="24"/>
        </w:rPr>
        <w:lastRenderedPageBreak/>
        <w:t xml:space="preserve">drought stress employing polyethylene glycol 6000 as selecting agent. </w:t>
      </w:r>
      <w:r w:rsidRPr="00DF7E34">
        <w:rPr>
          <w:rFonts w:ascii="Times New Roman" w:eastAsia="Times New Roman" w:hAnsi="Times New Roman" w:cs="Times New Roman"/>
          <w:i/>
          <w:iCs/>
          <w:sz w:val="24"/>
          <w:szCs w:val="24"/>
          <w:shd w:val="clear" w:color="auto" w:fill="FFFFFF"/>
        </w:rPr>
        <w:t>Int. J. Plant Soil Sci</w:t>
      </w:r>
      <w:r w:rsidRPr="00DF7E34">
        <w:rPr>
          <w:rFonts w:ascii="Times New Roman" w:eastAsia="Times New Roman" w:hAnsi="Times New Roman" w:cs="Times New Roman"/>
          <w:i/>
          <w:iCs/>
          <w:sz w:val="24"/>
          <w:szCs w:val="24"/>
        </w:rPr>
        <w:t>. 35</w:t>
      </w:r>
      <w:r w:rsidRPr="00DF7E34">
        <w:rPr>
          <w:rFonts w:ascii="Times New Roman" w:eastAsia="Times New Roman" w:hAnsi="Times New Roman" w:cs="Times New Roman"/>
          <w:sz w:val="24"/>
          <w:szCs w:val="24"/>
        </w:rPr>
        <w:t>(19): 2155–2169.</w:t>
      </w:r>
    </w:p>
    <w:bookmarkEnd w:id="1"/>
    <w:p w14:paraId="7FCDE18B"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74534A">
        <w:rPr>
          <w:rFonts w:ascii="Times New Roman" w:hAnsi="Times New Roman" w:cs="Times New Roman"/>
          <w:i/>
          <w:iCs/>
          <w:sz w:val="24"/>
          <w:szCs w:val="24"/>
          <w:shd w:val="clear" w:color="auto" w:fill="FFFFFF"/>
        </w:rPr>
        <w:t>Cicer arietinum</w:t>
      </w:r>
      <w:r w:rsidRPr="0074534A">
        <w:rPr>
          <w:rFonts w:ascii="Times New Roman" w:hAnsi="Times New Roman" w:cs="Times New Roman"/>
          <w:sz w:val="24"/>
          <w:szCs w:val="24"/>
          <w:shd w:val="clear" w:color="auto" w:fill="FFFFFF"/>
        </w:rPr>
        <w:t> L.) genotypes employing various physiological enzymatic and non-enzymatic biochemical parameters. </w:t>
      </w:r>
      <w:r w:rsidRPr="0074534A">
        <w:rPr>
          <w:rStyle w:val="Emphasis"/>
          <w:rFonts w:ascii="Times New Roman" w:hAnsi="Times New Roman" w:cs="Times New Roman"/>
          <w:shd w:val="clear" w:color="auto" w:fill="FFFFFF"/>
        </w:rPr>
        <w:t>Plants</w:t>
      </w:r>
      <w:r w:rsidRPr="0074534A">
        <w:rPr>
          <w:rFonts w:ascii="Times New Roman" w:hAnsi="Times New Roman" w:cs="Times New Roman"/>
          <w:i/>
          <w:iCs/>
          <w:sz w:val="24"/>
          <w:szCs w:val="24"/>
          <w:shd w:val="clear" w:color="auto" w:fill="FFFFFF"/>
        </w:rPr>
        <w:t>,</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(19):2746. </w:t>
      </w:r>
      <w:hyperlink r:id="rId10" w:history="1">
        <w:r w:rsidRPr="0074534A">
          <w:rPr>
            <w:rStyle w:val="Hyperlink"/>
            <w:rFonts w:ascii="Times New Roman" w:hAnsi="Times New Roman" w:cs="Times New Roman"/>
            <w:color w:val="auto"/>
            <w:sz w:val="24"/>
            <w:szCs w:val="24"/>
            <w:shd w:val="clear" w:color="auto" w:fill="FFFFFF"/>
          </w:rPr>
          <w:t>https://doi.org/10.3390/plants13192746</w:t>
        </w:r>
      </w:hyperlink>
    </w:p>
    <w:p w14:paraId="18529599" w14:textId="77777777" w:rsidR="00DE5238" w:rsidRPr="00C9275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9275E">
        <w:rPr>
          <w:rFonts w:ascii="Times New Roman" w:hAnsi="Times New Roman" w:cs="Times New Roman"/>
          <w:sz w:val="24"/>
          <w:szCs w:val="24"/>
        </w:rPr>
        <w:t xml:space="preserve">Bates, L.S., Waldren, R.P.&amp; Teare, I.D. (1973). Rapid determination of free proline for water stress studies. </w:t>
      </w:r>
      <w:r w:rsidRPr="00C9275E">
        <w:rPr>
          <w:rFonts w:ascii="Times New Roman" w:hAnsi="Times New Roman" w:cs="Times New Roman"/>
          <w:i/>
          <w:iCs/>
          <w:sz w:val="24"/>
          <w:szCs w:val="24"/>
        </w:rPr>
        <w:t>Plant and Soil</w:t>
      </w:r>
      <w:r w:rsidRPr="00C9275E">
        <w:rPr>
          <w:rFonts w:ascii="Times New Roman" w:hAnsi="Times New Roman" w:cs="Times New Roman"/>
          <w:sz w:val="24"/>
          <w:szCs w:val="24"/>
        </w:rPr>
        <w:t xml:space="preserve">. </w:t>
      </w:r>
      <w:r w:rsidRPr="00C9275E">
        <w:rPr>
          <w:rFonts w:ascii="Times New Roman" w:hAnsi="Times New Roman" w:cs="Times New Roman"/>
          <w:i/>
          <w:iCs/>
          <w:sz w:val="24"/>
          <w:szCs w:val="24"/>
        </w:rPr>
        <w:t>39</w:t>
      </w:r>
      <w:r w:rsidRPr="00C9275E">
        <w:rPr>
          <w:rFonts w:ascii="Times New Roman" w:hAnsi="Times New Roman" w:cs="Times New Roman"/>
          <w:sz w:val="24"/>
          <w:szCs w:val="24"/>
        </w:rPr>
        <w:t>:205–207.</w:t>
      </w:r>
    </w:p>
    <w:p w14:paraId="3341CB0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Begum, N., Khan, Q. U., Liu, L. G., Li, W., Liu, D., &amp; Haq, I. U. (2023). Nutritional composition, health benefits and bio-active compounds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Frontiers in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10</w:t>
      </w:r>
      <w:r w:rsidRPr="005C37D7">
        <w:rPr>
          <w:rFonts w:ascii="Times New Roman" w:eastAsia="Times New Roman" w:hAnsi="Times New Roman" w:cs="Times New Roman"/>
          <w:sz w:val="24"/>
          <w:szCs w:val="24"/>
          <w:lang w:eastAsia="en-IN"/>
        </w:rPr>
        <w:t xml:space="preserve">. </w:t>
      </w:r>
      <w:hyperlink r:id="rId11" w:history="1">
        <w:r w:rsidRPr="005C37D7">
          <w:rPr>
            <w:rStyle w:val="Hyperlink"/>
            <w:rFonts w:ascii="Times New Roman" w:eastAsia="Times New Roman" w:hAnsi="Times New Roman" w:cs="Times New Roman"/>
            <w:sz w:val="24"/>
            <w:szCs w:val="24"/>
            <w:lang w:eastAsia="en-IN"/>
          </w:rPr>
          <w:t>https://doi.org/10.3389/fnut.2023.1218468</w:t>
        </w:r>
      </w:hyperlink>
    </w:p>
    <w:p w14:paraId="7E177B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Bisoriya, A., Tripathi, M. K., Mishra, R., Tripathi, N., &amp; Sharma, S. (2025). Biochemical characterization of </w:t>
      </w:r>
      <w:r w:rsidRPr="005C37D7">
        <w:rPr>
          <w:rFonts w:ascii="Times New Roman" w:eastAsia="Times New Roman" w:hAnsi="Times New Roman" w:cs="Times New Roman"/>
          <w:i/>
          <w:iCs/>
          <w:sz w:val="24"/>
          <w:szCs w:val="24"/>
          <w:lang w:eastAsia="en-IN"/>
        </w:rPr>
        <w:t>Pennisetum glaucum</w:t>
      </w:r>
      <w:r w:rsidRPr="005C37D7">
        <w:rPr>
          <w:rFonts w:ascii="Times New Roman" w:eastAsia="Times New Roman" w:hAnsi="Times New Roman" w:cs="Times New Roman"/>
          <w:sz w:val="24"/>
          <w:szCs w:val="24"/>
          <w:lang w:eastAsia="en-IN"/>
        </w:rPr>
        <w:t xml:space="preserve"> L. restorer lines for antioxidant and stress tolerant traits. </w:t>
      </w:r>
      <w:r w:rsidRPr="005C37D7">
        <w:rPr>
          <w:rFonts w:ascii="Times New Roman" w:eastAsia="Times New Roman" w:hAnsi="Times New Roman" w:cs="Times New Roman"/>
          <w:i/>
          <w:iCs/>
          <w:sz w:val="24"/>
          <w:szCs w:val="24"/>
          <w:lang w:eastAsia="en-IN"/>
        </w:rPr>
        <w:t>Journal of Biology and Nature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17</w:t>
      </w:r>
      <w:r w:rsidRPr="005C37D7">
        <w:rPr>
          <w:rFonts w:ascii="Times New Roman" w:eastAsia="Times New Roman" w:hAnsi="Times New Roman" w:cs="Times New Roman"/>
          <w:sz w:val="24"/>
          <w:szCs w:val="24"/>
          <w:lang w:eastAsia="en-IN"/>
        </w:rPr>
        <w:t xml:space="preserve">(2), 96–109. </w:t>
      </w:r>
      <w:hyperlink r:id="rId12" w:history="1">
        <w:r w:rsidRPr="005C37D7">
          <w:rPr>
            <w:rStyle w:val="Hyperlink"/>
            <w:rFonts w:ascii="Times New Roman" w:eastAsia="Times New Roman" w:hAnsi="Times New Roman" w:cs="Times New Roman"/>
            <w:sz w:val="24"/>
            <w:szCs w:val="24"/>
            <w:lang w:eastAsia="en-IN"/>
          </w:rPr>
          <w:t>https://doi.org/10.56557/joban/2025/v17i29486</w:t>
        </w:r>
      </w:hyperlink>
    </w:p>
    <w:p w14:paraId="65EDA08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Bose, U., Buck, S., </w:t>
      </w:r>
      <w:proofErr w:type="spellStart"/>
      <w:r w:rsidRPr="005C37D7">
        <w:rPr>
          <w:rFonts w:ascii="Times New Roman" w:eastAsia="Times New Roman" w:hAnsi="Times New Roman" w:cs="Times New Roman"/>
          <w:sz w:val="24"/>
          <w:szCs w:val="24"/>
          <w:lang w:eastAsia="en-IN"/>
        </w:rPr>
        <w:t>Sirault</w:t>
      </w:r>
      <w:proofErr w:type="spellEnd"/>
      <w:r w:rsidRPr="005C37D7">
        <w:rPr>
          <w:rFonts w:ascii="Times New Roman" w:eastAsia="Times New Roman" w:hAnsi="Times New Roman" w:cs="Times New Roman"/>
          <w:sz w:val="24"/>
          <w:szCs w:val="24"/>
          <w:lang w:eastAsia="en-IN"/>
        </w:rPr>
        <w:t xml:space="preserve">, X., Bahmani, M., Byrne, K., Stockwell, S., McWilliam, S., </w:t>
      </w:r>
      <w:proofErr w:type="spellStart"/>
      <w:r w:rsidRPr="005C37D7">
        <w:rPr>
          <w:rFonts w:ascii="Times New Roman" w:eastAsia="Times New Roman" w:hAnsi="Times New Roman" w:cs="Times New Roman"/>
          <w:sz w:val="24"/>
          <w:szCs w:val="24"/>
          <w:lang w:eastAsia="en-IN"/>
        </w:rPr>
        <w:t>Colgrave</w:t>
      </w:r>
      <w:proofErr w:type="spellEnd"/>
      <w:r w:rsidRPr="005C37D7">
        <w:rPr>
          <w:rFonts w:ascii="Times New Roman" w:eastAsia="Times New Roman" w:hAnsi="Times New Roman" w:cs="Times New Roman"/>
          <w:sz w:val="24"/>
          <w:szCs w:val="24"/>
          <w:lang w:eastAsia="en-IN"/>
        </w:rPr>
        <w:t xml:space="preserve">, M., Juhász, A., &amp; Ral, J.-P. (2024). Chickpea proteome analysis reveals genotype-dependent variations associated with seed traits. </w:t>
      </w:r>
      <w:r w:rsidRPr="005C37D7">
        <w:rPr>
          <w:rFonts w:ascii="Times New Roman" w:eastAsia="Times New Roman" w:hAnsi="Times New Roman" w:cs="Times New Roman"/>
          <w:i/>
          <w:iCs/>
          <w:sz w:val="24"/>
          <w:szCs w:val="24"/>
          <w:lang w:eastAsia="en-IN"/>
        </w:rPr>
        <w:t>Journal of Agricultural and Food 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72</w:t>
      </w:r>
      <w:r w:rsidRPr="005C37D7">
        <w:rPr>
          <w:rFonts w:ascii="Times New Roman" w:eastAsia="Times New Roman" w:hAnsi="Times New Roman" w:cs="Times New Roman"/>
          <w:sz w:val="24"/>
          <w:szCs w:val="24"/>
          <w:lang w:eastAsia="en-IN"/>
        </w:rPr>
        <w:t xml:space="preserve">(48), 27030–27042. </w:t>
      </w:r>
      <w:hyperlink r:id="rId13" w:history="1">
        <w:r w:rsidRPr="005C37D7">
          <w:rPr>
            <w:rStyle w:val="Hyperlink"/>
            <w:rFonts w:ascii="Times New Roman" w:eastAsia="Times New Roman" w:hAnsi="Times New Roman" w:cs="Times New Roman"/>
            <w:sz w:val="24"/>
            <w:szCs w:val="24"/>
            <w:lang w:eastAsia="en-IN"/>
          </w:rPr>
          <w:t>https://doi.org/10.1021/acs.jafc.4c07669</w:t>
        </w:r>
      </w:hyperlink>
      <w:r w:rsidRPr="005C37D7">
        <w:rPr>
          <w:rFonts w:ascii="Times New Roman" w:eastAsia="Times New Roman" w:hAnsi="Times New Roman" w:cs="Times New Roman"/>
          <w:sz w:val="24"/>
          <w:szCs w:val="24"/>
          <w:lang w:eastAsia="en-IN"/>
        </w:rPr>
        <w:t xml:space="preserve"> </w:t>
      </w:r>
    </w:p>
    <w:p w14:paraId="6834564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Costantini, M., Summo, C., Centrone, M., Rybicka, I., D’Agostino, M., Annicchiarico, P., Caponio, F., Pavan, S., Tamma, G., &amp; Pasqualone, A. (2021). Macro- and micro-nutrient composition and antioxidant activity of chickpea and pea accessions. </w:t>
      </w:r>
      <w:r w:rsidRPr="005C37D7">
        <w:rPr>
          <w:rFonts w:ascii="Times New Roman" w:eastAsia="Times New Roman" w:hAnsi="Times New Roman" w:cs="Times New Roman"/>
          <w:i/>
          <w:iCs/>
          <w:sz w:val="24"/>
          <w:szCs w:val="24"/>
          <w:lang w:eastAsia="en-IN"/>
        </w:rPr>
        <w:t>Polish Journal of Food and Nutrition Sciences</w:t>
      </w:r>
      <w:r w:rsidRPr="005C37D7">
        <w:rPr>
          <w:rFonts w:ascii="Times New Roman" w:eastAsia="Times New Roman" w:hAnsi="Times New Roman" w:cs="Times New Roman"/>
          <w:sz w:val="24"/>
          <w:szCs w:val="24"/>
          <w:lang w:eastAsia="en-IN"/>
        </w:rPr>
        <w:t xml:space="preserve">, 177–185. </w:t>
      </w:r>
      <w:hyperlink r:id="rId14" w:history="1">
        <w:r w:rsidRPr="005C37D7">
          <w:rPr>
            <w:rStyle w:val="Hyperlink"/>
            <w:rFonts w:ascii="Times New Roman" w:eastAsia="Times New Roman" w:hAnsi="Times New Roman" w:cs="Times New Roman"/>
            <w:sz w:val="24"/>
            <w:szCs w:val="24"/>
            <w:lang w:eastAsia="en-IN"/>
          </w:rPr>
          <w:t>https://doi.org/10.31883/pjfns/135813</w:t>
        </w:r>
      </w:hyperlink>
      <w:r w:rsidRPr="005C37D7">
        <w:rPr>
          <w:rFonts w:ascii="Times New Roman" w:eastAsia="Times New Roman" w:hAnsi="Times New Roman" w:cs="Times New Roman"/>
          <w:sz w:val="24"/>
          <w:szCs w:val="24"/>
          <w:lang w:eastAsia="en-IN"/>
        </w:rPr>
        <w:t xml:space="preserve"> </w:t>
      </w:r>
    </w:p>
    <w:p w14:paraId="3ADF9A18" w14:textId="77777777" w:rsidR="00DE5238" w:rsidRPr="009440D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t xml:space="preserve">DuBois, M., Gilles, K.A., Hamilton, J.K., </w:t>
      </w:r>
      <w:proofErr w:type="spellStart"/>
      <w:r w:rsidRPr="009440DE">
        <w:rPr>
          <w:rFonts w:ascii="Times New Roman" w:hAnsi="Times New Roman" w:cs="Times New Roman"/>
          <w:sz w:val="24"/>
          <w:szCs w:val="24"/>
        </w:rPr>
        <w:t>Rebers</w:t>
      </w:r>
      <w:proofErr w:type="spellEnd"/>
      <w:r w:rsidRPr="009440DE">
        <w:rPr>
          <w:rFonts w:ascii="Times New Roman" w:hAnsi="Times New Roman" w:cs="Times New Roman"/>
          <w:sz w:val="24"/>
          <w:szCs w:val="24"/>
        </w:rPr>
        <w:t xml:space="preserve">, P.K. &amp; Smith F. (1956). Colorimetric method for determination of sugars and related substances, Analytical Chemistry. </w:t>
      </w:r>
      <w:r w:rsidRPr="009440DE">
        <w:rPr>
          <w:rFonts w:ascii="Times New Roman" w:hAnsi="Times New Roman" w:cs="Times New Roman"/>
          <w:i/>
          <w:iCs/>
          <w:sz w:val="24"/>
          <w:szCs w:val="24"/>
        </w:rPr>
        <w:t>28</w:t>
      </w:r>
      <w:r w:rsidRPr="009440DE">
        <w:rPr>
          <w:rFonts w:ascii="Times New Roman" w:hAnsi="Times New Roman" w:cs="Times New Roman"/>
          <w:sz w:val="24"/>
          <w:szCs w:val="24"/>
        </w:rPr>
        <w:t xml:space="preserve">:350-356. </w:t>
      </w:r>
    </w:p>
    <w:p w14:paraId="3E5B262C" w14:textId="606DA4D2" w:rsidR="006D33B0" w:rsidRPr="006D33B0" w:rsidRDefault="006D33B0" w:rsidP="00DE5238">
      <w:pPr>
        <w:pStyle w:val="ListParagraph"/>
        <w:numPr>
          <w:ilvl w:val="0"/>
          <w:numId w:val="11"/>
        </w:numPr>
        <w:spacing w:line="360" w:lineRule="auto"/>
        <w:jc w:val="both"/>
        <w:rPr>
          <w:rFonts w:ascii="Times New Roman" w:eastAsia="Times New Roman" w:hAnsi="Times New Roman" w:cs="Times New Roman"/>
          <w:sz w:val="24"/>
          <w:szCs w:val="24"/>
          <w:highlight w:val="yellow"/>
          <w:lang w:eastAsia="en-IN"/>
        </w:rPr>
      </w:pPr>
      <w:r w:rsidRPr="006D33B0">
        <w:rPr>
          <w:rFonts w:ascii="Times New Roman" w:hAnsi="Times New Roman" w:cs="Times New Roman"/>
          <w:color w:val="222222"/>
          <w:sz w:val="24"/>
          <w:szCs w:val="24"/>
          <w:highlight w:val="yellow"/>
          <w:shd w:val="clear" w:color="auto" w:fill="FFFFFF"/>
        </w:rPr>
        <w:t>Fikre, A.</w:t>
      </w:r>
      <w:r w:rsidR="00812366">
        <w:rPr>
          <w:rFonts w:ascii="Times New Roman" w:hAnsi="Times New Roman" w:cs="Times New Roman"/>
          <w:color w:val="222222"/>
          <w:sz w:val="24"/>
          <w:szCs w:val="24"/>
          <w:highlight w:val="yellow"/>
          <w:shd w:val="clear" w:color="auto" w:fill="FFFFFF"/>
        </w:rPr>
        <w:t>,</w:t>
      </w:r>
      <w:r w:rsidRPr="006D33B0">
        <w:rPr>
          <w:rFonts w:ascii="Times New Roman" w:hAnsi="Times New Roman" w:cs="Times New Roman"/>
          <w:color w:val="222222"/>
          <w:sz w:val="24"/>
          <w:szCs w:val="24"/>
          <w:highlight w:val="yellow"/>
          <w:shd w:val="clear" w:color="auto" w:fill="FFFFFF"/>
        </w:rPr>
        <w:t xml:space="preserve"> Desmae, H.</w:t>
      </w:r>
      <w:r w:rsidR="00812366">
        <w:rPr>
          <w:rFonts w:ascii="Times New Roman" w:hAnsi="Times New Roman" w:cs="Times New Roman"/>
          <w:color w:val="222222"/>
          <w:sz w:val="24"/>
          <w:szCs w:val="24"/>
          <w:highlight w:val="yellow"/>
          <w:shd w:val="clear" w:color="auto" w:fill="FFFFFF"/>
        </w:rPr>
        <w:t xml:space="preserve"> &amp;</w:t>
      </w:r>
      <w:r w:rsidRPr="006D33B0">
        <w:rPr>
          <w:rFonts w:ascii="Times New Roman" w:hAnsi="Times New Roman" w:cs="Times New Roman"/>
          <w:color w:val="222222"/>
          <w:sz w:val="24"/>
          <w:szCs w:val="24"/>
          <w:highlight w:val="yellow"/>
          <w:shd w:val="clear" w:color="auto" w:fill="FFFFFF"/>
        </w:rPr>
        <w:t xml:space="preserve"> Ahmed, S. </w:t>
      </w:r>
      <w:r w:rsidR="00812366" w:rsidRPr="00812366">
        <w:rPr>
          <w:rFonts w:ascii="Times New Roman" w:hAnsi="Times New Roman" w:cs="Times New Roman"/>
          <w:color w:val="222222"/>
          <w:sz w:val="24"/>
          <w:szCs w:val="24"/>
          <w:highlight w:val="yellow"/>
          <w:shd w:val="clear" w:color="auto" w:fill="FFFFFF"/>
        </w:rPr>
        <w:t>(2020).</w:t>
      </w:r>
      <w:r w:rsidR="00812366" w:rsidRPr="006D33B0">
        <w:rPr>
          <w:rFonts w:ascii="Times New Roman" w:hAnsi="Times New Roman" w:cs="Times New Roman"/>
          <w:color w:val="222222"/>
          <w:sz w:val="24"/>
          <w:szCs w:val="24"/>
          <w:highlight w:val="yellow"/>
          <w:shd w:val="clear" w:color="auto" w:fill="FFFFFF"/>
        </w:rPr>
        <w:t> </w:t>
      </w:r>
      <w:r w:rsidRPr="006D33B0">
        <w:rPr>
          <w:rFonts w:ascii="Times New Roman" w:hAnsi="Times New Roman" w:cs="Times New Roman"/>
          <w:color w:val="222222"/>
          <w:sz w:val="24"/>
          <w:szCs w:val="24"/>
          <w:highlight w:val="yellow"/>
          <w:shd w:val="clear" w:color="auto" w:fill="FFFFFF"/>
        </w:rPr>
        <w:t xml:space="preserve">Tapping the </w:t>
      </w:r>
      <w:r w:rsidR="00812366" w:rsidRPr="006D33B0">
        <w:rPr>
          <w:rFonts w:ascii="Times New Roman" w:hAnsi="Times New Roman" w:cs="Times New Roman"/>
          <w:color w:val="222222"/>
          <w:sz w:val="24"/>
          <w:szCs w:val="24"/>
          <w:highlight w:val="yellow"/>
          <w:shd w:val="clear" w:color="auto" w:fill="FFFFFF"/>
        </w:rPr>
        <w:t xml:space="preserve">economic potential of chickpea in </w:t>
      </w:r>
      <w:r w:rsidRPr="006D33B0">
        <w:rPr>
          <w:rFonts w:ascii="Times New Roman" w:hAnsi="Times New Roman" w:cs="Times New Roman"/>
          <w:color w:val="222222"/>
          <w:sz w:val="24"/>
          <w:szCs w:val="24"/>
          <w:highlight w:val="yellow"/>
          <w:shd w:val="clear" w:color="auto" w:fill="FFFFFF"/>
        </w:rPr>
        <w:t>Sub-Saharan Africa. </w:t>
      </w:r>
      <w:r w:rsidRPr="006D33B0">
        <w:rPr>
          <w:rStyle w:val="Emphasis"/>
          <w:rFonts w:ascii="Times New Roman" w:hAnsi="Times New Roman" w:cs="Times New Roman"/>
          <w:color w:val="222222"/>
          <w:sz w:val="24"/>
          <w:szCs w:val="24"/>
          <w:highlight w:val="yellow"/>
          <w:shd w:val="clear" w:color="auto" w:fill="FFFFFF"/>
        </w:rPr>
        <w:t>Agronomy</w:t>
      </w:r>
      <w:r w:rsidRPr="006D33B0">
        <w:rPr>
          <w:rFonts w:ascii="Times New Roman" w:hAnsi="Times New Roman" w:cs="Times New Roman"/>
          <w:color w:val="222222"/>
          <w:sz w:val="24"/>
          <w:szCs w:val="24"/>
          <w:highlight w:val="yellow"/>
          <w:shd w:val="clear" w:color="auto" w:fill="FFFFFF"/>
        </w:rPr>
        <w:t> </w:t>
      </w:r>
      <w:r w:rsidRPr="006D33B0">
        <w:rPr>
          <w:rStyle w:val="Emphasis"/>
          <w:rFonts w:ascii="Times New Roman" w:hAnsi="Times New Roman" w:cs="Times New Roman"/>
          <w:color w:val="222222"/>
          <w:sz w:val="24"/>
          <w:szCs w:val="24"/>
          <w:highlight w:val="yellow"/>
          <w:shd w:val="clear" w:color="auto" w:fill="FFFFFF"/>
        </w:rPr>
        <w:t>10</w:t>
      </w:r>
      <w:r w:rsidRPr="006D33B0">
        <w:rPr>
          <w:rFonts w:ascii="Times New Roman" w:hAnsi="Times New Roman" w:cs="Times New Roman"/>
          <w:color w:val="222222"/>
          <w:sz w:val="24"/>
          <w:szCs w:val="24"/>
          <w:highlight w:val="yellow"/>
          <w:shd w:val="clear" w:color="auto" w:fill="FFFFFF"/>
        </w:rPr>
        <w:t xml:space="preserve">, 1707. </w:t>
      </w:r>
      <w:hyperlink r:id="rId15" w:history="1">
        <w:r w:rsidRPr="006D33B0">
          <w:rPr>
            <w:rStyle w:val="Hyperlink"/>
            <w:rFonts w:ascii="Times New Roman" w:hAnsi="Times New Roman" w:cs="Times New Roman"/>
            <w:sz w:val="24"/>
            <w:szCs w:val="24"/>
            <w:highlight w:val="yellow"/>
            <w:shd w:val="clear" w:color="auto" w:fill="FFFFFF"/>
          </w:rPr>
          <w:t>https://doi.org/10.3390/agronomy10111707</w:t>
        </w:r>
      </w:hyperlink>
    </w:p>
    <w:p w14:paraId="2F27678E" w14:textId="76733F95"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Gao, Y., Zhang, J., Wang, C., Han, K., Hu, L., Niu, T., Yang, Y., Chang, Y., &amp; Xie, J. (2023). Exogenous proline enhances systemic </w:t>
      </w:r>
      <w:proofErr w:type="spellStart"/>
      <w:r w:rsidRPr="005C37D7">
        <w:rPr>
          <w:rFonts w:ascii="Times New Roman" w:eastAsia="Times New Roman" w:hAnsi="Times New Roman" w:cs="Times New Roman"/>
          <w:sz w:val="24"/>
          <w:szCs w:val="24"/>
          <w:lang w:eastAsia="en-IN"/>
        </w:rPr>
        <w:t>defense</w:t>
      </w:r>
      <w:proofErr w:type="spellEnd"/>
      <w:r w:rsidRPr="005C37D7">
        <w:rPr>
          <w:rFonts w:ascii="Times New Roman" w:eastAsia="Times New Roman" w:hAnsi="Times New Roman" w:cs="Times New Roman"/>
          <w:sz w:val="24"/>
          <w:szCs w:val="24"/>
          <w:lang w:eastAsia="en-IN"/>
        </w:rPr>
        <w:t xml:space="preserve"> against salt stress in celery by regulating photosystem, phenolic compounds, and antioxidant system.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(4), 928. </w:t>
      </w:r>
      <w:hyperlink r:id="rId16" w:history="1">
        <w:r w:rsidRPr="005C37D7">
          <w:rPr>
            <w:rStyle w:val="Hyperlink"/>
            <w:rFonts w:ascii="Times New Roman" w:eastAsia="Times New Roman" w:hAnsi="Times New Roman" w:cs="Times New Roman"/>
            <w:sz w:val="24"/>
            <w:szCs w:val="24"/>
            <w:lang w:eastAsia="en-IN"/>
          </w:rPr>
          <w:t>https://doi.org/10.3390/plants12040928</w:t>
        </w:r>
      </w:hyperlink>
      <w:r w:rsidRPr="005C37D7">
        <w:rPr>
          <w:rFonts w:ascii="Times New Roman" w:eastAsia="Times New Roman" w:hAnsi="Times New Roman" w:cs="Times New Roman"/>
          <w:sz w:val="24"/>
          <w:szCs w:val="24"/>
          <w:lang w:eastAsia="en-IN"/>
        </w:rPr>
        <w:t xml:space="preserve"> </w:t>
      </w:r>
    </w:p>
    <w:p w14:paraId="15BC8E7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Ghimire, B.-K., Seo, J.-W., Yu, C.-Y., Kim, S.-H., &amp; Chung, I.-M. (2021). Comparative study on seed characteristics, antioxidant activity, and total phenolic and flavonoid contents </w:t>
      </w:r>
      <w:r w:rsidRPr="005C37D7">
        <w:rPr>
          <w:rFonts w:ascii="Times New Roman" w:eastAsia="Times New Roman" w:hAnsi="Times New Roman" w:cs="Times New Roman"/>
          <w:sz w:val="24"/>
          <w:szCs w:val="24"/>
          <w:lang w:eastAsia="en-IN"/>
        </w:rPr>
        <w:lastRenderedPageBreak/>
        <w:t xml:space="preserve">in accessions of </w:t>
      </w:r>
      <w:r w:rsidRPr="005C37D7">
        <w:rPr>
          <w:rFonts w:ascii="Times New Roman" w:eastAsia="Times New Roman" w:hAnsi="Times New Roman" w:cs="Times New Roman"/>
          <w:i/>
          <w:sz w:val="24"/>
          <w:szCs w:val="24"/>
          <w:lang w:eastAsia="en-IN"/>
        </w:rPr>
        <w:t xml:space="preserve">sorghum </w:t>
      </w:r>
      <w:proofErr w:type="spellStart"/>
      <w:r w:rsidRPr="005C37D7">
        <w:rPr>
          <w:rFonts w:ascii="Times New Roman" w:eastAsia="Times New Roman" w:hAnsi="Times New Roman" w:cs="Times New Roman"/>
          <w:i/>
          <w:sz w:val="24"/>
          <w:szCs w:val="24"/>
          <w:lang w:eastAsia="en-IN"/>
        </w:rPr>
        <w:t>bicolor</w:t>
      </w:r>
      <w:proofErr w:type="spellEnd"/>
      <w:r w:rsidRPr="005C37D7">
        <w:rPr>
          <w:rFonts w:ascii="Times New Roman" w:eastAsia="Times New Roman" w:hAnsi="Times New Roman" w:cs="Times New Roman"/>
          <w:sz w:val="24"/>
          <w:szCs w:val="24"/>
          <w:lang w:eastAsia="en-IN"/>
        </w:rPr>
        <w:t xml:space="preserve"> (L.) Moench.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(13), 3964. </w:t>
      </w:r>
      <w:hyperlink r:id="rId17" w:history="1">
        <w:r w:rsidRPr="005C37D7">
          <w:rPr>
            <w:rStyle w:val="Hyperlink"/>
            <w:rFonts w:ascii="Times New Roman" w:eastAsia="Times New Roman" w:hAnsi="Times New Roman" w:cs="Times New Roman"/>
            <w:sz w:val="24"/>
            <w:szCs w:val="24"/>
            <w:lang w:eastAsia="en-IN"/>
          </w:rPr>
          <w:t>https://doi.org/10.3390/molecules26133964</w:t>
        </w:r>
      </w:hyperlink>
      <w:r w:rsidRPr="005C37D7">
        <w:rPr>
          <w:rFonts w:ascii="Times New Roman" w:eastAsia="Times New Roman" w:hAnsi="Times New Roman" w:cs="Times New Roman"/>
          <w:sz w:val="24"/>
          <w:szCs w:val="24"/>
          <w:lang w:eastAsia="en-IN"/>
        </w:rPr>
        <w:t xml:space="preserve"> </w:t>
      </w:r>
    </w:p>
    <w:p w14:paraId="224B728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González, M.-C., </w:t>
      </w:r>
      <w:proofErr w:type="spellStart"/>
      <w:r w:rsidRPr="005C37D7">
        <w:rPr>
          <w:rFonts w:ascii="Times New Roman" w:eastAsia="Times New Roman" w:hAnsi="Times New Roman" w:cs="Times New Roman"/>
          <w:sz w:val="24"/>
          <w:szCs w:val="24"/>
          <w:lang w:eastAsia="en-IN"/>
        </w:rPr>
        <w:t>Roitsch</w:t>
      </w:r>
      <w:proofErr w:type="spellEnd"/>
      <w:r w:rsidRPr="005C37D7">
        <w:rPr>
          <w:rFonts w:ascii="Times New Roman" w:eastAsia="Times New Roman" w:hAnsi="Times New Roman" w:cs="Times New Roman"/>
          <w:sz w:val="24"/>
          <w:szCs w:val="24"/>
          <w:lang w:eastAsia="en-IN"/>
        </w:rPr>
        <w:t xml:space="preserve">, T., &amp; Pandey, C. (2024). Antioxidant responses and redox regulation within plant-beneficial microbe interaction.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(12), 1553. </w:t>
      </w:r>
      <w:hyperlink r:id="rId18" w:history="1">
        <w:r w:rsidRPr="005C37D7">
          <w:rPr>
            <w:rStyle w:val="Hyperlink"/>
            <w:rFonts w:ascii="Times New Roman" w:eastAsia="Times New Roman" w:hAnsi="Times New Roman" w:cs="Times New Roman"/>
            <w:sz w:val="24"/>
            <w:szCs w:val="24"/>
            <w:lang w:eastAsia="en-IN"/>
          </w:rPr>
          <w:t>https://doi.org/10.3390/antiox13121553</w:t>
        </w:r>
      </w:hyperlink>
      <w:r w:rsidRPr="005C37D7">
        <w:rPr>
          <w:rFonts w:ascii="Times New Roman" w:eastAsia="Times New Roman" w:hAnsi="Times New Roman" w:cs="Times New Roman"/>
          <w:sz w:val="24"/>
          <w:szCs w:val="24"/>
          <w:lang w:eastAsia="en-IN"/>
        </w:rPr>
        <w:t xml:space="preserve">  </w:t>
      </w:r>
    </w:p>
    <w:p w14:paraId="4374973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Grewal, S. K., Sharma, K. P., Bharadwaj, R. D., Hegde, V., Sidhu, S. K., Singh, S., Jain, P. K., Rasool, S., Arya, D. K., Agrawal, P. K., &amp; Mondal, B. (2022). Characterization of chickpea cultivars and trait specific germplasm for grain protein content and amino acids composition and identification of potential donors for genetic improvement of its nutritional quality. </w:t>
      </w:r>
      <w:r w:rsidRPr="005C37D7">
        <w:rPr>
          <w:rFonts w:ascii="Times New Roman" w:eastAsia="Times New Roman" w:hAnsi="Times New Roman" w:cs="Times New Roman"/>
          <w:i/>
          <w:iCs/>
          <w:sz w:val="24"/>
          <w:szCs w:val="24"/>
          <w:lang w:eastAsia="en-IN"/>
        </w:rPr>
        <w:t>Plant Genetic Resources: Characterization and Utilization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w:t>
      </w:r>
      <w:r w:rsidRPr="005C37D7">
        <w:rPr>
          <w:rFonts w:ascii="Times New Roman" w:eastAsia="Times New Roman" w:hAnsi="Times New Roman" w:cs="Times New Roman"/>
          <w:sz w:val="24"/>
          <w:szCs w:val="24"/>
          <w:lang w:eastAsia="en-IN"/>
        </w:rPr>
        <w:t xml:space="preserve">(6), 383–393. </w:t>
      </w:r>
      <w:hyperlink r:id="rId19" w:history="1">
        <w:r w:rsidRPr="005C37D7">
          <w:rPr>
            <w:rStyle w:val="Hyperlink"/>
            <w:rFonts w:ascii="Times New Roman" w:eastAsia="Times New Roman" w:hAnsi="Times New Roman" w:cs="Times New Roman"/>
            <w:sz w:val="24"/>
            <w:szCs w:val="24"/>
            <w:lang w:eastAsia="en-IN"/>
          </w:rPr>
          <w:t>https://doi.org/10.1017/S147926212300028X</w:t>
        </w:r>
      </w:hyperlink>
      <w:r w:rsidRPr="005C37D7">
        <w:rPr>
          <w:rFonts w:ascii="Times New Roman" w:eastAsia="Times New Roman" w:hAnsi="Times New Roman" w:cs="Times New Roman"/>
          <w:sz w:val="24"/>
          <w:szCs w:val="24"/>
          <w:lang w:eastAsia="en-IN"/>
        </w:rPr>
        <w:t xml:space="preserve"> </w:t>
      </w:r>
    </w:p>
    <w:p w14:paraId="6AD985A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Gunathunga, C., Senanayake, S., Jayasinghe, M. A., Brennan, C. S., Truong, T., </w:t>
      </w:r>
      <w:proofErr w:type="spellStart"/>
      <w:r w:rsidRPr="005C37D7">
        <w:rPr>
          <w:rFonts w:ascii="Times New Roman" w:eastAsia="Times New Roman" w:hAnsi="Times New Roman" w:cs="Times New Roman"/>
          <w:sz w:val="24"/>
          <w:szCs w:val="24"/>
          <w:lang w:eastAsia="en-IN"/>
        </w:rPr>
        <w:t>Marapana</w:t>
      </w:r>
      <w:proofErr w:type="spellEnd"/>
      <w:r w:rsidRPr="005C37D7">
        <w:rPr>
          <w:rFonts w:ascii="Times New Roman" w:eastAsia="Times New Roman" w:hAnsi="Times New Roman" w:cs="Times New Roman"/>
          <w:sz w:val="24"/>
          <w:szCs w:val="24"/>
          <w:lang w:eastAsia="en-IN"/>
        </w:rPr>
        <w:t xml:space="preserve">, U., &amp; </w:t>
      </w:r>
      <w:proofErr w:type="spellStart"/>
      <w:r w:rsidRPr="005C37D7">
        <w:rPr>
          <w:rFonts w:ascii="Times New Roman" w:eastAsia="Times New Roman" w:hAnsi="Times New Roman" w:cs="Times New Roman"/>
          <w:sz w:val="24"/>
          <w:szCs w:val="24"/>
          <w:lang w:eastAsia="en-IN"/>
        </w:rPr>
        <w:t>Chandrapala</w:t>
      </w:r>
      <w:proofErr w:type="spellEnd"/>
      <w:r w:rsidRPr="005C37D7">
        <w:rPr>
          <w:rFonts w:ascii="Times New Roman" w:eastAsia="Times New Roman" w:hAnsi="Times New Roman" w:cs="Times New Roman"/>
          <w:sz w:val="24"/>
          <w:szCs w:val="24"/>
          <w:lang w:eastAsia="en-IN"/>
        </w:rPr>
        <w:t xml:space="preserve">, J. (2024). Germination effects on nutritional quality: A comprehensive review of selected cereals and pulses changes. </w:t>
      </w:r>
      <w:r w:rsidRPr="005C37D7">
        <w:rPr>
          <w:rFonts w:ascii="Times New Roman" w:eastAsia="Times New Roman" w:hAnsi="Times New Roman" w:cs="Times New Roman"/>
          <w:i/>
          <w:iCs/>
          <w:sz w:val="24"/>
          <w:szCs w:val="24"/>
          <w:lang w:eastAsia="en-IN"/>
        </w:rPr>
        <w:t>Journal of Food Composition and Analysis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128</w:t>
      </w:r>
      <w:r w:rsidRPr="005C37D7">
        <w:rPr>
          <w:rFonts w:ascii="Times New Roman" w:eastAsia="Times New Roman" w:hAnsi="Times New Roman" w:cs="Times New Roman"/>
          <w:sz w:val="24"/>
          <w:szCs w:val="24"/>
          <w:lang w:eastAsia="en-IN"/>
        </w:rPr>
        <w:t xml:space="preserve">, 106024. </w:t>
      </w:r>
      <w:hyperlink r:id="rId20" w:history="1">
        <w:r w:rsidRPr="005C37D7">
          <w:rPr>
            <w:rStyle w:val="Hyperlink"/>
            <w:rFonts w:ascii="Times New Roman" w:eastAsia="Times New Roman" w:hAnsi="Times New Roman" w:cs="Times New Roman"/>
            <w:sz w:val="24"/>
            <w:szCs w:val="24"/>
            <w:lang w:eastAsia="en-IN"/>
          </w:rPr>
          <w:t>https://doi.org/10.1016/j.jfca.2024.106024</w:t>
        </w:r>
      </w:hyperlink>
      <w:r w:rsidRPr="005C37D7">
        <w:rPr>
          <w:rFonts w:ascii="Times New Roman" w:eastAsia="Times New Roman" w:hAnsi="Times New Roman" w:cs="Times New Roman"/>
          <w:sz w:val="24"/>
          <w:szCs w:val="24"/>
          <w:lang w:eastAsia="en-IN"/>
        </w:rPr>
        <w:t xml:space="preserve">  </w:t>
      </w:r>
    </w:p>
    <w:p w14:paraId="35E91064" w14:textId="77777777" w:rsidR="00DE5238" w:rsidRPr="0074534A" w:rsidRDefault="00DE5238" w:rsidP="00DE5238">
      <w:pPr>
        <w:pStyle w:val="ListParagraph"/>
        <w:numPr>
          <w:ilvl w:val="0"/>
          <w:numId w:val="11"/>
        </w:numPr>
        <w:spacing w:before="120" w:after="120" w:line="360" w:lineRule="auto"/>
        <w:jc w:val="both"/>
        <w:rPr>
          <w:rFonts w:ascii="Times New Roman" w:hAnsi="Times New Roman" w:cs="Times New Roman"/>
          <w:sz w:val="24"/>
          <w:szCs w:val="24"/>
          <w:highlight w:val="white"/>
        </w:rPr>
      </w:pPr>
      <w:r w:rsidRPr="0074534A">
        <w:rPr>
          <w:rFonts w:ascii="Times New Roman" w:hAnsi="Times New Roman" w:cs="Times New Roman"/>
          <w:sz w:val="24"/>
          <w:szCs w:val="24"/>
          <w:shd w:val="clear" w:color="auto" w:fill="FFFFFF"/>
        </w:rPr>
        <w:t xml:space="preserve">Gupta, N., Tiwari, S., Tripathi, M.K., &amp; </w:t>
      </w:r>
      <w:proofErr w:type="spellStart"/>
      <w:r w:rsidRPr="0074534A">
        <w:rPr>
          <w:rFonts w:ascii="Times New Roman" w:hAnsi="Times New Roman" w:cs="Times New Roman"/>
          <w:sz w:val="24"/>
          <w:szCs w:val="24"/>
          <w:shd w:val="clear" w:color="auto" w:fill="FFFFFF"/>
        </w:rPr>
        <w:t>Bhagyawant</w:t>
      </w:r>
      <w:proofErr w:type="spellEnd"/>
      <w:r w:rsidRPr="0074534A">
        <w:rPr>
          <w:rFonts w:ascii="Times New Roman" w:hAnsi="Times New Roman" w:cs="Times New Roman"/>
          <w:sz w:val="24"/>
          <w:szCs w:val="24"/>
          <w:shd w:val="clear" w:color="auto" w:fill="FFFFFF"/>
        </w:rPr>
        <w:t>, S.S. (2021). Antinutritional and protein-based profiling of diverse desi and wild chickpea accessions</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shd w:val="clear" w:color="auto" w:fill="FFFFFF"/>
        </w:rPr>
        <w:t>Current Journal of Applied Science and Technology</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rPr>
        <w:t>40</w:t>
      </w:r>
      <w:r w:rsidRPr="0074534A">
        <w:rPr>
          <w:rFonts w:ascii="Times New Roman" w:hAnsi="Times New Roman" w:cs="Times New Roman"/>
          <w:sz w:val="24"/>
          <w:szCs w:val="24"/>
        </w:rPr>
        <w:t xml:space="preserve">(6):7-18. </w:t>
      </w:r>
    </w:p>
    <w:p w14:paraId="49269323" w14:textId="77777777" w:rsidR="00DE5238" w:rsidRPr="005C37D7" w:rsidRDefault="00DE5238" w:rsidP="00DE5238">
      <w:pPr>
        <w:pStyle w:val="ListParagraph"/>
        <w:numPr>
          <w:ilvl w:val="0"/>
          <w:numId w:val="11"/>
        </w:numPr>
        <w:spacing w:after="0" w:line="360" w:lineRule="auto"/>
        <w:jc w:val="both"/>
        <w:rPr>
          <w:rStyle w:val="Hyperlink"/>
          <w:rFonts w:ascii="Times New Roman" w:eastAsia="Times New Roman" w:hAnsi="Times New Roman" w:cs="Times New Roman"/>
          <w:color w:val="auto"/>
          <w:sz w:val="24"/>
          <w:szCs w:val="24"/>
          <w:u w:val="none"/>
          <w:lang w:eastAsia="en-IN"/>
        </w:rPr>
      </w:pPr>
      <w:r w:rsidRPr="005C37D7">
        <w:rPr>
          <w:rFonts w:ascii="Times New Roman" w:eastAsia="Times New Roman" w:hAnsi="Times New Roman" w:cs="Times New Roman"/>
          <w:sz w:val="24"/>
          <w:szCs w:val="24"/>
          <w:lang w:eastAsia="en-IN"/>
        </w:rPr>
        <w:t>Henderson P. (2023).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In: Chen K, Byrne P (Eds.) Understudied indigenous crops. Fort Collins, Colorado: Colorado State University. Date accessed. Available from </w:t>
      </w:r>
      <w:hyperlink r:id="rId21" w:history="1">
        <w:r w:rsidRPr="005C37D7">
          <w:rPr>
            <w:rStyle w:val="Hyperlink"/>
            <w:rFonts w:ascii="Times New Roman" w:eastAsia="Times New Roman" w:hAnsi="Times New Roman" w:cs="Times New Roman"/>
            <w:sz w:val="24"/>
            <w:szCs w:val="24"/>
            <w:lang w:eastAsia="en-IN"/>
          </w:rPr>
          <w:t>https://colostate.pressbooks.pub/understudiedindigenouscrops/chapter/chickpea/</w:t>
        </w:r>
      </w:hyperlink>
    </w:p>
    <w:p w14:paraId="67E7722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Hosseinifard, M., Stefaniak, S., Ghorbani Javid, M., Soltani, E., Wojtyla, Ł., &amp; </w:t>
      </w:r>
      <w:proofErr w:type="spellStart"/>
      <w:r w:rsidRPr="005C37D7">
        <w:rPr>
          <w:rFonts w:ascii="Times New Roman" w:eastAsia="Times New Roman" w:hAnsi="Times New Roman" w:cs="Times New Roman"/>
          <w:sz w:val="24"/>
          <w:szCs w:val="24"/>
          <w:lang w:eastAsia="en-IN"/>
        </w:rPr>
        <w:t>Garnczarska</w:t>
      </w:r>
      <w:proofErr w:type="spellEnd"/>
      <w:r w:rsidRPr="005C37D7">
        <w:rPr>
          <w:rFonts w:ascii="Times New Roman" w:eastAsia="Times New Roman" w:hAnsi="Times New Roman" w:cs="Times New Roman"/>
          <w:sz w:val="24"/>
          <w:szCs w:val="24"/>
          <w:lang w:eastAsia="en-IN"/>
        </w:rPr>
        <w:t xml:space="preserve">, M. (2022). Contribution of exogenous proline to abiotic stresses tolerance in plants: A review.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23</w:t>
      </w:r>
      <w:r w:rsidRPr="005C37D7">
        <w:rPr>
          <w:rFonts w:ascii="Times New Roman" w:eastAsia="Times New Roman" w:hAnsi="Times New Roman" w:cs="Times New Roman"/>
          <w:sz w:val="24"/>
          <w:szCs w:val="24"/>
          <w:lang w:eastAsia="en-IN"/>
        </w:rPr>
        <w:t xml:space="preserve">(9), 5186. </w:t>
      </w:r>
      <w:hyperlink r:id="rId22" w:history="1">
        <w:r w:rsidRPr="005C37D7">
          <w:rPr>
            <w:rStyle w:val="Hyperlink"/>
            <w:rFonts w:ascii="Times New Roman" w:eastAsia="Times New Roman" w:hAnsi="Times New Roman" w:cs="Times New Roman"/>
            <w:sz w:val="24"/>
            <w:szCs w:val="24"/>
            <w:lang w:eastAsia="en-IN"/>
          </w:rPr>
          <w:t>https://doi.org/10.3390/ijms23095186</w:t>
        </w:r>
      </w:hyperlink>
      <w:r w:rsidRPr="005C37D7">
        <w:rPr>
          <w:rFonts w:ascii="Times New Roman" w:eastAsia="Times New Roman" w:hAnsi="Times New Roman" w:cs="Times New Roman"/>
          <w:sz w:val="24"/>
          <w:szCs w:val="24"/>
          <w:lang w:eastAsia="en-IN"/>
        </w:rPr>
        <w:t xml:space="preserve"> </w:t>
      </w:r>
    </w:p>
    <w:p w14:paraId="3512B368"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Jain, S. K., Wettberg, E. J. von, Punia, S. S., Parihar, A. K., </w:t>
      </w:r>
      <w:proofErr w:type="spellStart"/>
      <w:r w:rsidRPr="005C37D7">
        <w:rPr>
          <w:rFonts w:ascii="Times New Roman" w:eastAsia="Times New Roman" w:hAnsi="Times New Roman" w:cs="Times New Roman"/>
          <w:sz w:val="24"/>
          <w:szCs w:val="24"/>
          <w:lang w:eastAsia="en-IN"/>
        </w:rPr>
        <w:t>Lamichaney</w:t>
      </w:r>
      <w:proofErr w:type="spellEnd"/>
      <w:r w:rsidRPr="005C37D7">
        <w:rPr>
          <w:rFonts w:ascii="Times New Roman" w:eastAsia="Times New Roman" w:hAnsi="Times New Roman" w:cs="Times New Roman"/>
          <w:sz w:val="24"/>
          <w:szCs w:val="24"/>
          <w:lang w:eastAsia="en-IN"/>
        </w:rPr>
        <w:t xml:space="preserve">, A., Kumar, J., Gupta, D. Sen, Ahmad, S., Pant, N. C., Dixit, G. P., Sari, H., Sari, D., </w:t>
      </w:r>
      <w:proofErr w:type="spellStart"/>
      <w:r w:rsidRPr="005C37D7">
        <w:rPr>
          <w:rFonts w:ascii="Times New Roman" w:eastAsia="Times New Roman" w:hAnsi="Times New Roman" w:cs="Times New Roman"/>
          <w:sz w:val="24"/>
          <w:szCs w:val="24"/>
          <w:lang w:eastAsia="en-IN"/>
        </w:rPr>
        <w:t>Ma’ruf</w:t>
      </w:r>
      <w:proofErr w:type="spellEnd"/>
      <w:r w:rsidRPr="005C37D7">
        <w:rPr>
          <w:rFonts w:ascii="Times New Roman" w:eastAsia="Times New Roman" w:hAnsi="Times New Roman" w:cs="Times New Roman"/>
          <w:sz w:val="24"/>
          <w:szCs w:val="24"/>
          <w:lang w:eastAsia="en-IN"/>
        </w:rPr>
        <w:t>, A., Toker, P., &amp; Toker, C. (2023). Genomic-mediated breeding strategies for global warming in chickpeas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(9), 1721. </w:t>
      </w:r>
      <w:hyperlink r:id="rId23" w:history="1">
        <w:r w:rsidRPr="005C37D7">
          <w:rPr>
            <w:rStyle w:val="Hyperlink"/>
            <w:rFonts w:ascii="Times New Roman" w:eastAsia="Times New Roman" w:hAnsi="Times New Roman" w:cs="Times New Roman"/>
            <w:sz w:val="24"/>
            <w:szCs w:val="24"/>
            <w:lang w:eastAsia="en-IN"/>
          </w:rPr>
          <w:t>https://doi.org/10.3390/agriculture13091721</w:t>
        </w:r>
      </w:hyperlink>
      <w:r w:rsidRPr="005C37D7">
        <w:rPr>
          <w:rFonts w:ascii="Times New Roman" w:eastAsia="Times New Roman" w:hAnsi="Times New Roman" w:cs="Times New Roman"/>
          <w:sz w:val="24"/>
          <w:szCs w:val="24"/>
          <w:lang w:eastAsia="en-IN"/>
        </w:rPr>
        <w:t xml:space="preserve"> </w:t>
      </w:r>
    </w:p>
    <w:p w14:paraId="29797EF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Jayalakshmi, V., &amp; Kumar, B. S. (2024). Nutritional profile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Breeding efforts for enhancing nutritive value. </w:t>
      </w:r>
      <w:r w:rsidRPr="005C37D7">
        <w:rPr>
          <w:rFonts w:ascii="Times New Roman" w:eastAsia="Times New Roman" w:hAnsi="Times New Roman" w:cs="Times New Roman"/>
          <w:i/>
          <w:iCs/>
          <w:sz w:val="24"/>
          <w:szCs w:val="24"/>
          <w:lang w:eastAsia="en-IN"/>
        </w:rPr>
        <w:t>Journal of Food Legumes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36</w:t>
      </w:r>
      <w:r w:rsidRPr="005C37D7">
        <w:rPr>
          <w:rFonts w:ascii="Times New Roman" w:eastAsia="Times New Roman" w:hAnsi="Times New Roman" w:cs="Times New Roman"/>
          <w:sz w:val="24"/>
          <w:szCs w:val="24"/>
          <w:lang w:eastAsia="en-IN"/>
        </w:rPr>
        <w:t xml:space="preserve">(2 &amp; 3), 111–119. </w:t>
      </w:r>
      <w:hyperlink r:id="rId24" w:history="1">
        <w:r w:rsidRPr="005C37D7">
          <w:rPr>
            <w:rStyle w:val="Hyperlink"/>
            <w:rFonts w:ascii="Times New Roman" w:eastAsia="Times New Roman" w:hAnsi="Times New Roman" w:cs="Times New Roman"/>
            <w:sz w:val="24"/>
            <w:szCs w:val="24"/>
            <w:lang w:eastAsia="en-IN"/>
          </w:rPr>
          <w:t>https://doi.org/10.59797/jfl.v36.i2.140</w:t>
        </w:r>
      </w:hyperlink>
      <w:r w:rsidRPr="005C37D7">
        <w:rPr>
          <w:rFonts w:ascii="Times New Roman" w:eastAsia="Times New Roman" w:hAnsi="Times New Roman" w:cs="Times New Roman"/>
          <w:sz w:val="24"/>
          <w:szCs w:val="24"/>
          <w:lang w:eastAsia="en-IN"/>
        </w:rPr>
        <w:t xml:space="preserve"> </w:t>
      </w:r>
    </w:p>
    <w:p w14:paraId="35079514" w14:textId="77777777" w:rsidR="00DE5238" w:rsidRPr="00B24B1C" w:rsidRDefault="00DE5238" w:rsidP="00DE5238">
      <w:pPr>
        <w:pStyle w:val="ListParagraph"/>
        <w:numPr>
          <w:ilvl w:val="0"/>
          <w:numId w:val="11"/>
        </w:numPr>
        <w:spacing w:line="360" w:lineRule="auto"/>
        <w:jc w:val="both"/>
        <w:rPr>
          <w:rFonts w:ascii="Times New Roman" w:eastAsia="Times New Roman" w:hAnsi="Times New Roman" w:cs="Times New Roman"/>
          <w:color w:val="A20000"/>
          <w:sz w:val="24"/>
          <w:szCs w:val="24"/>
          <w:lang w:eastAsia="en-IN"/>
        </w:rPr>
      </w:pPr>
      <w:r w:rsidRPr="00F5506A">
        <w:rPr>
          <w:rFonts w:ascii="Times New Roman" w:eastAsia="Times New Roman" w:hAnsi="Times New Roman" w:cs="Times New Roman"/>
          <w:sz w:val="24"/>
          <w:szCs w:val="24"/>
          <w:lang w:eastAsia="en-IN"/>
        </w:rPr>
        <w:lastRenderedPageBreak/>
        <w:t xml:space="preserve">Jayalakshmi, V., Reddy, A. T., &amp; </w:t>
      </w:r>
      <w:proofErr w:type="spellStart"/>
      <w:r w:rsidRPr="00F5506A">
        <w:rPr>
          <w:rFonts w:ascii="Times New Roman" w:eastAsia="Times New Roman" w:hAnsi="Times New Roman" w:cs="Times New Roman"/>
          <w:sz w:val="24"/>
          <w:szCs w:val="24"/>
          <w:lang w:eastAsia="en-IN"/>
        </w:rPr>
        <w:t>Nagamadhuri</w:t>
      </w:r>
      <w:proofErr w:type="spellEnd"/>
      <w:r w:rsidRPr="00F5506A">
        <w:rPr>
          <w:rFonts w:ascii="Times New Roman" w:eastAsia="Times New Roman" w:hAnsi="Times New Roman" w:cs="Times New Roman"/>
          <w:sz w:val="24"/>
          <w:szCs w:val="24"/>
          <w:lang w:eastAsia="en-IN"/>
        </w:rPr>
        <w:t xml:space="preserve">, K. V. (2018). Genetic diversity and variability for protein and micro nutrients in advance breeding lines and chickpea varieties grown in Andhra Pradesh. </w:t>
      </w:r>
      <w:r w:rsidRPr="00F5506A">
        <w:rPr>
          <w:rFonts w:ascii="Times New Roman" w:eastAsia="Times New Roman" w:hAnsi="Times New Roman" w:cs="Times New Roman"/>
          <w:i/>
          <w:iCs/>
          <w:sz w:val="24"/>
          <w:szCs w:val="24"/>
          <w:lang w:eastAsia="en-IN"/>
        </w:rPr>
        <w:t>Legume Research</w:t>
      </w:r>
      <w:r w:rsidRPr="00F5506A">
        <w:rPr>
          <w:rFonts w:ascii="Times New Roman" w:eastAsia="Times New Roman" w:hAnsi="Times New Roman" w:cs="Times New Roman"/>
          <w:sz w:val="24"/>
          <w:szCs w:val="24"/>
          <w:lang w:eastAsia="en-IN"/>
        </w:rPr>
        <w:t xml:space="preserve">. </w:t>
      </w:r>
      <w:hyperlink r:id="rId25" w:history="1">
        <w:r w:rsidRPr="00F5506A">
          <w:rPr>
            <w:rStyle w:val="Hyperlink"/>
            <w:rFonts w:ascii="Times New Roman" w:eastAsia="Times New Roman" w:hAnsi="Times New Roman" w:cs="Times New Roman"/>
            <w:color w:val="auto"/>
            <w:sz w:val="24"/>
            <w:szCs w:val="24"/>
            <w:lang w:eastAsia="en-IN"/>
          </w:rPr>
          <w:t>https://doi.org/10.18805/LR-3933</w:t>
        </w:r>
      </w:hyperlink>
      <w:r w:rsidRPr="00B24B1C">
        <w:rPr>
          <w:rFonts w:ascii="Times New Roman" w:eastAsia="Times New Roman" w:hAnsi="Times New Roman" w:cs="Times New Roman"/>
          <w:color w:val="A20000"/>
          <w:sz w:val="24"/>
          <w:szCs w:val="24"/>
          <w:lang w:eastAsia="en-IN"/>
        </w:rPr>
        <w:t xml:space="preserve"> </w:t>
      </w:r>
    </w:p>
    <w:p w14:paraId="7EEEFC93"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Jha, U. C., Nayyar, H., </w:t>
      </w:r>
      <w:proofErr w:type="spellStart"/>
      <w:r w:rsidRPr="005C37D7">
        <w:rPr>
          <w:rFonts w:ascii="Times New Roman" w:eastAsia="Times New Roman" w:hAnsi="Times New Roman" w:cs="Times New Roman"/>
          <w:sz w:val="24"/>
          <w:szCs w:val="24"/>
          <w:lang w:eastAsia="en-IN"/>
        </w:rPr>
        <w:t>Thudi</w:t>
      </w:r>
      <w:proofErr w:type="spellEnd"/>
      <w:r w:rsidRPr="005C37D7">
        <w:rPr>
          <w:rFonts w:ascii="Times New Roman" w:eastAsia="Times New Roman" w:hAnsi="Times New Roman" w:cs="Times New Roman"/>
          <w:sz w:val="24"/>
          <w:szCs w:val="24"/>
          <w:lang w:eastAsia="en-IN"/>
        </w:rPr>
        <w:t xml:space="preserve">, M., Beena, R., Vara Prasad, P. V., &amp; Siddique, K. H. M. (2024). Unlocking the nutritional potential of chickpea: strategies for biofortification and enhanced </w:t>
      </w:r>
      <w:proofErr w:type="spellStart"/>
      <w:r w:rsidRPr="005C37D7">
        <w:rPr>
          <w:rFonts w:ascii="Times New Roman" w:eastAsia="Times New Roman" w:hAnsi="Times New Roman" w:cs="Times New Roman"/>
          <w:sz w:val="24"/>
          <w:szCs w:val="24"/>
          <w:lang w:eastAsia="en-IN"/>
        </w:rPr>
        <w:t>multinutrient</w:t>
      </w:r>
      <w:proofErr w:type="spellEnd"/>
      <w:r w:rsidRPr="005C37D7">
        <w:rPr>
          <w:rFonts w:ascii="Times New Roman" w:eastAsia="Times New Roman" w:hAnsi="Times New Roman" w:cs="Times New Roman"/>
          <w:sz w:val="24"/>
          <w:szCs w:val="24"/>
          <w:lang w:eastAsia="en-IN"/>
        </w:rPr>
        <w:t xml:space="preserve"> quality.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26" w:history="1">
        <w:r w:rsidRPr="005C37D7">
          <w:rPr>
            <w:rStyle w:val="Hyperlink"/>
            <w:rFonts w:ascii="Times New Roman" w:eastAsia="Times New Roman" w:hAnsi="Times New Roman" w:cs="Times New Roman"/>
            <w:sz w:val="24"/>
            <w:szCs w:val="24"/>
            <w:lang w:eastAsia="en-IN"/>
          </w:rPr>
          <w:t>https://doi.org/10.3389/fpls.2024.1391496</w:t>
        </w:r>
      </w:hyperlink>
      <w:r w:rsidRPr="005C37D7">
        <w:rPr>
          <w:rFonts w:ascii="Times New Roman" w:eastAsia="Times New Roman" w:hAnsi="Times New Roman" w:cs="Times New Roman"/>
          <w:sz w:val="24"/>
          <w:szCs w:val="24"/>
          <w:lang w:eastAsia="en-IN"/>
        </w:rPr>
        <w:t xml:space="preserve"> </w:t>
      </w:r>
    </w:p>
    <w:p w14:paraId="315C8B3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Jhariya, R., Tripathi, M. K., Mishra, R., Solanki, R., &amp; Sharma, S. (2025). Assessment of soybean (</w:t>
      </w:r>
      <w:r w:rsidRPr="005C37D7">
        <w:rPr>
          <w:rFonts w:ascii="Times New Roman" w:eastAsia="Times New Roman" w:hAnsi="Times New Roman" w:cs="Times New Roman"/>
          <w:i/>
          <w:iCs/>
          <w:sz w:val="24"/>
          <w:szCs w:val="24"/>
          <w:lang w:eastAsia="en-IN"/>
        </w:rPr>
        <w:t>Glycine max</w:t>
      </w:r>
      <w:r w:rsidRPr="005C37D7">
        <w:rPr>
          <w:rFonts w:ascii="Times New Roman" w:eastAsia="Times New Roman" w:hAnsi="Times New Roman" w:cs="Times New Roman"/>
          <w:sz w:val="24"/>
          <w:szCs w:val="24"/>
          <w:lang w:eastAsia="en-IN"/>
        </w:rPr>
        <w:t xml:space="preserve"> L.) genotypes on the basis of biochemical parameters. </w:t>
      </w:r>
      <w:r w:rsidRPr="005C37D7">
        <w:rPr>
          <w:rFonts w:ascii="Times New Roman" w:eastAsia="Times New Roman" w:hAnsi="Times New Roman" w:cs="Times New Roman"/>
          <w:i/>
          <w:iCs/>
          <w:sz w:val="24"/>
          <w:szCs w:val="24"/>
          <w:lang w:eastAsia="en-IN"/>
        </w:rPr>
        <w:t>Plant Cell Biotechnology and Molecular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(7–8), 212–223. </w:t>
      </w:r>
      <w:hyperlink r:id="rId27" w:history="1">
        <w:r w:rsidRPr="005C37D7">
          <w:rPr>
            <w:rStyle w:val="Hyperlink"/>
            <w:rFonts w:ascii="Times New Roman" w:eastAsia="Times New Roman" w:hAnsi="Times New Roman" w:cs="Times New Roman"/>
            <w:sz w:val="24"/>
            <w:szCs w:val="24"/>
            <w:lang w:eastAsia="en-IN"/>
          </w:rPr>
          <w:t>https://doi.org/10.56557/pcbmb/2025/v26i7-89433</w:t>
        </w:r>
      </w:hyperlink>
    </w:p>
    <w:p w14:paraId="4655818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Johnson, J. B., Mani, J. S., &amp; </w:t>
      </w:r>
      <w:proofErr w:type="spellStart"/>
      <w:r w:rsidRPr="005C37D7">
        <w:rPr>
          <w:rFonts w:ascii="Times New Roman" w:eastAsia="Times New Roman" w:hAnsi="Times New Roman" w:cs="Times New Roman"/>
          <w:sz w:val="24"/>
          <w:szCs w:val="24"/>
          <w:lang w:eastAsia="en-IN"/>
        </w:rPr>
        <w:t>Naiker</w:t>
      </w:r>
      <w:proofErr w:type="spellEnd"/>
      <w:r w:rsidRPr="005C37D7">
        <w:rPr>
          <w:rFonts w:ascii="Times New Roman" w:eastAsia="Times New Roman" w:hAnsi="Times New Roman" w:cs="Times New Roman"/>
          <w:sz w:val="24"/>
          <w:szCs w:val="24"/>
          <w:lang w:eastAsia="en-IN"/>
        </w:rPr>
        <w:t xml:space="preserve">, M. (2023). Microplate methods for measuring phenolic content and antioxidant capacity in chickpea: Impact of shaking. </w:t>
      </w:r>
      <w:r w:rsidRPr="005C37D7">
        <w:rPr>
          <w:rFonts w:ascii="Times New Roman" w:eastAsia="Times New Roman" w:hAnsi="Times New Roman" w:cs="Times New Roman"/>
          <w:i/>
          <w:iCs/>
          <w:sz w:val="24"/>
          <w:szCs w:val="24"/>
          <w:lang w:eastAsia="en-IN"/>
        </w:rPr>
        <w:t>CSAC 2023</w:t>
      </w:r>
      <w:r w:rsidRPr="005C37D7">
        <w:rPr>
          <w:rFonts w:ascii="Times New Roman" w:eastAsia="Times New Roman" w:hAnsi="Times New Roman" w:cs="Times New Roman"/>
          <w:sz w:val="24"/>
          <w:szCs w:val="24"/>
          <w:lang w:eastAsia="en-IN"/>
        </w:rPr>
        <w:t xml:space="preserve">, 57. </w:t>
      </w:r>
      <w:hyperlink r:id="rId28" w:history="1">
        <w:r w:rsidRPr="005C37D7">
          <w:rPr>
            <w:rStyle w:val="Hyperlink"/>
            <w:rFonts w:ascii="Times New Roman" w:eastAsia="Times New Roman" w:hAnsi="Times New Roman" w:cs="Times New Roman"/>
            <w:sz w:val="24"/>
            <w:szCs w:val="24"/>
            <w:lang w:eastAsia="en-IN"/>
          </w:rPr>
          <w:t>https://doi.org/10.3390/CSAC2023-15167</w:t>
        </w:r>
      </w:hyperlink>
      <w:r w:rsidRPr="005C37D7">
        <w:rPr>
          <w:rFonts w:ascii="Times New Roman" w:eastAsia="Times New Roman" w:hAnsi="Times New Roman" w:cs="Times New Roman"/>
          <w:sz w:val="24"/>
          <w:szCs w:val="24"/>
          <w:lang w:eastAsia="en-IN"/>
        </w:rPr>
        <w:t xml:space="preserve"> </w:t>
      </w:r>
    </w:p>
    <w:p w14:paraId="09F188D0" w14:textId="4F8C0E04" w:rsidR="00DE5238" w:rsidRPr="00F5506A" w:rsidRDefault="00DE5238" w:rsidP="00F5506A">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F5506A">
        <w:rPr>
          <w:rFonts w:ascii="Times New Roman" w:eastAsia="Times New Roman" w:hAnsi="Times New Roman" w:cs="Times New Roman"/>
          <w:sz w:val="24"/>
          <w:szCs w:val="24"/>
          <w:lang w:eastAsia="en-IN"/>
        </w:rPr>
        <w:t xml:space="preserve">Jukanti, A. K., Gaur, P. M., Gowda, C. L. L., &amp; </w:t>
      </w:r>
      <w:proofErr w:type="spellStart"/>
      <w:r w:rsidRPr="00F5506A">
        <w:rPr>
          <w:rFonts w:ascii="Times New Roman" w:eastAsia="Times New Roman" w:hAnsi="Times New Roman" w:cs="Times New Roman"/>
          <w:sz w:val="24"/>
          <w:szCs w:val="24"/>
          <w:lang w:eastAsia="en-IN"/>
        </w:rPr>
        <w:t>Chibbar</w:t>
      </w:r>
      <w:proofErr w:type="spellEnd"/>
      <w:r w:rsidRPr="00F5506A">
        <w:rPr>
          <w:rFonts w:ascii="Times New Roman" w:eastAsia="Times New Roman" w:hAnsi="Times New Roman" w:cs="Times New Roman"/>
          <w:sz w:val="24"/>
          <w:szCs w:val="24"/>
          <w:lang w:eastAsia="en-IN"/>
        </w:rPr>
        <w:t>, R. N. (2012). Nutritional quality and health benefits of chickpea (</w:t>
      </w:r>
      <w:r w:rsidRPr="00F5506A">
        <w:rPr>
          <w:rFonts w:ascii="Times New Roman" w:eastAsia="Times New Roman" w:hAnsi="Times New Roman" w:cs="Times New Roman"/>
          <w:i/>
          <w:iCs/>
          <w:sz w:val="24"/>
          <w:szCs w:val="24"/>
          <w:lang w:eastAsia="en-IN"/>
        </w:rPr>
        <w:t>Cicer arietinum</w:t>
      </w:r>
      <w:r w:rsidRPr="00F5506A">
        <w:rPr>
          <w:rFonts w:ascii="Times New Roman" w:eastAsia="Times New Roman" w:hAnsi="Times New Roman" w:cs="Times New Roman"/>
          <w:sz w:val="24"/>
          <w:szCs w:val="24"/>
          <w:lang w:eastAsia="en-IN"/>
        </w:rPr>
        <w:t xml:space="preserve"> L.): A review. </w:t>
      </w:r>
      <w:r w:rsidRPr="00F5506A">
        <w:rPr>
          <w:rFonts w:ascii="Times New Roman" w:eastAsia="Times New Roman" w:hAnsi="Times New Roman" w:cs="Times New Roman"/>
          <w:i/>
          <w:iCs/>
          <w:sz w:val="24"/>
          <w:szCs w:val="24"/>
          <w:lang w:eastAsia="en-IN"/>
        </w:rPr>
        <w:t>British Journal of Nutrition</w:t>
      </w:r>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108</w:t>
      </w:r>
      <w:r w:rsidRPr="00F5506A">
        <w:rPr>
          <w:rFonts w:ascii="Times New Roman" w:eastAsia="Times New Roman" w:hAnsi="Times New Roman" w:cs="Times New Roman"/>
          <w:sz w:val="24"/>
          <w:szCs w:val="24"/>
          <w:lang w:eastAsia="en-IN"/>
        </w:rPr>
        <w:t xml:space="preserve">(S1), S11–S26. </w:t>
      </w:r>
      <w:hyperlink r:id="rId29" w:history="1">
        <w:r w:rsidRPr="00F5506A">
          <w:rPr>
            <w:rStyle w:val="Hyperlink"/>
            <w:rFonts w:ascii="Times New Roman" w:eastAsia="Times New Roman" w:hAnsi="Times New Roman" w:cs="Times New Roman"/>
            <w:color w:val="auto"/>
            <w:sz w:val="24"/>
            <w:szCs w:val="24"/>
            <w:lang w:eastAsia="en-IN"/>
          </w:rPr>
          <w:t>https://doi.org/10.1017/S0007114512000797</w:t>
        </w:r>
      </w:hyperlink>
    </w:p>
    <w:p w14:paraId="14B4015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Kaur, A., Gupta, N., Sharma, S., Singh, P., &amp; Singh, S. (2022). Physiological and biochemical characterization of chickpea genotypes for cold tolerance at reproductive stage. </w:t>
      </w:r>
      <w:r w:rsidRPr="005C37D7">
        <w:rPr>
          <w:rFonts w:ascii="Times New Roman" w:eastAsia="Times New Roman" w:hAnsi="Times New Roman" w:cs="Times New Roman"/>
          <w:i/>
          <w:iCs/>
          <w:sz w:val="24"/>
          <w:szCs w:val="24"/>
          <w:lang w:eastAsia="en-IN"/>
        </w:rPr>
        <w:t>South African Journal of Botany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150</w:t>
      </w:r>
      <w:r w:rsidRPr="005C37D7">
        <w:rPr>
          <w:rFonts w:ascii="Times New Roman" w:eastAsia="Times New Roman" w:hAnsi="Times New Roman" w:cs="Times New Roman"/>
          <w:sz w:val="24"/>
          <w:szCs w:val="24"/>
          <w:lang w:eastAsia="en-IN"/>
        </w:rPr>
        <w:t xml:space="preserve">, 488–499. </w:t>
      </w:r>
      <w:hyperlink r:id="rId30" w:history="1">
        <w:r w:rsidRPr="005C37D7">
          <w:rPr>
            <w:rStyle w:val="Hyperlink"/>
            <w:rFonts w:ascii="Times New Roman" w:eastAsia="Times New Roman" w:hAnsi="Times New Roman" w:cs="Times New Roman"/>
            <w:sz w:val="24"/>
            <w:szCs w:val="24"/>
            <w:lang w:eastAsia="en-IN"/>
          </w:rPr>
          <w:t>https://doi.org/10.1016/j.sajb.2022.08.011</w:t>
        </w:r>
      </w:hyperlink>
      <w:r w:rsidRPr="005C37D7">
        <w:rPr>
          <w:rFonts w:ascii="Times New Roman" w:eastAsia="Times New Roman" w:hAnsi="Times New Roman" w:cs="Times New Roman"/>
          <w:sz w:val="24"/>
          <w:szCs w:val="24"/>
          <w:lang w:eastAsia="en-IN"/>
        </w:rPr>
        <w:t xml:space="preserve"> </w:t>
      </w:r>
    </w:p>
    <w:p w14:paraId="3CCE36E3" w14:textId="77777777" w:rsidR="00DE5238" w:rsidRPr="00F5506A"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F5506A">
        <w:rPr>
          <w:rFonts w:ascii="Times New Roman" w:eastAsia="Times New Roman" w:hAnsi="Times New Roman" w:cs="Times New Roman"/>
          <w:sz w:val="24"/>
          <w:szCs w:val="24"/>
          <w:lang w:eastAsia="en-IN"/>
        </w:rPr>
        <w:t xml:space="preserve">Kaur, G., Kumar, S., Thakur, P., Malik, J. A., </w:t>
      </w:r>
      <w:proofErr w:type="spellStart"/>
      <w:r w:rsidRPr="00F5506A">
        <w:rPr>
          <w:rFonts w:ascii="Times New Roman" w:eastAsia="Times New Roman" w:hAnsi="Times New Roman" w:cs="Times New Roman"/>
          <w:sz w:val="24"/>
          <w:szCs w:val="24"/>
          <w:lang w:eastAsia="en-IN"/>
        </w:rPr>
        <w:t>Bhandhari</w:t>
      </w:r>
      <w:proofErr w:type="spellEnd"/>
      <w:r w:rsidRPr="00F5506A">
        <w:rPr>
          <w:rFonts w:ascii="Times New Roman" w:eastAsia="Times New Roman" w:hAnsi="Times New Roman" w:cs="Times New Roman"/>
          <w:sz w:val="24"/>
          <w:szCs w:val="24"/>
          <w:lang w:eastAsia="en-IN"/>
        </w:rPr>
        <w:t>, K., Sharma, K. D., &amp; Nayyar, H. (2011). Involvement of proline in response of chickpea (</w:t>
      </w:r>
      <w:r w:rsidRPr="00F5506A">
        <w:rPr>
          <w:rFonts w:ascii="Times New Roman" w:eastAsia="Times New Roman" w:hAnsi="Times New Roman" w:cs="Times New Roman"/>
          <w:i/>
          <w:sz w:val="24"/>
          <w:szCs w:val="24"/>
          <w:lang w:eastAsia="en-IN"/>
        </w:rPr>
        <w:t>Cicer arietinum</w:t>
      </w:r>
      <w:r w:rsidRPr="00F5506A">
        <w:rPr>
          <w:rFonts w:ascii="Times New Roman" w:eastAsia="Times New Roman" w:hAnsi="Times New Roman" w:cs="Times New Roman"/>
          <w:sz w:val="24"/>
          <w:szCs w:val="24"/>
          <w:lang w:eastAsia="en-IN"/>
        </w:rPr>
        <w:t xml:space="preserve"> L.) to chilling stress at reproductive stage. </w:t>
      </w:r>
      <w:r w:rsidRPr="00F5506A">
        <w:rPr>
          <w:rFonts w:ascii="Times New Roman" w:eastAsia="Times New Roman" w:hAnsi="Times New Roman" w:cs="Times New Roman"/>
          <w:i/>
          <w:iCs/>
          <w:sz w:val="24"/>
          <w:szCs w:val="24"/>
          <w:lang w:eastAsia="en-IN"/>
        </w:rPr>
        <w:t xml:space="preserve">Scientia </w:t>
      </w:r>
      <w:proofErr w:type="spellStart"/>
      <w:r w:rsidRPr="00F5506A">
        <w:rPr>
          <w:rFonts w:ascii="Times New Roman" w:eastAsia="Times New Roman" w:hAnsi="Times New Roman" w:cs="Times New Roman"/>
          <w:i/>
          <w:iCs/>
          <w:sz w:val="24"/>
          <w:szCs w:val="24"/>
          <w:lang w:eastAsia="en-IN"/>
        </w:rPr>
        <w:t>Horticulturae</w:t>
      </w:r>
      <w:proofErr w:type="spellEnd"/>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128</w:t>
      </w:r>
      <w:r w:rsidRPr="00F5506A">
        <w:rPr>
          <w:rFonts w:ascii="Times New Roman" w:eastAsia="Times New Roman" w:hAnsi="Times New Roman" w:cs="Times New Roman"/>
          <w:sz w:val="24"/>
          <w:szCs w:val="24"/>
          <w:lang w:eastAsia="en-IN"/>
        </w:rPr>
        <w:t xml:space="preserve">(3), 174–181. </w:t>
      </w:r>
      <w:hyperlink r:id="rId31" w:history="1">
        <w:r w:rsidRPr="00F5506A">
          <w:rPr>
            <w:rStyle w:val="Hyperlink"/>
            <w:rFonts w:ascii="Times New Roman" w:eastAsia="Times New Roman" w:hAnsi="Times New Roman" w:cs="Times New Roman"/>
            <w:color w:val="auto"/>
            <w:sz w:val="24"/>
            <w:szCs w:val="24"/>
            <w:lang w:eastAsia="en-IN"/>
          </w:rPr>
          <w:t>https://doi.org/10.1016/j.scienta.2011.01.037</w:t>
        </w:r>
      </w:hyperlink>
      <w:r w:rsidRPr="00F5506A">
        <w:rPr>
          <w:rFonts w:ascii="Times New Roman" w:eastAsia="Times New Roman" w:hAnsi="Times New Roman" w:cs="Times New Roman"/>
          <w:sz w:val="24"/>
          <w:szCs w:val="24"/>
          <w:lang w:eastAsia="en-IN"/>
        </w:rPr>
        <w:t xml:space="preserve"> </w:t>
      </w:r>
    </w:p>
    <w:p w14:paraId="3712DFE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Korbu, L., Tafes, B., Kassa, G., Mola, T., &amp; Fikre, A. (2020). Unlocking the genetic potential of chickpea through improved crop management practices in Ethiopia. A review. </w:t>
      </w:r>
      <w:r w:rsidRPr="005C37D7">
        <w:rPr>
          <w:rFonts w:ascii="Times New Roman" w:eastAsia="Times New Roman" w:hAnsi="Times New Roman" w:cs="Times New Roman"/>
          <w:i/>
          <w:iCs/>
          <w:sz w:val="24"/>
          <w:szCs w:val="24"/>
          <w:lang w:eastAsia="en-IN"/>
        </w:rPr>
        <w:t>Agronomy for Sustainable Development</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40</w:t>
      </w:r>
      <w:r w:rsidRPr="005C37D7">
        <w:rPr>
          <w:rFonts w:ascii="Times New Roman" w:eastAsia="Times New Roman" w:hAnsi="Times New Roman" w:cs="Times New Roman"/>
          <w:sz w:val="24"/>
          <w:szCs w:val="24"/>
          <w:lang w:eastAsia="en-IN"/>
        </w:rPr>
        <w:t xml:space="preserve">(2), 13. </w:t>
      </w:r>
      <w:hyperlink r:id="rId32" w:history="1">
        <w:r w:rsidRPr="005C37D7">
          <w:rPr>
            <w:rStyle w:val="Hyperlink"/>
            <w:rFonts w:ascii="Times New Roman" w:eastAsia="Times New Roman" w:hAnsi="Times New Roman" w:cs="Times New Roman"/>
            <w:sz w:val="24"/>
            <w:szCs w:val="24"/>
            <w:lang w:eastAsia="en-IN"/>
          </w:rPr>
          <w:t>https://doi.org/10.1007/s13593-020-00618-3</w:t>
        </w:r>
      </w:hyperlink>
      <w:r w:rsidRPr="005C37D7">
        <w:rPr>
          <w:rFonts w:ascii="Times New Roman" w:eastAsia="Times New Roman" w:hAnsi="Times New Roman" w:cs="Times New Roman"/>
          <w:sz w:val="24"/>
          <w:szCs w:val="24"/>
          <w:lang w:eastAsia="en-IN"/>
        </w:rPr>
        <w:t xml:space="preserve"> </w:t>
      </w:r>
    </w:p>
    <w:p w14:paraId="6A24D232" w14:textId="77777777" w:rsidR="00DE5238" w:rsidRPr="005A612C"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Koul, B., Sharma, K., Sehgal, V., Yadav, D., Mishra, M., &amp; Bharadwaj, C. (2022).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biology and biotechnology: From domestication to biofortification and biopharming.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11</w:t>
      </w:r>
      <w:r w:rsidRPr="005C37D7">
        <w:rPr>
          <w:rFonts w:ascii="Times New Roman" w:eastAsia="Times New Roman" w:hAnsi="Times New Roman" w:cs="Times New Roman"/>
          <w:sz w:val="24"/>
          <w:szCs w:val="24"/>
          <w:lang w:eastAsia="en-IN"/>
        </w:rPr>
        <w:t xml:space="preserve">(21), 2926. </w:t>
      </w:r>
      <w:hyperlink r:id="rId33" w:history="1">
        <w:r w:rsidRPr="005C37D7">
          <w:rPr>
            <w:rStyle w:val="Hyperlink"/>
            <w:rFonts w:ascii="Times New Roman" w:eastAsia="Times New Roman" w:hAnsi="Times New Roman" w:cs="Times New Roman"/>
            <w:sz w:val="24"/>
            <w:szCs w:val="24"/>
            <w:lang w:eastAsia="en-IN"/>
          </w:rPr>
          <w:t>https://doi.org/10.3390/plants11212926</w:t>
        </w:r>
      </w:hyperlink>
    </w:p>
    <w:p w14:paraId="21A0BF3A" w14:textId="77777777" w:rsidR="00DE5238" w:rsidRPr="009440D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lastRenderedPageBreak/>
        <w:t xml:space="preserve">Lowry, O.H., Rosebrough, N.J., Farr, A.L. &amp; Randall, R.J. (1951). Protein measurement with the </w:t>
      </w:r>
      <w:proofErr w:type="spellStart"/>
      <w:r w:rsidRPr="009440DE">
        <w:rPr>
          <w:rFonts w:ascii="Times New Roman" w:hAnsi="Times New Roman" w:cs="Times New Roman"/>
          <w:sz w:val="24"/>
          <w:szCs w:val="24"/>
        </w:rPr>
        <w:t>folin</w:t>
      </w:r>
      <w:proofErr w:type="spellEnd"/>
      <w:r w:rsidRPr="009440DE">
        <w:rPr>
          <w:rFonts w:ascii="Times New Roman" w:hAnsi="Times New Roman" w:cs="Times New Roman"/>
          <w:sz w:val="24"/>
          <w:szCs w:val="24"/>
        </w:rPr>
        <w:t xml:space="preserve"> phenol reagent. </w:t>
      </w:r>
      <w:r w:rsidRPr="009440DE">
        <w:rPr>
          <w:rFonts w:ascii="Times New Roman" w:hAnsi="Times New Roman" w:cs="Times New Roman"/>
          <w:i/>
          <w:iCs/>
          <w:sz w:val="24"/>
          <w:szCs w:val="24"/>
        </w:rPr>
        <w:t>The Journal of Biological Chemistry,</w:t>
      </w:r>
      <w:r w:rsidRPr="009440DE">
        <w:rPr>
          <w:rFonts w:ascii="Times New Roman" w:hAnsi="Times New Roman" w:cs="Times New Roman"/>
          <w:sz w:val="24"/>
          <w:szCs w:val="24"/>
        </w:rPr>
        <w:t xml:space="preserve"> </w:t>
      </w:r>
      <w:r w:rsidRPr="009440DE">
        <w:rPr>
          <w:rFonts w:ascii="Times New Roman" w:hAnsi="Times New Roman" w:cs="Times New Roman"/>
          <w:i/>
          <w:iCs/>
          <w:sz w:val="24"/>
          <w:szCs w:val="24"/>
        </w:rPr>
        <w:t>193</w:t>
      </w:r>
      <w:r w:rsidRPr="009440DE">
        <w:rPr>
          <w:rFonts w:ascii="Times New Roman" w:hAnsi="Times New Roman" w:cs="Times New Roman"/>
          <w:sz w:val="24"/>
          <w:szCs w:val="24"/>
        </w:rPr>
        <w:t>(1):256-275.</w:t>
      </w:r>
      <w:r w:rsidRPr="009440DE">
        <w:rPr>
          <w:rFonts w:ascii="Times New Roman" w:hAnsi="Times New Roman" w:cs="Times New Roman"/>
          <w:sz w:val="24"/>
          <w:szCs w:val="24"/>
          <w:shd w:val="clear" w:color="auto" w:fill="FFFFFF"/>
        </w:rPr>
        <w:t xml:space="preserve"> DOI:</w:t>
      </w:r>
      <w:hyperlink r:id="rId34" w:tgtFrame="_blank" w:history="1">
        <w:r w:rsidRPr="009440DE">
          <w:rPr>
            <w:rFonts w:ascii="Times New Roman" w:hAnsi="Times New Roman" w:cs="Times New Roman"/>
            <w:sz w:val="24"/>
            <w:szCs w:val="24"/>
            <w:u w:val="single"/>
            <w:bdr w:val="none" w:sz="0" w:space="0" w:color="auto" w:frame="1"/>
            <w:shd w:val="clear" w:color="auto" w:fill="FFFFFF"/>
          </w:rPr>
          <w:t>10.1016/S0021-9258(19)52451-6</w:t>
        </w:r>
      </w:hyperlink>
    </w:p>
    <w:p w14:paraId="2ED4DF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693. </w:t>
      </w:r>
      <w:hyperlink r:id="rId35" w:history="1">
        <w:r w:rsidRPr="005C37D7">
          <w:rPr>
            <w:rStyle w:val="Hyperlink"/>
            <w:rFonts w:ascii="Times New Roman" w:eastAsia="Times New Roman" w:hAnsi="Times New Roman" w:cs="Times New Roman"/>
            <w:sz w:val="24"/>
            <w:szCs w:val="24"/>
            <w:lang w:eastAsia="en-IN"/>
          </w:rPr>
          <w:t>https://doi.org/10.1186/s12870-025-06244-z</w:t>
        </w:r>
      </w:hyperlink>
      <w:r w:rsidRPr="005C37D7">
        <w:rPr>
          <w:rFonts w:ascii="Times New Roman" w:eastAsia="Times New Roman" w:hAnsi="Times New Roman" w:cs="Times New Roman"/>
          <w:sz w:val="24"/>
          <w:szCs w:val="24"/>
          <w:lang w:eastAsia="en-IN"/>
        </w:rPr>
        <w:t xml:space="preserve"> </w:t>
      </w:r>
    </w:p>
    <w:p w14:paraId="3792CE05"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Medeiros, J. S., Nunes da Silva, M., Carvalho, S. M. P., Santos, C. S., &amp; Vasconcelos, M. W. (2024). Low water supply differentially affects the growth, yield and mineral profile of Kabuli and Desi chickpeas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Annals of Applied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184</w:t>
      </w:r>
      <w:r w:rsidRPr="005C37D7">
        <w:rPr>
          <w:rFonts w:ascii="Times New Roman" w:eastAsia="Times New Roman" w:hAnsi="Times New Roman" w:cs="Times New Roman"/>
          <w:sz w:val="24"/>
          <w:szCs w:val="24"/>
          <w:lang w:eastAsia="en-IN"/>
        </w:rPr>
        <w:t xml:space="preserve">(1), 37–49. </w:t>
      </w:r>
      <w:hyperlink r:id="rId36" w:history="1">
        <w:r w:rsidRPr="005C37D7">
          <w:rPr>
            <w:rStyle w:val="Hyperlink"/>
            <w:rFonts w:ascii="Times New Roman" w:eastAsia="Times New Roman" w:hAnsi="Times New Roman" w:cs="Times New Roman"/>
            <w:sz w:val="24"/>
            <w:szCs w:val="24"/>
            <w:lang w:eastAsia="en-IN"/>
          </w:rPr>
          <w:t>https://doi.org/10.1111/aab.12835</w:t>
        </w:r>
      </w:hyperlink>
      <w:r w:rsidRPr="005C37D7">
        <w:rPr>
          <w:rFonts w:ascii="Times New Roman" w:eastAsia="Times New Roman" w:hAnsi="Times New Roman" w:cs="Times New Roman"/>
          <w:sz w:val="24"/>
          <w:szCs w:val="24"/>
          <w:lang w:eastAsia="en-IN"/>
        </w:rPr>
        <w:t xml:space="preserve"> </w:t>
      </w:r>
    </w:p>
    <w:p w14:paraId="15F65CB4" w14:textId="77777777" w:rsidR="00DE5238" w:rsidRPr="00D07BDF"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D07BDF">
        <w:rPr>
          <w:rFonts w:ascii="Times New Roman" w:eastAsia="Times New Roman" w:hAnsi="Times New Roman" w:cs="Times New Roman"/>
          <w:color w:val="auto"/>
        </w:rPr>
        <w:t>Mihoariya</w:t>
      </w:r>
      <w:proofErr w:type="spellEnd"/>
      <w:r w:rsidRPr="00D07BDF">
        <w:rPr>
          <w:rFonts w:ascii="Times New Roman" w:eastAsia="Times New Roman" w:hAnsi="Times New Roman" w:cs="Times New Roman"/>
          <w:color w:val="auto"/>
        </w:rPr>
        <w:t xml:space="preserve">, M., Tiwari, S., Yadav, R.K., </w:t>
      </w:r>
      <w:proofErr w:type="spellStart"/>
      <w:r w:rsidRPr="00D07BDF">
        <w:rPr>
          <w:rFonts w:ascii="Times New Roman" w:eastAsia="Times New Roman" w:hAnsi="Times New Roman" w:cs="Times New Roman"/>
          <w:color w:val="auto"/>
        </w:rPr>
        <w:t>Asati</w:t>
      </w:r>
      <w:proofErr w:type="spellEnd"/>
      <w:r w:rsidRPr="00D07BDF">
        <w:rPr>
          <w:rFonts w:ascii="Times New Roman" w:eastAsia="Times New Roman" w:hAnsi="Times New Roman" w:cs="Times New Roman"/>
          <w:color w:val="auto"/>
        </w:rPr>
        <w:t>, R., Solanki, R.S., Tiwari, P.N., Chauhan, S., Tripathi, N., &amp; Tripathi,</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color w:val="auto"/>
        </w:rPr>
        <w:t>M.K. (</w:t>
      </w:r>
      <w:r w:rsidRPr="00D07BDF">
        <w:rPr>
          <w:rFonts w:ascii="Times New Roman" w:eastAsia="Times New Roman" w:hAnsi="Times New Roman" w:cs="Times New Roman"/>
          <w:color w:val="auto"/>
          <w:shd w:val="clear" w:color="auto" w:fill="FFFFFF"/>
        </w:rPr>
        <w:t>2023). Genetic variability and diversity analysis for yield and its associated traits in chickpea (</w:t>
      </w:r>
      <w:r w:rsidRPr="00D07BDF">
        <w:rPr>
          <w:rFonts w:ascii="Times New Roman" w:eastAsia="Times New Roman" w:hAnsi="Times New Roman" w:cs="Times New Roman"/>
          <w:i/>
          <w:iCs/>
          <w:color w:val="auto"/>
          <w:shd w:val="clear" w:color="auto" w:fill="FFFFFF"/>
        </w:rPr>
        <w:t>Cicer arietinum</w:t>
      </w:r>
      <w:r w:rsidRPr="00D07BDF">
        <w:rPr>
          <w:rFonts w:ascii="Times New Roman" w:eastAsia="Times New Roman" w:hAnsi="Times New Roman" w:cs="Times New Roman"/>
          <w:color w:val="auto"/>
          <w:shd w:val="clear" w:color="auto" w:fill="FFFFFF"/>
        </w:rPr>
        <w:t xml:space="preserve"> L.).</w:t>
      </w:r>
      <w:r w:rsidRPr="00D07BDF">
        <w:rPr>
          <w:rFonts w:ascii="Times New Roman" w:eastAsia="Times New Roman" w:hAnsi="Times New Roman" w:cs="Times New Roman"/>
          <w:color w:val="auto"/>
        </w:rPr>
        <w:t xml:space="preserve"> </w:t>
      </w:r>
      <w:r w:rsidRPr="00D07BDF">
        <w:rPr>
          <w:rFonts w:ascii="Times New Roman" w:eastAsia="Times New Roman" w:hAnsi="Times New Roman" w:cs="Times New Roman"/>
          <w:i/>
          <w:iCs/>
          <w:color w:val="auto"/>
          <w:shd w:val="clear" w:color="auto" w:fill="FFFFFF"/>
        </w:rPr>
        <w:t>Current Journal of Applied Science and Technology</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i/>
          <w:iCs/>
          <w:color w:val="auto"/>
          <w:shd w:val="clear" w:color="auto" w:fill="FFFFFF"/>
        </w:rPr>
        <w:t>42</w:t>
      </w:r>
      <w:r w:rsidRPr="00D07BDF">
        <w:rPr>
          <w:rFonts w:ascii="Times New Roman" w:eastAsia="Times New Roman" w:hAnsi="Times New Roman" w:cs="Times New Roman"/>
          <w:color w:val="auto"/>
          <w:shd w:val="clear" w:color="auto" w:fill="FFFFFF"/>
        </w:rPr>
        <w:t>(16):17-33.</w:t>
      </w:r>
    </w:p>
    <w:p w14:paraId="274F126D"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D245FB">
        <w:rPr>
          <w:rFonts w:ascii="Times New Roman" w:eastAsia="Times New Roman" w:hAnsi="Times New Roman" w:cs="Times New Roman"/>
          <w:sz w:val="24"/>
          <w:szCs w:val="24"/>
          <w:lang w:val="x-none" w:eastAsia="x-none"/>
        </w:rPr>
        <w:t>Mishra,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M.K.</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Tiwari, S.</w:t>
      </w:r>
      <w:r w:rsidRPr="00D245FB">
        <w:rPr>
          <w:rFonts w:ascii="Times New Roman" w:eastAsia="Times New Roman" w:hAnsi="Times New Roman" w:cs="Times New Roman"/>
          <w:sz w:val="24"/>
          <w:szCs w:val="24"/>
          <w:lang w:eastAsia="x-none"/>
        </w:rPr>
        <w:t xml:space="preserve">, </w:t>
      </w:r>
      <w:r w:rsidRPr="00D245FB">
        <w:rPr>
          <w:rFonts w:ascii="Times New Roman" w:eastAsia="Times New Roman" w:hAnsi="Times New Roman" w:cs="Times New Roman"/>
          <w:sz w:val="24"/>
          <w:szCs w:val="24"/>
          <w:lang w:val="x-none" w:eastAsia="x-none"/>
        </w:rPr>
        <w:t>Gupta,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Sharma, A.</w:t>
      </w:r>
      <w:r w:rsidRPr="00D245FB">
        <w:rPr>
          <w:rFonts w:ascii="Times New Roman" w:eastAsia="Times New Roman" w:hAnsi="Times New Roman" w:cs="Times New Roman"/>
          <w:sz w:val="24"/>
          <w:szCs w:val="24"/>
          <w:lang w:eastAsia="x-none"/>
        </w:rPr>
        <w:t xml:space="preserve">&amp; </w:t>
      </w:r>
      <w:r w:rsidRPr="00D245FB">
        <w:rPr>
          <w:rFonts w:ascii="Times New Roman" w:eastAsia="Times New Roman" w:hAnsi="Times New Roman" w:cs="Times New Roman"/>
          <w:sz w:val="24"/>
          <w:szCs w:val="24"/>
          <w:lang w:val="x-none" w:eastAsia="x-none"/>
        </w:rPr>
        <w:t>Shrivastav, M. K. (2021</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Changes in biochemical and antioxidant enzymes activities play significant role in drought tolerance in soybean.</w:t>
      </w:r>
      <w:r w:rsidRPr="00D245FB">
        <w:rPr>
          <w:rFonts w:ascii="Times New Roman" w:eastAsia="Times New Roman" w:hAnsi="Times New Roman" w:cs="Times New Roman"/>
          <w:i/>
          <w:iCs/>
          <w:sz w:val="24"/>
          <w:szCs w:val="24"/>
          <w:lang w:val="x-none" w:eastAsia="x-none"/>
        </w:rPr>
        <w:t xml:space="preserve"> Int. J. Agric. Technol</w:t>
      </w:r>
      <w:r w:rsidRPr="00D245FB">
        <w:rPr>
          <w:rFonts w:ascii="Times New Roman" w:eastAsia="Times New Roman" w:hAnsi="Times New Roman" w:cs="Times New Roman"/>
          <w:sz w:val="24"/>
          <w:szCs w:val="24"/>
          <w:lang w:val="x-none" w:eastAsia="x-none"/>
        </w:rPr>
        <w:t>. 17</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1425–1446. </w:t>
      </w:r>
    </w:p>
    <w:p w14:paraId="1F82997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Shrivastava, M. K., Tripathi, M. K.,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5C37D7">
        <w:rPr>
          <w:rFonts w:ascii="Times New Roman" w:eastAsia="Times New Roman" w:hAnsi="Times New Roman" w:cs="Times New Roman"/>
          <w:i/>
          <w:iCs/>
          <w:sz w:val="24"/>
          <w:szCs w:val="24"/>
          <w:lang w:eastAsia="en-IN"/>
        </w:rPr>
        <w:t>Plant Science Today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(2), 1–10. </w:t>
      </w:r>
      <w:hyperlink r:id="rId37" w:history="1">
        <w:r w:rsidRPr="005C37D7">
          <w:rPr>
            <w:rStyle w:val="Hyperlink"/>
            <w:rFonts w:ascii="Times New Roman" w:eastAsia="Times New Roman" w:hAnsi="Times New Roman" w:cs="Times New Roman"/>
            <w:sz w:val="24"/>
            <w:szCs w:val="24"/>
            <w:lang w:eastAsia="en-IN"/>
          </w:rPr>
          <w:t>https://doi.org/10.14719/pst.6401</w:t>
        </w:r>
      </w:hyperlink>
      <w:r w:rsidRPr="005C37D7">
        <w:rPr>
          <w:rFonts w:ascii="Times New Roman" w:eastAsia="Times New Roman" w:hAnsi="Times New Roman" w:cs="Times New Roman"/>
          <w:sz w:val="24"/>
          <w:szCs w:val="24"/>
          <w:lang w:eastAsia="en-IN"/>
        </w:rPr>
        <w:t xml:space="preserve">  </w:t>
      </w:r>
    </w:p>
    <w:p w14:paraId="7045669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Tripathi, N., Singh, J., &amp; Tiwari, S. (2024a). Nutritional and anti-nutritional factors in soybean. </w:t>
      </w:r>
      <w:r w:rsidRPr="005C37D7">
        <w:rPr>
          <w:rFonts w:ascii="Times New Roman" w:eastAsia="Times New Roman" w:hAnsi="Times New Roman" w:cs="Times New Roman"/>
          <w:i/>
          <w:iCs/>
          <w:sz w:val="24"/>
          <w:szCs w:val="24"/>
          <w:lang w:eastAsia="en-IN"/>
        </w:rPr>
        <w:t>Acta Scientific 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(11), 46–63. </w:t>
      </w:r>
      <w:hyperlink r:id="rId38" w:history="1">
        <w:r w:rsidRPr="005C37D7">
          <w:rPr>
            <w:rStyle w:val="Hyperlink"/>
            <w:rFonts w:ascii="Times New Roman" w:eastAsia="Times New Roman" w:hAnsi="Times New Roman" w:cs="Times New Roman"/>
            <w:sz w:val="24"/>
            <w:szCs w:val="24"/>
            <w:lang w:eastAsia="en-IN"/>
          </w:rPr>
          <w:t>https://doi.org/10.31080/ASAG.2024.08.1432</w:t>
        </w:r>
      </w:hyperlink>
    </w:p>
    <w:p w14:paraId="317D368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K., Shrivastava, M. K., &amp;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xml:space="preserve">, P. K. (2024b). Genetic diversity in crop improvement: A cornerstone for sustainable agriculture and global food security. In M. K. Tripathi &amp; N. Tripathi (Eds.), Advances in Plant Biotechnology (Vol. 1, pp. 1–21). </w:t>
      </w:r>
      <w:proofErr w:type="spellStart"/>
      <w:r w:rsidRPr="005C37D7">
        <w:rPr>
          <w:rFonts w:ascii="Times New Roman" w:eastAsia="Times New Roman" w:hAnsi="Times New Roman" w:cs="Times New Roman"/>
          <w:sz w:val="24"/>
          <w:szCs w:val="24"/>
          <w:lang w:eastAsia="en-IN"/>
        </w:rPr>
        <w:t>Cornous</w:t>
      </w:r>
      <w:proofErr w:type="spellEnd"/>
      <w:r w:rsidRPr="005C37D7">
        <w:rPr>
          <w:rFonts w:ascii="Times New Roman" w:eastAsia="Times New Roman" w:hAnsi="Times New Roman" w:cs="Times New Roman"/>
          <w:sz w:val="24"/>
          <w:szCs w:val="24"/>
          <w:lang w:eastAsia="en-IN"/>
        </w:rPr>
        <w:t xml:space="preserve"> Publications LLP. </w:t>
      </w:r>
      <w:hyperlink r:id="rId39" w:history="1">
        <w:r w:rsidRPr="005C37D7">
          <w:rPr>
            <w:rStyle w:val="Hyperlink"/>
            <w:rFonts w:ascii="Times New Roman" w:eastAsia="Times New Roman" w:hAnsi="Times New Roman" w:cs="Times New Roman"/>
            <w:sz w:val="24"/>
            <w:szCs w:val="24"/>
            <w:lang w:eastAsia="en-IN"/>
          </w:rPr>
          <w:t>https://doi.org/https://doi.org/10.37446/volbook032024/1-21</w:t>
        </w:r>
      </w:hyperlink>
      <w:r w:rsidRPr="005C37D7">
        <w:rPr>
          <w:rFonts w:ascii="Times New Roman" w:eastAsia="Times New Roman" w:hAnsi="Times New Roman" w:cs="Times New Roman"/>
          <w:sz w:val="24"/>
          <w:szCs w:val="24"/>
          <w:lang w:eastAsia="en-IN"/>
        </w:rPr>
        <w:t xml:space="preserve"> </w:t>
      </w:r>
    </w:p>
    <w:p w14:paraId="4A6848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Muriuki, R., </w:t>
      </w:r>
      <w:proofErr w:type="spellStart"/>
      <w:r w:rsidRPr="005C37D7">
        <w:rPr>
          <w:rFonts w:ascii="Times New Roman" w:eastAsia="Times New Roman" w:hAnsi="Times New Roman" w:cs="Times New Roman"/>
          <w:sz w:val="24"/>
          <w:szCs w:val="24"/>
          <w:lang w:eastAsia="en-IN"/>
        </w:rPr>
        <w:t>Kimurto</w:t>
      </w:r>
      <w:proofErr w:type="spellEnd"/>
      <w:r w:rsidRPr="005C37D7">
        <w:rPr>
          <w:rFonts w:ascii="Times New Roman" w:eastAsia="Times New Roman" w:hAnsi="Times New Roman" w:cs="Times New Roman"/>
          <w:sz w:val="24"/>
          <w:szCs w:val="24"/>
          <w:lang w:eastAsia="en-IN"/>
        </w:rPr>
        <w:t xml:space="preserve">, P. K., Towett, B. K., </w:t>
      </w:r>
      <w:proofErr w:type="spellStart"/>
      <w:r w:rsidRPr="005C37D7">
        <w:rPr>
          <w:rFonts w:ascii="Times New Roman" w:eastAsia="Times New Roman" w:hAnsi="Times New Roman" w:cs="Times New Roman"/>
          <w:sz w:val="24"/>
          <w:szCs w:val="24"/>
          <w:lang w:eastAsia="en-IN"/>
        </w:rPr>
        <w:t>Vadez</w:t>
      </w:r>
      <w:proofErr w:type="spellEnd"/>
      <w:r w:rsidRPr="005C37D7">
        <w:rPr>
          <w:rFonts w:ascii="Times New Roman" w:eastAsia="Times New Roman" w:hAnsi="Times New Roman" w:cs="Times New Roman"/>
          <w:sz w:val="24"/>
          <w:szCs w:val="24"/>
          <w:lang w:eastAsia="en-IN"/>
        </w:rPr>
        <w:t xml:space="preserve">, V., &amp; </w:t>
      </w:r>
      <w:proofErr w:type="spellStart"/>
      <w:r w:rsidRPr="005C37D7">
        <w:rPr>
          <w:rFonts w:ascii="Times New Roman" w:eastAsia="Times New Roman" w:hAnsi="Times New Roman" w:cs="Times New Roman"/>
          <w:sz w:val="24"/>
          <w:szCs w:val="24"/>
          <w:lang w:eastAsia="en-IN"/>
        </w:rPr>
        <w:t>Gangarao</w:t>
      </w:r>
      <w:proofErr w:type="spellEnd"/>
      <w:r w:rsidRPr="005C37D7">
        <w:rPr>
          <w:rFonts w:ascii="Times New Roman" w:eastAsia="Times New Roman" w:hAnsi="Times New Roman" w:cs="Times New Roman"/>
          <w:sz w:val="24"/>
          <w:szCs w:val="24"/>
          <w:lang w:eastAsia="en-IN"/>
        </w:rPr>
        <w:t>, R. (2020). Study of root traits of chickpea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L.) under drought stress. </w:t>
      </w:r>
      <w:r w:rsidRPr="005C37D7">
        <w:rPr>
          <w:rFonts w:ascii="Times New Roman" w:eastAsia="Times New Roman" w:hAnsi="Times New Roman" w:cs="Times New Roman"/>
          <w:i/>
          <w:iCs/>
          <w:sz w:val="24"/>
          <w:szCs w:val="24"/>
          <w:lang w:eastAsia="en-IN"/>
        </w:rPr>
        <w:t>African Journal of Plant Science, 14</w:t>
      </w:r>
      <w:r w:rsidRPr="005C37D7">
        <w:rPr>
          <w:rFonts w:ascii="Times New Roman" w:eastAsia="Times New Roman" w:hAnsi="Times New Roman" w:cs="Times New Roman"/>
          <w:sz w:val="24"/>
          <w:szCs w:val="24"/>
          <w:lang w:eastAsia="en-IN"/>
        </w:rPr>
        <w:t>(11), 420–435.</w:t>
      </w:r>
    </w:p>
    <w:p w14:paraId="1DAB1C6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lastRenderedPageBreak/>
        <w:t xml:space="preserve">Muscolo, A., Mariateresa, O., Giulio, T., &amp; Mariateresa, R. (2024). Oxidative Stress: The role of antioxidant phytochemicals in the prevention and treatment of diseases.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(6), 3264. </w:t>
      </w:r>
      <w:hyperlink r:id="rId40" w:history="1">
        <w:r w:rsidRPr="005C37D7">
          <w:rPr>
            <w:rStyle w:val="Hyperlink"/>
            <w:rFonts w:ascii="Times New Roman" w:eastAsia="Times New Roman" w:hAnsi="Times New Roman" w:cs="Times New Roman"/>
            <w:sz w:val="24"/>
            <w:szCs w:val="24"/>
            <w:lang w:eastAsia="en-IN"/>
          </w:rPr>
          <w:t>https://doi.org/10.3390/ijms25063264</w:t>
        </w:r>
      </w:hyperlink>
      <w:r w:rsidRPr="005C37D7">
        <w:rPr>
          <w:rFonts w:ascii="Times New Roman" w:eastAsia="Times New Roman" w:hAnsi="Times New Roman" w:cs="Times New Roman"/>
          <w:sz w:val="24"/>
          <w:szCs w:val="24"/>
          <w:lang w:eastAsia="en-IN"/>
        </w:rPr>
        <w:t xml:space="preserve"> </w:t>
      </w:r>
    </w:p>
    <w:p w14:paraId="486E42A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Nam, T., Kim, A., &amp; Oh, Y. (2023). Effectiveness of chickpeas on blood sugar: A systematic review and meta-analysis of randomized controlled trials. </w:t>
      </w:r>
      <w:r w:rsidRPr="005C37D7">
        <w:rPr>
          <w:rFonts w:ascii="Times New Roman" w:eastAsia="Times New Roman" w:hAnsi="Times New Roman" w:cs="Times New Roman"/>
          <w:i/>
          <w:iCs/>
          <w:sz w:val="24"/>
          <w:szCs w:val="24"/>
          <w:lang w:eastAsia="en-IN"/>
        </w:rPr>
        <w:t>Nutrients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(21), 4556. </w:t>
      </w:r>
      <w:hyperlink r:id="rId41" w:history="1">
        <w:r w:rsidRPr="005C37D7">
          <w:rPr>
            <w:rStyle w:val="Hyperlink"/>
            <w:rFonts w:ascii="Times New Roman" w:eastAsia="Times New Roman" w:hAnsi="Times New Roman" w:cs="Times New Roman"/>
            <w:sz w:val="24"/>
            <w:szCs w:val="24"/>
            <w:lang w:eastAsia="en-IN"/>
          </w:rPr>
          <w:t>https://doi.org/10.3390/nu15214556</w:t>
        </w:r>
      </w:hyperlink>
      <w:r w:rsidRPr="005C37D7">
        <w:rPr>
          <w:rFonts w:ascii="Times New Roman" w:eastAsia="Times New Roman" w:hAnsi="Times New Roman" w:cs="Times New Roman"/>
          <w:sz w:val="24"/>
          <w:szCs w:val="24"/>
          <w:lang w:eastAsia="en-IN"/>
        </w:rPr>
        <w:t xml:space="preserve"> </w:t>
      </w:r>
    </w:p>
    <w:p w14:paraId="48FF342A" w14:textId="77777777" w:rsidR="00DE5238" w:rsidRPr="00012E00"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012E00">
        <w:rPr>
          <w:rFonts w:ascii="Times New Roman" w:hAnsi="Times New Roman" w:cs="Times New Roman"/>
          <w:sz w:val="24"/>
          <w:szCs w:val="24"/>
        </w:rPr>
        <w:t>Ningwal, R., Tripathi, M.K., Tiwari, S., Asati, R., Yadav, R.K., &amp; Tripathi, N. (2024).</w:t>
      </w:r>
      <w:r w:rsidRPr="00012E00">
        <w:rPr>
          <w:rFonts w:ascii="Times New Roman" w:hAnsi="Times New Roman" w:cs="Times New Roman"/>
          <w:sz w:val="24"/>
          <w:szCs w:val="24"/>
          <w:shd w:val="clear" w:color="auto" w:fill="FFFFFF"/>
        </w:rPr>
        <w:t xml:space="preserve"> </w:t>
      </w:r>
      <w:hyperlink r:id="rId42" w:anchor="page=53" w:history="1">
        <w:r w:rsidRPr="00012E00">
          <w:rPr>
            <w:rFonts w:ascii="Times New Roman" w:hAnsi="Times New Roman" w:cs="Times New Roman"/>
            <w:sz w:val="24"/>
            <w:szCs w:val="24"/>
            <w:shd w:val="clear" w:color="auto" w:fill="FFFFFF"/>
            <w:lang w:bidi="hi-IN"/>
          </w:rPr>
          <w:t>Diversity analysis of desi chickpea genotypes employing microsatellites</w:t>
        </w:r>
      </w:hyperlink>
      <w:r w:rsidRPr="00012E00">
        <w:rPr>
          <w:rFonts w:ascii="Times New Roman" w:hAnsi="Times New Roman" w:cs="Times New Roman"/>
          <w:sz w:val="24"/>
          <w:szCs w:val="24"/>
          <w:shd w:val="clear" w:color="auto" w:fill="FFFFFF"/>
        </w:rPr>
        <w:t xml:space="preserve">. In book Advances in Agricultural Biotechnology, </w:t>
      </w:r>
      <w:r w:rsidRPr="00012E00">
        <w:rPr>
          <w:rFonts w:ascii="Times New Roman" w:hAnsi="Times New Roman" w:cs="Times New Roman"/>
          <w:i/>
          <w:iCs/>
          <w:sz w:val="24"/>
          <w:szCs w:val="24"/>
          <w:shd w:val="clear" w:color="auto" w:fill="FFFFFF"/>
        </w:rPr>
        <w:t>11</w:t>
      </w:r>
      <w:r w:rsidRPr="00012E00">
        <w:rPr>
          <w:rFonts w:ascii="Times New Roman" w:hAnsi="Times New Roman" w:cs="Times New Roman"/>
          <w:sz w:val="24"/>
          <w:szCs w:val="24"/>
          <w:shd w:val="clear" w:color="auto" w:fill="FFFFFF"/>
        </w:rPr>
        <w:t>: 49-68.</w:t>
      </w:r>
    </w:p>
    <w:p w14:paraId="01811E02" w14:textId="77777777" w:rsidR="00DE5238" w:rsidRPr="00EC7E1E"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r w:rsidRPr="00EC7E1E">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EC7E1E">
        <w:rPr>
          <w:rFonts w:ascii="Times New Roman" w:eastAsia="Times New Roman" w:hAnsi="Times New Roman" w:cs="Times New Roman"/>
          <w:i/>
          <w:iCs/>
          <w:sz w:val="24"/>
          <w:szCs w:val="24"/>
          <w:lang w:eastAsia="en-IN"/>
        </w:rPr>
        <w:t>Biological Forum, 15</w:t>
      </w:r>
      <w:r w:rsidRPr="00EC7E1E">
        <w:rPr>
          <w:rFonts w:ascii="Times New Roman" w:eastAsia="Times New Roman" w:hAnsi="Times New Roman" w:cs="Times New Roman"/>
          <w:sz w:val="24"/>
          <w:szCs w:val="24"/>
          <w:lang w:eastAsia="en-IN"/>
        </w:rPr>
        <w:t>(3), 45–51.</w:t>
      </w:r>
    </w:p>
    <w:p w14:paraId="5168D1AC" w14:textId="77777777" w:rsidR="00DE5238" w:rsidRPr="00161AAB"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161AAB">
        <w:rPr>
          <w:rFonts w:ascii="Times New Roman" w:hAnsi="Times New Roman" w:cs="Times New Roman"/>
          <w:sz w:val="24"/>
          <w:szCs w:val="24"/>
        </w:rPr>
        <w:t>Ningwal, R., Tripathi, M. K., Tiwari, S., Yadav, R. K., Tripathi, N., Solanki, R.S., Asati, R., &amp;Yasin, M. (2023b). Assessment of genetic variability, correlation and path coefficient analysis for yield and its attributing traits in chickpea (</w:t>
      </w:r>
      <w:r w:rsidRPr="00161AAB">
        <w:rPr>
          <w:rFonts w:ascii="Times New Roman" w:hAnsi="Times New Roman" w:cs="Times New Roman"/>
          <w:i/>
          <w:iCs/>
          <w:sz w:val="24"/>
          <w:szCs w:val="24"/>
        </w:rPr>
        <w:t xml:space="preserve">Cicer arietinum </w:t>
      </w:r>
      <w:r w:rsidRPr="00161AAB">
        <w:rPr>
          <w:rFonts w:ascii="Times New Roman" w:hAnsi="Times New Roman" w:cs="Times New Roman"/>
          <w:sz w:val="24"/>
          <w:szCs w:val="24"/>
        </w:rPr>
        <w:t xml:space="preserve">L.) </w:t>
      </w:r>
      <w:r w:rsidRPr="00161AAB">
        <w:rPr>
          <w:rFonts w:ascii="Times New Roman" w:hAnsi="Times New Roman" w:cs="Times New Roman"/>
          <w:i/>
          <w:iCs/>
          <w:sz w:val="24"/>
          <w:szCs w:val="24"/>
        </w:rPr>
        <w:t>The Pharma Innovation</w:t>
      </w:r>
      <w:r w:rsidRPr="00161AAB">
        <w:rPr>
          <w:rFonts w:ascii="Times New Roman" w:hAnsi="Times New Roman" w:cs="Times New Roman"/>
          <w:sz w:val="24"/>
          <w:szCs w:val="24"/>
        </w:rPr>
        <w:t xml:space="preserve">, </w:t>
      </w:r>
      <w:r w:rsidRPr="00161AAB">
        <w:rPr>
          <w:rFonts w:ascii="Times New Roman" w:hAnsi="Times New Roman" w:cs="Times New Roman"/>
          <w:i/>
          <w:iCs/>
          <w:sz w:val="24"/>
          <w:szCs w:val="24"/>
        </w:rPr>
        <w:t>12</w:t>
      </w:r>
      <w:r w:rsidRPr="00161AAB">
        <w:rPr>
          <w:rFonts w:ascii="Times New Roman" w:hAnsi="Times New Roman" w:cs="Times New Roman"/>
          <w:sz w:val="24"/>
          <w:szCs w:val="24"/>
        </w:rPr>
        <w:t>(3): 4851-4859.</w:t>
      </w:r>
    </w:p>
    <w:p w14:paraId="3D408E00"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bCs/>
          <w:sz w:val="24"/>
          <w:szCs w:val="24"/>
          <w:lang w:val="x-none"/>
        </w:rPr>
      </w:pPr>
      <w:r w:rsidRPr="00D245FB">
        <w:rPr>
          <w:rFonts w:ascii="Times New Roman" w:hAnsi="Times New Roman" w:cs="Times New Roman"/>
          <w:sz w:val="24"/>
          <w:szCs w:val="24"/>
          <w:shd w:val="clear" w:color="auto" w:fill="FFFFFF"/>
        </w:rPr>
        <w:t xml:space="preserve">Paliwal, S., Tripathi, M.K., Sikarwar, R.S., Yadav, R.K.&amp; </w:t>
      </w:r>
      <w:proofErr w:type="spellStart"/>
      <w:r w:rsidRPr="00D245FB">
        <w:rPr>
          <w:rFonts w:ascii="Times New Roman" w:hAnsi="Times New Roman" w:cs="Times New Roman"/>
          <w:sz w:val="24"/>
          <w:szCs w:val="24"/>
          <w:shd w:val="clear" w:color="auto" w:fill="FFFFFF"/>
        </w:rPr>
        <w:t>Sonaniya</w:t>
      </w:r>
      <w:proofErr w:type="spellEnd"/>
      <w:r w:rsidRPr="00D245FB">
        <w:rPr>
          <w:rFonts w:ascii="Times New Roman" w:hAnsi="Times New Roman" w:cs="Times New Roman"/>
          <w:sz w:val="24"/>
          <w:szCs w:val="24"/>
          <w:shd w:val="clear" w:color="auto" w:fill="FFFFFF"/>
        </w:rPr>
        <w:t>, P.  (2024). Evaluation   of biochemical parameters in linseed (</w:t>
      </w:r>
      <w:proofErr w:type="spellStart"/>
      <w:r w:rsidRPr="00D245FB">
        <w:rPr>
          <w:rFonts w:ascii="Times New Roman" w:hAnsi="Times New Roman" w:cs="Times New Roman"/>
          <w:i/>
          <w:iCs/>
          <w:sz w:val="24"/>
          <w:szCs w:val="24"/>
          <w:shd w:val="clear" w:color="auto" w:fill="FFFFFF"/>
        </w:rPr>
        <w:t>Linum</w:t>
      </w:r>
      <w:proofErr w:type="spellEnd"/>
      <w:r w:rsidRPr="00D245FB">
        <w:rPr>
          <w:rFonts w:ascii="Times New Roman" w:hAnsi="Times New Roman" w:cs="Times New Roman"/>
          <w:i/>
          <w:iCs/>
          <w:sz w:val="24"/>
          <w:szCs w:val="24"/>
          <w:shd w:val="clear" w:color="auto" w:fill="FFFFFF"/>
        </w:rPr>
        <w:t xml:space="preserve"> </w:t>
      </w:r>
      <w:proofErr w:type="spellStart"/>
      <w:r w:rsidRPr="00D245FB">
        <w:rPr>
          <w:rFonts w:ascii="Times New Roman" w:hAnsi="Times New Roman" w:cs="Times New Roman"/>
          <w:i/>
          <w:iCs/>
          <w:sz w:val="24"/>
          <w:szCs w:val="24"/>
          <w:shd w:val="clear" w:color="auto" w:fill="FFFFFF"/>
        </w:rPr>
        <w:t>usitatissimum</w:t>
      </w:r>
      <w:proofErr w:type="spellEnd"/>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International   Journal   of Advanced Biochemistry Research</w:t>
      </w:r>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8</w:t>
      </w:r>
      <w:r w:rsidRPr="00D245FB">
        <w:rPr>
          <w:rFonts w:ascii="Times New Roman" w:hAnsi="Times New Roman" w:cs="Times New Roman"/>
          <w:sz w:val="24"/>
          <w:szCs w:val="24"/>
          <w:shd w:val="clear" w:color="auto" w:fill="FFFFFF"/>
        </w:rPr>
        <w:t>(4): 260.DOI: 10.33545/26174693.2024.v8.i4d.947</w:t>
      </w:r>
    </w:p>
    <w:p w14:paraId="7094651F"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5C37D7">
        <w:rPr>
          <w:rFonts w:ascii="Times New Roman" w:eastAsia="Times New Roman" w:hAnsi="Times New Roman" w:cs="Times New Roman"/>
          <w:i/>
          <w:iCs/>
          <w:sz w:val="24"/>
          <w:szCs w:val="24"/>
          <w:lang w:eastAsia="en-IN"/>
        </w:rPr>
        <w:t>Journal of Food Biochemistry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2024</w:t>
      </w:r>
      <w:r w:rsidRPr="005C37D7">
        <w:rPr>
          <w:rFonts w:ascii="Times New Roman" w:eastAsia="Times New Roman" w:hAnsi="Times New Roman" w:cs="Times New Roman"/>
          <w:sz w:val="24"/>
          <w:szCs w:val="24"/>
          <w:lang w:eastAsia="en-IN"/>
        </w:rPr>
        <w:t xml:space="preserve">, 1–29. </w:t>
      </w:r>
      <w:hyperlink r:id="rId43" w:history="1">
        <w:r w:rsidRPr="005C37D7">
          <w:rPr>
            <w:rStyle w:val="Hyperlink"/>
            <w:rFonts w:ascii="Times New Roman" w:eastAsia="Times New Roman" w:hAnsi="Times New Roman" w:cs="Times New Roman"/>
            <w:sz w:val="24"/>
            <w:szCs w:val="24"/>
            <w:lang w:eastAsia="en-IN"/>
          </w:rPr>
          <w:t>https://doi.org/10.1155/2024/5173736</w:t>
        </w:r>
      </w:hyperlink>
      <w:r w:rsidRPr="005C37D7">
        <w:rPr>
          <w:rFonts w:ascii="Times New Roman" w:eastAsia="Times New Roman" w:hAnsi="Times New Roman" w:cs="Times New Roman"/>
          <w:sz w:val="24"/>
          <w:szCs w:val="24"/>
          <w:lang w:eastAsia="en-IN"/>
        </w:rPr>
        <w:t xml:space="preserve"> </w:t>
      </w:r>
    </w:p>
    <w:p w14:paraId="07F84F4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Perez-Perez, L. M., Huerta-Ocampo, J. Á., Ruiz-Cruz, S., Cinco-Moroyoqui, F. J., Wong-Corral, F. J., </w:t>
      </w:r>
      <w:proofErr w:type="spellStart"/>
      <w:r w:rsidRPr="005C37D7">
        <w:rPr>
          <w:rFonts w:ascii="Times New Roman" w:eastAsia="Times New Roman" w:hAnsi="Times New Roman" w:cs="Times New Roman"/>
          <w:sz w:val="24"/>
          <w:szCs w:val="24"/>
          <w:lang w:eastAsia="en-IN"/>
        </w:rPr>
        <w:t>Rascón</w:t>
      </w:r>
      <w:proofErr w:type="spellEnd"/>
      <w:r w:rsidRPr="005C37D7">
        <w:rPr>
          <w:rFonts w:ascii="Times New Roman" w:eastAsia="Times New Roman" w:hAnsi="Times New Roman" w:cs="Times New Roman"/>
          <w:sz w:val="24"/>
          <w:szCs w:val="24"/>
          <w:lang w:eastAsia="en-IN"/>
        </w:rPr>
        <w:t>-Valenzuela, L. A., Robles-García, M. A., González-Vega, R. I., Rosas-Burgos, E. C., Corella-Madueño, M. A. G., &amp; Del-Toro-Sánchez, C. L. (2021). Evaluation of quality, antioxidant capacity, and digestibility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cv </w:t>
      </w:r>
      <w:proofErr w:type="spellStart"/>
      <w:r w:rsidRPr="005C37D7">
        <w:rPr>
          <w:rFonts w:ascii="Times New Roman" w:eastAsia="Times New Roman" w:hAnsi="Times New Roman" w:cs="Times New Roman"/>
          <w:sz w:val="24"/>
          <w:szCs w:val="24"/>
          <w:lang w:eastAsia="en-IN"/>
        </w:rPr>
        <w:t>Blanoro</w:t>
      </w:r>
      <w:proofErr w:type="spellEnd"/>
      <w:r w:rsidRPr="005C37D7">
        <w:rPr>
          <w:rFonts w:ascii="Times New Roman" w:eastAsia="Times New Roman" w:hAnsi="Times New Roman" w:cs="Times New Roman"/>
          <w:sz w:val="24"/>
          <w:szCs w:val="24"/>
          <w:lang w:eastAsia="en-IN"/>
        </w:rPr>
        <w:t>) stored under N</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and CO</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atmospheres.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(9), 2773. </w:t>
      </w:r>
      <w:hyperlink r:id="rId44" w:history="1">
        <w:r w:rsidRPr="005C37D7">
          <w:rPr>
            <w:rStyle w:val="Hyperlink"/>
            <w:rFonts w:ascii="Times New Roman" w:eastAsia="Times New Roman" w:hAnsi="Times New Roman" w:cs="Times New Roman"/>
            <w:sz w:val="24"/>
            <w:szCs w:val="24"/>
            <w:lang w:eastAsia="en-IN"/>
          </w:rPr>
          <w:t>https://doi.org/10.3390/molecules26092773</w:t>
        </w:r>
      </w:hyperlink>
      <w:r w:rsidRPr="005C37D7">
        <w:rPr>
          <w:rFonts w:ascii="Times New Roman" w:eastAsia="Times New Roman" w:hAnsi="Times New Roman" w:cs="Times New Roman"/>
          <w:sz w:val="24"/>
          <w:szCs w:val="24"/>
          <w:lang w:eastAsia="en-IN"/>
        </w:rPr>
        <w:t xml:space="preserve"> </w:t>
      </w:r>
    </w:p>
    <w:p w14:paraId="5C05F164" w14:textId="77777777" w:rsidR="00DE5238" w:rsidRPr="00F270FD" w:rsidRDefault="00DE5238" w:rsidP="00DE5238">
      <w:pPr>
        <w:numPr>
          <w:ilvl w:val="0"/>
          <w:numId w:val="11"/>
        </w:numPr>
        <w:spacing w:before="120" w:after="120" w:line="360" w:lineRule="auto"/>
        <w:jc w:val="both"/>
        <w:rPr>
          <w:rFonts w:ascii="Times New Roman" w:hAnsi="Times New Roman" w:cs="Times New Roman"/>
          <w:sz w:val="24"/>
          <w:szCs w:val="24"/>
        </w:rPr>
      </w:pPr>
      <w:r w:rsidRPr="00F270FD">
        <w:rPr>
          <w:rFonts w:ascii="Times New Roman" w:hAnsi="Times New Roman" w:cs="Times New Roman"/>
          <w:sz w:val="24"/>
          <w:szCs w:val="24"/>
          <w:shd w:val="clear" w:color="auto" w:fill="FFFFFF"/>
        </w:rPr>
        <w:t>Pippal, S. S., Sharma, M., Tiwari, S., Gupta, N.&amp; Tripathi, M.</w:t>
      </w:r>
      <w:r w:rsidRPr="00F270FD">
        <w:rPr>
          <w:rFonts w:ascii="Times New Roman" w:hAnsi="Times New Roman" w:cs="Times New Roman"/>
          <w:sz w:val="24"/>
          <w:szCs w:val="24"/>
        </w:rPr>
        <w:t xml:space="preserve"> (</w:t>
      </w:r>
      <w:r w:rsidRPr="00F270FD">
        <w:rPr>
          <w:rFonts w:ascii="Times New Roman" w:hAnsi="Times New Roman" w:cs="Times New Roman"/>
          <w:sz w:val="24"/>
          <w:szCs w:val="24"/>
          <w:shd w:val="clear" w:color="auto" w:fill="FFFFFF"/>
        </w:rPr>
        <w:t xml:space="preserve">2022). </w:t>
      </w:r>
      <w:hyperlink r:id="rId45" w:history="1">
        <w:r w:rsidRPr="00F270FD">
          <w:rPr>
            <w:rFonts w:ascii="Times New Roman" w:hAnsi="Times New Roman" w:cs="Times New Roman"/>
            <w:sz w:val="24"/>
            <w:szCs w:val="24"/>
            <w:shd w:val="clear" w:color="auto" w:fill="FFFFFF"/>
          </w:rPr>
          <w:t>Impact of biochemical constituents of varieties against mustard aphid (</w:t>
        </w:r>
        <w:proofErr w:type="spellStart"/>
        <w:r w:rsidRPr="00F270FD">
          <w:rPr>
            <w:rFonts w:ascii="Times New Roman" w:hAnsi="Times New Roman" w:cs="Times New Roman"/>
            <w:i/>
            <w:iCs/>
            <w:sz w:val="24"/>
            <w:szCs w:val="24"/>
            <w:shd w:val="clear" w:color="auto" w:fill="FFFFFF"/>
          </w:rPr>
          <w:t>Lipaphis</w:t>
        </w:r>
        <w:proofErr w:type="spellEnd"/>
        <w:r w:rsidRPr="00F270FD">
          <w:rPr>
            <w:rFonts w:ascii="Times New Roman" w:hAnsi="Times New Roman" w:cs="Times New Roman"/>
            <w:i/>
            <w:iCs/>
            <w:sz w:val="24"/>
            <w:szCs w:val="24"/>
            <w:shd w:val="clear" w:color="auto" w:fill="FFFFFF"/>
          </w:rPr>
          <w:t xml:space="preserve"> </w:t>
        </w:r>
        <w:proofErr w:type="spellStart"/>
        <w:r w:rsidRPr="00F270FD">
          <w:rPr>
            <w:rFonts w:ascii="Times New Roman" w:hAnsi="Times New Roman" w:cs="Times New Roman"/>
            <w:i/>
            <w:iCs/>
            <w:sz w:val="24"/>
            <w:szCs w:val="24"/>
            <w:shd w:val="clear" w:color="auto" w:fill="FFFFFF"/>
          </w:rPr>
          <w:t>erysimi</w:t>
        </w:r>
        <w:proofErr w:type="spellEnd"/>
        <w:r w:rsidRPr="00F270FD">
          <w:rPr>
            <w:rFonts w:ascii="Times New Roman" w:hAnsi="Times New Roman" w:cs="Times New Roman"/>
            <w:sz w:val="24"/>
            <w:szCs w:val="24"/>
            <w:shd w:val="clear" w:color="auto" w:fill="FFFFFF"/>
          </w:rPr>
          <w:t xml:space="preserve"> </w:t>
        </w:r>
        <w:proofErr w:type="spellStart"/>
        <w:r w:rsidRPr="00F270FD">
          <w:rPr>
            <w:rFonts w:ascii="Times New Roman" w:hAnsi="Times New Roman" w:cs="Times New Roman"/>
            <w:sz w:val="24"/>
            <w:szCs w:val="24"/>
            <w:shd w:val="clear" w:color="auto" w:fill="FFFFFF"/>
          </w:rPr>
          <w:t>Kalt</w:t>
        </w:r>
        <w:proofErr w:type="spellEnd"/>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sz w:val="24"/>
            <w:szCs w:val="24"/>
            <w:shd w:val="clear" w:color="auto" w:fill="FFFFFF"/>
          </w:rPr>
          <w:lastRenderedPageBreak/>
          <w:t>infestation</w:t>
        </w:r>
      </w:hyperlink>
      <w:r w:rsidRPr="00F270FD">
        <w:rPr>
          <w:rFonts w:ascii="Times New Roman" w:hAnsi="Times New Roman" w:cs="Times New Roman"/>
          <w:sz w:val="24"/>
          <w:szCs w:val="24"/>
        </w:rPr>
        <w:t>.</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International Journal of Pharmacognosy and Pharmaceutical Sciences</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4</w:t>
      </w:r>
      <w:r w:rsidRPr="00F270FD">
        <w:rPr>
          <w:rFonts w:ascii="Times New Roman" w:hAnsi="Times New Roman" w:cs="Times New Roman"/>
          <w:sz w:val="24"/>
          <w:szCs w:val="24"/>
          <w:shd w:val="clear" w:color="auto" w:fill="FFFFFF"/>
        </w:rPr>
        <w:t>(1): 66-70.</w:t>
      </w:r>
    </w:p>
    <w:p w14:paraId="6B0A75A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Quintero-Soto, M. F., Saracho-Peña, A. G., Chavez-Ontiveros, J., Garzon-Tiznado, J. A., Pineda-Hidalgo, K. v., Delgado-Vargas, F., &amp; Lopez-Valenzuela, J. A. (2018). Phenolic profiles and their contribution to the antioxidant activity of selected chickpea genotypes from Mexico and ICRISAT collections. </w:t>
      </w:r>
      <w:r w:rsidRPr="005C37D7">
        <w:rPr>
          <w:rFonts w:ascii="Times New Roman" w:eastAsia="Times New Roman" w:hAnsi="Times New Roman" w:cs="Times New Roman"/>
          <w:i/>
          <w:iCs/>
          <w:sz w:val="24"/>
          <w:szCs w:val="24"/>
          <w:lang w:eastAsia="en-IN"/>
        </w:rPr>
        <w:t>Plant Foods for Human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73</w:t>
      </w:r>
      <w:r w:rsidRPr="005C37D7">
        <w:rPr>
          <w:rFonts w:ascii="Times New Roman" w:eastAsia="Times New Roman" w:hAnsi="Times New Roman" w:cs="Times New Roman"/>
          <w:sz w:val="24"/>
          <w:szCs w:val="24"/>
          <w:lang w:eastAsia="en-IN"/>
        </w:rPr>
        <w:t xml:space="preserve">(2), 122–129. </w:t>
      </w:r>
      <w:hyperlink r:id="rId46" w:history="1">
        <w:r w:rsidRPr="005C37D7">
          <w:rPr>
            <w:rStyle w:val="Hyperlink"/>
            <w:rFonts w:ascii="Times New Roman" w:eastAsia="Times New Roman" w:hAnsi="Times New Roman" w:cs="Times New Roman"/>
            <w:sz w:val="24"/>
            <w:szCs w:val="24"/>
            <w:lang w:eastAsia="en-IN"/>
          </w:rPr>
          <w:t>https://doi.org/10.1007/s11130-018-0661-6</w:t>
        </w:r>
      </w:hyperlink>
      <w:r w:rsidRPr="005C37D7">
        <w:rPr>
          <w:rFonts w:ascii="Times New Roman" w:eastAsia="Times New Roman" w:hAnsi="Times New Roman" w:cs="Times New Roman"/>
          <w:sz w:val="24"/>
          <w:szCs w:val="24"/>
          <w:lang w:eastAsia="en-IN"/>
        </w:rPr>
        <w:t xml:space="preserve"> </w:t>
      </w:r>
    </w:p>
    <w:p w14:paraId="0B513A5A"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51849">
        <w:rPr>
          <w:rFonts w:ascii="Times New Roman" w:hAnsi="Times New Roman" w:cs="Times New Roman"/>
          <w:sz w:val="24"/>
          <w:szCs w:val="24"/>
          <w:shd w:val="clear" w:color="auto" w:fill="FFFFFF"/>
        </w:rPr>
        <w:t xml:space="preserve">Rana. S.S., Tiwari, S., Gupta, N., Tripathi, M.K., Tripathi, N., Singh, S.&amp; </w:t>
      </w:r>
      <w:proofErr w:type="spellStart"/>
      <w:r w:rsidRPr="00651849">
        <w:rPr>
          <w:rFonts w:ascii="Times New Roman" w:hAnsi="Times New Roman" w:cs="Times New Roman"/>
          <w:sz w:val="24"/>
          <w:szCs w:val="24"/>
          <w:shd w:val="clear" w:color="auto" w:fill="FFFFFF"/>
        </w:rPr>
        <w:t>Bhagyawant</w:t>
      </w:r>
      <w:proofErr w:type="spellEnd"/>
      <w:r w:rsidRPr="00651849">
        <w:rPr>
          <w:rFonts w:ascii="Times New Roman" w:hAnsi="Times New Roman" w:cs="Times New Roman"/>
          <w:sz w:val="24"/>
          <w:szCs w:val="24"/>
          <w:shd w:val="clear" w:color="auto" w:fill="FFFFFF"/>
        </w:rPr>
        <w:t>, S.S. (2023). Validating the nutraceutical significance of minor millets by employing nutritional–antinutritional profiling. </w:t>
      </w:r>
      <w:r w:rsidRPr="00651849">
        <w:rPr>
          <w:rStyle w:val="Emphasis"/>
          <w:rFonts w:ascii="Times New Roman" w:hAnsi="Times New Roman" w:cs="Times New Roman"/>
          <w:shd w:val="clear" w:color="auto" w:fill="FFFFFF"/>
        </w:rPr>
        <w:t>Life,</w:t>
      </w:r>
      <w:r w:rsidRPr="00651849">
        <w:rPr>
          <w:rFonts w:ascii="Times New Roman" w:hAnsi="Times New Roman" w:cs="Times New Roman"/>
          <w:sz w:val="24"/>
          <w:szCs w:val="24"/>
          <w:shd w:val="clear" w:color="auto" w:fill="FFFFFF"/>
        </w:rPr>
        <w:t xml:space="preserve"> 13(9):1918. </w:t>
      </w:r>
      <w:hyperlink r:id="rId47" w:history="1">
        <w:r w:rsidRPr="00651849">
          <w:rPr>
            <w:rStyle w:val="Hyperlink"/>
            <w:rFonts w:ascii="Times New Roman" w:hAnsi="Times New Roman" w:cs="Times New Roman"/>
            <w:color w:val="auto"/>
            <w:sz w:val="24"/>
            <w:szCs w:val="24"/>
            <w:shd w:val="clear" w:color="auto" w:fill="FFFFFF"/>
          </w:rPr>
          <w:t>https://doi.org/10.3390/life13091918</w:t>
        </w:r>
      </w:hyperlink>
    </w:p>
    <w:p w14:paraId="463853B4" w14:textId="77777777" w:rsidR="00DE5238" w:rsidRPr="00EC7E1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EC7E1E">
        <w:rPr>
          <w:rFonts w:ascii="Times New Roman" w:eastAsia="Times New Roman" w:hAnsi="Times New Roman" w:cs="Times New Roman"/>
          <w:sz w:val="24"/>
          <w:szCs w:val="24"/>
          <w:lang w:eastAsia="en-IN"/>
        </w:rPr>
        <w:t xml:space="preserve"> Rajpoot, S. S., Tripathi, M. K., </w:t>
      </w:r>
      <w:proofErr w:type="spellStart"/>
      <w:r w:rsidRPr="00EC7E1E">
        <w:rPr>
          <w:rFonts w:ascii="Times New Roman" w:eastAsia="Times New Roman" w:hAnsi="Times New Roman" w:cs="Times New Roman"/>
          <w:sz w:val="24"/>
          <w:szCs w:val="24"/>
          <w:lang w:eastAsia="en-IN"/>
        </w:rPr>
        <w:t>Payasi</w:t>
      </w:r>
      <w:proofErr w:type="spellEnd"/>
      <w:r w:rsidRPr="00EC7E1E">
        <w:rPr>
          <w:rFonts w:ascii="Times New Roman" w:eastAsia="Times New Roman" w:hAnsi="Times New Roman" w:cs="Times New Roman"/>
          <w:sz w:val="24"/>
          <w:szCs w:val="24"/>
          <w:lang w:eastAsia="en-IN"/>
        </w:rPr>
        <w:t>, D. K., Mishra, R., Sharma, S., Sikarwar, R. S., &amp; Tiwari, P. N. (2025). Estimation of genetic diversity in desi chickpea (</w:t>
      </w:r>
      <w:r w:rsidRPr="00EC7E1E">
        <w:rPr>
          <w:rFonts w:ascii="Times New Roman" w:eastAsia="Times New Roman" w:hAnsi="Times New Roman" w:cs="Times New Roman"/>
          <w:i/>
          <w:sz w:val="24"/>
          <w:szCs w:val="24"/>
          <w:lang w:eastAsia="en-IN"/>
        </w:rPr>
        <w:t>Cicer arietinum</w:t>
      </w:r>
      <w:r w:rsidRPr="00EC7E1E">
        <w:rPr>
          <w:rFonts w:ascii="Times New Roman" w:eastAsia="Times New Roman" w:hAnsi="Times New Roman" w:cs="Times New Roman"/>
          <w:sz w:val="24"/>
          <w:szCs w:val="24"/>
          <w:lang w:eastAsia="en-IN"/>
        </w:rPr>
        <w:t xml:space="preserve"> L.) genotypes employing microsatellites. </w:t>
      </w:r>
      <w:r w:rsidRPr="00EC7E1E">
        <w:rPr>
          <w:rFonts w:ascii="Times New Roman" w:eastAsia="Times New Roman" w:hAnsi="Times New Roman" w:cs="Times New Roman"/>
          <w:i/>
          <w:iCs/>
          <w:sz w:val="24"/>
          <w:szCs w:val="24"/>
          <w:lang w:eastAsia="en-IN"/>
        </w:rPr>
        <w:t>Plant Cell Biotechnology &amp; Molecular Biology</w:t>
      </w:r>
      <w:r w:rsidRPr="00EC7E1E">
        <w:rPr>
          <w:rFonts w:ascii="Times New Roman" w:eastAsia="Times New Roman" w:hAnsi="Times New Roman" w:cs="Times New Roman"/>
          <w:sz w:val="24"/>
          <w:szCs w:val="24"/>
          <w:lang w:eastAsia="en-IN"/>
        </w:rPr>
        <w:t xml:space="preserve">, </w:t>
      </w:r>
      <w:r w:rsidRPr="00EC7E1E">
        <w:rPr>
          <w:rFonts w:ascii="Times New Roman" w:eastAsia="Times New Roman" w:hAnsi="Times New Roman" w:cs="Times New Roman"/>
          <w:i/>
          <w:iCs/>
          <w:sz w:val="24"/>
          <w:szCs w:val="24"/>
          <w:lang w:eastAsia="en-IN"/>
        </w:rPr>
        <w:t>26</w:t>
      </w:r>
      <w:r w:rsidRPr="00EC7E1E">
        <w:rPr>
          <w:rFonts w:ascii="Times New Roman" w:eastAsia="Times New Roman" w:hAnsi="Times New Roman" w:cs="Times New Roman"/>
          <w:sz w:val="24"/>
          <w:szCs w:val="24"/>
          <w:lang w:eastAsia="en-IN"/>
        </w:rPr>
        <w:t xml:space="preserve">(9–10), 48–60. </w:t>
      </w:r>
      <w:hyperlink r:id="rId48" w:history="1">
        <w:r w:rsidRPr="00EC7E1E">
          <w:rPr>
            <w:rStyle w:val="Hyperlink"/>
            <w:rFonts w:ascii="Times New Roman" w:eastAsia="Times New Roman" w:hAnsi="Times New Roman" w:cs="Times New Roman"/>
            <w:color w:val="auto"/>
            <w:sz w:val="24"/>
            <w:szCs w:val="24"/>
            <w:lang w:eastAsia="en-IN"/>
          </w:rPr>
          <w:t>https://doi.org/10.56557/pcbmb/2025/v26i9-109668</w:t>
        </w:r>
      </w:hyperlink>
    </w:p>
    <w:p w14:paraId="79F00564" w14:textId="77777777" w:rsidR="00DE5238" w:rsidRPr="00EC7E1E"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EC7E1E">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EC7E1E">
        <w:rPr>
          <w:rFonts w:ascii="Times New Roman" w:hAnsi="Times New Roman" w:cs="Times New Roman"/>
          <w:i/>
          <w:iCs/>
          <w:sz w:val="24"/>
          <w:szCs w:val="24"/>
          <w:shd w:val="clear" w:color="auto" w:fill="FFFFFF"/>
        </w:rPr>
        <w:t>Cicer arietinum</w:t>
      </w:r>
      <w:r w:rsidRPr="00EC7E1E">
        <w:rPr>
          <w:rFonts w:ascii="Times New Roman" w:hAnsi="Times New Roman" w:cs="Times New Roman"/>
          <w:sz w:val="24"/>
          <w:szCs w:val="24"/>
          <w:shd w:val="clear" w:color="auto" w:fill="FFFFFF"/>
        </w:rPr>
        <w:t xml:space="preserve"> L.) genotypes. In book: Advances in Agricultural Biotechnology, </w:t>
      </w:r>
      <w:r w:rsidRPr="00EC7E1E">
        <w:rPr>
          <w:rFonts w:ascii="Times New Roman" w:hAnsi="Times New Roman" w:cs="Times New Roman"/>
          <w:i/>
          <w:iCs/>
          <w:sz w:val="24"/>
          <w:szCs w:val="24"/>
          <w:shd w:val="clear" w:color="auto" w:fill="FFFFFF"/>
        </w:rPr>
        <w:t>12</w:t>
      </w:r>
      <w:r w:rsidRPr="00EC7E1E">
        <w:rPr>
          <w:rFonts w:ascii="Times New Roman" w:hAnsi="Times New Roman" w:cs="Times New Roman"/>
          <w:sz w:val="24"/>
          <w:szCs w:val="24"/>
          <w:shd w:val="clear" w:color="auto" w:fill="FFFFFF"/>
        </w:rPr>
        <w:t>:57-76.</w:t>
      </w:r>
    </w:p>
    <w:p w14:paraId="080BC7D7"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rPr>
        <w:t>Rajput, S., Jain, S., Tripathi, N., Barela, A., &amp; Tripathi, M.K. (2025b). Detection of chickpea (</w:t>
      </w:r>
      <w:r w:rsidRPr="00763EC3">
        <w:rPr>
          <w:rFonts w:ascii="Times New Roman" w:hAnsi="Times New Roman" w:cs="Times New Roman"/>
          <w:i/>
          <w:iCs/>
          <w:sz w:val="24"/>
          <w:szCs w:val="24"/>
          <w:shd w:val="clear" w:color="auto" w:fill="FFFFFF"/>
        </w:rPr>
        <w:t>Cicer arietinum</w:t>
      </w:r>
      <w:r w:rsidRPr="00763EC3">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763EC3">
        <w:rPr>
          <w:rFonts w:ascii="Times New Roman" w:hAnsi="Times New Roman" w:cs="Times New Roman"/>
          <w:i/>
          <w:iCs/>
          <w:sz w:val="24"/>
          <w:szCs w:val="24"/>
          <w:shd w:val="clear" w:color="auto" w:fill="FFFFFF"/>
        </w:rPr>
        <w:t>18</w:t>
      </w:r>
      <w:r w:rsidRPr="00763EC3">
        <w:rPr>
          <w:rFonts w:ascii="Times New Roman" w:hAnsi="Times New Roman" w:cs="Times New Roman"/>
          <w:sz w:val="24"/>
          <w:szCs w:val="24"/>
          <w:shd w:val="clear" w:color="auto" w:fill="FFFFFF"/>
        </w:rPr>
        <w:t>: 77-94.</w:t>
      </w:r>
    </w:p>
    <w:p w14:paraId="46FE35FB" w14:textId="77777777" w:rsidR="00DE5238" w:rsidRPr="00821D48"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821D48">
        <w:rPr>
          <w:rFonts w:ascii="Times New Roman" w:hAnsi="Times New Roman" w:cs="Times New Roman"/>
          <w:color w:val="auto"/>
        </w:rPr>
        <w:t>Rajput, S., Jain, S., Tiwari, S., Barela, A., Chauhan, S., Tiwari, P.N., Gupta, N., Sikarwar, R.S., Tripathi, N., &amp; Tripathi, M. K. (2023a). Biochemical characterization of chickpea (</w:t>
      </w:r>
      <w:r w:rsidRPr="00821D48">
        <w:rPr>
          <w:rFonts w:ascii="Times New Roman" w:hAnsi="Times New Roman" w:cs="Times New Roman"/>
          <w:i/>
          <w:iCs/>
          <w:color w:val="auto"/>
        </w:rPr>
        <w:t>Cicer arietinum</w:t>
      </w:r>
      <w:r w:rsidRPr="00821D48">
        <w:rPr>
          <w:rFonts w:ascii="Times New Roman" w:hAnsi="Times New Roman" w:cs="Times New Roman"/>
          <w:color w:val="auto"/>
        </w:rPr>
        <w:t xml:space="preserve"> L.) genotypes. </w:t>
      </w:r>
      <w:r w:rsidRPr="00821D48">
        <w:rPr>
          <w:rFonts w:ascii="Times New Roman" w:hAnsi="Times New Roman" w:cs="Times New Roman"/>
          <w:i/>
          <w:iCs/>
          <w:color w:val="auto"/>
        </w:rPr>
        <w:t xml:space="preserve">Plant Cell </w:t>
      </w:r>
      <w:proofErr w:type="spellStart"/>
      <w:r w:rsidRPr="00821D48">
        <w:rPr>
          <w:rFonts w:ascii="Times New Roman" w:hAnsi="Times New Roman" w:cs="Times New Roman"/>
          <w:i/>
          <w:iCs/>
          <w:color w:val="auto"/>
        </w:rPr>
        <w:t>Biotechnol</w:t>
      </w:r>
      <w:proofErr w:type="spellEnd"/>
      <w:r w:rsidRPr="00821D48">
        <w:rPr>
          <w:rFonts w:ascii="Times New Roman" w:hAnsi="Times New Roman" w:cs="Times New Roman"/>
          <w:i/>
          <w:iCs/>
          <w:color w:val="auto"/>
        </w:rPr>
        <w:t>. &amp; Mol. Biol</w:t>
      </w:r>
      <w:r w:rsidRPr="00821D48">
        <w:rPr>
          <w:rFonts w:ascii="Times New Roman" w:hAnsi="Times New Roman" w:cs="Times New Roman"/>
          <w:color w:val="auto"/>
        </w:rPr>
        <w:t xml:space="preserve">. </w:t>
      </w:r>
      <w:r w:rsidRPr="00821D48">
        <w:rPr>
          <w:rFonts w:ascii="Times New Roman" w:hAnsi="Times New Roman" w:cs="Times New Roman"/>
          <w:i/>
          <w:iCs/>
          <w:color w:val="auto"/>
        </w:rPr>
        <w:t>24</w:t>
      </w:r>
      <w:r w:rsidRPr="00821D48">
        <w:rPr>
          <w:rFonts w:ascii="Times New Roman" w:hAnsi="Times New Roman" w:cs="Times New Roman"/>
          <w:color w:val="auto"/>
        </w:rPr>
        <w:t xml:space="preserve"> (3-4): 1-9. 10.56557/PCBMB/2023/v24i3-48239.</w:t>
      </w:r>
    </w:p>
    <w:p w14:paraId="2169C4D6"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val="en-GB"/>
        </w:rPr>
        <w:t>Rajput, S., Jain, S., Tiwari, S., Sikarwar, R.S., Tripathi, N., Barela, A., &amp; Tripathi, M.K. (2023b).  Evaluation of gene-based markers against Fusarium wilt disease in chickpea (</w:t>
      </w:r>
      <w:r w:rsidRPr="00763EC3">
        <w:rPr>
          <w:rFonts w:ascii="Times New Roman" w:hAnsi="Times New Roman" w:cs="Times New Roman"/>
          <w:i/>
          <w:iCs/>
          <w:sz w:val="24"/>
          <w:szCs w:val="24"/>
          <w:shd w:val="clear" w:color="auto" w:fill="FFFFFF"/>
          <w:lang w:val="en-GB"/>
        </w:rPr>
        <w:t>Cicer arietinum</w:t>
      </w:r>
      <w:r w:rsidRPr="00763EC3">
        <w:rPr>
          <w:rFonts w:ascii="Times New Roman" w:hAnsi="Times New Roman" w:cs="Times New Roman"/>
          <w:sz w:val="24"/>
          <w:szCs w:val="24"/>
          <w:shd w:val="clear" w:color="auto" w:fill="FFFFFF"/>
          <w:lang w:val="en-GB"/>
        </w:rPr>
        <w:t xml:space="preserve"> L.). </w:t>
      </w:r>
      <w:r w:rsidRPr="00763EC3">
        <w:rPr>
          <w:rFonts w:ascii="Times New Roman" w:hAnsi="Times New Roman" w:cs="Times New Roman"/>
          <w:i/>
          <w:iCs/>
          <w:sz w:val="24"/>
          <w:szCs w:val="24"/>
          <w:shd w:val="clear" w:color="auto" w:fill="FFFFFF"/>
          <w:lang w:val="en-GB"/>
        </w:rPr>
        <w:t>Current Journal of Applied Science and Technology</w:t>
      </w:r>
      <w:r w:rsidRPr="00763EC3">
        <w:rPr>
          <w:rFonts w:ascii="Times New Roman" w:hAnsi="Times New Roman" w:cs="Times New Roman"/>
          <w:sz w:val="24"/>
          <w:szCs w:val="24"/>
          <w:shd w:val="clear" w:color="auto" w:fill="FFFFFF"/>
          <w:lang w:val="en-GB"/>
        </w:rPr>
        <w:t xml:space="preserve">, </w:t>
      </w:r>
      <w:r w:rsidRPr="00763EC3">
        <w:rPr>
          <w:rFonts w:ascii="Times New Roman" w:hAnsi="Times New Roman" w:cs="Times New Roman"/>
          <w:i/>
          <w:iCs/>
          <w:sz w:val="24"/>
          <w:szCs w:val="24"/>
          <w:shd w:val="clear" w:color="auto" w:fill="FFFFFF"/>
          <w:lang w:val="en-GB"/>
        </w:rPr>
        <w:t>42</w:t>
      </w:r>
      <w:r w:rsidRPr="00763EC3">
        <w:rPr>
          <w:rFonts w:ascii="Times New Roman" w:hAnsi="Times New Roman" w:cs="Times New Roman"/>
          <w:sz w:val="24"/>
          <w:szCs w:val="24"/>
          <w:shd w:val="clear" w:color="auto" w:fill="FFFFFF"/>
          <w:lang w:val="en-GB"/>
        </w:rPr>
        <w:t>(6): 26-32.</w:t>
      </w:r>
    </w:p>
    <w:p w14:paraId="323532E4" w14:textId="77777777" w:rsidR="00DE5238" w:rsidRPr="00F270FD"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F270FD">
        <w:rPr>
          <w:rFonts w:ascii="Times New Roman" w:eastAsia="Arial MT" w:hAnsi="Times New Roman" w:cs="Times New Roman"/>
          <w:noProof/>
          <w:sz w:val="24"/>
          <w:szCs w:val="24"/>
          <w:lang w:eastAsia="zh-CN"/>
        </w:rPr>
        <w:t xml:space="preserve">Rathore, M.S., Tiwari, S., Tripathi, M.K., Gupta, N., Yadav, S., Singh, S.&amp; Tomar, R.S. (2022). Genetic diversity analysis of groundnut germplasm lines in respect to early and late leaf spot diseases and biochemical traits. </w:t>
      </w:r>
      <w:r w:rsidRPr="00F270FD">
        <w:rPr>
          <w:rFonts w:ascii="Times New Roman" w:eastAsia="Arial MT" w:hAnsi="Times New Roman" w:cs="Times New Roman"/>
          <w:i/>
          <w:iCs/>
          <w:noProof/>
          <w:sz w:val="24"/>
          <w:szCs w:val="24"/>
          <w:lang w:eastAsia="zh-CN"/>
        </w:rPr>
        <w:t>Legume Research</w:t>
      </w:r>
      <w:r w:rsidRPr="00F270FD">
        <w:rPr>
          <w:rFonts w:ascii="Times New Roman" w:eastAsia="Arial MT" w:hAnsi="Times New Roman" w:cs="Times New Roman"/>
          <w:noProof/>
          <w:sz w:val="24"/>
          <w:szCs w:val="24"/>
          <w:lang w:eastAsia="zh-CN"/>
        </w:rPr>
        <w:t>; DOI: 10.18805/LR-4833.</w:t>
      </w:r>
    </w:p>
    <w:p w14:paraId="65C26B8F"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eastAsia="Times New Roman" w:hAnsi="Times New Roman" w:cs="Times New Roman"/>
          <w:sz w:val="24"/>
          <w:szCs w:val="24"/>
        </w:rPr>
        <w:lastRenderedPageBreak/>
        <w:t xml:space="preserve">Sahu, V. K., Tiwari, S., Gupta, N., Tripathi, M.K., &amp;Yasin, M. (2020). Evaluation of physiological and biochemical contents in desi and Kabuli chickpea. </w:t>
      </w:r>
      <w:r w:rsidRPr="00763EC3">
        <w:rPr>
          <w:rFonts w:ascii="Times New Roman" w:eastAsia="Times New Roman" w:hAnsi="Times New Roman" w:cs="Times New Roman"/>
          <w:i/>
          <w:iCs/>
          <w:sz w:val="24"/>
          <w:szCs w:val="24"/>
        </w:rPr>
        <w:t>Legume Research</w:t>
      </w:r>
      <w:r w:rsidRPr="00763EC3">
        <w:rPr>
          <w:rFonts w:ascii="Times New Roman" w:eastAsia="Times New Roman" w:hAnsi="Times New Roman" w:cs="Times New Roman"/>
          <w:sz w:val="24"/>
          <w:szCs w:val="24"/>
        </w:rPr>
        <w:t>,</w:t>
      </w:r>
      <w:r w:rsidRPr="00763EC3">
        <w:rPr>
          <w:rFonts w:ascii="Times New Roman" w:eastAsia="Times New Roman" w:hAnsi="Times New Roman" w:cs="Times New Roman"/>
          <w:sz w:val="24"/>
          <w:szCs w:val="24"/>
          <w:shd w:val="clear" w:color="auto" w:fill="FFFFFF"/>
        </w:rPr>
        <w:t xml:space="preserve"> DOI:10.18805/LR-4265.</w:t>
      </w:r>
    </w:p>
    <w:p w14:paraId="6EA53B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Saikumar, H., </w:t>
      </w:r>
      <w:proofErr w:type="spellStart"/>
      <w:r w:rsidRPr="005C37D7">
        <w:rPr>
          <w:rFonts w:ascii="Times New Roman" w:eastAsia="Times New Roman" w:hAnsi="Times New Roman" w:cs="Times New Roman"/>
          <w:sz w:val="24"/>
          <w:szCs w:val="24"/>
          <w:lang w:eastAsia="en-IN"/>
        </w:rPr>
        <w:t>Yerrabala</w:t>
      </w:r>
      <w:proofErr w:type="spellEnd"/>
      <w:r w:rsidRPr="005C37D7">
        <w:rPr>
          <w:rFonts w:ascii="Times New Roman" w:eastAsia="Times New Roman" w:hAnsi="Times New Roman" w:cs="Times New Roman"/>
          <w:sz w:val="24"/>
          <w:szCs w:val="24"/>
          <w:lang w:eastAsia="en-IN"/>
        </w:rPr>
        <w:t xml:space="preserve">, S., Lavanya, G. R., </w:t>
      </w:r>
      <w:proofErr w:type="spellStart"/>
      <w:r w:rsidRPr="005C37D7">
        <w:rPr>
          <w:rFonts w:ascii="Times New Roman" w:eastAsia="Times New Roman" w:hAnsi="Times New Roman" w:cs="Times New Roman"/>
          <w:sz w:val="24"/>
          <w:szCs w:val="24"/>
          <w:lang w:eastAsia="en-IN"/>
        </w:rPr>
        <w:t>Babithraj</w:t>
      </w:r>
      <w:proofErr w:type="spellEnd"/>
      <w:r w:rsidRPr="005C37D7">
        <w:rPr>
          <w:rFonts w:ascii="Times New Roman" w:eastAsia="Times New Roman" w:hAnsi="Times New Roman" w:cs="Times New Roman"/>
          <w:sz w:val="24"/>
          <w:szCs w:val="24"/>
          <w:lang w:eastAsia="en-IN"/>
        </w:rPr>
        <w:t xml:space="preserve"> Goud, G., Vinod Kumar Reddy, Y., &amp; Sharmila, V. (2021). Association, direct and indirect effects of yield, biochemical and physiological characters on seed yield in chickpea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Environment Conservation Journal</w:t>
      </w:r>
      <w:r w:rsidRPr="005C37D7">
        <w:rPr>
          <w:rFonts w:ascii="Times New Roman" w:eastAsia="Times New Roman" w:hAnsi="Times New Roman" w:cs="Times New Roman"/>
          <w:sz w:val="24"/>
          <w:szCs w:val="24"/>
          <w:lang w:eastAsia="en-IN"/>
        </w:rPr>
        <w:t xml:space="preserve">, 169–180. </w:t>
      </w:r>
      <w:hyperlink r:id="rId49" w:history="1">
        <w:r w:rsidRPr="005C37D7">
          <w:rPr>
            <w:rStyle w:val="Hyperlink"/>
            <w:rFonts w:ascii="Times New Roman" w:eastAsia="Times New Roman" w:hAnsi="Times New Roman" w:cs="Times New Roman"/>
            <w:sz w:val="24"/>
            <w:szCs w:val="24"/>
            <w:lang w:eastAsia="en-IN"/>
          </w:rPr>
          <w:t>https://doi.org/10.36953/ECJ.2021.22321</w:t>
        </w:r>
      </w:hyperlink>
    </w:p>
    <w:p w14:paraId="53E1819E"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Saini, N., Anmol, A., Kumar, S., Wani, A. W., Bakshi, M., &amp; Dhiman, Z. (2024). Exploring phenolic compounds as natural stress alleviators in plants- a comprehensive review. </w:t>
      </w:r>
      <w:r w:rsidRPr="005C37D7">
        <w:rPr>
          <w:rFonts w:ascii="Times New Roman" w:eastAsia="Times New Roman" w:hAnsi="Times New Roman" w:cs="Times New Roman"/>
          <w:i/>
          <w:iCs/>
          <w:sz w:val="24"/>
          <w:szCs w:val="24"/>
          <w:lang w:eastAsia="en-IN"/>
        </w:rPr>
        <w:t>Physiological and Molecular Plant Pathology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133</w:t>
      </w:r>
      <w:r w:rsidRPr="005C37D7">
        <w:rPr>
          <w:rFonts w:ascii="Times New Roman" w:eastAsia="Times New Roman" w:hAnsi="Times New Roman" w:cs="Times New Roman"/>
          <w:sz w:val="24"/>
          <w:szCs w:val="24"/>
          <w:lang w:eastAsia="en-IN"/>
        </w:rPr>
        <w:t xml:space="preserve">,102383. </w:t>
      </w:r>
      <w:hyperlink r:id="rId50" w:history="1">
        <w:r w:rsidRPr="005C37D7">
          <w:rPr>
            <w:rStyle w:val="Hyperlink"/>
            <w:rFonts w:ascii="Times New Roman" w:eastAsia="Times New Roman" w:hAnsi="Times New Roman" w:cs="Times New Roman"/>
            <w:sz w:val="24"/>
            <w:szCs w:val="24"/>
            <w:lang w:eastAsia="en-IN"/>
          </w:rPr>
          <w:t>https://doi.org/10.1016/j.pmpp.2024.102383</w:t>
        </w:r>
      </w:hyperlink>
      <w:r w:rsidRPr="005C37D7">
        <w:rPr>
          <w:rFonts w:ascii="Times New Roman" w:eastAsia="Times New Roman" w:hAnsi="Times New Roman" w:cs="Times New Roman"/>
          <w:sz w:val="24"/>
          <w:szCs w:val="24"/>
          <w:lang w:eastAsia="en-IN"/>
        </w:rPr>
        <w:t xml:space="preserve"> </w:t>
      </w:r>
    </w:p>
    <w:p w14:paraId="0D367985"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04653">
        <w:rPr>
          <w:rFonts w:ascii="Times New Roman" w:hAnsi="Times New Roman" w:cs="Times New Roman"/>
          <w:sz w:val="24"/>
          <w:szCs w:val="24"/>
          <w:shd w:val="clear" w:color="auto" w:fill="FFFFFF"/>
        </w:rPr>
        <w:t xml:space="preserve">Sanja, S.D., Sheth, N.R., Patel, N.K., Patel, D. &amp;Patel, B. (2009). Characterization and evaluation of antioxidant activity of </w:t>
      </w:r>
      <w:proofErr w:type="spellStart"/>
      <w:r w:rsidRPr="00C04653">
        <w:rPr>
          <w:rFonts w:ascii="Times New Roman" w:hAnsi="Times New Roman" w:cs="Times New Roman"/>
          <w:sz w:val="24"/>
          <w:szCs w:val="24"/>
          <w:shd w:val="clear" w:color="auto" w:fill="FFFFFF"/>
        </w:rPr>
        <w:t>Portulaca</w:t>
      </w:r>
      <w:proofErr w:type="spellEnd"/>
      <w:r w:rsidRPr="00C04653">
        <w:rPr>
          <w:rFonts w:ascii="Times New Roman" w:hAnsi="Times New Roman" w:cs="Times New Roman"/>
          <w:sz w:val="24"/>
          <w:szCs w:val="24"/>
          <w:shd w:val="clear" w:color="auto" w:fill="FFFFFF"/>
        </w:rPr>
        <w:t xml:space="preserve"> </w:t>
      </w:r>
      <w:proofErr w:type="spellStart"/>
      <w:r w:rsidRPr="00C04653">
        <w:rPr>
          <w:rFonts w:ascii="Times New Roman" w:hAnsi="Times New Roman" w:cs="Times New Roman"/>
          <w:sz w:val="24"/>
          <w:szCs w:val="24"/>
          <w:shd w:val="clear" w:color="auto" w:fill="FFFFFF"/>
        </w:rPr>
        <w:t>oleraceae</w:t>
      </w:r>
      <w:proofErr w:type="spellEnd"/>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Int. J. Pharm. Sci.</w:t>
      </w:r>
      <w:r w:rsidRPr="00C04653">
        <w:rPr>
          <w:rFonts w:ascii="Times New Roman" w:hAnsi="Times New Roman" w:cs="Times New Roman"/>
          <w:sz w:val="24"/>
          <w:szCs w:val="24"/>
          <w:shd w:val="clear" w:color="auto" w:fill="FFFFFF"/>
        </w:rPr>
        <w:t> </w:t>
      </w:r>
      <w:r w:rsidRPr="00330B78">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 74-84.</w:t>
      </w:r>
    </w:p>
    <w:p w14:paraId="7DE0A51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Selwal</w:t>
      </w:r>
      <w:proofErr w:type="spellEnd"/>
      <w:r w:rsidRPr="005C37D7">
        <w:rPr>
          <w:rFonts w:ascii="Times New Roman" w:eastAsia="Times New Roman" w:hAnsi="Times New Roman" w:cs="Times New Roman"/>
          <w:sz w:val="24"/>
          <w:szCs w:val="24"/>
          <w:lang w:eastAsia="en-IN"/>
        </w:rPr>
        <w:t xml:space="preserve">, N., Rahayu, F., </w:t>
      </w:r>
      <w:proofErr w:type="spellStart"/>
      <w:r w:rsidRPr="005C37D7">
        <w:rPr>
          <w:rFonts w:ascii="Times New Roman" w:eastAsia="Times New Roman" w:hAnsi="Times New Roman" w:cs="Times New Roman"/>
          <w:sz w:val="24"/>
          <w:szCs w:val="24"/>
          <w:lang w:eastAsia="en-IN"/>
        </w:rPr>
        <w:t>Herwati</w:t>
      </w:r>
      <w:proofErr w:type="spellEnd"/>
      <w:r w:rsidRPr="005C37D7">
        <w:rPr>
          <w:rFonts w:ascii="Times New Roman" w:eastAsia="Times New Roman" w:hAnsi="Times New Roman" w:cs="Times New Roman"/>
          <w:sz w:val="24"/>
          <w:szCs w:val="24"/>
          <w:lang w:eastAsia="en-IN"/>
        </w:rPr>
        <w:t xml:space="preserve">, A., Latifah, E., </w:t>
      </w:r>
      <w:proofErr w:type="spellStart"/>
      <w:r w:rsidRPr="005C37D7">
        <w:rPr>
          <w:rFonts w:ascii="Times New Roman" w:eastAsia="Times New Roman" w:hAnsi="Times New Roman" w:cs="Times New Roman"/>
          <w:sz w:val="24"/>
          <w:szCs w:val="24"/>
          <w:lang w:eastAsia="en-IN"/>
        </w:rPr>
        <w:t>Supriyono</w:t>
      </w:r>
      <w:proofErr w:type="spellEnd"/>
      <w:r w:rsidRPr="005C37D7">
        <w:rPr>
          <w:rFonts w:ascii="Times New Roman" w:eastAsia="Times New Roman" w:hAnsi="Times New Roman" w:cs="Times New Roman"/>
          <w:sz w:val="24"/>
          <w:szCs w:val="24"/>
          <w:lang w:eastAsia="en-IN"/>
        </w:rPr>
        <w:t xml:space="preserve">, </w:t>
      </w:r>
      <w:proofErr w:type="spellStart"/>
      <w:r w:rsidRPr="005C37D7">
        <w:rPr>
          <w:rFonts w:ascii="Times New Roman" w:eastAsia="Times New Roman" w:hAnsi="Times New Roman" w:cs="Times New Roman"/>
          <w:sz w:val="24"/>
          <w:szCs w:val="24"/>
          <w:lang w:eastAsia="en-IN"/>
        </w:rPr>
        <w:t>Suhara</w:t>
      </w:r>
      <w:proofErr w:type="spellEnd"/>
      <w:r w:rsidRPr="005C37D7">
        <w:rPr>
          <w:rFonts w:ascii="Times New Roman" w:eastAsia="Times New Roman" w:hAnsi="Times New Roman" w:cs="Times New Roman"/>
          <w:sz w:val="24"/>
          <w:szCs w:val="24"/>
          <w:lang w:eastAsia="en-IN"/>
        </w:rPr>
        <w:t xml:space="preserve">, C., Kade Suastika, I. B., </w:t>
      </w:r>
      <w:proofErr w:type="spellStart"/>
      <w:r w:rsidRPr="005C37D7">
        <w:rPr>
          <w:rFonts w:ascii="Times New Roman" w:eastAsia="Times New Roman" w:hAnsi="Times New Roman" w:cs="Times New Roman"/>
          <w:sz w:val="24"/>
          <w:szCs w:val="24"/>
          <w:lang w:eastAsia="en-IN"/>
        </w:rPr>
        <w:t>Mahayu</w:t>
      </w:r>
      <w:proofErr w:type="spellEnd"/>
      <w:r w:rsidRPr="005C37D7">
        <w:rPr>
          <w:rFonts w:ascii="Times New Roman" w:eastAsia="Times New Roman" w:hAnsi="Times New Roman" w:cs="Times New Roman"/>
          <w:sz w:val="24"/>
          <w:szCs w:val="24"/>
          <w:lang w:eastAsia="en-IN"/>
        </w:rPr>
        <w:t xml:space="preserve">, W. M., &amp; Wani, A. K. (2023). Enhancing secondary metabolite production in plants: Exploring traditional and modern strategies. </w:t>
      </w:r>
      <w:r w:rsidRPr="005C37D7">
        <w:rPr>
          <w:rFonts w:ascii="Times New Roman" w:eastAsia="Times New Roman" w:hAnsi="Times New Roman" w:cs="Times New Roman"/>
          <w:i/>
          <w:iCs/>
          <w:sz w:val="24"/>
          <w:szCs w:val="24"/>
          <w:lang w:eastAsia="en-IN"/>
        </w:rPr>
        <w:t>Journal of Agriculture and Food Research</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 100702. </w:t>
      </w:r>
      <w:hyperlink r:id="rId51" w:history="1">
        <w:r w:rsidRPr="005C37D7">
          <w:rPr>
            <w:rStyle w:val="Hyperlink"/>
            <w:rFonts w:ascii="Times New Roman" w:eastAsia="Times New Roman" w:hAnsi="Times New Roman" w:cs="Times New Roman"/>
            <w:sz w:val="24"/>
            <w:szCs w:val="24"/>
            <w:lang w:eastAsia="en-IN"/>
          </w:rPr>
          <w:t>https://doi.org/10.1016/j.jafr.2023.100702</w:t>
        </w:r>
      </w:hyperlink>
    </w:p>
    <w:p w14:paraId="2E2AC2B8" w14:textId="77777777" w:rsidR="00DE5238" w:rsidRPr="005F5FED"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5F5FED">
        <w:rPr>
          <w:rFonts w:ascii="Times New Roman" w:hAnsi="Times New Roman" w:cs="Times New Roman"/>
          <w:sz w:val="24"/>
          <w:szCs w:val="24"/>
          <w:lang w:val="en-GB"/>
        </w:rPr>
        <w:t xml:space="preserve">Sharma, N., Tiwari, S., Tripathi, M.K., Gupta, N., Singh, S.&amp; Sikarwar, R.S. (2023). Selection of groundnut germplasm lines based on yield, nutritional, antinutritional and antioxidant parameters. </w:t>
      </w:r>
      <w:r w:rsidRPr="005F5FED">
        <w:rPr>
          <w:rFonts w:ascii="Times New Roman" w:hAnsi="Times New Roman" w:cs="Times New Roman"/>
          <w:i/>
          <w:iCs/>
          <w:sz w:val="24"/>
          <w:szCs w:val="24"/>
          <w:lang w:val="en-GB"/>
        </w:rPr>
        <w:t>Scientist</w:t>
      </w:r>
      <w:r w:rsidRPr="005F5FED">
        <w:rPr>
          <w:rFonts w:ascii="Times New Roman" w:hAnsi="Times New Roman" w:cs="Times New Roman"/>
          <w:sz w:val="24"/>
          <w:szCs w:val="24"/>
          <w:lang w:val="en-GB"/>
        </w:rPr>
        <w:t xml:space="preserve">. </w:t>
      </w:r>
      <w:r w:rsidRPr="005F5FED">
        <w:rPr>
          <w:rFonts w:ascii="Times New Roman" w:hAnsi="Times New Roman" w:cs="Times New Roman"/>
          <w:i/>
          <w:iCs/>
          <w:sz w:val="24"/>
          <w:szCs w:val="24"/>
          <w:lang w:val="en-GB"/>
        </w:rPr>
        <w:t>2</w:t>
      </w:r>
      <w:r w:rsidRPr="005F5FED">
        <w:rPr>
          <w:rFonts w:ascii="Times New Roman" w:hAnsi="Times New Roman" w:cs="Times New Roman"/>
          <w:sz w:val="24"/>
          <w:szCs w:val="24"/>
          <w:lang w:val="en-GB"/>
        </w:rPr>
        <w:t>(1): 96-105.DOI: https://doi.org/10.5281/zenodo.7536324</w:t>
      </w:r>
    </w:p>
    <w:p w14:paraId="397CD27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A., Shahzad, B., Kumar, V., Kohli, S. K., Sidhu, G. P. S., Bali, A. S., Handa, N., Kapoor, D., Bhardwaj, R., &amp; Zheng, B. (2019). Phytohormones regulate accumulation of osmolytes under abiotic stress. </w:t>
      </w:r>
      <w:r w:rsidRPr="005C37D7">
        <w:rPr>
          <w:rFonts w:ascii="Times New Roman" w:eastAsia="Times New Roman" w:hAnsi="Times New Roman" w:cs="Times New Roman"/>
          <w:i/>
          <w:iCs/>
          <w:sz w:val="24"/>
          <w:szCs w:val="24"/>
          <w:lang w:eastAsia="en-IN"/>
        </w:rPr>
        <w:t>Biomolecules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9</w:t>
      </w:r>
      <w:r w:rsidRPr="005C37D7">
        <w:rPr>
          <w:rFonts w:ascii="Times New Roman" w:eastAsia="Times New Roman" w:hAnsi="Times New Roman" w:cs="Times New Roman"/>
          <w:sz w:val="24"/>
          <w:szCs w:val="24"/>
          <w:lang w:eastAsia="en-IN"/>
        </w:rPr>
        <w:t xml:space="preserve">(7), 285. </w:t>
      </w:r>
      <w:hyperlink r:id="rId52" w:history="1">
        <w:r w:rsidRPr="005C37D7">
          <w:rPr>
            <w:rStyle w:val="Hyperlink"/>
            <w:rFonts w:ascii="Times New Roman" w:eastAsia="Times New Roman" w:hAnsi="Times New Roman" w:cs="Times New Roman"/>
            <w:sz w:val="24"/>
            <w:szCs w:val="24"/>
            <w:lang w:eastAsia="en-IN"/>
          </w:rPr>
          <w:t>https://doi.org/10.3390/biom9070285</w:t>
        </w:r>
      </w:hyperlink>
      <w:r w:rsidRPr="005C37D7">
        <w:rPr>
          <w:rFonts w:ascii="Times New Roman" w:eastAsia="Times New Roman" w:hAnsi="Times New Roman" w:cs="Times New Roman"/>
          <w:sz w:val="24"/>
          <w:szCs w:val="24"/>
          <w:lang w:eastAsia="en-IN"/>
        </w:rPr>
        <w:t xml:space="preserve"> </w:t>
      </w:r>
    </w:p>
    <w:p w14:paraId="04A27C2B"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S., Samriti, &amp; Sharma, R. (2020). Chickpea economy in India. In </w:t>
      </w:r>
      <w:r w:rsidRPr="005C37D7">
        <w:rPr>
          <w:rFonts w:ascii="Times New Roman" w:eastAsia="Times New Roman" w:hAnsi="Times New Roman" w:cs="Times New Roman"/>
          <w:i/>
          <w:iCs/>
          <w:sz w:val="24"/>
          <w:szCs w:val="24"/>
          <w:lang w:eastAsia="en-IN"/>
        </w:rPr>
        <w:t>Chickpea: Crop Wild Relatives for Enhancing Genetic Gains</w:t>
      </w:r>
      <w:r w:rsidRPr="005C37D7">
        <w:rPr>
          <w:rFonts w:ascii="Times New Roman" w:eastAsia="Times New Roman" w:hAnsi="Times New Roman" w:cs="Times New Roman"/>
          <w:sz w:val="24"/>
          <w:szCs w:val="24"/>
          <w:lang w:eastAsia="en-IN"/>
        </w:rPr>
        <w:t xml:space="preserve"> (pp. 225–250). Elsevier. </w:t>
      </w:r>
      <w:hyperlink r:id="rId53" w:history="1">
        <w:r w:rsidRPr="005C37D7">
          <w:rPr>
            <w:rStyle w:val="Hyperlink"/>
            <w:rFonts w:ascii="Times New Roman" w:eastAsia="Times New Roman" w:hAnsi="Times New Roman" w:cs="Times New Roman"/>
            <w:sz w:val="24"/>
            <w:szCs w:val="24"/>
            <w:lang w:eastAsia="en-IN"/>
          </w:rPr>
          <w:t>https://doi.org/10.1016/B978-0-12-818299-4.00009-9</w:t>
        </w:r>
      </w:hyperlink>
      <w:r w:rsidRPr="005C37D7">
        <w:rPr>
          <w:rFonts w:ascii="Times New Roman" w:eastAsia="Times New Roman" w:hAnsi="Times New Roman" w:cs="Times New Roman"/>
          <w:sz w:val="24"/>
          <w:szCs w:val="24"/>
          <w:lang w:eastAsia="en-IN"/>
        </w:rPr>
        <w:t xml:space="preserve"> </w:t>
      </w:r>
    </w:p>
    <w:p w14:paraId="6596DE45"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51849">
        <w:rPr>
          <w:rFonts w:ascii="Times New Roman" w:hAnsi="Times New Roman" w:cs="Times New Roman"/>
          <w:sz w:val="24"/>
          <w:szCs w:val="24"/>
          <w:shd w:val="clear" w:color="auto" w:fill="FFFFFF"/>
        </w:rPr>
        <w:t>Shrivastav, A., Tripathi, M.K., Tiwari, P. N.&amp; Singh, P. (2024). Biochemical changes: Their potential role against fungal disease resistance development in mustard. </w:t>
      </w:r>
      <w:r w:rsidRPr="00651849">
        <w:rPr>
          <w:rFonts w:ascii="Times New Roman" w:hAnsi="Times New Roman" w:cs="Times New Roman"/>
          <w:i/>
          <w:iCs/>
          <w:sz w:val="24"/>
          <w:szCs w:val="24"/>
          <w:shd w:val="clear" w:color="auto" w:fill="FFFFFF"/>
        </w:rPr>
        <w:t>Journal of Advances in Biology &amp; Biotechnology</w:t>
      </w:r>
      <w:r w:rsidRPr="00651849">
        <w:rPr>
          <w:rFonts w:ascii="Times New Roman" w:hAnsi="Times New Roman" w:cs="Times New Roman"/>
          <w:sz w:val="24"/>
          <w:szCs w:val="24"/>
          <w:shd w:val="clear" w:color="auto" w:fill="FFFFFF"/>
        </w:rPr>
        <w:t xml:space="preserve">, </w:t>
      </w:r>
      <w:r w:rsidRPr="00651849">
        <w:rPr>
          <w:rFonts w:ascii="Times New Roman" w:hAnsi="Times New Roman" w:cs="Times New Roman"/>
          <w:i/>
          <w:iCs/>
          <w:sz w:val="24"/>
          <w:szCs w:val="24"/>
          <w:shd w:val="clear" w:color="auto" w:fill="FFFFFF"/>
        </w:rPr>
        <w:t>27</w:t>
      </w:r>
      <w:r w:rsidRPr="00651849">
        <w:rPr>
          <w:rFonts w:ascii="Times New Roman" w:hAnsi="Times New Roman" w:cs="Times New Roman"/>
          <w:sz w:val="24"/>
          <w:szCs w:val="24"/>
          <w:shd w:val="clear" w:color="auto" w:fill="FFFFFF"/>
        </w:rPr>
        <w:t xml:space="preserve"> (5):13-31. </w:t>
      </w:r>
      <w:hyperlink r:id="rId54" w:history="1">
        <w:r w:rsidRPr="00651849">
          <w:rPr>
            <w:rStyle w:val="Hyperlink"/>
            <w:rFonts w:ascii="Times New Roman" w:hAnsi="Times New Roman" w:cs="Times New Roman"/>
            <w:color w:val="auto"/>
            <w:sz w:val="24"/>
            <w:szCs w:val="24"/>
            <w:shd w:val="clear" w:color="auto" w:fill="FFFFFF"/>
          </w:rPr>
          <w:t>https://doi.org/10.9734/jabb/2024/v27i5758</w:t>
        </w:r>
      </w:hyperlink>
      <w:r w:rsidRPr="00651849">
        <w:rPr>
          <w:rFonts w:ascii="Times New Roman" w:hAnsi="Times New Roman" w:cs="Times New Roman"/>
          <w:sz w:val="24"/>
          <w:szCs w:val="24"/>
          <w:shd w:val="clear" w:color="auto" w:fill="FFFFFF"/>
        </w:rPr>
        <w:t>.</w:t>
      </w:r>
    </w:p>
    <w:p w14:paraId="67D9E6F0"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763EC3">
        <w:rPr>
          <w:rFonts w:ascii="Times New Roman" w:hAnsi="Times New Roman" w:cs="Times New Roman"/>
          <w:color w:val="auto"/>
        </w:rPr>
        <w:lastRenderedPageBreak/>
        <w:t>Sistu</w:t>
      </w:r>
      <w:proofErr w:type="spellEnd"/>
      <w:r w:rsidRPr="00763EC3">
        <w:rPr>
          <w:rFonts w:ascii="Times New Roman" w:hAnsi="Times New Roman" w:cs="Times New Roman"/>
          <w:color w:val="auto"/>
        </w:rPr>
        <w:t xml:space="preserve">, R., Tiwari, S., Tripathi, M.K., Singh, S., Gupta, N., Tripathi, N., </w:t>
      </w:r>
      <w:proofErr w:type="spellStart"/>
      <w:r w:rsidRPr="00763EC3">
        <w:rPr>
          <w:rFonts w:ascii="Times New Roman" w:hAnsi="Times New Roman" w:cs="Times New Roman"/>
          <w:color w:val="auto"/>
        </w:rPr>
        <w:t>Asati</w:t>
      </w:r>
      <w:proofErr w:type="spellEnd"/>
      <w:r w:rsidRPr="00763EC3">
        <w:rPr>
          <w:rFonts w:ascii="Times New Roman" w:hAnsi="Times New Roman" w:cs="Times New Roman"/>
          <w:color w:val="auto"/>
        </w:rPr>
        <w:t>, R., &amp;Yadav, R.K. (2023). Effect of different biochemical parameters and antioxidant enzymes activities on drought indices in chickpea (</w:t>
      </w:r>
      <w:r w:rsidRPr="00763EC3">
        <w:rPr>
          <w:rFonts w:ascii="Times New Roman" w:hAnsi="Times New Roman" w:cs="Times New Roman"/>
          <w:i/>
          <w:iCs/>
          <w:color w:val="auto"/>
        </w:rPr>
        <w:t xml:space="preserve">Cicer arietinum </w:t>
      </w:r>
      <w:r w:rsidRPr="00763EC3">
        <w:rPr>
          <w:rFonts w:ascii="Times New Roman" w:hAnsi="Times New Roman" w:cs="Times New Roman"/>
          <w:color w:val="auto"/>
        </w:rPr>
        <w:t xml:space="preserve">L.). </w:t>
      </w:r>
      <w:r w:rsidRPr="00763EC3">
        <w:rPr>
          <w:rFonts w:ascii="Times New Roman" w:hAnsi="Times New Roman" w:cs="Times New Roman"/>
          <w:i/>
          <w:iCs/>
          <w:color w:val="auto"/>
        </w:rPr>
        <w:t>Legume Research</w:t>
      </w:r>
      <w:r w:rsidRPr="00763EC3">
        <w:rPr>
          <w:rFonts w:ascii="Times New Roman" w:hAnsi="Times New Roman" w:cs="Times New Roman"/>
          <w:color w:val="auto"/>
        </w:rPr>
        <w:t>. DOI: 10.18805/LR-5204</w:t>
      </w:r>
      <w:r w:rsidRPr="00763EC3">
        <w:rPr>
          <w:rFonts w:ascii="Times New Roman" w:eastAsia="Times New Roman" w:hAnsi="Times New Roman" w:cs="Times New Roman"/>
          <w:color w:val="auto"/>
          <w:lang w:eastAsia="en-IN"/>
        </w:rPr>
        <w:t xml:space="preserve"> </w:t>
      </w:r>
    </w:p>
    <w:p w14:paraId="2D7D7847" w14:textId="77777777" w:rsidR="00DE5238" w:rsidRPr="00AD4F7F"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AD4F7F">
        <w:rPr>
          <w:rFonts w:ascii="Times New Roman" w:hAnsi="Times New Roman" w:cs="Times New Roman"/>
          <w:sz w:val="24"/>
          <w:szCs w:val="24"/>
        </w:rPr>
        <w:t xml:space="preserve">Snedecor, G., &amp; Cochran, W.G. Statistical Methods. (1997). VI Ed. Oxford IBH Pub. Co. Delhi. </w:t>
      </w:r>
    </w:p>
    <w:p w14:paraId="417C15A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Sümbül, A., Uzun, A., Yaman, M., Tunç, Y., </w:t>
      </w:r>
      <w:proofErr w:type="spellStart"/>
      <w:r w:rsidRPr="005C37D7">
        <w:rPr>
          <w:rFonts w:ascii="Times New Roman" w:eastAsia="Times New Roman" w:hAnsi="Times New Roman" w:cs="Times New Roman"/>
          <w:sz w:val="24"/>
          <w:szCs w:val="24"/>
          <w:lang w:eastAsia="en-IN"/>
        </w:rPr>
        <w:t>Khadivi</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Keçe</w:t>
      </w:r>
      <w:proofErr w:type="spellEnd"/>
      <w:r w:rsidRPr="005C37D7">
        <w:rPr>
          <w:rFonts w:ascii="Times New Roman" w:eastAsia="Times New Roman" w:hAnsi="Times New Roman" w:cs="Times New Roman"/>
          <w:sz w:val="24"/>
          <w:szCs w:val="24"/>
          <w:lang w:eastAsia="en-IN"/>
        </w:rPr>
        <w:t xml:space="preserve">, Y. M., Yıldız, E., Yılmaz, K. U., </w:t>
      </w:r>
      <w:proofErr w:type="spellStart"/>
      <w:r w:rsidRPr="005C37D7">
        <w:rPr>
          <w:rFonts w:ascii="Times New Roman" w:eastAsia="Times New Roman" w:hAnsi="Times New Roman" w:cs="Times New Roman"/>
          <w:sz w:val="24"/>
          <w:szCs w:val="24"/>
          <w:lang w:eastAsia="en-IN"/>
        </w:rPr>
        <w:t>Güneş</w:t>
      </w:r>
      <w:proofErr w:type="spellEnd"/>
      <w:r w:rsidRPr="005C37D7">
        <w:rPr>
          <w:rFonts w:ascii="Times New Roman" w:eastAsia="Times New Roman" w:hAnsi="Times New Roman" w:cs="Times New Roman"/>
          <w:sz w:val="24"/>
          <w:szCs w:val="24"/>
          <w:lang w:eastAsia="en-IN"/>
        </w:rPr>
        <w:t xml:space="preserve">, A., &amp; </w:t>
      </w:r>
      <w:proofErr w:type="spellStart"/>
      <w:r w:rsidRPr="005C37D7">
        <w:rPr>
          <w:rFonts w:ascii="Times New Roman" w:eastAsia="Times New Roman" w:hAnsi="Times New Roman" w:cs="Times New Roman"/>
          <w:sz w:val="24"/>
          <w:szCs w:val="24"/>
          <w:lang w:eastAsia="en-IN"/>
        </w:rPr>
        <w:t>Turgunbaev</w:t>
      </w:r>
      <w:proofErr w:type="spellEnd"/>
      <w:r w:rsidRPr="005C37D7">
        <w:rPr>
          <w:rFonts w:ascii="Times New Roman" w:eastAsia="Times New Roman" w:hAnsi="Times New Roman" w:cs="Times New Roman"/>
          <w:sz w:val="24"/>
          <w:szCs w:val="24"/>
          <w:lang w:eastAsia="en-IN"/>
        </w:rPr>
        <w:t>, K. (2025). Antioxidant capacity, biochemical composition, and mineral composition of leaves in two apple species (</w:t>
      </w:r>
      <w:r w:rsidRPr="005C37D7">
        <w:rPr>
          <w:rFonts w:ascii="Times New Roman" w:eastAsia="Times New Roman" w:hAnsi="Times New Roman" w:cs="Times New Roman"/>
          <w:i/>
          <w:sz w:val="24"/>
          <w:szCs w:val="24"/>
          <w:lang w:eastAsia="en-IN"/>
        </w:rPr>
        <w:t>Malus domestica</w:t>
      </w:r>
      <w:r w:rsidRPr="005C37D7">
        <w:rPr>
          <w:rFonts w:ascii="Times New Roman" w:eastAsia="Times New Roman" w:hAnsi="Times New Roman" w:cs="Times New Roman"/>
          <w:sz w:val="24"/>
          <w:szCs w:val="24"/>
          <w:lang w:eastAsia="en-IN"/>
        </w:rPr>
        <w:t xml:space="preserve"> Borkh. and M. </w:t>
      </w:r>
      <w:proofErr w:type="spellStart"/>
      <w:r w:rsidRPr="005C37D7">
        <w:rPr>
          <w:rFonts w:ascii="Times New Roman" w:eastAsia="Times New Roman" w:hAnsi="Times New Roman" w:cs="Times New Roman"/>
          <w:sz w:val="24"/>
          <w:szCs w:val="24"/>
          <w:lang w:eastAsia="en-IN"/>
        </w:rPr>
        <w:t>kirghisorum</w:t>
      </w:r>
      <w:proofErr w:type="spellEnd"/>
      <w:r w:rsidRPr="005C37D7">
        <w:rPr>
          <w:rFonts w:ascii="Times New Roman" w:eastAsia="Times New Roman" w:hAnsi="Times New Roman" w:cs="Times New Roman"/>
          <w:sz w:val="24"/>
          <w:szCs w:val="24"/>
          <w:lang w:eastAsia="en-IN"/>
        </w:rPr>
        <w:t xml:space="preserve"> Al. Fed. &amp;amp; Fed.).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297. </w:t>
      </w:r>
      <w:hyperlink r:id="rId55" w:history="1">
        <w:r w:rsidRPr="005C37D7">
          <w:rPr>
            <w:rStyle w:val="Hyperlink"/>
            <w:rFonts w:ascii="Times New Roman" w:eastAsia="Times New Roman" w:hAnsi="Times New Roman" w:cs="Times New Roman"/>
            <w:sz w:val="24"/>
            <w:szCs w:val="24"/>
            <w:lang w:eastAsia="en-IN"/>
          </w:rPr>
          <w:t>https://doi.org/10.1186/s12870-025-06284-5</w:t>
        </w:r>
      </w:hyperlink>
      <w:r w:rsidRPr="005C37D7">
        <w:rPr>
          <w:rFonts w:ascii="Times New Roman" w:eastAsia="Times New Roman" w:hAnsi="Times New Roman" w:cs="Times New Roman"/>
          <w:sz w:val="24"/>
          <w:szCs w:val="24"/>
          <w:lang w:eastAsia="en-IN"/>
        </w:rPr>
        <w:t xml:space="preserve"> </w:t>
      </w:r>
    </w:p>
    <w:p w14:paraId="5056B98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Sun, Y., Xie, X., &amp; Jiang, C.-J. (2024). Antioxidant agriculture for stress-resilient crop production: Field practice.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(2), 164. </w:t>
      </w:r>
      <w:hyperlink r:id="rId56" w:history="1">
        <w:r w:rsidRPr="005C37D7">
          <w:rPr>
            <w:rStyle w:val="Hyperlink"/>
            <w:rFonts w:ascii="Times New Roman" w:eastAsia="Times New Roman" w:hAnsi="Times New Roman" w:cs="Times New Roman"/>
            <w:sz w:val="24"/>
            <w:szCs w:val="24"/>
            <w:lang w:eastAsia="en-IN"/>
          </w:rPr>
          <w:t>https://doi.org/10.3390/antiox13020164</w:t>
        </w:r>
      </w:hyperlink>
      <w:r w:rsidRPr="005C37D7">
        <w:rPr>
          <w:rFonts w:ascii="Times New Roman" w:eastAsia="Times New Roman" w:hAnsi="Times New Roman" w:cs="Times New Roman"/>
          <w:sz w:val="24"/>
          <w:szCs w:val="24"/>
          <w:lang w:eastAsia="en-IN"/>
        </w:rPr>
        <w:t xml:space="preserve">  </w:t>
      </w:r>
    </w:p>
    <w:p w14:paraId="2A182312"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04653">
        <w:rPr>
          <w:rFonts w:ascii="Times New Roman" w:hAnsi="Times New Roman" w:cs="Times New Roman"/>
          <w:sz w:val="24"/>
          <w:szCs w:val="24"/>
          <w:shd w:val="clear" w:color="auto" w:fill="FFFFFF"/>
        </w:rPr>
        <w:t>Swain, T. and Hillis, W.E. (1959). The phenolic constituents of </w:t>
      </w:r>
      <w:r w:rsidRPr="00C04653">
        <w:rPr>
          <w:rStyle w:val="html-italic"/>
          <w:rFonts w:ascii="Times New Roman" w:hAnsi="Times New Roman" w:cs="Times New Roman"/>
          <w:i/>
          <w:iCs/>
          <w:sz w:val="24"/>
          <w:szCs w:val="24"/>
          <w:shd w:val="clear" w:color="auto" w:fill="FFFFFF"/>
        </w:rPr>
        <w:t>Prunus domestica</w:t>
      </w:r>
      <w:r w:rsidRPr="00C04653">
        <w:rPr>
          <w:rFonts w:ascii="Times New Roman" w:hAnsi="Times New Roman" w:cs="Times New Roman"/>
          <w:sz w:val="24"/>
          <w:szCs w:val="24"/>
          <w:shd w:val="clear" w:color="auto" w:fill="FFFFFF"/>
        </w:rPr>
        <w:t>. I.-The quantitative analysis of phenolic constituents. </w:t>
      </w:r>
      <w:r w:rsidRPr="00C04653">
        <w:rPr>
          <w:rStyle w:val="html-italic"/>
          <w:rFonts w:ascii="Times New Roman" w:hAnsi="Times New Roman" w:cs="Times New Roman"/>
          <w:i/>
          <w:iCs/>
          <w:sz w:val="24"/>
          <w:szCs w:val="24"/>
          <w:shd w:val="clear" w:color="auto" w:fill="FFFFFF"/>
        </w:rPr>
        <w:t>J. Sci. Food Agric.</w:t>
      </w:r>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 xml:space="preserve"> 10</w:t>
      </w:r>
      <w:r w:rsidRPr="00C04653">
        <w:rPr>
          <w:rFonts w:ascii="Times New Roman" w:hAnsi="Times New Roman" w:cs="Times New Roman"/>
          <w:sz w:val="24"/>
          <w:szCs w:val="24"/>
          <w:shd w:val="clear" w:color="auto" w:fill="FFFFFF"/>
        </w:rPr>
        <w:t>, 63–68.</w:t>
      </w:r>
    </w:p>
    <w:p w14:paraId="7B0637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Tidke, S. D., Naik, A. A., &amp; </w:t>
      </w:r>
      <w:proofErr w:type="spellStart"/>
      <w:r w:rsidRPr="005C37D7">
        <w:rPr>
          <w:rFonts w:ascii="Times New Roman" w:eastAsia="Times New Roman" w:hAnsi="Times New Roman" w:cs="Times New Roman"/>
          <w:sz w:val="24"/>
          <w:szCs w:val="24"/>
          <w:lang w:eastAsia="en-IN"/>
        </w:rPr>
        <w:t>Badhekar</w:t>
      </w:r>
      <w:proofErr w:type="spellEnd"/>
      <w:r w:rsidRPr="005C37D7">
        <w:rPr>
          <w:rFonts w:ascii="Times New Roman" w:eastAsia="Times New Roman" w:hAnsi="Times New Roman" w:cs="Times New Roman"/>
          <w:sz w:val="24"/>
          <w:szCs w:val="24"/>
          <w:lang w:eastAsia="en-IN"/>
        </w:rPr>
        <w:t xml:space="preserve">, A. K. (2019). Effective appraisement of hormones and </w:t>
      </w:r>
      <w:r w:rsidRPr="005C37D7">
        <w:rPr>
          <w:rFonts w:ascii="Times New Roman" w:eastAsia="Times New Roman" w:hAnsi="Times New Roman" w:cs="Times New Roman"/>
          <w:i/>
          <w:iCs/>
          <w:sz w:val="24"/>
          <w:szCs w:val="24"/>
          <w:lang w:eastAsia="en-IN"/>
        </w:rPr>
        <w:t>Acinetobacter</w:t>
      </w:r>
      <w:r w:rsidRPr="005C37D7">
        <w:rPr>
          <w:rFonts w:ascii="Times New Roman" w:eastAsia="Times New Roman" w:hAnsi="Times New Roman" w:cs="Times New Roman"/>
          <w:sz w:val="24"/>
          <w:szCs w:val="24"/>
          <w:lang w:eastAsia="en-IN"/>
        </w:rPr>
        <w:t xml:space="preserve"> on salt-stress induced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cultivars. </w:t>
      </w:r>
      <w:r w:rsidRPr="005C37D7">
        <w:rPr>
          <w:rFonts w:ascii="Times New Roman" w:eastAsia="Times New Roman" w:hAnsi="Times New Roman" w:cs="Times New Roman"/>
          <w:i/>
          <w:iCs/>
          <w:sz w:val="24"/>
          <w:szCs w:val="24"/>
          <w:lang w:eastAsia="en-IN"/>
        </w:rPr>
        <w:t>European Journal of Biotechnology and Bioscience, 7</w:t>
      </w:r>
      <w:r w:rsidRPr="005C37D7">
        <w:rPr>
          <w:rFonts w:ascii="Times New Roman" w:eastAsia="Times New Roman" w:hAnsi="Times New Roman" w:cs="Times New Roman"/>
          <w:sz w:val="24"/>
          <w:szCs w:val="24"/>
          <w:lang w:eastAsia="en-IN"/>
        </w:rPr>
        <w:t>(5), 43–47.</w:t>
      </w:r>
    </w:p>
    <w:p w14:paraId="389625F5"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763EC3">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763EC3">
        <w:rPr>
          <w:rFonts w:ascii="Times New Roman" w:hAnsi="Times New Roman" w:cs="Times New Roman"/>
          <w:i/>
          <w:iCs/>
          <w:color w:val="auto"/>
        </w:rPr>
        <w:t>Life</w:t>
      </w:r>
      <w:r w:rsidRPr="00763EC3">
        <w:rPr>
          <w:rFonts w:ascii="Times New Roman" w:hAnsi="Times New Roman" w:cs="Times New Roman"/>
          <w:color w:val="auto"/>
        </w:rPr>
        <w:t xml:space="preserve">. </w:t>
      </w:r>
      <w:r w:rsidRPr="00763EC3">
        <w:rPr>
          <w:rFonts w:ascii="Times New Roman" w:hAnsi="Times New Roman" w:cs="Times New Roman"/>
          <w:i/>
          <w:iCs/>
          <w:color w:val="auto"/>
        </w:rPr>
        <w:t>13</w:t>
      </w:r>
      <w:r w:rsidRPr="00763EC3">
        <w:rPr>
          <w:rFonts w:ascii="Times New Roman" w:hAnsi="Times New Roman" w:cs="Times New Roman"/>
          <w:color w:val="auto"/>
        </w:rPr>
        <w:t xml:space="preserve">, 1405. </w:t>
      </w:r>
    </w:p>
    <w:p w14:paraId="733AF40E"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rPr>
        <w:t xml:space="preserve">Tiwari, P.N., Tiwari, S., Sapre, S., Tripathi, N., </w:t>
      </w:r>
      <w:proofErr w:type="spellStart"/>
      <w:r w:rsidRPr="00763EC3">
        <w:rPr>
          <w:rFonts w:ascii="Times New Roman" w:hAnsi="Times New Roman" w:cs="Times New Roman"/>
          <w:sz w:val="24"/>
          <w:szCs w:val="24"/>
        </w:rPr>
        <w:t>Payasi</w:t>
      </w:r>
      <w:proofErr w:type="spellEnd"/>
      <w:r w:rsidRPr="00763EC3">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r w:rsidRPr="00763EC3">
        <w:rPr>
          <w:rFonts w:ascii="Times New Roman" w:hAnsi="Times New Roman" w:cs="Times New Roman"/>
          <w:i/>
          <w:iCs/>
          <w:sz w:val="24"/>
          <w:szCs w:val="24"/>
        </w:rPr>
        <w:t>Cicer arietinum</w:t>
      </w:r>
      <w:r w:rsidRPr="00763EC3">
        <w:rPr>
          <w:rFonts w:ascii="Times New Roman" w:hAnsi="Times New Roman" w:cs="Times New Roman"/>
          <w:sz w:val="24"/>
          <w:szCs w:val="24"/>
        </w:rPr>
        <w:t xml:space="preserve"> L.). </w:t>
      </w:r>
      <w:r w:rsidRPr="00763EC3">
        <w:rPr>
          <w:rFonts w:ascii="Times New Roman" w:hAnsi="Times New Roman" w:cs="Times New Roman"/>
          <w:i/>
          <w:iCs/>
          <w:sz w:val="24"/>
          <w:szCs w:val="24"/>
        </w:rPr>
        <w:t>Plants</w:t>
      </w:r>
      <w:r w:rsidRPr="00763EC3">
        <w:rPr>
          <w:rFonts w:ascii="Times New Roman" w:hAnsi="Times New Roman" w:cs="Times New Roman"/>
          <w:sz w:val="24"/>
          <w:szCs w:val="24"/>
        </w:rPr>
        <w:t xml:space="preserve"> </w:t>
      </w:r>
      <w:r w:rsidRPr="00763EC3">
        <w:rPr>
          <w:rFonts w:ascii="Times New Roman" w:hAnsi="Times New Roman" w:cs="Times New Roman"/>
          <w:i/>
          <w:iCs/>
          <w:sz w:val="24"/>
          <w:szCs w:val="24"/>
        </w:rPr>
        <w:t>12</w:t>
      </w:r>
      <w:r w:rsidRPr="00763EC3">
        <w:rPr>
          <w:rFonts w:ascii="Times New Roman" w:hAnsi="Times New Roman" w:cs="Times New Roman"/>
          <w:sz w:val="24"/>
          <w:szCs w:val="24"/>
        </w:rPr>
        <w:t>: 3175. https://doi.org/ 10.3390/plants12183175</w:t>
      </w:r>
    </w:p>
    <w:p w14:paraId="37B1A4F0"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bidi="hi-IN"/>
        </w:rPr>
        <w:t>Tiwari, P.N., Tiwari, S., Sapre, S., Babbar, A., Tripathi, N., Tiwari, S., &amp; Tripathi, M.K. (2023c). Prioritization of microsatellite markers linked with drought tolerance associated traits in chickpea (</w:t>
      </w:r>
      <w:r w:rsidRPr="00763EC3">
        <w:rPr>
          <w:rFonts w:ascii="Times New Roman" w:hAnsi="Times New Roman" w:cs="Times New Roman"/>
          <w:i/>
          <w:iCs/>
          <w:sz w:val="24"/>
          <w:szCs w:val="24"/>
          <w:shd w:val="clear" w:color="auto" w:fill="FFFFFF"/>
          <w:lang w:bidi="hi-IN"/>
        </w:rPr>
        <w:t xml:space="preserve">Cicer arietinum </w:t>
      </w:r>
      <w:r w:rsidRPr="00763EC3">
        <w:rPr>
          <w:rFonts w:ascii="Times New Roman" w:hAnsi="Times New Roman" w:cs="Times New Roman"/>
          <w:sz w:val="24"/>
          <w:szCs w:val="24"/>
          <w:shd w:val="clear" w:color="auto" w:fill="FFFFFF"/>
          <w:lang w:bidi="hi-IN"/>
        </w:rPr>
        <w:t xml:space="preserve">L.). </w:t>
      </w:r>
      <w:r w:rsidRPr="00763EC3">
        <w:rPr>
          <w:rFonts w:ascii="Times New Roman" w:hAnsi="Times New Roman" w:cs="Times New Roman"/>
          <w:i/>
          <w:iCs/>
          <w:sz w:val="24"/>
          <w:szCs w:val="24"/>
          <w:shd w:val="clear" w:color="auto" w:fill="FFFFFF"/>
          <w:lang w:bidi="hi-IN"/>
        </w:rPr>
        <w:t xml:space="preserve">Leg Res. </w:t>
      </w:r>
      <w:r w:rsidRPr="00763EC3">
        <w:rPr>
          <w:rFonts w:ascii="Times New Roman" w:hAnsi="Times New Roman" w:cs="Times New Roman"/>
          <w:sz w:val="24"/>
          <w:szCs w:val="24"/>
          <w:shd w:val="clear" w:color="auto" w:fill="FFFFFF"/>
          <w:lang w:bidi="hi-IN"/>
        </w:rPr>
        <w:t>46:1422?30. </w:t>
      </w:r>
      <w:hyperlink r:id="rId57" w:history="1">
        <w:r w:rsidRPr="00763EC3">
          <w:rPr>
            <w:rFonts w:ascii="Times New Roman" w:hAnsi="Times New Roman" w:cs="Times New Roman"/>
            <w:sz w:val="24"/>
            <w:szCs w:val="24"/>
            <w:u w:val="single"/>
            <w:shd w:val="clear" w:color="auto" w:fill="FFFFFF"/>
            <w:lang w:bidi="hi-IN"/>
          </w:rPr>
          <w:t>https://doi.org/10.18805/LR-5191</w:t>
        </w:r>
      </w:hyperlink>
    </w:p>
    <w:p w14:paraId="35115BB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Vadithya, A. S., Singh, I., Rani, U., </w:t>
      </w:r>
      <w:proofErr w:type="spellStart"/>
      <w:r w:rsidRPr="005C37D7">
        <w:rPr>
          <w:rFonts w:ascii="Times New Roman" w:eastAsia="Times New Roman" w:hAnsi="Times New Roman" w:cs="Times New Roman"/>
          <w:sz w:val="24"/>
          <w:szCs w:val="24"/>
          <w:lang w:eastAsia="en-IN"/>
        </w:rPr>
        <w:t>Venadan</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Jajoriya</w:t>
      </w:r>
      <w:proofErr w:type="spellEnd"/>
      <w:r w:rsidRPr="005C37D7">
        <w:rPr>
          <w:rFonts w:ascii="Times New Roman" w:eastAsia="Times New Roman" w:hAnsi="Times New Roman" w:cs="Times New Roman"/>
          <w:sz w:val="24"/>
          <w:szCs w:val="24"/>
          <w:lang w:eastAsia="en-IN"/>
        </w:rPr>
        <w:t xml:space="preserve">, R., Singh, M., Oberoi, H. K., Singh, S., Bharadwaj, C., &amp; Bindra, S. (2024). Evaluation and identification of advanced inter-specific derivatives from crosses of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with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t>reticulatum</w:t>
      </w:r>
      <w:proofErr w:type="spellEnd"/>
      <w:r w:rsidRPr="005C37D7">
        <w:rPr>
          <w:rFonts w:ascii="Times New Roman" w:eastAsia="Times New Roman" w:hAnsi="Times New Roman" w:cs="Times New Roman"/>
          <w:sz w:val="24"/>
          <w:szCs w:val="24"/>
          <w:lang w:eastAsia="en-IN"/>
        </w:rPr>
        <w:t xml:space="preserve"> and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lastRenderedPageBreak/>
        <w:t>echinospermum</w:t>
      </w:r>
      <w:proofErr w:type="spellEnd"/>
      <w:r w:rsidRPr="005C37D7">
        <w:rPr>
          <w:rFonts w:ascii="Times New Roman" w:eastAsia="Times New Roman" w:hAnsi="Times New Roman" w:cs="Times New Roman"/>
          <w:sz w:val="24"/>
          <w:szCs w:val="24"/>
          <w:lang w:eastAsia="en-IN"/>
        </w:rPr>
        <w:t xml:space="preserve"> for </w:t>
      </w:r>
      <w:proofErr w:type="spellStart"/>
      <w:r w:rsidRPr="005C37D7">
        <w:rPr>
          <w:rFonts w:ascii="Times New Roman" w:eastAsia="Times New Roman" w:hAnsi="Times New Roman" w:cs="Times New Roman"/>
          <w:sz w:val="24"/>
          <w:szCs w:val="24"/>
          <w:lang w:eastAsia="en-IN"/>
        </w:rPr>
        <w:t>agro</w:t>
      </w:r>
      <w:proofErr w:type="spellEnd"/>
      <w:r w:rsidRPr="005C37D7">
        <w:rPr>
          <w:rFonts w:ascii="Times New Roman" w:eastAsia="Times New Roman" w:hAnsi="Times New Roman" w:cs="Times New Roman"/>
          <w:sz w:val="24"/>
          <w:szCs w:val="24"/>
          <w:lang w:eastAsia="en-IN"/>
        </w:rPr>
        <w:t xml:space="preserve">-morphological, quality traits and disease resistance.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58" w:history="1">
        <w:r w:rsidRPr="005C37D7">
          <w:rPr>
            <w:rStyle w:val="Hyperlink"/>
            <w:rFonts w:ascii="Times New Roman" w:eastAsia="Times New Roman" w:hAnsi="Times New Roman" w:cs="Times New Roman"/>
            <w:sz w:val="24"/>
            <w:szCs w:val="24"/>
            <w:lang w:eastAsia="en-IN"/>
          </w:rPr>
          <w:t>https://doi.org/10.3389/fpls.2024.1461280</w:t>
        </w:r>
      </w:hyperlink>
      <w:r w:rsidRPr="005C37D7">
        <w:rPr>
          <w:rFonts w:ascii="Times New Roman" w:eastAsia="Times New Roman" w:hAnsi="Times New Roman" w:cs="Times New Roman"/>
          <w:sz w:val="24"/>
          <w:szCs w:val="24"/>
          <w:lang w:eastAsia="en-IN"/>
        </w:rPr>
        <w:t xml:space="preserve"> </w:t>
      </w:r>
    </w:p>
    <w:p w14:paraId="7130BFED" w14:textId="77777777" w:rsidR="00DE5238" w:rsidRPr="00297505"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r w:rsidRPr="00297505">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297505">
        <w:rPr>
          <w:rFonts w:ascii="Times New Roman" w:eastAsia="Times New Roman" w:hAnsi="Times New Roman" w:cs="Times New Roman"/>
          <w:i/>
          <w:sz w:val="24"/>
          <w:szCs w:val="24"/>
          <w:lang w:eastAsia="en-IN"/>
        </w:rPr>
        <w:t>Cicer arietinum</w:t>
      </w:r>
      <w:r w:rsidRPr="00297505">
        <w:rPr>
          <w:rFonts w:ascii="Times New Roman" w:eastAsia="Times New Roman" w:hAnsi="Times New Roman" w:cs="Times New Roman"/>
          <w:sz w:val="24"/>
          <w:szCs w:val="24"/>
          <w:lang w:eastAsia="en-IN"/>
        </w:rPr>
        <w:t xml:space="preserve"> L.) genotypes against Fusarium wilt. </w:t>
      </w:r>
      <w:r w:rsidRPr="00297505">
        <w:rPr>
          <w:rFonts w:ascii="Times New Roman" w:eastAsia="Times New Roman" w:hAnsi="Times New Roman" w:cs="Times New Roman"/>
          <w:i/>
          <w:iCs/>
          <w:sz w:val="24"/>
          <w:szCs w:val="24"/>
          <w:lang w:eastAsia="en-IN"/>
        </w:rPr>
        <w:t>Plant Science Today</w:t>
      </w:r>
      <w:r w:rsidRPr="00297505">
        <w:rPr>
          <w:rFonts w:ascii="Times New Roman" w:eastAsia="Times New Roman" w:hAnsi="Times New Roman" w:cs="Times New Roman"/>
          <w:sz w:val="24"/>
          <w:szCs w:val="24"/>
          <w:lang w:eastAsia="en-IN"/>
        </w:rPr>
        <w:t xml:space="preserve">, </w:t>
      </w:r>
      <w:r w:rsidRPr="00297505">
        <w:rPr>
          <w:rFonts w:ascii="Times New Roman" w:eastAsia="Times New Roman" w:hAnsi="Times New Roman" w:cs="Times New Roman"/>
          <w:i/>
          <w:iCs/>
          <w:sz w:val="24"/>
          <w:szCs w:val="24"/>
          <w:lang w:eastAsia="en-IN"/>
        </w:rPr>
        <w:t>12</w:t>
      </w:r>
      <w:r w:rsidRPr="00297505">
        <w:rPr>
          <w:rFonts w:ascii="Times New Roman" w:eastAsia="Times New Roman" w:hAnsi="Times New Roman" w:cs="Times New Roman"/>
          <w:sz w:val="24"/>
          <w:szCs w:val="24"/>
          <w:lang w:eastAsia="en-IN"/>
        </w:rPr>
        <w:t xml:space="preserve">(1), 1–11. </w:t>
      </w:r>
      <w:hyperlink r:id="rId59" w:history="1">
        <w:r w:rsidRPr="00297505">
          <w:rPr>
            <w:rStyle w:val="Hyperlink"/>
            <w:rFonts w:ascii="Times New Roman" w:eastAsia="Times New Roman" w:hAnsi="Times New Roman" w:cs="Times New Roman"/>
            <w:color w:val="auto"/>
            <w:sz w:val="24"/>
            <w:szCs w:val="24"/>
            <w:lang w:eastAsia="en-IN"/>
          </w:rPr>
          <w:t>https://doi.org/10.14719/pst.4587</w:t>
        </w:r>
      </w:hyperlink>
      <w:r w:rsidRPr="00297505">
        <w:rPr>
          <w:rFonts w:ascii="Times New Roman" w:eastAsia="Times New Roman" w:hAnsi="Times New Roman" w:cs="Times New Roman"/>
          <w:sz w:val="24"/>
          <w:szCs w:val="24"/>
          <w:lang w:eastAsia="en-IN"/>
        </w:rPr>
        <w:t xml:space="preserve"> </w:t>
      </w:r>
    </w:p>
    <w:p w14:paraId="763FD3AA" w14:textId="77777777" w:rsidR="00DE5238" w:rsidRPr="00297505" w:rsidRDefault="00DE5238" w:rsidP="00DE5238">
      <w:pPr>
        <w:pStyle w:val="ListParagraph"/>
        <w:numPr>
          <w:ilvl w:val="0"/>
          <w:numId w:val="11"/>
        </w:numPr>
        <w:spacing w:before="120" w:after="120" w:line="360" w:lineRule="auto"/>
        <w:jc w:val="both"/>
        <w:rPr>
          <w:rFonts w:ascii="Times New Roman" w:hAnsi="Times New Roman" w:cs="Times New Roman"/>
          <w:sz w:val="24"/>
          <w:szCs w:val="24"/>
          <w:shd w:val="clear" w:color="auto" w:fill="FFFFFF"/>
        </w:rPr>
      </w:pPr>
      <w:bookmarkStart w:id="2" w:name="_Hlk128248749"/>
      <w:r w:rsidRPr="00297505">
        <w:rPr>
          <w:rFonts w:ascii="Times New Roman" w:hAnsi="Times New Roman" w:cs="Times New Roman"/>
          <w:sz w:val="24"/>
          <w:szCs w:val="24"/>
          <w:shd w:val="clear" w:color="auto" w:fill="FFFFFF"/>
        </w:rPr>
        <w:t>Yadav, R.K., Tripathi, M.K., Tiwari, S., Asati, R., Tripathi, N., &amp; Sikarwar, R. S. (2024a). Estimation of biochemical parameters in chickpea (</w:t>
      </w:r>
      <w:r w:rsidRPr="00297505">
        <w:rPr>
          <w:rFonts w:ascii="Times New Roman" w:hAnsi="Times New Roman" w:cs="Times New Roman"/>
          <w:i/>
          <w:iCs/>
          <w:sz w:val="24"/>
          <w:szCs w:val="24"/>
          <w:shd w:val="clear" w:color="auto" w:fill="FFFFFF"/>
        </w:rPr>
        <w:t>Cicer arietinum</w:t>
      </w:r>
      <w:r w:rsidRPr="00297505">
        <w:rPr>
          <w:rFonts w:ascii="Times New Roman" w:hAnsi="Times New Roman" w:cs="Times New Roman"/>
          <w:sz w:val="24"/>
          <w:szCs w:val="24"/>
          <w:shd w:val="clear" w:color="auto" w:fill="FFFFFF"/>
        </w:rPr>
        <w:t xml:space="preserve"> L.) genotypes. </w:t>
      </w:r>
      <w:r w:rsidRPr="00297505">
        <w:rPr>
          <w:rFonts w:ascii="Times New Roman" w:hAnsi="Times New Roman" w:cs="Times New Roman"/>
          <w:i/>
          <w:iCs/>
          <w:sz w:val="24"/>
          <w:szCs w:val="24"/>
          <w:shd w:val="clear" w:color="auto" w:fill="FFFFFF"/>
        </w:rPr>
        <w:t>Legume Research</w:t>
      </w:r>
      <w:r w:rsidRPr="00297505">
        <w:rPr>
          <w:rFonts w:ascii="Times New Roman" w:hAnsi="Times New Roman" w:cs="Times New Roman"/>
          <w:sz w:val="24"/>
          <w:szCs w:val="24"/>
          <w:shd w:val="clear" w:color="auto" w:fill="FFFFFF"/>
        </w:rPr>
        <w:t>. DOI: 10.18805/LR -5327.</w:t>
      </w:r>
    </w:p>
    <w:p w14:paraId="09A8289B"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Singh, A.K., Yadav, S. K., Sikarwar, R.S.&amp; Tripathi, N. (2024b). </w:t>
      </w:r>
      <w:hyperlink r:id="rId60" w:anchor="page=185" w:history="1">
        <w:r w:rsidRPr="006D5578">
          <w:rPr>
            <w:rFonts w:ascii="Times New Roman" w:hAnsi="Times New Roman" w:cs="Times New Roman"/>
            <w:sz w:val="24"/>
            <w:szCs w:val="24"/>
            <w:shd w:val="clear" w:color="auto" w:fill="FFFFFF"/>
            <w:lang w:bidi="hi-IN"/>
          </w:rPr>
          <w:t>Alteration in proline and sugar content in maize (</w:t>
        </w:r>
        <w:r w:rsidRPr="006D5578">
          <w:rPr>
            <w:rFonts w:ascii="Times New Roman" w:hAnsi="Times New Roman" w:cs="Times New Roman"/>
            <w:i/>
            <w:iCs/>
            <w:sz w:val="24"/>
            <w:szCs w:val="24"/>
            <w:shd w:val="clear" w:color="auto" w:fill="FFFFFF"/>
            <w:lang w:bidi="hi-IN"/>
          </w:rPr>
          <w:t>Zea mays</w:t>
        </w:r>
        <w:r w:rsidRPr="006D5578">
          <w:rPr>
            <w:rFonts w:ascii="Times New Roman" w:hAnsi="Times New Roman" w:cs="Times New Roman"/>
            <w:sz w:val="24"/>
            <w:szCs w:val="24"/>
            <w:shd w:val="clear" w:color="auto" w:fill="FFFFFF"/>
            <w:lang w:bidi="hi-IN"/>
          </w:rPr>
          <w:t xml:space="preserve"> L.) genotypes under drought condition</w:t>
        </w:r>
      </w:hyperlink>
      <w:r w:rsidRPr="006D5578">
        <w:rPr>
          <w:rFonts w:ascii="Times New Roman" w:hAnsi="Times New Roman" w:cs="Times New Roman"/>
          <w:sz w:val="24"/>
          <w:szCs w:val="24"/>
        </w:rPr>
        <w:t>. In book Advances in Biotechnology &amp; Bioscience, 16, 179-196.</w:t>
      </w:r>
    </w:p>
    <w:p w14:paraId="132A81ED"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Tripathi, N., Sikarwar, R.S.&amp; Yadav, S. K. (2024c). </w:t>
      </w:r>
      <w:hyperlink r:id="rId61" w:anchor="page=139" w:history="1">
        <w:r w:rsidRPr="006D5578">
          <w:rPr>
            <w:rFonts w:ascii="Times New Roman" w:hAnsi="Times New Roman" w:cs="Times New Roman"/>
            <w:sz w:val="24"/>
            <w:szCs w:val="24"/>
            <w:shd w:val="clear" w:color="auto" w:fill="FFFFFF"/>
            <w:lang w:bidi="hi-IN"/>
          </w:rPr>
          <w:t>Biochemical characterization of maize (</w:t>
        </w:r>
        <w:r w:rsidRPr="006D5578">
          <w:rPr>
            <w:rFonts w:ascii="Times New Roman" w:hAnsi="Times New Roman" w:cs="Times New Roman"/>
            <w:i/>
            <w:iCs/>
            <w:sz w:val="24"/>
            <w:szCs w:val="24"/>
            <w:shd w:val="clear" w:color="auto" w:fill="FFFFFF"/>
            <w:lang w:bidi="hi-IN"/>
          </w:rPr>
          <w:t>Zea mays</w:t>
        </w:r>
        <w:r w:rsidRPr="006D5578">
          <w:rPr>
            <w:rFonts w:ascii="Times New Roman" w:hAnsi="Times New Roman" w:cs="Times New Roman"/>
            <w:sz w:val="24"/>
            <w:szCs w:val="24"/>
            <w:shd w:val="clear" w:color="auto" w:fill="FFFFFF"/>
            <w:lang w:bidi="hi-IN"/>
          </w:rPr>
          <w:t xml:space="preserve"> L.) genotypes under different irrigation circumstances</w:t>
        </w:r>
      </w:hyperlink>
      <w:r w:rsidRPr="006D5578">
        <w:rPr>
          <w:rFonts w:ascii="Times New Roman" w:hAnsi="Times New Roman" w:cs="Times New Roman"/>
          <w:sz w:val="24"/>
          <w:szCs w:val="24"/>
        </w:rPr>
        <w:t>. In book Advances in Biotechnology &amp; Bioscience, Volume 16, 133-165.</w:t>
      </w:r>
    </w:p>
    <w:p w14:paraId="60C71CBD" w14:textId="77777777" w:rsidR="00DE5238" w:rsidRPr="00451222"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451222">
        <w:rPr>
          <w:rFonts w:ascii="Times New Roman" w:hAnsi="Times New Roman" w:cs="Times New Roman"/>
          <w:sz w:val="24"/>
          <w:szCs w:val="24"/>
          <w:lang w:val="en-GB"/>
        </w:rPr>
        <w:t xml:space="preserve">Yadav, R.K., Tripathi, M.K., Tiwari, S., Tripathi, N., </w:t>
      </w:r>
      <w:proofErr w:type="spellStart"/>
      <w:r w:rsidRPr="00451222">
        <w:rPr>
          <w:rFonts w:ascii="Times New Roman" w:hAnsi="Times New Roman" w:cs="Times New Roman"/>
          <w:sz w:val="24"/>
          <w:szCs w:val="24"/>
          <w:lang w:val="en-GB"/>
        </w:rPr>
        <w:t>Asati</w:t>
      </w:r>
      <w:proofErr w:type="spellEnd"/>
      <w:r w:rsidRPr="00451222">
        <w:rPr>
          <w:rFonts w:ascii="Times New Roman" w:hAnsi="Times New Roman" w:cs="Times New Roman"/>
          <w:sz w:val="24"/>
          <w:szCs w:val="24"/>
          <w:lang w:val="en-GB"/>
        </w:rPr>
        <w:t xml:space="preserve">, R., Patel, V., </w:t>
      </w:r>
      <w:proofErr w:type="spellStart"/>
      <w:r w:rsidRPr="00451222">
        <w:rPr>
          <w:rFonts w:ascii="Times New Roman" w:hAnsi="Times New Roman" w:cs="Times New Roman"/>
          <w:sz w:val="24"/>
          <w:szCs w:val="24"/>
          <w:lang w:val="en-GB"/>
        </w:rPr>
        <w:t>Sikarwar</w:t>
      </w:r>
      <w:proofErr w:type="spellEnd"/>
      <w:r w:rsidRPr="00451222">
        <w:rPr>
          <w:rFonts w:ascii="Times New Roman" w:hAnsi="Times New Roman" w:cs="Times New Roman"/>
          <w:sz w:val="24"/>
          <w:szCs w:val="24"/>
          <w:lang w:val="en-GB"/>
        </w:rPr>
        <w:t xml:space="preserve">, R.S., &amp; </w:t>
      </w:r>
      <w:proofErr w:type="spellStart"/>
      <w:r w:rsidRPr="00451222">
        <w:rPr>
          <w:rFonts w:ascii="Times New Roman" w:hAnsi="Times New Roman" w:cs="Times New Roman"/>
          <w:sz w:val="24"/>
          <w:szCs w:val="24"/>
          <w:lang w:val="en-GB"/>
        </w:rPr>
        <w:t>Payasi</w:t>
      </w:r>
      <w:proofErr w:type="spellEnd"/>
      <w:r w:rsidRPr="00451222">
        <w:rPr>
          <w:rFonts w:ascii="Times New Roman" w:hAnsi="Times New Roman" w:cs="Times New Roman"/>
          <w:sz w:val="24"/>
          <w:szCs w:val="24"/>
          <w:lang w:val="en-GB"/>
        </w:rPr>
        <w:t xml:space="preserve">, D. K. (2023a). Breeding and genomic approaches towards development of Fusarium wilt resistance in chickpea. </w:t>
      </w:r>
      <w:r w:rsidRPr="00451222">
        <w:rPr>
          <w:rFonts w:ascii="Times New Roman" w:hAnsi="Times New Roman" w:cs="Times New Roman"/>
          <w:i/>
          <w:iCs/>
          <w:sz w:val="24"/>
          <w:szCs w:val="24"/>
          <w:lang w:val="en-GB"/>
        </w:rPr>
        <w:t>Life, 13</w:t>
      </w:r>
      <w:r w:rsidRPr="00451222">
        <w:rPr>
          <w:rFonts w:ascii="Times New Roman" w:hAnsi="Times New Roman" w:cs="Times New Roman"/>
          <w:sz w:val="24"/>
          <w:szCs w:val="24"/>
          <w:lang w:val="en-GB"/>
        </w:rPr>
        <w:t>: 988. https://doi.org/ 10.3390/life13040988</w:t>
      </w:r>
    </w:p>
    <w:p w14:paraId="51A66EFA"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BB7401">
        <w:rPr>
          <w:rFonts w:ascii="Times New Roman" w:hAnsi="Times New Roman" w:cs="Times New Roman"/>
          <w:sz w:val="24"/>
          <w:szCs w:val="24"/>
          <w:shd w:val="clear" w:color="auto" w:fill="FFFFFF"/>
          <w:vertAlign w:val="superscript"/>
        </w:rPr>
        <w:t>2</w:t>
      </w:r>
      <w:r w:rsidRPr="00BB7401">
        <w:rPr>
          <w:rFonts w:ascii="Times New Roman" w:hAnsi="Times New Roman" w:cs="Times New Roman"/>
          <w:sz w:val="24"/>
          <w:szCs w:val="24"/>
          <w:shd w:val="clear" w:color="auto" w:fill="FFFFFF"/>
        </w:rPr>
        <w:t xml:space="preserve"> Statistic in chickpea (</w:t>
      </w:r>
      <w:r w:rsidRPr="00BB7401">
        <w:rPr>
          <w:rFonts w:ascii="Times New Roman" w:hAnsi="Times New Roman" w:cs="Times New Roman"/>
          <w:i/>
          <w:iCs/>
          <w:sz w:val="24"/>
          <w:szCs w:val="24"/>
          <w:shd w:val="clear" w:color="auto" w:fill="FFFFFF"/>
        </w:rPr>
        <w:t>Cicer arietinum</w:t>
      </w:r>
      <w:r w:rsidRPr="00BB7401">
        <w:rPr>
          <w:rFonts w:ascii="Times New Roman" w:hAnsi="Times New Roman" w:cs="Times New Roman"/>
          <w:sz w:val="24"/>
          <w:szCs w:val="24"/>
          <w:shd w:val="clear" w:color="auto" w:fill="FFFFFF"/>
        </w:rPr>
        <w:t xml:space="preserve"> L.). </w:t>
      </w:r>
      <w:r w:rsidRPr="00BB7401">
        <w:rPr>
          <w:rFonts w:ascii="Times New Roman" w:hAnsi="Times New Roman" w:cs="Times New Roman"/>
          <w:i/>
          <w:iCs/>
          <w:sz w:val="24"/>
          <w:szCs w:val="24"/>
        </w:rPr>
        <w:t xml:space="preserve">Int. </w:t>
      </w:r>
      <w:r w:rsidRPr="00BB7401">
        <w:rPr>
          <w:rFonts w:ascii="Times New Roman" w:hAnsi="Times New Roman" w:cs="Times New Roman"/>
          <w:i/>
          <w:iCs/>
          <w:sz w:val="24"/>
          <w:szCs w:val="24"/>
          <w:shd w:val="clear" w:color="auto" w:fill="FFFFFF"/>
        </w:rPr>
        <w:t>J. Environ. Clim. Change</w:t>
      </w:r>
      <w:r w:rsidRPr="00BB7401">
        <w:rPr>
          <w:rFonts w:ascii="Times New Roman" w:hAnsi="Times New Roman" w:cs="Times New Roman"/>
          <w:sz w:val="24"/>
          <w:szCs w:val="24"/>
          <w:shd w:val="clear" w:color="auto" w:fill="FFFFFF"/>
        </w:rPr>
        <w:t>.</w:t>
      </w:r>
      <w:r w:rsidRPr="00BB7401">
        <w:rPr>
          <w:rFonts w:ascii="Times New Roman" w:hAnsi="Times New Roman" w:cs="Times New Roman"/>
          <w:i/>
          <w:iCs/>
          <w:sz w:val="24"/>
          <w:szCs w:val="24"/>
          <w:shd w:val="clear" w:color="auto" w:fill="FFFFFF"/>
        </w:rPr>
        <w:t xml:space="preserve"> 13</w:t>
      </w:r>
      <w:r w:rsidRPr="00BB7401">
        <w:rPr>
          <w:rFonts w:ascii="Times New Roman" w:hAnsi="Times New Roman" w:cs="Times New Roman"/>
          <w:sz w:val="24"/>
          <w:szCs w:val="24"/>
          <w:shd w:val="clear" w:color="auto" w:fill="FFFFFF"/>
        </w:rPr>
        <w:t>(10): 1598–1611.</w:t>
      </w:r>
    </w:p>
    <w:p w14:paraId="78FC515F"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 xml:space="preserve">Yadav, R.K., Tripathi, M.K., Tiwari, S., Asati, R., Chauhan, S., Paliwal, S., &amp; </w:t>
      </w:r>
      <w:proofErr w:type="spellStart"/>
      <w:r w:rsidRPr="00BB7401">
        <w:rPr>
          <w:rFonts w:ascii="Times New Roman" w:hAnsi="Times New Roman" w:cs="Times New Roman"/>
          <w:sz w:val="24"/>
          <w:szCs w:val="24"/>
          <w:shd w:val="clear" w:color="auto" w:fill="FFFFFF"/>
        </w:rPr>
        <w:t>Mandloi</w:t>
      </w:r>
      <w:proofErr w:type="spellEnd"/>
      <w:r w:rsidRPr="00BB7401">
        <w:rPr>
          <w:rFonts w:ascii="Times New Roman" w:hAnsi="Times New Roman" w:cs="Times New Roman"/>
          <w:sz w:val="24"/>
          <w:szCs w:val="24"/>
          <w:shd w:val="clear" w:color="auto" w:fill="FFFFFF"/>
        </w:rPr>
        <w:t xml:space="preserve">, S. (2023c). Screening chickpea genotypes against Fusarium wilt disease under controlled conditions. Inter. </w:t>
      </w:r>
      <w:r w:rsidRPr="00BB7401">
        <w:rPr>
          <w:rFonts w:ascii="Times New Roman" w:hAnsi="Times New Roman" w:cs="Times New Roman"/>
          <w:i/>
          <w:iCs/>
          <w:sz w:val="24"/>
          <w:szCs w:val="24"/>
          <w:shd w:val="clear" w:color="auto" w:fill="FFFFFF"/>
        </w:rPr>
        <w:t>J. of Plant &amp; Soil Sci</w:t>
      </w:r>
      <w:r w:rsidRPr="00BB7401">
        <w:rPr>
          <w:rFonts w:ascii="Times New Roman" w:hAnsi="Times New Roman" w:cs="Times New Roman"/>
          <w:sz w:val="24"/>
          <w:szCs w:val="24"/>
          <w:shd w:val="clear" w:color="auto" w:fill="FFFFFF"/>
        </w:rPr>
        <w:t xml:space="preserve">.  </w:t>
      </w:r>
      <w:r w:rsidRPr="00BB7401">
        <w:rPr>
          <w:rFonts w:ascii="Times New Roman" w:hAnsi="Times New Roman" w:cs="Times New Roman"/>
          <w:i/>
          <w:iCs/>
          <w:sz w:val="24"/>
          <w:szCs w:val="24"/>
          <w:shd w:val="clear" w:color="auto" w:fill="FFFFFF"/>
        </w:rPr>
        <w:t>35</w:t>
      </w:r>
      <w:r w:rsidRPr="00BB7401">
        <w:rPr>
          <w:rFonts w:ascii="Times New Roman" w:hAnsi="Times New Roman" w:cs="Times New Roman"/>
          <w:sz w:val="24"/>
          <w:szCs w:val="24"/>
          <w:shd w:val="clear" w:color="auto" w:fill="FFFFFF"/>
        </w:rPr>
        <w:t>(19): 698–710.</w:t>
      </w:r>
    </w:p>
    <w:p w14:paraId="02CAA094"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shd w:val="clear" w:color="auto" w:fill="FFFFFF"/>
        </w:rPr>
        <w:t>Yadav, R.K., Tripathi, M.K., Tiwari, S., Asati, R., Chauhan, S., Tripathi, N., Solanki, R.S., Sikarwar, R.S., &amp; Yasin,</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M.</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 xml:space="preserve">2023d). </w:t>
      </w:r>
      <w:hyperlink r:id="rId62" w:history="1">
        <w:r w:rsidRPr="006D5578">
          <w:rPr>
            <w:rFonts w:ascii="Times New Roman" w:hAnsi="Times New Roman" w:cs="Times New Roman"/>
            <w:sz w:val="24"/>
            <w:szCs w:val="24"/>
            <w:shd w:val="clear" w:color="auto" w:fill="FFFFFF"/>
          </w:rPr>
          <w:t>DUS-based morphological profiling and categorization of chickpea (</w:t>
        </w:r>
        <w:r w:rsidRPr="006D5578">
          <w:rPr>
            <w:rFonts w:ascii="Times New Roman" w:hAnsi="Times New Roman" w:cs="Times New Roman"/>
            <w:i/>
            <w:iCs/>
            <w:sz w:val="24"/>
            <w:szCs w:val="24"/>
            <w:shd w:val="clear" w:color="auto" w:fill="FFFFFF"/>
          </w:rPr>
          <w:t>Cicer arietinum</w:t>
        </w:r>
        <w:r w:rsidRPr="006D5578">
          <w:rPr>
            <w:rFonts w:ascii="Times New Roman" w:hAnsi="Times New Roman" w:cs="Times New Roman"/>
            <w:sz w:val="24"/>
            <w:szCs w:val="24"/>
            <w:shd w:val="clear" w:color="auto" w:fill="FFFFFF"/>
          </w:rPr>
          <w:t xml:space="preserve"> L.) genotypes</w:t>
        </w:r>
      </w:hyperlink>
      <w:r w:rsidRPr="006D5578">
        <w:rPr>
          <w:rFonts w:ascii="Times New Roman" w:hAnsi="Times New Roman" w:cs="Times New Roman"/>
          <w:sz w:val="24"/>
          <w:szCs w:val="24"/>
        </w:rPr>
        <w:t>.</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Current Journal of Applied Science and Technology,</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42</w:t>
      </w:r>
      <w:r w:rsidRPr="006D5578">
        <w:rPr>
          <w:rFonts w:ascii="Times New Roman" w:hAnsi="Times New Roman" w:cs="Times New Roman"/>
          <w:sz w:val="24"/>
          <w:szCs w:val="24"/>
          <w:shd w:val="clear" w:color="auto" w:fill="FFFFFF"/>
        </w:rPr>
        <w:t>(40):20-36.</w:t>
      </w:r>
    </w:p>
    <w:p w14:paraId="327EF302"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 Yadav, P.K., Tripathi, M.K., Tiwari, S., Chauhan, S., Tripathi, N. &amp; Sikarwar, R.S. (2023e). Biochemical characterization of parental inbred lines and hybrids of maize (</w:t>
      </w:r>
      <w:r w:rsidRPr="006D5578">
        <w:rPr>
          <w:rFonts w:ascii="Times New Roman" w:hAnsi="Times New Roman" w:cs="Times New Roman"/>
          <w:i/>
          <w:iCs/>
          <w:sz w:val="24"/>
          <w:szCs w:val="24"/>
        </w:rPr>
        <w:t>Zea mays</w:t>
      </w:r>
      <w:r w:rsidRPr="006D5578">
        <w:rPr>
          <w:rFonts w:ascii="Times New Roman" w:hAnsi="Times New Roman" w:cs="Times New Roman"/>
          <w:sz w:val="24"/>
          <w:szCs w:val="24"/>
        </w:rPr>
        <w:t xml:space="preserve"> L.) under different irrigation conditions. </w:t>
      </w:r>
      <w:r w:rsidRPr="006D5578">
        <w:rPr>
          <w:rFonts w:ascii="Times New Roman" w:hAnsi="Times New Roman" w:cs="Times New Roman"/>
          <w:i/>
          <w:iCs/>
          <w:sz w:val="24"/>
          <w:szCs w:val="24"/>
        </w:rPr>
        <w:t>International Journal of Plant &amp; Soil Science</w:t>
      </w:r>
      <w:r w:rsidRPr="006D5578">
        <w:rPr>
          <w:rFonts w:ascii="Times New Roman" w:hAnsi="Times New Roman" w:cs="Times New Roman"/>
          <w:sz w:val="24"/>
          <w:szCs w:val="24"/>
        </w:rPr>
        <w:t xml:space="preserve">, </w:t>
      </w:r>
      <w:r w:rsidRPr="006D5578">
        <w:rPr>
          <w:rFonts w:ascii="Times New Roman" w:hAnsi="Times New Roman" w:cs="Times New Roman"/>
          <w:i/>
          <w:iCs/>
          <w:sz w:val="24"/>
          <w:szCs w:val="24"/>
        </w:rPr>
        <w:t>35</w:t>
      </w:r>
      <w:r w:rsidRPr="006D5578">
        <w:rPr>
          <w:rFonts w:ascii="Times New Roman" w:hAnsi="Times New Roman" w:cs="Times New Roman"/>
          <w:sz w:val="24"/>
          <w:szCs w:val="24"/>
        </w:rPr>
        <w:t>(18):1743-1762.</w:t>
      </w:r>
    </w:p>
    <w:p w14:paraId="4B3D51C5" w14:textId="77777777" w:rsidR="00DE5238" w:rsidRPr="00BC7E42"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C7E42">
        <w:rPr>
          <w:rFonts w:ascii="Times New Roman" w:hAnsi="Times New Roman" w:cs="Times New Roman"/>
          <w:sz w:val="24"/>
          <w:szCs w:val="24"/>
        </w:rPr>
        <w:lastRenderedPageBreak/>
        <w:t>Yadav, P.K., Singh, A.K., Tripathi, M.K., Tiwari, S., Yadav, S. K., Solanki, R.&amp; Tripathi, N. (2022). Assessment of maize (</w:t>
      </w:r>
      <w:r w:rsidRPr="00BC7E42">
        <w:rPr>
          <w:rFonts w:ascii="Times New Roman" w:hAnsi="Times New Roman" w:cs="Times New Roman"/>
          <w:i/>
          <w:iCs/>
          <w:sz w:val="24"/>
          <w:szCs w:val="24"/>
        </w:rPr>
        <w:t>Zea mays</w:t>
      </w:r>
      <w:r w:rsidRPr="00BC7E42">
        <w:rPr>
          <w:rFonts w:ascii="Times New Roman" w:hAnsi="Times New Roman" w:cs="Times New Roman"/>
          <w:sz w:val="24"/>
          <w:szCs w:val="24"/>
        </w:rPr>
        <w:t xml:space="preserve"> L.) genotypes on the basis of biochemical contents in respect to drought. </w:t>
      </w:r>
      <w:r w:rsidRPr="00BC7E42">
        <w:rPr>
          <w:rFonts w:ascii="Times New Roman" w:hAnsi="Times New Roman" w:cs="Times New Roman"/>
          <w:i/>
          <w:iCs/>
          <w:sz w:val="24"/>
          <w:szCs w:val="24"/>
        </w:rPr>
        <w:t>The Pharma Innovation</w:t>
      </w:r>
      <w:r w:rsidRPr="00BC7E42">
        <w:rPr>
          <w:rFonts w:ascii="Times New Roman" w:hAnsi="Times New Roman" w:cs="Times New Roman"/>
          <w:sz w:val="24"/>
          <w:szCs w:val="24"/>
        </w:rPr>
        <w:t xml:space="preserve">, </w:t>
      </w:r>
      <w:r w:rsidRPr="00BC7E42">
        <w:rPr>
          <w:rFonts w:ascii="Times New Roman" w:hAnsi="Times New Roman" w:cs="Times New Roman"/>
          <w:i/>
          <w:iCs/>
          <w:sz w:val="24"/>
          <w:szCs w:val="24"/>
        </w:rPr>
        <w:t>11</w:t>
      </w:r>
      <w:r w:rsidRPr="00BC7E42">
        <w:rPr>
          <w:rFonts w:ascii="Times New Roman" w:hAnsi="Times New Roman" w:cs="Times New Roman"/>
          <w:sz w:val="24"/>
          <w:szCs w:val="24"/>
        </w:rPr>
        <w:t>(6): 1996-2002</w:t>
      </w:r>
    </w:p>
    <w:bookmarkEnd w:id="2"/>
    <w:p w14:paraId="0A76CC56" w14:textId="77777777" w:rsidR="00DE5238" w:rsidRPr="005C37D7" w:rsidRDefault="00DE5238" w:rsidP="00DE5238">
      <w:pPr>
        <w:pStyle w:val="ListParagraph"/>
        <w:numPr>
          <w:ilvl w:val="0"/>
          <w:numId w:val="11"/>
        </w:numPr>
        <w:spacing w:before="120" w:after="120" w:line="360" w:lineRule="auto"/>
        <w:jc w:val="both"/>
        <w:rPr>
          <w:rFonts w:ascii="Times New Roman" w:hAnsi="Times New Roman" w:cs="Times New Roman"/>
          <w:color w:val="EE0000"/>
          <w:sz w:val="24"/>
          <w:szCs w:val="24"/>
        </w:rPr>
      </w:pPr>
      <w:r w:rsidRPr="005C37D7">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proofErr w:type="spellStart"/>
      <w:r w:rsidRPr="005C37D7">
        <w:rPr>
          <w:rFonts w:ascii="Times New Roman" w:eastAsia="Times New Roman" w:hAnsi="Times New Roman" w:cs="Times New Roman"/>
          <w:i/>
          <w:iCs/>
          <w:sz w:val="24"/>
          <w:szCs w:val="24"/>
          <w:lang w:eastAsia="en-IN"/>
        </w:rPr>
        <w:t>Mesorhizobium</w:t>
      </w:r>
      <w:proofErr w:type="spellEnd"/>
      <w:r w:rsidRPr="005C37D7">
        <w:rPr>
          <w:rFonts w:ascii="Times New Roman" w:eastAsia="Times New Roman" w:hAnsi="Times New Roman" w:cs="Times New Roman"/>
          <w:i/>
          <w:iCs/>
          <w:sz w:val="24"/>
          <w:szCs w:val="24"/>
          <w:lang w:eastAsia="en-IN"/>
        </w:rPr>
        <w:t xml:space="preserve"> species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(3), 429. </w:t>
      </w:r>
      <w:hyperlink r:id="rId63" w:history="1">
        <w:r w:rsidRPr="005C37D7">
          <w:rPr>
            <w:rStyle w:val="Hyperlink"/>
            <w:rFonts w:ascii="Times New Roman" w:eastAsia="Times New Roman" w:hAnsi="Times New Roman" w:cs="Times New Roman"/>
            <w:sz w:val="24"/>
            <w:szCs w:val="24"/>
            <w:lang w:eastAsia="en-IN"/>
          </w:rPr>
          <w:t>https://doi.org/10.3390/plants13030429</w:t>
        </w:r>
      </w:hyperlink>
    </w:p>
    <w:p w14:paraId="364D99B7" w14:textId="16CA8FD2" w:rsidR="002E7409" w:rsidRDefault="002E7409" w:rsidP="00DE5238">
      <w:pPr>
        <w:jc w:val="both"/>
        <w:rPr>
          <w:rFonts w:ascii="Times New Roman" w:eastAsia="Times New Roman" w:hAnsi="Times New Roman" w:cs="Times New Roman"/>
          <w:sz w:val="24"/>
          <w:szCs w:val="24"/>
          <w:lang w:eastAsia="en-IN"/>
        </w:rPr>
      </w:pPr>
    </w:p>
    <w:sectPr w:rsidR="002E7409">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3DFDB" w14:textId="77777777" w:rsidR="000235A2" w:rsidRDefault="000235A2" w:rsidP="005F3383">
      <w:pPr>
        <w:spacing w:after="0" w:line="240" w:lineRule="auto"/>
      </w:pPr>
      <w:r>
        <w:separator/>
      </w:r>
    </w:p>
  </w:endnote>
  <w:endnote w:type="continuationSeparator" w:id="0">
    <w:p w14:paraId="09EB57EA" w14:textId="77777777" w:rsidR="000235A2" w:rsidRDefault="000235A2" w:rsidP="005F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6F7B" w14:textId="77777777" w:rsidR="005F3383" w:rsidRDefault="005F3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D5E3" w14:textId="77777777" w:rsidR="005F3383" w:rsidRDefault="005F3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3DF2" w14:textId="77777777" w:rsidR="005F3383" w:rsidRDefault="005F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ACF1" w14:textId="77777777" w:rsidR="000235A2" w:rsidRDefault="000235A2" w:rsidP="005F3383">
      <w:pPr>
        <w:spacing w:after="0" w:line="240" w:lineRule="auto"/>
      </w:pPr>
      <w:r>
        <w:separator/>
      </w:r>
    </w:p>
  </w:footnote>
  <w:footnote w:type="continuationSeparator" w:id="0">
    <w:p w14:paraId="485DD448" w14:textId="77777777" w:rsidR="000235A2" w:rsidRDefault="000235A2" w:rsidP="005F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857D" w14:textId="2AA6BCE6" w:rsidR="005F3383" w:rsidRDefault="000235A2">
    <w:pPr>
      <w:pStyle w:val="Header"/>
    </w:pPr>
    <w:r>
      <w:rPr>
        <w:noProof/>
      </w:rPr>
      <w:pict w14:anchorId="74062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E862" w14:textId="4C277F44" w:rsidR="005F3383" w:rsidRDefault="000235A2">
    <w:pPr>
      <w:pStyle w:val="Header"/>
    </w:pPr>
    <w:r>
      <w:rPr>
        <w:noProof/>
      </w:rPr>
      <w:pict w14:anchorId="69931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7FE8" w14:textId="683DD1A1" w:rsidR="005F3383" w:rsidRDefault="000235A2">
    <w:pPr>
      <w:pStyle w:val="Header"/>
    </w:pPr>
    <w:r>
      <w:rPr>
        <w:noProof/>
      </w:rPr>
      <w:pict w14:anchorId="61E9F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736"/>
    <w:multiLevelType w:val="hybridMultilevel"/>
    <w:tmpl w:val="B9E65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2E5D1D"/>
    <w:multiLevelType w:val="hybridMultilevel"/>
    <w:tmpl w:val="8B8CD9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52011BF"/>
    <w:multiLevelType w:val="hybridMultilevel"/>
    <w:tmpl w:val="F77E68C4"/>
    <w:lvl w:ilvl="0" w:tplc="00B22478">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4" w15:restartNumberingAfterBreak="0">
    <w:nsid w:val="2ECD1B73"/>
    <w:multiLevelType w:val="hybridMultilevel"/>
    <w:tmpl w:val="9084A22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8E7D27"/>
    <w:multiLevelType w:val="hybridMultilevel"/>
    <w:tmpl w:val="45E8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BE7867"/>
    <w:multiLevelType w:val="hybridMultilevel"/>
    <w:tmpl w:val="00FAE016"/>
    <w:lvl w:ilvl="0" w:tplc="2600241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1800F4F"/>
    <w:multiLevelType w:val="multilevel"/>
    <w:tmpl w:val="D7F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8F5401"/>
    <w:multiLevelType w:val="hybridMultilevel"/>
    <w:tmpl w:val="8C3AFE6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3A0456B"/>
    <w:multiLevelType w:val="hybridMultilevel"/>
    <w:tmpl w:val="336E7B36"/>
    <w:lvl w:ilvl="0" w:tplc="606814D4">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9EF1A40"/>
    <w:multiLevelType w:val="hybridMultilevel"/>
    <w:tmpl w:val="6164AB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5"/>
  </w:num>
  <w:num w:numId="5">
    <w:abstractNumId w:val="9"/>
  </w:num>
  <w:num w:numId="6">
    <w:abstractNumId w:val="1"/>
  </w:num>
  <w:num w:numId="7">
    <w:abstractNumId w:val="2"/>
  </w:num>
  <w:num w:numId="8">
    <w:abstractNumId w:val="6"/>
  </w:num>
  <w:num w:numId="9">
    <w:abstractNumId w:val="4"/>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F"/>
    <w:rsid w:val="00013F2B"/>
    <w:rsid w:val="00015C6A"/>
    <w:rsid w:val="00022125"/>
    <w:rsid w:val="000235A2"/>
    <w:rsid w:val="00031754"/>
    <w:rsid w:val="0003274D"/>
    <w:rsid w:val="00037C47"/>
    <w:rsid w:val="0004593A"/>
    <w:rsid w:val="00052561"/>
    <w:rsid w:val="00062537"/>
    <w:rsid w:val="000763A5"/>
    <w:rsid w:val="00076614"/>
    <w:rsid w:val="000A2D78"/>
    <w:rsid w:val="000C18AC"/>
    <w:rsid w:val="000E0374"/>
    <w:rsid w:val="000E0DAB"/>
    <w:rsid w:val="000E354E"/>
    <w:rsid w:val="000F1E6D"/>
    <w:rsid w:val="000F24AC"/>
    <w:rsid w:val="001039A8"/>
    <w:rsid w:val="00107EEF"/>
    <w:rsid w:val="00123951"/>
    <w:rsid w:val="00130CA4"/>
    <w:rsid w:val="00134A12"/>
    <w:rsid w:val="0013653F"/>
    <w:rsid w:val="001419F5"/>
    <w:rsid w:val="00142D58"/>
    <w:rsid w:val="00162269"/>
    <w:rsid w:val="00165B18"/>
    <w:rsid w:val="0018070F"/>
    <w:rsid w:val="001A4C7F"/>
    <w:rsid w:val="001B316F"/>
    <w:rsid w:val="001C387B"/>
    <w:rsid w:val="001F210C"/>
    <w:rsid w:val="001F2CFB"/>
    <w:rsid w:val="00200AC9"/>
    <w:rsid w:val="002079DE"/>
    <w:rsid w:val="00213157"/>
    <w:rsid w:val="00244D62"/>
    <w:rsid w:val="00245A6A"/>
    <w:rsid w:val="00254112"/>
    <w:rsid w:val="0025422A"/>
    <w:rsid w:val="0025704D"/>
    <w:rsid w:val="00273C33"/>
    <w:rsid w:val="002C3C4B"/>
    <w:rsid w:val="002E7409"/>
    <w:rsid w:val="0030680B"/>
    <w:rsid w:val="0032464D"/>
    <w:rsid w:val="003679D4"/>
    <w:rsid w:val="00390B6D"/>
    <w:rsid w:val="00392103"/>
    <w:rsid w:val="003931A1"/>
    <w:rsid w:val="003A50E8"/>
    <w:rsid w:val="003A60BE"/>
    <w:rsid w:val="003B0903"/>
    <w:rsid w:val="003B11C2"/>
    <w:rsid w:val="003B1A98"/>
    <w:rsid w:val="003B6929"/>
    <w:rsid w:val="003D0B42"/>
    <w:rsid w:val="003D1AB7"/>
    <w:rsid w:val="003E2AAA"/>
    <w:rsid w:val="003F048A"/>
    <w:rsid w:val="003F5607"/>
    <w:rsid w:val="0040169D"/>
    <w:rsid w:val="00402BD5"/>
    <w:rsid w:val="004170C3"/>
    <w:rsid w:val="0042401F"/>
    <w:rsid w:val="004377BA"/>
    <w:rsid w:val="00443005"/>
    <w:rsid w:val="004619F0"/>
    <w:rsid w:val="00477FE2"/>
    <w:rsid w:val="004917AA"/>
    <w:rsid w:val="004A12EB"/>
    <w:rsid w:val="004B6F99"/>
    <w:rsid w:val="004C0DC3"/>
    <w:rsid w:val="004C32CD"/>
    <w:rsid w:val="004C69F3"/>
    <w:rsid w:val="004D1023"/>
    <w:rsid w:val="004F1BC1"/>
    <w:rsid w:val="004F4875"/>
    <w:rsid w:val="00502E16"/>
    <w:rsid w:val="0050512A"/>
    <w:rsid w:val="005063E3"/>
    <w:rsid w:val="00536C1E"/>
    <w:rsid w:val="00563732"/>
    <w:rsid w:val="00565E90"/>
    <w:rsid w:val="0059420C"/>
    <w:rsid w:val="005948D2"/>
    <w:rsid w:val="00595DEE"/>
    <w:rsid w:val="005A5675"/>
    <w:rsid w:val="005A68FB"/>
    <w:rsid w:val="005B2AE8"/>
    <w:rsid w:val="005B3B47"/>
    <w:rsid w:val="005F3383"/>
    <w:rsid w:val="00604D47"/>
    <w:rsid w:val="00610E88"/>
    <w:rsid w:val="00620862"/>
    <w:rsid w:val="00624416"/>
    <w:rsid w:val="006323C3"/>
    <w:rsid w:val="0064613A"/>
    <w:rsid w:val="00656113"/>
    <w:rsid w:val="006622EA"/>
    <w:rsid w:val="00666536"/>
    <w:rsid w:val="00666A54"/>
    <w:rsid w:val="00686825"/>
    <w:rsid w:val="006A5A0A"/>
    <w:rsid w:val="006B60EC"/>
    <w:rsid w:val="006B6144"/>
    <w:rsid w:val="006D1951"/>
    <w:rsid w:val="006D33B0"/>
    <w:rsid w:val="006D4EF9"/>
    <w:rsid w:val="006E112C"/>
    <w:rsid w:val="006E4F1F"/>
    <w:rsid w:val="006F2D84"/>
    <w:rsid w:val="00701BF2"/>
    <w:rsid w:val="00703949"/>
    <w:rsid w:val="00703D85"/>
    <w:rsid w:val="00727897"/>
    <w:rsid w:val="0073282B"/>
    <w:rsid w:val="007332BE"/>
    <w:rsid w:val="00735AE0"/>
    <w:rsid w:val="00737846"/>
    <w:rsid w:val="00742738"/>
    <w:rsid w:val="007648AA"/>
    <w:rsid w:val="0078223C"/>
    <w:rsid w:val="0079078B"/>
    <w:rsid w:val="007915EF"/>
    <w:rsid w:val="007929B2"/>
    <w:rsid w:val="007B4F9F"/>
    <w:rsid w:val="007E04B1"/>
    <w:rsid w:val="00807AF4"/>
    <w:rsid w:val="00812366"/>
    <w:rsid w:val="00820F0F"/>
    <w:rsid w:val="00843900"/>
    <w:rsid w:val="008625F4"/>
    <w:rsid w:val="0086406C"/>
    <w:rsid w:val="00877704"/>
    <w:rsid w:val="0089164F"/>
    <w:rsid w:val="00894552"/>
    <w:rsid w:val="008A0FEA"/>
    <w:rsid w:val="008A2EDD"/>
    <w:rsid w:val="008A6526"/>
    <w:rsid w:val="008B1BDF"/>
    <w:rsid w:val="008B3FEB"/>
    <w:rsid w:val="008C1CA5"/>
    <w:rsid w:val="008C5F49"/>
    <w:rsid w:val="008C737D"/>
    <w:rsid w:val="008D3CC8"/>
    <w:rsid w:val="008D6DFD"/>
    <w:rsid w:val="008E6A35"/>
    <w:rsid w:val="008F3A81"/>
    <w:rsid w:val="00907398"/>
    <w:rsid w:val="009108AD"/>
    <w:rsid w:val="00914F26"/>
    <w:rsid w:val="00927D70"/>
    <w:rsid w:val="00943A93"/>
    <w:rsid w:val="00943C9B"/>
    <w:rsid w:val="009646C4"/>
    <w:rsid w:val="0096710E"/>
    <w:rsid w:val="00976481"/>
    <w:rsid w:val="00985985"/>
    <w:rsid w:val="00990D05"/>
    <w:rsid w:val="009B0009"/>
    <w:rsid w:val="009C1CCC"/>
    <w:rsid w:val="00A10198"/>
    <w:rsid w:val="00A10653"/>
    <w:rsid w:val="00A130F5"/>
    <w:rsid w:val="00A23DED"/>
    <w:rsid w:val="00A416F9"/>
    <w:rsid w:val="00A9605F"/>
    <w:rsid w:val="00A97427"/>
    <w:rsid w:val="00AB7870"/>
    <w:rsid w:val="00AC403D"/>
    <w:rsid w:val="00AE35AA"/>
    <w:rsid w:val="00AE4C16"/>
    <w:rsid w:val="00AE7C47"/>
    <w:rsid w:val="00AF1A99"/>
    <w:rsid w:val="00AF257B"/>
    <w:rsid w:val="00B05923"/>
    <w:rsid w:val="00B0650A"/>
    <w:rsid w:val="00B11740"/>
    <w:rsid w:val="00B119EF"/>
    <w:rsid w:val="00B24B1C"/>
    <w:rsid w:val="00B25B9A"/>
    <w:rsid w:val="00B30595"/>
    <w:rsid w:val="00B312E6"/>
    <w:rsid w:val="00B35122"/>
    <w:rsid w:val="00B43578"/>
    <w:rsid w:val="00B43946"/>
    <w:rsid w:val="00B75B12"/>
    <w:rsid w:val="00B844B0"/>
    <w:rsid w:val="00B84E55"/>
    <w:rsid w:val="00BA13CC"/>
    <w:rsid w:val="00BA1C4C"/>
    <w:rsid w:val="00BA4082"/>
    <w:rsid w:val="00BC0536"/>
    <w:rsid w:val="00BC7E8B"/>
    <w:rsid w:val="00BD27B4"/>
    <w:rsid w:val="00BD7ED5"/>
    <w:rsid w:val="00BF3A3B"/>
    <w:rsid w:val="00C0013A"/>
    <w:rsid w:val="00C02B3C"/>
    <w:rsid w:val="00C04673"/>
    <w:rsid w:val="00C124FB"/>
    <w:rsid w:val="00C221FB"/>
    <w:rsid w:val="00C25495"/>
    <w:rsid w:val="00C317EA"/>
    <w:rsid w:val="00C323CF"/>
    <w:rsid w:val="00C6096E"/>
    <w:rsid w:val="00C641AC"/>
    <w:rsid w:val="00C7029D"/>
    <w:rsid w:val="00C72A86"/>
    <w:rsid w:val="00C76DAE"/>
    <w:rsid w:val="00C93E6E"/>
    <w:rsid w:val="00CC117F"/>
    <w:rsid w:val="00CC3B17"/>
    <w:rsid w:val="00CD7558"/>
    <w:rsid w:val="00CE27D6"/>
    <w:rsid w:val="00D21376"/>
    <w:rsid w:val="00D627B9"/>
    <w:rsid w:val="00D62A30"/>
    <w:rsid w:val="00DB540F"/>
    <w:rsid w:val="00DD4271"/>
    <w:rsid w:val="00DD6BED"/>
    <w:rsid w:val="00DE5238"/>
    <w:rsid w:val="00DE7C29"/>
    <w:rsid w:val="00DF7614"/>
    <w:rsid w:val="00E12EE2"/>
    <w:rsid w:val="00E15BDB"/>
    <w:rsid w:val="00E30EBF"/>
    <w:rsid w:val="00EC25EE"/>
    <w:rsid w:val="00ED3A52"/>
    <w:rsid w:val="00EE5AA6"/>
    <w:rsid w:val="00F13E7C"/>
    <w:rsid w:val="00F154C5"/>
    <w:rsid w:val="00F17DFC"/>
    <w:rsid w:val="00F239C7"/>
    <w:rsid w:val="00F51E9F"/>
    <w:rsid w:val="00F5506A"/>
    <w:rsid w:val="00F63BE9"/>
    <w:rsid w:val="00F80A8F"/>
    <w:rsid w:val="00F812AD"/>
    <w:rsid w:val="00F8331C"/>
    <w:rsid w:val="00F93FDF"/>
    <w:rsid w:val="00F96B0D"/>
    <w:rsid w:val="00FA1B45"/>
    <w:rsid w:val="00FA328F"/>
    <w:rsid w:val="00FB05ED"/>
    <w:rsid w:val="00FB26EE"/>
    <w:rsid w:val="00FB6624"/>
    <w:rsid w:val="00FC55D0"/>
    <w:rsid w:val="00FF2762"/>
    <w:rsid w:val="00FF3C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AF21C"/>
  <w15:chartTrackingRefBased/>
  <w15:docId w15:val="{F79D043A-F545-49E5-A5A2-3F79FB6B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10C"/>
    <w:rPr>
      <w:color w:val="0563C1" w:themeColor="hyperlink"/>
      <w:u w:val="single"/>
    </w:rPr>
  </w:style>
  <w:style w:type="paragraph" w:customStyle="1" w:styleId="Normal00">
    <w:name w:val="Normal_0_0"/>
    <w:qFormat/>
    <w:rsid w:val="00AE35AA"/>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ListParagraph">
    <w:name w:val="List Paragraph"/>
    <w:basedOn w:val="Normal"/>
    <w:link w:val="ListParagraphChar"/>
    <w:uiPriority w:val="34"/>
    <w:qFormat/>
    <w:rsid w:val="00AE35AA"/>
    <w:pPr>
      <w:ind w:left="720"/>
      <w:contextualSpacing/>
    </w:pPr>
  </w:style>
  <w:style w:type="character" w:styleId="Emphasis">
    <w:name w:val="Emphasis"/>
    <w:basedOn w:val="DefaultParagraphFont"/>
    <w:uiPriority w:val="20"/>
    <w:qFormat/>
    <w:rsid w:val="006E4F1F"/>
    <w:rPr>
      <w:i/>
      <w:iCs/>
    </w:rPr>
  </w:style>
  <w:style w:type="paragraph" w:customStyle="1" w:styleId="Normal2">
    <w:name w:val="Normal_2"/>
    <w:qFormat/>
    <w:rsid w:val="00DE5238"/>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customStyle="1" w:styleId="BodyText2">
    <w:name w:val="Body Text_2"/>
    <w:basedOn w:val="Normal2"/>
    <w:link w:val="BodyTextChar2"/>
    <w:uiPriority w:val="1"/>
    <w:qFormat/>
    <w:rsid w:val="00DE5238"/>
    <w:rPr>
      <w:sz w:val="24"/>
      <w:szCs w:val="24"/>
    </w:rPr>
  </w:style>
  <w:style w:type="character" w:customStyle="1" w:styleId="BodyTextChar2">
    <w:name w:val="Body Text Char_2"/>
    <w:link w:val="BodyText2"/>
    <w:uiPriority w:val="1"/>
    <w:rsid w:val="00DE5238"/>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rsid w:val="00DE5238"/>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DE5238"/>
    <w:rPr>
      <w:rFonts w:ascii="Arial" w:eastAsia="Arial" w:hAnsi="Arial" w:cs="Arial"/>
      <w:b/>
      <w:bCs/>
      <w:sz w:val="24"/>
      <w:szCs w:val="24"/>
      <w:lang w:val="en-US"/>
    </w:rPr>
  </w:style>
  <w:style w:type="paragraph" w:customStyle="1" w:styleId="TableParagraph0">
    <w:name w:val="Table Paragraph_0"/>
    <w:basedOn w:val="Normal2"/>
    <w:uiPriority w:val="1"/>
    <w:qFormat/>
    <w:rsid w:val="00DE5238"/>
  </w:style>
  <w:style w:type="paragraph" w:customStyle="1" w:styleId="Heading400">
    <w:name w:val="Heading 4_0_0"/>
    <w:basedOn w:val="Normal00"/>
    <w:link w:val="Heading4Char00"/>
    <w:uiPriority w:val="9"/>
    <w:unhideWhenUsed/>
    <w:qFormat/>
    <w:rsid w:val="00DE5238"/>
    <w:pPr>
      <w:ind w:left="1080"/>
      <w:outlineLvl w:val="3"/>
    </w:pPr>
    <w:rPr>
      <w:rFonts w:ascii="Arial" w:eastAsia="Arial" w:hAnsi="Arial" w:cs="Arial"/>
      <w:b/>
      <w:bCs/>
      <w:sz w:val="24"/>
      <w:szCs w:val="24"/>
    </w:rPr>
  </w:style>
  <w:style w:type="character" w:customStyle="1" w:styleId="Heading4Char00">
    <w:name w:val="Heading 4 Char_0_0"/>
    <w:link w:val="Heading400"/>
    <w:uiPriority w:val="9"/>
    <w:rsid w:val="00DE5238"/>
    <w:rPr>
      <w:rFonts w:ascii="Arial" w:eastAsia="Arial" w:hAnsi="Arial" w:cs="Arial"/>
      <w:b/>
      <w:bCs/>
      <w:sz w:val="24"/>
      <w:szCs w:val="24"/>
      <w:lang w:val="en-US"/>
    </w:rPr>
  </w:style>
  <w:style w:type="paragraph" w:customStyle="1" w:styleId="BodyText00">
    <w:name w:val="Body Text_0_0"/>
    <w:basedOn w:val="Normal00"/>
    <w:link w:val="BodyTextChar00"/>
    <w:uiPriority w:val="1"/>
    <w:qFormat/>
    <w:rsid w:val="00DE5238"/>
    <w:rPr>
      <w:sz w:val="24"/>
      <w:szCs w:val="24"/>
    </w:rPr>
  </w:style>
  <w:style w:type="character" w:customStyle="1" w:styleId="BodyTextChar00">
    <w:name w:val="Body Text Char_0_0"/>
    <w:link w:val="BodyText00"/>
    <w:uiPriority w:val="1"/>
    <w:rsid w:val="00DE5238"/>
    <w:rPr>
      <w:rFonts w:ascii="Microsoft Sans Serif" w:eastAsia="Microsoft Sans Serif" w:hAnsi="Microsoft Sans Serif" w:cs="Microsoft Sans Serif"/>
      <w:sz w:val="24"/>
      <w:szCs w:val="24"/>
      <w:lang w:val="en-US"/>
    </w:rPr>
  </w:style>
  <w:style w:type="paragraph" w:customStyle="1" w:styleId="Default">
    <w:name w:val="Default"/>
    <w:rsid w:val="00DE5238"/>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DE5238"/>
  </w:style>
  <w:style w:type="character" w:customStyle="1" w:styleId="html-italic">
    <w:name w:val="html-italic"/>
    <w:basedOn w:val="DefaultParagraphFont"/>
    <w:rsid w:val="00DE5238"/>
  </w:style>
  <w:style w:type="paragraph" w:customStyle="1" w:styleId="nova-legacy-e-listitem">
    <w:name w:val="nova-legacy-e-list__item"/>
    <w:basedOn w:val="Normal"/>
    <w:rsid w:val="00DE52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DE5238"/>
    <w:rPr>
      <w:color w:val="954F72" w:themeColor="followedHyperlink"/>
      <w:u w:val="single"/>
    </w:rPr>
  </w:style>
  <w:style w:type="paragraph" w:styleId="Header">
    <w:name w:val="header"/>
    <w:basedOn w:val="Normal"/>
    <w:link w:val="HeaderChar"/>
    <w:uiPriority w:val="99"/>
    <w:unhideWhenUsed/>
    <w:rsid w:val="005F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383"/>
  </w:style>
  <w:style w:type="paragraph" w:styleId="Footer">
    <w:name w:val="footer"/>
    <w:basedOn w:val="Normal"/>
    <w:link w:val="FooterChar"/>
    <w:uiPriority w:val="99"/>
    <w:unhideWhenUsed/>
    <w:rsid w:val="005F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383"/>
  </w:style>
  <w:style w:type="character" w:styleId="UnresolvedMention">
    <w:name w:val="Unresolved Mention"/>
    <w:basedOn w:val="DefaultParagraphFont"/>
    <w:uiPriority w:val="99"/>
    <w:semiHidden/>
    <w:unhideWhenUsed/>
    <w:rsid w:val="006D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1489">
      <w:bodyDiv w:val="1"/>
      <w:marLeft w:val="0"/>
      <w:marRight w:val="0"/>
      <w:marTop w:val="0"/>
      <w:marBottom w:val="0"/>
      <w:divBdr>
        <w:top w:val="none" w:sz="0" w:space="0" w:color="auto"/>
        <w:left w:val="none" w:sz="0" w:space="0" w:color="auto"/>
        <w:bottom w:val="none" w:sz="0" w:space="0" w:color="auto"/>
        <w:right w:val="none" w:sz="0" w:space="0" w:color="auto"/>
      </w:divBdr>
      <w:divsChild>
        <w:div w:id="843936786">
          <w:marLeft w:val="0"/>
          <w:marRight w:val="0"/>
          <w:marTop w:val="0"/>
          <w:marBottom w:val="0"/>
          <w:divBdr>
            <w:top w:val="none" w:sz="0" w:space="0" w:color="auto"/>
            <w:left w:val="none" w:sz="0" w:space="0" w:color="auto"/>
            <w:bottom w:val="none" w:sz="0" w:space="0" w:color="auto"/>
            <w:right w:val="none" w:sz="0" w:space="0" w:color="auto"/>
          </w:divBdr>
        </w:div>
      </w:divsChild>
    </w:div>
    <w:div w:id="68428363">
      <w:bodyDiv w:val="1"/>
      <w:marLeft w:val="0"/>
      <w:marRight w:val="0"/>
      <w:marTop w:val="0"/>
      <w:marBottom w:val="0"/>
      <w:divBdr>
        <w:top w:val="none" w:sz="0" w:space="0" w:color="auto"/>
        <w:left w:val="none" w:sz="0" w:space="0" w:color="auto"/>
        <w:bottom w:val="none" w:sz="0" w:space="0" w:color="auto"/>
        <w:right w:val="none" w:sz="0" w:space="0" w:color="auto"/>
      </w:divBdr>
      <w:divsChild>
        <w:div w:id="23292201">
          <w:marLeft w:val="0"/>
          <w:marRight w:val="0"/>
          <w:marTop w:val="0"/>
          <w:marBottom w:val="0"/>
          <w:divBdr>
            <w:top w:val="none" w:sz="0" w:space="0" w:color="auto"/>
            <w:left w:val="none" w:sz="0" w:space="0" w:color="auto"/>
            <w:bottom w:val="none" w:sz="0" w:space="0" w:color="auto"/>
            <w:right w:val="none" w:sz="0" w:space="0" w:color="auto"/>
          </w:divBdr>
        </w:div>
      </w:divsChild>
    </w:div>
    <w:div w:id="104159319">
      <w:bodyDiv w:val="1"/>
      <w:marLeft w:val="0"/>
      <w:marRight w:val="0"/>
      <w:marTop w:val="0"/>
      <w:marBottom w:val="0"/>
      <w:divBdr>
        <w:top w:val="none" w:sz="0" w:space="0" w:color="auto"/>
        <w:left w:val="none" w:sz="0" w:space="0" w:color="auto"/>
        <w:bottom w:val="none" w:sz="0" w:space="0" w:color="auto"/>
        <w:right w:val="none" w:sz="0" w:space="0" w:color="auto"/>
      </w:divBdr>
      <w:divsChild>
        <w:div w:id="841513182">
          <w:marLeft w:val="0"/>
          <w:marRight w:val="0"/>
          <w:marTop w:val="0"/>
          <w:marBottom w:val="0"/>
          <w:divBdr>
            <w:top w:val="none" w:sz="0" w:space="0" w:color="auto"/>
            <w:left w:val="none" w:sz="0" w:space="0" w:color="auto"/>
            <w:bottom w:val="none" w:sz="0" w:space="0" w:color="auto"/>
            <w:right w:val="none" w:sz="0" w:space="0" w:color="auto"/>
          </w:divBdr>
        </w:div>
      </w:divsChild>
    </w:div>
    <w:div w:id="110175114">
      <w:bodyDiv w:val="1"/>
      <w:marLeft w:val="0"/>
      <w:marRight w:val="0"/>
      <w:marTop w:val="0"/>
      <w:marBottom w:val="0"/>
      <w:divBdr>
        <w:top w:val="none" w:sz="0" w:space="0" w:color="auto"/>
        <w:left w:val="none" w:sz="0" w:space="0" w:color="auto"/>
        <w:bottom w:val="none" w:sz="0" w:space="0" w:color="auto"/>
        <w:right w:val="none" w:sz="0" w:space="0" w:color="auto"/>
      </w:divBdr>
      <w:divsChild>
        <w:div w:id="1242787858">
          <w:marLeft w:val="0"/>
          <w:marRight w:val="0"/>
          <w:marTop w:val="0"/>
          <w:marBottom w:val="0"/>
          <w:divBdr>
            <w:top w:val="none" w:sz="0" w:space="0" w:color="auto"/>
            <w:left w:val="none" w:sz="0" w:space="0" w:color="auto"/>
            <w:bottom w:val="none" w:sz="0" w:space="0" w:color="auto"/>
            <w:right w:val="none" w:sz="0" w:space="0" w:color="auto"/>
          </w:divBdr>
        </w:div>
      </w:divsChild>
    </w:div>
    <w:div w:id="113409159">
      <w:bodyDiv w:val="1"/>
      <w:marLeft w:val="0"/>
      <w:marRight w:val="0"/>
      <w:marTop w:val="0"/>
      <w:marBottom w:val="0"/>
      <w:divBdr>
        <w:top w:val="none" w:sz="0" w:space="0" w:color="auto"/>
        <w:left w:val="none" w:sz="0" w:space="0" w:color="auto"/>
        <w:bottom w:val="none" w:sz="0" w:space="0" w:color="auto"/>
        <w:right w:val="none" w:sz="0" w:space="0" w:color="auto"/>
      </w:divBdr>
    </w:div>
    <w:div w:id="12019813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69">
          <w:marLeft w:val="0"/>
          <w:marRight w:val="0"/>
          <w:marTop w:val="0"/>
          <w:marBottom w:val="0"/>
          <w:divBdr>
            <w:top w:val="none" w:sz="0" w:space="0" w:color="auto"/>
            <w:left w:val="none" w:sz="0" w:space="0" w:color="auto"/>
            <w:bottom w:val="none" w:sz="0" w:space="0" w:color="auto"/>
            <w:right w:val="none" w:sz="0" w:space="0" w:color="auto"/>
          </w:divBdr>
        </w:div>
      </w:divsChild>
    </w:div>
    <w:div w:id="133791253">
      <w:bodyDiv w:val="1"/>
      <w:marLeft w:val="0"/>
      <w:marRight w:val="0"/>
      <w:marTop w:val="0"/>
      <w:marBottom w:val="0"/>
      <w:divBdr>
        <w:top w:val="none" w:sz="0" w:space="0" w:color="auto"/>
        <w:left w:val="none" w:sz="0" w:space="0" w:color="auto"/>
        <w:bottom w:val="none" w:sz="0" w:space="0" w:color="auto"/>
        <w:right w:val="none" w:sz="0" w:space="0" w:color="auto"/>
      </w:divBdr>
      <w:divsChild>
        <w:div w:id="1435590266">
          <w:marLeft w:val="0"/>
          <w:marRight w:val="0"/>
          <w:marTop w:val="0"/>
          <w:marBottom w:val="0"/>
          <w:divBdr>
            <w:top w:val="none" w:sz="0" w:space="0" w:color="auto"/>
            <w:left w:val="none" w:sz="0" w:space="0" w:color="auto"/>
            <w:bottom w:val="none" w:sz="0" w:space="0" w:color="auto"/>
            <w:right w:val="none" w:sz="0" w:space="0" w:color="auto"/>
          </w:divBdr>
        </w:div>
      </w:divsChild>
    </w:div>
    <w:div w:id="185339007">
      <w:bodyDiv w:val="1"/>
      <w:marLeft w:val="0"/>
      <w:marRight w:val="0"/>
      <w:marTop w:val="0"/>
      <w:marBottom w:val="0"/>
      <w:divBdr>
        <w:top w:val="none" w:sz="0" w:space="0" w:color="auto"/>
        <w:left w:val="none" w:sz="0" w:space="0" w:color="auto"/>
        <w:bottom w:val="none" w:sz="0" w:space="0" w:color="auto"/>
        <w:right w:val="none" w:sz="0" w:space="0" w:color="auto"/>
      </w:divBdr>
      <w:divsChild>
        <w:div w:id="1174955172">
          <w:marLeft w:val="0"/>
          <w:marRight w:val="0"/>
          <w:marTop w:val="0"/>
          <w:marBottom w:val="0"/>
          <w:divBdr>
            <w:top w:val="none" w:sz="0" w:space="0" w:color="auto"/>
            <w:left w:val="none" w:sz="0" w:space="0" w:color="auto"/>
            <w:bottom w:val="none" w:sz="0" w:space="0" w:color="auto"/>
            <w:right w:val="none" w:sz="0" w:space="0" w:color="auto"/>
          </w:divBdr>
        </w:div>
      </w:divsChild>
    </w:div>
    <w:div w:id="187186109">
      <w:bodyDiv w:val="1"/>
      <w:marLeft w:val="0"/>
      <w:marRight w:val="0"/>
      <w:marTop w:val="0"/>
      <w:marBottom w:val="0"/>
      <w:divBdr>
        <w:top w:val="none" w:sz="0" w:space="0" w:color="auto"/>
        <w:left w:val="none" w:sz="0" w:space="0" w:color="auto"/>
        <w:bottom w:val="none" w:sz="0" w:space="0" w:color="auto"/>
        <w:right w:val="none" w:sz="0" w:space="0" w:color="auto"/>
      </w:divBdr>
      <w:divsChild>
        <w:div w:id="1399939549">
          <w:marLeft w:val="0"/>
          <w:marRight w:val="0"/>
          <w:marTop w:val="0"/>
          <w:marBottom w:val="0"/>
          <w:divBdr>
            <w:top w:val="none" w:sz="0" w:space="0" w:color="auto"/>
            <w:left w:val="none" w:sz="0" w:space="0" w:color="auto"/>
            <w:bottom w:val="none" w:sz="0" w:space="0" w:color="auto"/>
            <w:right w:val="none" w:sz="0" w:space="0" w:color="auto"/>
          </w:divBdr>
        </w:div>
      </w:divsChild>
    </w:div>
    <w:div w:id="209222273">
      <w:bodyDiv w:val="1"/>
      <w:marLeft w:val="0"/>
      <w:marRight w:val="0"/>
      <w:marTop w:val="0"/>
      <w:marBottom w:val="0"/>
      <w:divBdr>
        <w:top w:val="none" w:sz="0" w:space="0" w:color="auto"/>
        <w:left w:val="none" w:sz="0" w:space="0" w:color="auto"/>
        <w:bottom w:val="none" w:sz="0" w:space="0" w:color="auto"/>
        <w:right w:val="none" w:sz="0" w:space="0" w:color="auto"/>
      </w:divBdr>
      <w:divsChild>
        <w:div w:id="1375305397">
          <w:marLeft w:val="0"/>
          <w:marRight w:val="0"/>
          <w:marTop w:val="0"/>
          <w:marBottom w:val="0"/>
          <w:divBdr>
            <w:top w:val="none" w:sz="0" w:space="0" w:color="auto"/>
            <w:left w:val="none" w:sz="0" w:space="0" w:color="auto"/>
            <w:bottom w:val="none" w:sz="0" w:space="0" w:color="auto"/>
            <w:right w:val="none" w:sz="0" w:space="0" w:color="auto"/>
          </w:divBdr>
        </w:div>
      </w:divsChild>
    </w:div>
    <w:div w:id="246689818">
      <w:bodyDiv w:val="1"/>
      <w:marLeft w:val="0"/>
      <w:marRight w:val="0"/>
      <w:marTop w:val="0"/>
      <w:marBottom w:val="0"/>
      <w:divBdr>
        <w:top w:val="none" w:sz="0" w:space="0" w:color="auto"/>
        <w:left w:val="none" w:sz="0" w:space="0" w:color="auto"/>
        <w:bottom w:val="none" w:sz="0" w:space="0" w:color="auto"/>
        <w:right w:val="none" w:sz="0" w:space="0" w:color="auto"/>
      </w:divBdr>
    </w:div>
    <w:div w:id="310208843">
      <w:bodyDiv w:val="1"/>
      <w:marLeft w:val="0"/>
      <w:marRight w:val="0"/>
      <w:marTop w:val="0"/>
      <w:marBottom w:val="0"/>
      <w:divBdr>
        <w:top w:val="none" w:sz="0" w:space="0" w:color="auto"/>
        <w:left w:val="none" w:sz="0" w:space="0" w:color="auto"/>
        <w:bottom w:val="none" w:sz="0" w:space="0" w:color="auto"/>
        <w:right w:val="none" w:sz="0" w:space="0" w:color="auto"/>
      </w:divBdr>
      <w:divsChild>
        <w:div w:id="603264315">
          <w:marLeft w:val="0"/>
          <w:marRight w:val="0"/>
          <w:marTop w:val="0"/>
          <w:marBottom w:val="0"/>
          <w:divBdr>
            <w:top w:val="none" w:sz="0" w:space="0" w:color="auto"/>
            <w:left w:val="none" w:sz="0" w:space="0" w:color="auto"/>
            <w:bottom w:val="none" w:sz="0" w:space="0" w:color="auto"/>
            <w:right w:val="none" w:sz="0" w:space="0" w:color="auto"/>
          </w:divBdr>
        </w:div>
      </w:divsChild>
    </w:div>
    <w:div w:id="317030354">
      <w:bodyDiv w:val="1"/>
      <w:marLeft w:val="0"/>
      <w:marRight w:val="0"/>
      <w:marTop w:val="0"/>
      <w:marBottom w:val="0"/>
      <w:divBdr>
        <w:top w:val="none" w:sz="0" w:space="0" w:color="auto"/>
        <w:left w:val="none" w:sz="0" w:space="0" w:color="auto"/>
        <w:bottom w:val="none" w:sz="0" w:space="0" w:color="auto"/>
        <w:right w:val="none" w:sz="0" w:space="0" w:color="auto"/>
      </w:divBdr>
      <w:divsChild>
        <w:div w:id="878660844">
          <w:marLeft w:val="0"/>
          <w:marRight w:val="0"/>
          <w:marTop w:val="0"/>
          <w:marBottom w:val="0"/>
          <w:divBdr>
            <w:top w:val="none" w:sz="0" w:space="0" w:color="auto"/>
            <w:left w:val="none" w:sz="0" w:space="0" w:color="auto"/>
            <w:bottom w:val="none" w:sz="0" w:space="0" w:color="auto"/>
            <w:right w:val="none" w:sz="0" w:space="0" w:color="auto"/>
          </w:divBdr>
        </w:div>
      </w:divsChild>
    </w:div>
    <w:div w:id="326371844">
      <w:bodyDiv w:val="1"/>
      <w:marLeft w:val="0"/>
      <w:marRight w:val="0"/>
      <w:marTop w:val="0"/>
      <w:marBottom w:val="0"/>
      <w:divBdr>
        <w:top w:val="none" w:sz="0" w:space="0" w:color="auto"/>
        <w:left w:val="none" w:sz="0" w:space="0" w:color="auto"/>
        <w:bottom w:val="none" w:sz="0" w:space="0" w:color="auto"/>
        <w:right w:val="none" w:sz="0" w:space="0" w:color="auto"/>
      </w:divBdr>
      <w:divsChild>
        <w:div w:id="1480731815">
          <w:marLeft w:val="0"/>
          <w:marRight w:val="0"/>
          <w:marTop w:val="0"/>
          <w:marBottom w:val="0"/>
          <w:divBdr>
            <w:top w:val="none" w:sz="0" w:space="0" w:color="auto"/>
            <w:left w:val="none" w:sz="0" w:space="0" w:color="auto"/>
            <w:bottom w:val="none" w:sz="0" w:space="0" w:color="auto"/>
            <w:right w:val="none" w:sz="0" w:space="0" w:color="auto"/>
          </w:divBdr>
        </w:div>
      </w:divsChild>
    </w:div>
    <w:div w:id="327949973">
      <w:bodyDiv w:val="1"/>
      <w:marLeft w:val="0"/>
      <w:marRight w:val="0"/>
      <w:marTop w:val="0"/>
      <w:marBottom w:val="0"/>
      <w:divBdr>
        <w:top w:val="none" w:sz="0" w:space="0" w:color="auto"/>
        <w:left w:val="none" w:sz="0" w:space="0" w:color="auto"/>
        <w:bottom w:val="none" w:sz="0" w:space="0" w:color="auto"/>
        <w:right w:val="none" w:sz="0" w:space="0" w:color="auto"/>
      </w:divBdr>
      <w:divsChild>
        <w:div w:id="2071339548">
          <w:marLeft w:val="0"/>
          <w:marRight w:val="0"/>
          <w:marTop w:val="0"/>
          <w:marBottom w:val="0"/>
          <w:divBdr>
            <w:top w:val="none" w:sz="0" w:space="0" w:color="auto"/>
            <w:left w:val="none" w:sz="0" w:space="0" w:color="auto"/>
            <w:bottom w:val="none" w:sz="0" w:space="0" w:color="auto"/>
            <w:right w:val="none" w:sz="0" w:space="0" w:color="auto"/>
          </w:divBdr>
        </w:div>
      </w:divsChild>
    </w:div>
    <w:div w:id="328405444">
      <w:bodyDiv w:val="1"/>
      <w:marLeft w:val="0"/>
      <w:marRight w:val="0"/>
      <w:marTop w:val="0"/>
      <w:marBottom w:val="0"/>
      <w:divBdr>
        <w:top w:val="none" w:sz="0" w:space="0" w:color="auto"/>
        <w:left w:val="none" w:sz="0" w:space="0" w:color="auto"/>
        <w:bottom w:val="none" w:sz="0" w:space="0" w:color="auto"/>
        <w:right w:val="none" w:sz="0" w:space="0" w:color="auto"/>
      </w:divBdr>
      <w:divsChild>
        <w:div w:id="1710836959">
          <w:marLeft w:val="0"/>
          <w:marRight w:val="0"/>
          <w:marTop w:val="0"/>
          <w:marBottom w:val="0"/>
          <w:divBdr>
            <w:top w:val="none" w:sz="0" w:space="0" w:color="auto"/>
            <w:left w:val="none" w:sz="0" w:space="0" w:color="auto"/>
            <w:bottom w:val="none" w:sz="0" w:space="0" w:color="auto"/>
            <w:right w:val="none" w:sz="0" w:space="0" w:color="auto"/>
          </w:divBdr>
        </w:div>
      </w:divsChild>
    </w:div>
    <w:div w:id="337346017">
      <w:bodyDiv w:val="1"/>
      <w:marLeft w:val="0"/>
      <w:marRight w:val="0"/>
      <w:marTop w:val="0"/>
      <w:marBottom w:val="0"/>
      <w:divBdr>
        <w:top w:val="none" w:sz="0" w:space="0" w:color="auto"/>
        <w:left w:val="none" w:sz="0" w:space="0" w:color="auto"/>
        <w:bottom w:val="none" w:sz="0" w:space="0" w:color="auto"/>
        <w:right w:val="none" w:sz="0" w:space="0" w:color="auto"/>
      </w:divBdr>
      <w:divsChild>
        <w:div w:id="2076124663">
          <w:marLeft w:val="0"/>
          <w:marRight w:val="0"/>
          <w:marTop w:val="0"/>
          <w:marBottom w:val="0"/>
          <w:divBdr>
            <w:top w:val="none" w:sz="0" w:space="0" w:color="auto"/>
            <w:left w:val="none" w:sz="0" w:space="0" w:color="auto"/>
            <w:bottom w:val="none" w:sz="0" w:space="0" w:color="auto"/>
            <w:right w:val="none" w:sz="0" w:space="0" w:color="auto"/>
          </w:divBdr>
        </w:div>
      </w:divsChild>
    </w:div>
    <w:div w:id="353381606">
      <w:bodyDiv w:val="1"/>
      <w:marLeft w:val="0"/>
      <w:marRight w:val="0"/>
      <w:marTop w:val="0"/>
      <w:marBottom w:val="0"/>
      <w:divBdr>
        <w:top w:val="none" w:sz="0" w:space="0" w:color="auto"/>
        <w:left w:val="none" w:sz="0" w:space="0" w:color="auto"/>
        <w:bottom w:val="none" w:sz="0" w:space="0" w:color="auto"/>
        <w:right w:val="none" w:sz="0" w:space="0" w:color="auto"/>
      </w:divBdr>
      <w:divsChild>
        <w:div w:id="1473476023">
          <w:marLeft w:val="0"/>
          <w:marRight w:val="0"/>
          <w:marTop w:val="0"/>
          <w:marBottom w:val="0"/>
          <w:divBdr>
            <w:top w:val="none" w:sz="0" w:space="0" w:color="auto"/>
            <w:left w:val="none" w:sz="0" w:space="0" w:color="auto"/>
            <w:bottom w:val="none" w:sz="0" w:space="0" w:color="auto"/>
            <w:right w:val="none" w:sz="0" w:space="0" w:color="auto"/>
          </w:divBdr>
        </w:div>
      </w:divsChild>
    </w:div>
    <w:div w:id="368459202">
      <w:bodyDiv w:val="1"/>
      <w:marLeft w:val="0"/>
      <w:marRight w:val="0"/>
      <w:marTop w:val="0"/>
      <w:marBottom w:val="0"/>
      <w:divBdr>
        <w:top w:val="none" w:sz="0" w:space="0" w:color="auto"/>
        <w:left w:val="none" w:sz="0" w:space="0" w:color="auto"/>
        <w:bottom w:val="none" w:sz="0" w:space="0" w:color="auto"/>
        <w:right w:val="none" w:sz="0" w:space="0" w:color="auto"/>
      </w:divBdr>
      <w:divsChild>
        <w:div w:id="766846355">
          <w:marLeft w:val="0"/>
          <w:marRight w:val="0"/>
          <w:marTop w:val="0"/>
          <w:marBottom w:val="0"/>
          <w:divBdr>
            <w:top w:val="none" w:sz="0" w:space="0" w:color="auto"/>
            <w:left w:val="none" w:sz="0" w:space="0" w:color="auto"/>
            <w:bottom w:val="none" w:sz="0" w:space="0" w:color="auto"/>
            <w:right w:val="none" w:sz="0" w:space="0" w:color="auto"/>
          </w:divBdr>
        </w:div>
      </w:divsChild>
    </w:div>
    <w:div w:id="386026523">
      <w:bodyDiv w:val="1"/>
      <w:marLeft w:val="0"/>
      <w:marRight w:val="0"/>
      <w:marTop w:val="0"/>
      <w:marBottom w:val="0"/>
      <w:divBdr>
        <w:top w:val="none" w:sz="0" w:space="0" w:color="auto"/>
        <w:left w:val="none" w:sz="0" w:space="0" w:color="auto"/>
        <w:bottom w:val="none" w:sz="0" w:space="0" w:color="auto"/>
        <w:right w:val="none" w:sz="0" w:space="0" w:color="auto"/>
      </w:divBdr>
    </w:div>
    <w:div w:id="394745115">
      <w:bodyDiv w:val="1"/>
      <w:marLeft w:val="0"/>
      <w:marRight w:val="0"/>
      <w:marTop w:val="0"/>
      <w:marBottom w:val="0"/>
      <w:divBdr>
        <w:top w:val="none" w:sz="0" w:space="0" w:color="auto"/>
        <w:left w:val="none" w:sz="0" w:space="0" w:color="auto"/>
        <w:bottom w:val="none" w:sz="0" w:space="0" w:color="auto"/>
        <w:right w:val="none" w:sz="0" w:space="0" w:color="auto"/>
      </w:divBdr>
      <w:divsChild>
        <w:div w:id="1345477355">
          <w:marLeft w:val="0"/>
          <w:marRight w:val="0"/>
          <w:marTop w:val="0"/>
          <w:marBottom w:val="0"/>
          <w:divBdr>
            <w:top w:val="none" w:sz="0" w:space="0" w:color="auto"/>
            <w:left w:val="none" w:sz="0" w:space="0" w:color="auto"/>
            <w:bottom w:val="none" w:sz="0" w:space="0" w:color="auto"/>
            <w:right w:val="none" w:sz="0" w:space="0" w:color="auto"/>
          </w:divBdr>
        </w:div>
      </w:divsChild>
    </w:div>
    <w:div w:id="402683501">
      <w:bodyDiv w:val="1"/>
      <w:marLeft w:val="0"/>
      <w:marRight w:val="0"/>
      <w:marTop w:val="0"/>
      <w:marBottom w:val="0"/>
      <w:divBdr>
        <w:top w:val="none" w:sz="0" w:space="0" w:color="auto"/>
        <w:left w:val="none" w:sz="0" w:space="0" w:color="auto"/>
        <w:bottom w:val="none" w:sz="0" w:space="0" w:color="auto"/>
        <w:right w:val="none" w:sz="0" w:space="0" w:color="auto"/>
      </w:divBdr>
      <w:divsChild>
        <w:div w:id="194392712">
          <w:marLeft w:val="0"/>
          <w:marRight w:val="0"/>
          <w:marTop w:val="0"/>
          <w:marBottom w:val="0"/>
          <w:divBdr>
            <w:top w:val="none" w:sz="0" w:space="0" w:color="auto"/>
            <w:left w:val="none" w:sz="0" w:space="0" w:color="auto"/>
            <w:bottom w:val="none" w:sz="0" w:space="0" w:color="auto"/>
            <w:right w:val="none" w:sz="0" w:space="0" w:color="auto"/>
          </w:divBdr>
        </w:div>
      </w:divsChild>
    </w:div>
    <w:div w:id="446240260">
      <w:bodyDiv w:val="1"/>
      <w:marLeft w:val="0"/>
      <w:marRight w:val="0"/>
      <w:marTop w:val="0"/>
      <w:marBottom w:val="0"/>
      <w:divBdr>
        <w:top w:val="none" w:sz="0" w:space="0" w:color="auto"/>
        <w:left w:val="none" w:sz="0" w:space="0" w:color="auto"/>
        <w:bottom w:val="none" w:sz="0" w:space="0" w:color="auto"/>
        <w:right w:val="none" w:sz="0" w:space="0" w:color="auto"/>
      </w:divBdr>
      <w:divsChild>
        <w:div w:id="1697540608">
          <w:marLeft w:val="0"/>
          <w:marRight w:val="0"/>
          <w:marTop w:val="0"/>
          <w:marBottom w:val="0"/>
          <w:divBdr>
            <w:top w:val="none" w:sz="0" w:space="0" w:color="auto"/>
            <w:left w:val="none" w:sz="0" w:space="0" w:color="auto"/>
            <w:bottom w:val="none" w:sz="0" w:space="0" w:color="auto"/>
            <w:right w:val="none" w:sz="0" w:space="0" w:color="auto"/>
          </w:divBdr>
        </w:div>
      </w:divsChild>
    </w:div>
    <w:div w:id="446244823">
      <w:bodyDiv w:val="1"/>
      <w:marLeft w:val="0"/>
      <w:marRight w:val="0"/>
      <w:marTop w:val="0"/>
      <w:marBottom w:val="0"/>
      <w:divBdr>
        <w:top w:val="none" w:sz="0" w:space="0" w:color="auto"/>
        <w:left w:val="none" w:sz="0" w:space="0" w:color="auto"/>
        <w:bottom w:val="none" w:sz="0" w:space="0" w:color="auto"/>
        <w:right w:val="none" w:sz="0" w:space="0" w:color="auto"/>
      </w:divBdr>
      <w:divsChild>
        <w:div w:id="196552841">
          <w:marLeft w:val="0"/>
          <w:marRight w:val="0"/>
          <w:marTop w:val="0"/>
          <w:marBottom w:val="0"/>
          <w:divBdr>
            <w:top w:val="none" w:sz="0" w:space="0" w:color="auto"/>
            <w:left w:val="none" w:sz="0" w:space="0" w:color="auto"/>
            <w:bottom w:val="none" w:sz="0" w:space="0" w:color="auto"/>
            <w:right w:val="none" w:sz="0" w:space="0" w:color="auto"/>
          </w:divBdr>
        </w:div>
      </w:divsChild>
    </w:div>
    <w:div w:id="450629404">
      <w:bodyDiv w:val="1"/>
      <w:marLeft w:val="0"/>
      <w:marRight w:val="0"/>
      <w:marTop w:val="0"/>
      <w:marBottom w:val="0"/>
      <w:divBdr>
        <w:top w:val="none" w:sz="0" w:space="0" w:color="auto"/>
        <w:left w:val="none" w:sz="0" w:space="0" w:color="auto"/>
        <w:bottom w:val="none" w:sz="0" w:space="0" w:color="auto"/>
        <w:right w:val="none" w:sz="0" w:space="0" w:color="auto"/>
      </w:divBdr>
      <w:divsChild>
        <w:div w:id="1999840559">
          <w:marLeft w:val="0"/>
          <w:marRight w:val="0"/>
          <w:marTop w:val="0"/>
          <w:marBottom w:val="0"/>
          <w:divBdr>
            <w:top w:val="none" w:sz="0" w:space="0" w:color="auto"/>
            <w:left w:val="none" w:sz="0" w:space="0" w:color="auto"/>
            <w:bottom w:val="none" w:sz="0" w:space="0" w:color="auto"/>
            <w:right w:val="none" w:sz="0" w:space="0" w:color="auto"/>
          </w:divBdr>
        </w:div>
      </w:divsChild>
    </w:div>
    <w:div w:id="45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0283863">
          <w:marLeft w:val="0"/>
          <w:marRight w:val="0"/>
          <w:marTop w:val="0"/>
          <w:marBottom w:val="0"/>
          <w:divBdr>
            <w:top w:val="none" w:sz="0" w:space="0" w:color="auto"/>
            <w:left w:val="none" w:sz="0" w:space="0" w:color="auto"/>
            <w:bottom w:val="none" w:sz="0" w:space="0" w:color="auto"/>
            <w:right w:val="none" w:sz="0" w:space="0" w:color="auto"/>
          </w:divBdr>
        </w:div>
      </w:divsChild>
    </w:div>
    <w:div w:id="517429070">
      <w:bodyDiv w:val="1"/>
      <w:marLeft w:val="0"/>
      <w:marRight w:val="0"/>
      <w:marTop w:val="0"/>
      <w:marBottom w:val="0"/>
      <w:divBdr>
        <w:top w:val="none" w:sz="0" w:space="0" w:color="auto"/>
        <w:left w:val="none" w:sz="0" w:space="0" w:color="auto"/>
        <w:bottom w:val="none" w:sz="0" w:space="0" w:color="auto"/>
        <w:right w:val="none" w:sz="0" w:space="0" w:color="auto"/>
      </w:divBdr>
    </w:div>
    <w:div w:id="520168307">
      <w:bodyDiv w:val="1"/>
      <w:marLeft w:val="0"/>
      <w:marRight w:val="0"/>
      <w:marTop w:val="0"/>
      <w:marBottom w:val="0"/>
      <w:divBdr>
        <w:top w:val="none" w:sz="0" w:space="0" w:color="auto"/>
        <w:left w:val="none" w:sz="0" w:space="0" w:color="auto"/>
        <w:bottom w:val="none" w:sz="0" w:space="0" w:color="auto"/>
        <w:right w:val="none" w:sz="0" w:space="0" w:color="auto"/>
      </w:divBdr>
      <w:divsChild>
        <w:div w:id="349337659">
          <w:marLeft w:val="0"/>
          <w:marRight w:val="0"/>
          <w:marTop w:val="0"/>
          <w:marBottom w:val="0"/>
          <w:divBdr>
            <w:top w:val="none" w:sz="0" w:space="0" w:color="auto"/>
            <w:left w:val="none" w:sz="0" w:space="0" w:color="auto"/>
            <w:bottom w:val="none" w:sz="0" w:space="0" w:color="auto"/>
            <w:right w:val="none" w:sz="0" w:space="0" w:color="auto"/>
          </w:divBdr>
        </w:div>
      </w:divsChild>
    </w:div>
    <w:div w:id="544097050">
      <w:bodyDiv w:val="1"/>
      <w:marLeft w:val="0"/>
      <w:marRight w:val="0"/>
      <w:marTop w:val="0"/>
      <w:marBottom w:val="0"/>
      <w:divBdr>
        <w:top w:val="none" w:sz="0" w:space="0" w:color="auto"/>
        <w:left w:val="none" w:sz="0" w:space="0" w:color="auto"/>
        <w:bottom w:val="none" w:sz="0" w:space="0" w:color="auto"/>
        <w:right w:val="none" w:sz="0" w:space="0" w:color="auto"/>
      </w:divBdr>
      <w:divsChild>
        <w:div w:id="156189485">
          <w:marLeft w:val="0"/>
          <w:marRight w:val="0"/>
          <w:marTop w:val="0"/>
          <w:marBottom w:val="0"/>
          <w:divBdr>
            <w:top w:val="none" w:sz="0" w:space="0" w:color="auto"/>
            <w:left w:val="none" w:sz="0" w:space="0" w:color="auto"/>
            <w:bottom w:val="none" w:sz="0" w:space="0" w:color="auto"/>
            <w:right w:val="none" w:sz="0" w:space="0" w:color="auto"/>
          </w:divBdr>
        </w:div>
      </w:divsChild>
    </w:div>
    <w:div w:id="548539863">
      <w:bodyDiv w:val="1"/>
      <w:marLeft w:val="0"/>
      <w:marRight w:val="0"/>
      <w:marTop w:val="0"/>
      <w:marBottom w:val="0"/>
      <w:divBdr>
        <w:top w:val="none" w:sz="0" w:space="0" w:color="auto"/>
        <w:left w:val="none" w:sz="0" w:space="0" w:color="auto"/>
        <w:bottom w:val="none" w:sz="0" w:space="0" w:color="auto"/>
        <w:right w:val="none" w:sz="0" w:space="0" w:color="auto"/>
      </w:divBdr>
      <w:divsChild>
        <w:div w:id="1814326804">
          <w:marLeft w:val="0"/>
          <w:marRight w:val="0"/>
          <w:marTop w:val="0"/>
          <w:marBottom w:val="0"/>
          <w:divBdr>
            <w:top w:val="none" w:sz="0" w:space="0" w:color="auto"/>
            <w:left w:val="none" w:sz="0" w:space="0" w:color="auto"/>
            <w:bottom w:val="none" w:sz="0" w:space="0" w:color="auto"/>
            <w:right w:val="none" w:sz="0" w:space="0" w:color="auto"/>
          </w:divBdr>
        </w:div>
      </w:divsChild>
    </w:div>
    <w:div w:id="573509370">
      <w:bodyDiv w:val="1"/>
      <w:marLeft w:val="0"/>
      <w:marRight w:val="0"/>
      <w:marTop w:val="0"/>
      <w:marBottom w:val="0"/>
      <w:divBdr>
        <w:top w:val="none" w:sz="0" w:space="0" w:color="auto"/>
        <w:left w:val="none" w:sz="0" w:space="0" w:color="auto"/>
        <w:bottom w:val="none" w:sz="0" w:space="0" w:color="auto"/>
        <w:right w:val="none" w:sz="0" w:space="0" w:color="auto"/>
      </w:divBdr>
    </w:div>
    <w:div w:id="594827934">
      <w:bodyDiv w:val="1"/>
      <w:marLeft w:val="0"/>
      <w:marRight w:val="0"/>
      <w:marTop w:val="0"/>
      <w:marBottom w:val="0"/>
      <w:divBdr>
        <w:top w:val="none" w:sz="0" w:space="0" w:color="auto"/>
        <w:left w:val="none" w:sz="0" w:space="0" w:color="auto"/>
        <w:bottom w:val="none" w:sz="0" w:space="0" w:color="auto"/>
        <w:right w:val="none" w:sz="0" w:space="0" w:color="auto"/>
      </w:divBdr>
      <w:divsChild>
        <w:div w:id="1251893296">
          <w:marLeft w:val="0"/>
          <w:marRight w:val="0"/>
          <w:marTop w:val="0"/>
          <w:marBottom w:val="0"/>
          <w:divBdr>
            <w:top w:val="none" w:sz="0" w:space="0" w:color="auto"/>
            <w:left w:val="none" w:sz="0" w:space="0" w:color="auto"/>
            <w:bottom w:val="none" w:sz="0" w:space="0" w:color="auto"/>
            <w:right w:val="none" w:sz="0" w:space="0" w:color="auto"/>
          </w:divBdr>
        </w:div>
      </w:divsChild>
    </w:div>
    <w:div w:id="624972586">
      <w:bodyDiv w:val="1"/>
      <w:marLeft w:val="0"/>
      <w:marRight w:val="0"/>
      <w:marTop w:val="0"/>
      <w:marBottom w:val="0"/>
      <w:divBdr>
        <w:top w:val="none" w:sz="0" w:space="0" w:color="auto"/>
        <w:left w:val="none" w:sz="0" w:space="0" w:color="auto"/>
        <w:bottom w:val="none" w:sz="0" w:space="0" w:color="auto"/>
        <w:right w:val="none" w:sz="0" w:space="0" w:color="auto"/>
      </w:divBdr>
      <w:divsChild>
        <w:div w:id="1182554062">
          <w:marLeft w:val="0"/>
          <w:marRight w:val="0"/>
          <w:marTop w:val="0"/>
          <w:marBottom w:val="0"/>
          <w:divBdr>
            <w:top w:val="none" w:sz="0" w:space="0" w:color="auto"/>
            <w:left w:val="none" w:sz="0" w:space="0" w:color="auto"/>
            <w:bottom w:val="none" w:sz="0" w:space="0" w:color="auto"/>
            <w:right w:val="none" w:sz="0" w:space="0" w:color="auto"/>
          </w:divBdr>
        </w:div>
      </w:divsChild>
    </w:div>
    <w:div w:id="670371882">
      <w:bodyDiv w:val="1"/>
      <w:marLeft w:val="0"/>
      <w:marRight w:val="0"/>
      <w:marTop w:val="0"/>
      <w:marBottom w:val="0"/>
      <w:divBdr>
        <w:top w:val="none" w:sz="0" w:space="0" w:color="auto"/>
        <w:left w:val="none" w:sz="0" w:space="0" w:color="auto"/>
        <w:bottom w:val="none" w:sz="0" w:space="0" w:color="auto"/>
        <w:right w:val="none" w:sz="0" w:space="0" w:color="auto"/>
      </w:divBdr>
      <w:divsChild>
        <w:div w:id="119424022">
          <w:marLeft w:val="0"/>
          <w:marRight w:val="0"/>
          <w:marTop w:val="0"/>
          <w:marBottom w:val="0"/>
          <w:divBdr>
            <w:top w:val="none" w:sz="0" w:space="0" w:color="auto"/>
            <w:left w:val="none" w:sz="0" w:space="0" w:color="auto"/>
            <w:bottom w:val="none" w:sz="0" w:space="0" w:color="auto"/>
            <w:right w:val="none" w:sz="0" w:space="0" w:color="auto"/>
          </w:divBdr>
        </w:div>
      </w:divsChild>
    </w:div>
    <w:div w:id="740175149">
      <w:bodyDiv w:val="1"/>
      <w:marLeft w:val="0"/>
      <w:marRight w:val="0"/>
      <w:marTop w:val="0"/>
      <w:marBottom w:val="0"/>
      <w:divBdr>
        <w:top w:val="none" w:sz="0" w:space="0" w:color="auto"/>
        <w:left w:val="none" w:sz="0" w:space="0" w:color="auto"/>
        <w:bottom w:val="none" w:sz="0" w:space="0" w:color="auto"/>
        <w:right w:val="none" w:sz="0" w:space="0" w:color="auto"/>
      </w:divBdr>
      <w:divsChild>
        <w:div w:id="1799953351">
          <w:marLeft w:val="0"/>
          <w:marRight w:val="0"/>
          <w:marTop w:val="0"/>
          <w:marBottom w:val="0"/>
          <w:divBdr>
            <w:top w:val="none" w:sz="0" w:space="0" w:color="auto"/>
            <w:left w:val="none" w:sz="0" w:space="0" w:color="auto"/>
            <w:bottom w:val="none" w:sz="0" w:space="0" w:color="auto"/>
            <w:right w:val="none" w:sz="0" w:space="0" w:color="auto"/>
          </w:divBdr>
        </w:div>
      </w:divsChild>
    </w:div>
    <w:div w:id="760836022">
      <w:bodyDiv w:val="1"/>
      <w:marLeft w:val="0"/>
      <w:marRight w:val="0"/>
      <w:marTop w:val="0"/>
      <w:marBottom w:val="0"/>
      <w:divBdr>
        <w:top w:val="none" w:sz="0" w:space="0" w:color="auto"/>
        <w:left w:val="none" w:sz="0" w:space="0" w:color="auto"/>
        <w:bottom w:val="none" w:sz="0" w:space="0" w:color="auto"/>
        <w:right w:val="none" w:sz="0" w:space="0" w:color="auto"/>
      </w:divBdr>
    </w:div>
    <w:div w:id="761145664">
      <w:bodyDiv w:val="1"/>
      <w:marLeft w:val="0"/>
      <w:marRight w:val="0"/>
      <w:marTop w:val="0"/>
      <w:marBottom w:val="0"/>
      <w:divBdr>
        <w:top w:val="none" w:sz="0" w:space="0" w:color="auto"/>
        <w:left w:val="none" w:sz="0" w:space="0" w:color="auto"/>
        <w:bottom w:val="none" w:sz="0" w:space="0" w:color="auto"/>
        <w:right w:val="none" w:sz="0" w:space="0" w:color="auto"/>
      </w:divBdr>
      <w:divsChild>
        <w:div w:id="1186598387">
          <w:marLeft w:val="0"/>
          <w:marRight w:val="0"/>
          <w:marTop w:val="0"/>
          <w:marBottom w:val="0"/>
          <w:divBdr>
            <w:top w:val="none" w:sz="0" w:space="0" w:color="auto"/>
            <w:left w:val="none" w:sz="0" w:space="0" w:color="auto"/>
            <w:bottom w:val="none" w:sz="0" w:space="0" w:color="auto"/>
            <w:right w:val="none" w:sz="0" w:space="0" w:color="auto"/>
          </w:divBdr>
        </w:div>
      </w:divsChild>
    </w:div>
    <w:div w:id="765885764">
      <w:bodyDiv w:val="1"/>
      <w:marLeft w:val="0"/>
      <w:marRight w:val="0"/>
      <w:marTop w:val="0"/>
      <w:marBottom w:val="0"/>
      <w:divBdr>
        <w:top w:val="none" w:sz="0" w:space="0" w:color="auto"/>
        <w:left w:val="none" w:sz="0" w:space="0" w:color="auto"/>
        <w:bottom w:val="none" w:sz="0" w:space="0" w:color="auto"/>
        <w:right w:val="none" w:sz="0" w:space="0" w:color="auto"/>
      </w:divBdr>
      <w:divsChild>
        <w:div w:id="301859441">
          <w:marLeft w:val="0"/>
          <w:marRight w:val="0"/>
          <w:marTop w:val="0"/>
          <w:marBottom w:val="0"/>
          <w:divBdr>
            <w:top w:val="none" w:sz="0" w:space="0" w:color="auto"/>
            <w:left w:val="none" w:sz="0" w:space="0" w:color="auto"/>
            <w:bottom w:val="none" w:sz="0" w:space="0" w:color="auto"/>
            <w:right w:val="none" w:sz="0" w:space="0" w:color="auto"/>
          </w:divBdr>
        </w:div>
      </w:divsChild>
    </w:div>
    <w:div w:id="813720392">
      <w:bodyDiv w:val="1"/>
      <w:marLeft w:val="0"/>
      <w:marRight w:val="0"/>
      <w:marTop w:val="0"/>
      <w:marBottom w:val="0"/>
      <w:divBdr>
        <w:top w:val="none" w:sz="0" w:space="0" w:color="auto"/>
        <w:left w:val="none" w:sz="0" w:space="0" w:color="auto"/>
        <w:bottom w:val="none" w:sz="0" w:space="0" w:color="auto"/>
        <w:right w:val="none" w:sz="0" w:space="0" w:color="auto"/>
      </w:divBdr>
    </w:div>
    <w:div w:id="834956749">
      <w:bodyDiv w:val="1"/>
      <w:marLeft w:val="0"/>
      <w:marRight w:val="0"/>
      <w:marTop w:val="0"/>
      <w:marBottom w:val="0"/>
      <w:divBdr>
        <w:top w:val="none" w:sz="0" w:space="0" w:color="auto"/>
        <w:left w:val="none" w:sz="0" w:space="0" w:color="auto"/>
        <w:bottom w:val="none" w:sz="0" w:space="0" w:color="auto"/>
        <w:right w:val="none" w:sz="0" w:space="0" w:color="auto"/>
      </w:divBdr>
      <w:divsChild>
        <w:div w:id="284891509">
          <w:marLeft w:val="0"/>
          <w:marRight w:val="0"/>
          <w:marTop w:val="0"/>
          <w:marBottom w:val="0"/>
          <w:divBdr>
            <w:top w:val="none" w:sz="0" w:space="0" w:color="auto"/>
            <w:left w:val="none" w:sz="0" w:space="0" w:color="auto"/>
            <w:bottom w:val="none" w:sz="0" w:space="0" w:color="auto"/>
            <w:right w:val="none" w:sz="0" w:space="0" w:color="auto"/>
          </w:divBdr>
        </w:div>
      </w:divsChild>
    </w:div>
    <w:div w:id="867304256">
      <w:bodyDiv w:val="1"/>
      <w:marLeft w:val="0"/>
      <w:marRight w:val="0"/>
      <w:marTop w:val="0"/>
      <w:marBottom w:val="0"/>
      <w:divBdr>
        <w:top w:val="none" w:sz="0" w:space="0" w:color="auto"/>
        <w:left w:val="none" w:sz="0" w:space="0" w:color="auto"/>
        <w:bottom w:val="none" w:sz="0" w:space="0" w:color="auto"/>
        <w:right w:val="none" w:sz="0" w:space="0" w:color="auto"/>
      </w:divBdr>
      <w:divsChild>
        <w:div w:id="282612583">
          <w:marLeft w:val="0"/>
          <w:marRight w:val="0"/>
          <w:marTop w:val="0"/>
          <w:marBottom w:val="0"/>
          <w:divBdr>
            <w:top w:val="none" w:sz="0" w:space="0" w:color="auto"/>
            <w:left w:val="none" w:sz="0" w:space="0" w:color="auto"/>
            <w:bottom w:val="none" w:sz="0" w:space="0" w:color="auto"/>
            <w:right w:val="none" w:sz="0" w:space="0" w:color="auto"/>
          </w:divBdr>
        </w:div>
      </w:divsChild>
    </w:div>
    <w:div w:id="875003107">
      <w:bodyDiv w:val="1"/>
      <w:marLeft w:val="0"/>
      <w:marRight w:val="0"/>
      <w:marTop w:val="0"/>
      <w:marBottom w:val="0"/>
      <w:divBdr>
        <w:top w:val="none" w:sz="0" w:space="0" w:color="auto"/>
        <w:left w:val="none" w:sz="0" w:space="0" w:color="auto"/>
        <w:bottom w:val="none" w:sz="0" w:space="0" w:color="auto"/>
        <w:right w:val="none" w:sz="0" w:space="0" w:color="auto"/>
      </w:divBdr>
      <w:divsChild>
        <w:div w:id="1981231362">
          <w:marLeft w:val="0"/>
          <w:marRight w:val="0"/>
          <w:marTop w:val="0"/>
          <w:marBottom w:val="0"/>
          <w:divBdr>
            <w:top w:val="none" w:sz="0" w:space="0" w:color="auto"/>
            <w:left w:val="none" w:sz="0" w:space="0" w:color="auto"/>
            <w:bottom w:val="none" w:sz="0" w:space="0" w:color="auto"/>
            <w:right w:val="none" w:sz="0" w:space="0" w:color="auto"/>
          </w:divBdr>
        </w:div>
      </w:divsChild>
    </w:div>
    <w:div w:id="908885674">
      <w:bodyDiv w:val="1"/>
      <w:marLeft w:val="0"/>
      <w:marRight w:val="0"/>
      <w:marTop w:val="0"/>
      <w:marBottom w:val="0"/>
      <w:divBdr>
        <w:top w:val="none" w:sz="0" w:space="0" w:color="auto"/>
        <w:left w:val="none" w:sz="0" w:space="0" w:color="auto"/>
        <w:bottom w:val="none" w:sz="0" w:space="0" w:color="auto"/>
        <w:right w:val="none" w:sz="0" w:space="0" w:color="auto"/>
      </w:divBdr>
      <w:divsChild>
        <w:div w:id="2021421649">
          <w:marLeft w:val="0"/>
          <w:marRight w:val="0"/>
          <w:marTop w:val="0"/>
          <w:marBottom w:val="0"/>
          <w:divBdr>
            <w:top w:val="none" w:sz="0" w:space="0" w:color="auto"/>
            <w:left w:val="none" w:sz="0" w:space="0" w:color="auto"/>
            <w:bottom w:val="none" w:sz="0" w:space="0" w:color="auto"/>
            <w:right w:val="none" w:sz="0" w:space="0" w:color="auto"/>
          </w:divBdr>
        </w:div>
      </w:divsChild>
    </w:div>
    <w:div w:id="957642170">
      <w:bodyDiv w:val="1"/>
      <w:marLeft w:val="0"/>
      <w:marRight w:val="0"/>
      <w:marTop w:val="0"/>
      <w:marBottom w:val="0"/>
      <w:divBdr>
        <w:top w:val="none" w:sz="0" w:space="0" w:color="auto"/>
        <w:left w:val="none" w:sz="0" w:space="0" w:color="auto"/>
        <w:bottom w:val="none" w:sz="0" w:space="0" w:color="auto"/>
        <w:right w:val="none" w:sz="0" w:space="0" w:color="auto"/>
      </w:divBdr>
      <w:divsChild>
        <w:div w:id="11734125">
          <w:marLeft w:val="0"/>
          <w:marRight w:val="0"/>
          <w:marTop w:val="0"/>
          <w:marBottom w:val="0"/>
          <w:divBdr>
            <w:top w:val="none" w:sz="0" w:space="0" w:color="auto"/>
            <w:left w:val="none" w:sz="0" w:space="0" w:color="auto"/>
            <w:bottom w:val="none" w:sz="0" w:space="0" w:color="auto"/>
            <w:right w:val="none" w:sz="0" w:space="0" w:color="auto"/>
          </w:divBdr>
        </w:div>
      </w:divsChild>
    </w:div>
    <w:div w:id="967778218">
      <w:bodyDiv w:val="1"/>
      <w:marLeft w:val="0"/>
      <w:marRight w:val="0"/>
      <w:marTop w:val="0"/>
      <w:marBottom w:val="0"/>
      <w:divBdr>
        <w:top w:val="none" w:sz="0" w:space="0" w:color="auto"/>
        <w:left w:val="none" w:sz="0" w:space="0" w:color="auto"/>
        <w:bottom w:val="none" w:sz="0" w:space="0" w:color="auto"/>
        <w:right w:val="none" w:sz="0" w:space="0" w:color="auto"/>
      </w:divBdr>
    </w:div>
    <w:div w:id="970012594">
      <w:bodyDiv w:val="1"/>
      <w:marLeft w:val="0"/>
      <w:marRight w:val="0"/>
      <w:marTop w:val="0"/>
      <w:marBottom w:val="0"/>
      <w:divBdr>
        <w:top w:val="none" w:sz="0" w:space="0" w:color="auto"/>
        <w:left w:val="none" w:sz="0" w:space="0" w:color="auto"/>
        <w:bottom w:val="none" w:sz="0" w:space="0" w:color="auto"/>
        <w:right w:val="none" w:sz="0" w:space="0" w:color="auto"/>
      </w:divBdr>
    </w:div>
    <w:div w:id="984310096">
      <w:bodyDiv w:val="1"/>
      <w:marLeft w:val="0"/>
      <w:marRight w:val="0"/>
      <w:marTop w:val="0"/>
      <w:marBottom w:val="0"/>
      <w:divBdr>
        <w:top w:val="none" w:sz="0" w:space="0" w:color="auto"/>
        <w:left w:val="none" w:sz="0" w:space="0" w:color="auto"/>
        <w:bottom w:val="none" w:sz="0" w:space="0" w:color="auto"/>
        <w:right w:val="none" w:sz="0" w:space="0" w:color="auto"/>
      </w:divBdr>
      <w:divsChild>
        <w:div w:id="2055544782">
          <w:marLeft w:val="0"/>
          <w:marRight w:val="0"/>
          <w:marTop w:val="0"/>
          <w:marBottom w:val="0"/>
          <w:divBdr>
            <w:top w:val="none" w:sz="0" w:space="0" w:color="auto"/>
            <w:left w:val="none" w:sz="0" w:space="0" w:color="auto"/>
            <w:bottom w:val="none" w:sz="0" w:space="0" w:color="auto"/>
            <w:right w:val="none" w:sz="0" w:space="0" w:color="auto"/>
          </w:divBdr>
        </w:div>
      </w:divsChild>
    </w:div>
    <w:div w:id="1011296213">
      <w:bodyDiv w:val="1"/>
      <w:marLeft w:val="0"/>
      <w:marRight w:val="0"/>
      <w:marTop w:val="0"/>
      <w:marBottom w:val="0"/>
      <w:divBdr>
        <w:top w:val="none" w:sz="0" w:space="0" w:color="auto"/>
        <w:left w:val="none" w:sz="0" w:space="0" w:color="auto"/>
        <w:bottom w:val="none" w:sz="0" w:space="0" w:color="auto"/>
        <w:right w:val="none" w:sz="0" w:space="0" w:color="auto"/>
      </w:divBdr>
      <w:divsChild>
        <w:div w:id="976640351">
          <w:marLeft w:val="0"/>
          <w:marRight w:val="0"/>
          <w:marTop w:val="0"/>
          <w:marBottom w:val="0"/>
          <w:divBdr>
            <w:top w:val="none" w:sz="0" w:space="0" w:color="auto"/>
            <w:left w:val="none" w:sz="0" w:space="0" w:color="auto"/>
            <w:bottom w:val="none" w:sz="0" w:space="0" w:color="auto"/>
            <w:right w:val="none" w:sz="0" w:space="0" w:color="auto"/>
          </w:divBdr>
        </w:div>
      </w:divsChild>
    </w:div>
    <w:div w:id="1020811384">
      <w:bodyDiv w:val="1"/>
      <w:marLeft w:val="0"/>
      <w:marRight w:val="0"/>
      <w:marTop w:val="0"/>
      <w:marBottom w:val="0"/>
      <w:divBdr>
        <w:top w:val="none" w:sz="0" w:space="0" w:color="auto"/>
        <w:left w:val="none" w:sz="0" w:space="0" w:color="auto"/>
        <w:bottom w:val="none" w:sz="0" w:space="0" w:color="auto"/>
        <w:right w:val="none" w:sz="0" w:space="0" w:color="auto"/>
      </w:divBdr>
      <w:divsChild>
        <w:div w:id="803086023">
          <w:marLeft w:val="0"/>
          <w:marRight w:val="0"/>
          <w:marTop w:val="0"/>
          <w:marBottom w:val="0"/>
          <w:divBdr>
            <w:top w:val="none" w:sz="0" w:space="0" w:color="auto"/>
            <w:left w:val="none" w:sz="0" w:space="0" w:color="auto"/>
            <w:bottom w:val="none" w:sz="0" w:space="0" w:color="auto"/>
            <w:right w:val="none" w:sz="0" w:space="0" w:color="auto"/>
          </w:divBdr>
        </w:div>
      </w:divsChild>
    </w:div>
    <w:div w:id="1037506136">
      <w:bodyDiv w:val="1"/>
      <w:marLeft w:val="0"/>
      <w:marRight w:val="0"/>
      <w:marTop w:val="0"/>
      <w:marBottom w:val="0"/>
      <w:divBdr>
        <w:top w:val="none" w:sz="0" w:space="0" w:color="auto"/>
        <w:left w:val="none" w:sz="0" w:space="0" w:color="auto"/>
        <w:bottom w:val="none" w:sz="0" w:space="0" w:color="auto"/>
        <w:right w:val="none" w:sz="0" w:space="0" w:color="auto"/>
      </w:divBdr>
      <w:divsChild>
        <w:div w:id="1374421687">
          <w:marLeft w:val="0"/>
          <w:marRight w:val="0"/>
          <w:marTop w:val="0"/>
          <w:marBottom w:val="0"/>
          <w:divBdr>
            <w:top w:val="none" w:sz="0" w:space="0" w:color="auto"/>
            <w:left w:val="none" w:sz="0" w:space="0" w:color="auto"/>
            <w:bottom w:val="none" w:sz="0" w:space="0" w:color="auto"/>
            <w:right w:val="none" w:sz="0" w:space="0" w:color="auto"/>
          </w:divBdr>
        </w:div>
      </w:divsChild>
    </w:div>
    <w:div w:id="1093016058">
      <w:bodyDiv w:val="1"/>
      <w:marLeft w:val="0"/>
      <w:marRight w:val="0"/>
      <w:marTop w:val="0"/>
      <w:marBottom w:val="0"/>
      <w:divBdr>
        <w:top w:val="none" w:sz="0" w:space="0" w:color="auto"/>
        <w:left w:val="none" w:sz="0" w:space="0" w:color="auto"/>
        <w:bottom w:val="none" w:sz="0" w:space="0" w:color="auto"/>
        <w:right w:val="none" w:sz="0" w:space="0" w:color="auto"/>
      </w:divBdr>
      <w:divsChild>
        <w:div w:id="2106147970">
          <w:marLeft w:val="0"/>
          <w:marRight w:val="0"/>
          <w:marTop w:val="0"/>
          <w:marBottom w:val="0"/>
          <w:divBdr>
            <w:top w:val="none" w:sz="0" w:space="0" w:color="auto"/>
            <w:left w:val="none" w:sz="0" w:space="0" w:color="auto"/>
            <w:bottom w:val="none" w:sz="0" w:space="0" w:color="auto"/>
            <w:right w:val="none" w:sz="0" w:space="0" w:color="auto"/>
          </w:divBdr>
        </w:div>
      </w:divsChild>
    </w:div>
    <w:div w:id="1111627729">
      <w:bodyDiv w:val="1"/>
      <w:marLeft w:val="0"/>
      <w:marRight w:val="0"/>
      <w:marTop w:val="0"/>
      <w:marBottom w:val="0"/>
      <w:divBdr>
        <w:top w:val="none" w:sz="0" w:space="0" w:color="auto"/>
        <w:left w:val="none" w:sz="0" w:space="0" w:color="auto"/>
        <w:bottom w:val="none" w:sz="0" w:space="0" w:color="auto"/>
        <w:right w:val="none" w:sz="0" w:space="0" w:color="auto"/>
      </w:divBdr>
      <w:divsChild>
        <w:div w:id="370807477">
          <w:marLeft w:val="0"/>
          <w:marRight w:val="0"/>
          <w:marTop w:val="0"/>
          <w:marBottom w:val="0"/>
          <w:divBdr>
            <w:top w:val="none" w:sz="0" w:space="0" w:color="auto"/>
            <w:left w:val="none" w:sz="0" w:space="0" w:color="auto"/>
            <w:bottom w:val="none" w:sz="0" w:space="0" w:color="auto"/>
            <w:right w:val="none" w:sz="0" w:space="0" w:color="auto"/>
          </w:divBdr>
        </w:div>
      </w:divsChild>
    </w:div>
    <w:div w:id="1159537911">
      <w:bodyDiv w:val="1"/>
      <w:marLeft w:val="0"/>
      <w:marRight w:val="0"/>
      <w:marTop w:val="0"/>
      <w:marBottom w:val="0"/>
      <w:divBdr>
        <w:top w:val="none" w:sz="0" w:space="0" w:color="auto"/>
        <w:left w:val="none" w:sz="0" w:space="0" w:color="auto"/>
        <w:bottom w:val="none" w:sz="0" w:space="0" w:color="auto"/>
        <w:right w:val="none" w:sz="0" w:space="0" w:color="auto"/>
      </w:divBdr>
    </w:div>
    <w:div w:id="1161849376">
      <w:bodyDiv w:val="1"/>
      <w:marLeft w:val="0"/>
      <w:marRight w:val="0"/>
      <w:marTop w:val="0"/>
      <w:marBottom w:val="0"/>
      <w:divBdr>
        <w:top w:val="none" w:sz="0" w:space="0" w:color="auto"/>
        <w:left w:val="none" w:sz="0" w:space="0" w:color="auto"/>
        <w:bottom w:val="none" w:sz="0" w:space="0" w:color="auto"/>
        <w:right w:val="none" w:sz="0" w:space="0" w:color="auto"/>
      </w:divBdr>
      <w:divsChild>
        <w:div w:id="832141539">
          <w:marLeft w:val="0"/>
          <w:marRight w:val="0"/>
          <w:marTop w:val="0"/>
          <w:marBottom w:val="0"/>
          <w:divBdr>
            <w:top w:val="none" w:sz="0" w:space="0" w:color="auto"/>
            <w:left w:val="none" w:sz="0" w:space="0" w:color="auto"/>
            <w:bottom w:val="none" w:sz="0" w:space="0" w:color="auto"/>
            <w:right w:val="none" w:sz="0" w:space="0" w:color="auto"/>
          </w:divBdr>
        </w:div>
      </w:divsChild>
    </w:div>
    <w:div w:id="1169173940">
      <w:bodyDiv w:val="1"/>
      <w:marLeft w:val="0"/>
      <w:marRight w:val="0"/>
      <w:marTop w:val="0"/>
      <w:marBottom w:val="0"/>
      <w:divBdr>
        <w:top w:val="none" w:sz="0" w:space="0" w:color="auto"/>
        <w:left w:val="none" w:sz="0" w:space="0" w:color="auto"/>
        <w:bottom w:val="none" w:sz="0" w:space="0" w:color="auto"/>
        <w:right w:val="none" w:sz="0" w:space="0" w:color="auto"/>
      </w:divBdr>
      <w:divsChild>
        <w:div w:id="721638701">
          <w:marLeft w:val="0"/>
          <w:marRight w:val="0"/>
          <w:marTop w:val="0"/>
          <w:marBottom w:val="0"/>
          <w:divBdr>
            <w:top w:val="none" w:sz="0" w:space="0" w:color="auto"/>
            <w:left w:val="none" w:sz="0" w:space="0" w:color="auto"/>
            <w:bottom w:val="none" w:sz="0" w:space="0" w:color="auto"/>
            <w:right w:val="none" w:sz="0" w:space="0" w:color="auto"/>
          </w:divBdr>
        </w:div>
      </w:divsChild>
    </w:div>
    <w:div w:id="1177037994">
      <w:bodyDiv w:val="1"/>
      <w:marLeft w:val="0"/>
      <w:marRight w:val="0"/>
      <w:marTop w:val="0"/>
      <w:marBottom w:val="0"/>
      <w:divBdr>
        <w:top w:val="none" w:sz="0" w:space="0" w:color="auto"/>
        <w:left w:val="none" w:sz="0" w:space="0" w:color="auto"/>
        <w:bottom w:val="none" w:sz="0" w:space="0" w:color="auto"/>
        <w:right w:val="none" w:sz="0" w:space="0" w:color="auto"/>
      </w:divBdr>
      <w:divsChild>
        <w:div w:id="172695539">
          <w:marLeft w:val="0"/>
          <w:marRight w:val="0"/>
          <w:marTop w:val="0"/>
          <w:marBottom w:val="0"/>
          <w:divBdr>
            <w:top w:val="none" w:sz="0" w:space="0" w:color="auto"/>
            <w:left w:val="none" w:sz="0" w:space="0" w:color="auto"/>
            <w:bottom w:val="none" w:sz="0" w:space="0" w:color="auto"/>
            <w:right w:val="none" w:sz="0" w:space="0" w:color="auto"/>
          </w:divBdr>
        </w:div>
      </w:divsChild>
    </w:div>
    <w:div w:id="1207719704">
      <w:bodyDiv w:val="1"/>
      <w:marLeft w:val="0"/>
      <w:marRight w:val="0"/>
      <w:marTop w:val="0"/>
      <w:marBottom w:val="0"/>
      <w:divBdr>
        <w:top w:val="none" w:sz="0" w:space="0" w:color="auto"/>
        <w:left w:val="none" w:sz="0" w:space="0" w:color="auto"/>
        <w:bottom w:val="none" w:sz="0" w:space="0" w:color="auto"/>
        <w:right w:val="none" w:sz="0" w:space="0" w:color="auto"/>
      </w:divBdr>
      <w:divsChild>
        <w:div w:id="1091199438">
          <w:marLeft w:val="0"/>
          <w:marRight w:val="0"/>
          <w:marTop w:val="0"/>
          <w:marBottom w:val="0"/>
          <w:divBdr>
            <w:top w:val="none" w:sz="0" w:space="0" w:color="auto"/>
            <w:left w:val="none" w:sz="0" w:space="0" w:color="auto"/>
            <w:bottom w:val="none" w:sz="0" w:space="0" w:color="auto"/>
            <w:right w:val="none" w:sz="0" w:space="0" w:color="auto"/>
          </w:divBdr>
        </w:div>
      </w:divsChild>
    </w:div>
    <w:div w:id="1228691204">
      <w:bodyDiv w:val="1"/>
      <w:marLeft w:val="0"/>
      <w:marRight w:val="0"/>
      <w:marTop w:val="0"/>
      <w:marBottom w:val="0"/>
      <w:divBdr>
        <w:top w:val="none" w:sz="0" w:space="0" w:color="auto"/>
        <w:left w:val="none" w:sz="0" w:space="0" w:color="auto"/>
        <w:bottom w:val="none" w:sz="0" w:space="0" w:color="auto"/>
        <w:right w:val="none" w:sz="0" w:space="0" w:color="auto"/>
      </w:divBdr>
    </w:div>
    <w:div w:id="1233273495">
      <w:bodyDiv w:val="1"/>
      <w:marLeft w:val="0"/>
      <w:marRight w:val="0"/>
      <w:marTop w:val="0"/>
      <w:marBottom w:val="0"/>
      <w:divBdr>
        <w:top w:val="none" w:sz="0" w:space="0" w:color="auto"/>
        <w:left w:val="none" w:sz="0" w:space="0" w:color="auto"/>
        <w:bottom w:val="none" w:sz="0" w:space="0" w:color="auto"/>
        <w:right w:val="none" w:sz="0" w:space="0" w:color="auto"/>
      </w:divBdr>
      <w:divsChild>
        <w:div w:id="1364819055">
          <w:marLeft w:val="0"/>
          <w:marRight w:val="0"/>
          <w:marTop w:val="0"/>
          <w:marBottom w:val="0"/>
          <w:divBdr>
            <w:top w:val="none" w:sz="0" w:space="0" w:color="auto"/>
            <w:left w:val="none" w:sz="0" w:space="0" w:color="auto"/>
            <w:bottom w:val="none" w:sz="0" w:space="0" w:color="auto"/>
            <w:right w:val="none" w:sz="0" w:space="0" w:color="auto"/>
          </w:divBdr>
        </w:div>
      </w:divsChild>
    </w:div>
    <w:div w:id="1238710802">
      <w:bodyDiv w:val="1"/>
      <w:marLeft w:val="0"/>
      <w:marRight w:val="0"/>
      <w:marTop w:val="0"/>
      <w:marBottom w:val="0"/>
      <w:divBdr>
        <w:top w:val="none" w:sz="0" w:space="0" w:color="auto"/>
        <w:left w:val="none" w:sz="0" w:space="0" w:color="auto"/>
        <w:bottom w:val="none" w:sz="0" w:space="0" w:color="auto"/>
        <w:right w:val="none" w:sz="0" w:space="0" w:color="auto"/>
      </w:divBdr>
    </w:div>
    <w:div w:id="1296907238">
      <w:bodyDiv w:val="1"/>
      <w:marLeft w:val="0"/>
      <w:marRight w:val="0"/>
      <w:marTop w:val="0"/>
      <w:marBottom w:val="0"/>
      <w:divBdr>
        <w:top w:val="none" w:sz="0" w:space="0" w:color="auto"/>
        <w:left w:val="none" w:sz="0" w:space="0" w:color="auto"/>
        <w:bottom w:val="none" w:sz="0" w:space="0" w:color="auto"/>
        <w:right w:val="none" w:sz="0" w:space="0" w:color="auto"/>
      </w:divBdr>
      <w:divsChild>
        <w:div w:id="2067561970">
          <w:marLeft w:val="0"/>
          <w:marRight w:val="0"/>
          <w:marTop w:val="0"/>
          <w:marBottom w:val="0"/>
          <w:divBdr>
            <w:top w:val="none" w:sz="0" w:space="0" w:color="auto"/>
            <w:left w:val="none" w:sz="0" w:space="0" w:color="auto"/>
            <w:bottom w:val="none" w:sz="0" w:space="0" w:color="auto"/>
            <w:right w:val="none" w:sz="0" w:space="0" w:color="auto"/>
          </w:divBdr>
        </w:div>
      </w:divsChild>
    </w:div>
    <w:div w:id="1323505962">
      <w:bodyDiv w:val="1"/>
      <w:marLeft w:val="0"/>
      <w:marRight w:val="0"/>
      <w:marTop w:val="0"/>
      <w:marBottom w:val="0"/>
      <w:divBdr>
        <w:top w:val="none" w:sz="0" w:space="0" w:color="auto"/>
        <w:left w:val="none" w:sz="0" w:space="0" w:color="auto"/>
        <w:bottom w:val="none" w:sz="0" w:space="0" w:color="auto"/>
        <w:right w:val="none" w:sz="0" w:space="0" w:color="auto"/>
      </w:divBdr>
      <w:divsChild>
        <w:div w:id="1169639464">
          <w:marLeft w:val="0"/>
          <w:marRight w:val="0"/>
          <w:marTop w:val="0"/>
          <w:marBottom w:val="0"/>
          <w:divBdr>
            <w:top w:val="none" w:sz="0" w:space="0" w:color="auto"/>
            <w:left w:val="none" w:sz="0" w:space="0" w:color="auto"/>
            <w:bottom w:val="none" w:sz="0" w:space="0" w:color="auto"/>
            <w:right w:val="none" w:sz="0" w:space="0" w:color="auto"/>
          </w:divBdr>
        </w:div>
      </w:divsChild>
    </w:div>
    <w:div w:id="1336419384">
      <w:bodyDiv w:val="1"/>
      <w:marLeft w:val="0"/>
      <w:marRight w:val="0"/>
      <w:marTop w:val="0"/>
      <w:marBottom w:val="0"/>
      <w:divBdr>
        <w:top w:val="none" w:sz="0" w:space="0" w:color="auto"/>
        <w:left w:val="none" w:sz="0" w:space="0" w:color="auto"/>
        <w:bottom w:val="none" w:sz="0" w:space="0" w:color="auto"/>
        <w:right w:val="none" w:sz="0" w:space="0" w:color="auto"/>
      </w:divBdr>
      <w:divsChild>
        <w:div w:id="1888295489">
          <w:marLeft w:val="0"/>
          <w:marRight w:val="0"/>
          <w:marTop w:val="0"/>
          <w:marBottom w:val="0"/>
          <w:divBdr>
            <w:top w:val="none" w:sz="0" w:space="0" w:color="auto"/>
            <w:left w:val="none" w:sz="0" w:space="0" w:color="auto"/>
            <w:bottom w:val="none" w:sz="0" w:space="0" w:color="auto"/>
            <w:right w:val="none" w:sz="0" w:space="0" w:color="auto"/>
          </w:divBdr>
        </w:div>
      </w:divsChild>
    </w:div>
    <w:div w:id="1353189848">
      <w:bodyDiv w:val="1"/>
      <w:marLeft w:val="0"/>
      <w:marRight w:val="0"/>
      <w:marTop w:val="0"/>
      <w:marBottom w:val="0"/>
      <w:divBdr>
        <w:top w:val="none" w:sz="0" w:space="0" w:color="auto"/>
        <w:left w:val="none" w:sz="0" w:space="0" w:color="auto"/>
        <w:bottom w:val="none" w:sz="0" w:space="0" w:color="auto"/>
        <w:right w:val="none" w:sz="0" w:space="0" w:color="auto"/>
      </w:divBdr>
      <w:divsChild>
        <w:div w:id="356733893">
          <w:marLeft w:val="0"/>
          <w:marRight w:val="0"/>
          <w:marTop w:val="0"/>
          <w:marBottom w:val="0"/>
          <w:divBdr>
            <w:top w:val="none" w:sz="0" w:space="0" w:color="auto"/>
            <w:left w:val="none" w:sz="0" w:space="0" w:color="auto"/>
            <w:bottom w:val="none" w:sz="0" w:space="0" w:color="auto"/>
            <w:right w:val="none" w:sz="0" w:space="0" w:color="auto"/>
          </w:divBdr>
        </w:div>
      </w:divsChild>
    </w:div>
    <w:div w:id="1355686476">
      <w:bodyDiv w:val="1"/>
      <w:marLeft w:val="0"/>
      <w:marRight w:val="0"/>
      <w:marTop w:val="0"/>
      <w:marBottom w:val="0"/>
      <w:divBdr>
        <w:top w:val="none" w:sz="0" w:space="0" w:color="auto"/>
        <w:left w:val="none" w:sz="0" w:space="0" w:color="auto"/>
        <w:bottom w:val="none" w:sz="0" w:space="0" w:color="auto"/>
        <w:right w:val="none" w:sz="0" w:space="0" w:color="auto"/>
      </w:divBdr>
      <w:divsChild>
        <w:div w:id="1494032762">
          <w:marLeft w:val="0"/>
          <w:marRight w:val="0"/>
          <w:marTop w:val="0"/>
          <w:marBottom w:val="0"/>
          <w:divBdr>
            <w:top w:val="none" w:sz="0" w:space="0" w:color="auto"/>
            <w:left w:val="none" w:sz="0" w:space="0" w:color="auto"/>
            <w:bottom w:val="none" w:sz="0" w:space="0" w:color="auto"/>
            <w:right w:val="none" w:sz="0" w:space="0" w:color="auto"/>
          </w:divBdr>
        </w:div>
      </w:divsChild>
    </w:div>
    <w:div w:id="1372076640">
      <w:bodyDiv w:val="1"/>
      <w:marLeft w:val="0"/>
      <w:marRight w:val="0"/>
      <w:marTop w:val="0"/>
      <w:marBottom w:val="0"/>
      <w:divBdr>
        <w:top w:val="none" w:sz="0" w:space="0" w:color="auto"/>
        <w:left w:val="none" w:sz="0" w:space="0" w:color="auto"/>
        <w:bottom w:val="none" w:sz="0" w:space="0" w:color="auto"/>
        <w:right w:val="none" w:sz="0" w:space="0" w:color="auto"/>
      </w:divBdr>
    </w:div>
    <w:div w:id="1401564929">
      <w:bodyDiv w:val="1"/>
      <w:marLeft w:val="0"/>
      <w:marRight w:val="0"/>
      <w:marTop w:val="0"/>
      <w:marBottom w:val="0"/>
      <w:divBdr>
        <w:top w:val="none" w:sz="0" w:space="0" w:color="auto"/>
        <w:left w:val="none" w:sz="0" w:space="0" w:color="auto"/>
        <w:bottom w:val="none" w:sz="0" w:space="0" w:color="auto"/>
        <w:right w:val="none" w:sz="0" w:space="0" w:color="auto"/>
      </w:divBdr>
      <w:divsChild>
        <w:div w:id="2113671295">
          <w:marLeft w:val="0"/>
          <w:marRight w:val="0"/>
          <w:marTop w:val="0"/>
          <w:marBottom w:val="0"/>
          <w:divBdr>
            <w:top w:val="none" w:sz="0" w:space="0" w:color="auto"/>
            <w:left w:val="none" w:sz="0" w:space="0" w:color="auto"/>
            <w:bottom w:val="none" w:sz="0" w:space="0" w:color="auto"/>
            <w:right w:val="none" w:sz="0" w:space="0" w:color="auto"/>
          </w:divBdr>
        </w:div>
      </w:divsChild>
    </w:div>
    <w:div w:id="1408334662">
      <w:bodyDiv w:val="1"/>
      <w:marLeft w:val="0"/>
      <w:marRight w:val="0"/>
      <w:marTop w:val="0"/>
      <w:marBottom w:val="0"/>
      <w:divBdr>
        <w:top w:val="none" w:sz="0" w:space="0" w:color="auto"/>
        <w:left w:val="none" w:sz="0" w:space="0" w:color="auto"/>
        <w:bottom w:val="none" w:sz="0" w:space="0" w:color="auto"/>
        <w:right w:val="none" w:sz="0" w:space="0" w:color="auto"/>
      </w:divBdr>
      <w:divsChild>
        <w:div w:id="230385833">
          <w:marLeft w:val="0"/>
          <w:marRight w:val="0"/>
          <w:marTop w:val="0"/>
          <w:marBottom w:val="0"/>
          <w:divBdr>
            <w:top w:val="none" w:sz="0" w:space="0" w:color="auto"/>
            <w:left w:val="none" w:sz="0" w:space="0" w:color="auto"/>
            <w:bottom w:val="none" w:sz="0" w:space="0" w:color="auto"/>
            <w:right w:val="none" w:sz="0" w:space="0" w:color="auto"/>
          </w:divBdr>
        </w:div>
      </w:divsChild>
    </w:div>
    <w:div w:id="1426802458">
      <w:bodyDiv w:val="1"/>
      <w:marLeft w:val="0"/>
      <w:marRight w:val="0"/>
      <w:marTop w:val="0"/>
      <w:marBottom w:val="0"/>
      <w:divBdr>
        <w:top w:val="none" w:sz="0" w:space="0" w:color="auto"/>
        <w:left w:val="none" w:sz="0" w:space="0" w:color="auto"/>
        <w:bottom w:val="none" w:sz="0" w:space="0" w:color="auto"/>
        <w:right w:val="none" w:sz="0" w:space="0" w:color="auto"/>
      </w:divBdr>
    </w:div>
    <w:div w:id="1431318900">
      <w:bodyDiv w:val="1"/>
      <w:marLeft w:val="0"/>
      <w:marRight w:val="0"/>
      <w:marTop w:val="0"/>
      <w:marBottom w:val="0"/>
      <w:divBdr>
        <w:top w:val="none" w:sz="0" w:space="0" w:color="auto"/>
        <w:left w:val="none" w:sz="0" w:space="0" w:color="auto"/>
        <w:bottom w:val="none" w:sz="0" w:space="0" w:color="auto"/>
        <w:right w:val="none" w:sz="0" w:space="0" w:color="auto"/>
      </w:divBdr>
      <w:divsChild>
        <w:div w:id="1848052509">
          <w:marLeft w:val="0"/>
          <w:marRight w:val="0"/>
          <w:marTop w:val="0"/>
          <w:marBottom w:val="0"/>
          <w:divBdr>
            <w:top w:val="none" w:sz="0" w:space="0" w:color="auto"/>
            <w:left w:val="none" w:sz="0" w:space="0" w:color="auto"/>
            <w:bottom w:val="none" w:sz="0" w:space="0" w:color="auto"/>
            <w:right w:val="none" w:sz="0" w:space="0" w:color="auto"/>
          </w:divBdr>
        </w:div>
      </w:divsChild>
    </w:div>
    <w:div w:id="1447653267">
      <w:bodyDiv w:val="1"/>
      <w:marLeft w:val="0"/>
      <w:marRight w:val="0"/>
      <w:marTop w:val="0"/>
      <w:marBottom w:val="0"/>
      <w:divBdr>
        <w:top w:val="none" w:sz="0" w:space="0" w:color="auto"/>
        <w:left w:val="none" w:sz="0" w:space="0" w:color="auto"/>
        <w:bottom w:val="none" w:sz="0" w:space="0" w:color="auto"/>
        <w:right w:val="none" w:sz="0" w:space="0" w:color="auto"/>
      </w:divBdr>
      <w:divsChild>
        <w:div w:id="1857187133">
          <w:marLeft w:val="0"/>
          <w:marRight w:val="0"/>
          <w:marTop w:val="0"/>
          <w:marBottom w:val="0"/>
          <w:divBdr>
            <w:top w:val="none" w:sz="0" w:space="0" w:color="auto"/>
            <w:left w:val="none" w:sz="0" w:space="0" w:color="auto"/>
            <w:bottom w:val="none" w:sz="0" w:space="0" w:color="auto"/>
            <w:right w:val="none" w:sz="0" w:space="0" w:color="auto"/>
          </w:divBdr>
        </w:div>
      </w:divsChild>
    </w:div>
    <w:div w:id="1449471948">
      <w:bodyDiv w:val="1"/>
      <w:marLeft w:val="0"/>
      <w:marRight w:val="0"/>
      <w:marTop w:val="0"/>
      <w:marBottom w:val="0"/>
      <w:divBdr>
        <w:top w:val="none" w:sz="0" w:space="0" w:color="auto"/>
        <w:left w:val="none" w:sz="0" w:space="0" w:color="auto"/>
        <w:bottom w:val="none" w:sz="0" w:space="0" w:color="auto"/>
        <w:right w:val="none" w:sz="0" w:space="0" w:color="auto"/>
      </w:divBdr>
      <w:divsChild>
        <w:div w:id="1340884125">
          <w:marLeft w:val="0"/>
          <w:marRight w:val="0"/>
          <w:marTop w:val="0"/>
          <w:marBottom w:val="0"/>
          <w:divBdr>
            <w:top w:val="none" w:sz="0" w:space="0" w:color="auto"/>
            <w:left w:val="none" w:sz="0" w:space="0" w:color="auto"/>
            <w:bottom w:val="none" w:sz="0" w:space="0" w:color="auto"/>
            <w:right w:val="none" w:sz="0" w:space="0" w:color="auto"/>
          </w:divBdr>
        </w:div>
        <w:div w:id="1181044219">
          <w:marLeft w:val="0"/>
          <w:marRight w:val="0"/>
          <w:marTop w:val="0"/>
          <w:marBottom w:val="0"/>
          <w:divBdr>
            <w:top w:val="none" w:sz="0" w:space="0" w:color="auto"/>
            <w:left w:val="none" w:sz="0" w:space="0" w:color="auto"/>
            <w:bottom w:val="none" w:sz="0" w:space="0" w:color="auto"/>
            <w:right w:val="none" w:sz="0" w:space="0" w:color="auto"/>
          </w:divBdr>
        </w:div>
        <w:div w:id="839274691">
          <w:marLeft w:val="0"/>
          <w:marRight w:val="0"/>
          <w:marTop w:val="0"/>
          <w:marBottom w:val="0"/>
          <w:divBdr>
            <w:top w:val="none" w:sz="0" w:space="0" w:color="auto"/>
            <w:left w:val="none" w:sz="0" w:space="0" w:color="auto"/>
            <w:bottom w:val="none" w:sz="0" w:space="0" w:color="auto"/>
            <w:right w:val="none" w:sz="0" w:space="0" w:color="auto"/>
          </w:divBdr>
        </w:div>
      </w:divsChild>
    </w:div>
    <w:div w:id="1456365880">
      <w:bodyDiv w:val="1"/>
      <w:marLeft w:val="0"/>
      <w:marRight w:val="0"/>
      <w:marTop w:val="0"/>
      <w:marBottom w:val="0"/>
      <w:divBdr>
        <w:top w:val="none" w:sz="0" w:space="0" w:color="auto"/>
        <w:left w:val="none" w:sz="0" w:space="0" w:color="auto"/>
        <w:bottom w:val="none" w:sz="0" w:space="0" w:color="auto"/>
        <w:right w:val="none" w:sz="0" w:space="0" w:color="auto"/>
      </w:divBdr>
      <w:divsChild>
        <w:div w:id="317081247">
          <w:marLeft w:val="0"/>
          <w:marRight w:val="0"/>
          <w:marTop w:val="0"/>
          <w:marBottom w:val="0"/>
          <w:divBdr>
            <w:top w:val="none" w:sz="0" w:space="0" w:color="auto"/>
            <w:left w:val="none" w:sz="0" w:space="0" w:color="auto"/>
            <w:bottom w:val="none" w:sz="0" w:space="0" w:color="auto"/>
            <w:right w:val="none" w:sz="0" w:space="0" w:color="auto"/>
          </w:divBdr>
        </w:div>
      </w:divsChild>
    </w:div>
    <w:div w:id="1538078073">
      <w:bodyDiv w:val="1"/>
      <w:marLeft w:val="0"/>
      <w:marRight w:val="0"/>
      <w:marTop w:val="0"/>
      <w:marBottom w:val="0"/>
      <w:divBdr>
        <w:top w:val="none" w:sz="0" w:space="0" w:color="auto"/>
        <w:left w:val="none" w:sz="0" w:space="0" w:color="auto"/>
        <w:bottom w:val="none" w:sz="0" w:space="0" w:color="auto"/>
        <w:right w:val="none" w:sz="0" w:space="0" w:color="auto"/>
      </w:divBdr>
      <w:divsChild>
        <w:div w:id="1448889482">
          <w:marLeft w:val="0"/>
          <w:marRight w:val="0"/>
          <w:marTop w:val="0"/>
          <w:marBottom w:val="0"/>
          <w:divBdr>
            <w:top w:val="none" w:sz="0" w:space="0" w:color="auto"/>
            <w:left w:val="none" w:sz="0" w:space="0" w:color="auto"/>
            <w:bottom w:val="none" w:sz="0" w:space="0" w:color="auto"/>
            <w:right w:val="none" w:sz="0" w:space="0" w:color="auto"/>
          </w:divBdr>
        </w:div>
      </w:divsChild>
    </w:div>
    <w:div w:id="1540123029">
      <w:bodyDiv w:val="1"/>
      <w:marLeft w:val="0"/>
      <w:marRight w:val="0"/>
      <w:marTop w:val="0"/>
      <w:marBottom w:val="0"/>
      <w:divBdr>
        <w:top w:val="none" w:sz="0" w:space="0" w:color="auto"/>
        <w:left w:val="none" w:sz="0" w:space="0" w:color="auto"/>
        <w:bottom w:val="none" w:sz="0" w:space="0" w:color="auto"/>
        <w:right w:val="none" w:sz="0" w:space="0" w:color="auto"/>
      </w:divBdr>
      <w:divsChild>
        <w:div w:id="205676833">
          <w:marLeft w:val="0"/>
          <w:marRight w:val="0"/>
          <w:marTop w:val="0"/>
          <w:marBottom w:val="0"/>
          <w:divBdr>
            <w:top w:val="none" w:sz="0" w:space="0" w:color="auto"/>
            <w:left w:val="none" w:sz="0" w:space="0" w:color="auto"/>
            <w:bottom w:val="none" w:sz="0" w:space="0" w:color="auto"/>
            <w:right w:val="none" w:sz="0" w:space="0" w:color="auto"/>
          </w:divBdr>
        </w:div>
      </w:divsChild>
    </w:div>
    <w:div w:id="1576819922">
      <w:bodyDiv w:val="1"/>
      <w:marLeft w:val="0"/>
      <w:marRight w:val="0"/>
      <w:marTop w:val="0"/>
      <w:marBottom w:val="0"/>
      <w:divBdr>
        <w:top w:val="none" w:sz="0" w:space="0" w:color="auto"/>
        <w:left w:val="none" w:sz="0" w:space="0" w:color="auto"/>
        <w:bottom w:val="none" w:sz="0" w:space="0" w:color="auto"/>
        <w:right w:val="none" w:sz="0" w:space="0" w:color="auto"/>
      </w:divBdr>
    </w:div>
    <w:div w:id="1591694265">
      <w:bodyDiv w:val="1"/>
      <w:marLeft w:val="0"/>
      <w:marRight w:val="0"/>
      <w:marTop w:val="0"/>
      <w:marBottom w:val="0"/>
      <w:divBdr>
        <w:top w:val="none" w:sz="0" w:space="0" w:color="auto"/>
        <w:left w:val="none" w:sz="0" w:space="0" w:color="auto"/>
        <w:bottom w:val="none" w:sz="0" w:space="0" w:color="auto"/>
        <w:right w:val="none" w:sz="0" w:space="0" w:color="auto"/>
      </w:divBdr>
      <w:divsChild>
        <w:div w:id="975256639">
          <w:marLeft w:val="0"/>
          <w:marRight w:val="0"/>
          <w:marTop w:val="0"/>
          <w:marBottom w:val="0"/>
          <w:divBdr>
            <w:top w:val="none" w:sz="0" w:space="0" w:color="auto"/>
            <w:left w:val="none" w:sz="0" w:space="0" w:color="auto"/>
            <w:bottom w:val="none" w:sz="0" w:space="0" w:color="auto"/>
            <w:right w:val="none" w:sz="0" w:space="0" w:color="auto"/>
          </w:divBdr>
        </w:div>
      </w:divsChild>
    </w:div>
    <w:div w:id="1596085295">
      <w:bodyDiv w:val="1"/>
      <w:marLeft w:val="0"/>
      <w:marRight w:val="0"/>
      <w:marTop w:val="0"/>
      <w:marBottom w:val="0"/>
      <w:divBdr>
        <w:top w:val="none" w:sz="0" w:space="0" w:color="auto"/>
        <w:left w:val="none" w:sz="0" w:space="0" w:color="auto"/>
        <w:bottom w:val="none" w:sz="0" w:space="0" w:color="auto"/>
        <w:right w:val="none" w:sz="0" w:space="0" w:color="auto"/>
      </w:divBdr>
      <w:divsChild>
        <w:div w:id="1244532222">
          <w:marLeft w:val="0"/>
          <w:marRight w:val="0"/>
          <w:marTop w:val="0"/>
          <w:marBottom w:val="0"/>
          <w:divBdr>
            <w:top w:val="none" w:sz="0" w:space="0" w:color="auto"/>
            <w:left w:val="none" w:sz="0" w:space="0" w:color="auto"/>
            <w:bottom w:val="none" w:sz="0" w:space="0" w:color="auto"/>
            <w:right w:val="none" w:sz="0" w:space="0" w:color="auto"/>
          </w:divBdr>
        </w:div>
      </w:divsChild>
    </w:div>
    <w:div w:id="1602837903">
      <w:bodyDiv w:val="1"/>
      <w:marLeft w:val="0"/>
      <w:marRight w:val="0"/>
      <w:marTop w:val="0"/>
      <w:marBottom w:val="0"/>
      <w:divBdr>
        <w:top w:val="none" w:sz="0" w:space="0" w:color="auto"/>
        <w:left w:val="none" w:sz="0" w:space="0" w:color="auto"/>
        <w:bottom w:val="none" w:sz="0" w:space="0" w:color="auto"/>
        <w:right w:val="none" w:sz="0" w:space="0" w:color="auto"/>
      </w:divBdr>
      <w:divsChild>
        <w:div w:id="1446346393">
          <w:marLeft w:val="0"/>
          <w:marRight w:val="0"/>
          <w:marTop w:val="0"/>
          <w:marBottom w:val="0"/>
          <w:divBdr>
            <w:top w:val="none" w:sz="0" w:space="0" w:color="auto"/>
            <w:left w:val="none" w:sz="0" w:space="0" w:color="auto"/>
            <w:bottom w:val="none" w:sz="0" w:space="0" w:color="auto"/>
            <w:right w:val="none" w:sz="0" w:space="0" w:color="auto"/>
          </w:divBdr>
        </w:div>
      </w:divsChild>
    </w:div>
    <w:div w:id="1642736670">
      <w:bodyDiv w:val="1"/>
      <w:marLeft w:val="0"/>
      <w:marRight w:val="0"/>
      <w:marTop w:val="0"/>
      <w:marBottom w:val="0"/>
      <w:divBdr>
        <w:top w:val="none" w:sz="0" w:space="0" w:color="auto"/>
        <w:left w:val="none" w:sz="0" w:space="0" w:color="auto"/>
        <w:bottom w:val="none" w:sz="0" w:space="0" w:color="auto"/>
        <w:right w:val="none" w:sz="0" w:space="0" w:color="auto"/>
      </w:divBdr>
      <w:divsChild>
        <w:div w:id="1165048412">
          <w:marLeft w:val="0"/>
          <w:marRight w:val="0"/>
          <w:marTop w:val="0"/>
          <w:marBottom w:val="0"/>
          <w:divBdr>
            <w:top w:val="none" w:sz="0" w:space="0" w:color="auto"/>
            <w:left w:val="none" w:sz="0" w:space="0" w:color="auto"/>
            <w:bottom w:val="none" w:sz="0" w:space="0" w:color="auto"/>
            <w:right w:val="none" w:sz="0" w:space="0" w:color="auto"/>
          </w:divBdr>
        </w:div>
      </w:divsChild>
    </w:div>
    <w:div w:id="1684622391">
      <w:bodyDiv w:val="1"/>
      <w:marLeft w:val="0"/>
      <w:marRight w:val="0"/>
      <w:marTop w:val="0"/>
      <w:marBottom w:val="0"/>
      <w:divBdr>
        <w:top w:val="none" w:sz="0" w:space="0" w:color="auto"/>
        <w:left w:val="none" w:sz="0" w:space="0" w:color="auto"/>
        <w:bottom w:val="none" w:sz="0" w:space="0" w:color="auto"/>
        <w:right w:val="none" w:sz="0" w:space="0" w:color="auto"/>
      </w:divBdr>
      <w:divsChild>
        <w:div w:id="166331748">
          <w:marLeft w:val="0"/>
          <w:marRight w:val="0"/>
          <w:marTop w:val="0"/>
          <w:marBottom w:val="0"/>
          <w:divBdr>
            <w:top w:val="none" w:sz="0" w:space="0" w:color="auto"/>
            <w:left w:val="none" w:sz="0" w:space="0" w:color="auto"/>
            <w:bottom w:val="none" w:sz="0" w:space="0" w:color="auto"/>
            <w:right w:val="none" w:sz="0" w:space="0" w:color="auto"/>
          </w:divBdr>
        </w:div>
      </w:divsChild>
    </w:div>
    <w:div w:id="1689336178">
      <w:bodyDiv w:val="1"/>
      <w:marLeft w:val="0"/>
      <w:marRight w:val="0"/>
      <w:marTop w:val="0"/>
      <w:marBottom w:val="0"/>
      <w:divBdr>
        <w:top w:val="none" w:sz="0" w:space="0" w:color="auto"/>
        <w:left w:val="none" w:sz="0" w:space="0" w:color="auto"/>
        <w:bottom w:val="none" w:sz="0" w:space="0" w:color="auto"/>
        <w:right w:val="none" w:sz="0" w:space="0" w:color="auto"/>
      </w:divBdr>
    </w:div>
    <w:div w:id="1753433865">
      <w:bodyDiv w:val="1"/>
      <w:marLeft w:val="0"/>
      <w:marRight w:val="0"/>
      <w:marTop w:val="0"/>
      <w:marBottom w:val="0"/>
      <w:divBdr>
        <w:top w:val="none" w:sz="0" w:space="0" w:color="auto"/>
        <w:left w:val="none" w:sz="0" w:space="0" w:color="auto"/>
        <w:bottom w:val="none" w:sz="0" w:space="0" w:color="auto"/>
        <w:right w:val="none" w:sz="0" w:space="0" w:color="auto"/>
      </w:divBdr>
    </w:div>
    <w:div w:id="1814174984">
      <w:bodyDiv w:val="1"/>
      <w:marLeft w:val="0"/>
      <w:marRight w:val="0"/>
      <w:marTop w:val="0"/>
      <w:marBottom w:val="0"/>
      <w:divBdr>
        <w:top w:val="none" w:sz="0" w:space="0" w:color="auto"/>
        <w:left w:val="none" w:sz="0" w:space="0" w:color="auto"/>
        <w:bottom w:val="none" w:sz="0" w:space="0" w:color="auto"/>
        <w:right w:val="none" w:sz="0" w:space="0" w:color="auto"/>
      </w:divBdr>
    </w:div>
    <w:div w:id="1822967495">
      <w:bodyDiv w:val="1"/>
      <w:marLeft w:val="0"/>
      <w:marRight w:val="0"/>
      <w:marTop w:val="0"/>
      <w:marBottom w:val="0"/>
      <w:divBdr>
        <w:top w:val="none" w:sz="0" w:space="0" w:color="auto"/>
        <w:left w:val="none" w:sz="0" w:space="0" w:color="auto"/>
        <w:bottom w:val="none" w:sz="0" w:space="0" w:color="auto"/>
        <w:right w:val="none" w:sz="0" w:space="0" w:color="auto"/>
      </w:divBdr>
      <w:divsChild>
        <w:div w:id="1191991285">
          <w:marLeft w:val="0"/>
          <w:marRight w:val="0"/>
          <w:marTop w:val="0"/>
          <w:marBottom w:val="0"/>
          <w:divBdr>
            <w:top w:val="none" w:sz="0" w:space="0" w:color="auto"/>
            <w:left w:val="none" w:sz="0" w:space="0" w:color="auto"/>
            <w:bottom w:val="none" w:sz="0" w:space="0" w:color="auto"/>
            <w:right w:val="none" w:sz="0" w:space="0" w:color="auto"/>
          </w:divBdr>
        </w:div>
      </w:divsChild>
    </w:div>
    <w:div w:id="1844008555">
      <w:bodyDiv w:val="1"/>
      <w:marLeft w:val="0"/>
      <w:marRight w:val="0"/>
      <w:marTop w:val="0"/>
      <w:marBottom w:val="0"/>
      <w:divBdr>
        <w:top w:val="none" w:sz="0" w:space="0" w:color="auto"/>
        <w:left w:val="none" w:sz="0" w:space="0" w:color="auto"/>
        <w:bottom w:val="none" w:sz="0" w:space="0" w:color="auto"/>
        <w:right w:val="none" w:sz="0" w:space="0" w:color="auto"/>
      </w:divBdr>
      <w:divsChild>
        <w:div w:id="807740998">
          <w:marLeft w:val="0"/>
          <w:marRight w:val="0"/>
          <w:marTop w:val="0"/>
          <w:marBottom w:val="0"/>
          <w:divBdr>
            <w:top w:val="none" w:sz="0" w:space="0" w:color="auto"/>
            <w:left w:val="none" w:sz="0" w:space="0" w:color="auto"/>
            <w:bottom w:val="none" w:sz="0" w:space="0" w:color="auto"/>
            <w:right w:val="none" w:sz="0" w:space="0" w:color="auto"/>
          </w:divBdr>
        </w:div>
      </w:divsChild>
    </w:div>
    <w:div w:id="1881478192">
      <w:bodyDiv w:val="1"/>
      <w:marLeft w:val="0"/>
      <w:marRight w:val="0"/>
      <w:marTop w:val="0"/>
      <w:marBottom w:val="0"/>
      <w:divBdr>
        <w:top w:val="none" w:sz="0" w:space="0" w:color="auto"/>
        <w:left w:val="none" w:sz="0" w:space="0" w:color="auto"/>
        <w:bottom w:val="none" w:sz="0" w:space="0" w:color="auto"/>
        <w:right w:val="none" w:sz="0" w:space="0" w:color="auto"/>
      </w:divBdr>
    </w:div>
    <w:div w:id="1895388301">
      <w:bodyDiv w:val="1"/>
      <w:marLeft w:val="0"/>
      <w:marRight w:val="0"/>
      <w:marTop w:val="0"/>
      <w:marBottom w:val="0"/>
      <w:divBdr>
        <w:top w:val="none" w:sz="0" w:space="0" w:color="auto"/>
        <w:left w:val="none" w:sz="0" w:space="0" w:color="auto"/>
        <w:bottom w:val="none" w:sz="0" w:space="0" w:color="auto"/>
        <w:right w:val="none" w:sz="0" w:space="0" w:color="auto"/>
      </w:divBdr>
      <w:divsChild>
        <w:div w:id="2004310569">
          <w:marLeft w:val="0"/>
          <w:marRight w:val="0"/>
          <w:marTop w:val="0"/>
          <w:marBottom w:val="0"/>
          <w:divBdr>
            <w:top w:val="none" w:sz="0" w:space="0" w:color="auto"/>
            <w:left w:val="none" w:sz="0" w:space="0" w:color="auto"/>
            <w:bottom w:val="none" w:sz="0" w:space="0" w:color="auto"/>
            <w:right w:val="none" w:sz="0" w:space="0" w:color="auto"/>
          </w:divBdr>
        </w:div>
      </w:divsChild>
    </w:div>
    <w:div w:id="1897928959">
      <w:bodyDiv w:val="1"/>
      <w:marLeft w:val="0"/>
      <w:marRight w:val="0"/>
      <w:marTop w:val="0"/>
      <w:marBottom w:val="0"/>
      <w:divBdr>
        <w:top w:val="none" w:sz="0" w:space="0" w:color="auto"/>
        <w:left w:val="none" w:sz="0" w:space="0" w:color="auto"/>
        <w:bottom w:val="none" w:sz="0" w:space="0" w:color="auto"/>
        <w:right w:val="none" w:sz="0" w:space="0" w:color="auto"/>
      </w:divBdr>
      <w:divsChild>
        <w:div w:id="1077247178">
          <w:marLeft w:val="0"/>
          <w:marRight w:val="0"/>
          <w:marTop w:val="0"/>
          <w:marBottom w:val="0"/>
          <w:divBdr>
            <w:top w:val="none" w:sz="0" w:space="0" w:color="auto"/>
            <w:left w:val="none" w:sz="0" w:space="0" w:color="auto"/>
            <w:bottom w:val="none" w:sz="0" w:space="0" w:color="auto"/>
            <w:right w:val="none" w:sz="0" w:space="0" w:color="auto"/>
          </w:divBdr>
        </w:div>
      </w:divsChild>
    </w:div>
    <w:div w:id="1904677579">
      <w:bodyDiv w:val="1"/>
      <w:marLeft w:val="0"/>
      <w:marRight w:val="0"/>
      <w:marTop w:val="0"/>
      <w:marBottom w:val="0"/>
      <w:divBdr>
        <w:top w:val="none" w:sz="0" w:space="0" w:color="auto"/>
        <w:left w:val="none" w:sz="0" w:space="0" w:color="auto"/>
        <w:bottom w:val="none" w:sz="0" w:space="0" w:color="auto"/>
        <w:right w:val="none" w:sz="0" w:space="0" w:color="auto"/>
      </w:divBdr>
    </w:div>
    <w:div w:id="1905872869">
      <w:bodyDiv w:val="1"/>
      <w:marLeft w:val="0"/>
      <w:marRight w:val="0"/>
      <w:marTop w:val="0"/>
      <w:marBottom w:val="0"/>
      <w:divBdr>
        <w:top w:val="none" w:sz="0" w:space="0" w:color="auto"/>
        <w:left w:val="none" w:sz="0" w:space="0" w:color="auto"/>
        <w:bottom w:val="none" w:sz="0" w:space="0" w:color="auto"/>
        <w:right w:val="none" w:sz="0" w:space="0" w:color="auto"/>
      </w:divBdr>
      <w:divsChild>
        <w:div w:id="112596977">
          <w:marLeft w:val="0"/>
          <w:marRight w:val="0"/>
          <w:marTop w:val="0"/>
          <w:marBottom w:val="0"/>
          <w:divBdr>
            <w:top w:val="none" w:sz="0" w:space="0" w:color="auto"/>
            <w:left w:val="none" w:sz="0" w:space="0" w:color="auto"/>
            <w:bottom w:val="none" w:sz="0" w:space="0" w:color="auto"/>
            <w:right w:val="none" w:sz="0" w:space="0" w:color="auto"/>
          </w:divBdr>
        </w:div>
        <w:div w:id="190580205">
          <w:marLeft w:val="0"/>
          <w:marRight w:val="0"/>
          <w:marTop w:val="0"/>
          <w:marBottom w:val="0"/>
          <w:divBdr>
            <w:top w:val="none" w:sz="0" w:space="0" w:color="auto"/>
            <w:left w:val="none" w:sz="0" w:space="0" w:color="auto"/>
            <w:bottom w:val="none" w:sz="0" w:space="0" w:color="auto"/>
            <w:right w:val="none" w:sz="0" w:space="0" w:color="auto"/>
          </w:divBdr>
        </w:div>
      </w:divsChild>
    </w:div>
    <w:div w:id="1915504578">
      <w:bodyDiv w:val="1"/>
      <w:marLeft w:val="0"/>
      <w:marRight w:val="0"/>
      <w:marTop w:val="0"/>
      <w:marBottom w:val="0"/>
      <w:divBdr>
        <w:top w:val="none" w:sz="0" w:space="0" w:color="auto"/>
        <w:left w:val="none" w:sz="0" w:space="0" w:color="auto"/>
        <w:bottom w:val="none" w:sz="0" w:space="0" w:color="auto"/>
        <w:right w:val="none" w:sz="0" w:space="0" w:color="auto"/>
      </w:divBdr>
      <w:divsChild>
        <w:div w:id="2072799876">
          <w:marLeft w:val="0"/>
          <w:marRight w:val="0"/>
          <w:marTop w:val="0"/>
          <w:marBottom w:val="0"/>
          <w:divBdr>
            <w:top w:val="none" w:sz="0" w:space="0" w:color="auto"/>
            <w:left w:val="none" w:sz="0" w:space="0" w:color="auto"/>
            <w:bottom w:val="none" w:sz="0" w:space="0" w:color="auto"/>
            <w:right w:val="none" w:sz="0" w:space="0" w:color="auto"/>
          </w:divBdr>
        </w:div>
      </w:divsChild>
    </w:div>
    <w:div w:id="1936010237">
      <w:bodyDiv w:val="1"/>
      <w:marLeft w:val="0"/>
      <w:marRight w:val="0"/>
      <w:marTop w:val="0"/>
      <w:marBottom w:val="0"/>
      <w:divBdr>
        <w:top w:val="none" w:sz="0" w:space="0" w:color="auto"/>
        <w:left w:val="none" w:sz="0" w:space="0" w:color="auto"/>
        <w:bottom w:val="none" w:sz="0" w:space="0" w:color="auto"/>
        <w:right w:val="none" w:sz="0" w:space="0" w:color="auto"/>
      </w:divBdr>
      <w:divsChild>
        <w:div w:id="697004403">
          <w:marLeft w:val="0"/>
          <w:marRight w:val="0"/>
          <w:marTop w:val="0"/>
          <w:marBottom w:val="0"/>
          <w:divBdr>
            <w:top w:val="none" w:sz="0" w:space="0" w:color="auto"/>
            <w:left w:val="none" w:sz="0" w:space="0" w:color="auto"/>
            <w:bottom w:val="none" w:sz="0" w:space="0" w:color="auto"/>
            <w:right w:val="none" w:sz="0" w:space="0" w:color="auto"/>
          </w:divBdr>
        </w:div>
      </w:divsChild>
    </w:div>
    <w:div w:id="1938245350">
      <w:bodyDiv w:val="1"/>
      <w:marLeft w:val="0"/>
      <w:marRight w:val="0"/>
      <w:marTop w:val="0"/>
      <w:marBottom w:val="0"/>
      <w:divBdr>
        <w:top w:val="none" w:sz="0" w:space="0" w:color="auto"/>
        <w:left w:val="none" w:sz="0" w:space="0" w:color="auto"/>
        <w:bottom w:val="none" w:sz="0" w:space="0" w:color="auto"/>
        <w:right w:val="none" w:sz="0" w:space="0" w:color="auto"/>
      </w:divBdr>
      <w:divsChild>
        <w:div w:id="493032602">
          <w:marLeft w:val="0"/>
          <w:marRight w:val="0"/>
          <w:marTop w:val="0"/>
          <w:marBottom w:val="0"/>
          <w:divBdr>
            <w:top w:val="none" w:sz="0" w:space="0" w:color="auto"/>
            <w:left w:val="none" w:sz="0" w:space="0" w:color="auto"/>
            <w:bottom w:val="none" w:sz="0" w:space="0" w:color="auto"/>
            <w:right w:val="none" w:sz="0" w:space="0" w:color="auto"/>
          </w:divBdr>
        </w:div>
      </w:divsChild>
    </w:div>
    <w:div w:id="1951816866">
      <w:bodyDiv w:val="1"/>
      <w:marLeft w:val="0"/>
      <w:marRight w:val="0"/>
      <w:marTop w:val="0"/>
      <w:marBottom w:val="0"/>
      <w:divBdr>
        <w:top w:val="none" w:sz="0" w:space="0" w:color="auto"/>
        <w:left w:val="none" w:sz="0" w:space="0" w:color="auto"/>
        <w:bottom w:val="none" w:sz="0" w:space="0" w:color="auto"/>
        <w:right w:val="none" w:sz="0" w:space="0" w:color="auto"/>
      </w:divBdr>
      <w:divsChild>
        <w:div w:id="1509638445">
          <w:marLeft w:val="0"/>
          <w:marRight w:val="0"/>
          <w:marTop w:val="0"/>
          <w:marBottom w:val="0"/>
          <w:divBdr>
            <w:top w:val="none" w:sz="0" w:space="0" w:color="auto"/>
            <w:left w:val="none" w:sz="0" w:space="0" w:color="auto"/>
            <w:bottom w:val="none" w:sz="0" w:space="0" w:color="auto"/>
            <w:right w:val="none" w:sz="0" w:space="0" w:color="auto"/>
          </w:divBdr>
        </w:div>
      </w:divsChild>
    </w:div>
    <w:div w:id="1986278737">
      <w:bodyDiv w:val="1"/>
      <w:marLeft w:val="0"/>
      <w:marRight w:val="0"/>
      <w:marTop w:val="0"/>
      <w:marBottom w:val="0"/>
      <w:divBdr>
        <w:top w:val="none" w:sz="0" w:space="0" w:color="auto"/>
        <w:left w:val="none" w:sz="0" w:space="0" w:color="auto"/>
        <w:bottom w:val="none" w:sz="0" w:space="0" w:color="auto"/>
        <w:right w:val="none" w:sz="0" w:space="0" w:color="auto"/>
      </w:divBdr>
      <w:divsChild>
        <w:div w:id="1270897088">
          <w:marLeft w:val="0"/>
          <w:marRight w:val="0"/>
          <w:marTop w:val="0"/>
          <w:marBottom w:val="0"/>
          <w:divBdr>
            <w:top w:val="none" w:sz="0" w:space="0" w:color="auto"/>
            <w:left w:val="none" w:sz="0" w:space="0" w:color="auto"/>
            <w:bottom w:val="none" w:sz="0" w:space="0" w:color="auto"/>
            <w:right w:val="none" w:sz="0" w:space="0" w:color="auto"/>
          </w:divBdr>
        </w:div>
        <w:div w:id="806624441">
          <w:marLeft w:val="0"/>
          <w:marRight w:val="0"/>
          <w:marTop w:val="0"/>
          <w:marBottom w:val="0"/>
          <w:divBdr>
            <w:top w:val="none" w:sz="0" w:space="0" w:color="auto"/>
            <w:left w:val="none" w:sz="0" w:space="0" w:color="auto"/>
            <w:bottom w:val="none" w:sz="0" w:space="0" w:color="auto"/>
            <w:right w:val="none" w:sz="0" w:space="0" w:color="auto"/>
          </w:divBdr>
        </w:div>
      </w:divsChild>
    </w:div>
    <w:div w:id="1999334699">
      <w:bodyDiv w:val="1"/>
      <w:marLeft w:val="0"/>
      <w:marRight w:val="0"/>
      <w:marTop w:val="0"/>
      <w:marBottom w:val="0"/>
      <w:divBdr>
        <w:top w:val="none" w:sz="0" w:space="0" w:color="auto"/>
        <w:left w:val="none" w:sz="0" w:space="0" w:color="auto"/>
        <w:bottom w:val="none" w:sz="0" w:space="0" w:color="auto"/>
        <w:right w:val="none" w:sz="0" w:space="0" w:color="auto"/>
      </w:divBdr>
      <w:divsChild>
        <w:div w:id="2014184118">
          <w:marLeft w:val="0"/>
          <w:marRight w:val="0"/>
          <w:marTop w:val="0"/>
          <w:marBottom w:val="0"/>
          <w:divBdr>
            <w:top w:val="none" w:sz="0" w:space="0" w:color="auto"/>
            <w:left w:val="none" w:sz="0" w:space="0" w:color="auto"/>
            <w:bottom w:val="none" w:sz="0" w:space="0" w:color="auto"/>
            <w:right w:val="none" w:sz="0" w:space="0" w:color="auto"/>
          </w:divBdr>
        </w:div>
      </w:divsChild>
    </w:div>
    <w:div w:id="2012104055">
      <w:bodyDiv w:val="1"/>
      <w:marLeft w:val="0"/>
      <w:marRight w:val="0"/>
      <w:marTop w:val="0"/>
      <w:marBottom w:val="0"/>
      <w:divBdr>
        <w:top w:val="none" w:sz="0" w:space="0" w:color="auto"/>
        <w:left w:val="none" w:sz="0" w:space="0" w:color="auto"/>
        <w:bottom w:val="none" w:sz="0" w:space="0" w:color="auto"/>
        <w:right w:val="none" w:sz="0" w:space="0" w:color="auto"/>
      </w:divBdr>
    </w:div>
    <w:div w:id="2013754836">
      <w:bodyDiv w:val="1"/>
      <w:marLeft w:val="0"/>
      <w:marRight w:val="0"/>
      <w:marTop w:val="0"/>
      <w:marBottom w:val="0"/>
      <w:divBdr>
        <w:top w:val="none" w:sz="0" w:space="0" w:color="auto"/>
        <w:left w:val="none" w:sz="0" w:space="0" w:color="auto"/>
        <w:bottom w:val="none" w:sz="0" w:space="0" w:color="auto"/>
        <w:right w:val="none" w:sz="0" w:space="0" w:color="auto"/>
      </w:divBdr>
      <w:divsChild>
        <w:div w:id="752437386">
          <w:marLeft w:val="0"/>
          <w:marRight w:val="0"/>
          <w:marTop w:val="0"/>
          <w:marBottom w:val="0"/>
          <w:divBdr>
            <w:top w:val="none" w:sz="0" w:space="0" w:color="auto"/>
            <w:left w:val="none" w:sz="0" w:space="0" w:color="auto"/>
            <w:bottom w:val="none" w:sz="0" w:space="0" w:color="auto"/>
            <w:right w:val="none" w:sz="0" w:space="0" w:color="auto"/>
          </w:divBdr>
        </w:div>
      </w:divsChild>
    </w:div>
    <w:div w:id="2034187962">
      <w:bodyDiv w:val="1"/>
      <w:marLeft w:val="0"/>
      <w:marRight w:val="0"/>
      <w:marTop w:val="0"/>
      <w:marBottom w:val="0"/>
      <w:divBdr>
        <w:top w:val="none" w:sz="0" w:space="0" w:color="auto"/>
        <w:left w:val="none" w:sz="0" w:space="0" w:color="auto"/>
        <w:bottom w:val="none" w:sz="0" w:space="0" w:color="auto"/>
        <w:right w:val="none" w:sz="0" w:space="0" w:color="auto"/>
      </w:divBdr>
      <w:divsChild>
        <w:div w:id="1877085425">
          <w:marLeft w:val="0"/>
          <w:marRight w:val="0"/>
          <w:marTop w:val="0"/>
          <w:marBottom w:val="0"/>
          <w:divBdr>
            <w:top w:val="none" w:sz="0" w:space="0" w:color="auto"/>
            <w:left w:val="none" w:sz="0" w:space="0" w:color="auto"/>
            <w:bottom w:val="none" w:sz="0" w:space="0" w:color="auto"/>
            <w:right w:val="none" w:sz="0" w:space="0" w:color="auto"/>
          </w:divBdr>
        </w:div>
      </w:divsChild>
    </w:div>
    <w:div w:id="2067946114">
      <w:bodyDiv w:val="1"/>
      <w:marLeft w:val="0"/>
      <w:marRight w:val="0"/>
      <w:marTop w:val="0"/>
      <w:marBottom w:val="0"/>
      <w:divBdr>
        <w:top w:val="none" w:sz="0" w:space="0" w:color="auto"/>
        <w:left w:val="none" w:sz="0" w:space="0" w:color="auto"/>
        <w:bottom w:val="none" w:sz="0" w:space="0" w:color="auto"/>
        <w:right w:val="none" w:sz="0" w:space="0" w:color="auto"/>
      </w:divBdr>
    </w:div>
    <w:div w:id="2087409053">
      <w:bodyDiv w:val="1"/>
      <w:marLeft w:val="0"/>
      <w:marRight w:val="0"/>
      <w:marTop w:val="0"/>
      <w:marBottom w:val="0"/>
      <w:divBdr>
        <w:top w:val="none" w:sz="0" w:space="0" w:color="auto"/>
        <w:left w:val="none" w:sz="0" w:space="0" w:color="auto"/>
        <w:bottom w:val="none" w:sz="0" w:space="0" w:color="auto"/>
        <w:right w:val="none" w:sz="0" w:space="0" w:color="auto"/>
      </w:divBdr>
      <w:divsChild>
        <w:div w:id="654728442">
          <w:marLeft w:val="0"/>
          <w:marRight w:val="0"/>
          <w:marTop w:val="0"/>
          <w:marBottom w:val="0"/>
          <w:divBdr>
            <w:top w:val="none" w:sz="0" w:space="0" w:color="auto"/>
            <w:left w:val="none" w:sz="0" w:space="0" w:color="auto"/>
            <w:bottom w:val="none" w:sz="0" w:space="0" w:color="auto"/>
            <w:right w:val="none" w:sz="0" w:space="0" w:color="auto"/>
          </w:divBdr>
        </w:div>
      </w:divsChild>
    </w:div>
    <w:div w:id="2096245040">
      <w:bodyDiv w:val="1"/>
      <w:marLeft w:val="0"/>
      <w:marRight w:val="0"/>
      <w:marTop w:val="0"/>
      <w:marBottom w:val="0"/>
      <w:divBdr>
        <w:top w:val="none" w:sz="0" w:space="0" w:color="auto"/>
        <w:left w:val="none" w:sz="0" w:space="0" w:color="auto"/>
        <w:bottom w:val="none" w:sz="0" w:space="0" w:color="auto"/>
        <w:right w:val="none" w:sz="0" w:space="0" w:color="auto"/>
      </w:divBdr>
      <w:divsChild>
        <w:div w:id="658651962">
          <w:marLeft w:val="0"/>
          <w:marRight w:val="0"/>
          <w:marTop w:val="0"/>
          <w:marBottom w:val="0"/>
          <w:divBdr>
            <w:top w:val="none" w:sz="0" w:space="0" w:color="auto"/>
            <w:left w:val="none" w:sz="0" w:space="0" w:color="auto"/>
            <w:bottom w:val="none" w:sz="0" w:space="0" w:color="auto"/>
            <w:right w:val="none" w:sz="0" w:space="0" w:color="auto"/>
          </w:divBdr>
        </w:div>
        <w:div w:id="1199507415">
          <w:marLeft w:val="0"/>
          <w:marRight w:val="0"/>
          <w:marTop w:val="0"/>
          <w:marBottom w:val="0"/>
          <w:divBdr>
            <w:top w:val="none" w:sz="0" w:space="0" w:color="auto"/>
            <w:left w:val="none" w:sz="0" w:space="0" w:color="auto"/>
            <w:bottom w:val="none" w:sz="0" w:space="0" w:color="auto"/>
            <w:right w:val="none" w:sz="0" w:space="0" w:color="auto"/>
          </w:divBdr>
        </w:div>
        <w:div w:id="980038996">
          <w:marLeft w:val="0"/>
          <w:marRight w:val="0"/>
          <w:marTop w:val="0"/>
          <w:marBottom w:val="0"/>
          <w:divBdr>
            <w:top w:val="none" w:sz="0" w:space="0" w:color="auto"/>
            <w:left w:val="none" w:sz="0" w:space="0" w:color="auto"/>
            <w:bottom w:val="none" w:sz="0" w:space="0" w:color="auto"/>
            <w:right w:val="none" w:sz="0" w:space="0" w:color="auto"/>
          </w:divBdr>
        </w:div>
      </w:divsChild>
    </w:div>
    <w:div w:id="2108034243">
      <w:bodyDiv w:val="1"/>
      <w:marLeft w:val="0"/>
      <w:marRight w:val="0"/>
      <w:marTop w:val="0"/>
      <w:marBottom w:val="0"/>
      <w:divBdr>
        <w:top w:val="none" w:sz="0" w:space="0" w:color="auto"/>
        <w:left w:val="none" w:sz="0" w:space="0" w:color="auto"/>
        <w:bottom w:val="none" w:sz="0" w:space="0" w:color="auto"/>
        <w:right w:val="none" w:sz="0" w:space="0" w:color="auto"/>
      </w:divBdr>
      <w:divsChild>
        <w:div w:id="315575074">
          <w:marLeft w:val="0"/>
          <w:marRight w:val="0"/>
          <w:marTop w:val="0"/>
          <w:marBottom w:val="0"/>
          <w:divBdr>
            <w:top w:val="none" w:sz="0" w:space="0" w:color="auto"/>
            <w:left w:val="none" w:sz="0" w:space="0" w:color="auto"/>
            <w:bottom w:val="none" w:sz="0" w:space="0" w:color="auto"/>
            <w:right w:val="none" w:sz="0" w:space="0" w:color="auto"/>
          </w:divBdr>
        </w:div>
      </w:divsChild>
    </w:div>
    <w:div w:id="2116173233">
      <w:bodyDiv w:val="1"/>
      <w:marLeft w:val="0"/>
      <w:marRight w:val="0"/>
      <w:marTop w:val="0"/>
      <w:marBottom w:val="0"/>
      <w:divBdr>
        <w:top w:val="none" w:sz="0" w:space="0" w:color="auto"/>
        <w:left w:val="none" w:sz="0" w:space="0" w:color="auto"/>
        <w:bottom w:val="none" w:sz="0" w:space="0" w:color="auto"/>
        <w:right w:val="none" w:sz="0" w:space="0" w:color="auto"/>
      </w:divBdr>
    </w:div>
    <w:div w:id="2120950436">
      <w:bodyDiv w:val="1"/>
      <w:marLeft w:val="0"/>
      <w:marRight w:val="0"/>
      <w:marTop w:val="0"/>
      <w:marBottom w:val="0"/>
      <w:divBdr>
        <w:top w:val="none" w:sz="0" w:space="0" w:color="auto"/>
        <w:left w:val="none" w:sz="0" w:space="0" w:color="auto"/>
        <w:bottom w:val="none" w:sz="0" w:space="0" w:color="auto"/>
        <w:right w:val="none" w:sz="0" w:space="0" w:color="auto"/>
      </w:divBdr>
    </w:div>
    <w:div w:id="2124300285">
      <w:bodyDiv w:val="1"/>
      <w:marLeft w:val="0"/>
      <w:marRight w:val="0"/>
      <w:marTop w:val="0"/>
      <w:marBottom w:val="0"/>
      <w:divBdr>
        <w:top w:val="none" w:sz="0" w:space="0" w:color="auto"/>
        <w:left w:val="none" w:sz="0" w:space="0" w:color="auto"/>
        <w:bottom w:val="none" w:sz="0" w:space="0" w:color="auto"/>
        <w:right w:val="none" w:sz="0" w:space="0" w:color="auto"/>
      </w:divBdr>
      <w:divsChild>
        <w:div w:id="212502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ls.2024.1391496" TargetMode="External"/><Relationship Id="rId21" Type="http://schemas.openxmlformats.org/officeDocument/2006/relationships/hyperlink" Target="https://colostate.pressbooks.pub/understudiedindigenouscrops/chapter/chickpea/" TargetMode="External"/><Relationship Id="rId42"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7" Type="http://schemas.openxmlformats.org/officeDocument/2006/relationships/hyperlink" Target="https://doi.org/10.3390/life13091918" TargetMode="External"/><Relationship Id="rId63" Type="http://schemas.openxmlformats.org/officeDocument/2006/relationships/hyperlink" Target="https://doi.org/10.3390/plants13030429" TargetMode="External"/><Relationship Id="rId68" Type="http://schemas.openxmlformats.org/officeDocument/2006/relationships/header" Target="header3.xml"/><Relationship Id="rId7" Type="http://schemas.openxmlformats.org/officeDocument/2006/relationships/hyperlink" Target="https://www.mdpi.com/2223-7747/13/19/274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plants12040928" TargetMode="External"/><Relationship Id="rId29" Type="http://schemas.openxmlformats.org/officeDocument/2006/relationships/hyperlink" Target="https://doi.org/10.1017/S0007114512000797" TargetMode="External"/><Relationship Id="rId11" Type="http://schemas.openxmlformats.org/officeDocument/2006/relationships/hyperlink" Target="https://doi.org/10.3389/fnut.2023.1218468" TargetMode="External"/><Relationship Id="rId24" Type="http://schemas.openxmlformats.org/officeDocument/2006/relationships/hyperlink" Target="https://doi.org/10.59797/jfl.v36.i2.140" TargetMode="External"/><Relationship Id="rId32" Type="http://schemas.openxmlformats.org/officeDocument/2006/relationships/hyperlink" Target="https://doi.org/10.1007/s13593-020-00618-3" TargetMode="External"/><Relationship Id="rId37" Type="http://schemas.openxmlformats.org/officeDocument/2006/relationships/hyperlink" Target="https://doi.org/10.14719/pst.6401" TargetMode="External"/><Relationship Id="rId40" Type="http://schemas.openxmlformats.org/officeDocument/2006/relationships/hyperlink" Target="https://doi.org/10.3390/ijms25063264" TargetMode="External"/><Relationship Id="rId45"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53" Type="http://schemas.openxmlformats.org/officeDocument/2006/relationships/hyperlink" Target="https://doi.org/10.1016/B978-0-12-818299-4.00009-9" TargetMode="External"/><Relationship Id="rId58" Type="http://schemas.openxmlformats.org/officeDocument/2006/relationships/hyperlink" Target="https://doi.org/10.3389/fpls.2024.1461280"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19" Type="http://schemas.openxmlformats.org/officeDocument/2006/relationships/hyperlink" Target="https://doi.org/10.1017/S147926212300028X" TargetMode="External"/><Relationship Id="rId14" Type="http://schemas.openxmlformats.org/officeDocument/2006/relationships/hyperlink" Target="https://doi.org/10.31883/pjfns/135813" TargetMode="External"/><Relationship Id="rId22" Type="http://schemas.openxmlformats.org/officeDocument/2006/relationships/hyperlink" Target="https://doi.org/10.3390/ijms23095186" TargetMode="External"/><Relationship Id="rId27" Type="http://schemas.openxmlformats.org/officeDocument/2006/relationships/hyperlink" Target="https://doi.org/10.56557/pcbmb/2025/v26i7-89433" TargetMode="External"/><Relationship Id="rId30" Type="http://schemas.openxmlformats.org/officeDocument/2006/relationships/hyperlink" Target="https://doi.org/10.1016/j.sajb.2022.08.011" TargetMode="External"/><Relationship Id="rId35" Type="http://schemas.openxmlformats.org/officeDocument/2006/relationships/hyperlink" Target="https://doi.org/10.1186/s12870-025-06244-z" TargetMode="External"/><Relationship Id="rId43" Type="http://schemas.openxmlformats.org/officeDocument/2006/relationships/hyperlink" Target="https://doi.org/10.1155/2024/5173736" TargetMode="External"/><Relationship Id="rId48" Type="http://schemas.openxmlformats.org/officeDocument/2006/relationships/hyperlink" Target="https://doi.org/10.56557/pcbmb/2025/v26i9-109668" TargetMode="External"/><Relationship Id="rId56" Type="http://schemas.openxmlformats.org/officeDocument/2006/relationships/hyperlink" Target="https://doi.org/10.3390/antiox13020164"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doi.org/10.3390/agronomy14102229" TargetMode="External"/><Relationship Id="rId51" Type="http://schemas.openxmlformats.org/officeDocument/2006/relationships/hyperlink" Target="https://doi.org/10.1016/j.jafr.2023.100702" TargetMode="External"/><Relationship Id="rId3" Type="http://schemas.openxmlformats.org/officeDocument/2006/relationships/settings" Target="settings.xml"/><Relationship Id="rId12" Type="http://schemas.openxmlformats.org/officeDocument/2006/relationships/hyperlink" Target="https://doi.org/10.56557/joban/2025/v17i29486" TargetMode="External"/><Relationship Id="rId17" Type="http://schemas.openxmlformats.org/officeDocument/2006/relationships/hyperlink" Target="https://doi.org/10.3390/molecules26133964" TargetMode="External"/><Relationship Id="rId25" Type="http://schemas.openxmlformats.org/officeDocument/2006/relationships/hyperlink" Target="https://doi.org/10.18805/LR-3933" TargetMode="External"/><Relationship Id="rId33" Type="http://schemas.openxmlformats.org/officeDocument/2006/relationships/hyperlink" Target="https://doi.org/10.3390/plants11212926" TargetMode="External"/><Relationship Id="rId38" Type="http://schemas.openxmlformats.org/officeDocument/2006/relationships/hyperlink" Target="https://doi.org/10.31080/ASAG.2024.08.1432" TargetMode="External"/><Relationship Id="rId46" Type="http://schemas.openxmlformats.org/officeDocument/2006/relationships/hyperlink" Target="https://doi.org/10.1007/s11130-018-0661-6" TargetMode="External"/><Relationship Id="rId59" Type="http://schemas.openxmlformats.org/officeDocument/2006/relationships/hyperlink" Target="https://doi.org/10.14719/pst.4587" TargetMode="External"/><Relationship Id="rId67" Type="http://schemas.openxmlformats.org/officeDocument/2006/relationships/footer" Target="footer2.xml"/><Relationship Id="rId20" Type="http://schemas.openxmlformats.org/officeDocument/2006/relationships/hyperlink" Target="https://doi.org/10.1016/j.jfca.2024.106024" TargetMode="External"/><Relationship Id="rId41" Type="http://schemas.openxmlformats.org/officeDocument/2006/relationships/hyperlink" Target="https://doi.org/10.3390/nu15214556" TargetMode="External"/><Relationship Id="rId54" Type="http://schemas.openxmlformats.org/officeDocument/2006/relationships/hyperlink" Target="https://doi.org/10.9734/jabb/2024/v27i5758" TargetMode="External"/><Relationship Id="rId62" Type="http://schemas.openxmlformats.org/officeDocument/2006/relationships/hyperlink" Target="http://eprints.go4mailburst.com/id/eprint/1597/"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0111707" TargetMode="External"/><Relationship Id="rId23" Type="http://schemas.openxmlformats.org/officeDocument/2006/relationships/hyperlink" Target="https://doi.org/10.3390/agriculture13091721" TargetMode="External"/><Relationship Id="rId28" Type="http://schemas.openxmlformats.org/officeDocument/2006/relationships/hyperlink" Target="https://doi.org/10.3390/CSAC2023-15167" TargetMode="External"/><Relationship Id="rId36" Type="http://schemas.openxmlformats.org/officeDocument/2006/relationships/hyperlink" Target="https://doi.org/10.1111/aab.12835" TargetMode="External"/><Relationship Id="rId49" Type="http://schemas.openxmlformats.org/officeDocument/2006/relationships/hyperlink" Target="https://doi.org/10.36953/ECJ.2021.22321" TargetMode="External"/><Relationship Id="rId57" Type="http://schemas.openxmlformats.org/officeDocument/2006/relationships/hyperlink" Target="https://doi.org/10.18805/LR-5191" TargetMode="External"/><Relationship Id="rId10" Type="http://schemas.openxmlformats.org/officeDocument/2006/relationships/hyperlink" Target="https://doi.org/10.3390/plants13192746" TargetMode="External"/><Relationship Id="rId31" Type="http://schemas.openxmlformats.org/officeDocument/2006/relationships/hyperlink" Target="https://doi.org/10.1016/j.scienta.2011.01.037" TargetMode="External"/><Relationship Id="rId44" Type="http://schemas.openxmlformats.org/officeDocument/2006/relationships/hyperlink" Target="https://doi.org/10.3390/molecules26092773" TargetMode="External"/><Relationship Id="rId52" Type="http://schemas.openxmlformats.org/officeDocument/2006/relationships/hyperlink" Target="https://doi.org/10.3390/biom9070285" TargetMode="External"/><Relationship Id="rId60"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heliyon.2022.e10711" TargetMode="External"/><Relationship Id="rId13" Type="http://schemas.openxmlformats.org/officeDocument/2006/relationships/hyperlink" Target="https://doi.org/10.1021/acs.jafc.4c07669" TargetMode="External"/><Relationship Id="rId18" Type="http://schemas.openxmlformats.org/officeDocument/2006/relationships/hyperlink" Target="https://doi.org/10.3390/antiox13121553" TargetMode="External"/><Relationship Id="rId39" Type="http://schemas.openxmlformats.org/officeDocument/2006/relationships/hyperlink" Target="https://doi.org/https://doi.org/10.37446/volbook032024/1-21" TargetMode="External"/><Relationship Id="rId34" Type="http://schemas.openxmlformats.org/officeDocument/2006/relationships/hyperlink" Target="http://dx.doi.org/10.1016/S0021-9258(19)52451-6" TargetMode="External"/><Relationship Id="rId50" Type="http://schemas.openxmlformats.org/officeDocument/2006/relationships/hyperlink" Target="https://doi.org/10.1016/j.pmpp.2024.102383" TargetMode="External"/><Relationship Id="rId55" Type="http://schemas.openxmlformats.org/officeDocument/2006/relationships/hyperlink" Target="https://doi.org/10.1186/s12870-025-062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23</Pages>
  <Words>8810</Words>
  <Characters>50222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222</cp:revision>
  <dcterms:created xsi:type="dcterms:W3CDTF">2025-07-10T05:58:00Z</dcterms:created>
  <dcterms:modified xsi:type="dcterms:W3CDTF">2025-09-28T06:22:00Z</dcterms:modified>
</cp:coreProperties>
</file>