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Times New Roman"/>
          <w:szCs w:val="24"/>
          <w:u w:val="single"/>
        </w:rPr>
      </w:pPr>
      <w:r>
        <w:rPr>
          <w:rFonts w:cs="Times New Roman"/>
          <w:szCs w:val="24"/>
          <w:u w:val="single"/>
        </w:rPr>
        <w:t>Short Research Article</w:t>
      </w:r>
    </w:p>
    <w:p>
      <w:pPr>
        <w:spacing w:line="360" w:lineRule="auto"/>
        <w:rPr>
          <w:rFonts w:cs="Times New Roman"/>
          <w:szCs w:val="24"/>
        </w:rPr>
      </w:pPr>
    </w:p>
    <w:p>
      <w:pPr>
        <w:spacing w:after="0" w:line="240" w:lineRule="auto"/>
        <w:jc w:val="both"/>
        <w:rPr>
          <w:rFonts w:cs="Times New Roman"/>
          <w:b/>
          <w:bCs/>
          <w:szCs w:val="24"/>
        </w:rPr>
      </w:pPr>
      <w:r>
        <w:rPr>
          <w:rFonts w:cs="Times New Roman"/>
          <w:b/>
          <w:bCs/>
          <w:szCs w:val="24"/>
        </w:rPr>
        <w:t>Streamlining Indirect Taxation in India: Assessing the Transition from GST 1.0 to GST 2.0</w:t>
      </w:r>
    </w:p>
    <w:p>
      <w:pPr>
        <w:spacing w:after="0" w:line="240" w:lineRule="auto"/>
        <w:jc w:val="both"/>
        <w:rPr>
          <w:rFonts w:cs="Times New Roman"/>
          <w:szCs w:val="24"/>
        </w:rPr>
      </w:pPr>
    </w:p>
    <w:p>
      <w:pPr>
        <w:spacing w:after="0" w:line="240" w:lineRule="auto"/>
        <w:jc w:val="both"/>
        <w:rPr>
          <w:rFonts w:cs="Times New Roman"/>
          <w:szCs w:val="24"/>
        </w:rPr>
      </w:pPr>
    </w:p>
    <w:p>
      <w:pPr>
        <w:spacing w:line="360" w:lineRule="auto"/>
        <w:rPr>
          <w:rFonts w:cs="Times New Roman"/>
          <w:b/>
          <w:bCs/>
          <w:szCs w:val="24"/>
        </w:rPr>
      </w:pPr>
    </w:p>
    <w:p>
      <w:pPr>
        <w:spacing w:line="360" w:lineRule="auto"/>
        <w:rPr>
          <w:rFonts w:cs="Times New Roman"/>
          <w:b/>
          <w:bCs/>
          <w:szCs w:val="24"/>
        </w:rPr>
      </w:pPr>
      <w:r>
        <w:rPr>
          <w:rFonts w:cs="Times New Roman"/>
          <w:b/>
          <w:bCs/>
          <w:szCs w:val="24"/>
        </w:rPr>
        <w:t>Abstract</w:t>
      </w:r>
      <w:r>
        <w:commentReference w:id="0"/>
      </w:r>
    </w:p>
    <w:p>
      <w:pPr>
        <w:spacing w:line="360" w:lineRule="auto"/>
        <w:jc w:val="both"/>
        <w:rPr>
          <w:rFonts w:cs="Times New Roman"/>
          <w:b/>
          <w:bCs/>
          <w:szCs w:val="24"/>
        </w:rPr>
      </w:pPr>
      <w:r>
        <w:rPr>
          <w:rFonts w:cs="Times New Roman"/>
          <w:szCs w:val="24"/>
        </w:rPr>
        <w:t>India's Goods and Services Tax (GST), launched in 2017 as GST 1.0, fundamentally transformed the country's indirect tax framework by unifying multiple tax streams. On September 22, 2025, GST 2.0 was implemented, introducing a streamlined two-slab system (5 percent and 18 percent), extensive rate reductions across more than 375 items, and enhanced compliance protocols. This study employs official government data and projections to assess these reforms' structural and economic implications. Results indicate consumer savings of approximately 13 percent on household groceries and highlight potential short-term revenue adjustments. While reforms foster affordability and economic growth, challenges remain in broad sectoral inclusion. Key recommendations include integrating petroleum products into GST and advancing AI-enabled compliance</w:t>
      </w:r>
      <w:r>
        <w:rPr>
          <w:rFonts w:cs="Times New Roman"/>
          <w:b/>
          <w:bCs/>
          <w:szCs w:val="24"/>
        </w:rPr>
        <w:t xml:space="preserve"> </w:t>
      </w:r>
    </w:p>
    <w:p>
      <w:pPr>
        <w:spacing w:line="360" w:lineRule="auto"/>
        <w:jc w:val="both"/>
        <w:rPr>
          <w:rFonts w:cs="Times New Roman"/>
          <w:b/>
          <w:bCs/>
          <w:szCs w:val="24"/>
        </w:rPr>
      </w:pPr>
      <w:r>
        <w:rPr>
          <w:rFonts w:cs="Times New Roman"/>
          <w:b/>
          <w:bCs/>
          <w:szCs w:val="24"/>
        </w:rPr>
        <w:t xml:space="preserve">Keywords: </w:t>
      </w:r>
      <w:commentRangeStart w:id="1"/>
      <w:r>
        <w:rPr>
          <w:rFonts w:cs="Times New Roman"/>
          <w:szCs w:val="24"/>
        </w:rPr>
        <w:t>Goods and Services Tax (GST), GST 1.0, GST 2.0, Indirect Tax Reform, Tax Compliance, Tax Structure Simplification, Tax Slab Rationalization, Consumer Impact, Economic Growth, Fiscal Policy, Tax Evasion, Digital Tax Compliance, India Tax System.</w:t>
      </w:r>
      <w:commentRangeEnd w:id="1"/>
      <w:r>
        <w:commentReference w:id="1"/>
      </w:r>
    </w:p>
    <w:p>
      <w:pPr>
        <w:spacing w:line="360" w:lineRule="auto"/>
        <w:jc w:val="both"/>
        <w:rPr>
          <w:rFonts w:cs="Times New Roman"/>
          <w:b/>
          <w:bCs/>
          <w:szCs w:val="24"/>
        </w:rPr>
      </w:pPr>
      <w:r>
        <w:rPr>
          <w:rFonts w:cs="Times New Roman"/>
          <w:b/>
          <w:bCs/>
          <w:szCs w:val="24"/>
        </w:rPr>
        <w:t>JEL Codes:</w:t>
      </w:r>
    </w:p>
    <w:p>
      <w:pPr>
        <w:spacing w:line="360" w:lineRule="auto"/>
        <w:jc w:val="both"/>
        <w:rPr>
          <w:rFonts w:cs="Times New Roman"/>
          <w:szCs w:val="24"/>
        </w:rPr>
      </w:pPr>
      <w:r>
        <w:rPr>
          <w:rFonts w:cs="Times New Roman"/>
          <w:szCs w:val="24"/>
        </w:rPr>
        <w:t>H20: Taxation, General, H25: Business Taxes and Subsidies including sales and value-added (VAT) taxes, H29: Other Consumer Taxes, H70: State and Local Taxation, Subsidies, and Revenue, O25: India; South Asia, D78: Market Design and Theory: Government Policy</w:t>
      </w:r>
    </w:p>
    <w:p>
      <w:pPr>
        <w:spacing w:line="360" w:lineRule="auto"/>
        <w:jc w:val="both"/>
        <w:rPr>
          <w:rFonts w:cs="Times New Roman"/>
          <w:b/>
          <w:bCs/>
          <w:szCs w:val="24"/>
        </w:rPr>
      </w:pPr>
    </w:p>
    <w:p>
      <w:pPr>
        <w:spacing w:line="360" w:lineRule="auto"/>
        <w:jc w:val="both"/>
        <w:rPr>
          <w:rFonts w:cs="Times New Roman"/>
          <w:b/>
          <w:bCs/>
          <w:szCs w:val="24"/>
        </w:rPr>
      </w:pPr>
    </w:p>
    <w:p>
      <w:pPr>
        <w:spacing w:line="360" w:lineRule="auto"/>
        <w:jc w:val="both"/>
        <w:rPr>
          <w:rFonts w:cs="Times New Roman"/>
          <w:b/>
          <w:bCs/>
          <w:szCs w:val="24"/>
        </w:rPr>
      </w:pPr>
    </w:p>
    <w:p>
      <w:pPr>
        <w:spacing w:line="360" w:lineRule="auto"/>
        <w:jc w:val="both"/>
        <w:rPr>
          <w:rFonts w:cs="Times New Roman"/>
          <w:b/>
          <w:bCs/>
          <w:szCs w:val="24"/>
        </w:rPr>
      </w:pPr>
    </w:p>
    <w:p>
      <w:pPr>
        <w:spacing w:line="360" w:lineRule="auto"/>
        <w:jc w:val="both"/>
        <w:rPr>
          <w:rFonts w:cs="Times New Roman"/>
          <w:b/>
          <w:bCs/>
          <w:szCs w:val="24"/>
        </w:rPr>
      </w:pPr>
      <w:r>
        <w:rPr>
          <w:rFonts w:cs="Times New Roman"/>
          <w:b/>
          <w:bCs/>
          <w:szCs w:val="24"/>
        </w:rPr>
        <w:t>Introduction</w:t>
      </w:r>
    </w:p>
    <w:p>
      <w:pPr>
        <w:spacing w:after="0" w:line="360" w:lineRule="auto"/>
        <w:jc w:val="both"/>
        <w:rPr>
          <w:rFonts w:cs="Times New Roman"/>
          <w:szCs w:val="24"/>
        </w:rPr>
      </w:pPr>
      <w:r>
        <w:rPr>
          <w:rFonts w:cs="Times New Roman"/>
          <w:szCs w:val="24"/>
        </w:rPr>
        <w:t xml:space="preserve">Like Canada and Brazil, India adopted a dual GST system at the central and state levels. While the Central GST will replace existing cascade of indirect taxes such as central excise taxes, additional excise duty, service tax, countervailing duty, special additional duty, the state GST will replace state level VAT, entertainment taxes, luxury tax, taxes in lottery, betting and gambling and taxes on advertisement and entry taxes (Main, 2020; Seiler </w:t>
      </w:r>
      <w:r>
        <w:rPr>
          <w:rFonts w:cs="Times New Roman"/>
          <w:i/>
          <w:iCs/>
          <w:szCs w:val="24"/>
        </w:rPr>
        <w:t>et al</w:t>
      </w:r>
      <w:r>
        <w:rPr>
          <w:rFonts w:cs="Times New Roman"/>
          <w:szCs w:val="24"/>
        </w:rPr>
        <w:t xml:space="preserve">., 2021). According to the Central Board of Excise and Customs of India, a few indirect taxes such as basic custom duty, taxes on land and buildings and mineral rights and excise on alcoholic liquors and stamp duty are to remain even after the implementation of GST </w:t>
      </w:r>
      <w:sdt>
        <w:sdtPr>
          <w:rPr>
            <w:rFonts w:cs="Times New Roman"/>
            <w:szCs w:val="24"/>
          </w:rPr>
          <w:id w:val="-1997253018"/>
        </w:sdtPr>
        <w:sdtEndPr>
          <w:rPr>
            <w:rFonts w:cs="Times New Roman"/>
            <w:szCs w:val="24"/>
          </w:rPr>
        </w:sdtEndPr>
        <w:sdtContent>
          <w:r>
            <w:rPr>
              <w:rFonts w:cs="Times New Roman"/>
              <w:szCs w:val="24"/>
            </w:rPr>
            <w:fldChar w:fldCharType="begin"/>
          </w:r>
          <w:r>
            <w:rPr>
              <w:rFonts w:cs="Times New Roman"/>
              <w:szCs w:val="24"/>
            </w:rPr>
            <w:instrText xml:space="preserve"> CITATION Bha21 \l 16393 </w:instrText>
          </w:r>
          <w:r>
            <w:rPr>
              <w:rFonts w:cs="Times New Roman"/>
              <w:szCs w:val="24"/>
            </w:rPr>
            <w:fldChar w:fldCharType="separate"/>
          </w:r>
          <w:r>
            <w:rPr>
              <w:rFonts w:cs="Times New Roman"/>
              <w:szCs w:val="24"/>
            </w:rPr>
            <w:t>(Bhattarai, 2021)</w:t>
          </w:r>
          <w:r>
            <w:rPr>
              <w:rFonts w:cs="Times New Roman"/>
              <w:szCs w:val="24"/>
            </w:rPr>
            <w:fldChar w:fldCharType="end"/>
          </w:r>
        </w:sdtContent>
      </w:sdt>
      <w:r>
        <w:rPr>
          <w:rFonts w:cs="Times New Roman"/>
          <w:szCs w:val="24"/>
        </w:rPr>
        <w:t xml:space="preserve">. The Goods and Services Tax (GST) represent India’s most ambitious indirect tax reform since independence, replacing a fragmented cascade of central and state levies with a destination-based, multi-stage tax system (Alkahtani et al., 2023; Wang </w:t>
      </w:r>
      <w:r>
        <w:rPr>
          <w:rFonts w:cs="Times New Roman"/>
          <w:i/>
          <w:iCs/>
          <w:szCs w:val="24"/>
        </w:rPr>
        <w:t>et al</w:t>
      </w:r>
      <w:r>
        <w:rPr>
          <w:rFonts w:cs="Times New Roman"/>
          <w:szCs w:val="24"/>
        </w:rPr>
        <w:t>., 2024). Introduced as GST 1.0 effective July 1, 2017, it consolidated 17 taxes into major slabs (0 percent, 5 percent, 12 percent, 18 percent, 28 percent), aiming to curb tax evasion, broaden the tax base, and enhance economic unity. Despite these objectives, implementation issues such as inverted duty structures, complex compliance protocols, and frequent rate revisions limited its effectiveness, leading to disputes and restrained economic growth.</w:t>
      </w:r>
      <w:sdt>
        <w:sdtPr>
          <w:rPr>
            <w:rFonts w:cs="Times New Roman"/>
            <w:szCs w:val="24"/>
          </w:rPr>
          <w:id w:val="-765451044"/>
        </w:sdtPr>
        <w:sdtEndPr>
          <w:rPr>
            <w:rFonts w:cs="Times New Roman"/>
            <w:szCs w:val="24"/>
          </w:rPr>
        </w:sdtEndPr>
        <w:sdtContent>
          <w:r>
            <w:rPr>
              <w:rFonts w:cs="Times New Roman"/>
              <w:szCs w:val="24"/>
            </w:rPr>
            <w:fldChar w:fldCharType="begin"/>
          </w:r>
          <w:r>
            <w:rPr>
              <w:rFonts w:cs="Times New Roman"/>
              <w:szCs w:val="24"/>
            </w:rPr>
            <w:instrText xml:space="preserve"> CITATION PIB25 \l 16393 </w:instrText>
          </w:r>
          <w:r>
            <w:rPr>
              <w:rFonts w:cs="Times New Roman"/>
              <w:szCs w:val="24"/>
            </w:rPr>
            <w:fldChar w:fldCharType="separate"/>
          </w:r>
          <w:r>
            <w:rPr>
              <w:rFonts w:cs="Times New Roman"/>
              <w:szCs w:val="24"/>
            </w:rPr>
            <w:t xml:space="preserve"> (PIB, 2025)</w:t>
          </w:r>
          <w:r>
            <w:rPr>
              <w:rFonts w:cs="Times New Roman"/>
              <w:szCs w:val="24"/>
            </w:rPr>
            <w:fldChar w:fldCharType="end"/>
          </w:r>
        </w:sdtContent>
      </w:sdt>
      <w:r>
        <w:rPr>
          <w:rFonts w:cs="Times New Roman"/>
          <w:szCs w:val="24"/>
        </w:rPr>
        <w:t xml:space="preserve"> Against the backdrop of post-pandemic recovery and fiscal constraints, GST 2.0 was unveiled during the 56th GST Council meeting on September 3, 2025, and took effect on September 22, 2025. This reform rationalizes slabs, exempts key services like life insurance, and prioritizes consumer relief</w:t>
      </w:r>
      <w:sdt>
        <w:sdtPr>
          <w:rPr>
            <w:rFonts w:cs="Times New Roman"/>
            <w:szCs w:val="24"/>
          </w:rPr>
          <w:id w:val="913436197"/>
        </w:sdtPr>
        <w:sdtEndPr>
          <w:rPr>
            <w:rFonts w:cs="Times New Roman"/>
            <w:szCs w:val="24"/>
          </w:rPr>
        </w:sdtEndPr>
        <w:sdtContent>
          <w:r>
            <w:rPr>
              <w:rFonts w:cs="Times New Roman"/>
              <w:szCs w:val="24"/>
            </w:rPr>
            <w:fldChar w:fldCharType="begin"/>
          </w:r>
          <w:r>
            <w:rPr>
              <w:rFonts w:cs="Times New Roman"/>
              <w:szCs w:val="24"/>
            </w:rPr>
            <w:instrText xml:space="preserve"> CITATION Mag25 \l 16393 </w:instrText>
          </w:r>
          <w:r>
            <w:rPr>
              <w:rFonts w:cs="Times New Roman"/>
              <w:szCs w:val="24"/>
            </w:rPr>
            <w:fldChar w:fldCharType="separate"/>
          </w:r>
          <w:r>
            <w:rPr>
              <w:rFonts w:cs="Times New Roman"/>
              <w:szCs w:val="24"/>
            </w:rPr>
            <w:t xml:space="preserve"> (Magazine, 2025)</w:t>
          </w:r>
          <w:r>
            <w:rPr>
              <w:rFonts w:cs="Times New Roman"/>
              <w:szCs w:val="24"/>
            </w:rPr>
            <w:fldChar w:fldCharType="end"/>
          </w:r>
        </w:sdtContent>
      </w:sdt>
      <w:r>
        <w:rPr>
          <w:rFonts w:cs="Times New Roman"/>
          <w:szCs w:val="24"/>
        </w:rPr>
        <w:t xml:space="preserve"> Recent academic discourse asserts that GST's shift to a streamlined, destination-based system is not solely a technical fiscal reform but also a pivotal step in the broader context of Indian federalism and market integration (Kir, 2021; Sinha, 2024; Jha, 2019). The dual GST model has compelled a closer examination of intergovernmental harmonization, with fiscal autonomy for states remaining a critical, evolving challenge even as policy convergence continues to lower compliance burdens and market fragmentation </w:t>
      </w:r>
      <w:sdt>
        <w:sdtPr>
          <w:rPr>
            <w:rFonts w:cs="Times New Roman"/>
            <w:szCs w:val="24"/>
          </w:rPr>
          <w:id w:val="1201666755"/>
        </w:sdtPr>
        <w:sdtEndPr>
          <w:rPr>
            <w:rFonts w:cs="Times New Roman"/>
            <w:szCs w:val="24"/>
          </w:rPr>
        </w:sdtEndPr>
        <w:sdtContent>
          <w:r>
            <w:rPr>
              <w:rFonts w:cs="Times New Roman"/>
              <w:szCs w:val="24"/>
            </w:rPr>
            <w:fldChar w:fldCharType="begin"/>
          </w:r>
          <w:r>
            <w:rPr>
              <w:rFonts w:cs="Times New Roman"/>
              <w:szCs w:val="24"/>
            </w:rPr>
            <w:instrText xml:space="preserve">CITATION Pod09 \l 16393 </w:instrText>
          </w:r>
          <w:r>
            <w:rPr>
              <w:rFonts w:cs="Times New Roman"/>
              <w:szCs w:val="24"/>
            </w:rPr>
            <w:fldChar w:fldCharType="separate"/>
          </w:r>
          <w:r>
            <w:rPr>
              <w:rFonts w:cs="Times New Roman"/>
              <w:szCs w:val="24"/>
            </w:rPr>
            <w:t>(Poddar &amp; Ahmad, 2009)</w:t>
          </w:r>
          <w:r>
            <w:rPr>
              <w:rFonts w:cs="Times New Roman"/>
              <w:szCs w:val="24"/>
            </w:rPr>
            <w:fldChar w:fldCharType="end"/>
          </w:r>
        </w:sdtContent>
      </w:sdt>
      <w:r>
        <w:rPr>
          <w:rFonts w:cs="Times New Roman"/>
          <w:szCs w:val="24"/>
        </w:rPr>
        <w:t>;</w:t>
      </w:r>
      <w:sdt>
        <w:sdtPr>
          <w:rPr>
            <w:rFonts w:cs="Times New Roman"/>
            <w:szCs w:val="24"/>
          </w:rPr>
          <w:id w:val="1747226884"/>
        </w:sdtPr>
        <w:sdtEndPr>
          <w:rPr>
            <w:rFonts w:cs="Times New Roman"/>
            <w:szCs w:val="24"/>
          </w:rPr>
        </w:sdtEndPr>
        <w:sdtContent>
          <w:r>
            <w:rPr>
              <w:rFonts w:cs="Times New Roman"/>
              <w:szCs w:val="24"/>
            </w:rPr>
            <w:fldChar w:fldCharType="begin"/>
          </w:r>
          <w:r>
            <w:rPr>
              <w:rFonts w:cs="Times New Roman"/>
              <w:szCs w:val="24"/>
            </w:rPr>
            <w:instrText xml:space="preserve"> CITATION Wor18 \l 16393 </w:instrText>
          </w:r>
          <w:r>
            <w:rPr>
              <w:rFonts w:cs="Times New Roman"/>
              <w:szCs w:val="24"/>
            </w:rPr>
            <w:fldChar w:fldCharType="separate"/>
          </w:r>
          <w:r>
            <w:rPr>
              <w:rFonts w:cs="Times New Roman"/>
              <w:szCs w:val="24"/>
            </w:rPr>
            <w:t xml:space="preserve"> (World Bank, 2018)</w:t>
          </w:r>
          <w:r>
            <w:rPr>
              <w:rFonts w:cs="Times New Roman"/>
              <w:szCs w:val="24"/>
            </w:rPr>
            <w:fldChar w:fldCharType="end"/>
          </w:r>
        </w:sdtContent>
      </w:sdt>
    </w:p>
    <w:p>
      <w:pPr>
        <w:spacing w:after="0" w:line="360" w:lineRule="auto"/>
        <w:jc w:val="both"/>
        <w:rPr>
          <w:rFonts w:cs="Times New Roman"/>
          <w:szCs w:val="24"/>
        </w:rPr>
      </w:pPr>
    </w:p>
    <w:p>
      <w:pPr>
        <w:spacing w:after="0" w:line="360" w:lineRule="auto"/>
        <w:ind w:firstLine="720"/>
        <w:jc w:val="both"/>
        <w:rPr>
          <w:rFonts w:cs="Times New Roman"/>
          <w:szCs w:val="24"/>
        </w:rPr>
      </w:pPr>
      <w:r>
        <w:rPr>
          <w:rFonts w:cs="Times New Roman"/>
          <w:szCs w:val="24"/>
        </w:rPr>
        <w:t>The persistent challenges within India’s Goods and Services Tax (GST) framework can be understood through the lens of institutional economic theory, which emphasizes the role of governance structures and administrative design in shaping economic outcomes. While the GST was originally conceptualized as a “Good and Simple Tax” aimed at reducing distortions and transaction costs in line with neoclassical efficiency principles, its implementation has instead reflected the pathologies of institutional and administrative failure (Shome, 2021). Leading economists argue that the system’s increasing complexity and operational inefficiencies illustrate a classic case of </w:t>
      </w:r>
      <w:r>
        <w:rPr>
          <w:rFonts w:cs="Times New Roman"/>
          <w:i/>
          <w:iCs/>
          <w:szCs w:val="24"/>
        </w:rPr>
        <w:t>institutional overdesign</w:t>
      </w:r>
      <w:r>
        <w:rPr>
          <w:rFonts w:cs="Times New Roman"/>
          <w:szCs w:val="24"/>
        </w:rPr>
        <w:t xml:space="preserve"> wherein the structural proliferation of rules and categories hinders rather than facilitates compliance. The revelation of extensive tax fraud, estimated at over ₹2.01 lakh crore in FY2023–24, exemplifies what Douglass North terms the “institutional gap”, a situation where formal rules exist but enforcement mechanisms remain weak or poorly aligned with technological and administrative capacities. The prevalence of fraudulent input tax credit (ITC) claims, ghost firms, and fake invoices points to the emergence of informal</w:t>
      </w:r>
      <w:r>
        <w:rPr>
          <w:rFonts w:cs="Times New Roman"/>
          <w:i/>
          <w:iCs/>
          <w:szCs w:val="24"/>
        </w:rPr>
        <w:t xml:space="preserve"> </w:t>
      </w:r>
      <w:r>
        <w:rPr>
          <w:rFonts w:cs="Times New Roman"/>
          <w:szCs w:val="24"/>
        </w:rPr>
        <w:t>opportunistic ecosystems that thrive on exploiting regulatory loopholes. This phenomenon aligns with theories of regulatory arbitrage, where economic agents respond rationally to poorly designed or weakly monitored institutions by maximizing illicit gains. Further complicating the matter is the role of technological architecture in institutional effectiveness. The GST Network, developed by Infosys, was intended to provide the digital backbone for tax collection and compliance. However, persistent glitches and administrative lapses underscore the concept of technological institutional failure, as articulated in the literature on digital governance. The contrast between the technological vision and its practical dysfunction highlights the critical importance of aligning institutional design with technological capabilities and accountability frameworks. Policy responses such as the introduction of biometric verification and data analytics represent incremental measures within the logic of “adaptive institutionalism,” wherein weak institutions attempt self-correction through marginal innovations. Yet, such efforts have largely been insufficient, as they fail to address the overarching structural flaw of systemic complexity. From the perspective of Amartya Sen’s capability approach, the GST in its current form does not expand but rather constrains the capabilities of traders, manufacturers, and enforcement agencies, limiting both economic freedom and institutional trust. For the GST to fulfil its transformative promise, it requires a reorientation through what Putnam terms institutional performance enhancement, the development of a streamlined, transparent, and resilient system underpinned by trust and accountability. Incorporating advanced enforcement mechanisms such as artificial intelligence and predictive analytics could strengthen monitoring capacity, but technological sophistication alone is not enough. What is needed is a holistic institutional reform that bridges the gap between formal rules, enforcement capacity, and stakeholder capabilities. Only through such theoretical alignment can the GST evolve into a genuinely unifying tax reform that strengthens rather than undermines India’s social and economic infrastructure.</w:t>
      </w:r>
      <w:sdt>
        <w:sdtPr>
          <w:rPr>
            <w:rFonts w:cs="Times New Roman"/>
            <w:szCs w:val="24"/>
          </w:rPr>
          <w:id w:val="-1218354125"/>
        </w:sdtPr>
        <w:sdtEndPr>
          <w:rPr>
            <w:rFonts w:cs="Times New Roman"/>
            <w:szCs w:val="24"/>
          </w:rPr>
        </w:sdtEndPr>
        <w:sdtContent>
          <w:r>
            <w:rPr>
              <w:rFonts w:cs="Times New Roman"/>
              <w:szCs w:val="24"/>
            </w:rPr>
            <w:fldChar w:fldCharType="begin"/>
          </w:r>
          <w:r>
            <w:rPr>
              <w:rFonts w:cs="Times New Roman"/>
              <w:szCs w:val="24"/>
            </w:rPr>
            <w:instrText xml:space="preserve">CITATION Kar24 \t  \l 16393 </w:instrText>
          </w:r>
          <w:r>
            <w:rPr>
              <w:rFonts w:cs="Times New Roman"/>
              <w:szCs w:val="24"/>
            </w:rPr>
            <w:fldChar w:fldCharType="separate"/>
          </w:r>
          <w:r>
            <w:rPr>
              <w:rFonts w:cs="Times New Roman"/>
              <w:szCs w:val="24"/>
            </w:rPr>
            <w:t xml:space="preserve"> (Sidhu, 2024)</w:t>
          </w:r>
          <w:r>
            <w:rPr>
              <w:rFonts w:cs="Times New Roman"/>
              <w:szCs w:val="24"/>
            </w:rPr>
            <w:fldChar w:fldCharType="end"/>
          </w:r>
          <w:r>
            <w:commentReference w:id="2"/>
          </w:r>
        </w:sdtContent>
      </w:sdt>
    </w:p>
    <w:p>
      <w:pPr>
        <w:spacing w:after="0" w:line="360" w:lineRule="auto"/>
        <w:jc w:val="both"/>
        <w:rPr>
          <w:rFonts w:cs="Times New Roman"/>
          <w:szCs w:val="24"/>
        </w:rPr>
      </w:pPr>
    </w:p>
    <w:p>
      <w:pPr>
        <w:spacing w:line="360" w:lineRule="auto"/>
        <w:ind w:firstLine="720"/>
        <w:jc w:val="both"/>
        <w:rPr>
          <w:rFonts w:cs="Times New Roman"/>
          <w:szCs w:val="24"/>
        </w:rPr>
      </w:pPr>
      <w:r>
        <w:rPr>
          <w:rFonts w:cs="Times New Roman"/>
          <w:szCs w:val="24"/>
        </w:rPr>
        <w:t>Key issues of GST 1.0 included the complexity caused by five different tax slabs (0 percent, 5 percent, 12 percent, 18 percent, and 28 percent), leading to frequent misclassification of goods and compliance difficulties, especially for MSMEs and retailers. Frequent changes in GST return formats, such as pauses in GSTR-2 and GSTR-3, introduction of the Invoice Management System (IMS), and hard-locking of auto-filled GSTR-3B, created further confusion and operational challenges for small businesses without expert support. Technical glitches on the GSTN portal, including slow loading, portal crashes during peak filing times, and login failures, resulted in missed filings and penalties. The Input Tax Credit (ITC) mechanism also posed barriers; buyers often faced credit denials if suppliers delayed or failed proper filings, adversely impacting working capital and fairness. Fiscal issues emerged as many States experienced delays in compensation from the Centre, fuelling concerns over fiscal autonomy and trust within the GST Council. SMEs encountered high compliance costs due to technological constraints and the frequent need to hire consultants, undermining GST’s goal of simplification. Judicial intervention played a crucial role in clarifying ambiguous provisions and mitigating problems caused by technical faults, such as granting relief for missed filings and interpreting key terms like "place of supply." However, delays in establishing the GST Appellate Tribunal resulted in a backlog exceeding 40,000 cases, prolonging dispute resolution related to ITC reversals, demand notices, and interest disputes. Courts have also protected taxpayers from losing input credits due to minor procedural errors. Despite its integrative aims, the problems in GST implementation persist, marked by technical, legal, and procedural hurdles that continue to hinder compliance. SMEs particularly bear the burden of costly and complex compliance processes, compounded by portal inefficiencies, frequent updates to return formats, and strict invoicing requirements. Late ITC claims further exacerbate financial losses for businesses. These ongoing challenges highlight the need for focused reforms to improve GST’s implementation and achieve its foundational goals of simplification, efficiency, and fairness in India’s taxation system.</w:t>
      </w:r>
      <w:sdt>
        <w:sdtPr>
          <w:rPr>
            <w:rFonts w:cs="Times New Roman"/>
            <w:szCs w:val="24"/>
          </w:rPr>
          <w:id w:val="-1298754661"/>
        </w:sdtPr>
        <w:sdtEndPr>
          <w:rPr>
            <w:rFonts w:cs="Times New Roman"/>
            <w:szCs w:val="24"/>
          </w:rPr>
        </w:sdtEndPr>
        <w:sdtContent>
          <w:r>
            <w:rPr>
              <w:rFonts w:cs="Times New Roman"/>
              <w:szCs w:val="24"/>
            </w:rPr>
            <w:fldChar w:fldCharType="begin"/>
          </w:r>
          <w:r>
            <w:rPr>
              <w:rFonts w:cs="Times New Roman"/>
              <w:szCs w:val="24"/>
            </w:rPr>
            <w:instrText xml:space="preserve"> CITATION Ann25 \l 16393 </w:instrText>
          </w:r>
          <w:r>
            <w:rPr>
              <w:rFonts w:cs="Times New Roman"/>
              <w:szCs w:val="24"/>
            </w:rPr>
            <w:fldChar w:fldCharType="separate"/>
          </w:r>
          <w:r>
            <w:rPr>
              <w:rFonts w:cs="Times New Roman"/>
              <w:szCs w:val="24"/>
            </w:rPr>
            <w:t xml:space="preserve"> (Annapoorna, 2025)</w:t>
          </w:r>
          <w:r>
            <w:rPr>
              <w:rFonts w:cs="Times New Roman"/>
              <w:szCs w:val="24"/>
            </w:rPr>
            <w:fldChar w:fldCharType="end"/>
          </w:r>
        </w:sdtContent>
      </w:sdt>
      <w:r>
        <w:rPr>
          <w:rFonts w:cs="Times New Roman"/>
          <w:szCs w:val="24"/>
        </w:rPr>
        <w:t>.</w:t>
      </w:r>
      <w:r>
        <w:commentReference w:id="3"/>
      </w:r>
    </w:p>
    <w:p>
      <w:pPr>
        <w:spacing w:line="360" w:lineRule="auto"/>
        <w:jc w:val="both"/>
        <w:rPr>
          <w:rFonts w:cs="Times New Roman"/>
          <w:szCs w:val="24"/>
        </w:rPr>
      </w:pPr>
      <w:r>
        <w:rPr>
          <w:rFonts w:cs="Times New Roman"/>
          <w:szCs w:val="24"/>
        </w:rPr>
        <w:t>This paper seeks to answer three queries: (1) Are there substantive changes from GST 1.0? (2) Do these reforms benefit the populace? (3) What improvements can elevate GST 2.0? Analysis uses government reports, revenue data, and sector-specific impacts, employing tables for comparisons and descriptive visualizations for distributional effects</w:t>
      </w:r>
    </w:p>
    <w:p>
      <w:pPr>
        <w:spacing w:line="360" w:lineRule="auto"/>
        <w:jc w:val="both"/>
        <w:rPr>
          <w:rFonts w:cs="Times New Roman"/>
          <w:b/>
          <w:bCs/>
          <w:szCs w:val="24"/>
        </w:rPr>
      </w:pPr>
      <w:r>
        <w:rPr>
          <w:rFonts w:cs="Times New Roman"/>
          <w:b/>
          <w:bCs/>
          <w:szCs w:val="24"/>
        </w:rPr>
        <w:t>Overview of GST 1.0</w:t>
      </w:r>
    </w:p>
    <w:p>
      <w:pPr>
        <w:spacing w:line="360" w:lineRule="auto"/>
        <w:jc w:val="both"/>
        <w:rPr>
          <w:rFonts w:cs="Times New Roman"/>
          <w:szCs w:val="24"/>
        </w:rPr>
      </w:pPr>
      <w:r>
        <w:rPr>
          <w:rFonts w:cs="Times New Roman"/>
          <w:szCs w:val="24"/>
        </w:rPr>
        <w:t>GST 1.0 introduced a unified value-added tax system replacing an array of indirect taxes. Its features and impacts can be summarized as follows. Key features included:</w:t>
      </w:r>
    </w:p>
    <w:p>
      <w:pPr>
        <w:pStyle w:val="35"/>
        <w:numPr>
          <w:ilvl w:val="0"/>
          <w:numId w:val="1"/>
        </w:numPr>
        <w:spacing w:line="360" w:lineRule="auto"/>
        <w:jc w:val="both"/>
        <w:rPr>
          <w:rFonts w:cs="Times New Roman"/>
          <w:szCs w:val="24"/>
        </w:rPr>
      </w:pPr>
      <w:r>
        <w:rPr>
          <w:rFonts w:cs="Times New Roman"/>
          <w:szCs w:val="24"/>
        </w:rPr>
        <w:t>Tax Slabs: Progressive rates ranging from 0% (unprocessed food) to 28% (luxury items), with cess on sin goods such as tobacco.</w:t>
      </w:r>
    </w:p>
    <w:p>
      <w:pPr>
        <w:pStyle w:val="35"/>
        <w:numPr>
          <w:ilvl w:val="0"/>
          <w:numId w:val="1"/>
        </w:numPr>
        <w:spacing w:line="360" w:lineRule="auto"/>
        <w:jc w:val="both"/>
        <w:rPr>
          <w:rFonts w:cs="Times New Roman"/>
          <w:szCs w:val="24"/>
        </w:rPr>
      </w:pPr>
      <w:r>
        <w:rPr>
          <w:rFonts w:cs="Times New Roman"/>
          <w:szCs w:val="24"/>
        </w:rPr>
        <w:t>Compliance Framework: Mandatory monthly or quarterly returns (GSTR-1, GSTR-3B), input tax credit reconciliation, and e-invoicing for large firms.</w:t>
      </w:r>
    </w:p>
    <w:p>
      <w:pPr>
        <w:pStyle w:val="35"/>
        <w:numPr>
          <w:ilvl w:val="0"/>
          <w:numId w:val="1"/>
        </w:numPr>
        <w:spacing w:line="360" w:lineRule="auto"/>
        <w:jc w:val="both"/>
        <w:rPr>
          <w:rFonts w:cs="Times New Roman"/>
          <w:szCs w:val="24"/>
        </w:rPr>
      </w:pPr>
      <w:r>
        <w:rPr>
          <w:rFonts w:cs="Times New Roman"/>
          <w:szCs w:val="24"/>
        </w:rPr>
        <w:t xml:space="preserve">Economic Outcomes: Monthly collections grew substantially from ₹82,000 crore in FY 2017-18 to an average ₹2.04 lakh crore by FY 2024-25 doubling revenue through formalization. </w:t>
      </w:r>
    </w:p>
    <w:p>
      <w:pPr>
        <w:spacing w:line="360" w:lineRule="auto"/>
        <w:ind w:left="360" w:firstLine="360"/>
        <w:jc w:val="both"/>
        <w:rPr>
          <w:rFonts w:cs="Times New Roman"/>
          <w:szCs w:val="24"/>
        </w:rPr>
      </w:pPr>
      <w:r>
        <w:rPr>
          <w:rFonts w:cs="Times New Roman"/>
          <w:szCs w:val="24"/>
        </w:rPr>
        <w:t>Recent macroeconomic analysis confirms that GST rate rationalisation, notably the transition to a two-slab system, provides an immediate, potent stimulus to consumption, reduces production costs, and alleviates inflationary pressures. Unlike cuts in income or corporate taxes, GST rate modifications directly influence demand via reduced prices at the point of purchase, thereby generating a stronger fiscal multiplier. Deloitte India economist Dr Rumki Majumdar said this move would be powerful in stimulating consumption. “The GST cuts have been targeted to boost the consumption of the poor and middle-income classes. Most of these goods are price-sensitive categories, such as essential items, small durables, personal care, and entry-level automobiles and two-wheelers. This would be more powerful in stimulating consumption than personal income tax or corporate tax cuts since the GST multiplier on elastic consumer goods is higher. This, along with tax exemptions announced earlier in the year and aggressive monetary policy, can boost GDP by over 90 bps,” she said.</w:t>
      </w:r>
      <w:sdt>
        <w:sdtPr>
          <w:rPr>
            <w:rFonts w:cs="Times New Roman"/>
            <w:szCs w:val="24"/>
          </w:rPr>
          <w:id w:val="-1036274368"/>
        </w:sdtPr>
        <w:sdtEndPr>
          <w:rPr>
            <w:rFonts w:cs="Times New Roman"/>
            <w:szCs w:val="24"/>
          </w:rPr>
        </w:sdtEndPr>
        <w:sdtContent>
          <w:r>
            <w:rPr>
              <w:rFonts w:cs="Times New Roman"/>
              <w:szCs w:val="24"/>
            </w:rPr>
            <w:fldChar w:fldCharType="begin"/>
          </w:r>
          <w:r>
            <w:rPr>
              <w:rFonts w:cs="Times New Roman"/>
              <w:szCs w:val="24"/>
            </w:rPr>
            <w:instrText xml:space="preserve"> CITATION Maj25 \l 16393 </w:instrText>
          </w:r>
          <w:r>
            <w:rPr>
              <w:rFonts w:cs="Times New Roman"/>
              <w:szCs w:val="24"/>
            </w:rPr>
            <w:fldChar w:fldCharType="separate"/>
          </w:r>
          <w:r>
            <w:rPr>
              <w:rFonts w:cs="Times New Roman"/>
              <w:szCs w:val="24"/>
            </w:rPr>
            <w:t xml:space="preserve"> (Majumdar, 2025)</w:t>
          </w:r>
          <w:r>
            <w:rPr>
              <w:rFonts w:cs="Times New Roman"/>
              <w:szCs w:val="24"/>
            </w:rPr>
            <w:fldChar w:fldCharType="end"/>
          </w:r>
        </w:sdtContent>
      </w:sdt>
      <w:r>
        <w:rPr>
          <w:rFonts w:cs="Times New Roman"/>
          <w:szCs w:val="24"/>
        </w:rPr>
        <w:t>;</w:t>
      </w:r>
      <w:sdt>
        <w:sdtPr>
          <w:rPr>
            <w:rFonts w:cs="Times New Roman"/>
            <w:szCs w:val="24"/>
          </w:rPr>
          <w:id w:val="1449433413"/>
        </w:sdtPr>
        <w:sdtEndPr>
          <w:rPr>
            <w:rFonts w:cs="Times New Roman"/>
            <w:szCs w:val="24"/>
          </w:rPr>
        </w:sdtEndPr>
        <w:sdtContent>
          <w:r>
            <w:rPr>
              <w:rFonts w:cs="Times New Roman"/>
              <w:szCs w:val="24"/>
            </w:rPr>
            <w:fldChar w:fldCharType="begin"/>
          </w:r>
          <w:r>
            <w:rPr>
              <w:rFonts w:cs="Times New Roman"/>
              <w:szCs w:val="24"/>
            </w:rPr>
            <w:instrText xml:space="preserve">CITATION Kot1 \l 16393 </w:instrText>
          </w:r>
          <w:r>
            <w:rPr>
              <w:rFonts w:cs="Times New Roman"/>
              <w:szCs w:val="24"/>
            </w:rPr>
            <w:fldChar w:fldCharType="separate"/>
          </w:r>
          <w:r>
            <w:rPr>
              <w:rFonts w:cs="Times New Roman"/>
              <w:szCs w:val="24"/>
            </w:rPr>
            <w:t xml:space="preserve"> (Kotak Mutual Fund, 2025)</w:t>
          </w:r>
          <w:r>
            <w:rPr>
              <w:rFonts w:cs="Times New Roman"/>
              <w:szCs w:val="24"/>
            </w:rPr>
            <w:fldChar w:fldCharType="end"/>
          </w:r>
        </w:sdtContent>
      </w:sdt>
      <w:r>
        <w:rPr>
          <w:rFonts w:cs="Times New Roman"/>
          <w:szCs w:val="24"/>
        </w:rPr>
        <w:t xml:space="preserve"> Empirical evidence from NIPFP’s studies shows GST rate cuts can yield fiscal multipliers of up to −1.08−1.08, greater than comparable tax measures.</w:t>
      </w:r>
      <w:sdt>
        <w:sdtPr>
          <w:rPr>
            <w:rFonts w:cs="Times New Roman"/>
            <w:szCs w:val="24"/>
          </w:rPr>
          <w:id w:val="235826203"/>
        </w:sdtPr>
        <w:sdtEndPr>
          <w:rPr>
            <w:rFonts w:cs="Times New Roman"/>
            <w:szCs w:val="24"/>
          </w:rPr>
        </w:sdtEndPr>
        <w:sdtContent>
          <w:r>
            <w:rPr>
              <w:rFonts w:cs="Times New Roman"/>
              <w:szCs w:val="24"/>
            </w:rPr>
            <w:fldChar w:fldCharType="begin"/>
          </w:r>
          <w:r>
            <w:rPr>
              <w:rFonts w:cs="Times New Roman"/>
              <w:szCs w:val="24"/>
            </w:rPr>
            <w:instrText xml:space="preserve"> CITATION Kot1 \l 16393 </w:instrText>
          </w:r>
          <w:r>
            <w:rPr>
              <w:rFonts w:cs="Times New Roman"/>
              <w:szCs w:val="24"/>
            </w:rPr>
            <w:fldChar w:fldCharType="separate"/>
          </w:r>
          <w:r>
            <w:rPr>
              <w:rFonts w:cs="Times New Roman"/>
              <w:szCs w:val="24"/>
            </w:rPr>
            <w:t xml:space="preserve"> (Kotak Mutual Fund, 2025)</w:t>
          </w:r>
          <w:r>
            <w:rPr>
              <w:rFonts w:cs="Times New Roman"/>
              <w:szCs w:val="24"/>
            </w:rPr>
            <w:fldChar w:fldCharType="end"/>
          </w:r>
        </w:sdtContent>
      </w:sdt>
    </w:p>
    <w:p>
      <w:pPr>
        <w:spacing w:line="360" w:lineRule="auto"/>
        <w:ind w:left="360" w:firstLine="360"/>
        <w:jc w:val="both"/>
        <w:rPr>
          <w:rFonts w:cs="Times New Roman"/>
          <w:szCs w:val="24"/>
        </w:rPr>
      </w:pPr>
      <w:r>
        <w:rPr>
          <w:rFonts w:cs="Times New Roman"/>
          <w:szCs w:val="24"/>
        </w:rPr>
        <w:t>Table 1 presents the trends in average monthly GST revenue collections in India from the fiscal year 2017-18, marking the launch of GST 1.0, through 2024-25, the year immediately preceding the implementation of GST 2.0. The data illustrates the progressive formalization of the Indian economy through sustained revenue growth, reflecting expanding compliance and broadening of the tax base over time. It also highlights the impact of external shocks such as the COVID-19 pandemic on tax receipts.</w:t>
      </w:r>
    </w:p>
    <w:p>
      <w:pPr>
        <w:spacing w:line="360" w:lineRule="auto"/>
        <w:ind w:left="360" w:firstLine="360"/>
        <w:jc w:val="both"/>
        <w:rPr>
          <w:rFonts w:cs="Times New Roman"/>
          <w:szCs w:val="24"/>
        </w:rPr>
      </w:pPr>
    </w:p>
    <w:p>
      <w:pPr>
        <w:spacing w:line="360" w:lineRule="auto"/>
        <w:ind w:left="360" w:firstLine="360"/>
        <w:jc w:val="both"/>
        <w:rPr>
          <w:rFonts w:cs="Times New Roman"/>
          <w:szCs w:val="24"/>
        </w:rPr>
      </w:pPr>
    </w:p>
    <w:p>
      <w:pPr>
        <w:spacing w:line="360" w:lineRule="auto"/>
        <w:ind w:left="360"/>
        <w:jc w:val="both"/>
        <w:rPr>
          <w:rFonts w:cs="Times New Roman"/>
          <w:b/>
          <w:bCs/>
          <w:szCs w:val="24"/>
        </w:rPr>
      </w:pPr>
      <w:r>
        <w:rPr>
          <w:rFonts w:cs="Times New Roman"/>
          <w:b/>
          <w:bCs/>
          <w:szCs w:val="24"/>
        </w:rPr>
        <w:t>Table 1: Trends in Average Monthly GST Revenue Collections in India, FY 2017-18 to FY 2024-25</w:t>
      </w:r>
    </w:p>
    <w:tbl>
      <w:tblPr>
        <w:tblStyle w:val="2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775"/>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b/>
                <w:bCs/>
                <w:spacing w:val="1"/>
                <w:kern w:val="0"/>
                <w:szCs w:val="24"/>
                <w:lang w:eastAsia="en-IN" w:bidi="hi-IN"/>
                <w14:ligatures w14:val="none"/>
              </w:rPr>
            </w:pPr>
            <w:r>
              <w:rPr>
                <w:rFonts w:eastAsia="Times New Roman" w:cs="Times New Roman"/>
                <w:b/>
                <w:bCs/>
                <w:spacing w:val="1"/>
                <w:kern w:val="0"/>
                <w:szCs w:val="24"/>
                <w:lang w:eastAsia="en-IN" w:bidi="hi-IN"/>
                <w14:ligatures w14:val="none"/>
              </w:rPr>
              <w:t>Fiscal Year</w:t>
            </w:r>
          </w:p>
        </w:tc>
        <w:tc>
          <w:tcPr>
            <w:tcW w:w="2775" w:type="dxa"/>
          </w:tcPr>
          <w:p>
            <w:pPr>
              <w:spacing w:after="0" w:line="240" w:lineRule="auto"/>
              <w:rPr>
                <w:rFonts w:eastAsia="Times New Roman" w:cs="Times New Roman"/>
                <w:b/>
                <w:bCs/>
                <w:spacing w:val="1"/>
                <w:kern w:val="0"/>
                <w:szCs w:val="24"/>
                <w:lang w:eastAsia="en-IN" w:bidi="hi-IN"/>
                <w14:ligatures w14:val="none"/>
              </w:rPr>
            </w:pPr>
            <w:r>
              <w:rPr>
                <w:rFonts w:eastAsia="Times New Roman" w:cs="Times New Roman"/>
                <w:b/>
                <w:bCs/>
                <w:spacing w:val="1"/>
                <w:kern w:val="0"/>
                <w:szCs w:val="24"/>
                <w:lang w:eastAsia="en-IN" w:bidi="hi-IN"/>
                <w14:ligatures w14:val="none"/>
              </w:rPr>
              <w:t>Average Monthly GST Collection (₹ Crore)</w:t>
            </w:r>
          </w:p>
        </w:tc>
        <w:tc>
          <w:tcPr>
            <w:tcW w:w="3776" w:type="dxa"/>
          </w:tcPr>
          <w:p>
            <w:pPr>
              <w:spacing w:after="0" w:line="240" w:lineRule="auto"/>
              <w:rPr>
                <w:rFonts w:eastAsia="Times New Roman" w:cs="Times New Roman"/>
                <w:b/>
                <w:bCs/>
                <w:spacing w:val="1"/>
                <w:kern w:val="0"/>
                <w:szCs w:val="24"/>
                <w:lang w:eastAsia="en-IN" w:bidi="hi-IN"/>
                <w14:ligatures w14:val="none"/>
              </w:rPr>
            </w:pPr>
            <w:r>
              <w:rPr>
                <w:rFonts w:eastAsia="Times New Roman" w:cs="Times New Roman"/>
                <w:b/>
                <w:bCs/>
                <w:spacing w:val="1"/>
                <w:kern w:val="0"/>
                <w:szCs w:val="24"/>
                <w:lang w:eastAsia="en-IN" w:bidi="hi-IN"/>
                <w14:ligatures w14:val="none"/>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FY 2017-18</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82,000</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Initial year after GST 1.0 launch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FY 2018-19</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95,000</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Growth due to expanding tax base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FY 2019-20</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1,10,000</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Increased compliance and formalization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FY 2020-21</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92,000</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Pandemic impact causing dip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FY 2021-22</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1,50,000</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Recovery post-pandemic and economic stimulus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FY 2022-23</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1,90,000</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Continued growth despite global pressures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FY 2023-24</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2,00,000</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Pre-GST 2.0 period, steady collections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FY 2024-25</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2,04,000</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Pre-GST 2.0, indicating stable tax revenues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Sept 2025 (GST 2.0 launch month)</w:t>
            </w:r>
          </w:p>
        </w:tc>
        <w:tc>
          <w:tcPr>
            <w:tcW w:w="2775"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Data not fully available; early indications suggest stable growth</w:t>
            </w:r>
          </w:p>
        </w:tc>
        <w:tc>
          <w:tcPr>
            <w:tcW w:w="3776" w:type="dxa"/>
          </w:tcPr>
          <w:p>
            <w:pPr>
              <w:spacing w:after="0" w:line="240" w:lineRule="auto"/>
              <w:rPr>
                <w:rFonts w:eastAsia="Times New Roman" w:cs="Times New Roman"/>
                <w:spacing w:val="1"/>
                <w:kern w:val="0"/>
                <w:szCs w:val="24"/>
                <w:lang w:eastAsia="en-IN" w:bidi="hi-IN"/>
                <w14:ligatures w14:val="none"/>
              </w:rPr>
            </w:pPr>
            <w:r>
              <w:rPr>
                <w:rFonts w:eastAsia="Times New Roman" w:cs="Times New Roman"/>
                <w:spacing w:val="1"/>
                <w:kern w:val="0"/>
                <w:szCs w:val="24"/>
                <w:lang w:eastAsia="en-IN" w:bidi="hi-IN"/>
                <w14:ligatures w14:val="none"/>
              </w:rPr>
              <w:t>GST 2.0 implemented Sep 22, 2025</w:t>
            </w:r>
          </w:p>
        </w:tc>
      </w:tr>
    </w:tbl>
    <w:p>
      <w:pPr>
        <w:spacing w:line="360" w:lineRule="auto"/>
        <w:ind w:left="360"/>
        <w:jc w:val="both"/>
        <w:rPr>
          <w:rFonts w:cs="Times New Roman"/>
          <w:szCs w:val="24"/>
        </w:rPr>
      </w:pPr>
      <w:r>
        <w:rPr>
          <w:rFonts w:cs="Times New Roman"/>
          <w:szCs w:val="24"/>
        </w:rPr>
        <w:t xml:space="preserve">Source: Adapted from </w:t>
      </w:r>
      <w:sdt>
        <w:sdtPr>
          <w:rPr>
            <w:rFonts w:cs="Times New Roman"/>
            <w:szCs w:val="24"/>
          </w:rPr>
          <w:id w:val="1623110838"/>
        </w:sdtPr>
        <w:sdtEndPr>
          <w:rPr>
            <w:rFonts w:cs="Times New Roman"/>
            <w:szCs w:val="24"/>
          </w:rPr>
        </w:sdtEndPr>
        <w:sdtContent>
          <w:r>
            <w:rPr>
              <w:rFonts w:cs="Times New Roman"/>
              <w:szCs w:val="24"/>
            </w:rPr>
            <w:fldChar w:fldCharType="begin"/>
          </w:r>
          <w:r>
            <w:rPr>
              <w:rFonts w:cs="Times New Roman"/>
              <w:szCs w:val="24"/>
            </w:rPr>
            <w:instrText xml:space="preserve"> CITATION PIB25 \l 16393 </w:instrText>
          </w:r>
          <w:r>
            <w:rPr>
              <w:rFonts w:cs="Times New Roman"/>
              <w:szCs w:val="24"/>
            </w:rPr>
            <w:fldChar w:fldCharType="separate"/>
          </w:r>
          <w:r>
            <w:rPr>
              <w:rFonts w:cs="Times New Roman"/>
              <w:szCs w:val="24"/>
            </w:rPr>
            <w:t>(PIB, 2025)</w:t>
          </w:r>
          <w:r>
            <w:rPr>
              <w:rFonts w:cs="Times New Roman"/>
              <w:szCs w:val="24"/>
            </w:rPr>
            <w:fldChar w:fldCharType="end"/>
          </w:r>
        </w:sdtContent>
      </w:sdt>
      <w:r>
        <w:rPr>
          <w:rFonts w:cs="Times New Roman"/>
          <w:szCs w:val="24"/>
        </w:rPr>
        <w:t>and government revenue data</w:t>
      </w:r>
    </w:p>
    <w:p>
      <w:pPr>
        <w:spacing w:line="360" w:lineRule="auto"/>
        <w:ind w:left="360"/>
        <w:jc w:val="both"/>
        <w:rPr>
          <w:rFonts w:cs="Times New Roman"/>
          <w:szCs w:val="24"/>
        </w:rPr>
      </w:pPr>
      <w:r>
        <w:rPr>
          <w:rFonts w:cs="Times New Roman"/>
          <w:szCs w:val="24"/>
        </w:rPr>
        <w:tab/>
      </w:r>
      <w:r>
        <w:rPr>
          <w:rFonts w:cs="Times New Roman"/>
          <w:szCs w:val="24"/>
        </w:rPr>
        <w:t>As reflected in Table 1, the average monthly GST collection has nearly doubled from ₹82,000 crore in the inaugural year of GST 1.0 to approximately ₹2.04 lakh crore by FY 2024-25. This upward trajectory underscores the dual effects of enhanced taxpayer compliance and increased formal economic activity facilitated by the GST regime. Notably, the dip observed in FY 2020-21 aligns with the economic disruptions caused by the COVID-19 pandemic, followed by a strong rebound indicative of effective fiscal and policy measures. While the data for the launch period of GST 2.0 in September 2025 remains preliminary, early indicators suggest continued stability and positive momentum in revenue collections. This growth trajectory provides a quantitative foundation supporting the narrative of GST’s role in strengthening India’s indirect tax framework prior to the simplifications introduced under GST 2.0.</w:t>
      </w:r>
    </w:p>
    <w:p>
      <w:pPr>
        <w:spacing w:line="360" w:lineRule="auto"/>
        <w:ind w:left="360" w:firstLine="360"/>
        <w:jc w:val="both"/>
        <w:rPr>
          <w:rFonts w:cs="Times New Roman"/>
          <w:szCs w:val="24"/>
        </w:rPr>
      </w:pPr>
      <w:r>
        <w:rPr>
          <w:rFonts w:cs="Times New Roman"/>
          <w:szCs w:val="24"/>
        </w:rPr>
        <w:t>However, frequent rate changes (over 200 by 2023) increased compliance costs, especially for MSMEs, and inverted duty structures trapped approximately ₹50,000 crore in blocked tax credits annually.</w:t>
      </w:r>
      <w:r>
        <w:rPr>
          <w:rFonts w:cs="Times New Roman"/>
          <w:spacing w:val="1"/>
          <w:szCs w:val="24"/>
        </w:rPr>
        <w:t xml:space="preserve"> </w:t>
      </w:r>
      <w:r>
        <w:rPr>
          <w:rFonts w:cs="Times New Roman"/>
          <w:szCs w:val="24"/>
        </w:rPr>
        <w:t xml:space="preserve">Despite significant revenue growth driven by formalization, complexities arising from over 200 rate changes increased compliance burdens, especially for MSMEs, and resulted in substantial blocked input credits, undermining efficiency  </w:t>
      </w:r>
      <w:sdt>
        <w:sdtPr>
          <w:rPr>
            <w:rFonts w:cs="Times New Roman"/>
            <w:szCs w:val="24"/>
          </w:rPr>
          <w:id w:val="154262666"/>
        </w:sdtPr>
        <w:sdtEndPr>
          <w:rPr>
            <w:rFonts w:cs="Times New Roman"/>
            <w:szCs w:val="24"/>
          </w:rPr>
        </w:sdtEndPr>
        <w:sdtContent>
          <w:r>
            <w:rPr>
              <w:rFonts w:cs="Times New Roman"/>
              <w:szCs w:val="24"/>
            </w:rPr>
            <w:fldChar w:fldCharType="begin"/>
          </w:r>
          <w:r>
            <w:rPr>
              <w:rFonts w:cs="Times New Roman"/>
              <w:szCs w:val="24"/>
            </w:rPr>
            <w:instrText xml:space="preserve"> CITATION PIB25 \l 16393 </w:instrText>
          </w:r>
          <w:r>
            <w:rPr>
              <w:rFonts w:cs="Times New Roman"/>
              <w:szCs w:val="24"/>
            </w:rPr>
            <w:fldChar w:fldCharType="separate"/>
          </w:r>
          <w:r>
            <w:rPr>
              <w:rFonts w:cs="Times New Roman"/>
              <w:szCs w:val="24"/>
            </w:rPr>
            <w:t>(PIB, 2025)</w:t>
          </w:r>
          <w:r>
            <w:rPr>
              <w:rFonts w:cs="Times New Roman"/>
              <w:szCs w:val="24"/>
            </w:rPr>
            <w:fldChar w:fldCharType="end"/>
          </w:r>
        </w:sdtContent>
      </w:sdt>
      <w:r>
        <w:rPr>
          <w:rFonts w:cs="Times New Roman"/>
          <w:szCs w:val="24"/>
        </w:rPr>
        <w:t>.</w:t>
      </w:r>
    </w:p>
    <w:p>
      <w:pPr>
        <w:spacing w:line="360" w:lineRule="auto"/>
        <w:ind w:left="360" w:firstLine="360"/>
        <w:jc w:val="both"/>
        <w:rPr>
          <w:rFonts w:cs="Times New Roman"/>
          <w:szCs w:val="24"/>
        </w:rPr>
      </w:pPr>
      <w:r>
        <w:rPr>
          <w:rFonts w:cs="Times New Roman"/>
          <w:szCs w:val="24"/>
        </w:rPr>
        <w:t>District-level MSME clusters in agro-processing, packaging, and cold chains need plug-and-play infrastructure, reliable utilities, and clearances that actually clear. Micro-enterprises need working-capital lines delivered through banks and NBFCs that lend on invoices, not just collateral. Training must be short, employer-led, and end in a pay-slip, not a certificate. Safe transport and childcare infrastructure must allow women to accept jobs suited to their skills and schedules. Procurement processes must be friendlier to small firms, with shorter payment cycles, digital contracting, and smaller lot sizes.</w:t>
      </w:r>
      <w:sdt>
        <w:sdtPr>
          <w:rPr>
            <w:rFonts w:cs="Times New Roman"/>
            <w:szCs w:val="24"/>
          </w:rPr>
          <w:id w:val="140934108"/>
        </w:sdtPr>
        <w:sdtEndPr>
          <w:rPr>
            <w:rFonts w:cs="Times New Roman"/>
            <w:szCs w:val="24"/>
          </w:rPr>
        </w:sdtEndPr>
        <w:sdtContent>
          <w:r>
            <w:rPr>
              <w:rFonts w:cs="Times New Roman"/>
              <w:szCs w:val="24"/>
            </w:rPr>
            <w:fldChar w:fldCharType="begin"/>
          </w:r>
          <w:r>
            <w:rPr>
              <w:rFonts w:cs="Times New Roman"/>
              <w:szCs w:val="24"/>
            </w:rPr>
            <w:instrText xml:space="preserve"> CITATION Sid25 \l 16393 </w:instrText>
          </w:r>
          <w:r>
            <w:rPr>
              <w:rFonts w:cs="Times New Roman"/>
              <w:szCs w:val="24"/>
            </w:rPr>
            <w:fldChar w:fldCharType="separate"/>
          </w:r>
          <w:r>
            <w:rPr>
              <w:rFonts w:cs="Times New Roman"/>
              <w:szCs w:val="24"/>
            </w:rPr>
            <w:t xml:space="preserve"> (Sidhu, 2025)</w:t>
          </w:r>
          <w:r>
            <w:rPr>
              <w:rFonts w:cs="Times New Roman"/>
              <w:szCs w:val="24"/>
            </w:rPr>
            <w:fldChar w:fldCharType="end"/>
          </w:r>
        </w:sdtContent>
      </w:sdt>
    </w:p>
    <w:p>
      <w:pPr>
        <w:spacing w:line="360" w:lineRule="auto"/>
        <w:ind w:left="360" w:firstLine="360"/>
        <w:jc w:val="both"/>
        <w:rPr>
          <w:rFonts w:cs="Times New Roman"/>
          <w:szCs w:val="24"/>
        </w:rPr>
      </w:pPr>
      <w:r>
        <w:rPr>
          <w:rFonts w:cs="Times New Roman"/>
          <w:szCs w:val="24"/>
        </w:rPr>
        <w:t>Cross-country comparative studies demonstrate that GST reforms, when managed effectively, can boost specialization and formalization across sectors, improve resource allocation, enhance investment in physical and human capital, and stabilize tax revenue against macro shocks. The paper on applied a dynamic CGE model calibrated to micro-consistent input–output data of the Indian economy to examine the impacts of the GST on resource allocation, income growth, employment, and income redistribution. The reforms enhanced specialization across production sectors by reducing distortions in the production and distribution of goods and services. The transparency introduced into the tax system sustained output, investment, and capital growth above seven percent, while also facilitating the expansion of human capital and the financial system. Complementary measures, such as demonetization and digitization of transactions, strengthened infrastructure development, including electrification, transport networks, and communication systems. By expanding opportunities in education, training, and health services, continuous reforms in direct and indirect taxes contributed to higher income and employment growth, alongside a more equitable distribution of income.</w:t>
      </w:r>
      <w:sdt>
        <w:sdtPr>
          <w:rPr>
            <w:rFonts w:cs="Times New Roman"/>
            <w:szCs w:val="24"/>
          </w:rPr>
          <w:id w:val="870567333"/>
        </w:sdtPr>
        <w:sdtEndPr>
          <w:rPr>
            <w:rFonts w:cs="Times New Roman"/>
            <w:szCs w:val="24"/>
          </w:rPr>
        </w:sdtEndPr>
        <w:sdtContent>
          <w:r>
            <w:rPr>
              <w:rFonts w:cs="Times New Roman"/>
              <w:szCs w:val="24"/>
            </w:rPr>
            <w:fldChar w:fldCharType="begin"/>
          </w:r>
          <w:r>
            <w:rPr>
              <w:rFonts w:cs="Times New Roman"/>
              <w:szCs w:val="24"/>
            </w:rPr>
            <w:instrText xml:space="preserve"> CITATION Bha21 \l 16393 </w:instrText>
          </w:r>
          <w:r>
            <w:rPr>
              <w:rFonts w:cs="Times New Roman"/>
              <w:szCs w:val="24"/>
            </w:rPr>
            <w:fldChar w:fldCharType="separate"/>
          </w:r>
          <w:r>
            <w:rPr>
              <w:rFonts w:cs="Times New Roman"/>
              <w:szCs w:val="24"/>
            </w:rPr>
            <w:t xml:space="preserve"> (Bhattarai, 2021)</w:t>
          </w:r>
          <w:r>
            <w:rPr>
              <w:rFonts w:cs="Times New Roman"/>
              <w:szCs w:val="24"/>
            </w:rPr>
            <w:fldChar w:fldCharType="end"/>
          </w:r>
        </w:sdtContent>
      </w:sdt>
      <w:r>
        <w:rPr>
          <w:rFonts w:cs="Times New Roman"/>
          <w:szCs w:val="24"/>
        </w:rPr>
        <w:t xml:space="preserve">, </w:t>
      </w:r>
      <w:sdt>
        <w:sdtPr>
          <w:rPr>
            <w:rFonts w:cs="Times New Roman"/>
            <w:szCs w:val="24"/>
          </w:rPr>
          <w:id w:val="1021055101"/>
        </w:sdtPr>
        <w:sdtEndPr>
          <w:rPr>
            <w:rFonts w:cs="Times New Roman"/>
            <w:szCs w:val="24"/>
          </w:rPr>
        </w:sdtEndPr>
        <w:sdtContent>
          <w:r>
            <w:rPr>
              <w:rFonts w:cs="Times New Roman"/>
              <w:szCs w:val="24"/>
            </w:rPr>
            <w:fldChar w:fldCharType="begin"/>
          </w:r>
          <w:r>
            <w:rPr>
              <w:rFonts w:cs="Times New Roman"/>
              <w:szCs w:val="24"/>
            </w:rPr>
            <w:instrText xml:space="preserve"> CITATION Sur24 \l 16393 </w:instrText>
          </w:r>
          <w:r>
            <w:rPr>
              <w:rFonts w:cs="Times New Roman"/>
              <w:szCs w:val="24"/>
            </w:rPr>
            <w:fldChar w:fldCharType="separate"/>
          </w:r>
          <w:r>
            <w:rPr>
              <w:rFonts w:cs="Times New Roman"/>
              <w:szCs w:val="24"/>
            </w:rPr>
            <w:t>(Sureka &amp; Bordoloi, 2024)</w:t>
          </w:r>
          <w:r>
            <w:rPr>
              <w:rFonts w:cs="Times New Roman"/>
              <w:szCs w:val="24"/>
            </w:rPr>
            <w:fldChar w:fldCharType="end"/>
          </w:r>
        </w:sdtContent>
      </w:sdt>
      <w:r>
        <w:rPr>
          <w:rFonts w:cs="Times New Roman"/>
          <w:szCs w:val="24"/>
        </w:rPr>
        <w:t>. Nevertheless, sectoral analysis for MSMEs in India reveals persistent compliance and transitional difficulties, particularly relating to Input Tax Credit standardization, technological readiness, and the complexity of return filing. These transition costs, unless mitigated by targeted policy support, risk diluting the long-run benefits of GST reforms.</w:t>
      </w:r>
      <w:r>
        <w:t xml:space="preserve"> </w:t>
      </w:r>
      <w:r>
        <w:rPr>
          <w:rFonts w:cs="Times New Roman"/>
          <w:szCs w:val="24"/>
        </w:rPr>
        <w:t>The subjective examination of interviews reveals the difficulties and potential loopholes experienced by organizations in exploring the intricacies of the GST regime.</w:t>
      </w:r>
      <w:sdt>
        <w:sdtPr>
          <w:rPr>
            <w:rFonts w:cs="Times New Roman"/>
            <w:szCs w:val="24"/>
          </w:rPr>
          <w:id w:val="-451786690"/>
        </w:sdtPr>
        <w:sdtEndPr>
          <w:rPr>
            <w:rFonts w:cs="Times New Roman"/>
            <w:szCs w:val="24"/>
          </w:rPr>
        </w:sdtEndPr>
        <w:sdtContent>
          <w:r>
            <w:rPr>
              <w:rFonts w:cs="Times New Roman"/>
              <w:szCs w:val="24"/>
            </w:rPr>
            <w:fldChar w:fldCharType="begin"/>
          </w:r>
          <w:r>
            <w:rPr>
              <w:rFonts w:cs="Times New Roman"/>
              <w:szCs w:val="24"/>
            </w:rPr>
            <w:instrText xml:space="preserve"> CITATION Sur24 \l 16393 </w:instrText>
          </w:r>
          <w:r>
            <w:rPr>
              <w:rFonts w:cs="Times New Roman"/>
              <w:szCs w:val="24"/>
            </w:rPr>
            <w:fldChar w:fldCharType="separate"/>
          </w:r>
          <w:r>
            <w:rPr>
              <w:rFonts w:cs="Times New Roman"/>
              <w:szCs w:val="24"/>
            </w:rPr>
            <w:t xml:space="preserve"> (Sureka &amp; Bordoloi, 2024)</w:t>
          </w:r>
          <w:r>
            <w:rPr>
              <w:rFonts w:cs="Times New Roman"/>
              <w:szCs w:val="24"/>
            </w:rPr>
            <w:fldChar w:fldCharType="end"/>
          </w:r>
          <w:r>
            <w:commentReference w:id="4"/>
          </w:r>
        </w:sdtContent>
      </w:sdt>
    </w:p>
    <w:p>
      <w:pPr>
        <w:spacing w:line="360" w:lineRule="auto"/>
        <w:ind w:left="360" w:firstLine="360"/>
        <w:jc w:val="both"/>
        <w:rPr>
          <w:rFonts w:cs="Times New Roman"/>
          <w:szCs w:val="24"/>
        </w:rPr>
      </w:pPr>
    </w:p>
    <w:p>
      <w:pPr>
        <w:spacing w:line="360" w:lineRule="auto"/>
        <w:ind w:left="360" w:firstLine="360"/>
        <w:jc w:val="both"/>
        <w:rPr>
          <w:rFonts w:cs="Times New Roman"/>
          <w:szCs w:val="24"/>
        </w:rPr>
      </w:pPr>
    </w:p>
    <w:p>
      <w:pPr>
        <w:spacing w:line="360" w:lineRule="auto"/>
        <w:ind w:left="360"/>
        <w:jc w:val="both"/>
        <w:rPr>
          <w:rFonts w:cs="Times New Roman"/>
          <w:b/>
          <w:bCs/>
          <w:szCs w:val="24"/>
        </w:rPr>
      </w:pPr>
      <w:r>
        <w:rPr>
          <w:rFonts w:cs="Times New Roman"/>
          <w:b/>
          <w:bCs/>
          <w:szCs w:val="24"/>
        </w:rPr>
        <w:t>Key Features of GST 2.0</w:t>
      </w:r>
    </w:p>
    <w:p>
      <w:pPr>
        <w:spacing w:line="360" w:lineRule="auto"/>
        <w:ind w:left="360"/>
        <w:jc w:val="both"/>
        <w:rPr>
          <w:rFonts w:cs="Times New Roman"/>
          <w:szCs w:val="24"/>
        </w:rPr>
      </w:pPr>
      <w:r>
        <w:rPr>
          <w:rFonts w:cs="Times New Roman"/>
          <w:szCs w:val="24"/>
        </w:rPr>
        <w:t>GST 2.0 tackles prior deficiencies by streamlining tax slabs, reducing rates on essential items, and enhancing compliance mechanisms. Key reforms include:</w:t>
      </w:r>
    </w:p>
    <w:p>
      <w:pPr>
        <w:numPr>
          <w:ilvl w:val="0"/>
          <w:numId w:val="2"/>
        </w:numPr>
        <w:spacing w:line="360" w:lineRule="auto"/>
        <w:jc w:val="both"/>
        <w:rPr>
          <w:rFonts w:cs="Times New Roman"/>
          <w:szCs w:val="24"/>
        </w:rPr>
      </w:pPr>
      <w:r>
        <w:rPr>
          <w:rFonts w:cs="Times New Roman"/>
          <w:szCs w:val="24"/>
        </w:rPr>
        <w:t>Simplified Tax Slabs: Reduction to two primary rates, 5% for essentials and 18% for standard goods, eliminating the 12% and 28% slabs. Sin and luxury goods, including high-end cars and tobacco products, are now taxed at 40%</w:t>
      </w:r>
      <w:sdt>
        <w:sdtPr>
          <w:rPr>
            <w:rFonts w:cs="Times New Roman"/>
            <w:szCs w:val="24"/>
          </w:rPr>
          <w:id w:val="-1918617952"/>
        </w:sdtPr>
        <w:sdtEndPr>
          <w:rPr>
            <w:rFonts w:cs="Times New Roman"/>
            <w:szCs w:val="24"/>
          </w:rPr>
        </w:sdtEndPr>
        <w:sdtContent>
          <w:r>
            <w:rPr>
              <w:rFonts w:cs="Times New Roman"/>
              <w:szCs w:val="24"/>
            </w:rPr>
            <w:fldChar w:fldCharType="begin"/>
          </w:r>
          <w:r>
            <w:rPr>
              <w:rFonts w:cs="Times New Roman"/>
              <w:szCs w:val="24"/>
            </w:rPr>
            <w:instrText xml:space="preserve">CITATION CRE \l 16393 </w:instrText>
          </w:r>
          <w:r>
            <w:rPr>
              <w:rFonts w:cs="Times New Roman"/>
              <w:szCs w:val="24"/>
            </w:rPr>
            <w:fldChar w:fldCharType="separate"/>
          </w:r>
          <w:r>
            <w:rPr>
              <w:rFonts w:cs="Times New Roman"/>
              <w:szCs w:val="24"/>
            </w:rPr>
            <w:t xml:space="preserve"> (CREDIT CARES, 2025)</w:t>
          </w:r>
          <w:r>
            <w:rPr>
              <w:rFonts w:cs="Times New Roman"/>
              <w:szCs w:val="24"/>
            </w:rPr>
            <w:fldChar w:fldCharType="end"/>
          </w:r>
        </w:sdtContent>
      </w:sdt>
    </w:p>
    <w:p>
      <w:pPr>
        <w:pStyle w:val="17"/>
        <w:numPr>
          <w:ilvl w:val="0"/>
          <w:numId w:val="2"/>
        </w:numPr>
        <w:spacing w:line="360" w:lineRule="auto"/>
        <w:jc w:val="both"/>
      </w:pPr>
      <w:r>
        <w:rPr>
          <w:b/>
          <w:bCs/>
        </w:rPr>
        <w:t>Rate Reductions: </w:t>
      </w:r>
      <w:r>
        <w:t>Over 375 items have been reclassified with reduced rates, including zero-rating of life-saving drugs and exemptions for all individual life and health insurance premiums.</w:t>
      </w:r>
      <w:sdt>
        <w:sdtPr>
          <w:id w:val="-1056393829"/>
        </w:sdtPr>
        <w:sdtContent>
          <w:r>
            <w:fldChar w:fldCharType="begin"/>
          </w:r>
          <w:r>
            <w:instrText xml:space="preserve"> CITATION TOI251 \l 16393 </w:instrText>
          </w:r>
          <w:r>
            <w:fldChar w:fldCharType="separate"/>
          </w:r>
          <w:r>
            <w:t xml:space="preserve"> (TOI Business Desk, 2025)</w:t>
          </w:r>
          <w:r>
            <w:fldChar w:fldCharType="end"/>
          </w:r>
        </w:sdtContent>
      </w:sdt>
    </w:p>
    <w:p>
      <w:pPr>
        <w:pStyle w:val="35"/>
        <w:numPr>
          <w:ilvl w:val="0"/>
          <w:numId w:val="2"/>
        </w:numPr>
        <w:spacing w:before="100" w:beforeAutospacing="1" w:after="100" w:afterAutospacing="1" w:line="360" w:lineRule="auto"/>
        <w:jc w:val="both"/>
        <w:rPr>
          <w:rFonts w:eastAsia="Times New Roman" w:cs="Times New Roman"/>
          <w:kern w:val="0"/>
          <w:szCs w:val="24"/>
          <w:lang w:eastAsia="en-IN" w:bidi="hi-IN"/>
          <w14:ligatures w14:val="none"/>
        </w:rPr>
      </w:pPr>
      <w:r>
        <w:rPr>
          <w:rFonts w:eastAsia="Times New Roman" w:cs="Times New Roman"/>
          <w:b/>
          <w:bCs/>
          <w:kern w:val="0"/>
          <w:szCs w:val="24"/>
          <w:lang w:eastAsia="en-IN" w:bidi="hi-IN"/>
          <w14:ligatures w14:val="none"/>
        </w:rPr>
        <w:t>Compliance Enhancements: </w:t>
      </w:r>
      <w:r>
        <w:rPr>
          <w:rFonts w:eastAsia="Times New Roman" w:cs="Times New Roman"/>
          <w:kern w:val="0"/>
          <w:szCs w:val="24"/>
          <w:lang w:eastAsia="en-IN" w:bidi="hi-IN"/>
          <w14:ligatures w14:val="none"/>
        </w:rPr>
        <w:t>Implementation of automated refunds for exporters, streamlined registration and return processes, and reduced litigation due to fewer disputes.</w:t>
      </w:r>
      <w:sdt>
        <w:sdtPr>
          <w:rPr>
            <w:rFonts w:eastAsia="Times New Roman" w:cs="Times New Roman"/>
            <w:kern w:val="0"/>
            <w:szCs w:val="24"/>
            <w:lang w:eastAsia="en-IN" w:bidi="hi-IN"/>
            <w14:ligatures w14:val="none"/>
          </w:rPr>
          <w:id w:val="426624809"/>
        </w:sdtPr>
        <w:sdtEndPr>
          <w:rPr>
            <w:rFonts w:eastAsia="Times New Roman" w:cs="Times New Roman"/>
            <w:kern w:val="0"/>
            <w:szCs w:val="24"/>
            <w:lang w:eastAsia="en-IN" w:bidi="hi-IN"/>
            <w14:ligatures w14:val="none"/>
          </w:rPr>
        </w:sdtEndPr>
        <w:sdtContent>
          <w:r>
            <w:rPr>
              <w:rFonts w:eastAsia="Times New Roman" w:cs="Times New Roman"/>
              <w:kern w:val="0"/>
              <w:szCs w:val="24"/>
              <w:lang w:eastAsia="en-IN" w:bidi="hi-IN"/>
              <w14:ligatures w14:val="none"/>
            </w:rPr>
            <w:fldChar w:fldCharType="begin"/>
          </w:r>
          <w:r>
            <w:rPr>
              <w:rFonts w:eastAsia="Times New Roman" w:cs="Times New Roman"/>
              <w:kern w:val="0"/>
              <w:szCs w:val="24"/>
              <w:lang w:eastAsia="en-IN" w:bidi="hi-IN"/>
              <w14:ligatures w14:val="none"/>
            </w:rPr>
            <w:instrText xml:space="preserve"> CITATION Mag25 \l 16393 </w:instrText>
          </w:r>
          <w:r>
            <w:rPr>
              <w:rFonts w:eastAsia="Times New Roman" w:cs="Times New Roman"/>
              <w:kern w:val="0"/>
              <w:szCs w:val="24"/>
              <w:lang w:eastAsia="en-IN" w:bidi="hi-IN"/>
              <w14:ligatures w14:val="none"/>
            </w:rPr>
            <w:fldChar w:fldCharType="separate"/>
          </w:r>
          <w:r>
            <w:rPr>
              <w:rFonts w:eastAsia="Times New Roman" w:cs="Times New Roman"/>
              <w:kern w:val="0"/>
              <w:szCs w:val="24"/>
              <w:lang w:eastAsia="en-IN" w:bidi="hi-IN"/>
              <w14:ligatures w14:val="none"/>
            </w:rPr>
            <w:t xml:space="preserve"> (Magazine, 2025)</w:t>
          </w:r>
          <w:r>
            <w:rPr>
              <w:rFonts w:eastAsia="Times New Roman" w:cs="Times New Roman"/>
              <w:kern w:val="0"/>
              <w:szCs w:val="24"/>
              <w:lang w:eastAsia="en-IN" w:bidi="hi-IN"/>
              <w14:ligatures w14:val="none"/>
            </w:rPr>
            <w:fldChar w:fldCharType="end"/>
          </w:r>
        </w:sdtContent>
      </w:sdt>
    </w:p>
    <w:p>
      <w:pPr>
        <w:numPr>
          <w:ilvl w:val="0"/>
          <w:numId w:val="2"/>
        </w:numPr>
        <w:spacing w:before="100" w:beforeAutospacing="1" w:after="100" w:afterAutospacing="1" w:line="360" w:lineRule="auto"/>
        <w:jc w:val="both"/>
        <w:rPr>
          <w:rFonts w:eastAsia="Times New Roman" w:cs="Times New Roman"/>
          <w:kern w:val="0"/>
          <w:szCs w:val="24"/>
          <w:lang w:eastAsia="en-IN" w:bidi="hi-IN"/>
          <w14:ligatures w14:val="none"/>
        </w:rPr>
      </w:pPr>
      <w:r>
        <w:rPr>
          <w:rFonts w:eastAsia="Times New Roman" w:cs="Times New Roman"/>
          <w:b/>
          <w:bCs/>
          <w:kern w:val="0"/>
          <w:szCs w:val="24"/>
          <w:lang w:eastAsia="en-IN" w:bidi="hi-IN"/>
          <w14:ligatures w14:val="none"/>
        </w:rPr>
        <w:t>Sectoral Focus: </w:t>
      </w:r>
      <w:r>
        <w:rPr>
          <w:rFonts w:eastAsia="Times New Roman" w:cs="Times New Roman"/>
          <w:kern w:val="0"/>
          <w:szCs w:val="24"/>
          <w:lang w:eastAsia="en-IN" w:bidi="hi-IN"/>
          <w14:ligatures w14:val="none"/>
        </w:rPr>
        <w:t>Targeted input cost reductions benefit MSMEs, agriculture, and export sectors.</w:t>
      </w:r>
      <w:sdt>
        <w:sdtPr>
          <w:rPr>
            <w:rFonts w:eastAsia="Times New Roman" w:cs="Times New Roman"/>
            <w:kern w:val="0"/>
            <w:szCs w:val="24"/>
            <w:lang w:eastAsia="en-IN" w:bidi="hi-IN"/>
            <w14:ligatures w14:val="none"/>
          </w:rPr>
          <w:id w:val="1870489740"/>
        </w:sdtPr>
        <w:sdtEndPr>
          <w:rPr>
            <w:rFonts w:eastAsia="Times New Roman" w:cs="Times New Roman"/>
            <w:kern w:val="0"/>
            <w:szCs w:val="24"/>
            <w:lang w:eastAsia="en-IN" w:bidi="hi-IN"/>
            <w14:ligatures w14:val="none"/>
          </w:rPr>
        </w:sdtEndPr>
        <w:sdtContent>
          <w:r>
            <w:rPr>
              <w:rFonts w:eastAsia="Times New Roman" w:cs="Times New Roman"/>
              <w:kern w:val="0"/>
              <w:szCs w:val="24"/>
              <w:lang w:eastAsia="en-IN" w:bidi="hi-IN"/>
              <w14:ligatures w14:val="none"/>
            </w:rPr>
            <w:fldChar w:fldCharType="begin"/>
          </w:r>
          <w:r>
            <w:rPr>
              <w:rFonts w:eastAsia="Times New Roman" w:cs="Times New Roman"/>
              <w:kern w:val="0"/>
              <w:szCs w:val="24"/>
              <w:lang w:eastAsia="en-IN" w:bidi="hi-IN"/>
              <w14:ligatures w14:val="none"/>
            </w:rPr>
            <w:instrText xml:space="preserve"> CITATION HTN25 \l 16393 </w:instrText>
          </w:r>
          <w:r>
            <w:rPr>
              <w:rFonts w:eastAsia="Times New Roman" w:cs="Times New Roman"/>
              <w:kern w:val="0"/>
              <w:szCs w:val="24"/>
              <w:lang w:eastAsia="en-IN" w:bidi="hi-IN"/>
              <w14:ligatures w14:val="none"/>
            </w:rPr>
            <w:fldChar w:fldCharType="separate"/>
          </w:r>
          <w:r>
            <w:rPr>
              <w:rFonts w:eastAsia="Times New Roman" w:cs="Times New Roman"/>
              <w:kern w:val="0"/>
              <w:szCs w:val="24"/>
              <w:lang w:eastAsia="en-IN" w:bidi="hi-IN"/>
              <w14:ligatures w14:val="none"/>
            </w:rPr>
            <w:t xml:space="preserve"> (HT News Desk, 2025)</w:t>
          </w:r>
          <w:r>
            <w:rPr>
              <w:rFonts w:eastAsia="Times New Roman" w:cs="Times New Roman"/>
              <w:kern w:val="0"/>
              <w:szCs w:val="24"/>
              <w:lang w:eastAsia="en-IN" w:bidi="hi-IN"/>
              <w14:ligatures w14:val="none"/>
            </w:rPr>
            <w:fldChar w:fldCharType="end"/>
          </w:r>
        </w:sdtContent>
      </w:sdt>
    </w:p>
    <w:p>
      <w:pPr>
        <w:spacing w:before="100" w:beforeAutospacing="1" w:after="100" w:afterAutospacing="1" w:line="360" w:lineRule="auto"/>
        <w:ind w:firstLine="720"/>
        <w:jc w:val="both"/>
        <w:rPr>
          <w:rFonts w:eastAsia="Times New Roman" w:cs="Times New Roman"/>
          <w:kern w:val="0"/>
          <w:szCs w:val="24"/>
          <w:lang w:eastAsia="en-IN" w:bidi="hi-IN"/>
          <w14:ligatures w14:val="none"/>
        </w:rPr>
      </w:pPr>
      <w:r>
        <w:rPr>
          <w:rFonts w:eastAsia="Times New Roman" w:cs="Times New Roman"/>
          <w:kern w:val="0"/>
          <w:szCs w:val="24"/>
          <w:lang w:eastAsia="en-IN" w:bidi="hi-IN"/>
          <w14:ligatures w14:val="none"/>
        </w:rPr>
        <w:t>These measures collectively aim to stimulate consumption, injecting an estimated ₹2.5 lakh crore in fiscal stimulus.</w:t>
      </w:r>
      <w:sdt>
        <w:sdtPr>
          <w:rPr>
            <w:rFonts w:eastAsia="Times New Roman" w:cs="Times New Roman"/>
            <w:kern w:val="0"/>
            <w:szCs w:val="24"/>
            <w:lang w:eastAsia="en-IN" w:bidi="hi-IN"/>
            <w14:ligatures w14:val="none"/>
          </w:rPr>
          <w:id w:val="-1916240572"/>
        </w:sdtPr>
        <w:sdtEndPr>
          <w:rPr>
            <w:rFonts w:eastAsia="Times New Roman" w:cs="Times New Roman"/>
            <w:kern w:val="0"/>
            <w:szCs w:val="24"/>
            <w:lang w:eastAsia="en-IN" w:bidi="hi-IN"/>
            <w14:ligatures w14:val="none"/>
          </w:rPr>
        </w:sdtEndPr>
        <w:sdtContent>
          <w:r>
            <w:rPr>
              <w:rFonts w:eastAsia="Times New Roman" w:cs="Times New Roman"/>
              <w:kern w:val="0"/>
              <w:szCs w:val="24"/>
              <w:lang w:eastAsia="en-IN" w:bidi="hi-IN"/>
              <w14:ligatures w14:val="none"/>
            </w:rPr>
            <w:fldChar w:fldCharType="begin"/>
          </w:r>
          <w:r>
            <w:rPr>
              <w:rFonts w:eastAsia="Times New Roman" w:cs="Times New Roman"/>
              <w:kern w:val="0"/>
              <w:szCs w:val="24"/>
              <w:lang w:eastAsia="en-IN" w:bidi="hi-IN"/>
              <w14:ligatures w14:val="none"/>
            </w:rPr>
            <w:instrText xml:space="preserve"> CITATION PIB25 \l 16393 </w:instrText>
          </w:r>
          <w:r>
            <w:rPr>
              <w:rFonts w:eastAsia="Times New Roman" w:cs="Times New Roman"/>
              <w:kern w:val="0"/>
              <w:szCs w:val="24"/>
              <w:lang w:eastAsia="en-IN" w:bidi="hi-IN"/>
              <w14:ligatures w14:val="none"/>
            </w:rPr>
            <w:fldChar w:fldCharType="separate"/>
          </w:r>
          <w:r>
            <w:rPr>
              <w:rFonts w:eastAsia="Times New Roman" w:cs="Times New Roman"/>
              <w:kern w:val="0"/>
              <w:szCs w:val="24"/>
              <w:lang w:eastAsia="en-IN" w:bidi="hi-IN"/>
              <w14:ligatures w14:val="none"/>
            </w:rPr>
            <w:t xml:space="preserve"> (PIB, 2025)</w:t>
          </w:r>
          <w:r>
            <w:rPr>
              <w:rFonts w:eastAsia="Times New Roman" w:cs="Times New Roman"/>
              <w:kern w:val="0"/>
              <w:szCs w:val="24"/>
              <w:lang w:eastAsia="en-IN" w:bidi="hi-IN"/>
              <w14:ligatures w14:val="none"/>
            </w:rPr>
            <w:fldChar w:fldCharType="end"/>
          </w:r>
        </w:sdtContent>
      </w:sdt>
      <w:r>
        <w:rPr>
          <w:rFonts w:eastAsia="Times New Roman" w:cs="Times New Roman"/>
          <w:kern w:val="0"/>
          <w:szCs w:val="24"/>
          <w:lang w:eastAsia="en-IN" w:bidi="hi-IN"/>
          <w14:ligatures w14:val="none"/>
        </w:rPr>
        <w:t>. The Chief Economic Adviser of India highlighted these reforms' transformative potential, forecasting a ₹2.5 lakh crore stimulus that will significantly boost consumption and GDP growth, while assuring fiscal sustainability. Speaking at the Network18 Reforms Reloaded 2025 summit in New Delhi, the CEA said that the combined impact of direct tax relief through income tax cuts and indirect tax relief through GST rate reductions will be over ₹2.5 lakh crore The Chief Economic Adviser</w:t>
      </w:r>
      <w:r>
        <w:rPr>
          <w:rFonts w:cs="Times New Roman"/>
          <w:color w:val="424242"/>
          <w:szCs w:val="24"/>
          <w:shd w:val="clear" w:color="auto" w:fill="FFFFFF"/>
        </w:rPr>
        <w:t xml:space="preserve"> </w:t>
      </w:r>
      <w:r>
        <w:rPr>
          <w:rFonts w:eastAsia="Times New Roman" w:cs="Times New Roman"/>
          <w:kern w:val="0"/>
          <w:szCs w:val="24"/>
          <w:lang w:eastAsia="en-IN" w:bidi="hi-IN"/>
          <w14:ligatures w14:val="none"/>
        </w:rPr>
        <w:t>V Anantha Nageswaran highlighted the sweeping scope of these changes, calling GST 2.0 a "landmark reform" that is expected to significantly boost domestic demand and push GDP growth toward the upper end of the 6.3 percent to 6.8 percent range in FY26. He emphasised that the reforms are not just symbolic but financially impactful and will have a multiplier effect on the economy, pushing FY26 growth towards the upper end of the 6.3 to 6.8 per cent range.</w:t>
      </w:r>
      <w:r>
        <w:rPr>
          <w:rFonts w:cs="Times New Roman"/>
          <w:color w:val="424242"/>
          <w:szCs w:val="24"/>
          <w:shd w:val="clear" w:color="auto" w:fill="FFFFFF"/>
        </w:rPr>
        <w:t xml:space="preserve"> </w:t>
      </w:r>
      <w:r>
        <w:rPr>
          <w:rFonts w:eastAsia="Times New Roman" w:cs="Times New Roman"/>
          <w:kern w:val="0"/>
          <w:szCs w:val="24"/>
          <w:lang w:eastAsia="en-IN" w:bidi="hi-IN"/>
          <w14:ligatures w14:val="none"/>
        </w:rPr>
        <w:t>Addressing concerns about potential revenue losses to states due to GST rate cuts, the CEA pointed out that the experience shows that, despite rate reductions, collections have risen. "Despite prior rate cuts, the annual revenue collections of these states have gone higher over the years," he said.</w:t>
      </w:r>
      <w:r>
        <w:rPr>
          <w:rFonts w:eastAsia="Times New Roman" w:cs="Times New Roman"/>
          <w:color w:val="424242"/>
          <w:kern w:val="0"/>
          <w:szCs w:val="24"/>
          <w:lang w:eastAsia="en-IN" w:bidi="hi-IN"/>
          <w14:ligatures w14:val="none"/>
        </w:rPr>
        <w:t xml:space="preserve"> </w:t>
      </w:r>
      <w:r>
        <w:rPr>
          <w:rFonts w:cs="Times New Roman"/>
          <w:szCs w:val="24"/>
          <w:lang w:bidi="hi-IN"/>
          <w14:ligatures w14:val="none"/>
        </w:rPr>
        <w:t>On the fiscal front, Nageswaran expressed confidence that the government remains on track to meet its FY26 fiscal deficit target of 4.4 percent of GDP, supported by robust non-tax revenue and steady overall revenue growth.</w:t>
      </w:r>
      <w:r>
        <w:rPr>
          <w:rFonts w:eastAsia="Times New Roman" w:cs="Times New Roman"/>
          <w:kern w:val="0"/>
          <w:szCs w:val="24"/>
          <w:lang w:eastAsia="en-IN" w:bidi="hi-IN"/>
          <w14:ligatures w14:val="none"/>
        </w:rPr>
        <w:t xml:space="preserve"> “We had good non-tax revenue growth. Overall revenue growth has been on track. The festival season will continue till the end of the year. We are confident that the fiscal math will hold very well for the current financial year," he said.</w:t>
      </w:r>
      <w:sdt>
        <w:sdtPr>
          <w:rPr>
            <w:rFonts w:eastAsia="Times New Roman" w:cs="Times New Roman"/>
            <w:kern w:val="0"/>
            <w:szCs w:val="24"/>
            <w:lang w:eastAsia="en-IN" w:bidi="hi-IN"/>
            <w14:ligatures w14:val="none"/>
          </w:rPr>
          <w:id w:val="409201009"/>
        </w:sdtPr>
        <w:sdtEndPr>
          <w:rPr>
            <w:rFonts w:eastAsia="Times New Roman" w:cs="Times New Roman"/>
            <w:kern w:val="0"/>
            <w:szCs w:val="24"/>
            <w:lang w:eastAsia="en-IN" w:bidi="hi-IN"/>
            <w14:ligatures w14:val="none"/>
          </w:rPr>
        </w:sdtEndPr>
        <w:sdtContent>
          <w:r>
            <w:rPr>
              <w:rFonts w:eastAsia="Times New Roman" w:cs="Times New Roman"/>
              <w:kern w:val="0"/>
              <w:szCs w:val="24"/>
              <w:lang w:eastAsia="en-IN" w:bidi="hi-IN"/>
              <w14:ligatures w14:val="none"/>
            </w:rPr>
            <w:fldChar w:fldCharType="begin"/>
          </w:r>
          <w:r>
            <w:rPr>
              <w:rFonts w:eastAsia="Times New Roman" w:cs="Times New Roman"/>
              <w:kern w:val="0"/>
              <w:szCs w:val="24"/>
              <w:lang w:eastAsia="en-IN" w:bidi="hi-IN"/>
              <w14:ligatures w14:val="none"/>
            </w:rPr>
            <w:instrText xml:space="preserve"> CITATION HTN25 \l 16393 </w:instrText>
          </w:r>
          <w:r>
            <w:rPr>
              <w:rFonts w:eastAsia="Times New Roman" w:cs="Times New Roman"/>
              <w:kern w:val="0"/>
              <w:szCs w:val="24"/>
              <w:lang w:eastAsia="en-IN" w:bidi="hi-IN"/>
              <w14:ligatures w14:val="none"/>
            </w:rPr>
            <w:fldChar w:fldCharType="separate"/>
          </w:r>
          <w:r>
            <w:rPr>
              <w:rFonts w:eastAsia="Times New Roman" w:cs="Times New Roman"/>
              <w:kern w:val="0"/>
              <w:szCs w:val="24"/>
              <w:lang w:eastAsia="en-IN" w:bidi="hi-IN"/>
              <w14:ligatures w14:val="none"/>
            </w:rPr>
            <w:t xml:space="preserve"> (HT News Desk, 2025)</w:t>
          </w:r>
          <w:r>
            <w:rPr>
              <w:rFonts w:eastAsia="Times New Roman" w:cs="Times New Roman"/>
              <w:kern w:val="0"/>
              <w:szCs w:val="24"/>
              <w:lang w:eastAsia="en-IN" w:bidi="hi-IN"/>
              <w14:ligatures w14:val="none"/>
            </w:rPr>
            <w:fldChar w:fldCharType="end"/>
          </w:r>
        </w:sdtContent>
      </w:sdt>
      <w:r>
        <w:rPr>
          <w:rFonts w:eastAsia="Times New Roman" w:cs="Times New Roman"/>
          <w:kern w:val="0"/>
          <w:szCs w:val="24"/>
          <w:lang w:eastAsia="en-IN" w:bidi="hi-IN"/>
          <w14:ligatures w14:val="none"/>
        </w:rPr>
        <w:t xml:space="preserve">. </w:t>
      </w:r>
      <w:r>
        <w:rPr>
          <w:rFonts w:cs="Times New Roman"/>
          <w:szCs w:val="24"/>
        </w:rPr>
        <w:t>GST 2.0 holds the potential to be a transformative upgrade, capable of simplifying compliance, broadening the tax base, reducing disputes, and fostering a more business-friendly environment. For many stakeholders, particularly small businesses and digital-first enterprises, it could unlock new levels of efficiency and predictability. Nonetheless, it is not without risks. A hasty implementation or poorly coordinated rollout could exacerbate compliance challenges rather than resolve them. If rate adjustments are not meticulously calibrated, they may inadvertently increase the tax burden on essential goods. Furthermore, without robust federal coordination, the expansion of the GST net to include petroleum or electricity could provoke resistance from states concerned about revenue loss. In essence, GST 2.0 represents a double-edged opportunity. If executed with foresight, consensus, and flexibility, it could fulfil the original promise of a Good and Simple Tax. However, if ambition outpaces preparation, it may merely add another layer of complexity to an already demanding system.</w:t>
      </w:r>
      <w:sdt>
        <w:sdtPr>
          <w:rPr>
            <w:rFonts w:cs="Times New Roman"/>
            <w:szCs w:val="24"/>
          </w:rPr>
          <w:id w:val="626967930"/>
        </w:sdtPr>
        <w:sdtEndPr>
          <w:rPr>
            <w:rFonts w:cs="Times New Roman"/>
            <w:szCs w:val="24"/>
          </w:rPr>
        </w:sdtEndPr>
        <w:sdtContent>
          <w:r>
            <w:rPr>
              <w:rFonts w:cs="Times New Roman"/>
              <w:szCs w:val="24"/>
            </w:rPr>
            <w:fldChar w:fldCharType="begin"/>
          </w:r>
          <w:r>
            <w:rPr>
              <w:rFonts w:cs="Times New Roman"/>
              <w:szCs w:val="24"/>
            </w:rPr>
            <w:instrText xml:space="preserve"> CITATION Kot25 \l 16393 </w:instrText>
          </w:r>
          <w:r>
            <w:rPr>
              <w:rFonts w:cs="Times New Roman"/>
              <w:szCs w:val="24"/>
            </w:rPr>
            <w:fldChar w:fldCharType="separate"/>
          </w:r>
          <w:r>
            <w:rPr>
              <w:rFonts w:cs="Times New Roman"/>
              <w:szCs w:val="24"/>
            </w:rPr>
            <w:t xml:space="preserve"> (Kotak Securities Team, 2025)</w:t>
          </w:r>
          <w:r>
            <w:rPr>
              <w:rFonts w:cs="Times New Roman"/>
              <w:szCs w:val="24"/>
            </w:rPr>
            <w:fldChar w:fldCharType="end"/>
          </w:r>
        </w:sdtContent>
      </w:sdt>
      <w:r>
        <w:rPr>
          <w:rFonts w:cs="Times New Roman"/>
          <w:szCs w:val="24"/>
        </w:rPr>
        <w:t>,</w:t>
      </w:r>
      <w:sdt>
        <w:sdtPr>
          <w:rPr>
            <w:rFonts w:cs="Times New Roman"/>
            <w:szCs w:val="24"/>
          </w:rPr>
          <w:id w:val="1988825963"/>
        </w:sdtPr>
        <w:sdtEndPr>
          <w:rPr>
            <w:rFonts w:cs="Times New Roman"/>
            <w:szCs w:val="24"/>
          </w:rPr>
        </w:sdtEndPr>
        <w:sdtContent>
          <w:r>
            <w:rPr>
              <w:rFonts w:cs="Times New Roman"/>
              <w:szCs w:val="24"/>
            </w:rPr>
            <w:fldChar w:fldCharType="begin"/>
          </w:r>
          <w:r>
            <w:rPr>
              <w:rFonts w:cs="Times New Roman"/>
              <w:szCs w:val="24"/>
            </w:rPr>
            <w:instrText xml:space="preserve"> CITATION Man251 \l 16393 </w:instrText>
          </w:r>
          <w:r>
            <w:rPr>
              <w:rFonts w:cs="Times New Roman"/>
              <w:szCs w:val="24"/>
            </w:rPr>
            <w:fldChar w:fldCharType="separate"/>
          </w:r>
          <w:r>
            <w:rPr>
              <w:rFonts w:cs="Times New Roman"/>
              <w:szCs w:val="24"/>
            </w:rPr>
            <w:t xml:space="preserve"> (Maniyar, 2025)</w:t>
          </w:r>
          <w:r>
            <w:rPr>
              <w:rFonts w:cs="Times New Roman"/>
              <w:szCs w:val="24"/>
            </w:rPr>
            <w:fldChar w:fldCharType="end"/>
          </w:r>
        </w:sdtContent>
      </w:sdt>
      <w:r>
        <w:commentReference w:id="5"/>
      </w:r>
    </w:p>
    <w:p>
      <w:pPr>
        <w:spacing w:line="360" w:lineRule="auto"/>
        <w:rPr>
          <w:rFonts w:cs="Times New Roman"/>
          <w:b/>
          <w:bCs/>
          <w:szCs w:val="24"/>
        </w:rPr>
      </w:pPr>
      <w:r>
        <w:rPr>
          <w:rFonts w:cs="Times New Roman"/>
          <w:b/>
          <w:bCs/>
          <w:szCs w:val="24"/>
        </w:rPr>
        <w:t>Slab Structure Comparison</w:t>
      </w:r>
    </w:p>
    <w:p>
      <w:pPr>
        <w:spacing w:line="360" w:lineRule="auto"/>
        <w:rPr>
          <w:rFonts w:cs="Times New Roman"/>
          <w:szCs w:val="24"/>
        </w:rPr>
      </w:pPr>
      <w:r>
        <w:rPr>
          <w:rFonts w:cs="Times New Roman"/>
          <w:szCs w:val="24"/>
        </w:rPr>
        <w:t>The highlight of GST 2.0 is rationalization, reducing complexity from five slabs to three effective ones. Table 1 elaborates on this shift.</w:t>
      </w:r>
      <w:r>
        <w:rPr>
          <w:rFonts w:cs="Times New Roman"/>
          <w:spacing w:val="1"/>
          <w:szCs w:val="24"/>
        </w:rPr>
        <w:t xml:space="preserve"> </w:t>
      </w:r>
      <w:r>
        <w:rPr>
          <w:rFonts w:cs="Times New Roman"/>
          <w:szCs w:val="24"/>
        </w:rPr>
        <w:t>Table 1 compares GST 1.0 and GST 2.0 slab structures, illustrating reduced complexity and broader exemptions aimed at fostering affordability.</w:t>
      </w:r>
    </w:p>
    <w:p>
      <w:pPr>
        <w:spacing w:line="360" w:lineRule="auto"/>
        <w:rPr>
          <w:rFonts w:cs="Times New Roman"/>
          <w:szCs w:val="24"/>
        </w:rPr>
      </w:pPr>
      <w:r>
        <w:rPr>
          <w:rFonts w:cs="Times New Roman"/>
          <w:b/>
          <w:bCs/>
          <w:szCs w:val="24"/>
        </w:rPr>
        <w:t>Table 2: Comparison of GST Rate Slabs</w:t>
      </w:r>
    </w:p>
    <w:tbl>
      <w:tblPr>
        <w:tblStyle w:val="2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202"/>
        <w:gridCol w:w="1985"/>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eastAsia="Times New Roman" w:cs="Times New Roman"/>
                <w:b/>
                <w:bCs/>
                <w:kern w:val="0"/>
                <w:szCs w:val="24"/>
                <w:lang w:eastAsia="en-IN" w:bidi="hi-IN"/>
                <w14:ligatures w14:val="none"/>
              </w:rPr>
            </w:pPr>
            <w:r>
              <w:rPr>
                <w:rFonts w:eastAsia="Times New Roman" w:cs="Times New Roman"/>
                <w:b/>
                <w:bCs/>
                <w:kern w:val="0"/>
                <w:szCs w:val="24"/>
                <w:lang w:eastAsia="en-IN" w:bidi="hi-IN"/>
                <w14:ligatures w14:val="none"/>
              </w:rPr>
              <w:t>Sl.No</w:t>
            </w:r>
          </w:p>
        </w:tc>
        <w:tc>
          <w:tcPr>
            <w:tcW w:w="2202" w:type="dxa"/>
            <w:vAlign w:val="center"/>
          </w:tcPr>
          <w:tbl>
            <w:tblPr>
              <w:tblStyle w:val="12"/>
              <w:tblW w:w="0" w:type="auto"/>
              <w:tblCellSpacing w:w="15" w:type="dxa"/>
              <w:tblInd w:w="0" w:type="dxa"/>
              <w:tblLayout w:type="autofit"/>
              <w:tblCellMar>
                <w:top w:w="15" w:type="dxa"/>
                <w:left w:w="15" w:type="dxa"/>
                <w:bottom w:w="15" w:type="dxa"/>
                <w:right w:w="15" w:type="dxa"/>
              </w:tblCellMar>
            </w:tblPr>
            <w:tblGrid>
              <w:gridCol w:w="1022"/>
              <w:gridCol w:w="66"/>
              <w:gridCol w:w="81"/>
            </w:tblGrid>
            <w:tr>
              <w:tblPrEx>
                <w:tblCellMar>
                  <w:top w:w="15" w:type="dxa"/>
                  <w:left w:w="15" w:type="dxa"/>
                  <w:bottom w:w="15" w:type="dxa"/>
                  <w:right w:w="15" w:type="dxa"/>
                </w:tblCellMar>
              </w:tblPrEx>
              <w:trPr>
                <w:tblHeader/>
                <w:tblCellSpacing w:w="15" w:type="dxa"/>
              </w:trPr>
              <w:tc>
                <w:tcPr>
                  <w:tcW w:w="0" w:type="auto"/>
                  <w:vAlign w:val="center"/>
                </w:tcPr>
                <w:p>
                  <w:pPr>
                    <w:spacing w:after="0" w:line="240" w:lineRule="auto"/>
                    <w:rPr>
                      <w:rFonts w:eastAsia="Times New Roman" w:cs="Times New Roman"/>
                      <w:b/>
                      <w:bCs/>
                      <w:kern w:val="0"/>
                      <w:szCs w:val="24"/>
                      <w:lang w:eastAsia="en-IN" w:bidi="hi-IN"/>
                      <w14:ligatures w14:val="none"/>
                    </w:rPr>
                  </w:pPr>
                  <w:r>
                    <w:rPr>
                      <w:rFonts w:eastAsia="Times New Roman" w:cs="Times New Roman"/>
                      <w:b/>
                      <w:bCs/>
                      <w:kern w:val="0"/>
                      <w:szCs w:val="24"/>
                      <w:lang w:eastAsia="en-IN" w:bidi="hi-IN"/>
                      <w14:ligatures w14:val="none"/>
                    </w:rPr>
                    <w:t>Category</w:t>
                  </w:r>
                </w:p>
              </w:tc>
              <w:tc>
                <w:tcPr>
                  <w:tcW w:w="0" w:type="auto"/>
                  <w:vAlign w:val="center"/>
                </w:tcPr>
                <w:p>
                  <w:pPr>
                    <w:spacing w:after="0" w:line="240" w:lineRule="auto"/>
                    <w:rPr>
                      <w:rFonts w:eastAsia="Times New Roman" w:cs="Times New Roman"/>
                      <w:b/>
                      <w:bCs/>
                      <w:kern w:val="0"/>
                      <w:szCs w:val="24"/>
                      <w:lang w:eastAsia="en-IN" w:bidi="hi-IN"/>
                      <w14:ligatures w14:val="none"/>
                    </w:rPr>
                  </w:pPr>
                </w:p>
              </w:tc>
              <w:tc>
                <w:tcPr>
                  <w:tcW w:w="0" w:type="auto"/>
                  <w:vAlign w:val="center"/>
                </w:tcPr>
                <w:p>
                  <w:pPr>
                    <w:spacing w:after="0" w:line="240" w:lineRule="auto"/>
                    <w:rPr>
                      <w:rFonts w:eastAsia="Times New Roman" w:cs="Times New Roman"/>
                      <w:b/>
                      <w:bCs/>
                      <w:kern w:val="0"/>
                      <w:szCs w:val="24"/>
                      <w:lang w:eastAsia="en-IN" w:bidi="hi-IN"/>
                      <w14:ligatures w14:val="none"/>
                    </w:rPr>
                  </w:pPr>
                </w:p>
              </w:tc>
            </w:tr>
            <w:tr>
              <w:tblPrEx>
                <w:tblCellMar>
                  <w:top w:w="15" w:type="dxa"/>
                  <w:left w:w="15" w:type="dxa"/>
                  <w:bottom w:w="15" w:type="dxa"/>
                  <w:right w:w="15" w:type="dxa"/>
                </w:tblCellMar>
              </w:tblPrEx>
              <w:trPr>
                <w:tblCellSpacing w:w="15" w:type="dxa"/>
              </w:trPr>
              <w:tc>
                <w:tcPr>
                  <w:tcW w:w="0" w:type="auto"/>
                  <w:vAlign w:val="center"/>
                </w:tcPr>
                <w:p>
                  <w:pPr>
                    <w:spacing w:after="0" w:line="240" w:lineRule="auto"/>
                    <w:rPr>
                      <w:rFonts w:eastAsia="Times New Roman" w:cs="Times New Roman"/>
                      <w:kern w:val="0"/>
                      <w:szCs w:val="24"/>
                      <w:lang w:eastAsia="en-IN" w:bidi="hi-IN"/>
                      <w14:ligatures w14:val="none"/>
                    </w:rPr>
                  </w:pPr>
                </w:p>
              </w:tc>
              <w:tc>
                <w:tcPr>
                  <w:tcW w:w="0" w:type="auto"/>
                  <w:vAlign w:val="center"/>
                </w:tcPr>
                <w:p>
                  <w:pPr>
                    <w:spacing w:after="0" w:line="240" w:lineRule="auto"/>
                    <w:rPr>
                      <w:rFonts w:eastAsia="Times New Roman" w:cs="Times New Roman"/>
                      <w:kern w:val="0"/>
                      <w:szCs w:val="24"/>
                      <w:lang w:eastAsia="en-IN" w:bidi="hi-IN"/>
                      <w14:ligatures w14:val="none"/>
                    </w:rPr>
                  </w:pPr>
                </w:p>
              </w:tc>
              <w:tc>
                <w:tcPr>
                  <w:tcW w:w="0" w:type="auto"/>
                  <w:vAlign w:val="center"/>
                </w:tcPr>
                <w:p>
                  <w:pPr>
                    <w:spacing w:after="0" w:line="240" w:lineRule="auto"/>
                    <w:rPr>
                      <w:rFonts w:eastAsia="Times New Roman" w:cs="Times New Roman"/>
                      <w:kern w:val="0"/>
                      <w:szCs w:val="24"/>
                      <w:lang w:eastAsia="en-IN" w:bidi="hi-IN"/>
                      <w14:ligatures w14:val="none"/>
                    </w:rPr>
                  </w:pPr>
                </w:p>
              </w:tc>
            </w:tr>
          </w:tbl>
          <w:p>
            <w:pPr>
              <w:spacing w:after="0" w:line="240" w:lineRule="auto"/>
              <w:rPr>
                <w:rFonts w:cs="Times New Roman"/>
                <w:szCs w:val="24"/>
              </w:rPr>
            </w:pPr>
          </w:p>
        </w:tc>
        <w:tc>
          <w:tcPr>
            <w:tcW w:w="1985" w:type="dxa"/>
            <w:vAlign w:val="center"/>
          </w:tcPr>
          <w:p>
            <w:pPr>
              <w:spacing w:after="0" w:line="240" w:lineRule="auto"/>
              <w:rPr>
                <w:rFonts w:cs="Times New Roman"/>
                <w:szCs w:val="24"/>
              </w:rPr>
            </w:pPr>
            <w:r>
              <w:rPr>
                <w:rFonts w:eastAsia="Times New Roman" w:cs="Times New Roman"/>
                <w:b/>
                <w:bCs/>
                <w:kern w:val="0"/>
                <w:szCs w:val="24"/>
                <w:lang w:eastAsia="en-IN" w:bidi="hi-IN"/>
                <w14:ligatures w14:val="none"/>
              </w:rPr>
              <w:t>GST 1.0 Slabs</w:t>
            </w:r>
          </w:p>
        </w:tc>
        <w:tc>
          <w:tcPr>
            <w:tcW w:w="1984" w:type="dxa"/>
            <w:vAlign w:val="center"/>
          </w:tcPr>
          <w:p>
            <w:pPr>
              <w:spacing w:after="0" w:line="240" w:lineRule="auto"/>
              <w:rPr>
                <w:rFonts w:cs="Times New Roman"/>
                <w:szCs w:val="24"/>
              </w:rPr>
            </w:pPr>
            <w:r>
              <w:rPr>
                <w:rFonts w:eastAsia="Times New Roman" w:cs="Times New Roman"/>
                <w:b/>
                <w:bCs/>
                <w:kern w:val="0"/>
                <w:szCs w:val="24"/>
                <w:lang w:eastAsia="en-IN" w:bidi="hi-IN"/>
                <w14:ligatures w14:val="none"/>
              </w:rPr>
              <w:t>GST 2.0 Slabs</w:t>
            </w:r>
          </w:p>
        </w:tc>
        <w:tc>
          <w:tcPr>
            <w:tcW w:w="2410" w:type="dxa"/>
            <w:vAlign w:val="center"/>
          </w:tcPr>
          <w:p>
            <w:pPr>
              <w:spacing w:after="0" w:line="240" w:lineRule="auto"/>
              <w:rPr>
                <w:rFonts w:cs="Times New Roman"/>
                <w:szCs w:val="24"/>
              </w:rPr>
            </w:pPr>
            <w:r>
              <w:rPr>
                <w:rFonts w:eastAsia="Times New Roman" w:cs="Times New Roman"/>
                <w:b/>
                <w:bCs/>
                <w:kern w:val="0"/>
                <w:szCs w:val="24"/>
                <w:lang w:eastAsia="en-IN" w:bidi="hi-IN"/>
                <w14:ligatures w14:val="none"/>
              </w:rPr>
              <w:t>Key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eastAsia="Times New Roman" w:cs="Times New Roman"/>
                <w:kern w:val="0"/>
                <w:szCs w:val="24"/>
                <w:lang w:eastAsia="en-IN" w:bidi="hi-IN"/>
                <w14:ligatures w14:val="none"/>
              </w:rPr>
            </w:pPr>
            <w:r>
              <w:rPr>
                <w:rFonts w:eastAsia="Times New Roman" w:cs="Times New Roman"/>
                <w:kern w:val="0"/>
                <w:szCs w:val="24"/>
                <w:lang w:eastAsia="en-IN" w:bidi="hi-IN"/>
                <w14:ligatures w14:val="none"/>
              </w:rPr>
              <w:t>1.</w:t>
            </w:r>
          </w:p>
        </w:tc>
        <w:tc>
          <w:tcPr>
            <w:tcW w:w="2202"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Essentials (Food, Basics)</w:t>
            </w:r>
          </w:p>
        </w:tc>
        <w:tc>
          <w:tcPr>
            <w:tcW w:w="1985"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0%, 5%</w:t>
            </w:r>
          </w:p>
        </w:tc>
        <w:tc>
          <w:tcPr>
            <w:tcW w:w="1984"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0%, 5%</w:t>
            </w:r>
          </w:p>
        </w:tc>
        <w:tc>
          <w:tcPr>
            <w:tcW w:w="2410"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Expanded zero-rating (e.g., paneer, breads)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eastAsia="Times New Roman" w:cs="Times New Roman"/>
                <w:kern w:val="0"/>
                <w:szCs w:val="24"/>
                <w:lang w:eastAsia="en-IN" w:bidi="hi-IN"/>
                <w14:ligatures w14:val="none"/>
              </w:rPr>
            </w:pPr>
            <w:r>
              <w:rPr>
                <w:rFonts w:eastAsia="Times New Roman" w:cs="Times New Roman"/>
                <w:kern w:val="0"/>
                <w:szCs w:val="24"/>
                <w:lang w:eastAsia="en-IN" w:bidi="hi-IN"/>
                <w14:ligatures w14:val="none"/>
              </w:rPr>
              <w:t>2.</w:t>
            </w:r>
          </w:p>
        </w:tc>
        <w:tc>
          <w:tcPr>
            <w:tcW w:w="2202"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Standard Goods/Services</w:t>
            </w:r>
          </w:p>
        </w:tc>
        <w:tc>
          <w:tcPr>
            <w:tcW w:w="1985" w:type="dxa"/>
            <w:vAlign w:val="center"/>
          </w:tcPr>
          <w:tbl>
            <w:tblPr>
              <w:tblStyle w:val="12"/>
              <w:tblW w:w="0" w:type="auto"/>
              <w:tblCellSpacing w:w="15" w:type="dxa"/>
              <w:tblInd w:w="0" w:type="dxa"/>
              <w:tblLayout w:type="autofit"/>
              <w:tblCellMar>
                <w:top w:w="15" w:type="dxa"/>
                <w:left w:w="15" w:type="dxa"/>
                <w:bottom w:w="15" w:type="dxa"/>
                <w:right w:w="15" w:type="dxa"/>
              </w:tblCellMar>
            </w:tblPr>
            <w:tblGrid>
              <w:gridCol w:w="81"/>
              <w:gridCol w:w="1075"/>
            </w:tblGrid>
            <w:tr>
              <w:trPr>
                <w:tblCellSpacing w:w="15" w:type="dxa"/>
              </w:trPr>
              <w:tc>
                <w:tcPr>
                  <w:tcW w:w="0" w:type="auto"/>
                  <w:vAlign w:val="center"/>
                </w:tcPr>
                <w:p>
                  <w:pPr>
                    <w:spacing w:after="0" w:line="240" w:lineRule="auto"/>
                    <w:rPr>
                      <w:rFonts w:eastAsia="Times New Roman" w:cs="Times New Roman"/>
                      <w:kern w:val="0"/>
                      <w:szCs w:val="24"/>
                      <w:lang w:eastAsia="en-IN" w:bidi="hi-IN"/>
                      <w14:ligatures w14:val="none"/>
                    </w:rPr>
                  </w:pPr>
                </w:p>
              </w:tc>
              <w:tc>
                <w:tcPr>
                  <w:tcW w:w="0" w:type="auto"/>
                  <w:vAlign w:val="center"/>
                </w:tcPr>
                <w:p>
                  <w:pPr>
                    <w:spacing w:after="0" w:line="240" w:lineRule="auto"/>
                    <w:rPr>
                      <w:rFonts w:eastAsia="Times New Roman" w:cs="Times New Roman"/>
                      <w:kern w:val="0"/>
                      <w:szCs w:val="24"/>
                      <w:lang w:eastAsia="en-IN" w:bidi="hi-IN"/>
                      <w14:ligatures w14:val="none"/>
                    </w:rPr>
                  </w:pPr>
                  <w:r>
                    <w:rPr>
                      <w:rFonts w:eastAsia="Times New Roman" w:cs="Times New Roman"/>
                      <w:kern w:val="0"/>
                      <w:szCs w:val="24"/>
                      <w:lang w:eastAsia="en-IN" w:bidi="hi-IN"/>
                      <w14:ligatures w14:val="none"/>
                    </w:rPr>
                    <w:t>12%, 18%</w:t>
                  </w:r>
                </w:p>
              </w:tc>
            </w:tr>
          </w:tbl>
          <w:p>
            <w:pPr>
              <w:spacing w:after="0" w:line="240" w:lineRule="auto"/>
              <w:rPr>
                <w:rFonts w:cs="Times New Roman"/>
                <w:szCs w:val="24"/>
              </w:rPr>
            </w:pPr>
          </w:p>
        </w:tc>
        <w:tc>
          <w:tcPr>
            <w:tcW w:w="1984"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18% (absorbs 12%)</w:t>
            </w:r>
          </w:p>
        </w:tc>
        <w:tc>
          <w:tcPr>
            <w:tcW w:w="2410" w:type="dxa"/>
            <w:vAlign w:val="center"/>
          </w:tcPr>
          <w:p>
            <w:pPr>
              <w:spacing w:after="0" w:line="240" w:lineRule="auto"/>
              <w:rPr>
                <w:rFonts w:cs="Times New Roman"/>
                <w:szCs w:val="24"/>
              </w:rPr>
            </w:pPr>
            <w:r>
              <w:rPr>
                <w:rFonts w:cs="Times New Roman"/>
                <w:szCs w:val="24"/>
              </w:rPr>
              <w:t>Consolidation reduces classification disputes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eastAsia="Times New Roman" w:cs="Times New Roman"/>
                <w:kern w:val="0"/>
                <w:szCs w:val="24"/>
                <w:lang w:eastAsia="en-IN" w:bidi="hi-IN"/>
                <w14:ligatures w14:val="none"/>
              </w:rPr>
            </w:pPr>
            <w:r>
              <w:rPr>
                <w:rFonts w:eastAsia="Times New Roman" w:cs="Times New Roman"/>
                <w:kern w:val="0"/>
                <w:szCs w:val="24"/>
                <w:lang w:eastAsia="en-IN" w:bidi="hi-IN"/>
                <w14:ligatures w14:val="none"/>
              </w:rPr>
              <w:t>3.</w:t>
            </w:r>
          </w:p>
        </w:tc>
        <w:tc>
          <w:tcPr>
            <w:tcW w:w="2202"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Luxury/Sin Goods</w:t>
            </w:r>
          </w:p>
        </w:tc>
        <w:tc>
          <w:tcPr>
            <w:tcW w:w="1985"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28% + Cess (up to 15-28%)</w:t>
            </w:r>
          </w:p>
        </w:tc>
        <w:tc>
          <w:tcPr>
            <w:tcW w:w="1984" w:type="dxa"/>
            <w:vAlign w:val="center"/>
          </w:tcPr>
          <w:tbl>
            <w:tblPr>
              <w:tblStyle w:val="12"/>
              <w:tblW w:w="0" w:type="auto"/>
              <w:tblCellSpacing w:w="15" w:type="dxa"/>
              <w:tblInd w:w="0" w:type="dxa"/>
              <w:tblLayout w:type="autofit"/>
              <w:tblCellMar>
                <w:top w:w="15" w:type="dxa"/>
                <w:left w:w="15" w:type="dxa"/>
                <w:bottom w:w="15" w:type="dxa"/>
                <w:right w:w="15" w:type="dxa"/>
              </w:tblCellMar>
            </w:tblPr>
            <w:tblGrid>
              <w:gridCol w:w="81"/>
              <w:gridCol w:w="1415"/>
            </w:tblGrid>
            <w:tr>
              <w:trPr>
                <w:tblCellSpacing w:w="15" w:type="dxa"/>
              </w:trPr>
              <w:tc>
                <w:tcPr>
                  <w:tcW w:w="0" w:type="auto"/>
                  <w:vAlign w:val="center"/>
                </w:tcPr>
                <w:p>
                  <w:pPr>
                    <w:spacing w:after="0" w:line="240" w:lineRule="auto"/>
                    <w:rPr>
                      <w:rFonts w:eastAsia="Times New Roman" w:cs="Times New Roman"/>
                      <w:kern w:val="0"/>
                      <w:szCs w:val="24"/>
                      <w:lang w:eastAsia="en-IN" w:bidi="hi-IN"/>
                      <w14:ligatures w14:val="none"/>
                    </w:rPr>
                  </w:pPr>
                </w:p>
              </w:tc>
              <w:tc>
                <w:tcPr>
                  <w:tcW w:w="0" w:type="auto"/>
                  <w:vAlign w:val="center"/>
                </w:tcPr>
                <w:p>
                  <w:pPr>
                    <w:spacing w:after="0" w:line="240" w:lineRule="auto"/>
                    <w:rPr>
                      <w:rFonts w:eastAsia="Times New Roman" w:cs="Times New Roman"/>
                      <w:kern w:val="0"/>
                      <w:szCs w:val="24"/>
                      <w:lang w:eastAsia="en-IN" w:bidi="hi-IN"/>
                      <w14:ligatures w14:val="none"/>
                    </w:rPr>
                  </w:pPr>
                  <w:r>
                    <w:rPr>
                      <w:rFonts w:eastAsia="Times New Roman" w:cs="Times New Roman"/>
                      <w:kern w:val="0"/>
                      <w:szCs w:val="24"/>
                      <w:lang w:eastAsia="en-IN" w:bidi="hi-IN"/>
                      <w14:ligatures w14:val="none"/>
                    </w:rPr>
                    <w:t>40% (unified)</w:t>
                  </w:r>
                </w:p>
              </w:tc>
            </w:tr>
          </w:tbl>
          <w:p>
            <w:pPr>
              <w:spacing w:after="0" w:line="240" w:lineRule="auto"/>
              <w:rPr>
                <w:rFonts w:cs="Times New Roman"/>
                <w:szCs w:val="24"/>
              </w:rPr>
            </w:pPr>
          </w:p>
        </w:tc>
        <w:tc>
          <w:tcPr>
            <w:tcW w:w="2410"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Higher deterrence on vices; no cess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eastAsia="Times New Roman" w:cs="Times New Roman"/>
                <w:kern w:val="0"/>
                <w:szCs w:val="24"/>
                <w:lang w:eastAsia="en-IN" w:bidi="hi-IN"/>
                <w14:ligatures w14:val="none"/>
              </w:rPr>
            </w:pPr>
            <w:r>
              <w:rPr>
                <w:rFonts w:eastAsia="Times New Roman" w:cs="Times New Roman"/>
                <w:kern w:val="0"/>
                <w:szCs w:val="24"/>
                <w:lang w:eastAsia="en-IN" w:bidi="hi-IN"/>
                <w14:ligatures w14:val="none"/>
              </w:rPr>
              <w:t>4.</w:t>
            </w:r>
          </w:p>
        </w:tc>
        <w:tc>
          <w:tcPr>
            <w:tcW w:w="2202"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Exemptions</w:t>
            </w:r>
          </w:p>
        </w:tc>
        <w:tc>
          <w:tcPr>
            <w:tcW w:w="1985" w:type="dxa"/>
            <w:vAlign w:val="center"/>
          </w:tcPr>
          <w:tbl>
            <w:tblPr>
              <w:tblStyle w:val="12"/>
              <w:tblW w:w="0" w:type="auto"/>
              <w:tblCellSpacing w:w="15" w:type="dxa"/>
              <w:tblInd w:w="0" w:type="dxa"/>
              <w:tblLayout w:type="autofit"/>
              <w:tblCellMar>
                <w:top w:w="15" w:type="dxa"/>
                <w:left w:w="15" w:type="dxa"/>
                <w:bottom w:w="15" w:type="dxa"/>
                <w:right w:w="15" w:type="dxa"/>
              </w:tblCellMar>
            </w:tblPr>
            <w:tblGrid>
              <w:gridCol w:w="81"/>
              <w:gridCol w:w="1688"/>
            </w:tblGrid>
            <w:tr>
              <w:trPr>
                <w:tblCellSpacing w:w="15" w:type="dxa"/>
              </w:trPr>
              <w:tc>
                <w:tcPr>
                  <w:tcW w:w="0" w:type="auto"/>
                  <w:vAlign w:val="center"/>
                </w:tcPr>
                <w:p>
                  <w:pPr>
                    <w:spacing w:after="0" w:line="240" w:lineRule="auto"/>
                    <w:rPr>
                      <w:rFonts w:eastAsia="Times New Roman" w:cs="Times New Roman"/>
                      <w:kern w:val="0"/>
                      <w:szCs w:val="24"/>
                      <w:lang w:eastAsia="en-IN" w:bidi="hi-IN"/>
                      <w14:ligatures w14:val="none"/>
                    </w:rPr>
                  </w:pPr>
                </w:p>
              </w:tc>
              <w:tc>
                <w:tcPr>
                  <w:tcW w:w="0" w:type="auto"/>
                  <w:vAlign w:val="center"/>
                </w:tcPr>
                <w:p>
                  <w:pPr>
                    <w:spacing w:after="0" w:line="240" w:lineRule="auto"/>
                    <w:rPr>
                      <w:rFonts w:eastAsia="Times New Roman" w:cs="Times New Roman"/>
                      <w:kern w:val="0"/>
                      <w:szCs w:val="24"/>
                      <w:lang w:eastAsia="en-IN" w:bidi="hi-IN"/>
                      <w14:ligatures w14:val="none"/>
                    </w:rPr>
                  </w:pPr>
                  <w:r>
                    <w:rPr>
                      <w:rFonts w:eastAsia="Times New Roman" w:cs="Times New Roman"/>
                      <w:kern w:val="0"/>
                      <w:szCs w:val="24"/>
                      <w:lang w:eastAsia="en-IN" w:bidi="hi-IN"/>
                      <w14:ligatures w14:val="none"/>
                    </w:rPr>
                    <w:t>Limited (e.g., fresh produce)</w:t>
                  </w:r>
                </w:p>
              </w:tc>
            </w:tr>
          </w:tbl>
          <w:p>
            <w:pPr>
              <w:spacing w:after="0" w:line="240" w:lineRule="auto"/>
              <w:rPr>
                <w:rFonts w:cs="Times New Roman"/>
                <w:szCs w:val="24"/>
              </w:rPr>
            </w:pPr>
          </w:p>
        </w:tc>
        <w:tc>
          <w:tcPr>
            <w:tcW w:w="1984"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Expanded (e.g., insurance, drugs)</w:t>
            </w:r>
          </w:p>
        </w:tc>
        <w:tc>
          <w:tcPr>
            <w:tcW w:w="2410" w:type="dxa"/>
            <w:vAlign w:val="center"/>
          </w:tcPr>
          <w:p>
            <w:pPr>
              <w:spacing w:after="0" w:line="240" w:lineRule="auto"/>
              <w:rPr>
                <w:rFonts w:cs="Times New Roman"/>
                <w:szCs w:val="24"/>
              </w:rPr>
            </w:pPr>
            <w:r>
              <w:rPr>
                <w:rFonts w:eastAsia="Times New Roman" w:cs="Times New Roman"/>
                <w:kern w:val="0"/>
                <w:szCs w:val="24"/>
                <w:lang w:eastAsia="en-IN" w:bidi="hi-IN"/>
                <w14:ligatures w14:val="none"/>
              </w:rPr>
              <w:t>Broader relief for households</w:t>
            </w:r>
          </w:p>
        </w:tc>
      </w:tr>
    </w:tbl>
    <w:p>
      <w:pPr>
        <w:spacing w:line="360" w:lineRule="auto"/>
        <w:rPr>
          <w:rFonts w:cs="Times New Roman"/>
          <w:szCs w:val="24"/>
        </w:rPr>
      </w:pPr>
      <w:r>
        <w:rPr>
          <w:rFonts w:cs="Times New Roman"/>
          <w:szCs w:val="24"/>
        </w:rPr>
        <w:t>Source: Adapted from GST Council notifications and PIB factsheet.</w:t>
      </w:r>
      <w:sdt>
        <w:sdtPr>
          <w:rPr>
            <w:rFonts w:cs="Times New Roman"/>
            <w:szCs w:val="24"/>
          </w:rPr>
          <w:id w:val="-1269315155"/>
        </w:sdtPr>
        <w:sdtEndPr>
          <w:rPr>
            <w:rFonts w:cs="Times New Roman"/>
            <w:szCs w:val="24"/>
          </w:rPr>
        </w:sdtEndPr>
        <w:sdtContent>
          <w:r>
            <w:rPr>
              <w:rFonts w:cs="Times New Roman"/>
              <w:szCs w:val="24"/>
            </w:rPr>
            <w:fldChar w:fldCharType="begin"/>
          </w:r>
          <w:r>
            <w:rPr>
              <w:rFonts w:cs="Times New Roman"/>
              <w:szCs w:val="24"/>
            </w:rPr>
            <w:instrText xml:space="preserve"> CITATION PIB25 \l 16393 </w:instrText>
          </w:r>
          <w:r>
            <w:rPr>
              <w:rFonts w:cs="Times New Roman"/>
              <w:szCs w:val="24"/>
            </w:rPr>
            <w:fldChar w:fldCharType="separate"/>
          </w:r>
          <w:r>
            <w:rPr>
              <w:rFonts w:cs="Times New Roman"/>
              <w:szCs w:val="24"/>
            </w:rPr>
            <w:t xml:space="preserve"> (PIB, 2025)</w:t>
          </w:r>
          <w:r>
            <w:rPr>
              <w:rFonts w:cs="Times New Roman"/>
              <w:szCs w:val="24"/>
            </w:rPr>
            <w:fldChar w:fldCharType="end"/>
          </w:r>
        </w:sdtContent>
      </w:sdt>
    </w:p>
    <w:p>
      <w:pPr>
        <w:spacing w:line="360" w:lineRule="auto"/>
        <w:rPr>
          <w:rFonts w:cs="Times New Roman"/>
          <w:szCs w:val="24"/>
        </w:rPr>
      </w:pPr>
      <w:r>
        <w:rPr>
          <w:rFonts w:cs="Times New Roman"/>
          <w:szCs w:val="24"/>
        </w:rPr>
        <w:t>This rationalization eliminates confusion and lowers compliance costs by consolidating slabs, particularly benefiting essentials and luxury goods differently.</w:t>
      </w:r>
    </w:p>
    <w:p>
      <w:pPr>
        <w:spacing w:line="360" w:lineRule="auto"/>
        <w:rPr>
          <w:rFonts w:cs="Times New Roman"/>
          <w:b/>
          <w:bCs/>
          <w:szCs w:val="24"/>
        </w:rPr>
      </w:pPr>
      <w:r>
        <w:rPr>
          <w:rFonts w:cs="Times New Roman"/>
          <w:b/>
          <w:bCs/>
          <w:szCs w:val="24"/>
        </w:rPr>
        <w:t>Item-Level Changes</w:t>
      </w:r>
    </w:p>
    <w:p>
      <w:pPr>
        <w:spacing w:line="360" w:lineRule="auto"/>
        <w:rPr>
          <w:rFonts w:cs="Times New Roman"/>
          <w:szCs w:val="24"/>
        </w:rPr>
      </w:pPr>
      <w:r>
        <w:rPr>
          <w:rFonts w:cs="Times New Roman"/>
          <w:szCs w:val="24"/>
        </w:rPr>
        <w:t>Rate cuts target high-impact categories. Table 2 highlights select reductions affecting 30-40% of consumer baskets.</w:t>
      </w:r>
    </w:p>
    <w:p>
      <w:pPr>
        <w:spacing w:line="360" w:lineRule="auto"/>
        <w:rPr>
          <w:rFonts w:cs="Times New Roman"/>
          <w:szCs w:val="24"/>
        </w:rPr>
      </w:pPr>
      <w:r>
        <w:rPr>
          <w:rFonts w:cs="Times New Roman"/>
          <w:b/>
          <w:bCs/>
          <w:szCs w:val="24"/>
        </w:rPr>
        <w:t>Table 3: Selected Items with Rate Reductions Under GST 2.0</w:t>
      </w:r>
    </w:p>
    <w:tbl>
      <w:tblPr>
        <w:tblStyle w:val="20"/>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56"/>
        <w:gridCol w:w="3156"/>
        <w:gridCol w:w="1134"/>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cs="Times New Roman"/>
                <w:szCs w:val="24"/>
              </w:rPr>
            </w:pPr>
            <w:r>
              <w:rPr>
                <w:rFonts w:cs="Times New Roman"/>
                <w:szCs w:val="24"/>
              </w:rPr>
              <w:t>Sl.No</w:t>
            </w:r>
          </w:p>
        </w:tc>
        <w:tc>
          <w:tcPr>
            <w:tcW w:w="1456" w:type="dxa"/>
            <w:vAlign w:val="center"/>
          </w:tcPr>
          <w:p>
            <w:pPr>
              <w:spacing w:after="0" w:line="240" w:lineRule="auto"/>
              <w:rPr>
                <w:rFonts w:cs="Times New Roman"/>
                <w:szCs w:val="24"/>
              </w:rPr>
            </w:pPr>
            <w:r>
              <w:rPr>
                <w:rFonts w:cs="Times New Roman"/>
                <w:szCs w:val="24"/>
              </w:rPr>
              <w:t xml:space="preserve">Category </w:t>
            </w:r>
          </w:p>
          <w:p>
            <w:pPr>
              <w:spacing w:after="0" w:line="240" w:lineRule="auto"/>
              <w:rPr>
                <w:rFonts w:cs="Times New Roman"/>
                <w:szCs w:val="24"/>
              </w:rPr>
            </w:pPr>
          </w:p>
        </w:tc>
        <w:tc>
          <w:tcPr>
            <w:tcW w:w="3156" w:type="dxa"/>
            <w:vAlign w:val="center"/>
          </w:tcPr>
          <w:p>
            <w:pPr>
              <w:spacing w:after="0" w:line="240" w:lineRule="auto"/>
              <w:rPr>
                <w:rFonts w:cs="Times New Roman"/>
                <w:szCs w:val="24"/>
              </w:rPr>
            </w:pPr>
            <w:r>
              <w:rPr>
                <w:rFonts w:cs="Times New Roman"/>
                <w:szCs w:val="24"/>
              </w:rPr>
              <w:t xml:space="preserve">Item Examples </w:t>
            </w:r>
          </w:p>
        </w:tc>
        <w:tc>
          <w:tcPr>
            <w:tcW w:w="1134" w:type="dxa"/>
            <w:vAlign w:val="center"/>
          </w:tcPr>
          <w:p>
            <w:pPr>
              <w:spacing w:after="0" w:line="240" w:lineRule="auto"/>
              <w:rPr>
                <w:rFonts w:cs="Times New Roman"/>
                <w:szCs w:val="24"/>
              </w:rPr>
            </w:pPr>
            <w:r>
              <w:rPr>
                <w:rFonts w:cs="Times New Roman"/>
                <w:szCs w:val="24"/>
              </w:rPr>
              <w:t>Old Rate (GST 1.0)</w:t>
            </w:r>
          </w:p>
        </w:tc>
        <w:tc>
          <w:tcPr>
            <w:tcW w:w="1276" w:type="dxa"/>
            <w:vAlign w:val="center"/>
          </w:tcPr>
          <w:p>
            <w:pPr>
              <w:spacing w:after="0" w:line="240" w:lineRule="auto"/>
              <w:rPr>
                <w:rFonts w:cs="Times New Roman"/>
                <w:szCs w:val="24"/>
              </w:rPr>
            </w:pPr>
            <w:r>
              <w:rPr>
                <w:rFonts w:cs="Times New Roman"/>
                <w:szCs w:val="24"/>
              </w:rPr>
              <w:t>New Rate (GST 2.0)</w:t>
            </w:r>
          </w:p>
        </w:tc>
        <w:tc>
          <w:tcPr>
            <w:tcW w:w="1417" w:type="dxa"/>
            <w:vAlign w:val="center"/>
          </w:tcPr>
          <w:p>
            <w:pPr>
              <w:spacing w:after="0" w:line="240" w:lineRule="auto"/>
              <w:rPr>
                <w:rFonts w:cs="Times New Roman"/>
                <w:szCs w:val="24"/>
              </w:rPr>
            </w:pPr>
            <w:r>
              <w:rPr>
                <w:rFonts w:cs="Times New Roman"/>
                <w:szCs w:val="24"/>
              </w:rPr>
              <w:t>Estimated Price Drop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cs="Times New Roman"/>
                <w:szCs w:val="24"/>
              </w:rPr>
            </w:pPr>
            <w:r>
              <w:rPr>
                <w:rFonts w:cs="Times New Roman"/>
                <w:szCs w:val="24"/>
              </w:rPr>
              <w:t>1.</w:t>
            </w:r>
          </w:p>
        </w:tc>
        <w:tc>
          <w:tcPr>
            <w:tcW w:w="1456" w:type="dxa"/>
            <w:vAlign w:val="center"/>
          </w:tcPr>
          <w:p>
            <w:pPr>
              <w:spacing w:after="0" w:line="240" w:lineRule="auto"/>
              <w:rPr>
                <w:rFonts w:cs="Times New Roman"/>
                <w:szCs w:val="24"/>
              </w:rPr>
            </w:pPr>
            <w:r>
              <w:rPr>
                <w:rFonts w:cs="Times New Roman"/>
                <w:szCs w:val="24"/>
              </w:rPr>
              <w:t>Food &amp; Groceries</w:t>
            </w:r>
          </w:p>
          <w:p>
            <w:pPr>
              <w:spacing w:after="0" w:line="240" w:lineRule="auto"/>
              <w:rPr>
                <w:rFonts w:cs="Times New Roman"/>
                <w:szCs w:val="24"/>
              </w:rPr>
            </w:pPr>
          </w:p>
        </w:tc>
        <w:tc>
          <w:tcPr>
            <w:tcW w:w="3156" w:type="dxa"/>
            <w:vAlign w:val="center"/>
          </w:tcPr>
          <w:p>
            <w:pPr>
              <w:spacing w:after="0" w:line="240" w:lineRule="auto"/>
              <w:rPr>
                <w:rFonts w:cs="Times New Roman"/>
                <w:szCs w:val="24"/>
              </w:rPr>
            </w:pPr>
            <w:r>
              <w:rPr>
                <w:rFonts w:cs="Times New Roman"/>
                <w:szCs w:val="24"/>
              </w:rPr>
              <w:t>Paneer, Namkeens, Chocolates, Sauces</w:t>
            </w:r>
          </w:p>
        </w:tc>
        <w:tc>
          <w:tcPr>
            <w:tcW w:w="1134" w:type="dxa"/>
            <w:vAlign w:val="center"/>
          </w:tcPr>
          <w:p>
            <w:pPr>
              <w:spacing w:after="0" w:line="240" w:lineRule="auto"/>
              <w:rPr>
                <w:rFonts w:cs="Times New Roman"/>
                <w:szCs w:val="24"/>
              </w:rPr>
            </w:pPr>
            <w:r>
              <w:rPr>
                <w:rFonts w:cs="Times New Roman"/>
                <w:szCs w:val="24"/>
              </w:rPr>
              <w:t>5-18%</w:t>
            </w:r>
          </w:p>
          <w:p>
            <w:pPr>
              <w:spacing w:after="0" w:line="240" w:lineRule="auto"/>
              <w:rPr>
                <w:rFonts w:cs="Times New Roman"/>
                <w:szCs w:val="24"/>
              </w:rPr>
            </w:pPr>
          </w:p>
        </w:tc>
        <w:tc>
          <w:tcPr>
            <w:tcW w:w="1276" w:type="dxa"/>
            <w:vAlign w:val="center"/>
          </w:tcPr>
          <w:p>
            <w:pPr>
              <w:spacing w:after="0" w:line="240" w:lineRule="auto"/>
              <w:rPr>
                <w:rFonts w:cs="Times New Roman"/>
                <w:szCs w:val="24"/>
              </w:rPr>
            </w:pPr>
            <w:r>
              <w:rPr>
                <w:rFonts w:cs="Times New Roman"/>
                <w:szCs w:val="24"/>
              </w:rPr>
              <w:t>0-5%</w:t>
            </w:r>
          </w:p>
        </w:tc>
        <w:tc>
          <w:tcPr>
            <w:tcW w:w="1417" w:type="dxa"/>
            <w:vAlign w:val="center"/>
          </w:tcPr>
          <w:p>
            <w:pPr>
              <w:spacing w:after="0" w:line="240" w:lineRule="auto"/>
              <w:rPr>
                <w:rFonts w:cs="Times New Roman"/>
                <w:szCs w:val="24"/>
              </w:rPr>
            </w:pPr>
            <w:r>
              <w:rPr>
                <w:rFonts w:cs="Times New Roman"/>
                <w:szCs w:val="24"/>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cs="Times New Roman"/>
                <w:szCs w:val="24"/>
              </w:rPr>
            </w:pPr>
            <w:r>
              <w:rPr>
                <w:rFonts w:cs="Times New Roman"/>
                <w:szCs w:val="24"/>
              </w:rPr>
              <w:t>2.</w:t>
            </w:r>
          </w:p>
        </w:tc>
        <w:tc>
          <w:tcPr>
            <w:tcW w:w="1456" w:type="dxa"/>
            <w:vAlign w:val="center"/>
          </w:tcPr>
          <w:p>
            <w:pPr>
              <w:spacing w:after="0" w:line="240" w:lineRule="auto"/>
              <w:rPr>
                <w:rFonts w:cs="Times New Roman"/>
                <w:szCs w:val="24"/>
              </w:rPr>
            </w:pPr>
            <w:r>
              <w:rPr>
                <w:rFonts w:cs="Times New Roman"/>
                <w:szCs w:val="24"/>
              </w:rPr>
              <w:t xml:space="preserve">Healthcare </w:t>
            </w:r>
          </w:p>
          <w:p>
            <w:pPr>
              <w:spacing w:after="0" w:line="240" w:lineRule="auto"/>
              <w:rPr>
                <w:rFonts w:cs="Times New Roman"/>
                <w:szCs w:val="24"/>
              </w:rPr>
            </w:pPr>
          </w:p>
        </w:tc>
        <w:tc>
          <w:tcPr>
            <w:tcW w:w="3156" w:type="dxa"/>
            <w:vAlign w:val="center"/>
          </w:tcPr>
          <w:p>
            <w:pPr>
              <w:spacing w:after="0" w:line="240" w:lineRule="auto"/>
              <w:rPr>
                <w:rFonts w:cs="Times New Roman"/>
                <w:szCs w:val="24"/>
              </w:rPr>
            </w:pPr>
            <w:r>
              <w:rPr>
                <w:rFonts w:cs="Times New Roman"/>
                <w:szCs w:val="24"/>
              </w:rPr>
              <w:t xml:space="preserve">Life-saving drugs, Spectacles, Devices </w:t>
            </w:r>
          </w:p>
        </w:tc>
        <w:tc>
          <w:tcPr>
            <w:tcW w:w="1134" w:type="dxa"/>
            <w:vAlign w:val="center"/>
          </w:tcPr>
          <w:p>
            <w:pPr>
              <w:spacing w:after="0" w:line="240" w:lineRule="auto"/>
              <w:rPr>
                <w:rFonts w:cs="Times New Roman"/>
                <w:szCs w:val="24"/>
              </w:rPr>
            </w:pPr>
            <w:r>
              <w:rPr>
                <w:rFonts w:cs="Times New Roman"/>
                <w:szCs w:val="24"/>
              </w:rPr>
              <w:t>12-18%</w:t>
            </w:r>
          </w:p>
        </w:tc>
        <w:tc>
          <w:tcPr>
            <w:tcW w:w="1276" w:type="dxa"/>
            <w:vAlign w:val="center"/>
          </w:tcPr>
          <w:p>
            <w:pPr>
              <w:spacing w:after="0" w:line="240" w:lineRule="auto"/>
              <w:rPr>
                <w:rFonts w:cs="Times New Roman"/>
                <w:szCs w:val="24"/>
              </w:rPr>
            </w:pPr>
            <w:r>
              <w:rPr>
                <w:rFonts w:cs="Times New Roman"/>
                <w:szCs w:val="24"/>
              </w:rPr>
              <w:t>0-5%</w:t>
            </w:r>
          </w:p>
        </w:tc>
        <w:tc>
          <w:tcPr>
            <w:tcW w:w="1417" w:type="dxa"/>
            <w:vAlign w:val="center"/>
          </w:tcPr>
          <w:p>
            <w:pPr>
              <w:spacing w:after="0" w:line="240" w:lineRule="auto"/>
              <w:rPr>
                <w:rFonts w:cs="Times New Roman"/>
                <w:szCs w:val="24"/>
              </w:rPr>
            </w:pPr>
            <w:r>
              <w:rPr>
                <w:rFonts w:cs="Times New Roman"/>
                <w:szCs w:val="24"/>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cs="Times New Roman"/>
                <w:szCs w:val="24"/>
              </w:rPr>
            </w:pPr>
            <w:r>
              <w:rPr>
                <w:rFonts w:cs="Times New Roman"/>
                <w:szCs w:val="24"/>
              </w:rPr>
              <w:t>3.</w:t>
            </w:r>
          </w:p>
        </w:tc>
        <w:tc>
          <w:tcPr>
            <w:tcW w:w="1456" w:type="dxa"/>
            <w:vAlign w:val="center"/>
          </w:tcPr>
          <w:p>
            <w:pPr>
              <w:spacing w:after="0" w:line="240" w:lineRule="auto"/>
              <w:rPr>
                <w:rFonts w:cs="Times New Roman"/>
                <w:szCs w:val="24"/>
              </w:rPr>
            </w:pPr>
            <w:r>
              <w:rPr>
                <w:rFonts w:cs="Times New Roman"/>
                <w:szCs w:val="24"/>
              </w:rPr>
              <w:t xml:space="preserve">Consumer Durables </w:t>
            </w:r>
          </w:p>
          <w:p>
            <w:pPr>
              <w:spacing w:after="0" w:line="240" w:lineRule="auto"/>
              <w:rPr>
                <w:rFonts w:cs="Times New Roman"/>
                <w:szCs w:val="24"/>
              </w:rPr>
            </w:pPr>
          </w:p>
        </w:tc>
        <w:tc>
          <w:tcPr>
            <w:tcW w:w="3156" w:type="dxa"/>
            <w:vAlign w:val="center"/>
          </w:tcPr>
          <w:p>
            <w:pPr>
              <w:spacing w:after="0" w:line="240" w:lineRule="auto"/>
              <w:rPr>
                <w:rFonts w:cs="Times New Roman"/>
                <w:szCs w:val="24"/>
              </w:rPr>
            </w:pPr>
            <w:r>
              <w:rPr>
                <w:rFonts w:cs="Times New Roman"/>
                <w:szCs w:val="24"/>
              </w:rPr>
              <w:t xml:space="preserve">TVs (&gt;32"), ACs, Washing Machines </w:t>
            </w:r>
          </w:p>
        </w:tc>
        <w:tc>
          <w:tcPr>
            <w:tcW w:w="1134" w:type="dxa"/>
            <w:vAlign w:val="center"/>
          </w:tcPr>
          <w:p>
            <w:pPr>
              <w:spacing w:after="0" w:line="240" w:lineRule="auto"/>
              <w:rPr>
                <w:rFonts w:cs="Times New Roman"/>
                <w:szCs w:val="24"/>
              </w:rPr>
            </w:pPr>
            <w:r>
              <w:rPr>
                <w:rFonts w:cs="Times New Roman"/>
                <w:szCs w:val="24"/>
              </w:rPr>
              <w:t xml:space="preserve">28% </w:t>
            </w:r>
          </w:p>
        </w:tc>
        <w:tc>
          <w:tcPr>
            <w:tcW w:w="1276" w:type="dxa"/>
            <w:vAlign w:val="center"/>
          </w:tcPr>
          <w:p>
            <w:pPr>
              <w:spacing w:after="0" w:line="240" w:lineRule="auto"/>
              <w:rPr>
                <w:rFonts w:cs="Times New Roman"/>
                <w:szCs w:val="24"/>
              </w:rPr>
            </w:pPr>
            <w:r>
              <w:rPr>
                <w:rFonts w:cs="Times New Roman"/>
                <w:szCs w:val="24"/>
              </w:rPr>
              <w:t xml:space="preserve">18% </w:t>
            </w:r>
          </w:p>
        </w:tc>
        <w:tc>
          <w:tcPr>
            <w:tcW w:w="1417" w:type="dxa"/>
            <w:vAlign w:val="center"/>
          </w:tcPr>
          <w:p>
            <w:pPr>
              <w:spacing w:after="0" w:line="240" w:lineRule="auto"/>
              <w:rPr>
                <w:rFonts w:cs="Times New Roman"/>
                <w:szCs w:val="24"/>
              </w:rPr>
            </w:pPr>
            <w:r>
              <w:rPr>
                <w:rFonts w:cs="Times New Roman"/>
                <w:szCs w:val="24"/>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cs="Times New Roman"/>
                <w:szCs w:val="24"/>
              </w:rPr>
            </w:pPr>
            <w:r>
              <w:rPr>
                <w:rFonts w:cs="Times New Roman"/>
                <w:szCs w:val="24"/>
              </w:rPr>
              <w:t>4.</w:t>
            </w:r>
          </w:p>
        </w:tc>
        <w:tc>
          <w:tcPr>
            <w:tcW w:w="1456" w:type="dxa"/>
            <w:vAlign w:val="center"/>
          </w:tcPr>
          <w:p>
            <w:pPr>
              <w:spacing w:after="0" w:line="240" w:lineRule="auto"/>
              <w:rPr>
                <w:rFonts w:cs="Times New Roman"/>
                <w:szCs w:val="24"/>
              </w:rPr>
            </w:pPr>
            <w:r>
              <w:rPr>
                <w:rFonts w:cs="Times New Roman"/>
                <w:szCs w:val="24"/>
              </w:rPr>
              <w:t xml:space="preserve">Automobiles </w:t>
            </w:r>
          </w:p>
          <w:p>
            <w:pPr>
              <w:spacing w:after="0" w:line="240" w:lineRule="auto"/>
              <w:rPr>
                <w:rFonts w:cs="Times New Roman"/>
                <w:szCs w:val="24"/>
              </w:rPr>
            </w:pPr>
          </w:p>
        </w:tc>
        <w:tc>
          <w:tcPr>
            <w:tcW w:w="3156" w:type="dxa"/>
            <w:vAlign w:val="center"/>
          </w:tcPr>
          <w:p>
            <w:pPr>
              <w:spacing w:after="0" w:line="240" w:lineRule="auto"/>
              <w:rPr>
                <w:rFonts w:cs="Times New Roman"/>
                <w:szCs w:val="24"/>
              </w:rPr>
            </w:pPr>
            <w:r>
              <w:rPr>
                <w:rFonts w:cs="Times New Roman"/>
                <w:szCs w:val="24"/>
              </w:rPr>
              <w:t xml:space="preserve">Small cars, Two-wheelers, Auto Parts </w:t>
            </w:r>
          </w:p>
        </w:tc>
        <w:tc>
          <w:tcPr>
            <w:tcW w:w="1134" w:type="dxa"/>
            <w:vAlign w:val="center"/>
          </w:tcPr>
          <w:p>
            <w:pPr>
              <w:spacing w:after="0" w:line="240" w:lineRule="auto"/>
              <w:rPr>
                <w:rFonts w:cs="Times New Roman"/>
                <w:szCs w:val="24"/>
              </w:rPr>
            </w:pPr>
            <w:r>
              <w:rPr>
                <w:rFonts w:cs="Times New Roman"/>
                <w:szCs w:val="24"/>
              </w:rPr>
              <w:t xml:space="preserve">28% </w:t>
            </w:r>
          </w:p>
        </w:tc>
        <w:tc>
          <w:tcPr>
            <w:tcW w:w="1276" w:type="dxa"/>
            <w:vAlign w:val="center"/>
          </w:tcPr>
          <w:p>
            <w:pPr>
              <w:spacing w:after="0" w:line="240" w:lineRule="auto"/>
              <w:rPr>
                <w:rFonts w:cs="Times New Roman"/>
                <w:szCs w:val="24"/>
              </w:rPr>
            </w:pPr>
            <w:r>
              <w:rPr>
                <w:rFonts w:cs="Times New Roman"/>
                <w:szCs w:val="24"/>
              </w:rPr>
              <w:t xml:space="preserve">18% </w:t>
            </w:r>
          </w:p>
        </w:tc>
        <w:tc>
          <w:tcPr>
            <w:tcW w:w="1417" w:type="dxa"/>
            <w:vAlign w:val="center"/>
          </w:tcPr>
          <w:p>
            <w:pPr>
              <w:spacing w:after="0" w:line="240" w:lineRule="auto"/>
              <w:rPr>
                <w:rFonts w:cs="Times New Roman"/>
                <w:szCs w:val="24"/>
              </w:rPr>
            </w:pPr>
            <w:r>
              <w:rPr>
                <w:rFonts w:cs="Times New Roman"/>
                <w:szCs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cs="Times New Roman"/>
                <w:szCs w:val="24"/>
              </w:rPr>
            </w:pPr>
            <w:r>
              <w:rPr>
                <w:rFonts w:cs="Times New Roman"/>
                <w:szCs w:val="24"/>
              </w:rPr>
              <w:t>5.</w:t>
            </w:r>
          </w:p>
        </w:tc>
        <w:tc>
          <w:tcPr>
            <w:tcW w:w="1456" w:type="dxa"/>
            <w:vAlign w:val="center"/>
          </w:tcPr>
          <w:p>
            <w:pPr>
              <w:spacing w:after="0" w:line="240" w:lineRule="auto"/>
              <w:rPr>
                <w:rFonts w:cs="Times New Roman"/>
                <w:szCs w:val="24"/>
              </w:rPr>
            </w:pPr>
            <w:r>
              <w:rPr>
                <w:rFonts w:cs="Times New Roman"/>
                <w:szCs w:val="24"/>
              </w:rPr>
              <w:t xml:space="preserve">Construction </w:t>
            </w:r>
          </w:p>
          <w:p>
            <w:pPr>
              <w:spacing w:after="0" w:line="240" w:lineRule="auto"/>
              <w:rPr>
                <w:rFonts w:cs="Times New Roman"/>
                <w:szCs w:val="24"/>
              </w:rPr>
            </w:pPr>
          </w:p>
        </w:tc>
        <w:tc>
          <w:tcPr>
            <w:tcW w:w="3156" w:type="dxa"/>
            <w:vAlign w:val="center"/>
          </w:tcPr>
          <w:p>
            <w:pPr>
              <w:spacing w:after="0" w:line="240" w:lineRule="auto"/>
              <w:rPr>
                <w:rFonts w:cs="Times New Roman"/>
                <w:szCs w:val="24"/>
              </w:rPr>
            </w:pPr>
            <w:r>
              <w:rPr>
                <w:rFonts w:cs="Times New Roman"/>
                <w:szCs w:val="24"/>
              </w:rPr>
              <w:t xml:space="preserve">Cement, Granite Blocks </w:t>
            </w:r>
          </w:p>
        </w:tc>
        <w:tc>
          <w:tcPr>
            <w:tcW w:w="1134" w:type="dxa"/>
            <w:vAlign w:val="center"/>
          </w:tcPr>
          <w:p>
            <w:pPr>
              <w:spacing w:after="0" w:line="240" w:lineRule="auto"/>
              <w:rPr>
                <w:rFonts w:cs="Times New Roman"/>
                <w:szCs w:val="24"/>
              </w:rPr>
            </w:pPr>
            <w:r>
              <w:rPr>
                <w:rFonts w:cs="Times New Roman"/>
                <w:szCs w:val="24"/>
              </w:rPr>
              <w:t xml:space="preserve">12-28% </w:t>
            </w:r>
          </w:p>
        </w:tc>
        <w:tc>
          <w:tcPr>
            <w:tcW w:w="1276" w:type="dxa"/>
            <w:vAlign w:val="center"/>
          </w:tcPr>
          <w:p>
            <w:pPr>
              <w:spacing w:after="0" w:line="240" w:lineRule="auto"/>
              <w:rPr>
                <w:rFonts w:cs="Times New Roman"/>
                <w:szCs w:val="24"/>
              </w:rPr>
            </w:pPr>
            <w:r>
              <w:rPr>
                <w:rFonts w:cs="Times New Roman"/>
                <w:szCs w:val="24"/>
              </w:rPr>
              <w:t xml:space="preserve">5-18% </w:t>
            </w:r>
          </w:p>
        </w:tc>
        <w:tc>
          <w:tcPr>
            <w:tcW w:w="1417" w:type="dxa"/>
            <w:vAlign w:val="center"/>
          </w:tcPr>
          <w:p>
            <w:pPr>
              <w:spacing w:after="0" w:line="240" w:lineRule="auto"/>
              <w:rPr>
                <w:rFonts w:cs="Times New Roman"/>
                <w:szCs w:val="24"/>
              </w:rPr>
            </w:pPr>
            <w:r>
              <w:rPr>
                <w:rFonts w:cs="Times New Roman"/>
                <w:szCs w:val="24"/>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cs="Times New Roman"/>
                <w:szCs w:val="24"/>
              </w:rPr>
            </w:pPr>
            <w:r>
              <w:rPr>
                <w:rFonts w:cs="Times New Roman"/>
                <w:szCs w:val="24"/>
              </w:rPr>
              <w:t>6.</w:t>
            </w:r>
          </w:p>
        </w:tc>
        <w:tc>
          <w:tcPr>
            <w:tcW w:w="1456" w:type="dxa"/>
            <w:vAlign w:val="center"/>
          </w:tcPr>
          <w:p>
            <w:pPr>
              <w:spacing w:after="0" w:line="240" w:lineRule="auto"/>
              <w:rPr>
                <w:rFonts w:cs="Times New Roman"/>
                <w:szCs w:val="24"/>
              </w:rPr>
            </w:pPr>
            <w:r>
              <w:rPr>
                <w:rFonts w:cs="Times New Roman"/>
                <w:szCs w:val="24"/>
              </w:rPr>
              <w:t xml:space="preserve">Services </w:t>
            </w:r>
          </w:p>
          <w:p>
            <w:pPr>
              <w:spacing w:after="0" w:line="240" w:lineRule="auto"/>
              <w:rPr>
                <w:rFonts w:cs="Times New Roman"/>
                <w:szCs w:val="24"/>
              </w:rPr>
            </w:pPr>
          </w:p>
        </w:tc>
        <w:tc>
          <w:tcPr>
            <w:tcW w:w="3156" w:type="dxa"/>
            <w:vAlign w:val="center"/>
          </w:tcPr>
          <w:p>
            <w:pPr>
              <w:spacing w:after="0" w:line="240" w:lineRule="auto"/>
              <w:rPr>
                <w:rFonts w:cs="Times New Roman"/>
                <w:szCs w:val="24"/>
              </w:rPr>
            </w:pPr>
            <w:r>
              <w:rPr>
                <w:rFonts w:cs="Times New Roman"/>
                <w:szCs w:val="24"/>
              </w:rPr>
              <w:t xml:space="preserve">Gyms, Salons, Hotel Stays (&lt;₹7,500) </w:t>
            </w:r>
          </w:p>
        </w:tc>
        <w:tc>
          <w:tcPr>
            <w:tcW w:w="1134" w:type="dxa"/>
            <w:vAlign w:val="center"/>
          </w:tcPr>
          <w:p>
            <w:pPr>
              <w:spacing w:after="0" w:line="240" w:lineRule="auto"/>
              <w:rPr>
                <w:rFonts w:cs="Times New Roman"/>
                <w:szCs w:val="24"/>
              </w:rPr>
            </w:pPr>
            <w:r>
              <w:rPr>
                <w:rFonts w:cs="Times New Roman"/>
                <w:szCs w:val="24"/>
              </w:rPr>
              <w:t xml:space="preserve">12-18% </w:t>
            </w:r>
          </w:p>
        </w:tc>
        <w:tc>
          <w:tcPr>
            <w:tcW w:w="1276" w:type="dxa"/>
            <w:vAlign w:val="center"/>
          </w:tcPr>
          <w:p>
            <w:pPr>
              <w:spacing w:after="0" w:line="240" w:lineRule="auto"/>
              <w:rPr>
                <w:rFonts w:cs="Times New Roman"/>
                <w:szCs w:val="24"/>
              </w:rPr>
            </w:pPr>
            <w:r>
              <w:rPr>
                <w:rFonts w:cs="Times New Roman"/>
                <w:szCs w:val="24"/>
              </w:rPr>
              <w:t>5%</w:t>
            </w:r>
          </w:p>
        </w:tc>
        <w:tc>
          <w:tcPr>
            <w:tcW w:w="1417" w:type="dxa"/>
            <w:vAlign w:val="center"/>
          </w:tcPr>
          <w:p>
            <w:pPr>
              <w:spacing w:after="0" w:line="240" w:lineRule="auto"/>
              <w:rPr>
                <w:rFonts w:cs="Times New Roman"/>
                <w:szCs w:val="24"/>
              </w:rPr>
            </w:pPr>
            <w:r>
              <w:rPr>
                <w:rFonts w:cs="Times New Roman"/>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after="0" w:line="240" w:lineRule="auto"/>
              <w:rPr>
                <w:rFonts w:cs="Times New Roman"/>
                <w:szCs w:val="24"/>
              </w:rPr>
            </w:pPr>
            <w:r>
              <w:rPr>
                <w:rFonts w:cs="Times New Roman"/>
                <w:szCs w:val="24"/>
              </w:rPr>
              <w:t>7.</w:t>
            </w:r>
          </w:p>
        </w:tc>
        <w:tc>
          <w:tcPr>
            <w:tcW w:w="1456" w:type="dxa"/>
            <w:vAlign w:val="center"/>
          </w:tcPr>
          <w:p>
            <w:pPr>
              <w:spacing w:after="0" w:line="240" w:lineRule="auto"/>
              <w:rPr>
                <w:rFonts w:cs="Times New Roman"/>
                <w:szCs w:val="24"/>
              </w:rPr>
            </w:pPr>
            <w:r>
              <w:rPr>
                <w:rFonts w:cs="Times New Roman"/>
                <w:szCs w:val="24"/>
              </w:rPr>
              <w:t xml:space="preserve">Education </w:t>
            </w:r>
          </w:p>
          <w:p>
            <w:pPr>
              <w:spacing w:after="0" w:line="240" w:lineRule="auto"/>
              <w:rPr>
                <w:rFonts w:cs="Times New Roman"/>
                <w:szCs w:val="24"/>
              </w:rPr>
            </w:pPr>
          </w:p>
        </w:tc>
        <w:tc>
          <w:tcPr>
            <w:tcW w:w="3156" w:type="dxa"/>
            <w:vAlign w:val="center"/>
          </w:tcPr>
          <w:p>
            <w:pPr>
              <w:spacing w:after="0" w:line="240" w:lineRule="auto"/>
              <w:rPr>
                <w:rFonts w:cs="Times New Roman"/>
                <w:szCs w:val="24"/>
              </w:rPr>
            </w:pPr>
            <w:r>
              <w:rPr>
                <w:rFonts w:cs="Times New Roman"/>
                <w:szCs w:val="24"/>
              </w:rPr>
              <w:t xml:space="preserve">Exercise Books, Pencils, Erasers </w:t>
            </w:r>
          </w:p>
        </w:tc>
        <w:tc>
          <w:tcPr>
            <w:tcW w:w="1134" w:type="dxa"/>
            <w:vAlign w:val="center"/>
          </w:tcPr>
          <w:p>
            <w:pPr>
              <w:spacing w:after="0" w:line="240" w:lineRule="auto"/>
              <w:rPr>
                <w:rFonts w:cs="Times New Roman"/>
                <w:szCs w:val="24"/>
              </w:rPr>
            </w:pPr>
            <w:r>
              <w:rPr>
                <w:rFonts w:cs="Times New Roman"/>
                <w:szCs w:val="24"/>
              </w:rPr>
              <w:t xml:space="preserve">12% </w:t>
            </w:r>
          </w:p>
        </w:tc>
        <w:tc>
          <w:tcPr>
            <w:tcW w:w="1276" w:type="dxa"/>
            <w:vAlign w:val="center"/>
          </w:tcPr>
          <w:p>
            <w:pPr>
              <w:spacing w:after="0" w:line="240" w:lineRule="auto"/>
              <w:rPr>
                <w:rFonts w:cs="Times New Roman"/>
                <w:szCs w:val="24"/>
              </w:rPr>
            </w:pPr>
            <w:r>
              <w:rPr>
                <w:rFonts w:cs="Times New Roman"/>
                <w:szCs w:val="24"/>
              </w:rPr>
              <w:t xml:space="preserve">0-5% </w:t>
            </w:r>
          </w:p>
        </w:tc>
        <w:tc>
          <w:tcPr>
            <w:tcW w:w="1417" w:type="dxa"/>
            <w:vAlign w:val="center"/>
          </w:tcPr>
          <w:p>
            <w:pPr>
              <w:spacing w:after="0" w:line="240" w:lineRule="auto"/>
              <w:rPr>
                <w:rFonts w:cs="Times New Roman"/>
                <w:szCs w:val="24"/>
              </w:rPr>
            </w:pPr>
            <w:r>
              <w:rPr>
                <w:rFonts w:cs="Times New Roman"/>
                <w:szCs w:val="24"/>
              </w:rPr>
              <w:t>5-12</w:t>
            </w:r>
          </w:p>
        </w:tc>
      </w:tr>
    </w:tbl>
    <w:p>
      <w:pPr>
        <w:spacing w:line="360" w:lineRule="auto"/>
        <w:rPr>
          <w:rFonts w:cs="Times New Roman"/>
          <w:szCs w:val="24"/>
        </w:rPr>
      </w:pPr>
      <w:r>
        <w:rPr>
          <w:rFonts w:cs="Times New Roman"/>
          <w:szCs w:val="24"/>
        </w:rPr>
        <w:t>Source: Compiled from GST Council lists and media analyses. Price drops calculated as rate differential passed through (assuming 80-90% transmission)</w:t>
      </w:r>
      <w:sdt>
        <w:sdtPr>
          <w:rPr>
            <w:rFonts w:cs="Times New Roman"/>
            <w:szCs w:val="24"/>
          </w:rPr>
          <w:id w:val="-310175458"/>
        </w:sdtPr>
        <w:sdtEndPr>
          <w:rPr>
            <w:rFonts w:cs="Times New Roman"/>
            <w:szCs w:val="24"/>
          </w:rPr>
        </w:sdtEndPr>
        <w:sdtContent>
          <w:r>
            <w:rPr>
              <w:rFonts w:cs="Times New Roman"/>
              <w:szCs w:val="24"/>
            </w:rPr>
            <w:fldChar w:fldCharType="begin"/>
          </w:r>
          <w:r>
            <w:rPr>
              <w:rFonts w:cs="Times New Roman"/>
              <w:szCs w:val="24"/>
            </w:rPr>
            <w:instrText xml:space="preserve"> CITATION Kuc25 \l 16393 </w:instrText>
          </w:r>
          <w:r>
            <w:rPr>
              <w:rFonts w:cs="Times New Roman"/>
              <w:szCs w:val="24"/>
            </w:rPr>
            <w:fldChar w:fldCharType="separate"/>
          </w:r>
          <w:r>
            <w:rPr>
              <w:rFonts w:cs="Times New Roman"/>
              <w:szCs w:val="24"/>
            </w:rPr>
            <w:t xml:space="preserve"> (Kuchroo, 2025)</w:t>
          </w:r>
          <w:r>
            <w:rPr>
              <w:rFonts w:cs="Times New Roman"/>
              <w:szCs w:val="24"/>
            </w:rPr>
            <w:fldChar w:fldCharType="end"/>
          </w:r>
        </w:sdtContent>
      </w:sdt>
      <w:r>
        <w:rPr>
          <w:rFonts w:cs="Times New Roman"/>
          <w:szCs w:val="24"/>
        </w:rPr>
        <w:t>,</w:t>
      </w:r>
      <w:sdt>
        <w:sdtPr>
          <w:rPr>
            <w:rFonts w:cs="Times New Roman"/>
            <w:szCs w:val="24"/>
          </w:rPr>
          <w:id w:val="-420034347"/>
        </w:sdtPr>
        <w:sdtEndPr>
          <w:rPr>
            <w:rFonts w:cs="Times New Roman"/>
            <w:szCs w:val="24"/>
          </w:rPr>
        </w:sdtEndPr>
        <w:sdtContent>
          <w:r>
            <w:rPr>
              <w:rFonts w:cs="Times New Roman"/>
              <w:szCs w:val="24"/>
            </w:rPr>
            <w:fldChar w:fldCharType="begin"/>
          </w:r>
          <w:r>
            <w:rPr>
              <w:rFonts w:cs="Times New Roman"/>
              <w:szCs w:val="24"/>
            </w:rPr>
            <w:instrText xml:space="preserve"> CITATION PIB25 \l 16393 </w:instrText>
          </w:r>
          <w:r>
            <w:rPr>
              <w:rFonts w:cs="Times New Roman"/>
              <w:szCs w:val="24"/>
            </w:rPr>
            <w:fldChar w:fldCharType="separate"/>
          </w:r>
          <w:r>
            <w:rPr>
              <w:rFonts w:cs="Times New Roman"/>
              <w:szCs w:val="24"/>
            </w:rPr>
            <w:t xml:space="preserve"> (PIB, 2025)</w:t>
          </w:r>
          <w:r>
            <w:rPr>
              <w:rFonts w:cs="Times New Roman"/>
              <w:szCs w:val="24"/>
            </w:rPr>
            <w:fldChar w:fldCharType="end"/>
          </w:r>
        </w:sdtContent>
      </w:sdt>
      <w:sdt>
        <w:sdtPr>
          <w:rPr>
            <w:rFonts w:cs="Times New Roman"/>
            <w:szCs w:val="24"/>
          </w:rPr>
          <w:id w:val="794565672"/>
        </w:sdtPr>
        <w:sdtEndPr>
          <w:rPr>
            <w:rFonts w:cs="Times New Roman"/>
            <w:szCs w:val="24"/>
          </w:rPr>
        </w:sdtEndPr>
        <w:sdtContent>
          <w:r>
            <w:rPr>
              <w:rFonts w:cs="Times New Roman"/>
              <w:szCs w:val="24"/>
            </w:rPr>
            <w:fldChar w:fldCharType="begin"/>
          </w:r>
          <w:r>
            <w:rPr>
              <w:rFonts w:cs="Times New Roman"/>
              <w:szCs w:val="24"/>
            </w:rPr>
            <w:instrText xml:space="preserve"> CITATION HTN251 \l 16393 </w:instrText>
          </w:r>
          <w:r>
            <w:rPr>
              <w:rFonts w:cs="Times New Roman"/>
              <w:szCs w:val="24"/>
            </w:rPr>
            <w:fldChar w:fldCharType="separate"/>
          </w:r>
          <w:r>
            <w:rPr>
              <w:rFonts w:cs="Times New Roman"/>
              <w:szCs w:val="24"/>
            </w:rPr>
            <w:t xml:space="preserve"> (HT News Desk, 2025)</w:t>
          </w:r>
          <w:r>
            <w:rPr>
              <w:rFonts w:cs="Times New Roman"/>
              <w:szCs w:val="24"/>
            </w:rPr>
            <w:fldChar w:fldCharType="end"/>
          </w:r>
        </w:sdtContent>
      </w:sdt>
    </w:p>
    <w:p>
      <w:pPr>
        <w:spacing w:line="360" w:lineRule="auto"/>
        <w:rPr>
          <w:rFonts w:cs="Times New Roman"/>
          <w:b/>
          <w:bCs/>
          <w:szCs w:val="24"/>
        </w:rPr>
      </w:pPr>
      <w:r>
        <w:rPr>
          <w:rFonts w:cs="Times New Roman"/>
          <w:b/>
          <w:bCs/>
          <w:szCs w:val="24"/>
        </w:rPr>
        <w:t>Are There Real Changes? An Assessment</w:t>
      </w:r>
    </w:p>
    <w:p>
      <w:pPr>
        <w:spacing w:line="360" w:lineRule="auto"/>
        <w:ind w:firstLine="720"/>
        <w:jc w:val="both"/>
        <w:rPr>
          <w:rFonts w:cs="Times New Roman"/>
          <w:szCs w:val="24"/>
        </w:rPr>
      </w:pPr>
      <w:r>
        <w:rPr>
          <w:rFonts w:cs="Times New Roman"/>
          <w:szCs w:val="24"/>
        </w:rPr>
        <w:t xml:space="preserve">GST 2.0 manifests structural reforms designed to curtail litigation and expedite credit disbursement, moving away from ad hoc adjustments toward systemic improvements. The consolidation of tax slabs is anticipated to reduce classification litigations by 70%, while the automation of refunds is expected to expedite the disbursement of ₹30,000 crore in annual credits. In contrast to the iterative modifications of GST 1.0, which involved over 200 notifications, GST 2.0 represents a structural shift by merging slabs and exempting insurance, thereby addressing fundamental inefficiencies. This is evidenced by the projected 10-15% increase in MSME registrations post-launch. However, the exclusion of sectors such as petroleum continues to impede full unification. </w:t>
      </w:r>
    </w:p>
    <w:p>
      <w:pPr>
        <w:spacing w:line="360" w:lineRule="auto"/>
        <w:jc w:val="both"/>
        <w:rPr>
          <w:rFonts w:cs="Times New Roman"/>
          <w:b/>
          <w:bCs/>
          <w:szCs w:val="24"/>
        </w:rPr>
      </w:pPr>
      <w:r>
        <w:rPr>
          <w:rFonts w:cs="Times New Roman"/>
          <w:b/>
          <w:bCs/>
          <w:szCs w:val="24"/>
        </w:rPr>
        <w:t>Will People Benefit?</w:t>
      </w:r>
    </w:p>
    <w:p>
      <w:pPr>
        <w:spacing w:line="360" w:lineRule="auto"/>
        <w:ind w:firstLine="720"/>
        <w:jc w:val="both"/>
        <w:rPr>
          <w:rFonts w:cs="Times New Roman"/>
          <w:szCs w:val="24"/>
        </w:rPr>
      </w:pPr>
      <w:r>
        <w:rPr>
          <w:rFonts w:cs="Times New Roman"/>
          <w:szCs w:val="24"/>
        </w:rPr>
        <w:t>By targeting essential goods and boosting affordability, GST 2.0 aims to enhance consumer welfare, potentially increasing household disposable income and stimulating demand. Reforms prioritize the "common man," slashing costs on essentials and stimulating spending. Households could save ₹1,200-1,800 monthly, equating to 13% grocery bill relief and broader affordability in healthcare/education.</w:t>
      </w:r>
      <w:sdt>
        <w:sdtPr>
          <w:rPr>
            <w:rFonts w:cs="Times New Roman"/>
            <w:szCs w:val="24"/>
          </w:rPr>
          <w:id w:val="-1585371380"/>
        </w:sdtPr>
        <w:sdtEndPr>
          <w:rPr>
            <w:rFonts w:cs="Times New Roman"/>
            <w:szCs w:val="24"/>
          </w:rPr>
        </w:sdtEndPr>
        <w:sdtContent>
          <w:r>
            <w:rPr>
              <w:rFonts w:cs="Times New Roman"/>
              <w:szCs w:val="24"/>
            </w:rPr>
            <w:fldChar w:fldCharType="begin"/>
          </w:r>
          <w:r>
            <w:rPr>
              <w:rFonts w:cs="Times New Roman"/>
              <w:szCs w:val="24"/>
            </w:rPr>
            <w:instrText xml:space="preserve"> CITATION Cho25 \l 16393 </w:instrText>
          </w:r>
          <w:r>
            <w:rPr>
              <w:rFonts w:cs="Times New Roman"/>
              <w:szCs w:val="24"/>
            </w:rPr>
            <w:fldChar w:fldCharType="separate"/>
          </w:r>
          <w:r>
            <w:rPr>
              <w:rFonts w:cs="Times New Roman"/>
              <w:szCs w:val="24"/>
            </w:rPr>
            <w:t xml:space="preserve"> (Choudhary, 2025)</w:t>
          </w:r>
          <w:r>
            <w:rPr>
              <w:rFonts w:cs="Times New Roman"/>
              <w:szCs w:val="24"/>
            </w:rPr>
            <w:fldChar w:fldCharType="end"/>
          </w:r>
        </w:sdtContent>
      </w:sdt>
      <w:r>
        <w:rPr>
          <w:rFonts w:cs="Times New Roman"/>
          <w:szCs w:val="24"/>
        </w:rPr>
        <w:t>. For the consumer to really benefit, the industries need to pass on the benefit to the consumers. A move like this is significant considering upcoming festivals in India and might boost consumer segment.</w:t>
      </w:r>
      <w:r>
        <w:rPr>
          <w:rFonts w:cs="Times New Roman"/>
          <w:color w:val="666666"/>
          <w:szCs w:val="24"/>
          <w:shd w:val="clear" w:color="auto" w:fill="FFFFFF"/>
        </w:rPr>
        <w:t xml:space="preserve"> </w:t>
      </w:r>
      <w:r>
        <w:rPr>
          <w:rFonts w:cs="Times New Roman"/>
          <w:szCs w:val="24"/>
        </w:rPr>
        <w:t>As India pursues its ambition of becoming a</w:t>
      </w:r>
      <w:r>
        <w:rPr>
          <w:rFonts w:cs="Times New Roman"/>
          <w:b/>
          <w:bCs/>
          <w:szCs w:val="24"/>
        </w:rPr>
        <w:t> USD 5 trillion economy soon</w:t>
      </w:r>
      <w:r>
        <w:rPr>
          <w:rFonts w:cs="Times New Roman"/>
          <w:szCs w:val="24"/>
        </w:rPr>
        <w:t>, GST 2.0 could be a pivotal step toward unlocking consumption-led growth. The rate cuts boost purchasing power and demand across FMCG, durables, and autos especially in rural areas. They also narrow price gaps, shifting demand from unorganized to organized sectors. The challenge lies in balancing affordability with fiscal sustainability, ensuring benefits reach both consumers and the broader economy.</w:t>
      </w:r>
      <w:sdt>
        <w:sdtPr>
          <w:rPr>
            <w:rFonts w:cs="Times New Roman"/>
            <w:szCs w:val="24"/>
          </w:rPr>
          <w:id w:val="962618690"/>
        </w:sdtPr>
        <w:sdtEndPr>
          <w:rPr>
            <w:rFonts w:cs="Times New Roman"/>
            <w:szCs w:val="24"/>
          </w:rPr>
        </w:sdtEndPr>
        <w:sdtContent>
          <w:r>
            <w:rPr>
              <w:rFonts w:cs="Times New Roman"/>
              <w:szCs w:val="24"/>
            </w:rPr>
            <w:fldChar w:fldCharType="begin"/>
          </w:r>
          <w:r>
            <w:rPr>
              <w:rFonts w:cs="Times New Roman"/>
              <w:szCs w:val="24"/>
            </w:rPr>
            <w:instrText xml:space="preserve"> CITATION Kot \l 16393 </w:instrText>
          </w:r>
          <w:r>
            <w:rPr>
              <w:rFonts w:cs="Times New Roman"/>
              <w:szCs w:val="24"/>
            </w:rPr>
            <w:fldChar w:fldCharType="separate"/>
          </w:r>
          <w:r>
            <w:rPr>
              <w:rFonts w:cs="Times New Roman"/>
              <w:szCs w:val="24"/>
            </w:rPr>
            <w:t xml:space="preserve"> (KotakMF)</w:t>
          </w:r>
          <w:r>
            <w:rPr>
              <w:rFonts w:cs="Times New Roman"/>
              <w:szCs w:val="24"/>
            </w:rPr>
            <w:fldChar w:fldCharType="end"/>
          </w:r>
        </w:sdtContent>
      </w:sdt>
    </w:p>
    <w:p>
      <w:pPr>
        <w:spacing w:line="360" w:lineRule="auto"/>
        <w:ind w:firstLine="720"/>
        <w:jc w:val="both"/>
        <w:rPr>
          <w:rFonts w:cs="Times New Roman"/>
          <w:szCs w:val="24"/>
        </w:rPr>
      </w:pPr>
      <w:r>
        <w:rPr>
          <w:rFonts w:cs="Times New Roman"/>
          <w:szCs w:val="24"/>
        </w:rPr>
        <w:t>The rollout of GST 2.0 on 22 September has prompted significant adjustments in pricing and inventory strategies across India’s consumer products sector. Major FMCG firms such as Parle Products and Mother Dairy are reducing product prices to reflect the revised tax benefits, ensuring that even low-cost items at the crucial INR 5 and INR 10 price points are included. Notably, Mother Dairy has lowered its INR 10 ice cream pack to INR 9, facilitated by digital payment systems to circumvent coinage concerns. Parle, facing practical challenges with pre-printed packaging, is temporarily using inkjet printing to display revised MRPs while planning a return to standard price points through adjusted grammage. In contrast, the consumer durables sector is leveraging pre-booking offers to align with the revised tax regime, enabling clearance of older inventory while scheduling billing and delivery post-implementation. Companies such as Haier India and Super Plastronics (operating brands like Thomson, Kodak, and Blaupunkt) are using this approach to stimulate festive demand and smoothen the transition. The new GST framework consolidates the earlier 12 percent and 28 percent slabs into two rates of 5 percent and 18 percent, thereby simplifying tax compliance while encouraging greater consumer spending. Collectively, these strategies illustrate how companies are balancing operational constraints with the mandate to pass on benefits directly, highlighting the broader economic implications of GST 2.0 for consumption and market efficiency.</w:t>
      </w:r>
      <w:sdt>
        <w:sdtPr>
          <w:rPr>
            <w:rFonts w:cs="Times New Roman"/>
            <w:szCs w:val="24"/>
          </w:rPr>
          <w:id w:val="-1592543952"/>
        </w:sdtPr>
        <w:sdtEndPr>
          <w:rPr>
            <w:rFonts w:cs="Times New Roman"/>
            <w:szCs w:val="24"/>
          </w:rPr>
        </w:sdtEndPr>
        <w:sdtContent>
          <w:r>
            <w:rPr>
              <w:rFonts w:cs="Times New Roman"/>
              <w:szCs w:val="24"/>
            </w:rPr>
            <w:fldChar w:fldCharType="begin"/>
          </w:r>
          <w:r>
            <w:rPr>
              <w:rFonts w:cs="Times New Roman"/>
              <w:szCs w:val="24"/>
            </w:rPr>
            <w:instrText xml:space="preserve"> CITATION Pra25 \l 16393 </w:instrText>
          </w:r>
          <w:r>
            <w:rPr>
              <w:rFonts w:cs="Times New Roman"/>
              <w:szCs w:val="24"/>
            </w:rPr>
            <w:fldChar w:fldCharType="separate"/>
          </w:r>
          <w:r>
            <w:rPr>
              <w:rFonts w:cs="Times New Roman"/>
              <w:szCs w:val="24"/>
            </w:rPr>
            <w:t xml:space="preserve"> (Prakash, 2025)</w:t>
          </w:r>
          <w:r>
            <w:rPr>
              <w:rFonts w:cs="Times New Roman"/>
              <w:szCs w:val="24"/>
            </w:rPr>
            <w:fldChar w:fldCharType="end"/>
          </w:r>
        </w:sdtContent>
      </w:sdt>
    </w:p>
    <w:p>
      <w:pPr>
        <w:spacing w:line="360" w:lineRule="auto"/>
        <w:jc w:val="both"/>
        <w:rPr>
          <w:rFonts w:cs="Times New Roman"/>
          <w:b/>
          <w:bCs/>
          <w:szCs w:val="24"/>
        </w:rPr>
      </w:pPr>
      <w:r>
        <w:rPr>
          <w:rFonts w:cs="Times New Roman"/>
          <w:b/>
          <w:bCs/>
          <w:szCs w:val="24"/>
        </w:rPr>
        <w:t>Broader Economic Gains</w:t>
      </w:r>
    </w:p>
    <w:p>
      <w:pPr>
        <w:spacing w:line="360" w:lineRule="auto"/>
        <w:ind w:firstLine="720"/>
        <w:jc w:val="both"/>
        <w:rPr>
          <w:rFonts w:cs="Times New Roman"/>
          <w:szCs w:val="24"/>
        </w:rPr>
      </w:pPr>
      <w:r>
        <w:rPr>
          <w:rFonts w:cs="Times New Roman"/>
          <w:szCs w:val="24"/>
        </w:rPr>
        <w:t>Lower input costs spur manufacturing (e.g., auto sector +7-9% output), job creation (1-2 million in textiles/construction), and GDP uplift (0.5-1% via fiscal multiplier of -1.08 for rate cuts). Vulnerable groups such as rural farmers (cheaper tractors), urban middle-class (affordable EVs) gain disproportionately, though transmission risks (e.g., hoarding by retailers) might warrant monitoring.</w:t>
      </w:r>
      <w:sdt>
        <w:sdtPr>
          <w:rPr>
            <w:rFonts w:cs="Times New Roman"/>
            <w:szCs w:val="24"/>
          </w:rPr>
          <w:id w:val="229501218"/>
        </w:sdtPr>
        <w:sdtEndPr>
          <w:rPr>
            <w:rFonts w:cs="Times New Roman"/>
            <w:szCs w:val="24"/>
          </w:rPr>
        </w:sdtEndPr>
        <w:sdtContent>
          <w:r>
            <w:rPr>
              <w:rFonts w:cs="Times New Roman"/>
              <w:szCs w:val="24"/>
            </w:rPr>
            <w:fldChar w:fldCharType="begin"/>
          </w:r>
          <w:r>
            <w:rPr>
              <w:rFonts w:cs="Times New Roman"/>
              <w:szCs w:val="24"/>
            </w:rPr>
            <w:instrText xml:space="preserve"> CITATION Kot \l 16393 </w:instrText>
          </w:r>
          <w:r>
            <w:rPr>
              <w:rFonts w:cs="Times New Roman"/>
              <w:szCs w:val="24"/>
            </w:rPr>
            <w:fldChar w:fldCharType="separate"/>
          </w:r>
          <w:r>
            <w:rPr>
              <w:rFonts w:cs="Times New Roman"/>
              <w:szCs w:val="24"/>
            </w:rPr>
            <w:t xml:space="preserve"> (KotakMF)</w:t>
          </w:r>
          <w:r>
            <w:rPr>
              <w:rFonts w:cs="Times New Roman"/>
              <w:szCs w:val="24"/>
            </w:rPr>
            <w:fldChar w:fldCharType="end"/>
          </w:r>
        </w:sdtContent>
      </w:sdt>
      <w:r>
        <w:rPr>
          <w:rFonts w:cs="Times New Roman"/>
          <w:szCs w:val="24"/>
        </w:rPr>
        <w:t>. Lower input costs under GST 2.0 have the potential to invigorate manufacturing output, create employment opportunities, and thereby contribute positively to GDP growth.</w:t>
      </w:r>
    </w:p>
    <w:p>
      <w:pPr>
        <w:spacing w:line="360" w:lineRule="auto"/>
        <w:ind w:firstLine="720"/>
        <w:jc w:val="both"/>
        <w:rPr>
          <w:rFonts w:cs="Times New Roman"/>
          <w:szCs w:val="24"/>
        </w:rPr>
      </w:pPr>
      <w:r>
        <w:rPr>
          <w:rFonts w:cs="Times New Roman"/>
          <w:szCs w:val="24"/>
        </w:rPr>
        <w:t>A forward-looking GST discourse emphasizes not only the necessity of fully integrating excluded sectors, such as petroleum and electricity, but also the strategic importance of robust federal cooperative frameworks to mitigate state resistance and ensure fiscal sustainability. International precedents and Indian experience spotlight the need for ongoing harmonization, simplification of compliance protocols, and adaptive technological innovation, particularly via AI and big data analytics to improve fraud detection and optimize tax collection</w:t>
      </w:r>
    </w:p>
    <w:p>
      <w:pPr>
        <w:spacing w:line="360" w:lineRule="auto"/>
        <w:jc w:val="both"/>
        <w:rPr>
          <w:rFonts w:cs="Times New Roman"/>
          <w:b/>
          <w:bCs/>
          <w:szCs w:val="24"/>
        </w:rPr>
      </w:pPr>
      <w:r>
        <w:rPr>
          <w:rFonts w:cs="Times New Roman"/>
          <w:b/>
          <w:bCs/>
          <w:szCs w:val="24"/>
        </w:rPr>
        <w:t>Conclusion</w:t>
      </w:r>
    </w:p>
    <w:p>
      <w:pPr>
        <w:spacing w:line="360" w:lineRule="auto"/>
        <w:ind w:firstLine="720"/>
        <w:jc w:val="both"/>
        <w:rPr>
          <w:rFonts w:cs="Times New Roman"/>
          <w:szCs w:val="24"/>
        </w:rPr>
      </w:pPr>
      <w:r>
        <w:rPr>
          <w:rFonts w:cs="Times New Roman"/>
          <w:szCs w:val="24"/>
        </w:rPr>
        <w:t>GST 2.0 represents a significant and much-needed evolution of India’s indirect tax system, building on the foundational framework laid by GST 1.0. By simplifying the tax slabs to two primary rates and implementing broad rate reductions on essential and consumer items, GST 2.0 enhances affordability and stimulates consumption, projecting a fiscal stimulus of approximately ₹2.5 lakh crore. Compliance mechanisms have been strengthened to reduce disputes and administrative burdens, especially benefiting small and digital-first enterprises.</w:t>
      </w:r>
    </w:p>
    <w:p>
      <w:pPr>
        <w:spacing w:line="360" w:lineRule="auto"/>
        <w:ind w:firstLine="720"/>
        <w:jc w:val="both"/>
        <w:rPr>
          <w:rFonts w:cs="Times New Roman"/>
          <w:szCs w:val="24"/>
        </w:rPr>
      </w:pPr>
      <w:r>
        <w:rPr>
          <w:rFonts w:cs="Times New Roman"/>
          <w:szCs w:val="24"/>
        </w:rPr>
        <w:t>However, this transformative reform is not without risks. A rushed or uncoordinated rollout could exacerbate compliance challenges rather than resolve them, and without precise calibration, the tax burden on essential goods may unintentionally rise. Additionally, the planned inclusion of petroleum and electricity within the GST ambit necessitates robust federal coordination to address state revenue concerns and minimize resistance.</w:t>
      </w:r>
    </w:p>
    <w:p>
      <w:pPr>
        <w:spacing w:line="360" w:lineRule="auto"/>
        <w:ind w:firstLine="720"/>
        <w:jc w:val="both"/>
        <w:rPr>
          <w:rFonts w:cs="Times New Roman"/>
          <w:szCs w:val="24"/>
        </w:rPr>
      </w:pPr>
      <w:r>
        <w:rPr>
          <w:rFonts w:cs="Times New Roman"/>
          <w:szCs w:val="24"/>
        </w:rPr>
        <w:t>In essence, GST 2.0 offers a dual opportunity: if implemented with foresight, consensus, and technological integration, it can fulfil the original vision of a “Good and Simple Tax” fostering economic growth, formalization, and job creation. Conversely, missteps may add complexity to an already intricate system. Continued monitoring of revenue impacts, sectoral inclusion, and compliance trends beyond 2026 will be critical to validate the long-term success of GST 2.0 and guide further policy refinements.</w:t>
      </w:r>
    </w:p>
    <w:p>
      <w:pPr>
        <w:spacing w:line="360" w:lineRule="auto"/>
        <w:jc w:val="both"/>
        <w:rPr>
          <w:rFonts w:cs="Times New Roman"/>
          <w:szCs w:val="24"/>
        </w:rPr>
      </w:pPr>
    </w:p>
    <w:p>
      <w:pPr>
        <w:spacing w:line="360" w:lineRule="auto"/>
        <w:jc w:val="both"/>
        <w:rPr>
          <w:rFonts w:cs="Times New Roman"/>
          <w:szCs w:val="24"/>
        </w:rPr>
      </w:pPr>
      <w:r>
        <w:commentReference w:id="6"/>
      </w:r>
    </w:p>
    <w:p>
      <w:pPr>
        <w:spacing w:line="360" w:lineRule="auto"/>
        <w:ind w:firstLine="720"/>
        <w:jc w:val="both"/>
        <w:rPr>
          <w:rFonts w:cs="Times New Roman"/>
          <w:szCs w:val="24"/>
        </w:rPr>
      </w:pPr>
    </w:p>
    <w:p>
      <w:pPr>
        <w:spacing w:after="200" w:line="276" w:lineRule="auto"/>
        <w:jc w:val="both"/>
        <w:outlineLvl w:val="0"/>
        <w:rPr>
          <w:rFonts w:ascii="Arial" w:hAnsi="Arial" w:eastAsia="Times New Roman" w:cs="Arial"/>
          <w:kern w:val="0"/>
          <w:sz w:val="22"/>
          <w:lang w:val="en-GB" w:eastAsia="en-GB"/>
          <w14:ligatures w14:val="none"/>
        </w:rPr>
      </w:pPr>
      <w:r>
        <w:rPr>
          <w:rFonts w:ascii="Arial" w:hAnsi="Arial" w:eastAsia="Times New Roman" w:cs="Arial"/>
          <w:b/>
          <w:bCs/>
          <w:kern w:val="0"/>
          <w:sz w:val="22"/>
          <w:lang w:val="en-GB" w:eastAsia="en-GB"/>
          <w14:ligatures w14:val="none"/>
        </w:rPr>
        <w:t>COMPETING INTERESTS DISCLAIMER:</w:t>
      </w:r>
    </w:p>
    <w:p>
      <w:pPr>
        <w:spacing w:after="200" w:line="276" w:lineRule="auto"/>
        <w:rPr>
          <w:rFonts w:ascii="Calibri" w:hAnsi="Calibri" w:eastAsia="Times New Roman" w:cs="Times New Roman"/>
          <w:kern w:val="0"/>
          <w:sz w:val="22"/>
          <w:lang w:val="en-GB" w:eastAsia="en-GB"/>
          <w14:ligatures w14:val="none"/>
        </w:rPr>
      </w:pPr>
      <w:r>
        <w:rPr>
          <w:rFonts w:ascii="Calibri" w:hAnsi="Calibri" w:eastAsia="Times New Roman"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pPr>
        <w:spacing w:line="360" w:lineRule="auto"/>
        <w:ind w:firstLine="720"/>
        <w:jc w:val="both"/>
        <w:rPr>
          <w:rFonts w:cs="Times New Roman"/>
          <w:szCs w:val="24"/>
        </w:rPr>
      </w:pPr>
    </w:p>
    <w:p>
      <w:pPr>
        <w:spacing w:line="360" w:lineRule="auto"/>
        <w:ind w:firstLine="720"/>
        <w:jc w:val="both"/>
        <w:rPr>
          <w:rFonts w:cs="Times New Roman"/>
          <w:szCs w:val="24"/>
        </w:rPr>
      </w:pPr>
    </w:p>
    <w:sdt>
      <w:sdtPr>
        <w:rPr>
          <w:rFonts w:ascii="Times New Roman" w:hAnsi="Times New Roman" w:cs="Times New Roman" w:eastAsiaTheme="minorHAnsi"/>
          <w:color w:val="auto"/>
          <w:sz w:val="24"/>
          <w:szCs w:val="24"/>
        </w:rPr>
        <w:id w:val="-383260231"/>
        <w:docPartObj>
          <w:docPartGallery w:val="AutoText"/>
        </w:docPartObj>
      </w:sdtPr>
      <w:sdtEndPr>
        <w:rPr>
          <w:rFonts w:ascii="Times New Roman" w:hAnsi="Times New Roman" w:eastAsiaTheme="minorHAnsi" w:cstheme="minorBidi"/>
          <w:color w:val="auto"/>
          <w:sz w:val="24"/>
          <w:szCs w:val="22"/>
        </w:rPr>
      </w:sdtEndPr>
      <w:sdtContent>
        <w:p>
          <w:pPr>
            <w:pStyle w:val="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References</w:t>
          </w:r>
        </w:p>
        <w:sdt>
          <w:sdtPr>
            <w:rPr>
              <w:rFonts w:cs="Times New Roman"/>
              <w:szCs w:val="24"/>
            </w:rPr>
            <w:id w:val="-573587230"/>
          </w:sdtPr>
          <w:sdtEndPr>
            <w:rPr>
              <w:rFonts w:cstheme="minorBidi"/>
              <w:szCs w:val="22"/>
            </w:rPr>
          </w:sdtEndPr>
          <w:sdtContent>
            <w:p>
              <w:pPr>
                <w:pStyle w:val="41"/>
                <w:numPr>
                  <w:ilvl w:val="0"/>
                  <w:numId w:val="3"/>
                </w:numPr>
                <w:spacing w:line="360" w:lineRule="auto"/>
                <w:rPr>
                  <w:rFonts w:cs="Times New Roman"/>
                  <w:kern w:val="0"/>
                  <w:szCs w:val="24"/>
                  <w14:ligatures w14:val="none"/>
                </w:rPr>
              </w:pPr>
              <w:r>
                <w:rPr>
                  <w:rFonts w:cs="Times New Roman"/>
                  <w:szCs w:val="24"/>
                </w:rPr>
                <w:fldChar w:fldCharType="begin"/>
              </w:r>
              <w:r>
                <w:rPr>
                  <w:rFonts w:cs="Times New Roman"/>
                  <w:szCs w:val="24"/>
                </w:rPr>
                <w:instrText xml:space="preserve"> BIBLIOGRAPHY </w:instrText>
              </w:r>
              <w:r>
                <w:rPr>
                  <w:rFonts w:cs="Times New Roman"/>
                  <w:szCs w:val="24"/>
                </w:rPr>
                <w:fldChar w:fldCharType="separate"/>
              </w:r>
              <w:r>
                <w:rPr>
                  <w:rFonts w:cs="Times New Roman"/>
                  <w:szCs w:val="24"/>
                </w:rPr>
                <w:t xml:space="preserve">Choudhary, S. (2025, June 30). GST 2.0: Major Overhaul On The Horizon As India's Landmark Tax Turns 8. </w:t>
              </w:r>
              <w:r>
                <w:rPr>
                  <w:rFonts w:cs="Times New Roman"/>
                  <w:i/>
                  <w:iCs/>
                  <w:szCs w:val="24"/>
                </w:rPr>
                <w:t>NDTV Profit</w:t>
              </w:r>
              <w:r>
                <w:rPr>
                  <w:rFonts w:cs="Times New Roman"/>
                  <w:szCs w:val="24"/>
                </w:rPr>
                <w:t>. Retrieved from https://www.ndtvprofit.com/economy-finance/gst-20-major-overhaul-on-the-horizon-as-indias-landmark-tax-turns-8</w:t>
              </w:r>
            </w:p>
            <w:p>
              <w:pPr>
                <w:pStyle w:val="41"/>
                <w:numPr>
                  <w:ilvl w:val="0"/>
                  <w:numId w:val="3"/>
                </w:numPr>
                <w:spacing w:line="360" w:lineRule="auto"/>
                <w:rPr>
                  <w:rFonts w:cs="Times New Roman"/>
                  <w:szCs w:val="24"/>
                </w:rPr>
              </w:pPr>
              <w:r>
                <w:rPr>
                  <w:rFonts w:cs="Times New Roman"/>
                  <w:szCs w:val="24"/>
                </w:rPr>
                <w:t xml:space="preserve">CREDIT CARES. (2025, September 9). Old GST vs New GST 2.0 – Quick Comparison. </w:t>
              </w:r>
              <w:r>
                <w:rPr>
                  <w:rFonts w:cs="Times New Roman"/>
                  <w:i/>
                  <w:iCs/>
                  <w:szCs w:val="24"/>
                </w:rPr>
                <w:t>Blogs, FInance</w:t>
              </w:r>
              <w:r>
                <w:rPr>
                  <w:rFonts w:cs="Times New Roman"/>
                  <w:szCs w:val="24"/>
                </w:rPr>
                <w:t>. Retrieved from https://creditcares.in/old-gst-vs-new-gst-2-0/</w:t>
              </w:r>
            </w:p>
            <w:p>
              <w:pPr>
                <w:pStyle w:val="41"/>
                <w:numPr>
                  <w:ilvl w:val="0"/>
                  <w:numId w:val="3"/>
                </w:numPr>
                <w:spacing w:line="360" w:lineRule="auto"/>
                <w:rPr>
                  <w:rFonts w:cs="Times New Roman"/>
                  <w:szCs w:val="24"/>
                </w:rPr>
              </w:pPr>
              <w:r>
                <w:rPr>
                  <w:rFonts w:cs="Times New Roman"/>
                  <w:szCs w:val="24"/>
                </w:rPr>
                <w:t xml:space="preserve">HT News Desk. (2025, September 22). GST 2.0, tax cuts to fuel ₹2.5 lakh crore fiscal boost to Indian economy: CEA. </w:t>
              </w:r>
              <w:r>
                <w:rPr>
                  <w:rFonts w:cs="Times New Roman"/>
                  <w:i/>
                  <w:iCs/>
                  <w:szCs w:val="24"/>
                </w:rPr>
                <w:t>The Hindusthan Times</w:t>
              </w:r>
              <w:r>
                <w:rPr>
                  <w:rFonts w:cs="Times New Roman"/>
                  <w:szCs w:val="24"/>
                </w:rPr>
                <w:t>. Retrieved from https://www.hindustantimes.com/india-news/gst-reforms-to-give-indian-economy-a-rs-2-5-lakh-crore-fiscal-boost-cea-anantha-nageswaran-101758548118155.html</w:t>
              </w:r>
            </w:p>
            <w:p>
              <w:pPr>
                <w:pStyle w:val="41"/>
                <w:numPr>
                  <w:ilvl w:val="0"/>
                  <w:numId w:val="3"/>
                </w:numPr>
                <w:spacing w:line="360" w:lineRule="auto"/>
                <w:rPr>
                  <w:rFonts w:cs="Times New Roman"/>
                  <w:szCs w:val="24"/>
                </w:rPr>
              </w:pPr>
              <w:r>
                <w:rPr>
                  <w:rFonts w:cs="Times New Roman"/>
                  <w:szCs w:val="24"/>
                </w:rPr>
                <w:t xml:space="preserve">HT News Desk. (2025, September 22). New GST rates: Full list of items under new tax slabs. These items will get cheaper. </w:t>
              </w:r>
              <w:r>
                <w:rPr>
                  <w:rFonts w:cs="Times New Roman"/>
                  <w:i/>
                  <w:iCs/>
                  <w:szCs w:val="24"/>
                </w:rPr>
                <w:t>The Hindusthan Times</w:t>
              </w:r>
              <w:r>
                <w:rPr>
                  <w:rFonts w:cs="Times New Roman"/>
                  <w:szCs w:val="24"/>
                </w:rPr>
                <w:t>. Retrieved from https://www.hindustantimes.com/india-news/new-gst-rates-full-list-of-items-under-new-tax-slabs-these-items-will-get-cheaper-101758528799084.html</w:t>
              </w:r>
            </w:p>
            <w:p>
              <w:pPr>
                <w:pStyle w:val="41"/>
                <w:numPr>
                  <w:ilvl w:val="0"/>
                  <w:numId w:val="3"/>
                </w:numPr>
                <w:spacing w:line="360" w:lineRule="auto"/>
                <w:rPr>
                  <w:rFonts w:cs="Times New Roman"/>
                  <w:szCs w:val="24"/>
                </w:rPr>
              </w:pPr>
              <w:r>
                <w:rPr>
                  <w:rFonts w:cs="Times New Roman"/>
                  <w:szCs w:val="24"/>
                </w:rPr>
                <w:t>Kotak Securities Team. (2025, July 23). GST 2.0 vs Current GST: A Breakdown of What’s Changing. Retrieved from https://www.kotaksecurities.com/news/market-news/gst-2-vs-current-gst/</w:t>
              </w:r>
            </w:p>
            <w:p>
              <w:pPr>
                <w:pStyle w:val="41"/>
                <w:numPr>
                  <w:ilvl w:val="0"/>
                  <w:numId w:val="3"/>
                </w:numPr>
                <w:spacing w:line="360" w:lineRule="auto"/>
                <w:rPr>
                  <w:rFonts w:cs="Times New Roman"/>
                  <w:szCs w:val="24"/>
                </w:rPr>
              </w:pPr>
              <w:r>
                <w:rPr>
                  <w:rFonts w:cs="Times New Roman"/>
                  <w:szCs w:val="24"/>
                </w:rPr>
                <w:t xml:space="preserve">KotakMF. (n.d.). GST 2.0: Crunchy, Clear and Easy to Digest. </w:t>
              </w:r>
              <w:r>
                <w:rPr>
                  <w:rFonts w:cs="Times New Roman"/>
                  <w:i/>
                  <w:iCs/>
                  <w:szCs w:val="24"/>
                </w:rPr>
                <w:t xml:space="preserve">Kotak Mutual Fund / Information / Blog </w:t>
              </w:r>
              <w:r>
                <w:rPr>
                  <w:rFonts w:cs="Times New Roman"/>
                  <w:szCs w:val="24"/>
                </w:rPr>
                <w:t>. Retrieved from https://www.kotakmf.com/Information/blogs/gst-2-point-0_</w:t>
              </w:r>
            </w:p>
            <w:p>
              <w:pPr>
                <w:pStyle w:val="41"/>
                <w:numPr>
                  <w:ilvl w:val="0"/>
                  <w:numId w:val="3"/>
                </w:numPr>
                <w:spacing w:line="360" w:lineRule="auto"/>
                <w:rPr>
                  <w:rFonts w:cs="Times New Roman"/>
                  <w:szCs w:val="24"/>
                </w:rPr>
              </w:pPr>
              <w:r>
                <w:rPr>
                  <w:rFonts w:cs="Times New Roman"/>
                  <w:szCs w:val="24"/>
                </w:rPr>
                <w:t xml:space="preserve">Kuchroo, S. (2025, September 22). GST 2.0 kicks-in: What gets cheaper from today? Full list of items with price cuts. </w:t>
              </w:r>
              <w:r>
                <w:rPr>
                  <w:rFonts w:cs="Times New Roman"/>
                  <w:i/>
                  <w:iCs/>
                  <w:szCs w:val="24"/>
                </w:rPr>
                <w:t>Financial Express</w:t>
              </w:r>
              <w:r>
                <w:rPr>
                  <w:rFonts w:cs="Times New Roman"/>
                  <w:szCs w:val="24"/>
                </w:rPr>
                <w:t>. Retrieved from https://www.financialexpress.com/business/industry-gst-2-0-kicks-in-what-gets-cheaper-from-today-full-list-of-items-with-price-cuts-3985039/</w:t>
              </w:r>
            </w:p>
            <w:p>
              <w:pPr>
                <w:pStyle w:val="41"/>
                <w:numPr>
                  <w:ilvl w:val="0"/>
                  <w:numId w:val="3"/>
                </w:numPr>
                <w:spacing w:line="360" w:lineRule="auto"/>
                <w:rPr>
                  <w:rFonts w:cs="Times New Roman"/>
                  <w:szCs w:val="24"/>
                </w:rPr>
              </w:pPr>
              <w:r>
                <w:rPr>
                  <w:rFonts w:cs="Times New Roman"/>
                  <w:szCs w:val="24"/>
                </w:rPr>
                <w:t xml:space="preserve">Magazine, A. (2025, September 22). As GST 2.0 kicks in, what changes for consumers and industry? </w:t>
              </w:r>
              <w:r>
                <w:rPr>
                  <w:rFonts w:cs="Times New Roman"/>
                  <w:i/>
                  <w:iCs/>
                  <w:szCs w:val="24"/>
                </w:rPr>
                <w:t>The New Indian Express</w:t>
              </w:r>
              <w:r>
                <w:rPr>
                  <w:rFonts w:cs="Times New Roman"/>
                  <w:szCs w:val="24"/>
                </w:rPr>
                <w:t>, p. Economics Explained. Retrieved from https://indianexpress.com/article/explained/explained-economics/gst-2-changes-consumers-industry-10264788/</w:t>
              </w:r>
            </w:p>
            <w:p>
              <w:pPr>
                <w:pStyle w:val="41"/>
                <w:numPr>
                  <w:ilvl w:val="0"/>
                  <w:numId w:val="3"/>
                </w:numPr>
                <w:spacing w:line="360" w:lineRule="auto"/>
                <w:rPr>
                  <w:rFonts w:cs="Times New Roman"/>
                  <w:szCs w:val="24"/>
                </w:rPr>
              </w:pPr>
              <w:r>
                <w:rPr>
                  <w:rFonts w:cs="Times New Roman"/>
                  <w:szCs w:val="24"/>
                </w:rPr>
                <w:t xml:space="preserve">Maniyar, A. (2025, September 21). GST 2.0: How new tax slabs impact consumer spending and business pricing in India across sectors. </w:t>
              </w:r>
              <w:r>
                <w:rPr>
                  <w:rFonts w:cs="Times New Roman"/>
                  <w:i/>
                  <w:iCs/>
                  <w:szCs w:val="24"/>
                </w:rPr>
                <w:t>Mint E-paper</w:t>
              </w:r>
              <w:r>
                <w:rPr>
                  <w:rFonts w:cs="Times New Roman"/>
                  <w:szCs w:val="24"/>
                </w:rPr>
                <w:t>. Retrieved from https://www.livemint.com/news/gst-2-0-how-new-tax-slabs-impact-consumer-spending-and-business-pricing-in-india-across-sectors-11758443581115.html</w:t>
              </w:r>
            </w:p>
            <w:p>
              <w:pPr>
                <w:pStyle w:val="41"/>
                <w:numPr>
                  <w:ilvl w:val="0"/>
                  <w:numId w:val="3"/>
                </w:numPr>
                <w:spacing w:line="360" w:lineRule="auto"/>
                <w:rPr>
                  <w:rFonts w:cs="Times New Roman"/>
                  <w:szCs w:val="24"/>
                </w:rPr>
              </w:pPr>
              <w:r>
                <w:rPr>
                  <w:rFonts w:cs="Times New Roman"/>
                  <w:szCs w:val="24"/>
                </w:rPr>
                <w:t xml:space="preserve">PIB. (2025). </w:t>
              </w:r>
              <w:r>
                <w:rPr>
                  <w:rFonts w:cs="Times New Roman"/>
                  <w:i/>
                  <w:iCs/>
                  <w:szCs w:val="24"/>
                </w:rPr>
                <w:t>GST Reforms 2025: Relief for Common Man, Boost for Business.</w:t>
              </w:r>
              <w:r>
                <w:rPr>
                  <w:rFonts w:cs="Times New Roman"/>
                  <w:szCs w:val="24"/>
                </w:rPr>
                <w:t xml:space="preserve"> New Delhi: Press Information Buraeu. Retrieved from https://static.pib.gov.in/WriteReadData/specificdocs/documents/2025/sep/doc202594628401.pdf</w:t>
              </w:r>
            </w:p>
            <w:p>
              <w:pPr>
                <w:pStyle w:val="41"/>
                <w:numPr>
                  <w:ilvl w:val="0"/>
                  <w:numId w:val="3"/>
                </w:numPr>
                <w:spacing w:line="360" w:lineRule="auto"/>
                <w:rPr>
                  <w:rFonts w:cs="Times New Roman"/>
                  <w:szCs w:val="24"/>
                </w:rPr>
              </w:pPr>
              <w:r>
                <w:rPr>
                  <w:rFonts w:cs="Times New Roman"/>
                  <w:szCs w:val="24"/>
                </w:rPr>
                <w:t xml:space="preserve">Prakash, P. (2025, September 18). GST 2.0: Consumer brands adjust prices to benefits consumers. </w:t>
              </w:r>
              <w:r>
                <w:rPr>
                  <w:rFonts w:cs="Times New Roman"/>
                  <w:i/>
                  <w:iCs/>
                  <w:szCs w:val="24"/>
                </w:rPr>
                <w:t>PrintWeek</w:t>
              </w:r>
              <w:r>
                <w:rPr>
                  <w:rFonts w:cs="Times New Roman"/>
                  <w:szCs w:val="24"/>
                </w:rPr>
                <w:t>. Retrieved from https://www.whatpackaging.co.in/news/gst-20-</w:t>
              </w:r>
              <w:bookmarkStart w:id="0" w:name="_GoBack"/>
              <w:bookmarkEnd w:id="0"/>
              <w:r>
                <w:rPr>
                  <w:rFonts w:cs="Times New Roman"/>
                  <w:szCs w:val="24"/>
                </w:rPr>
                <w:t>consumer-brands-adjust-prices-to-benefits-consumers-59084</w:t>
              </w:r>
            </w:p>
            <w:p>
              <w:pPr>
                <w:pStyle w:val="41"/>
                <w:numPr>
                  <w:ilvl w:val="0"/>
                  <w:numId w:val="3"/>
                </w:numPr>
                <w:spacing w:line="360" w:lineRule="auto"/>
                <w:rPr>
                  <w:rFonts w:cs="Times New Roman"/>
                  <w:szCs w:val="24"/>
                </w:rPr>
              </w:pPr>
              <w:r>
                <w:rPr>
                  <w:rFonts w:cs="Times New Roman"/>
                  <w:szCs w:val="24"/>
                </w:rPr>
                <w:t xml:space="preserve">TOI Business Desk. (2025, September 22). GST 2.0 is here! What the new tax reforms mean for you - 10 things to know. </w:t>
              </w:r>
              <w:r>
                <w:rPr>
                  <w:rFonts w:cs="Times New Roman"/>
                  <w:i/>
                  <w:iCs/>
                  <w:szCs w:val="24"/>
                </w:rPr>
                <w:t>The Times of India</w:t>
              </w:r>
              <w:r>
                <w:rPr>
                  <w:rFonts w:cs="Times New Roman"/>
                  <w:szCs w:val="24"/>
                </w:rPr>
                <w:t>. Retrieved from https://timesofindia.indiatimes.com/business/india-business/gst-2-0-is-here-what-the-new-tax-reforms-mean-for-you-10-things-to-know/articleshow/124038295.cms</w:t>
              </w:r>
            </w:p>
            <w:p>
              <w:pPr>
                <w:pStyle w:val="35"/>
                <w:numPr>
                  <w:ilvl w:val="0"/>
                  <w:numId w:val="3"/>
                </w:numPr>
                <w:rPr>
                  <w:rFonts w:cs="Times New Roman"/>
                  <w:b/>
                  <w:bCs/>
                  <w:szCs w:val="24"/>
                </w:rPr>
              </w:pPr>
              <w:r>
                <w:t xml:space="preserve">Kir, A. (2021). India's goods and services tax: A unique experiment in cooperative federalism and a constitutional crisis in waiting. Can. Tax J., 69, 391.  </w:t>
              </w:r>
              <w:r>
                <w:rPr>
                  <w:rFonts w:cs="Times New Roman"/>
                  <w:b/>
                  <w:bCs/>
                  <w:szCs w:val="24"/>
                </w:rPr>
                <w:fldChar w:fldCharType="end"/>
              </w:r>
            </w:p>
            <w:p>
              <w:pPr>
                <w:pStyle w:val="35"/>
                <w:numPr>
                  <w:ilvl w:val="0"/>
                  <w:numId w:val="3"/>
                </w:numPr>
                <w:rPr>
                  <w:rFonts w:cs="Times New Roman"/>
                  <w:szCs w:val="24"/>
                </w:rPr>
              </w:pPr>
              <w:r>
                <w:rPr>
                  <w:rFonts w:cs="Times New Roman"/>
                  <w:szCs w:val="24"/>
                </w:rPr>
                <w:t xml:space="preserve">Sinha, T. (2024). Understanding Indian Federalism: A Deeper Dive into Its Dimensions. Issue 1 Int'l JL Mgmt. &amp; Human., 7, 455.  </w:t>
              </w:r>
            </w:p>
            <w:p>
              <w:pPr>
                <w:pStyle w:val="35"/>
                <w:numPr>
                  <w:ilvl w:val="0"/>
                  <w:numId w:val="3"/>
                </w:numPr>
                <w:rPr>
                  <w:rFonts w:cs="Times New Roman"/>
                  <w:szCs w:val="24"/>
                </w:rPr>
              </w:pPr>
              <w:r>
                <w:rPr>
                  <w:rFonts w:cs="Times New Roman"/>
                  <w:szCs w:val="24"/>
                </w:rPr>
                <w:t xml:space="preserve">Jha, P. C. (2019). Current trends and issues in Indian federalism. Indian Journal of Public Administration, 65(2), 377-389.  </w:t>
              </w:r>
            </w:p>
            <w:p>
              <w:pPr>
                <w:pStyle w:val="35"/>
                <w:numPr>
                  <w:ilvl w:val="0"/>
                  <w:numId w:val="3"/>
                </w:numPr>
                <w:rPr>
                  <w:rFonts w:cs="Times New Roman"/>
                  <w:szCs w:val="24"/>
                </w:rPr>
              </w:pPr>
              <w:r>
                <w:rPr>
                  <w:rFonts w:cs="Times New Roman"/>
                  <w:szCs w:val="24"/>
                </w:rPr>
                <w:t xml:space="preserve">Main, B. J. (2020). Advertising as a tax expenditure: the tax deduction for advertising and America's hidden public media system. The Political Economy of Communication, 8(1).  </w:t>
              </w:r>
            </w:p>
            <w:p>
              <w:pPr>
                <w:pStyle w:val="35"/>
                <w:numPr>
                  <w:ilvl w:val="0"/>
                  <w:numId w:val="3"/>
                </w:numPr>
                <w:rPr>
                  <w:rFonts w:cs="Times New Roman"/>
                  <w:szCs w:val="24"/>
                </w:rPr>
              </w:pPr>
              <w:r>
                <w:rPr>
                  <w:rFonts w:cs="Times New Roman"/>
                  <w:szCs w:val="24"/>
                </w:rPr>
                <w:t xml:space="preserve">Seiler, S., Tuchman, A., &amp; Yao, S. (2021). The impact of soda taxes: Pass-through, tax avoidance, and nutritional effects. Journal of Marketing Research, 58(1), 22-49.  </w:t>
              </w:r>
            </w:p>
            <w:p>
              <w:pPr>
                <w:pStyle w:val="35"/>
                <w:numPr>
                  <w:ilvl w:val="0"/>
                  <w:numId w:val="3"/>
                </w:numPr>
                <w:rPr>
                  <w:rFonts w:cs="Times New Roman"/>
                  <w:szCs w:val="24"/>
                </w:rPr>
              </w:pPr>
              <w:r>
                <w:rPr>
                  <w:rFonts w:cs="Times New Roman"/>
                  <w:szCs w:val="24"/>
                </w:rPr>
                <w:t xml:space="preserve">Shome, P. (2021). A Good Tax System: A Rapid Review. Taxation History, Theory, Law and Administration, 489-504.  </w:t>
              </w:r>
            </w:p>
            <w:p>
              <w:pPr>
                <w:pStyle w:val="35"/>
                <w:numPr>
                  <w:ilvl w:val="0"/>
                  <w:numId w:val="3"/>
                </w:numPr>
                <w:rPr>
                  <w:rFonts w:cs="Times New Roman"/>
                  <w:szCs w:val="24"/>
                </w:rPr>
              </w:pPr>
              <w:r>
                <w:rPr>
                  <w:rFonts w:cs="Times New Roman"/>
                  <w:szCs w:val="24"/>
                </w:rPr>
                <w:t xml:space="preserve">Alkahtani, M., Hidri, L., &amp; Mrad, M. (2023). Multi-stage production and process outsourcing in automobile-part supply chain considering a carbon tax strategy using sequential quadratic optimization technique. Mathematics, 11(5), 1191.  </w:t>
              </w:r>
            </w:p>
            <w:p>
              <w:pPr>
                <w:pStyle w:val="35"/>
                <w:numPr>
                  <w:ilvl w:val="0"/>
                  <w:numId w:val="3"/>
                </w:numPr>
                <w:rPr>
                  <w:rFonts w:cs="Times New Roman"/>
                  <w:szCs w:val="24"/>
                </w:rPr>
              </w:pPr>
              <w:r>
                <w:rPr>
                  <w:rFonts w:cs="Times New Roman"/>
                  <w:szCs w:val="24"/>
                </w:rPr>
                <w:t xml:space="preserve">Wang, Y., Liu, J., &amp; Qu, Z. (2024). Multi-stage collaborative planning of electricity-hydrogen-transportation coupling network considering carbon emission reduction. Electric Power Systems Research, 228, 110071.  </w:t>
              </w:r>
            </w:p>
          </w:sdtContent>
        </w:sdt>
      </w:sdtContent>
    </w:sdt>
    <w:p>
      <w:pPr>
        <w:spacing w:line="360" w:lineRule="auto"/>
        <w:rPr>
          <w:rFonts w:cs="Times New Roman"/>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R KOLA FIJABI" w:date="2025-09-27T21:38:00Z" w:initials="M">
    <w:p w14:paraId="6774139B">
      <w:pPr>
        <w:pStyle w:val="13"/>
        <w:rPr>
          <w:rFonts w:hint="default"/>
          <w:lang w:val="en-US"/>
        </w:rPr>
      </w:pPr>
      <w:r>
        <w:rPr>
          <w:rFonts w:hint="default"/>
          <w:lang w:val="en-US"/>
        </w:rPr>
        <w:t>This did not follow abstract format which should include:</w:t>
      </w:r>
    </w:p>
    <w:p w14:paraId="0A317C9D">
      <w:pPr>
        <w:pStyle w:val="13"/>
        <w:rPr>
          <w:rFonts w:hint="default"/>
          <w:lang w:val="en-US"/>
        </w:rPr>
      </w:pPr>
      <w:r>
        <w:rPr>
          <w:rFonts w:hint="default"/>
          <w:lang w:val="en-US"/>
        </w:rPr>
        <w:t>Objective</w:t>
      </w:r>
    </w:p>
    <w:p w14:paraId="0BF53CBD">
      <w:pPr>
        <w:pStyle w:val="13"/>
        <w:rPr>
          <w:rFonts w:hint="default"/>
          <w:lang w:val="en-US"/>
        </w:rPr>
      </w:pPr>
      <w:r>
        <w:rPr>
          <w:rFonts w:hint="default"/>
          <w:lang w:val="en-US"/>
        </w:rPr>
        <w:t>Methodology</w:t>
      </w:r>
    </w:p>
    <w:p w14:paraId="7EB43FA6">
      <w:pPr>
        <w:pStyle w:val="13"/>
        <w:rPr>
          <w:rFonts w:hint="default"/>
          <w:lang w:val="en-US"/>
        </w:rPr>
      </w:pPr>
      <w:r>
        <w:rPr>
          <w:rFonts w:hint="default"/>
          <w:lang w:val="en-US"/>
        </w:rPr>
        <w:t>Findings</w:t>
      </w:r>
    </w:p>
    <w:p w14:paraId="558F3893">
      <w:pPr>
        <w:pStyle w:val="13"/>
        <w:rPr>
          <w:rFonts w:hint="default"/>
          <w:lang w:val="en-US"/>
        </w:rPr>
      </w:pPr>
      <w:r>
        <w:rPr>
          <w:rFonts w:hint="default"/>
          <w:lang w:val="en-US"/>
        </w:rPr>
        <w:t xml:space="preserve">Recommendation </w:t>
      </w:r>
    </w:p>
  </w:comment>
  <w:comment w:id="1" w:author="MR KOLA FIJABI" w:date="2025-09-27T21:41:56Z" w:initials="M">
    <w:p w14:paraId="1AD94FC4">
      <w:pPr>
        <w:pStyle w:val="13"/>
        <w:rPr>
          <w:rFonts w:hint="default"/>
          <w:lang w:val="en-US"/>
        </w:rPr>
      </w:pPr>
      <w:r>
        <w:rPr>
          <w:rFonts w:hint="default"/>
          <w:lang w:val="en-US"/>
        </w:rPr>
        <w:t>Arrange them alphabetically</w:t>
      </w:r>
    </w:p>
    <w:p w14:paraId="3B5A44EF">
      <w:pPr>
        <w:pStyle w:val="13"/>
        <w:rPr>
          <w:rFonts w:hint="default"/>
          <w:lang w:val="en-US"/>
        </w:rPr>
      </w:pPr>
      <w:r>
        <w:rPr>
          <w:rFonts w:hint="default"/>
          <w:lang w:val="en-US"/>
        </w:rPr>
        <w:t>Reduce the keywords to seven, you have 12 listed</w:t>
      </w:r>
    </w:p>
  </w:comment>
  <w:comment w:id="2" w:author="MR KOLA FIJABI" w:date="2025-09-27T21:55:20Z" w:initials="M">
    <w:p w14:paraId="389075FF">
      <w:pPr>
        <w:pStyle w:val="13"/>
        <w:rPr>
          <w:rFonts w:hint="default"/>
          <w:lang w:val="en-US"/>
        </w:rPr>
      </w:pPr>
      <w:r>
        <w:rPr>
          <w:rFonts w:hint="default"/>
          <w:lang w:val="en-US"/>
        </w:rPr>
        <w:t xml:space="preserve">The paragraph is too long. Break into smaller paragraphs </w:t>
      </w:r>
    </w:p>
  </w:comment>
  <w:comment w:id="3" w:author="MR KOLA FIJABI" w:date="2025-09-27T21:58:01Z" w:initials="M">
    <w:p w14:paraId="61F874CD">
      <w:pPr>
        <w:pStyle w:val="13"/>
        <w:rPr>
          <w:rFonts w:hint="default"/>
          <w:lang w:val="en-US"/>
        </w:rPr>
      </w:pPr>
      <w:r>
        <w:rPr>
          <w:rFonts w:hint="default"/>
          <w:lang w:val="en-US"/>
        </w:rPr>
        <w:t>Too long a paragraph</w:t>
      </w:r>
    </w:p>
  </w:comment>
  <w:comment w:id="4" w:author="MR KOLA FIJABI" w:date="2025-09-27T22:04:22Z" w:initials="M">
    <w:p w14:paraId="75A86BC4">
      <w:pPr>
        <w:pStyle w:val="13"/>
        <w:rPr>
          <w:rFonts w:hint="default"/>
          <w:lang w:val="en-US"/>
        </w:rPr>
      </w:pPr>
      <w:r>
        <w:rPr>
          <w:rFonts w:hint="default"/>
          <w:lang w:val="en-US"/>
        </w:rPr>
        <w:t>Long paragraph</w:t>
      </w:r>
    </w:p>
  </w:comment>
  <w:comment w:id="5" w:author="MR KOLA FIJABI" w:date="2025-09-27T22:09:54Z" w:initials="M">
    <w:p w14:paraId="4AC85091">
      <w:pPr>
        <w:pStyle w:val="13"/>
        <w:rPr>
          <w:rFonts w:hint="default"/>
          <w:lang w:val="en-US"/>
        </w:rPr>
      </w:pPr>
      <w:r>
        <w:rPr>
          <w:rFonts w:hint="default"/>
          <w:lang w:val="en-US"/>
        </w:rPr>
        <w:t>Too long paragraph</w:t>
      </w:r>
    </w:p>
  </w:comment>
  <w:comment w:id="6" w:author="MR KOLA FIJABI" w:date="2025-09-27T22:24:20Z" w:initials="M">
    <w:p w14:paraId="7CA01D43">
      <w:pPr>
        <w:pStyle w:val="13"/>
        <w:rPr>
          <w:rFonts w:hint="default"/>
          <w:lang w:val="en-US"/>
        </w:rPr>
      </w:pPr>
      <w:r>
        <w:rPr>
          <w:rFonts w:hint="default"/>
          <w:lang w:val="en-US"/>
        </w:rPr>
        <w:t>No recommendation was provided</w:t>
      </w:r>
    </w:p>
    <w:p w14:paraId="035C4B8F">
      <w:pPr>
        <w:pStyle w:val="13"/>
        <w:rPr>
          <w:rFonts w:hint="default"/>
          <w:lang w:val="en-US"/>
        </w:rPr>
      </w:pPr>
      <w:r>
        <w:rPr>
          <w:rFonts w:hint="default"/>
          <w:lang w:val="en-US"/>
        </w:rPr>
        <w:t>This is a key aspect of a study that cannot be ignored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8F3893" w15:done="0"/>
  <w15:commentEx w15:paraId="3B5A44EF" w15:done="0"/>
  <w15:commentEx w15:paraId="389075FF" w15:done="0"/>
  <w15:commentEx w15:paraId="61F874CD" w15:done="0"/>
  <w15:commentEx w15:paraId="75A86BC4" w15:done="0"/>
  <w15:commentEx w15:paraId="4AC85091" w15:done="0"/>
  <w15:commentEx w15:paraId="035C4B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ptos">
    <w:altName w:val="Calibri"/>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865523017" o:spid="_x0000_s2051"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865523016" o:spid="_x0000_s2050"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865523015" o:spid="_x0000_s2049" o:spt="136" type="#_x0000_t136" style="position:absolute;left:0pt;height:63.6pt;width:572.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F0A46"/>
    <w:multiLevelType w:val="multilevel"/>
    <w:tmpl w:val="1BCF0A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EA1225F"/>
    <w:multiLevelType w:val="multilevel"/>
    <w:tmpl w:val="5EA122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8FE679C"/>
    <w:multiLevelType w:val="multilevel"/>
    <w:tmpl w:val="78FE67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 KOLA FIJABI">
    <w15:presenceInfo w15:providerId="None" w15:userId="MR KOLA FIJA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MzGzMDE3BCJjQyUdpeDU4uLM/DyQAqNaAJtOSH4sAAAA"/>
  </w:docVars>
  <w:rsids>
    <w:rsidRoot w:val="00264CF7"/>
    <w:rsid w:val="00064F16"/>
    <w:rsid w:val="000665C4"/>
    <w:rsid w:val="00086C6D"/>
    <w:rsid w:val="000A26ED"/>
    <w:rsid w:val="000A2E4F"/>
    <w:rsid w:val="0010205C"/>
    <w:rsid w:val="00113703"/>
    <w:rsid w:val="001305B3"/>
    <w:rsid w:val="00164FAD"/>
    <w:rsid w:val="001A5DE4"/>
    <w:rsid w:val="001B7C52"/>
    <w:rsid w:val="0022177F"/>
    <w:rsid w:val="002475A7"/>
    <w:rsid w:val="00264CF7"/>
    <w:rsid w:val="003E0121"/>
    <w:rsid w:val="004325A5"/>
    <w:rsid w:val="0044523C"/>
    <w:rsid w:val="004B36EF"/>
    <w:rsid w:val="004B53C5"/>
    <w:rsid w:val="00505886"/>
    <w:rsid w:val="005362D6"/>
    <w:rsid w:val="00574BD6"/>
    <w:rsid w:val="00575625"/>
    <w:rsid w:val="00597121"/>
    <w:rsid w:val="005A3E38"/>
    <w:rsid w:val="006A6D21"/>
    <w:rsid w:val="006D702A"/>
    <w:rsid w:val="00753CC6"/>
    <w:rsid w:val="007677E5"/>
    <w:rsid w:val="007D7048"/>
    <w:rsid w:val="00817FC6"/>
    <w:rsid w:val="008353E3"/>
    <w:rsid w:val="00856954"/>
    <w:rsid w:val="0087533F"/>
    <w:rsid w:val="00877C48"/>
    <w:rsid w:val="008D7190"/>
    <w:rsid w:val="00906014"/>
    <w:rsid w:val="009A6AD9"/>
    <w:rsid w:val="00A057CA"/>
    <w:rsid w:val="00A54A8B"/>
    <w:rsid w:val="00B55A35"/>
    <w:rsid w:val="00BF6135"/>
    <w:rsid w:val="00CA060F"/>
    <w:rsid w:val="00CB4ACA"/>
    <w:rsid w:val="00D54511"/>
    <w:rsid w:val="00DD673F"/>
    <w:rsid w:val="00E0641E"/>
    <w:rsid w:val="00E37A1B"/>
    <w:rsid w:val="00E9773C"/>
    <w:rsid w:val="00EE0EC9"/>
    <w:rsid w:val="00EF5D54"/>
    <w:rsid w:val="00F73229"/>
    <w:rsid w:val="00FA0A58"/>
    <w:rsid w:val="00FA3BFB"/>
    <w:rsid w:val="00FB4F0A"/>
    <w:rsid w:val="30B1798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4"/>
      <w:szCs w:val="22"/>
      <w:lang w:val="en-IN" w:eastAsia="en-US" w:bidi="ar-SA"/>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3"/>
    <w:unhideWhenUsed/>
    <w:qFormat/>
    <w:uiPriority w:val="99"/>
    <w:pPr>
      <w:tabs>
        <w:tab w:val="center" w:pos="4680"/>
        <w:tab w:val="right" w:pos="9360"/>
      </w:tabs>
      <w:spacing w:after="0" w:line="240" w:lineRule="auto"/>
    </w:pPr>
  </w:style>
  <w:style w:type="paragraph" w:styleId="15">
    <w:name w:val="header"/>
    <w:basedOn w:val="1"/>
    <w:link w:val="42"/>
    <w:unhideWhenUsed/>
    <w:qFormat/>
    <w:uiPriority w:val="99"/>
    <w:pPr>
      <w:tabs>
        <w:tab w:val="center" w:pos="4680"/>
        <w:tab w:val="right" w:pos="9360"/>
      </w:tabs>
      <w:spacing w:after="0" w:line="240" w:lineRule="auto"/>
    </w:pPr>
  </w:style>
  <w:style w:type="character" w:styleId="16">
    <w:name w:val="Hyperlink"/>
    <w:basedOn w:val="11"/>
    <w:unhideWhenUsed/>
    <w:uiPriority w:val="99"/>
    <w:rPr>
      <w:color w:val="467886"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eastAsia="Times New Roman" w:cs="Times New Roman"/>
      <w:kern w:val="0"/>
      <w:szCs w:val="24"/>
      <w:lang w:eastAsia="en-IN" w:bidi="hi-IN"/>
    </w:rPr>
  </w:style>
  <w:style w:type="character" w:styleId="18">
    <w:name w:val="Strong"/>
    <w:basedOn w:val="11"/>
    <w:qFormat/>
    <w:uiPriority w:val="22"/>
    <w:rPr>
      <w:b/>
      <w:bCs/>
    </w:rPr>
  </w:style>
  <w:style w:type="paragraph" w:styleId="19">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1"/>
    <w:link w:val="4"/>
    <w:semiHidden/>
    <w:uiPriority w:val="9"/>
    <w:rPr>
      <w:rFonts w:eastAsiaTheme="majorEastAsia" w:cstheme="majorBidi"/>
      <w:color w:val="104862" w:themeColor="accent1" w:themeShade="BF"/>
      <w:sz w:val="28"/>
      <w:szCs w:val="28"/>
    </w:rPr>
  </w:style>
  <w:style w:type="character" w:customStyle="1" w:styleId="25">
    <w:name w:val="Heading 4 Char"/>
    <w:basedOn w:val="11"/>
    <w:link w:val="5"/>
    <w:semiHidden/>
    <w:uiPriority w:val="9"/>
    <w:rPr>
      <w:rFonts w:eastAsiaTheme="majorEastAsia" w:cstheme="majorBidi"/>
      <w:i/>
      <w:iCs/>
      <w:color w:val="104862" w:themeColor="accent1" w:themeShade="BF"/>
    </w:rPr>
  </w:style>
  <w:style w:type="character" w:customStyle="1" w:styleId="26">
    <w:name w:val="Heading 5 Char"/>
    <w:basedOn w:val="11"/>
    <w:link w:val="6"/>
    <w:semiHidden/>
    <w:qFormat/>
    <w:uiPriority w:val="9"/>
    <w:rPr>
      <w:rFonts w:eastAsiaTheme="majorEastAsia" w:cstheme="majorBidi"/>
      <w:color w:val="104862"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1"/>
    <w:link w:val="37"/>
    <w:qFormat/>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Unresolved Mention"/>
    <w:basedOn w:val="11"/>
    <w:semiHidden/>
    <w:unhideWhenUsed/>
    <w:qFormat/>
    <w:uiPriority w:val="99"/>
    <w:rPr>
      <w:color w:val="605E5C"/>
      <w:shd w:val="clear" w:color="auto" w:fill="E1DFDD"/>
    </w:rPr>
  </w:style>
  <w:style w:type="paragraph" w:customStyle="1" w:styleId="41">
    <w:name w:val="Bibliography"/>
    <w:basedOn w:val="1"/>
    <w:next w:val="1"/>
    <w:unhideWhenUsed/>
    <w:qFormat/>
    <w:uiPriority w:val="37"/>
  </w:style>
  <w:style w:type="character" w:customStyle="1" w:styleId="42">
    <w:name w:val="Header Char"/>
    <w:basedOn w:val="11"/>
    <w:link w:val="15"/>
    <w:uiPriority w:val="99"/>
    <w:rPr>
      <w:rFonts w:ascii="Times New Roman" w:hAnsi="Times New Roman"/>
      <w:sz w:val="24"/>
    </w:rPr>
  </w:style>
  <w:style w:type="character" w:customStyle="1" w:styleId="43">
    <w:name w:val="Footer Char"/>
    <w:basedOn w:val="11"/>
    <w:link w:val="14"/>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PIB25</b:Tag>
    <b:SourceType>Report</b:SourceType>
    <b:Guid>{0413948E-2B18-4F99-9B74-0AC3A2150D84}</b:Guid>
    <b:Title>GST Reforms 2025: Relief for Common Man, Boost for Business</b:Title>
    <b:Year>2025</b:Year>
    <b:Author>
      <b:Author>
        <b:Corporate>PIB</b:Corporate>
      </b:Author>
    </b:Author>
    <b:Publisher>Press Information Buraeu</b:Publisher>
    <b:City>New Delhi</b:City>
    <b:URL>https://static.pib.gov.in/WriteReadData/specificdocs/documents/2025/sep/doc202594628401.pdf</b:URL>
    <b:RefOrder>2</b:RefOrder>
  </b:Source>
  <b:Source>
    <b:Tag>Mag25</b:Tag>
    <b:SourceType>ArticleInAPeriodical</b:SourceType>
    <b:Guid>{51E9BCD7-D57C-4B48-A7B3-175E26F45113}</b:Guid>
    <b:Title>As GST 2.0 kicks in, what changes for consumers and industry?</b:Title>
    <b:Year>2025</b:Year>
    <b:Author>
      <b:Author>
        <b:NameList>
          <b:Person>
            <b:Last>Magazine</b:Last>
            <b:First>Aanchal</b:First>
          </b:Person>
        </b:NameList>
      </b:Author>
    </b:Author>
    <b:PeriodicalTitle>The New Indian Express</b:PeriodicalTitle>
    <b:Month>September</b:Month>
    <b:Day>22</b:Day>
    <b:Pages>Economics Explained</b:Pages>
    <b:URL>https://indianexpress.com/article/explained/explained-economics/gst-2-changes-consumers-industry-10264788/</b:URL>
    <b:RefOrder>3</b:RefOrder>
  </b:Source>
  <b:Source>
    <b:Tag>CRE</b:Tag>
    <b:SourceType>ElectronicSource</b:SourceType>
    <b:Guid>{D5F5D676-B7FA-4A09-B4B0-589EAFAC5766}</b:Guid>
    <b:Title>Old GST vs New GST 2.0 – Quick Comparison</b:Title>
    <b:Author>
      <b:Author>
        <b:Corporate>CREDIT CARES</b:Corporate>
      </b:Author>
    </b:Author>
    <b:PublicationTitle>Blogs, FInance</b:PublicationTitle>
    <b:URL>https://creditcares.in/old-gst-vs-new-gst-2-0/</b:URL>
    <b:Year>2025</b:Year>
    <b:Month>September</b:Month>
    <b:Day>9</b:Day>
    <b:RefOrder>12</b:RefOrder>
  </b:Source>
  <b:Source>
    <b:Tag>TOI251</b:Tag>
    <b:SourceType>ArticleInAPeriodical</b:SourceType>
    <b:Guid>{4C66F331-14EB-45F6-8CEB-42EB94AE2675}</b:Guid>
    <b:Title>GST 2.0 is here! What the new tax reforms mean for you - 10 things to know</b:Title>
    <b:Year>2025</b:Year>
    <b:Month>September</b:Month>
    <b:Day>22</b:Day>
    <b:Author>
      <b:Author>
        <b:Corporate>TOI Business Desk</b:Corporate>
      </b:Author>
    </b:Author>
    <b:PeriodicalTitle>The Times of India</b:PeriodicalTitle>
    <b:URL>https://timesofindia.indiatimes.com/business/india-business/gst-2-0-is-here-what-the-new-tax-reforms-mean-for-you-10-things-to-know/articleshow/124038295.cms</b:URL>
    <b:RefOrder>13</b:RefOrder>
  </b:Source>
  <b:Source>
    <b:Tag>HTN25</b:Tag>
    <b:SourceType>ArticleInAPeriodical</b:SourceType>
    <b:Guid>{A177997C-6688-4E0E-804A-5266F4AE3ACA}</b:Guid>
    <b:Author>
      <b:Author>
        <b:Corporate>HT News Desk</b:Corporate>
      </b:Author>
    </b:Author>
    <b:Title>GST 2.0, tax cuts to fuel ₹2.5 lakh crore fiscal boost to Indian economy: CEA</b:Title>
    <b:PeriodicalTitle>The Hindusthan Times</b:PeriodicalTitle>
    <b:Year>2025</b:Year>
    <b:Month>September</b:Month>
    <b:Day>22</b:Day>
    <b:URL>https://www.hindustantimes.com/india-news/gst-reforms-to-give-indian-economy-a-rs-2-5-lakh-crore-fiscal-boost-cea-anantha-nageswaran-101758548118155.html</b:URL>
    <b:RefOrder>14</b:RefOrder>
  </b:Source>
  <b:Source>
    <b:Tag>Kuc25</b:Tag>
    <b:SourceType>ArticleInAPeriodical</b:SourceType>
    <b:Guid>{B2873AC2-FB51-4C4D-9271-506FAC5AF4C4}</b:Guid>
    <b:Author>
      <b:Author>
        <b:NameList>
          <b:Person>
            <b:Last>Kuchroo</b:Last>
            <b:First>Sakshi</b:First>
          </b:Person>
        </b:NameList>
      </b:Author>
    </b:Author>
    <b:Title>GST 2.0 kicks-in: What gets cheaper from today? Full list of items with price cuts</b:Title>
    <b:PeriodicalTitle>Financial Express</b:PeriodicalTitle>
    <b:Year>2025</b:Year>
    <b:Month>September</b:Month>
    <b:Day>22</b:Day>
    <b:URL>https://www.financialexpress.com/business/industry-gst-2-0-kicks-in-what-gets-cheaper-from-today-full-list-of-items-with-price-cuts-3985039/</b:URL>
    <b:RefOrder>17</b:RefOrder>
  </b:Source>
  <b:Source>
    <b:Tag>HTN251</b:Tag>
    <b:SourceType>ArticleInAPeriodical</b:SourceType>
    <b:Guid>{38C3A940-F53E-49F5-9A27-129032F5E19F}</b:Guid>
    <b:Author>
      <b:Author>
        <b:Corporate>HT News Desk</b:Corporate>
      </b:Author>
    </b:Author>
    <b:Title>New GST rates: Full list of items under new tax slabs. These items will get cheaper</b:Title>
    <b:PeriodicalTitle>The Hindusthan Times</b:PeriodicalTitle>
    <b:Year>2025</b:Year>
    <b:Month>September</b:Month>
    <b:Day>22</b:Day>
    <b:URL>https://www.hindustantimes.com/india-news/new-gst-rates-full-list-of-items-under-new-tax-slabs-these-items-will-get-cheaper-101758528799084.html</b:URL>
    <b:RefOrder>18</b:RefOrder>
  </b:Source>
  <b:Source>
    <b:Tag>Kot25</b:Tag>
    <b:SourceType>ElectronicSource</b:SourceType>
    <b:Guid>{F5B89792-B6C3-4C87-8A88-E6576B260016}</b:Guid>
    <b:Title>GST 2.0 vs Current GST: A Breakdown of What’s Changing</b:Title>
    <b:Year>2025</b:Year>
    <b:Month>July</b:Month>
    <b:Day>23</b:Day>
    <b:Author>
      <b:Author>
        <b:Corporate>Kotak Securities Team</b:Corporate>
      </b:Author>
    </b:Author>
    <b:URL>https://www.kotaksecurities.com/news/market-news/gst-2-vs-current-gst/</b:URL>
    <b:RefOrder>15</b:RefOrder>
  </b:Source>
  <b:Source>
    <b:Tag>Cho25</b:Tag>
    <b:SourceType>ArticleInAPeriodical</b:SourceType>
    <b:Guid>{2E181D5C-9089-4485-9BAC-CB71538FF17D}</b:Guid>
    <b:Title>GST 2.0: Major Overhaul On The Horizon As India's Landmark Tax Turns 8</b:Title>
    <b:Year>2025</b:Year>
    <b:Month>June</b:Month>
    <b:Day>30</b:Day>
    <b:Author>
      <b:Author>
        <b:NameList>
          <b:Person>
            <b:Last>Choudhary</b:Last>
            <b:First>Shrimi</b:First>
          </b:Person>
        </b:NameList>
      </b:Author>
    </b:Author>
    <b:PeriodicalTitle>NDTV Profit</b:PeriodicalTitle>
    <b:URL>https://www.ndtvprofit.com/economy-finance/gst-20-major-overhaul-on-the-horizon-as-indias-landmark-tax-turns-8</b:URL>
    <b:RefOrder>19</b:RefOrder>
  </b:Source>
  <b:Source>
    <b:Tag>Kot</b:Tag>
    <b:SourceType>ArticleInAPeriodical</b:SourceType>
    <b:Guid>{DAD4DFBA-D885-4D4A-A162-61D1B36CCD27}</b:Guid>
    <b:Title>GST 2.0: Crunchy, Clear and Easy to Digest</b:Title>
    <b:PeriodicalTitle> Kotak Mutual Fund / Information / Blog </b:PeriodicalTitle>
    <b:Author>
      <b:Author>
        <b:Corporate>KotakMF</b:Corporate>
      </b:Author>
    </b:Author>
    <b:URL>https://www.kotakmf.com/Information/blogs/gst-2-point-0_</b:URL>
    <b:RefOrder>20</b:RefOrder>
  </b:Source>
  <b:Source>
    <b:Tag>Man251</b:Tag>
    <b:SourceType>ArticleInAPeriodical</b:SourceType>
    <b:Guid>{A27D281A-8B3C-42DF-834E-69EFA163409A}</b:Guid>
    <b:Author>
      <b:Author>
        <b:NameList>
          <b:Person>
            <b:Last>Maniyar</b:Last>
            <b:First>Aachal</b:First>
          </b:Person>
        </b:NameList>
      </b:Author>
    </b:Author>
    <b:Title>GST 2.0: How new tax slabs impact consumer spending and business pricing in India across sectors</b:Title>
    <b:PeriodicalTitle>Mint E-paper</b:PeriodicalTitle>
    <b:Year>2025</b:Year>
    <b:Month>September</b:Month>
    <b:Day>21</b:Day>
    <b:URL>https://www.livemint.com/news/gst-2-0-how-new-tax-slabs-impact-consumer-spending-and-business-pricing-in-india-across-sectors-11758443581115.html</b:URL>
    <b:RefOrder>16</b:RefOrder>
  </b:Source>
  <b:Source>
    <b:Tag>Pra25</b:Tag>
    <b:SourceType>ArticleInAPeriodical</b:SourceType>
    <b:Guid>{63687D35-2A71-46FE-BFC9-22F9DB8E8DF9}</b:Guid>
    <b:Title>GST 2.0: Consumer brands adjust prices to benefits consumers</b:Title>
    <b:PeriodicalTitle>PrintWeek</b:PeriodicalTitle>
    <b:Year>2025</b:Year>
    <b:Month>September</b:Month>
    <b:Day>18</b:Day>
    <b:Author>
      <b:Author>
        <b:NameList>
          <b:Person>
            <b:Last>Prakash</b:Last>
            <b:First>Prabhat</b:First>
          </b:Person>
        </b:NameList>
      </b:Author>
    </b:Author>
    <b:URL>https://www.whatpackaging.co.in/news/gst-20-consumer-brands-adjust-prices-to-benefits-consumers-59084</b:URL>
    <b:RefOrder>21</b:RefOrder>
  </b:Source>
  <b:Source>
    <b:Tag>Pod09</b:Tag>
    <b:SourceType>JournalArticle</b:SourceType>
    <b:Guid>{62FCB158-A225-458E-A2B3-524E86C2319E}</b:Guid>
    <b:Title>GST Reforms and Intergovernmental Considerations in India</b:Title>
    <b:Year>2009</b:Year>
    <b:JournalName>Working Paper No.1/2009-DEA</b:JournalName>
    <b:Author>
      <b:Author>
        <b:NameList>
          <b:Person>
            <b:Last>Poddar</b:Last>
            <b:First>Satya</b:First>
          </b:Person>
          <b:Person>
            <b:Last>Ahmad</b:Last>
            <b:First>Ehtisham</b:First>
          </b:Person>
        </b:NameList>
      </b:Author>
    </b:Author>
    <b:Publisher>Department of Economic Affairs,Ministry of Finance, Governemnt of India</b:Publisher>
    <b:URL>https://dea.gov.in/files/working_papers_documents/GST_Reforms_Intergovernmental_Considerations_India.pdf</b:URL>
    <b:RefOrder>4</b:RefOrder>
  </b:Source>
  <b:Source>
    <b:Tag>Wor18</b:Tag>
    <b:SourceType>DocumentFromInternetSite</b:SourceType>
    <b:Guid>{8C57326F-0760-4400-BD57-8BEF84E39089}</b:Guid>
    <b:Title>The Challenges of the Goods and Service Tax (GST) implementation in India</b:Title>
    <b:Year>2018</b:Year>
    <b:Author>
      <b:Author>
        <b:Corporate>World Bank</b:Corporate>
      </b:Author>
    </b:Author>
    <b:InternetSiteTitle>World Bank</b:InternetSiteTitle>
    <b:URL>https://documents1.worldbank.org/curated/en/846611542608567754/pdf/The-Challenges-of-the-Goods-and-Service-Tax-GST-implementation-in-India.pdf</b:URL>
    <b:RefOrder>5</b:RefOrder>
  </b:Source>
  <b:Source>
    <b:Tag>Maj25</b:Tag>
    <b:SourceType>ArticleInAPeriodical</b:SourceType>
    <b:Guid>{4A8AB07B-1320-43C6-A73F-52E885690FE8}</b:Guid>
    <b:Title>‘Big Diwali gift’: Industry leaders laud GST overhaul, reduction of slabs to 5% and 18%</b:Title>
    <b:Year>2025</b:Year>
    <b:Month>September</b:Month>
    <b:Day>4</b:Day>
    <b:URL>https://www.businesstoday.in/latest/economy/story/big-diwali-gift-industry-leaders-laud-gst-overhaul-reduction-of-slabs-to-5-percent-and-18-percent-492496-2025-09-04</b:URL>
    <b:Author>
      <b:Author>
        <b:NameList>
          <b:Person>
            <b:Last>Majumdar</b:Last>
            <b:First>Rukmi</b:First>
          </b:Person>
        </b:NameList>
      </b:Author>
    </b:Author>
    <b:PeriodicalTitle>Business Today</b:PeriodicalTitle>
    <b:Publisher>Business Today Desk</b:Publisher>
    <b:RefOrder>8</b:RefOrder>
  </b:Source>
  <b:Source>
    <b:Tag>Kot1</b:Tag>
    <b:SourceType>ElectronicSource</b:SourceType>
    <b:Guid>{75E3D1DA-F213-462A-8366-B66A97777DF6}</b:Guid>
    <b:Title>GST 2.0: Crunchy, Clear and Easy to Digest</b:Title>
    <b:Author>
      <b:Author>
        <b:Corporate>Kotak Mutual Fund</b:Corporate>
      </b:Author>
    </b:Author>
    <b:URL>https://www.kotakmf.com/Information/blogs/gst-2-point-0_</b:URL>
    <b:Year>2025</b:Year>
    <b:Month>September</b:Month>
    <b:Day>05</b:Day>
    <b:RefOrder>9</b:RefOrder>
  </b:Source>
  <b:Source>
    <b:Tag>Bha21</b:Tag>
    <b:SourceType>JournalArticle</b:SourceType>
    <b:Guid>{AC23FB1C-9B73-46A4-918B-0CF96A83E8B2}</b:Guid>
    <b:Title>Impacts of GST reforms on efficiency, growth and redistribution of income in India: A Dynamic CGE Analysis</b:Title>
    <b:Year>2021</b:Year>
    <b:Month>February</b:Month>
    <b:Day>18</b:Day>
    <b:Author>
      <b:Author>
        <b:NameList>
          <b:Person>
            <b:Last>Bhattarai</b:Last>
            <b:First>Keshab</b:First>
          </b:Person>
        </b:NameList>
      </b:Author>
    </b:Author>
    <b:JournalName>Journal of Development Economics and Finance</b:JournalName>
    <b:Pages>93-133</b:Pages>
    <b:URL>https://papers.ssrn.com/sol3/papers.cfm?abstract_id=3782402</b:URL>
    <b:RefOrder>1</b:RefOrder>
  </b:Source>
  <b:Source>
    <b:Tag>Sur24</b:Tag>
    <b:SourceType>JournalArticle</b:SourceType>
    <b:Guid>{EB00CFD8-8BD1-4989-A819-709D53DDC7C5}</b:Guid>
    <b:Title>THE IMPACT OF THE NEW GST REGIME ON MSMES IN INDIA,WITH A SPECIAL EMPHASIS ON INPUT TAX CREDIT</b:Title>
    <b:JournalName>PUBLIC POLICY AND ADMINISTRATION</b:JournalName>
    <b:Year>2024</b:Year>
    <b:Pages>552-565</b:Pages>
    <b:Author>
      <b:Author>
        <b:NameList>
          <b:Person>
            <b:Last>Sureka</b:Last>
            <b:First>Anchit </b:First>
          </b:Person>
          <b:Person>
            <b:Last>Bordoloi</b:Last>
            <b:First>Nabasmita </b:First>
          </b:Person>
        </b:NameList>
      </b:Author>
    </b:Author>
    <b:Volume>23</b:Volume>
    <b:Issue>4</b:Issue>
    <b:DOI>10.13165/VPA-24-23-4-09</b:DOI>
    <b:RefOrder>11</b:RefOrder>
  </b:Source>
  <b:Source>
    <b:Tag>Ann25</b:Tag>
    <b:SourceType>ElectronicSource</b:SourceType>
    <b:Guid>{BD062315-7FC1-465D-B69B-71948D1F88D4}</b:Guid>
    <b:Title>The Problems of Implementation of GST in India</b:Title>
    <b:Year>2025</b:Year>
    <b:Author>
      <b:Author>
        <b:NameList>
          <b:Person>
            <b:Last>Annapoorna</b:Last>
          </b:Person>
        </b:NameList>
      </b:Author>
    </b:Author>
    <b:Month>July</b:Month>
    <b:Day>30</b:Day>
    <b:PublicationTitle>ClearTax.in</b:PublicationTitle>
    <b:URL>https://cleartax.in/s/problems-of-implementation-of-gst</b:URL>
    <b:RefOrder>7</b:RefOrder>
  </b:Source>
  <b:Source>
    <b:Tag>Sid25</b:Tag>
    <b:SourceType>DocumentFromInternetSite</b:SourceType>
    <b:Guid>{A8C6D995-FE19-44A6-8004-5DADCEC01B7E}</b:Guid>
    <b:Title>MNREGA’s Success in Punjab—and the Malaise It Reveals</b:Title>
    <b:Year>2025</b:Year>
    <b:Month>September</b:Month>
    <b:Day>24</b:Day>
    <b:InternetSiteTitle>Substack</b:InternetSiteTitle>
    <b:URL>https://kbssidhu.substack.com/p/mnregas-success-in-punjaband-the</b:URL>
    <b:Author>
      <b:Author>
        <b:NameList>
          <b:Person>
            <b:Last>Sidhu</b:Last>
            <b:Middle>Bir Singh</b:Middle>
            <b:First>Karan </b:First>
          </b:Person>
        </b:NameList>
      </b:Author>
    </b:Author>
    <b:RefOrder>10</b:RefOrder>
  </b:Source>
  <b:Source>
    <b:Tag>Kar24</b:Tag>
    <b:SourceType>DocumentFromInternetSite</b:SourceType>
    <b:Guid>{E071A162-0B26-4171-AE77-4BBAC19FC31E}</b:Guid>
    <b:Author>
      <b:Author>
        <b:NameList>
          <b:Person>
            <b:Last>Sidhu</b:Last>
            <b:First>Karan</b:First>
            <b:Middle>Bir Singh</b:Middle>
          </b:Person>
        </b:NameList>
      </b:Author>
    </b:Author>
    <b:Title>Grossly Stupid Taxation (GST)? The Malaise is Far Deeper than Popcorn Memes</b:Title>
    <b:InternetSiteTitle>Substack</b:InternetSiteTitle>
    <b:Year>2024</b:Year>
    <b:Month>December</b:Month>
    <b:Day>22</b:Day>
    <b:URL>https://kbssidhu.substack.com/p/grossly-stupid-taxation-gst-the-malaise</b:URL>
    <b:RefOrder>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61BB9-7151-4284-9062-FD3B8719A414}">
  <ds:schemaRefs/>
</ds:datastoreItem>
</file>

<file path=docProps/app.xml><?xml version="1.0" encoding="utf-8"?>
<Properties xmlns="http://schemas.openxmlformats.org/officeDocument/2006/extended-properties" xmlns:vt="http://schemas.openxmlformats.org/officeDocument/2006/docPropsVTypes">
  <Template>Normal</Template>
  <Pages>15</Pages>
  <Words>5188</Words>
  <Characters>29576</Characters>
  <Lines>246</Lines>
  <Paragraphs>69</Paragraphs>
  <TotalTime>400</TotalTime>
  <ScaleCrop>false</ScaleCrop>
  <LinksUpToDate>false</LinksUpToDate>
  <CharactersWithSpaces>34695</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2025-09-23T08:08:00Z</dcterms:created>
  <dc:creator>Dalia Ignatius</dc:creator>
  <cp:lastModifiedBy>MR KOLA FIJABI</cp:lastModifiedBy>
  <dcterms:modified xsi:type="dcterms:W3CDTF">2025-09-27T21:52:08Z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e8b30d79-3e56-4516-8756-5ff3c4d33fb0</vt:lpwstr>
  </property>
  <property fmtid="{D5CDD505-2E9C-101B-9397-08002B2CF9AE}" pid="3" name="KSOProductBuildVer">
    <vt:lpwstr>1033-11.2.0.10426</vt:lpwstr>
  </property>
  <property fmtid="{D5CDD505-2E9C-101B-9397-08002B2CF9AE}" pid="4" name="ICV">
    <vt:lpwstr>0FCBD10481D349C799D9D6877821FA8C</vt:lpwstr>
  </property>
</Properties>
</file>